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  <w:lang w:eastAsia="zh-CN"/>
        </w:rPr>
        <w:t>广西电网公司防城港供电局202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6</w:t>
      </w:r>
      <w:r>
        <w:rPr>
          <w:rFonts w:hint="eastAsia" w:ascii="黑体" w:hAnsi="黑体" w:eastAsia="黑体"/>
          <w:sz w:val="44"/>
          <w:szCs w:val="44"/>
          <w:lang w:eastAsia="zh-CN"/>
        </w:rPr>
        <w:t>年数据中心升级改造（信息机房建设）勘查设计服务零星采购项目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服务说明</w:t>
      </w:r>
      <w:r>
        <w:rPr>
          <w:rFonts w:hint="eastAsia" w:ascii="黑体" w:hAnsi="黑体" w:eastAsia="黑体"/>
          <w:sz w:val="44"/>
          <w:szCs w:val="44"/>
        </w:rPr>
        <w:t>书</w:t>
      </w:r>
    </w:p>
    <w:p>
      <w:pPr>
        <w:pStyle w:val="15"/>
        <w:spacing w:line="360" w:lineRule="auto"/>
        <w:rPr>
          <w:rFonts w:ascii="宋体" w:hAnsi="宋体" w:eastAsia="宋体"/>
          <w:sz w:val="44"/>
          <w:szCs w:val="44"/>
        </w:rPr>
      </w:pPr>
    </w:p>
    <w:p>
      <w:pPr>
        <w:pStyle w:val="15"/>
        <w:spacing w:line="360" w:lineRule="auto"/>
        <w:rPr>
          <w:rFonts w:ascii="宋体" w:hAnsi="宋体" w:eastAsia="宋体"/>
          <w:sz w:val="44"/>
          <w:szCs w:val="44"/>
        </w:rPr>
      </w:pPr>
    </w:p>
    <w:p>
      <w:pPr>
        <w:pStyle w:val="15"/>
        <w:spacing w:line="360" w:lineRule="auto"/>
        <w:rPr>
          <w:rFonts w:ascii="宋体" w:hAnsi="宋体" w:eastAsia="宋体"/>
          <w:sz w:val="44"/>
          <w:szCs w:val="44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pStyle w:val="15"/>
        <w:spacing w:line="360" w:lineRule="auto"/>
        <w:rPr>
          <w:rFonts w:ascii="宋体" w:hAnsi="宋体" w:eastAsia="宋体"/>
          <w:sz w:val="48"/>
          <w:szCs w:val="48"/>
        </w:rPr>
      </w:pPr>
    </w:p>
    <w:p>
      <w:pPr>
        <w:jc w:val="center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广西电网公司防城港供电局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月</w:t>
      </w:r>
    </w:p>
    <w:p>
      <w:pPr>
        <w:pStyle w:val="16"/>
        <w:widowControl/>
        <w:numPr>
          <w:ilvl w:val="0"/>
          <w:numId w:val="3"/>
        </w:numPr>
        <w:ind w:leftChars="0"/>
        <w:jc w:val="left"/>
        <w:outlineLvl w:val="0"/>
        <w:rPr>
          <w:rStyle w:val="17"/>
        </w:rPr>
      </w:pPr>
      <w:r>
        <w:br w:type="page"/>
      </w:r>
      <w:r>
        <w:rPr>
          <w:rStyle w:val="17"/>
        </w:rPr>
        <w:t>总则</w:t>
      </w:r>
    </w:p>
    <w:p>
      <w:pPr>
        <w:pStyle w:val="3"/>
        <w:numPr>
          <w:ilvl w:val="0"/>
          <w:numId w:val="0"/>
        </w:numPr>
        <w:tabs>
          <w:tab w:val="left" w:pos="993"/>
        </w:tabs>
        <w:snapToGrid w:val="0"/>
        <w:spacing w:before="0" w:after="0" w:line="480" w:lineRule="atLeast"/>
        <w:ind w:firstLine="241" w:firstLineChars="100"/>
        <w:rPr>
          <w:rFonts w:hint="default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1.1要求</w:t>
      </w:r>
    </w:p>
    <w:p>
      <w:pPr>
        <w:pStyle w:val="20"/>
        <w:numPr>
          <w:ilvl w:val="2"/>
          <w:numId w:val="4"/>
        </w:numPr>
        <w:ind w:firstLine="360"/>
      </w:pPr>
      <w:r>
        <w:rPr>
          <w:rFonts w:hint="eastAsia"/>
          <w:lang w:eastAsia="zh-CN"/>
        </w:rPr>
        <w:t>进行报价的服务商（以下简称“服务商”）在报价前</w:t>
      </w:r>
      <w:r>
        <w:rPr>
          <w:rFonts w:hint="eastAsia"/>
        </w:rPr>
        <w:t>必须认真阅读本技术条款内容，以免造成</w:t>
      </w:r>
      <w:r>
        <w:rPr>
          <w:rFonts w:hint="eastAsia"/>
          <w:lang w:eastAsia="zh-CN"/>
        </w:rPr>
        <w:t>报价</w:t>
      </w:r>
      <w:r>
        <w:rPr>
          <w:rFonts w:hint="eastAsia"/>
        </w:rPr>
        <w:t>失败。</w:t>
      </w:r>
    </w:p>
    <w:p>
      <w:pPr>
        <w:pStyle w:val="20"/>
        <w:numPr>
          <w:ilvl w:val="2"/>
          <w:numId w:val="4"/>
        </w:numPr>
        <w:ind w:firstLine="360"/>
      </w:pPr>
      <w:r>
        <w:rPr>
          <w:rFonts w:hint="eastAsia"/>
        </w:rPr>
        <w:t>本</w:t>
      </w:r>
      <w:r>
        <w:rPr>
          <w:rFonts w:hint="eastAsia"/>
          <w:lang w:eastAsia="zh-CN"/>
        </w:rPr>
        <w:t>说明</w:t>
      </w:r>
      <w:r>
        <w:rPr>
          <w:rFonts w:hint="eastAsia"/>
        </w:rPr>
        <w:t>书主要描述</w:t>
      </w:r>
      <w:r>
        <w:rPr>
          <w:rFonts w:hint="eastAsia"/>
          <w:highlight w:val="none"/>
          <w:lang w:eastAsia="zh-CN"/>
        </w:rPr>
        <w:t>广西电网公司防城港供电局2026年数据中心升级改造（信息机房建设）勘查设计服务零星采购项目</w:t>
      </w:r>
      <w:r>
        <w:rPr>
          <w:rFonts w:hint="eastAsia"/>
        </w:rPr>
        <w:t>要求有关事项。</w:t>
      </w:r>
    </w:p>
    <w:p>
      <w:pPr>
        <w:pStyle w:val="20"/>
        <w:numPr>
          <w:ilvl w:val="2"/>
          <w:numId w:val="4"/>
        </w:numPr>
        <w:ind w:firstLine="360"/>
      </w:pPr>
      <w:r>
        <w:rPr>
          <w:rFonts w:hint="eastAsia"/>
        </w:rPr>
        <w:t>本</w:t>
      </w:r>
      <w:r>
        <w:rPr>
          <w:rFonts w:hint="eastAsia"/>
          <w:lang w:eastAsia="zh-CN"/>
        </w:rPr>
        <w:t>说明</w:t>
      </w:r>
      <w:r>
        <w:rPr>
          <w:rFonts w:hint="eastAsia"/>
        </w:rPr>
        <w:t>书提出的是最低限度的技术要求, 并未对一切技术细节作出规定，也未充分引述有关标准和规范的条文。</w:t>
      </w:r>
      <w:r>
        <w:rPr>
          <w:rFonts w:hint="eastAsia"/>
          <w:lang w:eastAsia="zh-CN"/>
        </w:rPr>
        <w:t>服务商</w:t>
      </w:r>
      <w:r>
        <w:rPr>
          <w:rFonts w:hint="eastAsia"/>
        </w:rPr>
        <w:t>应提供符合本文件和工业标准的优质服务，认真阅读，逐条准确回答和陈述，必须清楚地说明是否满足本</w:t>
      </w:r>
      <w:r>
        <w:rPr>
          <w:rFonts w:hint="eastAsia"/>
          <w:lang w:eastAsia="zh-CN"/>
        </w:rPr>
        <w:t>说明</w:t>
      </w:r>
      <w:r>
        <w:rPr>
          <w:rFonts w:hint="eastAsia"/>
        </w:rPr>
        <w:t>书的每一项具体要求。如果不满足要求，除在逐条应答时予以说明外，还需以“差异表”的形式另外列出。</w:t>
      </w:r>
    </w:p>
    <w:p>
      <w:pPr>
        <w:pStyle w:val="20"/>
        <w:numPr>
          <w:ilvl w:val="2"/>
          <w:numId w:val="4"/>
        </w:numPr>
        <w:ind w:firstLine="360"/>
      </w:pPr>
      <w:r>
        <w:rPr>
          <w:rFonts w:hint="eastAsia"/>
        </w:rPr>
        <w:t>如果</w:t>
      </w:r>
      <w:r>
        <w:rPr>
          <w:rFonts w:hint="eastAsia"/>
          <w:lang w:eastAsia="zh-CN"/>
        </w:rPr>
        <w:t>服务商</w:t>
      </w:r>
      <w:r>
        <w:rPr>
          <w:rFonts w:hint="eastAsia"/>
        </w:rPr>
        <w:t>认为本技术条款所描述技术要求等存在不合理性或不明白的，可在响应原要求后陈述相关建议。</w:t>
      </w:r>
    </w:p>
    <w:p>
      <w:pPr>
        <w:pStyle w:val="20"/>
        <w:numPr>
          <w:ilvl w:val="2"/>
          <w:numId w:val="4"/>
        </w:numPr>
        <w:ind w:firstLine="360"/>
      </w:pPr>
      <w:r>
        <w:rPr>
          <w:rFonts w:hint="eastAsia"/>
        </w:rPr>
        <w:t>本</w:t>
      </w:r>
      <w:r>
        <w:rPr>
          <w:rFonts w:hint="eastAsia"/>
          <w:lang w:eastAsia="zh-CN"/>
        </w:rPr>
        <w:t>说明</w:t>
      </w:r>
      <w:r>
        <w:rPr>
          <w:rFonts w:hint="eastAsia"/>
        </w:rPr>
        <w:t>书所使用的标准如与</w:t>
      </w:r>
      <w:r>
        <w:rPr>
          <w:rFonts w:hint="eastAsia"/>
          <w:lang w:eastAsia="zh-CN"/>
        </w:rPr>
        <w:t>服务商</w:t>
      </w:r>
      <w:r>
        <w:rPr>
          <w:rFonts w:hint="eastAsia"/>
        </w:rPr>
        <w:t>所执行的标准不一致，按较高标准执行。</w:t>
      </w:r>
    </w:p>
    <w:p>
      <w:pPr>
        <w:pStyle w:val="20"/>
        <w:numPr>
          <w:ilvl w:val="2"/>
          <w:numId w:val="4"/>
        </w:numPr>
        <w:ind w:firstLine="360"/>
      </w:pPr>
      <w:r>
        <w:rPr>
          <w:rFonts w:hint="eastAsia"/>
          <w:lang w:eastAsia="zh-CN"/>
        </w:rPr>
        <w:t>服务商</w:t>
      </w:r>
      <w:r>
        <w:rPr>
          <w:rFonts w:hint="eastAsia"/>
        </w:rPr>
        <w:t>应对本次投标所有文件保密，不得向其他单位公布或泄漏项目的有关信息。</w:t>
      </w:r>
    </w:p>
    <w:p>
      <w:pPr>
        <w:pStyle w:val="20"/>
        <w:numPr>
          <w:ilvl w:val="2"/>
          <w:numId w:val="4"/>
        </w:numPr>
        <w:ind w:firstLine="360"/>
      </w:pPr>
      <w:r>
        <w:rPr>
          <w:rFonts w:hint="eastAsia"/>
          <w:lang w:eastAsia="zh-CN"/>
        </w:rPr>
        <w:t>采购</w:t>
      </w:r>
      <w:r>
        <w:rPr>
          <w:rFonts w:hint="eastAsia"/>
        </w:rPr>
        <w:t>方保留技术规范书修改的权利，可以提出变更的意见和建议，最终签订的技术协议与合同具有同等效力。</w:t>
      </w:r>
    </w:p>
    <w:p>
      <w:pPr>
        <w:pStyle w:val="3"/>
        <w:numPr>
          <w:ilvl w:val="0"/>
          <w:numId w:val="0"/>
        </w:numPr>
        <w:tabs>
          <w:tab w:val="left" w:pos="993"/>
        </w:tabs>
        <w:snapToGrid w:val="0"/>
        <w:spacing w:before="0" w:after="0" w:line="480" w:lineRule="atLeast"/>
        <w:ind w:leftChars="200"/>
        <w:rPr>
          <w:rFonts w:ascii="宋体" w:hAnsi="宋体" w:eastAsia="宋体" w:cs="Times New Roman"/>
          <w:sz w:val="24"/>
          <w:szCs w:val="24"/>
        </w:rPr>
      </w:pPr>
      <w:bookmarkStart w:id="0" w:name="_Toc2588"/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1.2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Times New Roman"/>
          <w:sz w:val="24"/>
          <w:szCs w:val="24"/>
        </w:rPr>
        <w:t>职责</w:t>
      </w:r>
      <w:bookmarkEnd w:id="0"/>
    </w:p>
    <w:p>
      <w:pPr>
        <w:autoSpaceDE w:val="0"/>
        <w:autoSpaceDN w:val="0"/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1）</w:t>
      </w:r>
      <w:r>
        <w:rPr>
          <w:rFonts w:hint="eastAsia"/>
          <w:sz w:val="24"/>
          <w:szCs w:val="24"/>
          <w:lang w:eastAsia="zh-CN"/>
        </w:rPr>
        <w:t>服务商</w:t>
      </w:r>
      <w:r>
        <w:rPr>
          <w:rFonts w:hint="eastAsia"/>
          <w:sz w:val="24"/>
          <w:szCs w:val="24"/>
        </w:rPr>
        <w:t>须提供的</w:t>
      </w:r>
      <w:r>
        <w:rPr>
          <w:rFonts w:hint="eastAsia"/>
          <w:sz w:val="24"/>
          <w:szCs w:val="24"/>
          <w:lang w:eastAsia="zh-CN"/>
        </w:rPr>
        <w:t>服务</w:t>
      </w:r>
      <w:r>
        <w:rPr>
          <w:rFonts w:hint="eastAsia"/>
          <w:sz w:val="24"/>
          <w:szCs w:val="24"/>
        </w:rPr>
        <w:t>和技术要求应符合国标和南方电网的企业标准。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2）中标人应按照合同约定，保质保量完成</w:t>
      </w:r>
      <w:r>
        <w:rPr>
          <w:rFonts w:hint="eastAsia"/>
          <w:sz w:val="24"/>
          <w:szCs w:val="24"/>
          <w:lang w:eastAsia="zh-CN"/>
        </w:rPr>
        <w:t>勘查设计</w:t>
      </w:r>
      <w:r>
        <w:rPr>
          <w:rFonts w:hint="eastAsia"/>
          <w:sz w:val="24"/>
          <w:szCs w:val="24"/>
        </w:rPr>
        <w:t>工作</w:t>
      </w:r>
      <w:r>
        <w:rPr>
          <w:rFonts w:hint="eastAsia"/>
          <w:sz w:val="24"/>
          <w:szCs w:val="24"/>
          <w:lang w:eastAsia="zh-CN"/>
        </w:rPr>
        <w:t>并按时交付成果</w:t>
      </w:r>
      <w:r>
        <w:rPr>
          <w:rFonts w:hint="eastAsia"/>
          <w:sz w:val="24"/>
          <w:szCs w:val="24"/>
        </w:rPr>
        <w:t>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3）中标人应遵守电力安全规程的各项规定，在确保安全的情况下开展工作。</w:t>
      </w:r>
      <w:r>
        <w:rPr>
          <w:rFonts w:hint="eastAsia"/>
          <w:sz w:val="24"/>
          <w:szCs w:val="24"/>
          <w:lang w:eastAsia="zh-CN"/>
        </w:rPr>
        <w:t>交付的成果必须经招标人组织审核通过</w:t>
      </w:r>
      <w:r>
        <w:rPr>
          <w:rFonts w:hint="eastAsia"/>
          <w:sz w:val="24"/>
          <w:szCs w:val="24"/>
        </w:rPr>
        <w:t>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4）项目</w:t>
      </w:r>
      <w:r>
        <w:rPr>
          <w:rFonts w:hint="eastAsia"/>
          <w:sz w:val="24"/>
          <w:szCs w:val="24"/>
          <w:lang w:eastAsia="zh-CN"/>
        </w:rPr>
        <w:t>勘查设计</w:t>
      </w:r>
      <w:r>
        <w:rPr>
          <w:rFonts w:hint="eastAsia"/>
          <w:sz w:val="24"/>
          <w:szCs w:val="24"/>
        </w:rPr>
        <w:t>负责人及其它主要人员必须有同类</w:t>
      </w:r>
      <w:r>
        <w:rPr>
          <w:rFonts w:hint="eastAsia"/>
          <w:sz w:val="24"/>
          <w:szCs w:val="24"/>
          <w:lang w:eastAsia="zh-CN"/>
        </w:rPr>
        <w:t>设计</w:t>
      </w:r>
      <w:r>
        <w:rPr>
          <w:rFonts w:hint="eastAsia"/>
          <w:sz w:val="24"/>
          <w:szCs w:val="24"/>
        </w:rPr>
        <w:t>3年以上工作经验，如招标人认为该人员不胜任时可以要求更换，中标人应按照招标人要求及时更换。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）在保证质量的前提下，有计划推进项目进度，工期滞后于计划时，应及时、合理的调整进度计划，补充人力、物力、财力资源，确保项目按时</w:t>
      </w:r>
      <w:r>
        <w:rPr>
          <w:rFonts w:hint="eastAsia"/>
          <w:sz w:val="24"/>
          <w:szCs w:val="24"/>
          <w:lang w:eastAsia="zh-CN"/>
        </w:rPr>
        <w:t>交付</w:t>
      </w:r>
      <w:r>
        <w:rPr>
          <w:rFonts w:hint="eastAsia"/>
          <w:sz w:val="24"/>
          <w:szCs w:val="24"/>
        </w:rPr>
        <w:t>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）负责整个项目</w:t>
      </w:r>
      <w:r>
        <w:rPr>
          <w:rFonts w:hint="eastAsia"/>
          <w:sz w:val="24"/>
          <w:szCs w:val="24"/>
          <w:lang w:eastAsia="zh-CN"/>
        </w:rPr>
        <w:t>设计</w:t>
      </w:r>
      <w:r>
        <w:rPr>
          <w:rFonts w:hint="eastAsia"/>
          <w:sz w:val="24"/>
          <w:szCs w:val="24"/>
        </w:rPr>
        <w:t>资料</w:t>
      </w:r>
      <w:r>
        <w:rPr>
          <w:rFonts w:hint="eastAsia"/>
          <w:sz w:val="24"/>
          <w:szCs w:val="24"/>
          <w:lang w:eastAsia="zh-CN"/>
        </w:rPr>
        <w:t>（含竣工图）</w:t>
      </w:r>
      <w:r>
        <w:rPr>
          <w:rFonts w:hint="eastAsia"/>
          <w:sz w:val="24"/>
          <w:szCs w:val="24"/>
        </w:rPr>
        <w:t>的整理与移交，确保资料的完整性、正确性。</w:t>
      </w:r>
    </w:p>
    <w:p>
      <w:pPr>
        <w:pStyle w:val="3"/>
        <w:numPr>
          <w:ilvl w:val="1"/>
          <w:numId w:val="5"/>
        </w:numPr>
        <w:tabs>
          <w:tab w:val="left" w:pos="993"/>
          <w:tab w:val="clear" w:pos="567"/>
        </w:tabs>
        <w:snapToGrid w:val="0"/>
        <w:spacing w:before="0" w:after="0" w:line="480" w:lineRule="atLeast"/>
        <w:ind w:left="0" w:firstLine="482" w:firstLineChars="200"/>
      </w:pPr>
      <w:bookmarkStart w:id="1" w:name="_Toc26255"/>
      <w:r>
        <w:rPr>
          <w:rFonts w:hint="eastAsia" w:ascii="宋体" w:hAnsi="宋体" w:eastAsia="宋体" w:cs="Times New Roman"/>
          <w:sz w:val="24"/>
          <w:szCs w:val="24"/>
          <w:lang w:eastAsia="zh-CN"/>
        </w:rPr>
        <w:t>采购</w:t>
      </w:r>
      <w:r>
        <w:rPr>
          <w:rFonts w:hint="eastAsia" w:ascii="宋体" w:hAnsi="宋体" w:eastAsia="宋体" w:cs="Times New Roman"/>
          <w:sz w:val="24"/>
          <w:szCs w:val="24"/>
        </w:rPr>
        <w:t>方职责</w:t>
      </w:r>
      <w:bookmarkEnd w:id="1"/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1）负责对本技术规范书进行解释。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2）保留对本技术规范书增删、修改的权利。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3）有权对投标方的技术建议内容进行取舍。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4）协助中标方开展现场相关工作。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5）确认投标方提供的相关资料和文件。</w:t>
      </w:r>
    </w:p>
    <w:p>
      <w:pPr>
        <w:autoSpaceDE w:val="0"/>
        <w:autoSpaceDN w:val="0"/>
        <w:spacing w:line="360" w:lineRule="auto"/>
        <w:ind w:firstLine="440"/>
        <w:rPr>
          <w:sz w:val="24"/>
          <w:szCs w:val="24"/>
        </w:rPr>
      </w:pPr>
      <w:r>
        <w:rPr>
          <w:rFonts w:hint="eastAsia"/>
          <w:sz w:val="24"/>
          <w:szCs w:val="24"/>
        </w:rPr>
        <w:t>6）协助现场设备布置及沟通与协调。</w:t>
      </w:r>
    </w:p>
    <w:p>
      <w:pPr>
        <w:autoSpaceDE w:val="0"/>
        <w:autoSpaceDN w:val="0"/>
        <w:spacing w:line="360" w:lineRule="auto"/>
        <w:ind w:firstLine="4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7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  <w:lang w:eastAsia="zh-CN"/>
        </w:rPr>
        <w:t>协助</w:t>
      </w:r>
      <w:r>
        <w:rPr>
          <w:rFonts w:hint="eastAsia"/>
          <w:sz w:val="24"/>
          <w:szCs w:val="24"/>
        </w:rPr>
        <w:t>组织</w:t>
      </w:r>
      <w:r>
        <w:rPr>
          <w:rFonts w:hint="eastAsia"/>
          <w:sz w:val="24"/>
          <w:szCs w:val="24"/>
          <w:lang w:eastAsia="zh-CN"/>
        </w:rPr>
        <w:t>交付成果的评审</w:t>
      </w:r>
      <w:r>
        <w:rPr>
          <w:rFonts w:hint="eastAsia"/>
          <w:sz w:val="24"/>
          <w:szCs w:val="24"/>
        </w:rPr>
        <w:t>。</w:t>
      </w:r>
    </w:p>
    <w:p>
      <w:pPr>
        <w:autoSpaceDE w:val="0"/>
        <w:autoSpaceDN w:val="0"/>
        <w:spacing w:line="360" w:lineRule="auto"/>
        <w:ind w:firstLine="44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8）组织项目的验收。</w:t>
      </w:r>
    </w:p>
    <w:p>
      <w:pPr>
        <w:pStyle w:val="3"/>
      </w:pPr>
      <w:r>
        <w:rPr>
          <w:rFonts w:hint="eastAsia"/>
        </w:rPr>
        <w:t>2.应遵循的主要标准</w:t>
      </w:r>
    </w:p>
    <w:p>
      <w:pPr>
        <w:spacing w:line="360" w:lineRule="auto"/>
        <w:rPr>
          <w:rFonts w:ascii="宋体" w:hAnsi="Times New Roman" w:eastAsia="宋体" w:cs="Times New Roman"/>
          <w:sz w:val="24"/>
          <w:szCs w:val="24"/>
        </w:rPr>
      </w:pPr>
      <w:r>
        <w:rPr>
          <w:rFonts w:hint="eastAsia" w:ascii="宋体" w:hAnsi="Times New Roman" w:eastAsia="宋体" w:cs="Times New Roman"/>
          <w:sz w:val="24"/>
          <w:szCs w:val="24"/>
        </w:rPr>
        <w:t>本项目的工作应遵循以下标准和文件要求：</w:t>
      </w:r>
    </w:p>
    <w:p>
      <w:pPr>
        <w:ind w:firstLine="480" w:firstLineChars="200"/>
        <w:rPr>
          <w:rFonts w:ascii="宋体" w:hAnsi="Times New Roman" w:eastAsia="宋体" w:cs="Times New Roman"/>
          <w:sz w:val="24"/>
          <w:szCs w:val="24"/>
        </w:rPr>
      </w:pP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通用标准与规范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《智能建筑设计标准》（GB 50314-2015）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《智能建筑工程质量验收规范》（GB50339-2013）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《通信管道与通信工程设计规范》（GB 50373-2006）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《低压配电设计规范》（GB 50054-2011）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《供配电系统设计规范》（GB 50052-2009）</w:t>
      </w: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综合布线系统相关标准与规范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《综合布线系统工程设计规范》（GB 50311-2016）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《综合布线系统工程服务及验收规范》（GB 50312-2007）</w:t>
      </w: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机房工程相关标准与规范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《计算机场地通用规范》（GB/T 2881-2011）</w:t>
      </w: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安全技术防范系统相关标准与规范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《安全防范工程技术规范》（GB 50348-20</w:t>
      </w:r>
      <w:r>
        <w:rPr>
          <w:rFonts w:asciiTheme="minorEastAsia" w:hAnsiTheme="minorEastAsia"/>
          <w:sz w:val="24"/>
          <w:szCs w:val="24"/>
        </w:rPr>
        <w:t>18</w:t>
      </w:r>
      <w:r>
        <w:rPr>
          <w:rFonts w:hint="eastAsia" w:asciiTheme="minorEastAsia" w:hAnsiTheme="minorEastAsia"/>
          <w:sz w:val="24"/>
          <w:szCs w:val="24"/>
        </w:rPr>
        <w:t>）</w:t>
      </w: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信息系统防雷与接地相关标准与规范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《建筑物防雷设计规范》（GB 50057-2010）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《建筑物电子信息系统防雷技术规范》(GB 50343-2012)</w:t>
      </w:r>
    </w:p>
    <w:p>
      <w:pPr>
        <w:widowControl/>
        <w:spacing w:line="360" w:lineRule="auto"/>
        <w:ind w:firstLine="480" w:firstLineChars="200"/>
        <w:jc w:val="left"/>
      </w:pPr>
      <w:r>
        <w:rPr>
          <w:rFonts w:hint="eastAsia" w:asciiTheme="minorEastAsia" w:hAnsiTheme="minorEastAsia"/>
          <w:sz w:val="24"/>
          <w:szCs w:val="24"/>
        </w:rPr>
        <w:t>《电子设备雷击保护守则》（GB 7450-87）</w:t>
      </w:r>
    </w:p>
    <w:p>
      <w:pPr>
        <w:pStyle w:val="3"/>
      </w:pPr>
      <w:r>
        <w:rPr>
          <w:rFonts w:hint="eastAsia"/>
        </w:rPr>
        <w:t>3.</w:t>
      </w:r>
      <w:r>
        <w:rPr>
          <w:rFonts w:hint="eastAsia"/>
          <w:lang w:eastAsia="zh-CN"/>
        </w:rPr>
        <w:t>采购</w:t>
      </w:r>
      <w:r>
        <w:rPr>
          <w:rFonts w:hint="eastAsia"/>
        </w:rPr>
        <w:t>范围</w:t>
      </w: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3.1</w:t>
      </w:r>
      <w:r>
        <w:rPr>
          <w:rFonts w:hint="eastAsia"/>
          <w:b/>
          <w:sz w:val="24"/>
          <w:szCs w:val="24"/>
          <w:lang w:eastAsia="zh-CN"/>
        </w:rPr>
        <w:t>采购</w:t>
      </w:r>
      <w:r>
        <w:rPr>
          <w:b/>
          <w:sz w:val="24"/>
          <w:szCs w:val="24"/>
        </w:rPr>
        <w:t>工作范围</w:t>
      </w:r>
    </w:p>
    <w:p>
      <w:pPr>
        <w:widowControl/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服务商</w:t>
      </w:r>
      <w:r>
        <w:rPr>
          <w:sz w:val="24"/>
          <w:szCs w:val="24"/>
        </w:rPr>
        <w:t>必须负责完成本项目以下工作内容</w:t>
      </w:r>
      <w:r>
        <w:rPr>
          <w:rFonts w:hint="eastAsia"/>
          <w:sz w:val="24"/>
          <w:szCs w:val="24"/>
        </w:rPr>
        <w:t>：</w:t>
      </w:r>
    </w:p>
    <w:p>
      <w:pPr>
        <w:widowControl/>
        <w:numPr>
          <w:ilvl w:val="0"/>
          <w:numId w:val="6"/>
        </w:num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根据公司印发的《广西电网有限责任公司2026年数据中心升级改造（信息机房建设）项目可行性研究报告》及估算书中涉及防城港供电局的建设内容，开展项目勘查设计</w:t>
      </w:r>
      <w:r>
        <w:rPr>
          <w:rFonts w:hint="eastAsia"/>
          <w:sz w:val="24"/>
          <w:szCs w:val="24"/>
          <w:lang w:val="en-US" w:eastAsia="zh-CN"/>
        </w:rPr>
        <w:t>。</w:t>
      </w:r>
    </w:p>
    <w:p>
      <w:pPr>
        <w:widowControl/>
        <w:spacing w:line="360" w:lineRule="auto"/>
        <w:jc w:val="left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eastAsia"/>
          <w:sz w:val="24"/>
          <w:szCs w:val="24"/>
          <w:lang w:eastAsia="zh-CN"/>
        </w:rPr>
        <w:t>）所交付的成果（设计文档）经招标方审核通过。</w:t>
      </w: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3.2项目范围和内容</w:t>
      </w:r>
    </w:p>
    <w:p>
      <w:pPr>
        <w:widowControl/>
        <w:spacing w:line="360" w:lineRule="auto"/>
        <w:ind w:firstLine="480" w:firstLineChars="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本次采购的范围和内容如下，乙方应按此进行响应并报价，按服务说明提供相关材料，并完成安装：</w:t>
      </w:r>
    </w:p>
    <w:tbl>
      <w:tblPr>
        <w:tblStyle w:val="9"/>
        <w:tblW w:w="868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1816"/>
        <w:gridCol w:w="4757"/>
        <w:gridCol w:w="813"/>
        <w:gridCol w:w="7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名称</w:t>
            </w:r>
          </w:p>
        </w:tc>
        <w:tc>
          <w:tcPr>
            <w:tcW w:w="4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  <w:t>工程服务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说明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勘查设计</w:t>
            </w:r>
          </w:p>
        </w:tc>
        <w:tc>
          <w:tcPr>
            <w:tcW w:w="4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根据公司印发的《广西电网有限责任公司2026年数据中心升级改造（信息机房建设）项目可行性研究报告》及估算书中涉及防城港供电局的建设内容，开展项目勘查设计，所交付的成果（设计文档）经招标方审核通过。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项</w:t>
            </w:r>
          </w:p>
        </w:tc>
      </w:tr>
    </w:tbl>
    <w:p>
      <w:pPr>
        <w:widowControl/>
        <w:jc w:val="left"/>
        <w:rPr>
          <w:rFonts w:hint="eastAsia"/>
        </w:rPr>
      </w:pPr>
      <w:r>
        <w:rPr>
          <w:rFonts w:hint="eastAsia"/>
        </w:rPr>
        <w:t xml:space="preserve">  </w:t>
      </w: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</w:p>
    <w:p>
      <w:pPr>
        <w:pStyle w:val="16"/>
        <w:widowControl/>
        <w:ind w:firstLine="0" w:firstLineChars="0"/>
        <w:jc w:val="left"/>
        <w:outlineLvl w:val="1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3.3交付时间、地点</w:t>
      </w:r>
    </w:p>
    <w:p>
      <w:pPr>
        <w:pStyle w:val="16"/>
        <w:widowControl/>
        <w:spacing w:line="360" w:lineRule="auto"/>
        <w:ind w:firstLine="0" w:firstLineChars="0"/>
        <w:jc w:val="left"/>
        <w:outlineLvl w:val="2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3.3.1  交付地点</w:t>
      </w:r>
    </w:p>
    <w:p>
      <w:pPr>
        <w:pStyle w:val="16"/>
        <w:widowControl/>
        <w:spacing w:line="360" w:lineRule="auto"/>
        <w:ind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1、交货地点：</w:t>
      </w:r>
      <w:r>
        <w:rPr>
          <w:rFonts w:hint="eastAsia" w:asciiTheme="minorEastAsia" w:hAnsiTheme="minorEastAsia"/>
          <w:sz w:val="24"/>
          <w:szCs w:val="24"/>
          <w:lang w:eastAsia="zh-CN"/>
        </w:rPr>
        <w:t>防城港供电局</w:t>
      </w:r>
      <w:r>
        <w:rPr>
          <w:rFonts w:hint="eastAsia" w:asciiTheme="minorEastAsia" w:hAnsiTheme="minorEastAsia"/>
          <w:sz w:val="24"/>
          <w:szCs w:val="24"/>
        </w:rPr>
        <w:t>。</w:t>
      </w:r>
    </w:p>
    <w:p>
      <w:pPr>
        <w:pStyle w:val="16"/>
        <w:widowControl/>
        <w:spacing w:line="360" w:lineRule="auto"/>
        <w:ind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2</w:t>
      </w:r>
      <w:r>
        <w:rPr>
          <w:rFonts w:hint="eastAsia" w:asciiTheme="minorEastAsia" w:hAnsiTheme="minorEastAsia"/>
          <w:sz w:val="24"/>
          <w:szCs w:val="24"/>
        </w:rPr>
        <w:t>、服务</w:t>
      </w:r>
      <w:r>
        <w:rPr>
          <w:rFonts w:asciiTheme="minorEastAsia" w:hAnsiTheme="minorEastAsia"/>
          <w:sz w:val="24"/>
          <w:szCs w:val="24"/>
        </w:rPr>
        <w:t>地点</w:t>
      </w:r>
      <w:r>
        <w:rPr>
          <w:rFonts w:hint="eastAsia" w:asciiTheme="minorEastAsia" w:hAnsiTheme="minorEastAsia"/>
          <w:sz w:val="24"/>
          <w:szCs w:val="24"/>
        </w:rPr>
        <w:t>：</w:t>
      </w:r>
      <w:r>
        <w:rPr>
          <w:rFonts w:hint="eastAsia" w:asciiTheme="minorEastAsia" w:hAnsiTheme="minorEastAsia"/>
          <w:sz w:val="24"/>
          <w:szCs w:val="24"/>
          <w:lang w:eastAsia="zh-CN"/>
        </w:rPr>
        <w:t>防城港市。</w:t>
      </w:r>
    </w:p>
    <w:p>
      <w:pPr>
        <w:pStyle w:val="16"/>
        <w:widowControl/>
        <w:spacing w:line="360" w:lineRule="auto"/>
        <w:ind w:firstLine="0" w:firstLineChars="0"/>
        <w:jc w:val="left"/>
        <w:outlineLvl w:val="2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 xml:space="preserve">3.3.2  </w:t>
      </w:r>
      <w:r>
        <w:rPr>
          <w:rFonts w:asciiTheme="minorEastAsia" w:hAnsiTheme="minorEastAsia"/>
          <w:b/>
          <w:sz w:val="24"/>
          <w:szCs w:val="24"/>
        </w:rPr>
        <w:t>交付时间</w:t>
      </w:r>
    </w:p>
    <w:p>
      <w:pPr>
        <w:pStyle w:val="16"/>
        <w:widowControl/>
        <w:spacing w:line="360" w:lineRule="auto"/>
        <w:ind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服务周期：本</w:t>
      </w:r>
      <w:r>
        <w:rPr>
          <w:rFonts w:hint="eastAsia" w:asciiTheme="minorEastAsia" w:hAnsiTheme="minorEastAsia"/>
          <w:sz w:val="24"/>
          <w:szCs w:val="24"/>
          <w:lang w:eastAsia="zh-CN"/>
        </w:rPr>
        <w:t>说明</w:t>
      </w:r>
      <w:r>
        <w:rPr>
          <w:rFonts w:hint="eastAsia" w:asciiTheme="minorEastAsia" w:hAnsiTheme="minorEastAsia"/>
          <w:sz w:val="24"/>
          <w:szCs w:val="24"/>
        </w:rPr>
        <w:t>书</w:t>
      </w:r>
      <w:r>
        <w:rPr>
          <w:rFonts w:hint="eastAsia" w:asciiTheme="minorEastAsia" w:hAnsiTheme="minorEastAsia"/>
          <w:sz w:val="24"/>
          <w:szCs w:val="24"/>
          <w:lang w:eastAsia="zh-CN"/>
        </w:rPr>
        <w:t>采购</w:t>
      </w:r>
      <w:r>
        <w:rPr>
          <w:rFonts w:hint="eastAsia" w:asciiTheme="minorEastAsia" w:hAnsiTheme="minorEastAsia"/>
          <w:sz w:val="24"/>
          <w:szCs w:val="24"/>
        </w:rPr>
        <w:t>范围和内容要求202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/>
          <w:sz w:val="24"/>
          <w:szCs w:val="24"/>
        </w:rPr>
        <w:t>年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/>
          <w:sz w:val="24"/>
          <w:szCs w:val="24"/>
        </w:rPr>
        <w:t>月30日前完成。</w:t>
      </w:r>
    </w:p>
    <w:p>
      <w:pPr>
        <w:widowControl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验收交付时间</w:t>
      </w:r>
      <w:r>
        <w:rPr>
          <w:rFonts w:hint="eastAsia" w:asciiTheme="minorEastAsia" w:hAnsiTheme="minorEastAsia"/>
          <w:sz w:val="24"/>
          <w:szCs w:val="24"/>
        </w:rPr>
        <w:t>：</w:t>
      </w:r>
      <w:r>
        <w:rPr>
          <w:rFonts w:asciiTheme="minorEastAsia" w:hAnsiTheme="minorEastAsia"/>
          <w:sz w:val="24"/>
          <w:szCs w:val="24"/>
        </w:rPr>
        <w:t>以招标人提出的时间要求为准</w:t>
      </w:r>
      <w:r>
        <w:rPr>
          <w:rFonts w:hint="eastAsia" w:asciiTheme="minorEastAsia" w:hAnsiTheme="minorEastAsia"/>
          <w:sz w:val="24"/>
          <w:szCs w:val="24"/>
        </w:rPr>
        <w:t>。</w:t>
      </w:r>
    </w:p>
    <w:p/>
    <w:p>
      <w:pPr>
        <w:pStyle w:val="16"/>
        <w:widowControl/>
        <w:ind w:firstLine="0" w:firstLineChars="0"/>
        <w:jc w:val="left"/>
        <w:outlineLvl w:val="1"/>
        <w:rPr>
          <w:rFonts w:hint="eastAsia" w:eastAsiaTheme="minorEastAsia"/>
          <w:b/>
          <w:sz w:val="24"/>
          <w:szCs w:val="24"/>
          <w:lang w:eastAsia="zh-CN"/>
        </w:rPr>
      </w:pPr>
      <w:r>
        <w:rPr>
          <w:rFonts w:hint="eastAsia"/>
          <w:b/>
          <w:sz w:val="24"/>
          <w:szCs w:val="24"/>
        </w:rPr>
        <w:t>3.4</w:t>
      </w:r>
      <w:r>
        <w:rPr>
          <w:rFonts w:hint="eastAsia"/>
          <w:b/>
          <w:sz w:val="24"/>
          <w:szCs w:val="24"/>
          <w:lang w:eastAsia="zh-CN"/>
        </w:rPr>
        <w:t>交付物</w:t>
      </w:r>
    </w:p>
    <w:p>
      <w:pPr>
        <w:widowControl/>
        <w:numPr>
          <w:ilvl w:val="0"/>
          <w:numId w:val="7"/>
        </w:numPr>
        <w:spacing w:line="360" w:lineRule="auto"/>
        <w:ind w:firstLine="480" w:firstLineChars="200"/>
        <w:jc w:val="left"/>
        <w:rPr>
          <w:rFonts w:hint="eastAsia" w:asciiTheme="minorEastAsia" w:hAnsi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可研报告内要求采购的甲供物资（除框招设备外）的技术规范书</w:t>
      </w:r>
      <w:r>
        <w:rPr>
          <w:rFonts w:hint="eastAsia" w:asciiTheme="minorEastAsia" w:hAnsiTheme="minorEastAsia"/>
          <w:sz w:val="24"/>
          <w:szCs w:val="24"/>
        </w:rPr>
        <w:t>。</w:t>
      </w:r>
      <w:r>
        <w:rPr>
          <w:rFonts w:hint="eastAsia" w:asciiTheme="minorEastAsia" w:hAnsiTheme="minorEastAsia"/>
          <w:sz w:val="24"/>
          <w:szCs w:val="24"/>
          <w:lang w:eastAsia="zh-CN"/>
        </w:rPr>
        <w:t>如框招设备不满足本项目的实际使用条件，也需进行技术规范书编制（如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UPS设备</w:t>
      </w:r>
      <w:r>
        <w:rPr>
          <w:rFonts w:hint="eastAsia" w:asciiTheme="minorEastAsia" w:hAnsiTheme="minorEastAsia"/>
          <w:sz w:val="24"/>
          <w:szCs w:val="24"/>
          <w:lang w:eastAsia="zh-CN"/>
        </w:rPr>
        <w:t>）。</w:t>
      </w:r>
    </w:p>
    <w:p>
      <w:pPr>
        <w:widowControl/>
        <w:numPr>
          <w:ilvl w:val="0"/>
          <w:numId w:val="7"/>
        </w:numPr>
        <w:spacing w:line="360" w:lineRule="auto"/>
        <w:ind w:firstLine="480" w:firstLineChars="200"/>
        <w:jc w:val="left"/>
        <w:rPr>
          <w:rFonts w:hint="eastAsia" w:asciiTheme="minorEastAsia" w:hAnsi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  <w:lang w:eastAsia="zh-CN"/>
        </w:rPr>
        <w:t>本项目施工图及竣工图。（竣工图交付时间为项目验收后一个月内）</w:t>
      </w:r>
    </w:p>
    <w:p>
      <w:pPr>
        <w:widowControl/>
        <w:numPr>
          <w:ilvl w:val="0"/>
          <w:numId w:val="7"/>
        </w:numPr>
        <w:spacing w:line="360" w:lineRule="auto"/>
        <w:ind w:firstLine="480" w:firstLineChars="200"/>
        <w:jc w:val="left"/>
        <w:rPr>
          <w:rFonts w:hint="eastAsia" w:asciiTheme="minorEastAsia" w:hAnsi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  <w:lang w:eastAsia="zh-CN"/>
        </w:rPr>
        <w:t>施工预算编制。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 xml:space="preserve">    （以上如有招标人未考虑周全的，投标人应按工程设计规范要求提供）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0" w:firstLineChars="0"/>
        <w:contextualSpacing/>
        <w:jc w:val="left"/>
        <w:textAlignment w:val="auto"/>
        <w:outlineLvl w:val="3"/>
        <w:rPr>
          <w:b/>
          <w:sz w:val="28"/>
          <w:szCs w:val="28"/>
        </w:rPr>
      </w:pPr>
      <w:r>
        <w:rPr>
          <w:rFonts w:hint="eastAsia" w:ascii="宋体" w:hAnsi="宋体"/>
          <w:b/>
          <w:kern w:val="0"/>
          <w:sz w:val="32"/>
          <w:szCs w:val="32"/>
          <w:lang w:val="en-US" w:eastAsia="zh-CN"/>
        </w:rPr>
        <w:t>4.</w:t>
      </w:r>
      <w:r>
        <w:rPr>
          <w:rFonts w:hint="eastAsia"/>
          <w:b/>
          <w:sz w:val="28"/>
          <w:szCs w:val="28"/>
        </w:rPr>
        <w:t>安全服务要求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服务商</w:t>
      </w:r>
      <w:r>
        <w:rPr>
          <w:rFonts w:hint="eastAsia" w:ascii="宋体" w:hAnsi="宋体"/>
          <w:sz w:val="24"/>
        </w:rPr>
        <w:t>派出的</w:t>
      </w:r>
      <w:r>
        <w:rPr>
          <w:rFonts w:ascii="宋体" w:hAnsi="宋体"/>
          <w:sz w:val="24"/>
        </w:rPr>
        <w:t>人员应该遵从关于现场安全</w:t>
      </w:r>
      <w:r>
        <w:rPr>
          <w:rFonts w:hint="eastAsia" w:ascii="宋体" w:hAnsi="宋体"/>
          <w:sz w:val="24"/>
        </w:rPr>
        <w:t>服务、</w:t>
      </w:r>
      <w:r>
        <w:rPr>
          <w:rFonts w:ascii="宋体" w:hAnsi="宋体"/>
          <w:sz w:val="24"/>
        </w:rPr>
        <w:t>文明</w:t>
      </w:r>
      <w:r>
        <w:rPr>
          <w:rFonts w:hint="eastAsia" w:ascii="宋体" w:hAnsi="宋体"/>
          <w:sz w:val="24"/>
        </w:rPr>
        <w:t>服务</w:t>
      </w:r>
      <w:r>
        <w:rPr>
          <w:rFonts w:ascii="宋体" w:hAnsi="宋体"/>
          <w:sz w:val="24"/>
        </w:rPr>
        <w:t>的要求</w:t>
      </w:r>
      <w:r>
        <w:rPr>
          <w:rFonts w:hint="eastAsia" w:ascii="宋体" w:hAnsi="宋体"/>
          <w:sz w:val="24"/>
        </w:rPr>
        <w:t>，</w:t>
      </w:r>
      <w:r>
        <w:rPr>
          <w:rFonts w:ascii="宋体" w:hAnsi="宋体"/>
          <w:sz w:val="24"/>
        </w:rPr>
        <w:t>不得超越工作范围工作</w:t>
      </w:r>
      <w:r>
        <w:rPr>
          <w:rFonts w:hint="eastAsia" w:ascii="宋体" w:hAnsi="宋体"/>
          <w:sz w:val="24"/>
        </w:rPr>
        <w:t>。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服务商</w:t>
      </w:r>
      <w:r>
        <w:rPr>
          <w:rFonts w:hint="eastAsia" w:ascii="宋体" w:hAnsi="宋体"/>
          <w:sz w:val="24"/>
        </w:rPr>
        <w:t>负责现场环境及服务条件勘察，确保满足服务条件。服务操作必须严格按照国家法律法规执行，采取必要的安全防范措施，服务现场搭设好安全防护措施，服务影响范围及时告知</w:t>
      </w:r>
      <w:r>
        <w:rPr>
          <w:rFonts w:hint="eastAsia" w:ascii="宋体" w:hAnsi="宋体"/>
          <w:sz w:val="24"/>
          <w:lang w:eastAsia="zh-CN"/>
        </w:rPr>
        <w:t>本</w:t>
      </w:r>
      <w:r>
        <w:rPr>
          <w:rFonts w:hint="eastAsia" w:ascii="宋体" w:hAnsi="宋体"/>
          <w:sz w:val="24"/>
        </w:rPr>
        <w:t>单位人员并做好相应的警戒、警示，安排安全人员现场监护。做到文明服务、安全服务。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服务商</w:t>
      </w:r>
      <w:r>
        <w:rPr>
          <w:rFonts w:hint="eastAsia" w:ascii="宋体" w:hAnsi="宋体"/>
          <w:sz w:val="24"/>
        </w:rPr>
        <w:t>派出的现场</w:t>
      </w:r>
      <w:r>
        <w:rPr>
          <w:rFonts w:hint="eastAsia" w:ascii="宋体" w:hAnsi="宋体"/>
          <w:sz w:val="24"/>
          <w:lang w:eastAsia="zh-CN"/>
        </w:rPr>
        <w:t>勘查</w:t>
      </w:r>
      <w:r>
        <w:rPr>
          <w:rFonts w:hint="eastAsia" w:ascii="宋体" w:hAnsi="宋体"/>
          <w:sz w:val="24"/>
        </w:rPr>
        <w:t>人员应该严格按照现场实施方案的内容开展现场实服务作，并采取必要的风险防控措施。因现场实施人员操作不当、扩大工作范围、不按工</w:t>
      </w:r>
      <w:r>
        <w:rPr>
          <w:rFonts w:hint="eastAsia" w:ascii="宋体" w:hAnsi="宋体"/>
          <w:sz w:val="24"/>
          <w:lang w:eastAsia="zh-CN"/>
        </w:rPr>
        <w:t>程</w:t>
      </w:r>
      <w:r>
        <w:rPr>
          <w:rFonts w:hint="eastAsia" w:ascii="宋体" w:hAnsi="宋体"/>
          <w:sz w:val="24"/>
        </w:rPr>
        <w:t>服务方案内容操作而导致设备损坏、人身伤亡等安全生产事故事件，投标方应承担相关责任，造成招标方经济损失的，投标方应赔偿相应的经济损失。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ascii="宋体" w:hAnsi="宋体"/>
          <w:sz w:val="24"/>
        </w:rPr>
        <w:t>投标人必须为所有现场</w:t>
      </w:r>
      <w:r>
        <w:rPr>
          <w:rFonts w:hint="eastAsia" w:ascii="宋体" w:hAnsi="宋体"/>
          <w:sz w:val="24"/>
        </w:rPr>
        <w:t>服务</w:t>
      </w:r>
      <w:r>
        <w:rPr>
          <w:rFonts w:ascii="宋体" w:hAnsi="宋体"/>
          <w:sz w:val="24"/>
        </w:rPr>
        <w:t>人员购买人身意外保险</w:t>
      </w:r>
      <w:r>
        <w:rPr>
          <w:rFonts w:hint="eastAsia" w:ascii="宋体" w:hAnsi="宋体"/>
          <w:sz w:val="24"/>
        </w:rPr>
        <w:t>。</w:t>
      </w:r>
    </w:p>
    <w:p>
      <w:pPr>
        <w:pStyle w:val="16"/>
        <w:widowControl/>
        <w:numPr>
          <w:ilvl w:val="0"/>
          <w:numId w:val="0"/>
        </w:numPr>
        <w:ind w:leftChars="0"/>
        <w:jc w:val="left"/>
        <w:outlineLvl w:val="0"/>
        <w:rPr>
          <w:b/>
          <w:sz w:val="28"/>
          <w:szCs w:val="28"/>
        </w:rPr>
      </w:pPr>
      <w:bookmarkStart w:id="2" w:name="_Toc10377"/>
      <w:r>
        <w:rPr>
          <w:rFonts w:hint="eastAsia"/>
          <w:b/>
          <w:sz w:val="28"/>
          <w:szCs w:val="28"/>
          <w:lang w:val="en-US" w:eastAsia="zh-CN"/>
        </w:rPr>
        <w:t>5.</w:t>
      </w:r>
      <w:r>
        <w:rPr>
          <w:rFonts w:hint="eastAsia"/>
          <w:b/>
          <w:sz w:val="28"/>
          <w:szCs w:val="28"/>
        </w:rPr>
        <w:t>其他要求</w:t>
      </w:r>
      <w:bookmarkEnd w:id="2"/>
    </w:p>
    <w:p>
      <w:pPr>
        <w:pStyle w:val="6"/>
        <w:autoSpaceDE w:val="0"/>
        <w:autoSpaceDN w:val="0"/>
        <w:spacing w:line="360" w:lineRule="auto"/>
        <w:ind w:firstLine="480" w:firstLineChars="200"/>
      </w:pPr>
      <w:r>
        <w:t>本</w:t>
      </w:r>
      <w:r>
        <w:rPr>
          <w:rFonts w:hint="eastAsia"/>
        </w:rPr>
        <w:t>项目组织技术</w:t>
      </w:r>
      <w:r>
        <w:t>主要包含以下几个方面。</w:t>
      </w:r>
    </w:p>
    <w:p>
      <w:pPr>
        <w:pStyle w:val="3"/>
        <w:numPr>
          <w:ilvl w:val="1"/>
          <w:numId w:val="0"/>
        </w:numPr>
        <w:autoSpaceDE w:val="0"/>
        <w:autoSpaceDN w:val="0"/>
        <w:spacing w:before="0" w:after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3" w:name="_Toc2202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 xml:space="preserve"> 项目组织与计划</w:t>
      </w:r>
      <w:bookmarkEnd w:id="3"/>
    </w:p>
    <w:p>
      <w:pPr>
        <w:pStyle w:val="20"/>
        <w:numPr>
          <w:ilvl w:val="0"/>
          <w:numId w:val="0"/>
        </w:numPr>
        <w:autoSpaceDE w:val="0"/>
        <w:autoSpaceDN w:val="0"/>
        <w:rPr>
          <w:rFonts w:hAnsi="宋体" w:cs="宋体"/>
          <w:lang w:eastAsia="en-US"/>
        </w:rPr>
      </w:pPr>
      <w:r>
        <w:rPr>
          <w:rFonts w:hint="eastAsia" w:hAnsi="宋体" w:cs="宋体"/>
        </w:rPr>
        <w:t xml:space="preserve"> </w:t>
      </w:r>
      <w:r>
        <w:rPr>
          <w:rFonts w:hint="eastAsia" w:hAnsi="宋体" w:cs="宋体"/>
          <w:lang w:eastAsia="zh-CN"/>
        </w:rPr>
        <w:t>服务商</w:t>
      </w:r>
      <w:r>
        <w:rPr>
          <w:rFonts w:hint="eastAsia" w:hAnsi="宋体" w:cs="宋体"/>
        </w:rPr>
        <w:t>中标后必须在接到</w:t>
      </w:r>
      <w:r>
        <w:rPr>
          <w:rFonts w:hint="eastAsia" w:hAnsi="宋体" w:cs="宋体"/>
          <w:lang w:eastAsia="zh-CN"/>
        </w:rPr>
        <w:t>采购</w:t>
      </w:r>
      <w:r>
        <w:rPr>
          <w:rFonts w:hint="eastAsia" w:hAnsi="宋体" w:cs="宋体"/>
        </w:rPr>
        <w:t>人通知后的 3 天内派员到达现场</w:t>
      </w:r>
      <w:r>
        <w:rPr>
          <w:rFonts w:hint="eastAsia" w:hAnsi="宋体" w:cs="宋体"/>
          <w:lang w:eastAsia="zh-CN"/>
        </w:rPr>
        <w:t>报道</w:t>
      </w:r>
      <w:r>
        <w:rPr>
          <w:rFonts w:hint="eastAsia" w:hAnsi="宋体" w:cs="宋体"/>
        </w:rPr>
        <w:t>，服从</w:t>
      </w:r>
      <w:r>
        <w:rPr>
          <w:rFonts w:hint="eastAsia" w:hAnsi="宋体" w:cs="宋体"/>
          <w:lang w:eastAsia="zh-CN"/>
        </w:rPr>
        <w:t>采购</w:t>
      </w:r>
      <w:r>
        <w:rPr>
          <w:rFonts w:hint="eastAsia" w:hAnsi="宋体" w:cs="宋体"/>
        </w:rPr>
        <w:t>人的统一安排。在实施过程中，必须服从</w:t>
      </w:r>
      <w:r>
        <w:rPr>
          <w:rFonts w:hint="eastAsia" w:hAnsi="宋体" w:cs="宋体"/>
          <w:lang w:eastAsia="zh-CN"/>
        </w:rPr>
        <w:t>采购</w:t>
      </w:r>
      <w:r>
        <w:rPr>
          <w:rFonts w:hint="eastAsia" w:hAnsi="宋体" w:cs="宋体"/>
        </w:rPr>
        <w:t>人在进度、质量管理等多方面的管理要求，组织、协调各方</w:t>
      </w:r>
      <w:r>
        <w:rPr>
          <w:rFonts w:hint="eastAsia" w:hAnsi="宋体" w:cs="宋体"/>
          <w:lang w:eastAsia="zh-CN"/>
        </w:rPr>
        <w:t>进行勘查设计</w:t>
      </w:r>
      <w:r>
        <w:rPr>
          <w:rFonts w:hint="eastAsia" w:hAnsi="宋体" w:cs="宋体"/>
        </w:rPr>
        <w:t>。</w:t>
      </w:r>
    </w:p>
    <w:p>
      <w:pPr>
        <w:pStyle w:val="6"/>
        <w:autoSpaceDE w:val="0"/>
        <w:autoSpaceDN w:val="0"/>
        <w:spacing w:line="360" w:lineRule="auto"/>
        <w:outlineLvl w:val="1"/>
      </w:pPr>
      <w:bookmarkStart w:id="4" w:name="_Toc3689"/>
      <w:r>
        <w:rPr>
          <w:rFonts w:hint="eastAsia"/>
          <w:b/>
          <w:bCs/>
          <w:lang w:val="en-US" w:eastAsia="zh-CN"/>
        </w:rPr>
        <w:t>5</w:t>
      </w:r>
      <w:r>
        <w:rPr>
          <w:rFonts w:hint="eastAsia"/>
          <w:b/>
          <w:bCs/>
        </w:rPr>
        <w:t>.2 项目进度</w:t>
      </w:r>
      <w:bookmarkEnd w:id="4"/>
    </w:p>
    <w:p>
      <w:pPr>
        <w:pStyle w:val="6"/>
        <w:autoSpaceDE w:val="0"/>
        <w:autoSpaceDN w:val="0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本项目要求中标人在合同签订后5个工</w:t>
      </w:r>
      <w:bookmarkStart w:id="7" w:name="_GoBack"/>
      <w:bookmarkEnd w:id="7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作日内制定详细的进度安排表，本</w:t>
      </w:r>
      <w:r>
        <w:rPr>
          <w:rFonts w:hint="eastAsia" w:cs="宋体"/>
          <w:kern w:val="2"/>
          <w:sz w:val="24"/>
          <w:szCs w:val="24"/>
          <w:lang w:val="en-US" w:eastAsia="zh-CN" w:bidi="ar-SA"/>
        </w:rPr>
        <w:t>说明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书范围内的工作总体要求在202</w:t>
      </w:r>
      <w:r>
        <w:rPr>
          <w:rFonts w:hint="eastAsia" w:cs="宋体"/>
          <w:kern w:val="2"/>
          <w:sz w:val="24"/>
          <w:szCs w:val="24"/>
          <w:lang w:val="en-US" w:eastAsia="zh-CN" w:bidi="ar-SA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cs="宋体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月30日前完成，中标人应采取有效的工期保证措施。</w:t>
      </w:r>
    </w:p>
    <w:p>
      <w:pPr>
        <w:pStyle w:val="6"/>
        <w:autoSpaceDE w:val="0"/>
        <w:autoSpaceDN w:val="0"/>
        <w:spacing w:line="360" w:lineRule="auto"/>
        <w:outlineLvl w:val="1"/>
      </w:pPr>
      <w:bookmarkStart w:id="5" w:name="_Toc19370"/>
      <w:r>
        <w:rPr>
          <w:rFonts w:hint="eastAsia"/>
          <w:b/>
          <w:bCs/>
          <w:lang w:val="en-US" w:eastAsia="zh-CN"/>
        </w:rPr>
        <w:t>5</w:t>
      </w:r>
      <w:r>
        <w:rPr>
          <w:rFonts w:hint="eastAsia"/>
          <w:b/>
          <w:bCs/>
        </w:rPr>
        <w:t>.3 项目变更</w:t>
      </w:r>
      <w:bookmarkEnd w:id="5"/>
    </w:p>
    <w:p>
      <w:pPr>
        <w:pStyle w:val="20"/>
        <w:numPr>
          <w:ilvl w:val="0"/>
          <w:numId w:val="0"/>
        </w:numPr>
        <w:autoSpaceDE w:val="0"/>
        <w:autoSpaceDN w:val="0"/>
        <w:rPr>
          <w:rFonts w:hAnsi="宋体" w:cs="宋体"/>
          <w:lang w:eastAsia="en-US"/>
        </w:rPr>
      </w:pPr>
      <w:r>
        <w:rPr>
          <w:rFonts w:hint="eastAsia" w:cs="宋体"/>
          <w:lang w:val="en-US" w:eastAsia="zh-CN"/>
        </w:rPr>
        <w:t>5</w:t>
      </w:r>
      <w:r>
        <w:rPr>
          <w:rFonts w:hint="eastAsia" w:cs="宋体"/>
        </w:rPr>
        <w:t>.3</w:t>
      </w:r>
      <w:r>
        <w:rPr>
          <w:rFonts w:hint="eastAsia" w:hAnsi="宋体" w:cs="宋体"/>
        </w:rPr>
        <w:t xml:space="preserve">.1 </w:t>
      </w:r>
      <w:r>
        <w:rPr>
          <w:rFonts w:hint="eastAsia" w:hAnsi="宋体" w:cs="宋体"/>
          <w:lang w:eastAsia="en-US"/>
        </w:rPr>
        <w:t>如果发现</w:t>
      </w:r>
      <w:r>
        <w:rPr>
          <w:rFonts w:hint="eastAsia" w:hAnsi="宋体" w:cs="宋体"/>
          <w:lang w:eastAsia="zh-CN"/>
        </w:rPr>
        <w:t>进度滞后或</w:t>
      </w:r>
      <w:r>
        <w:rPr>
          <w:rFonts w:hint="eastAsia" w:hAnsi="宋体" w:cs="宋体"/>
          <w:lang w:eastAsia="en-US"/>
        </w:rPr>
        <w:t>已严重影响质量和进度，中标人必须事先取得</w:t>
      </w:r>
      <w:r>
        <w:rPr>
          <w:rFonts w:hint="eastAsia" w:hAnsi="宋体" w:cs="宋体"/>
          <w:lang w:eastAsia="zh-CN"/>
        </w:rPr>
        <w:t>采购方</w:t>
      </w:r>
      <w:r>
        <w:rPr>
          <w:rFonts w:hint="eastAsia" w:hAnsi="宋体" w:cs="宋体"/>
          <w:lang w:eastAsia="en-US"/>
        </w:rPr>
        <w:t>的同意才能做出调整。</w:t>
      </w:r>
    </w:p>
    <w:p>
      <w:pPr>
        <w:pStyle w:val="20"/>
        <w:numPr>
          <w:ilvl w:val="0"/>
          <w:numId w:val="0"/>
        </w:numPr>
        <w:autoSpaceDE w:val="0"/>
        <w:autoSpaceDN w:val="0"/>
        <w:rPr>
          <w:lang w:eastAsia="en-US"/>
        </w:rPr>
      </w:pPr>
      <w:r>
        <w:rPr>
          <w:rFonts w:hint="eastAsia" w:cs="宋体"/>
          <w:lang w:val="en-US" w:eastAsia="zh-CN"/>
        </w:rPr>
        <w:t>5</w:t>
      </w:r>
      <w:r>
        <w:rPr>
          <w:rFonts w:hint="eastAsia" w:cs="宋体"/>
        </w:rPr>
        <w:t>.3</w:t>
      </w:r>
      <w:r>
        <w:rPr>
          <w:rFonts w:hint="eastAsia" w:hAnsi="宋体" w:cs="宋体"/>
        </w:rPr>
        <w:t xml:space="preserve">.2 </w:t>
      </w:r>
      <w:r>
        <w:rPr>
          <w:rFonts w:hint="eastAsia" w:hAnsi="宋体" w:cs="宋体"/>
          <w:lang w:eastAsia="zh-CN"/>
        </w:rPr>
        <w:t>采购方</w:t>
      </w:r>
      <w:r>
        <w:rPr>
          <w:rFonts w:hint="eastAsia" w:hAnsi="宋体" w:cs="宋体"/>
          <w:lang w:eastAsia="en-US"/>
        </w:rPr>
        <w:t>可以根据</w:t>
      </w:r>
      <w:r>
        <w:rPr>
          <w:rFonts w:hint="eastAsia" w:hAnsi="宋体" w:cs="宋体"/>
        </w:rPr>
        <w:t>项目</w:t>
      </w:r>
      <w:r>
        <w:rPr>
          <w:rFonts w:hint="eastAsia" w:hAnsi="宋体" w:cs="宋体"/>
          <w:lang w:eastAsia="en-US"/>
        </w:rPr>
        <w:t>的实际情况向中标人发出更改通知，包括增加或减少</w:t>
      </w:r>
      <w:r>
        <w:rPr>
          <w:rFonts w:hint="eastAsia" w:hAnsi="宋体" w:cs="宋体"/>
          <w:lang w:eastAsia="zh-CN"/>
        </w:rPr>
        <w:t>成果文件</w:t>
      </w:r>
      <w:r>
        <w:rPr>
          <w:rFonts w:hint="eastAsia" w:hAnsi="宋体" w:cs="宋体"/>
          <w:lang w:eastAsia="en-US"/>
        </w:rPr>
        <w:t>，中标人应在招标方的要求的期限内完成修改工作。</w:t>
      </w:r>
    </w:p>
    <w:p>
      <w:pPr>
        <w:widowControl/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bookmarkStart w:id="6" w:name="_bookmark18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30843A"/>
    <w:multiLevelType w:val="singleLevel"/>
    <w:tmpl w:val="883084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EACAB02"/>
    <w:multiLevelType w:val="singleLevel"/>
    <w:tmpl w:val="9EACAB0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20661E3"/>
    <w:multiLevelType w:val="multilevel"/>
    <w:tmpl w:val="020661E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 w:tentative="0">
      <w:start w:val="1"/>
      <w:numFmt w:val="decimal"/>
      <w:pStyle w:val="20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19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0595501A"/>
    <w:multiLevelType w:val="multilevel"/>
    <w:tmpl w:val="0595501A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abstractNum w:abstractNumId="4">
    <w:nsid w:val="24F21445"/>
    <w:multiLevelType w:val="multilevel"/>
    <w:tmpl w:val="24F21445"/>
    <w:lvl w:ilvl="0" w:tentative="0">
      <w:start w:val="1"/>
      <w:numFmt w:val="decimal"/>
      <w:lvlText w:val="%1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5">
    <w:nsid w:val="509C492B"/>
    <w:multiLevelType w:val="singleLevel"/>
    <w:tmpl w:val="509C492B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6C746E51"/>
    <w:multiLevelType w:val="multilevel"/>
    <w:tmpl w:val="6C746E51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 w:ascii="Times New Roman" w:hAnsi="Times New Roman"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 w:ascii="Times New Roman" w:hAnsi="Times New Roman" w:cs="Times New Roman"/>
        <w:sz w:val="28"/>
        <w:szCs w:val="28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  <w:lvlOverride w:ilvl="2">
      <w:startOverride w:val="1"/>
    </w:lvlOverride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858"/>
    <w:rsid w:val="00063743"/>
    <w:rsid w:val="00216484"/>
    <w:rsid w:val="00236BD9"/>
    <w:rsid w:val="002435B9"/>
    <w:rsid w:val="00296165"/>
    <w:rsid w:val="002D7252"/>
    <w:rsid w:val="00344356"/>
    <w:rsid w:val="00363296"/>
    <w:rsid w:val="00382C95"/>
    <w:rsid w:val="00390863"/>
    <w:rsid w:val="003B6329"/>
    <w:rsid w:val="004015F1"/>
    <w:rsid w:val="00407A95"/>
    <w:rsid w:val="00446AFA"/>
    <w:rsid w:val="004A2CC8"/>
    <w:rsid w:val="004A6891"/>
    <w:rsid w:val="004B7B34"/>
    <w:rsid w:val="004C6159"/>
    <w:rsid w:val="00545DDC"/>
    <w:rsid w:val="005D0AB0"/>
    <w:rsid w:val="005F11AF"/>
    <w:rsid w:val="00685E06"/>
    <w:rsid w:val="006956ED"/>
    <w:rsid w:val="007561E8"/>
    <w:rsid w:val="007B3B5C"/>
    <w:rsid w:val="007E4512"/>
    <w:rsid w:val="00810622"/>
    <w:rsid w:val="0086020D"/>
    <w:rsid w:val="00872FBA"/>
    <w:rsid w:val="00883950"/>
    <w:rsid w:val="008C0AAD"/>
    <w:rsid w:val="008E03BF"/>
    <w:rsid w:val="0092573C"/>
    <w:rsid w:val="00935AC7"/>
    <w:rsid w:val="00944BEB"/>
    <w:rsid w:val="00960858"/>
    <w:rsid w:val="009B37E7"/>
    <w:rsid w:val="00A86892"/>
    <w:rsid w:val="00AA361F"/>
    <w:rsid w:val="00AA465B"/>
    <w:rsid w:val="00AA5F68"/>
    <w:rsid w:val="00B5100F"/>
    <w:rsid w:val="00B73B24"/>
    <w:rsid w:val="00BB5FB3"/>
    <w:rsid w:val="00BD5244"/>
    <w:rsid w:val="00C25621"/>
    <w:rsid w:val="00C25937"/>
    <w:rsid w:val="00C6303E"/>
    <w:rsid w:val="00D67F73"/>
    <w:rsid w:val="00D93081"/>
    <w:rsid w:val="00EA47B5"/>
    <w:rsid w:val="00EC7306"/>
    <w:rsid w:val="00ED1399"/>
    <w:rsid w:val="00FB1C9D"/>
    <w:rsid w:val="020A3944"/>
    <w:rsid w:val="02CB5962"/>
    <w:rsid w:val="03C5248D"/>
    <w:rsid w:val="03E6403C"/>
    <w:rsid w:val="04482921"/>
    <w:rsid w:val="061823E1"/>
    <w:rsid w:val="06B44060"/>
    <w:rsid w:val="06FA2B70"/>
    <w:rsid w:val="074441C3"/>
    <w:rsid w:val="07DB08A3"/>
    <w:rsid w:val="085B5A3D"/>
    <w:rsid w:val="087C2380"/>
    <w:rsid w:val="09106241"/>
    <w:rsid w:val="095264E2"/>
    <w:rsid w:val="096C71A8"/>
    <w:rsid w:val="09757068"/>
    <w:rsid w:val="0995039B"/>
    <w:rsid w:val="0C3340AD"/>
    <w:rsid w:val="0C394434"/>
    <w:rsid w:val="0C797EE3"/>
    <w:rsid w:val="0DBF35B1"/>
    <w:rsid w:val="0F17420B"/>
    <w:rsid w:val="0F367E36"/>
    <w:rsid w:val="0FFE478E"/>
    <w:rsid w:val="10A127E7"/>
    <w:rsid w:val="11A80BF2"/>
    <w:rsid w:val="11DF4CA6"/>
    <w:rsid w:val="11E75C1A"/>
    <w:rsid w:val="130F571A"/>
    <w:rsid w:val="149C38DF"/>
    <w:rsid w:val="15030414"/>
    <w:rsid w:val="15FA2D82"/>
    <w:rsid w:val="16794C9A"/>
    <w:rsid w:val="170B2846"/>
    <w:rsid w:val="172637E2"/>
    <w:rsid w:val="19C3683C"/>
    <w:rsid w:val="1B496533"/>
    <w:rsid w:val="1B4E1F0A"/>
    <w:rsid w:val="1BC20750"/>
    <w:rsid w:val="1C45626D"/>
    <w:rsid w:val="1C603E34"/>
    <w:rsid w:val="1D134DFD"/>
    <w:rsid w:val="1D771891"/>
    <w:rsid w:val="1F107EB2"/>
    <w:rsid w:val="1FB33E5F"/>
    <w:rsid w:val="1FD554D6"/>
    <w:rsid w:val="21B77C01"/>
    <w:rsid w:val="22D000E4"/>
    <w:rsid w:val="26875F2A"/>
    <w:rsid w:val="27CE4CD6"/>
    <w:rsid w:val="29520641"/>
    <w:rsid w:val="29675BA0"/>
    <w:rsid w:val="29ED6215"/>
    <w:rsid w:val="2A746170"/>
    <w:rsid w:val="2A973C28"/>
    <w:rsid w:val="2AD663C8"/>
    <w:rsid w:val="2B7D14F5"/>
    <w:rsid w:val="2BB26BDA"/>
    <w:rsid w:val="2CD9330E"/>
    <w:rsid w:val="2D276DF4"/>
    <w:rsid w:val="2E260369"/>
    <w:rsid w:val="2EA6655F"/>
    <w:rsid w:val="2F574FE7"/>
    <w:rsid w:val="2F5A3171"/>
    <w:rsid w:val="31F67BFF"/>
    <w:rsid w:val="326251C0"/>
    <w:rsid w:val="3296385E"/>
    <w:rsid w:val="33427A3A"/>
    <w:rsid w:val="34940142"/>
    <w:rsid w:val="34AA13D4"/>
    <w:rsid w:val="34C5580E"/>
    <w:rsid w:val="36667607"/>
    <w:rsid w:val="369B7D23"/>
    <w:rsid w:val="36CA7F65"/>
    <w:rsid w:val="37B5325B"/>
    <w:rsid w:val="37DB2CF5"/>
    <w:rsid w:val="386110FD"/>
    <w:rsid w:val="397D6ABE"/>
    <w:rsid w:val="398F5B14"/>
    <w:rsid w:val="39FA366B"/>
    <w:rsid w:val="3AD14A79"/>
    <w:rsid w:val="3DDC6C51"/>
    <w:rsid w:val="3E0D5C33"/>
    <w:rsid w:val="3FCC3B0E"/>
    <w:rsid w:val="400F3C63"/>
    <w:rsid w:val="40830AAD"/>
    <w:rsid w:val="410B2B00"/>
    <w:rsid w:val="421D1EEE"/>
    <w:rsid w:val="4263151C"/>
    <w:rsid w:val="43A746F5"/>
    <w:rsid w:val="454A5047"/>
    <w:rsid w:val="45875A61"/>
    <w:rsid w:val="46CF7A2B"/>
    <w:rsid w:val="48FF69D4"/>
    <w:rsid w:val="495751C5"/>
    <w:rsid w:val="4AF2622F"/>
    <w:rsid w:val="4BA3441D"/>
    <w:rsid w:val="4C3F6C40"/>
    <w:rsid w:val="4D094060"/>
    <w:rsid w:val="4E11186C"/>
    <w:rsid w:val="4F24633C"/>
    <w:rsid w:val="502E4614"/>
    <w:rsid w:val="50B61A25"/>
    <w:rsid w:val="50CA2BBB"/>
    <w:rsid w:val="5157371E"/>
    <w:rsid w:val="51815408"/>
    <w:rsid w:val="52097FCE"/>
    <w:rsid w:val="52505D25"/>
    <w:rsid w:val="52627A5E"/>
    <w:rsid w:val="534B7E1C"/>
    <w:rsid w:val="55230DC9"/>
    <w:rsid w:val="55445D40"/>
    <w:rsid w:val="56AB31B8"/>
    <w:rsid w:val="580D6DE8"/>
    <w:rsid w:val="5817461E"/>
    <w:rsid w:val="58957F10"/>
    <w:rsid w:val="58A21BAC"/>
    <w:rsid w:val="59626ED7"/>
    <w:rsid w:val="5A1F1FF3"/>
    <w:rsid w:val="5A6610BD"/>
    <w:rsid w:val="5A9A4028"/>
    <w:rsid w:val="5AE21126"/>
    <w:rsid w:val="5E1E6390"/>
    <w:rsid w:val="5F1977C9"/>
    <w:rsid w:val="5F521500"/>
    <w:rsid w:val="5FCC6348"/>
    <w:rsid w:val="60870332"/>
    <w:rsid w:val="608C0592"/>
    <w:rsid w:val="61374E2E"/>
    <w:rsid w:val="620923E1"/>
    <w:rsid w:val="62CB2465"/>
    <w:rsid w:val="63252C59"/>
    <w:rsid w:val="638F69F4"/>
    <w:rsid w:val="66024216"/>
    <w:rsid w:val="66B952D2"/>
    <w:rsid w:val="66DE235D"/>
    <w:rsid w:val="671561F4"/>
    <w:rsid w:val="67C84A62"/>
    <w:rsid w:val="68383DE5"/>
    <w:rsid w:val="686734EA"/>
    <w:rsid w:val="68C902FF"/>
    <w:rsid w:val="694D37AA"/>
    <w:rsid w:val="69791803"/>
    <w:rsid w:val="69FE18D0"/>
    <w:rsid w:val="6B3E372B"/>
    <w:rsid w:val="6C481A4B"/>
    <w:rsid w:val="6CBE407E"/>
    <w:rsid w:val="6CC439DD"/>
    <w:rsid w:val="6D1C7F0C"/>
    <w:rsid w:val="719B5B88"/>
    <w:rsid w:val="73241C92"/>
    <w:rsid w:val="74105697"/>
    <w:rsid w:val="746F5176"/>
    <w:rsid w:val="75037939"/>
    <w:rsid w:val="75414A59"/>
    <w:rsid w:val="75DD5577"/>
    <w:rsid w:val="75EB6D65"/>
    <w:rsid w:val="76E50B96"/>
    <w:rsid w:val="771E2D22"/>
    <w:rsid w:val="77AB28FA"/>
    <w:rsid w:val="78E34B8A"/>
    <w:rsid w:val="79451F3A"/>
    <w:rsid w:val="79597D51"/>
    <w:rsid w:val="79E00382"/>
    <w:rsid w:val="7A496689"/>
    <w:rsid w:val="7BF0061E"/>
    <w:rsid w:val="7D0867E1"/>
    <w:rsid w:val="7DEF1EC9"/>
    <w:rsid w:val="7E50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3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rFonts w:ascii="宋体" w:hAnsi="宋体" w:eastAsia="宋体" w:cs="宋体"/>
      <w:sz w:val="24"/>
      <w:szCs w:val="24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FollowedHyperlink"/>
    <w:basedOn w:val="10"/>
    <w:semiHidden/>
    <w:unhideWhenUsed/>
    <w:qFormat/>
    <w:uiPriority w:val="99"/>
    <w:rPr>
      <w:color w:val="800080"/>
      <w:u w:val="single"/>
    </w:rPr>
  </w:style>
  <w:style w:type="character" w:styleId="12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3">
    <w:name w:val="页眉 Char"/>
    <w:basedOn w:val="10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7"/>
    <w:qFormat/>
    <w:uiPriority w:val="99"/>
    <w:rPr>
      <w:sz w:val="18"/>
      <w:szCs w:val="18"/>
    </w:rPr>
  </w:style>
  <w:style w:type="paragraph" w:customStyle="1" w:styleId="15">
    <w:name w:val="封面一级标题文字"/>
    <w:basedOn w:val="1"/>
    <w:link w:val="72"/>
    <w:semiHidden/>
    <w:qFormat/>
    <w:uiPriority w:val="0"/>
    <w:pPr>
      <w:spacing w:line="640" w:lineRule="exact"/>
      <w:jc w:val="center"/>
    </w:pPr>
    <w:rPr>
      <w:rFonts w:ascii="黑体" w:hAnsi="黑体" w:eastAsia="黑体" w:cs="Times New Roman"/>
      <w:b/>
      <w:bCs/>
      <w:sz w:val="52"/>
      <w:szCs w:val="24"/>
    </w:rPr>
  </w:style>
  <w:style w:type="paragraph" w:styleId="16">
    <w:name w:val="List Paragraph"/>
    <w:basedOn w:val="1"/>
    <w:qFormat/>
    <w:uiPriority w:val="0"/>
    <w:pPr>
      <w:ind w:firstLine="420" w:firstLineChars="200"/>
    </w:pPr>
  </w:style>
  <w:style w:type="character" w:customStyle="1" w:styleId="17">
    <w:name w:val="标题 1 Char"/>
    <w:basedOn w:val="10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样式2 Char"/>
    <w:link w:val="19"/>
    <w:qFormat/>
    <w:uiPriority w:val="0"/>
    <w:rPr>
      <w:rFonts w:ascii="宋体"/>
      <w:sz w:val="24"/>
      <w:szCs w:val="24"/>
    </w:rPr>
  </w:style>
  <w:style w:type="paragraph" w:customStyle="1" w:styleId="19">
    <w:name w:val="样式2"/>
    <w:basedOn w:val="1"/>
    <w:link w:val="18"/>
    <w:qFormat/>
    <w:uiPriority w:val="0"/>
    <w:pPr>
      <w:numPr>
        <w:ilvl w:val="3"/>
        <w:numId w:val="2"/>
      </w:numPr>
      <w:spacing w:line="360" w:lineRule="auto"/>
    </w:pPr>
    <w:rPr>
      <w:rFonts w:ascii="宋体"/>
      <w:sz w:val="24"/>
      <w:szCs w:val="24"/>
    </w:rPr>
  </w:style>
  <w:style w:type="paragraph" w:customStyle="1" w:styleId="20">
    <w:name w:val="样式1"/>
    <w:basedOn w:val="1"/>
    <w:link w:val="69"/>
    <w:qFormat/>
    <w:uiPriority w:val="0"/>
    <w:pPr>
      <w:numPr>
        <w:ilvl w:val="2"/>
        <w:numId w:val="2"/>
      </w:numPr>
      <w:spacing w:line="360" w:lineRule="auto"/>
    </w:pPr>
    <w:rPr>
      <w:rFonts w:ascii="宋体" w:hAnsi="Times New Roman" w:eastAsia="宋体" w:cs="Times New Roman"/>
      <w:sz w:val="24"/>
      <w:szCs w:val="24"/>
    </w:rPr>
  </w:style>
  <w:style w:type="character" w:customStyle="1" w:styleId="21">
    <w:name w:val="标题 2 Char"/>
    <w:basedOn w:val="10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2">
    <w:name w:val="标题 3 Char"/>
    <w:basedOn w:val="10"/>
    <w:link w:val="4"/>
    <w:semiHidden/>
    <w:qFormat/>
    <w:uiPriority w:val="9"/>
    <w:rPr>
      <w:b/>
      <w:bCs/>
      <w:sz w:val="32"/>
      <w:szCs w:val="32"/>
    </w:rPr>
  </w:style>
  <w:style w:type="character" w:customStyle="1" w:styleId="23">
    <w:name w:val="标题 4 Char"/>
    <w:basedOn w:val="10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24">
    <w:name w:val="font5"/>
    <w:basedOn w:val="1"/>
    <w:link w:val="70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20"/>
      <w:szCs w:val="20"/>
    </w:rPr>
  </w:style>
  <w:style w:type="paragraph" w:customStyle="1" w:styleId="26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b/>
      <w:bCs/>
      <w:kern w:val="0"/>
      <w:sz w:val="20"/>
      <w:szCs w:val="20"/>
    </w:rPr>
  </w:style>
  <w:style w:type="paragraph" w:customStyle="1" w:styleId="27">
    <w:name w:val="font8"/>
    <w:basedOn w:val="1"/>
    <w:link w:val="7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b/>
      <w:bCs/>
      <w:kern w:val="0"/>
      <w:sz w:val="18"/>
      <w:szCs w:val="18"/>
    </w:rPr>
  </w:style>
  <w:style w:type="paragraph" w:customStyle="1" w:styleId="28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9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2"/>
    </w:rPr>
  </w:style>
  <w:style w:type="paragraph" w:customStyle="1" w:styleId="30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31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32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33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3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3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eastAsia="宋体" w:cs="宋体"/>
      <w:kern w:val="0"/>
      <w:sz w:val="20"/>
      <w:szCs w:val="20"/>
    </w:rPr>
  </w:style>
  <w:style w:type="paragraph" w:customStyle="1" w:styleId="37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8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1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等线" w:hAnsi="等线" w:eastAsia="等线" w:cs="宋体"/>
      <w:kern w:val="0"/>
      <w:sz w:val="24"/>
      <w:szCs w:val="24"/>
    </w:rPr>
  </w:style>
  <w:style w:type="paragraph" w:customStyle="1" w:styleId="42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24"/>
      <w:szCs w:val="24"/>
    </w:rPr>
  </w:style>
  <w:style w:type="paragraph" w:customStyle="1" w:styleId="43">
    <w:name w:val="xl7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44">
    <w:name w:val="xl7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45">
    <w:name w:val="xl8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6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20"/>
      <w:szCs w:val="20"/>
    </w:rPr>
  </w:style>
  <w:style w:type="paragraph" w:customStyle="1" w:styleId="47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20"/>
      <w:szCs w:val="20"/>
    </w:rPr>
  </w:style>
  <w:style w:type="paragraph" w:customStyle="1" w:styleId="4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49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50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51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52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53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54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eastAsia="宋体" w:cs="宋体"/>
      <w:kern w:val="0"/>
      <w:sz w:val="20"/>
      <w:szCs w:val="20"/>
    </w:rPr>
  </w:style>
  <w:style w:type="paragraph" w:customStyle="1" w:styleId="55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56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5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58">
    <w:name w:val="xl9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59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60">
    <w:name w:val="xl9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24"/>
      <w:szCs w:val="24"/>
    </w:rPr>
  </w:style>
  <w:style w:type="paragraph" w:customStyle="1" w:styleId="61">
    <w:name w:val="xl9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62">
    <w:name w:val="xl9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eastAsia="宋体" w:cs="宋体"/>
      <w:kern w:val="0"/>
      <w:szCs w:val="21"/>
    </w:rPr>
  </w:style>
  <w:style w:type="paragraph" w:customStyle="1" w:styleId="63">
    <w:name w:val="xl98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64">
    <w:name w:val="xl99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65">
    <w:name w:val="xl10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66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等线" w:hAnsi="等线" w:eastAsia="等线" w:cs="宋体"/>
      <w:kern w:val="0"/>
      <w:sz w:val="24"/>
      <w:szCs w:val="24"/>
    </w:rPr>
  </w:style>
  <w:style w:type="paragraph" w:customStyle="1" w:styleId="67">
    <w:name w:val="xl10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等线" w:hAnsi="等线" w:eastAsia="等线" w:cs="宋体"/>
      <w:kern w:val="0"/>
      <w:sz w:val="24"/>
      <w:szCs w:val="24"/>
    </w:rPr>
  </w:style>
  <w:style w:type="paragraph" w:customStyle="1" w:styleId="68">
    <w:name w:val="xl10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character" w:customStyle="1" w:styleId="69">
    <w:name w:val="样式1 Char"/>
    <w:link w:val="20"/>
    <w:qFormat/>
    <w:uiPriority w:val="0"/>
    <w:rPr>
      <w:rFonts w:ascii="宋体" w:hAnsi="Times New Roman" w:eastAsia="宋体" w:cs="Times New Roman"/>
      <w:sz w:val="24"/>
      <w:szCs w:val="24"/>
    </w:rPr>
  </w:style>
  <w:style w:type="character" w:customStyle="1" w:styleId="70">
    <w:name w:val="font5 Char"/>
    <w:link w:val="24"/>
    <w:qFormat/>
    <w:uiPriority w:val="0"/>
    <w:rPr>
      <w:rFonts w:ascii="宋体" w:hAnsi="宋体" w:eastAsia="宋体" w:cs="宋体"/>
      <w:kern w:val="0"/>
      <w:sz w:val="20"/>
      <w:szCs w:val="20"/>
    </w:rPr>
  </w:style>
  <w:style w:type="character" w:customStyle="1" w:styleId="71">
    <w:name w:val="font8 Char"/>
    <w:link w:val="27"/>
    <w:qFormat/>
    <w:uiPriority w:val="0"/>
    <w:rPr>
      <w:rFonts w:ascii="宋体" w:hAnsi="宋体" w:eastAsia="宋体" w:cs="宋体"/>
      <w:b/>
      <w:bCs/>
      <w:kern w:val="0"/>
      <w:sz w:val="18"/>
      <w:szCs w:val="18"/>
    </w:rPr>
  </w:style>
  <w:style w:type="character" w:customStyle="1" w:styleId="72">
    <w:name w:val="封面一级标题文字 Char"/>
    <w:link w:val="15"/>
    <w:qFormat/>
    <w:uiPriority w:val="0"/>
    <w:rPr>
      <w:rFonts w:ascii="黑体" w:hAnsi="黑体" w:eastAsia="黑体" w:cs="Times New Roman"/>
      <w:b/>
      <w:bCs/>
      <w:sz w:val="5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26637-F2FF-44DB-9E6F-9361AE85E47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11288</Words>
  <Characters>2199</Characters>
  <Lines>18</Lines>
  <Paragraphs>26</Paragraphs>
  <TotalTime>7</TotalTime>
  <ScaleCrop>false</ScaleCrop>
  <LinksUpToDate>false</LinksUpToDate>
  <CharactersWithSpaces>13461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2021-04-29T08:13:00Z</dcterms:created>
  <dc:creator>Microsoft 帐户</dc:creator>
  <cp:lastModifiedBy>梁健桢</cp:lastModifiedBy>
  <dcterms:modified xsi:type="dcterms:W3CDTF">2026-03-30T07:05:12Z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C138A0CDCE294FBBA7752957BD833F8C</vt:lpwstr>
  </property>
</Properties>
</file>