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18469">
      <w:pPr>
        <w:pStyle w:val="2"/>
        <w:spacing w:before="420" w:beforeAutospacing="0" w:after="315" w:afterAutospacing="0" w:line="42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000000"/>
          <w:sz w:val="36"/>
          <w:szCs w:val="36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6"/>
          <w:szCs w:val="36"/>
          <w:highlight w:val="none"/>
        </w:rPr>
        <w:t>2024年输电管理二所500kV南邕乙线#091至#097塔锈蚀架空地线更换项目跨越G7201南宁市绕城高速公路安全监护技术服务采购规范书</w:t>
      </w:r>
    </w:p>
    <w:p w14:paraId="27C638EC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一、项目概况</w:t>
      </w:r>
    </w:p>
    <w:p w14:paraId="2A1D19BD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1.1 项目背景</w:t>
      </w:r>
    </w:p>
    <w:p w14:paraId="0626E8AE">
      <w:pPr>
        <w:spacing w:before="0" w:beforeAutospacing="0" w:after="105" w:afterAutospacing="0" w:line="42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500kV南邕乙线是广西主电网重要输电通道，#091至#097塔段架空地线出现严重锈蚀，存在断线风险，需实施整体更换作业。该段线路跨越G7201南宁市绕城高速公路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K11＋300m至K11＋600m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段，属于电力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“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三跨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”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（跨公路、跨铁路、跨重要输电通道）高风险作业场景，为保障施工期间高速公路通行安全、施工安全，需采购专业安全监护技术服务。</w:t>
      </w:r>
    </w:p>
    <w:p w14:paraId="0629BC48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1.2 作业内容与周期</w:t>
      </w:r>
    </w:p>
    <w:p w14:paraId="1741E8BB">
      <w:pPr>
        <w:numPr>
          <w:ilvl w:val="0"/>
          <w:numId w:val="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核心作业：500kV南邕乙线#091至#097塔段旧地线拆除、新地线展放、附件安装，跨越段采用封网作业保护</w:t>
      </w:r>
    </w:p>
    <w:p w14:paraId="45DD70D6">
      <w:pPr>
        <w:numPr>
          <w:ilvl w:val="0"/>
          <w:numId w:val="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计划工期：202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日至202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17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日，总工期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11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天，其中跨越段封网、展放作业集中在202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日至202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16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日天</w:t>
      </w:r>
    </w:p>
    <w:p w14:paraId="05096898">
      <w:pPr>
        <w:numPr>
          <w:ilvl w:val="0"/>
          <w:numId w:val="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服务地点：G7201南宁市绕城高速公路对应跨越段及两侧施工区域</w:t>
      </w:r>
    </w:p>
    <w:p w14:paraId="3B6D0EDF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二、编制依据</w:t>
      </w:r>
    </w:p>
    <w:p w14:paraId="5F7C741C">
      <w:pPr>
        <w:spacing w:before="0" w:beforeAutospacing="0" w:after="105" w:afterAutospacing="0" w:line="42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本规范书编制严格遵循以下法律法规、行业标准及管理要求：</w:t>
      </w:r>
    </w:p>
    <w:p w14:paraId="512480FC">
      <w:pPr>
        <w:numPr>
          <w:ilvl w:val="0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法律法规层：</w:t>
      </w:r>
    </w:p>
    <w:p w14:paraId="4B7BB6B5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《中华人民共和国安全生产法》（2021修订）</w:t>
      </w:r>
    </w:p>
    <w:p w14:paraId="3424B916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《中华人民共和国电力法》（2015修订）</w:t>
      </w:r>
    </w:p>
    <w:p w14:paraId="2CBFE000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《公路安全保护条例》</w:t>
      </w:r>
    </w:p>
    <w:p w14:paraId="64E5E1C8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《电力安全事故应急处置和调查处理条例》</w:t>
      </w:r>
    </w:p>
    <w:p w14:paraId="23A5BD73">
      <w:pPr>
        <w:numPr>
          <w:ilvl w:val="0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国家标准层：</w:t>
      </w:r>
    </w:p>
    <w:p w14:paraId="23ADCBFA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GB 26859-2011 《电力安全工作规程 电力线路部分》</w:t>
      </w:r>
    </w:p>
    <w:p w14:paraId="5C767EE6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GB 50545-2010 《110kV～750kV架空输电线路设计规范》</w:t>
      </w:r>
    </w:p>
    <w:p w14:paraId="3F339DD0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GB/T 38755-2019 《电力系统安全稳定导则》</w:t>
      </w:r>
    </w:p>
    <w:p w14:paraId="26DC7CD1">
      <w:pPr>
        <w:numPr>
          <w:ilvl w:val="0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行业标准层：</w:t>
      </w:r>
    </w:p>
    <w:p w14:paraId="19E3E986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DL/T 5092-1999 《110～500kV架空送电线路设计技术规程》</w:t>
      </w:r>
    </w:p>
    <w:p w14:paraId="364A3297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DL/T 620-1997 《交流电气装置的过电压保护和绝缘配合》</w:t>
      </w:r>
    </w:p>
    <w:p w14:paraId="638472DA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国家能源局《电力建设施工安全监督管理办法》</w:t>
      </w:r>
    </w:p>
    <w:p w14:paraId="33BF07AF">
      <w:pPr>
        <w:numPr>
          <w:ilvl w:val="0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地方与企业要求：</w:t>
      </w:r>
    </w:p>
    <w:p w14:paraId="12F529AE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广西壮族自治区高速公路管理部门涉路施工许可要求</w:t>
      </w:r>
    </w:p>
    <w:p w14:paraId="168C8A71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南方电网《输电线路跨越施工安全管控指南》</w:t>
      </w:r>
    </w:p>
    <w:p w14:paraId="08009651">
      <w:pPr>
        <w:numPr>
          <w:ilvl w:val="1"/>
          <w:numId w:val="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南宁供电局《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“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三跨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”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作业安全管理实施细则》</w:t>
      </w:r>
    </w:p>
    <w:p w14:paraId="536336A8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三、服务范围与核心内容</w:t>
      </w:r>
    </w:p>
    <w:p w14:paraId="2B2E7A12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3.1 服务覆盖范围</w:t>
      </w:r>
    </w:p>
    <w:p w14:paraId="04912E49">
      <w:pPr>
        <w:numPr>
          <w:ilvl w:val="0"/>
          <w:numId w:val="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跨越段高速公路两侧警戒区、施工区域的全程安全监护</w:t>
      </w:r>
    </w:p>
    <w:p w14:paraId="79BB2711">
      <w:pPr>
        <w:numPr>
          <w:ilvl w:val="0"/>
          <w:numId w:val="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涉路施工许可手续协办、交通导改方案落地执行</w:t>
      </w:r>
    </w:p>
    <w:p w14:paraId="17BC574C">
      <w:pPr>
        <w:numPr>
          <w:ilvl w:val="0"/>
          <w:numId w:val="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施工全周期（准备阶段、作业阶段、收尾阶段）的安全管控</w:t>
      </w:r>
    </w:p>
    <w:p w14:paraId="31FE9C83">
      <w:pPr>
        <w:numPr>
          <w:ilvl w:val="0"/>
          <w:numId w:val="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突发应急事件的现场处置与联动协调</w:t>
      </w:r>
    </w:p>
    <w:p w14:paraId="15782DF1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3.2 具体服务内容</w:t>
      </w:r>
    </w:p>
    <w:p w14:paraId="257C244E">
      <w:pPr>
        <w:pStyle w:val="5"/>
        <w:spacing w:before="105" w:beforeAutospacing="0" w:after="63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  <w:t>（1）前期准备阶段</w:t>
      </w:r>
    </w:p>
    <w:p w14:paraId="20160EE4">
      <w:pPr>
        <w:numPr>
          <w:ilvl w:val="0"/>
          <w:numId w:val="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协助施工单位完成高速公路涉路施工许可申报材料编制、对接交通管理部门完成审批</w:t>
      </w:r>
    </w:p>
    <w:p w14:paraId="26972888">
      <w:pPr>
        <w:numPr>
          <w:ilvl w:val="0"/>
          <w:numId w:val="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开展跨越段现场风险勘测，编制交通组织方案，经供电、交通管理部门双审批通过</w:t>
      </w:r>
    </w:p>
    <w:p w14:paraId="681BFCD3">
      <w:pPr>
        <w:numPr>
          <w:ilvl w:val="0"/>
          <w:numId w:val="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对施工人员、监护人员开展专项安全培训与交底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。</w:t>
      </w:r>
    </w:p>
    <w:p w14:paraId="118AF399">
      <w:pPr>
        <w:pStyle w:val="5"/>
        <w:spacing w:before="105" w:beforeAutospacing="0" w:after="63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  <w:t>（2）作业实施阶段</w:t>
      </w:r>
    </w:p>
    <w:p w14:paraId="12688A23">
      <w:pPr>
        <w:numPr>
          <w:ilvl w:val="0"/>
          <w:numId w:val="5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24小时现场值守监护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：跨越作业期间，在高速公路两侧管控点、跨越塔作业点各配备专职安全员，对道路通行状态全程监控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。</w:t>
      </w:r>
    </w:p>
    <w:p w14:paraId="6FA23172">
      <w:pPr>
        <w:numPr>
          <w:ilvl w:val="0"/>
          <w:numId w:val="5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333333"/>
          <w:sz w:val="24"/>
          <w:szCs w:val="24"/>
          <w:highlight w:val="none"/>
        </w:rPr>
        <w:t>作业时段交通管控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封网过线、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地线展放、旧线拆除等关键作业时段，配合交通管理部门实施临时交通引导、限速管控，必要时实施短时间临时封路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。</w:t>
      </w:r>
    </w:p>
    <w:p w14:paraId="198E4C16">
      <w:pPr>
        <w:pStyle w:val="5"/>
        <w:spacing w:before="105" w:beforeAutospacing="0" w:after="63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highlight w:val="none"/>
        </w:rPr>
        <w:t>（3）收尾验收阶段</w:t>
      </w:r>
    </w:p>
    <w:p w14:paraId="1220F1E0">
      <w:pPr>
        <w:numPr>
          <w:ilvl w:val="0"/>
          <w:numId w:val="6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整理完整安全监护台账、记录，提交最终监护报告</w:t>
      </w:r>
    </w:p>
    <w:p w14:paraId="2B4D396D">
      <w:pPr>
        <w:numPr>
          <w:ilvl w:val="0"/>
          <w:numId w:val="6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协助办理涉路施工验收销号手续</w:t>
      </w:r>
    </w:p>
    <w:p w14:paraId="5E882A08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四、服务技术要求</w:t>
      </w:r>
    </w:p>
    <w:p w14:paraId="6FC898B4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4.1 安全监护标准</w:t>
      </w:r>
    </w:p>
    <w:p w14:paraId="52ACDB2D">
      <w:pPr>
        <w:numPr>
          <w:ilvl w:val="0"/>
          <w:numId w:val="7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跨越作业期间高速公路通行零事故</w:t>
      </w:r>
    </w:p>
    <w:p w14:paraId="125847DA">
      <w:pPr>
        <w:numPr>
          <w:ilvl w:val="0"/>
          <w:numId w:val="7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关键作业环节（展放牵引绳、地线对接、旧线切割）实施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“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双监护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”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制度，每个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监护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点至少配备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名监护人员</w:t>
      </w:r>
    </w:p>
    <w:p w14:paraId="63948384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4.2 监测设备要求</w:t>
      </w:r>
    </w:p>
    <w:p w14:paraId="2E6A651C">
      <w:pPr>
        <w:spacing w:before="0" w:beforeAutospacing="0" w:after="105" w:afterAutospacing="0" w:line="42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服务商需配备但不限于以下设备：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07"/>
        <w:gridCol w:w="4481"/>
        <w:gridCol w:w="2534"/>
      </w:tblGrid>
      <w:tr w14:paraId="13E1D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64F21E15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  <w:t>设备名称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1D076BF6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  <w:t>规格要求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5D08AEA2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333333"/>
                <w:sz w:val="24"/>
                <w:szCs w:val="24"/>
                <w:highlight w:val="none"/>
              </w:rPr>
              <w:t>数量要求</w:t>
            </w:r>
          </w:p>
        </w:tc>
      </w:tr>
      <w:tr w14:paraId="02C17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4E117770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  <w:t>防撞车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1C27B305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6997E51B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</w:tr>
      <w:tr w14:paraId="382AC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38CDDC9D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手持对讲机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187B6E71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信号覆盖施工全区域，续航≥8小时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57D1C296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≥</w:t>
            </w:r>
            <w:r>
              <w:rPr>
                <w:rFonts w:hint="eastAsia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台</w:t>
            </w:r>
          </w:p>
        </w:tc>
      </w:tr>
      <w:tr w14:paraId="42717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6C5B4A36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交通警示设施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7CF19615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反光锥、警示灯、限速标识、临时封路告示牌</w:t>
            </w:r>
          </w:p>
        </w:tc>
        <w:tc>
          <w:tcPr>
            <w:tcW w:w="0" w:type="auto"/>
            <w:tcMar>
              <w:left w:w="108" w:type="dxa"/>
              <w:right w:w="108" w:type="dxa"/>
            </w:tcMar>
            <w:vAlign w:val="center"/>
          </w:tcPr>
          <w:p w14:paraId="4C173B31">
            <w:pPr>
              <w:spacing w:after="210" w:afterAutospacing="0" w:line="420" w:lineRule="auto"/>
              <w:jc w:val="center"/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满足</w:t>
            </w:r>
            <w:r>
              <w:rPr>
                <w:rFonts w:hint="eastAsia" w:ascii="Times New Roman" w:hAnsi="Times New Roman" w:eastAsia="宋体" w:cs="Times New Roman"/>
                <w:color w:val="333333"/>
                <w:sz w:val="24"/>
                <w:szCs w:val="24"/>
                <w:highlight w:val="none"/>
                <w:lang w:val="en-US" w:eastAsia="zh-CN"/>
              </w:rPr>
              <w:t>2-4</w:t>
            </w:r>
            <w:r>
              <w:rPr>
                <w:rFonts w:hint="default" w:ascii="Times New Roman" w:hAnsi="Times New Roman" w:eastAsia="宋体" w:cs="Times New Roman"/>
                <w:color w:val="333333"/>
                <w:sz w:val="24"/>
                <w:szCs w:val="24"/>
                <w:highlight w:val="none"/>
              </w:rPr>
              <w:t>公里管控段需求</w:t>
            </w:r>
          </w:p>
        </w:tc>
      </w:tr>
    </w:tbl>
    <w:p w14:paraId="24FB69C6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4.3 人员资质要求</w:t>
      </w:r>
    </w:p>
    <w:p w14:paraId="11805711">
      <w:pPr>
        <w:numPr>
          <w:ilvl w:val="0"/>
          <w:numId w:val="8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项目负责人：持有建筑施工企业安全生产考核合格证书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建安A或者B证书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，具有3年以上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跨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高速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作业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交通疏导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安全管理经验</w:t>
      </w:r>
    </w:p>
    <w:p w14:paraId="1DE6C125">
      <w:pPr>
        <w:numPr>
          <w:ilvl w:val="0"/>
          <w:numId w:val="8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现场监护人员：具有2年以上同类作业监护经验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有公司内部安全培训记录。</w:t>
      </w:r>
      <w:bookmarkStart w:id="0" w:name="_GoBack"/>
      <w:bookmarkEnd w:id="0"/>
    </w:p>
    <w:p w14:paraId="561214CF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五、安全管理责任划分</w:t>
      </w:r>
    </w:p>
    <w:p w14:paraId="06EC0BC1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5.1 服务商责任</w:t>
      </w:r>
    </w:p>
    <w:p w14:paraId="0145C820">
      <w:pPr>
        <w:numPr>
          <w:ilvl w:val="0"/>
          <w:numId w:val="9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对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路面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监护范围内的安全管控承担直接责任，确保所有监护措施落地执行</w:t>
      </w:r>
    </w:p>
    <w:p w14:paraId="63C90F95">
      <w:pPr>
        <w:numPr>
          <w:ilvl w:val="0"/>
          <w:numId w:val="9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负责监护人员的日常管理、培训考核，承担监护人员的安全责任</w:t>
      </w:r>
    </w:p>
    <w:p w14:paraId="746A7F0C">
      <w:pPr>
        <w:numPr>
          <w:ilvl w:val="0"/>
          <w:numId w:val="9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因监护不到位导致的交通事故，承担全部经济与法律责任</w:t>
      </w:r>
    </w:p>
    <w:p w14:paraId="2B7F12C0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5.2 采购方责任</w:t>
      </w:r>
    </w:p>
    <w:p w14:paraId="70C30FE8">
      <w:pPr>
        <w:numPr>
          <w:ilvl w:val="0"/>
          <w:numId w:val="10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提供施工方案、线路参数等基础技术资料</w:t>
      </w:r>
    </w:p>
    <w:p w14:paraId="09035CDF">
      <w:pPr>
        <w:numPr>
          <w:ilvl w:val="0"/>
          <w:numId w:val="10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对监护方案、人员资质、设备配置进行审核验收</w:t>
      </w:r>
    </w:p>
    <w:p w14:paraId="20FB0F8B">
      <w:pPr>
        <w:numPr>
          <w:ilvl w:val="0"/>
          <w:numId w:val="10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按照合同约定支付服务费用</w:t>
      </w:r>
    </w:p>
    <w:p w14:paraId="1ADAC946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六、验收标准与考核要求</w:t>
      </w:r>
    </w:p>
    <w:p w14:paraId="05295E30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6.1 过程验收</w:t>
      </w:r>
    </w:p>
    <w:p w14:paraId="62476204">
      <w:pPr>
        <w:numPr>
          <w:ilvl w:val="0"/>
          <w:numId w:val="1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人员、设备进场时，采购方对人员资质、设备校验报告进行核查，不合格不得进场</w:t>
      </w:r>
    </w:p>
    <w:p w14:paraId="0BBD987B">
      <w:pPr>
        <w:numPr>
          <w:ilvl w:val="0"/>
          <w:numId w:val="1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每日作业前检查监护人员到岗情况、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设施摆放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状态，不合格不得开工</w:t>
      </w:r>
    </w:p>
    <w:p w14:paraId="6A549357">
      <w:pPr>
        <w:numPr>
          <w:ilvl w:val="0"/>
          <w:numId w:val="11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对监护台账、记录进行检查，缺失、记录不实扣除相应服务费</w:t>
      </w:r>
    </w:p>
    <w:p w14:paraId="3598A48B">
      <w:pPr>
        <w:pStyle w:val="4"/>
        <w:spacing w:before="168" w:beforeAutospacing="0" w:after="105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8"/>
          <w:szCs w:val="28"/>
          <w:highlight w:val="none"/>
        </w:rPr>
        <w:t>6.2 最终验收</w:t>
      </w:r>
    </w:p>
    <w:p w14:paraId="1EC1CDB3">
      <w:pPr>
        <w:numPr>
          <w:ilvl w:val="0"/>
          <w:numId w:val="1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施工全部完成，未发生任何安全事故，提交完整监护报告、台账资料后，出具验收合格证明</w:t>
      </w:r>
    </w:p>
    <w:p w14:paraId="5E8372A2">
      <w:pPr>
        <w:numPr>
          <w:ilvl w:val="0"/>
          <w:numId w:val="12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发生一般违章行为，每起扣除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%服务费；发生严重违章或未遂事故，扣除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0%以上服务费；发生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一般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责任事故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val="en-US" w:eastAsia="zh-CN"/>
        </w:rPr>
        <w:t>交警部门判定服务商的责任</w:t>
      </w:r>
      <w:r>
        <w:rPr>
          <w:rFonts w:hint="eastAsia" w:ascii="Times New Roman" w:hAnsi="Times New Roman" w:eastAsia="宋体" w:cs="Times New Roman"/>
          <w:color w:val="333333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，不予支付任何费用并追究相关责任</w:t>
      </w:r>
    </w:p>
    <w:p w14:paraId="12406F2A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七、报价要求</w:t>
      </w:r>
    </w:p>
    <w:p w14:paraId="6883B6F6">
      <w:pPr>
        <w:spacing w:before="0" w:beforeAutospacing="0" w:after="105" w:afterAutospacing="0" w:line="42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报价采用总价包干形式，包含但不限于：</w:t>
      </w:r>
    </w:p>
    <w:p w14:paraId="78FEC2B2">
      <w:pPr>
        <w:numPr>
          <w:ilvl w:val="0"/>
          <w:numId w:val="1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人员薪酬、差旅费、保险费用</w:t>
      </w:r>
    </w:p>
    <w:p w14:paraId="7E26A2CC">
      <w:pPr>
        <w:numPr>
          <w:ilvl w:val="0"/>
          <w:numId w:val="1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设备购置/租赁、耗材费用</w:t>
      </w:r>
    </w:p>
    <w:p w14:paraId="62EEB129">
      <w:pPr>
        <w:numPr>
          <w:ilvl w:val="0"/>
          <w:numId w:val="1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培训、方案编制费用</w:t>
      </w:r>
    </w:p>
    <w:p w14:paraId="13F00A76">
      <w:pPr>
        <w:numPr>
          <w:ilvl w:val="0"/>
          <w:numId w:val="13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税费、利润等所有相关费用</w:t>
      </w:r>
    </w:p>
    <w:p w14:paraId="4D3E6721">
      <w:pPr>
        <w:spacing w:before="0" w:beforeAutospacing="0" w:after="105" w:afterAutospacing="0" w:line="42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报价需附明细清单，列明各项费用构成。</w:t>
      </w:r>
    </w:p>
    <w:p w14:paraId="02302B4B">
      <w:pPr>
        <w:pStyle w:val="3"/>
        <w:spacing w:before="252" w:beforeAutospacing="0" w:after="168" w:afterAutospacing="0" w:line="420" w:lineRule="auto"/>
        <w:ind w:firstLine="0" w:firstLineChars="0"/>
        <w:jc w:val="left"/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32"/>
          <w:szCs w:val="32"/>
          <w:highlight w:val="none"/>
        </w:rPr>
        <w:t>八、违约责任</w:t>
      </w:r>
    </w:p>
    <w:p w14:paraId="240C0657">
      <w:pPr>
        <w:numPr>
          <w:ilvl w:val="0"/>
          <w:numId w:val="1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服务商未按要求配备人员、设备，采购方有权要求限期整改，整改不到位有权终止合同</w:t>
      </w:r>
    </w:p>
    <w:p w14:paraId="525F990C">
      <w:pPr>
        <w:numPr>
          <w:ilvl w:val="0"/>
          <w:numId w:val="1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服务商虚报监护记录、擅自脱岗，采购方有权扣除相应服务费，情节严重的终止合同</w:t>
      </w:r>
    </w:p>
    <w:p w14:paraId="3B0C7782">
      <w:pPr>
        <w:numPr>
          <w:ilvl w:val="0"/>
          <w:numId w:val="14"/>
        </w:numPr>
        <w:spacing w:before="0" w:after="42" w:afterAutospacing="0" w:line="420" w:lineRule="auto"/>
        <w:ind w:left="780" w:leftChars="200" w:hanging="360"/>
        <w:jc w:val="both"/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333333"/>
          <w:sz w:val="24"/>
          <w:szCs w:val="24"/>
          <w:highlight w:val="none"/>
        </w:rPr>
        <w:t>因服务商责任导致的事故，服务商需承担全部损失赔偿责任，且3年内不得参与采购方同类项目投标。</w:t>
      </w:r>
    </w:p>
    <w:p w14:paraId="510151E5">
      <w:pPr>
        <w:rPr>
          <w:rFonts w:hint="default"/>
          <w:highlight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38CF3C50" w:usb2="00000017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7A691B"/>
    <w:multiLevelType w:val="singleLevel"/>
    <w:tmpl w:val="AF7A691B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1">
    <w:nsid w:val="BEEF0D3E"/>
    <w:multiLevelType w:val="singleLevel"/>
    <w:tmpl w:val="BEEF0D3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2">
    <w:nsid w:val="D7E5E302"/>
    <w:multiLevelType w:val="singleLevel"/>
    <w:tmpl w:val="D7E5E302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3">
    <w:nsid w:val="F966068A"/>
    <w:multiLevelType w:val="singleLevel"/>
    <w:tmpl w:val="F966068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F9C96760"/>
    <w:multiLevelType w:val="singleLevel"/>
    <w:tmpl w:val="F9C96760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5">
    <w:nsid w:val="FBBAD937"/>
    <w:multiLevelType w:val="singleLevel"/>
    <w:tmpl w:val="FBBAD937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6">
    <w:nsid w:val="FBF78EA9"/>
    <w:multiLevelType w:val="singleLevel"/>
    <w:tmpl w:val="FBF78EA9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7">
    <w:nsid w:val="FD9F368C"/>
    <w:multiLevelType w:val="singleLevel"/>
    <w:tmpl w:val="FD9F368C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8">
    <w:nsid w:val="FFBF2124"/>
    <w:multiLevelType w:val="singleLevel"/>
    <w:tmpl w:val="FFBF2124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9">
    <w:nsid w:val="FFE893C7"/>
    <w:multiLevelType w:val="singleLevel"/>
    <w:tmpl w:val="FFE893C7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10">
    <w:nsid w:val="2F3E54F4"/>
    <w:multiLevelType w:val="singleLevel"/>
    <w:tmpl w:val="2F3E54F4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11">
    <w:nsid w:val="5DBE6DEB"/>
    <w:multiLevelType w:val="singleLevel"/>
    <w:tmpl w:val="5DBE6DEB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abstractNum w:abstractNumId="12">
    <w:nsid w:val="776E8F4A"/>
    <w:multiLevelType w:val="multilevel"/>
    <w:tmpl w:val="776E8F4A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13">
    <w:nsid w:val="7EFE6A21"/>
    <w:multiLevelType w:val="singleLevel"/>
    <w:tmpl w:val="7EFE6A21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0"/>
  </w:num>
  <w:num w:numId="9">
    <w:abstractNumId w:val="6"/>
  </w:num>
  <w:num w:numId="10">
    <w:abstractNumId w:val="11"/>
  </w:num>
  <w:num w:numId="11">
    <w:abstractNumId w:val="13"/>
  </w:num>
  <w:num w:numId="12">
    <w:abstractNumId w:val="7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attachedTemplate r:id="rId1"/>
  <w:documentProtection w:enforcement="0"/>
  <w:defaultTabStop w:val="420"/>
  <w:drawingGridHorizontalSpacing w:val="210"/>
  <w:drawingGridVerticalSpacing w:val="19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A24D9F"/>
    <w:rsid w:val="07011CC2"/>
    <w:rsid w:val="07644792"/>
    <w:rsid w:val="09284798"/>
    <w:rsid w:val="0A5F2441"/>
    <w:rsid w:val="0F2B6FD9"/>
    <w:rsid w:val="14E60C13"/>
    <w:rsid w:val="183C240D"/>
    <w:rsid w:val="1AA24D9F"/>
    <w:rsid w:val="1AC63788"/>
    <w:rsid w:val="28DA2E89"/>
    <w:rsid w:val="2A4254F9"/>
    <w:rsid w:val="2D1F32F4"/>
    <w:rsid w:val="315F792B"/>
    <w:rsid w:val="323B4D81"/>
    <w:rsid w:val="34B70380"/>
    <w:rsid w:val="3A886145"/>
    <w:rsid w:val="3AE174A3"/>
    <w:rsid w:val="43446334"/>
    <w:rsid w:val="44A84E71"/>
    <w:rsid w:val="469C4093"/>
    <w:rsid w:val="477DCE1E"/>
    <w:rsid w:val="4A03746C"/>
    <w:rsid w:val="4F9F096F"/>
    <w:rsid w:val="56157D65"/>
    <w:rsid w:val="573E1E21"/>
    <w:rsid w:val="5A3410A5"/>
    <w:rsid w:val="5B487E91"/>
    <w:rsid w:val="5CF9550F"/>
    <w:rsid w:val="5EFEBDE8"/>
    <w:rsid w:val="68CA2609"/>
    <w:rsid w:val="68CC1AED"/>
    <w:rsid w:val="69BB0F42"/>
    <w:rsid w:val="69C3715B"/>
    <w:rsid w:val="6A637494"/>
    <w:rsid w:val="6BCF62E6"/>
    <w:rsid w:val="6CD3A16D"/>
    <w:rsid w:val="6D535020"/>
    <w:rsid w:val="6E5F49A6"/>
    <w:rsid w:val="6F675DDE"/>
    <w:rsid w:val="6FFF37D2"/>
    <w:rsid w:val="70DE2EF1"/>
    <w:rsid w:val="73C34A8F"/>
    <w:rsid w:val="78D855C6"/>
    <w:rsid w:val="7C5F4108"/>
    <w:rsid w:val="7ED35376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  <w:rsid w:val="D5DE8897"/>
    <w:rsid w:val="E7FE3684"/>
    <w:rsid w:val="EFFF70E4"/>
    <w:rsid w:val="F7EEC240"/>
    <w:rsid w:val="FBF75102"/>
    <w:rsid w:val="FDDC5620"/>
    <w:rsid w:val="FDEA700A"/>
    <w:rsid w:val="FFBFCE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微软雅黑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260" w:beforeLines="0" w:beforeAutospacing="0" w:after="220" w:afterLines="0" w:afterAutospacing="0" w:line="240" w:lineRule="auto"/>
      <w:outlineLvl w:val="0"/>
    </w:pPr>
    <w:rPr>
      <w:rFonts w:ascii="Arial" w:hAnsi="Arial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00" w:afterLines="0" w:afterAutospacing="0" w:line="240" w:lineRule="auto"/>
      <w:outlineLvl w:val="1"/>
    </w:pPr>
    <w:rPr>
      <w:rFonts w:ascii="Arial" w:hAnsi="Arial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180" w:afterLines="0" w:afterAutospacing="0" w:line="240" w:lineRule="auto"/>
      <w:outlineLvl w:val="2"/>
    </w:pPr>
    <w:rPr>
      <w:rFonts w:ascii="Arial" w:hAnsi="Arial"/>
      <w:b/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3"/>
    </w:pPr>
    <w:rPr>
      <w:rFonts w:ascii="Arial" w:hAnsi="Arial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4"/>
    </w:pPr>
    <w:rPr>
      <w:rFonts w:ascii="Arial" w:hAnsi="Arial"/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5"/>
    </w:pPr>
    <w:rPr>
      <w:rFonts w:ascii="Arial" w:hAnsi="Arial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6"/>
    </w:pPr>
    <w:rPr>
      <w:rFonts w:ascii="Arial" w:hAnsi="Arial"/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7"/>
    </w:pPr>
    <w:rPr>
      <w:rFonts w:ascii="Arial" w:hAnsi="Arial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8"/>
    </w:pPr>
    <w:rPr>
      <w:rFonts w:ascii="Arial" w:hAnsi="Arial"/>
    </w:rPr>
  </w:style>
  <w:style w:type="character" w:default="1" w:styleId="13">
    <w:name w:val="Default Paragraph Font"/>
    <w:qFormat/>
    <w:uiPriority w:val="0"/>
    <w:rPr>
      <w:rFonts w:eastAsia="微软雅黑" w:asciiTheme="minorAscii" w:hAnsiTheme="minorAscii"/>
    </w:rPr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weboffice\C:\data\weboffice\C:\data\weboffice\C:\data\weboffice\C:\data\weboffice\C:\data\weboffice\C:\Users\June\Library\Containers\com.kingsoft.wpsoffice.mac\Data\C:\data\weboffice\C:\home\ranpeng\C:\Users\53YFKM2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2431ff4e-b7a0-477c-ac82-9d31b5d919c9</errorID>
      <errorWord>"</errorWord>
      <group>L1_Format</group>
      <groupName>格式问题</groupName>
      <ability>L2_HalfPunc</ability>
      <abilityName>全半角检查</abilityName>
      <candidateList>
        <item>“</item>
      </candidateList>
      <explain>文本全半角错误。</explain>
      <paraID> 626E8AE</paraID>
      <start>104</start>
      <end>105</end>
      <status>modified</status>
      <modifiedWord>“</modifiedWord>
      <trackRevisions>false</trackRevisions>
    </reviewItem>
    <reviewItem>
      <errorID>c3355822-def6-40ff-b064-a44e0d836afc</errorID>
      <errorWord>"</errorWord>
      <group>L1_Format</group>
      <groupName>格式问题</groupName>
      <ability>L2_HalfPunc</ability>
      <abilityName>全半角检查</abilityName>
      <candidateList>
        <item>”</item>
      </candidateList>
      <explain>文本全半角错误。</explain>
      <paraID> 626E8AE</paraID>
      <start>107</start>
      <end>108</end>
      <status>modified</status>
      <modifiedWord>”</modifiedWord>
      <trackRevisions>false</trackRevisions>
    </reviewItem>
    <reviewItem>
      <errorID>16bc0c5a-5508-47c4-bc24-6936fe973c24</errorID>
      <errorWord>"</errorWord>
      <group>L1_Format</group>
      <groupName>格式问题</groupName>
      <ability>L2_HalfPunc</ability>
      <abilityName>全半角检查</abilityName>
      <candidateList>
        <item>“</item>
      </candidateList>
      <explain>文本全半角错误。</explain>
      <paraID> 8009651</paraID>
      <start>6</start>
      <end>7</end>
      <status>modified</status>
      <modifiedWord>“</modifiedWord>
      <trackRevisions>false</trackRevisions>
    </reviewItem>
    <reviewItem>
      <errorID>423e43b3-ea0f-45c7-8f3e-2f01d1b012f6</errorID>
      <errorWord>"</errorWord>
      <group>L1_Format</group>
      <groupName>格式问题</groupName>
      <ability>L2_HalfPunc</ability>
      <abilityName>全半角检查</abilityName>
      <candidateList>
        <item>”</item>
      </candidateList>
      <explain>文本全半角错误。</explain>
      <paraID> 8009651</paraID>
      <start>9</start>
      <end>10</end>
      <status>modified</status>
      <modifiedWord>”</modifiedWord>
      <trackRevisions>false</trackRevisions>
    </reviewItem>
    <reviewItem>
      <errorID>5dc9b510-f397-47aa-8575-7e375376ab6f</errorID>
      <errorWord>"</errorWord>
      <group>L1_Format</group>
      <groupName>格式问题</groupName>
      <ability>L2_HalfPunc</ability>
      <abilityName>全半角检查</abilityName>
      <candidateList>
        <item>“</item>
      </candidateList>
      <explain>文本全半角错误。</explain>
      <paraID>125847DA</paraID>
      <start>25</start>
      <end>26</end>
      <status>modified</status>
      <modifiedWord>“</modifiedWord>
      <trackRevisions>false</trackRevisions>
    </reviewItem>
    <reviewItem>
      <errorID>29b33bef-3065-4f69-a490-83c98f504f5d</errorID>
      <errorWord>"</errorWord>
      <group>L1_Format</group>
      <groupName>格式问题</groupName>
      <ability>L2_HalfPunc</ability>
      <abilityName>全半角检查</abilityName>
      <candidateList>
        <item>”</item>
      </candidateList>
      <explain>文本全半角错误。</explain>
      <paraID>125847DA</paraID>
      <start>29</start>
      <end>30</end>
      <status>modified</status>
      <modifiedWord>”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23d6fe4-d134-4520-bbd2-11fde2fca5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1929</Words>
  <Characters>2103</Characters>
  <Lines>0</Lines>
  <Paragraphs>0</Paragraphs>
  <TotalTime>105</TotalTime>
  <ScaleCrop>false</ScaleCrop>
  <LinksUpToDate>false</LinksUpToDate>
  <CharactersWithSpaces>2125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2018-05-28T01:24:00Z</dcterms:created>
  <dc:creator>94277</dc:creator>
  <cp:lastModifiedBy>94277</cp:lastModifiedBy>
  <dcterms:modified xsi:type="dcterms:W3CDTF">2026-03-17T04:00:06Z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woTemplateTypoMode" linkTarget="0">
    <vt:lpwstr/>
  </property>
  <property fmtid="{D5CDD505-2E9C-101B-9397-08002B2CF9AE}" pid="4" name="woTemplate" linkTarget="0">
    <vt:i4>0</vt:i4>
  </property>
  <property fmtid="{D5CDD505-2E9C-101B-9397-08002B2CF9AE}" pid="5" name="ICV">
    <vt:lpwstr>747EA9FA1AC24D71A1D1EE521DBB6A74_13</vt:lpwstr>
  </property>
  <property fmtid="{D5CDD505-2E9C-101B-9397-08002B2CF9AE}" pid="6" name="KSOTemplateDocerSaveRecord">
    <vt:lpwstr>eyJoZGlkIjoiNTFkNmJmNWNlNWFkYmU0YTM2NGE3OWE4MjgwODMyZjgiLCJ1c2VySWQiOiIxNDM2NDI3MiJ9</vt:lpwstr>
  </property>
</Properties>
</file>