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outlineLvl w:val="9"/>
        <w:rPr>
          <w:rFonts w:hint="default" w:ascii="宋体" w:hAnsi="宋体" w:cs="宋体"/>
          <w:b/>
          <w:bCs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u w:val="none"/>
          <w:lang w:val="en-US" w:eastAsia="zh-CN"/>
        </w:rPr>
        <w:t>标的名称：标的1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outlineLvl w:val="9"/>
        <w:rPr>
          <w:rFonts w:hint="default"/>
          <w:color w:val="auto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u w:val="none"/>
          <w:lang w:val="en-US" w:eastAsia="zh-CN"/>
        </w:rPr>
        <w:t>标段名称：湖南-贵州电力灵活互济工程背靠背换流站建筑安装施工A包</w:t>
      </w:r>
    </w:p>
    <w:tbl>
      <w:tblPr>
        <w:tblStyle w:val="13"/>
        <w:tblW w:w="736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8"/>
        <w:gridCol w:w="2911"/>
        <w:gridCol w:w="34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8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2911" w:type="dxa"/>
            <w:vAlign w:val="center"/>
          </w:tcPr>
          <w:p>
            <w:pPr>
              <w:pStyle w:val="8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4"/>
                <w:szCs w:val="24"/>
                <w:highlight w:val="none"/>
              </w:rPr>
              <w:t>文件名称</w:t>
            </w:r>
          </w:p>
        </w:tc>
        <w:tc>
          <w:tcPr>
            <w:tcW w:w="3476" w:type="dxa"/>
            <w:vAlign w:val="center"/>
          </w:tcPr>
          <w:p>
            <w:pPr>
              <w:pStyle w:val="8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4"/>
                <w:szCs w:val="24"/>
                <w:highlight w:val="none"/>
              </w:rPr>
              <w:t>文件文号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8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2911" w:type="dxa"/>
            <w:vAlign w:val="center"/>
          </w:tcPr>
          <w:p>
            <w:pPr>
              <w:pStyle w:val="8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  <w:t>可研批复文号</w:t>
            </w:r>
          </w:p>
        </w:tc>
        <w:tc>
          <w:tcPr>
            <w:tcW w:w="3476" w:type="dxa"/>
            <w:vAlign w:val="center"/>
          </w:tcPr>
          <w:p>
            <w:pPr>
              <w:pStyle w:val="8"/>
              <w:snapToGrid w:val="0"/>
              <w:spacing w:line="360" w:lineRule="auto"/>
              <w:jc w:val="center"/>
              <w:rPr>
                <w:rFonts w:hint="default" w:ascii="Times New Roman" w:hAnsi="Times New Roman" w:cs="Times New Roman"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snapToGrid w:val="0"/>
                <w:color w:val="auto"/>
                <w:sz w:val="21"/>
                <w:szCs w:val="21"/>
                <w:highlight w:val="none"/>
              </w:rPr>
              <w:t>南方电网规划〔2025〕68号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8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  <w:t>2</w:t>
            </w:r>
          </w:p>
        </w:tc>
        <w:tc>
          <w:tcPr>
            <w:tcW w:w="2911" w:type="dxa"/>
            <w:vAlign w:val="center"/>
          </w:tcPr>
          <w:p>
            <w:pPr>
              <w:pStyle w:val="8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  <w:t>项目备案文号</w:t>
            </w:r>
          </w:p>
        </w:tc>
        <w:tc>
          <w:tcPr>
            <w:tcW w:w="3476" w:type="dxa"/>
            <w:vAlign w:val="bottom"/>
          </w:tcPr>
          <w:p>
            <w:pPr>
              <w:pStyle w:val="8"/>
              <w:snapToGrid w:val="0"/>
              <w:spacing w:line="360" w:lineRule="auto"/>
              <w:jc w:val="center"/>
              <w:rPr>
                <w:rFonts w:hint="default" w:ascii="Times New Roman" w:hAnsi="Times New Roman" w:cs="Times New Roman"/>
                <w:snapToGrid w:val="0"/>
                <w:color w:val="FF0000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发改能源〔2025〕1459号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8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  <w:t>3</w:t>
            </w:r>
          </w:p>
        </w:tc>
        <w:tc>
          <w:tcPr>
            <w:tcW w:w="2911" w:type="dxa"/>
            <w:vAlign w:val="center"/>
          </w:tcPr>
          <w:p>
            <w:pPr>
              <w:pStyle w:val="8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  <w:t>初设批复文号</w:t>
            </w:r>
          </w:p>
        </w:tc>
        <w:tc>
          <w:tcPr>
            <w:tcW w:w="3476" w:type="dxa"/>
            <w:vAlign w:val="center"/>
          </w:tcPr>
          <w:p>
            <w:pPr>
              <w:widowControl/>
              <w:snapToGrid w:val="0"/>
              <w:jc w:val="center"/>
              <w:rPr>
                <w:rFonts w:hint="default" w:ascii="Times New Roman" w:hAnsi="Times New Roman" w:eastAsia="宋体" w:cs="Times New Roman"/>
                <w:snapToGrid w:val="0"/>
                <w:color w:val="FF0000"/>
                <w:kern w:val="0"/>
                <w:sz w:val="21"/>
                <w:szCs w:val="21"/>
                <w:highlight w:val="yellow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napToGrid w:val="0"/>
                <w:color w:val="auto"/>
                <w:sz w:val="21"/>
                <w:szCs w:val="21"/>
                <w:highlight w:val="none"/>
              </w:rPr>
              <w:t>南方电网</w:t>
            </w:r>
            <w:r>
              <w:rPr>
                <w:rFonts w:hint="eastAsia" w:ascii="Times New Roman" w:hAnsi="Times New Roman" w:cs="Times New Roman"/>
                <w:snapToGrid w:val="0"/>
                <w:color w:val="auto"/>
                <w:sz w:val="21"/>
                <w:szCs w:val="21"/>
                <w:highlight w:val="none"/>
                <w:lang w:val="en-US" w:eastAsia="zh-CN"/>
              </w:rPr>
              <w:t>工程</w:t>
            </w:r>
            <w:r>
              <w:rPr>
                <w:rFonts w:hint="default" w:ascii="Times New Roman" w:hAnsi="Times New Roman" w:cs="Times New Roman"/>
                <w:snapToGrid w:val="0"/>
                <w:color w:val="auto"/>
                <w:sz w:val="21"/>
                <w:szCs w:val="21"/>
                <w:highlight w:val="none"/>
              </w:rPr>
              <w:t>〔202</w:t>
            </w:r>
            <w:r>
              <w:rPr>
                <w:rFonts w:hint="eastAsia" w:ascii="Times New Roman" w:hAnsi="Times New Roman" w:cs="Times New Roman"/>
                <w:snapToGrid w:val="0"/>
                <w:color w:val="auto"/>
                <w:sz w:val="21"/>
                <w:szCs w:val="21"/>
                <w:highlight w:val="none"/>
                <w:lang w:val="en-US" w:eastAsia="zh-CN"/>
              </w:rPr>
              <w:t>6</w:t>
            </w:r>
            <w:r>
              <w:rPr>
                <w:rFonts w:hint="default" w:ascii="Times New Roman" w:hAnsi="Times New Roman" w:cs="Times New Roman"/>
                <w:snapToGrid w:val="0"/>
                <w:color w:val="auto"/>
                <w:sz w:val="21"/>
                <w:szCs w:val="21"/>
                <w:highlight w:val="none"/>
              </w:rPr>
              <w:t>〕</w:t>
            </w:r>
            <w:r>
              <w:rPr>
                <w:rFonts w:hint="eastAsia" w:ascii="Times New Roman" w:hAnsi="Times New Roman" w:cs="Times New Roman"/>
                <w:snapToGrid w:val="0"/>
                <w:color w:val="auto"/>
                <w:sz w:val="21"/>
                <w:szCs w:val="21"/>
                <w:highlight w:val="none"/>
                <w:lang w:val="en-US" w:eastAsia="zh-CN"/>
              </w:rPr>
              <w:t>17</w:t>
            </w:r>
            <w:r>
              <w:rPr>
                <w:rFonts w:hint="default" w:ascii="Times New Roman" w:hAnsi="Times New Roman" w:cs="Times New Roman"/>
                <w:snapToGrid w:val="0"/>
                <w:color w:val="auto"/>
                <w:sz w:val="21"/>
                <w:szCs w:val="21"/>
                <w:highlight w:val="none"/>
              </w:rPr>
              <w:t>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8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  <w:t>4</w:t>
            </w:r>
          </w:p>
        </w:tc>
        <w:tc>
          <w:tcPr>
            <w:tcW w:w="2911" w:type="dxa"/>
            <w:vAlign w:val="center"/>
          </w:tcPr>
          <w:p>
            <w:pPr>
              <w:pStyle w:val="8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  <w:t>资金落实情况</w:t>
            </w:r>
          </w:p>
        </w:tc>
        <w:tc>
          <w:tcPr>
            <w:tcW w:w="3476" w:type="dxa"/>
            <w:vAlign w:val="center"/>
          </w:tcPr>
          <w:p>
            <w:pPr>
              <w:pStyle w:val="8"/>
              <w:snapToGrid w:val="0"/>
              <w:jc w:val="center"/>
              <w:rPr>
                <w:rFonts w:hint="default" w:ascii="Times New Roman" w:hAnsi="Times New Roman" w:eastAsia="宋体" w:cs="Times New Roman"/>
                <w:snapToGrid w:val="0"/>
                <w:color w:val="auto"/>
                <w:kern w:val="0"/>
                <w:sz w:val="21"/>
                <w:szCs w:val="21"/>
                <w:highlight w:val="yellow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南方电网计财〔2025〕56号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8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  <w:t>5</w:t>
            </w:r>
          </w:p>
        </w:tc>
        <w:tc>
          <w:tcPr>
            <w:tcW w:w="2911" w:type="dxa"/>
            <w:vAlign w:val="center"/>
          </w:tcPr>
          <w:p>
            <w:pPr>
              <w:pStyle w:val="8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  <w:t>施工图预算批复文号</w:t>
            </w:r>
          </w:p>
        </w:tc>
        <w:tc>
          <w:tcPr>
            <w:tcW w:w="3476" w:type="dxa"/>
            <w:vAlign w:val="center"/>
          </w:tcPr>
          <w:p>
            <w:pPr>
              <w:pStyle w:val="8"/>
              <w:snapToGrid w:val="0"/>
              <w:jc w:val="center"/>
              <w:rPr>
                <w:rFonts w:hint="default" w:ascii="Times New Roman" w:hAnsi="Times New Roman" w:cs="Times New Roman"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snapToGrid w:val="0"/>
                <w:color w:val="auto"/>
                <w:sz w:val="21"/>
                <w:szCs w:val="21"/>
                <w:highlight w:val="none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8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  <w:t>6</w:t>
            </w:r>
          </w:p>
        </w:tc>
        <w:tc>
          <w:tcPr>
            <w:tcW w:w="2911" w:type="dxa"/>
            <w:vAlign w:val="center"/>
          </w:tcPr>
          <w:p>
            <w:pPr>
              <w:pStyle w:val="8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  <w:t>项目建设单位</w:t>
            </w:r>
          </w:p>
        </w:tc>
        <w:tc>
          <w:tcPr>
            <w:tcW w:w="3476" w:type="dxa"/>
            <w:vAlign w:val="center"/>
          </w:tcPr>
          <w:p>
            <w:pPr>
              <w:pStyle w:val="8"/>
              <w:snapToGrid w:val="0"/>
              <w:jc w:val="center"/>
              <w:rPr>
                <w:rFonts w:hint="default" w:ascii="Times New Roman" w:hAnsi="Times New Roman" w:cs="Times New Roman"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snapToGrid w:val="0"/>
                <w:color w:val="auto"/>
                <w:sz w:val="21"/>
                <w:szCs w:val="21"/>
                <w:highlight w:val="none"/>
              </w:rPr>
              <w:t>南网超高压公司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8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  <w:t>7</w:t>
            </w:r>
          </w:p>
        </w:tc>
        <w:tc>
          <w:tcPr>
            <w:tcW w:w="2911" w:type="dxa"/>
            <w:vAlign w:val="center"/>
          </w:tcPr>
          <w:p>
            <w:pPr>
              <w:pStyle w:val="8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  <w:t>项目建设地点</w:t>
            </w:r>
          </w:p>
        </w:tc>
        <w:tc>
          <w:tcPr>
            <w:tcW w:w="3476" w:type="dxa"/>
            <w:vAlign w:val="center"/>
          </w:tcPr>
          <w:p>
            <w:pPr>
              <w:pStyle w:val="8"/>
              <w:snapToGrid w:val="0"/>
              <w:jc w:val="center"/>
              <w:rPr>
                <w:rFonts w:hint="default" w:ascii="Times New Roman" w:hAnsi="Times New Roman" w:eastAsia="宋体" w:cs="Times New Roman"/>
                <w:snapToGrid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贵州省铜仁市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8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  <w:t>8</w:t>
            </w:r>
          </w:p>
        </w:tc>
        <w:tc>
          <w:tcPr>
            <w:tcW w:w="2911" w:type="dxa"/>
            <w:vAlign w:val="center"/>
          </w:tcPr>
          <w:p>
            <w:pPr>
              <w:pStyle w:val="8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  <w:t>前期的设计或咨询服务单位名称</w:t>
            </w:r>
          </w:p>
        </w:tc>
        <w:tc>
          <w:tcPr>
            <w:tcW w:w="3476" w:type="dxa"/>
            <w:vAlign w:val="center"/>
          </w:tcPr>
          <w:p>
            <w:pPr>
              <w:pStyle w:val="8"/>
              <w:snapToGrid w:val="0"/>
              <w:jc w:val="center"/>
              <w:rPr>
                <w:rFonts w:hint="default" w:ascii="Times New Roman" w:hAnsi="Times New Roman" w:cs="Times New Roman"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联合体(中国能源建设集团广东省电力设计研究院有限公司，中国电建集团贵州电力设计研究院有限公司)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8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  <w:t>9</w:t>
            </w:r>
          </w:p>
        </w:tc>
        <w:tc>
          <w:tcPr>
            <w:tcW w:w="2911" w:type="dxa"/>
            <w:vAlign w:val="center"/>
          </w:tcPr>
          <w:p>
            <w:pPr>
              <w:pStyle w:val="8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  <w:t>项目监理单位</w:t>
            </w:r>
          </w:p>
        </w:tc>
        <w:tc>
          <w:tcPr>
            <w:tcW w:w="3476" w:type="dxa"/>
            <w:vAlign w:val="center"/>
          </w:tcPr>
          <w:p>
            <w:pPr>
              <w:pStyle w:val="8"/>
              <w:snapToGrid w:val="0"/>
              <w:jc w:val="center"/>
              <w:rPr>
                <w:rFonts w:hint="default" w:ascii="Times New Roman" w:hAnsi="Times New Roman" w:cs="Times New Roman"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snapToGrid w:val="0"/>
                <w:color w:val="auto"/>
                <w:sz w:val="21"/>
                <w:szCs w:val="21"/>
                <w:highlight w:val="none"/>
              </w:rPr>
              <w:t>广东天广能源科技发展有限公司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both"/>
        <w:textAlignment w:val="auto"/>
        <w:outlineLvl w:val="9"/>
        <w:rPr>
          <w:rFonts w:hint="default" w:ascii="Times New Roman" w:hAnsi="Times New Roman" w:cs="Times New Roman"/>
          <w:b/>
          <w:bCs/>
          <w:i w:val="0"/>
          <w:iCs w:val="0"/>
          <w:color w:val="auto"/>
          <w:sz w:val="24"/>
          <w:szCs w:val="24"/>
          <w:highlight w:val="none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both"/>
        <w:textAlignment w:val="auto"/>
        <w:outlineLvl w:val="9"/>
        <w:rPr>
          <w:rFonts w:hint="default" w:ascii="Times New Roman" w:hAnsi="Times New Roman" w:cs="Times New Roman"/>
          <w:b/>
          <w:bCs/>
          <w:i w:val="0"/>
          <w:iCs w:val="0"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olor w:val="auto"/>
          <w:sz w:val="24"/>
          <w:szCs w:val="24"/>
          <w:highlight w:val="none"/>
          <w:u w:val="none"/>
          <w:lang w:val="en-US" w:eastAsia="zh-CN"/>
        </w:rPr>
        <w:t>一、项目概况</w:t>
      </w:r>
    </w:p>
    <w:p>
      <w:pPr>
        <w:pStyle w:val="3"/>
        <w:keepNext w:val="0"/>
        <w:keepLines w:val="0"/>
        <w:pageBreakBefore w:val="0"/>
        <w:widowControl w:val="0"/>
        <w:wordWrap/>
        <w:overflowPunct/>
        <w:topLinePunct w:val="0"/>
        <w:bidi w:val="0"/>
        <w:snapToGrid w:val="0"/>
        <w:spacing w:beforeLines="0" w:afterLines="0" w:line="360" w:lineRule="auto"/>
        <w:textAlignment w:val="auto"/>
        <w:rPr>
          <w:rFonts w:hint="eastAsia" w:ascii="Calibri" w:hAnsi="Calibri" w:cs="Times New Roman" w:eastAsiaTheme="minorEastAsia"/>
          <w:b/>
          <w:bCs/>
          <w:i w:val="0"/>
          <w:color w:val="auto"/>
          <w:kern w:val="2"/>
          <w:sz w:val="21"/>
          <w:szCs w:val="21"/>
          <w:lang w:val="en-US" w:eastAsia="zh-CN" w:bidi="ar-SA"/>
        </w:rPr>
      </w:pPr>
      <w:bookmarkStart w:id="0" w:name="_Toc443982837"/>
      <w:bookmarkStart w:id="1" w:name="_Toc218503331"/>
      <w:r>
        <w:rPr>
          <w:rFonts w:hint="eastAsia" w:ascii="Calibri" w:hAnsi="Calibri" w:cs="Times New Roman" w:eastAsiaTheme="minorEastAsia"/>
          <w:b/>
          <w:bCs/>
          <w:i w:val="0"/>
          <w:color w:val="auto"/>
          <w:kern w:val="2"/>
          <w:sz w:val="21"/>
          <w:szCs w:val="21"/>
          <w:lang w:val="en-US" w:eastAsia="zh-CN" w:bidi="ar-SA"/>
        </w:rPr>
        <w:t>（一）工程建设规模</w:t>
      </w:r>
      <w:bookmarkEnd w:id="0"/>
      <w:bookmarkEnd w:id="1"/>
    </w:p>
    <w:p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adjustRightInd w:val="0"/>
        <w:snapToGrid w:val="0"/>
        <w:spacing w:line="360" w:lineRule="auto"/>
        <w:ind w:firstLine="480"/>
        <w:textAlignment w:val="auto"/>
        <w:rPr>
          <w:rFonts w:eastAsiaTheme="minorEastAsia"/>
          <w:sz w:val="21"/>
          <w:szCs w:val="21"/>
        </w:rPr>
      </w:pPr>
      <w:r>
        <w:rPr>
          <w:rFonts w:hint="eastAsia" w:eastAsiaTheme="minorEastAsia"/>
          <w:sz w:val="21"/>
          <w:szCs w:val="21"/>
        </w:rPr>
        <w:t>湖南</w:t>
      </w:r>
      <w:r>
        <w:rPr>
          <w:rFonts w:eastAsiaTheme="minorEastAsia"/>
          <w:sz w:val="21"/>
          <w:szCs w:val="21"/>
        </w:rPr>
        <w:t>-</w:t>
      </w:r>
      <w:r>
        <w:rPr>
          <w:rFonts w:hint="eastAsia" w:eastAsiaTheme="minorEastAsia"/>
          <w:sz w:val="21"/>
          <w:szCs w:val="21"/>
        </w:rPr>
        <w:t>贵州电力灵活互济工程（背靠背换流站工程）建设规模如下：</w:t>
      </w:r>
    </w:p>
    <w:tbl>
      <w:tblPr>
        <w:tblStyle w:val="12"/>
        <w:tblW w:w="836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830"/>
        <w:gridCol w:w="3012"/>
        <w:gridCol w:w="35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blHeader/>
          <w:jc w:val="center"/>
        </w:trPr>
        <w:tc>
          <w:tcPr>
            <w:tcW w:w="18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420" w:firstLineChars="0"/>
              <w:jc w:val="center"/>
              <w:textAlignment w:val="auto"/>
              <w:rPr>
                <w:b/>
                <w:bCs/>
                <w:snapToGrid w:val="0"/>
                <w:kern w:val="0"/>
                <w:sz w:val="21"/>
                <w:szCs w:val="21"/>
              </w:rPr>
            </w:pPr>
          </w:p>
        </w:tc>
        <w:tc>
          <w:tcPr>
            <w:tcW w:w="30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b/>
                <w:bCs/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b/>
                <w:bCs/>
                <w:snapToGrid w:val="0"/>
                <w:kern w:val="0"/>
                <w:sz w:val="21"/>
                <w:szCs w:val="21"/>
              </w:rPr>
              <w:t>本期</w:t>
            </w:r>
          </w:p>
        </w:tc>
        <w:tc>
          <w:tcPr>
            <w:tcW w:w="35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b/>
                <w:bCs/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b/>
                <w:bCs/>
                <w:snapToGrid w:val="0"/>
                <w:kern w:val="0"/>
                <w:sz w:val="21"/>
                <w:szCs w:val="21"/>
              </w:rPr>
              <w:t>终期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18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b/>
                <w:bCs/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b/>
                <w:bCs/>
                <w:snapToGrid w:val="0"/>
                <w:kern w:val="0"/>
                <w:sz w:val="21"/>
                <w:szCs w:val="21"/>
              </w:rPr>
              <w:t>直流额定功率</w:t>
            </w:r>
          </w:p>
        </w:tc>
        <w:tc>
          <w:tcPr>
            <w:tcW w:w="653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snapToGrid w:val="0"/>
                <w:kern w:val="0"/>
                <w:sz w:val="21"/>
                <w:szCs w:val="21"/>
              </w:rPr>
            </w:pPr>
            <w:r>
              <w:rPr>
                <w:snapToGrid w:val="0"/>
                <w:kern w:val="0"/>
                <w:sz w:val="21"/>
                <w:szCs w:val="21"/>
              </w:rPr>
              <w:t>2×1500MW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18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b/>
                <w:bCs/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b/>
                <w:bCs/>
                <w:snapToGrid w:val="0"/>
                <w:kern w:val="0"/>
                <w:sz w:val="21"/>
                <w:szCs w:val="21"/>
              </w:rPr>
              <w:t>直流主接线方式</w:t>
            </w:r>
          </w:p>
        </w:tc>
        <w:tc>
          <w:tcPr>
            <w:tcW w:w="653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两个柔直背靠背单元，对称单极接线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18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b/>
                <w:bCs/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b/>
                <w:bCs/>
                <w:snapToGrid w:val="0"/>
                <w:kern w:val="0"/>
                <w:sz w:val="21"/>
                <w:szCs w:val="21"/>
              </w:rPr>
              <w:t>柔直变压器</w:t>
            </w:r>
          </w:p>
        </w:tc>
        <w:tc>
          <w:tcPr>
            <w:tcW w:w="653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按</w:t>
            </w:r>
            <w:r>
              <w:rPr>
                <w:snapToGrid w:val="0"/>
                <w:kern w:val="0"/>
                <w:sz w:val="21"/>
                <w:szCs w:val="21"/>
              </w:rPr>
              <w:t>12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台</w:t>
            </w:r>
            <w:r>
              <w:rPr>
                <w:snapToGrid w:val="0"/>
                <w:kern w:val="0"/>
                <w:sz w:val="21"/>
                <w:szCs w:val="21"/>
              </w:rPr>
              <w:t>550MVA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单相双绕组变压器设计，</w:t>
            </w:r>
            <w:r>
              <w:rPr>
                <w:snapToGrid w:val="0"/>
                <w:kern w:val="0"/>
                <w:sz w:val="21"/>
                <w:szCs w:val="21"/>
              </w:rPr>
              <w:t xml:space="preserve"> 1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台备用，共</w:t>
            </w:r>
            <w:r>
              <w:rPr>
                <w:snapToGrid w:val="0"/>
                <w:kern w:val="0"/>
                <w:sz w:val="21"/>
                <w:szCs w:val="21"/>
              </w:rPr>
              <w:t>13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18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b/>
                <w:bCs/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b/>
                <w:bCs/>
                <w:snapToGrid w:val="0"/>
                <w:kern w:val="0"/>
                <w:sz w:val="21"/>
                <w:szCs w:val="21"/>
              </w:rPr>
              <w:t>主变规模</w:t>
            </w:r>
          </w:p>
        </w:tc>
        <w:tc>
          <w:tcPr>
            <w:tcW w:w="30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无主变</w:t>
            </w:r>
          </w:p>
        </w:tc>
        <w:tc>
          <w:tcPr>
            <w:tcW w:w="35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Chars="0"/>
              <w:jc w:val="center"/>
              <w:textAlignment w:val="auto"/>
              <w:rPr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贵州侧</w:t>
            </w:r>
            <w:r>
              <w:rPr>
                <w:snapToGrid w:val="0"/>
                <w:kern w:val="0"/>
                <w:sz w:val="21"/>
                <w:szCs w:val="21"/>
              </w:rPr>
              <w:t>3×1000MVA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18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b/>
                <w:bCs/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b/>
                <w:bCs/>
                <w:snapToGrid w:val="0"/>
                <w:kern w:val="0"/>
                <w:sz w:val="21"/>
                <w:szCs w:val="21"/>
              </w:rPr>
              <w:t>交流</w:t>
            </w:r>
            <w:r>
              <w:rPr>
                <w:b/>
                <w:bCs/>
                <w:snapToGrid w:val="0"/>
                <w:kern w:val="0"/>
                <w:sz w:val="21"/>
                <w:szCs w:val="21"/>
              </w:rPr>
              <w:t>500kV</w:t>
            </w:r>
            <w:r>
              <w:rPr>
                <w:rFonts w:hint="eastAsia"/>
                <w:b/>
                <w:bCs/>
                <w:snapToGrid w:val="0"/>
                <w:kern w:val="0"/>
                <w:sz w:val="21"/>
                <w:szCs w:val="21"/>
              </w:rPr>
              <w:t>出线</w:t>
            </w:r>
          </w:p>
        </w:tc>
        <w:tc>
          <w:tcPr>
            <w:tcW w:w="30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贵州侧出线</w:t>
            </w:r>
            <w:r>
              <w:rPr>
                <w:snapToGrid w:val="0"/>
                <w:kern w:val="0"/>
                <w:sz w:val="21"/>
                <w:szCs w:val="21"/>
              </w:rPr>
              <w:t>4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回，</w:t>
            </w:r>
          </w:p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分别至碧江</w:t>
            </w:r>
            <w:r>
              <w:rPr>
                <w:snapToGrid w:val="0"/>
                <w:kern w:val="0"/>
                <w:sz w:val="21"/>
                <w:szCs w:val="21"/>
              </w:rPr>
              <w:t>2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回、铜仁</w:t>
            </w:r>
            <w:r>
              <w:rPr>
                <w:snapToGrid w:val="0"/>
                <w:kern w:val="0"/>
                <w:sz w:val="21"/>
                <w:szCs w:val="21"/>
              </w:rPr>
              <w:t xml:space="preserve">2 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回；湖南侧出线</w:t>
            </w:r>
            <w:r>
              <w:rPr>
                <w:snapToGrid w:val="0"/>
                <w:kern w:val="0"/>
                <w:sz w:val="21"/>
                <w:szCs w:val="21"/>
              </w:rPr>
              <w:t>2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回分别至边城</w:t>
            </w:r>
            <w:r>
              <w:rPr>
                <w:snapToGrid w:val="0"/>
                <w:kern w:val="0"/>
                <w:sz w:val="21"/>
                <w:szCs w:val="21"/>
              </w:rPr>
              <w:t>1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回、牌楼</w:t>
            </w:r>
            <w:r>
              <w:rPr>
                <w:snapToGrid w:val="0"/>
                <w:kern w:val="0"/>
                <w:sz w:val="21"/>
                <w:szCs w:val="21"/>
              </w:rPr>
              <w:t>1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回</w:t>
            </w:r>
          </w:p>
        </w:tc>
        <w:tc>
          <w:tcPr>
            <w:tcW w:w="35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贵州侧出线</w:t>
            </w:r>
            <w:r>
              <w:rPr>
                <w:snapToGrid w:val="0"/>
                <w:kern w:val="0"/>
                <w:sz w:val="21"/>
                <w:szCs w:val="21"/>
              </w:rPr>
              <w:t>8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回，分别至碧江</w:t>
            </w:r>
            <w:r>
              <w:rPr>
                <w:snapToGrid w:val="0"/>
                <w:kern w:val="0"/>
                <w:sz w:val="21"/>
                <w:szCs w:val="21"/>
              </w:rPr>
              <w:t>3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回，外电</w:t>
            </w:r>
            <w:r>
              <w:rPr>
                <w:snapToGrid w:val="0"/>
                <w:kern w:val="0"/>
                <w:sz w:val="21"/>
                <w:szCs w:val="21"/>
              </w:rPr>
              <w:t>1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回，抽蓄</w:t>
            </w:r>
            <w:r>
              <w:rPr>
                <w:snapToGrid w:val="0"/>
                <w:kern w:val="0"/>
                <w:sz w:val="21"/>
                <w:szCs w:val="21"/>
              </w:rPr>
              <w:t>1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回，施秉</w:t>
            </w:r>
            <w:r>
              <w:rPr>
                <w:snapToGrid w:val="0"/>
                <w:kern w:val="0"/>
                <w:sz w:val="21"/>
                <w:szCs w:val="21"/>
              </w:rPr>
              <w:t>1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回，铜仁</w:t>
            </w:r>
            <w:r>
              <w:rPr>
                <w:snapToGrid w:val="0"/>
                <w:kern w:val="0"/>
                <w:sz w:val="21"/>
                <w:szCs w:val="21"/>
              </w:rPr>
              <w:t>2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回；湖南侧出线</w:t>
            </w:r>
            <w:r>
              <w:rPr>
                <w:snapToGrid w:val="0"/>
                <w:kern w:val="0"/>
                <w:sz w:val="21"/>
                <w:szCs w:val="21"/>
              </w:rPr>
              <w:t>2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回分别至边城</w:t>
            </w:r>
            <w:r>
              <w:rPr>
                <w:snapToGrid w:val="0"/>
                <w:kern w:val="0"/>
                <w:sz w:val="21"/>
                <w:szCs w:val="21"/>
              </w:rPr>
              <w:t>1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回、牌楼</w:t>
            </w:r>
            <w:r>
              <w:rPr>
                <w:snapToGrid w:val="0"/>
                <w:kern w:val="0"/>
                <w:sz w:val="21"/>
                <w:szCs w:val="21"/>
              </w:rPr>
              <w:t>1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回。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18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b/>
                <w:bCs/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b/>
                <w:bCs/>
                <w:snapToGrid w:val="0"/>
                <w:kern w:val="0"/>
                <w:sz w:val="21"/>
                <w:szCs w:val="21"/>
              </w:rPr>
              <w:t>交流</w:t>
            </w:r>
            <w:r>
              <w:rPr>
                <w:b/>
                <w:bCs/>
                <w:snapToGrid w:val="0"/>
                <w:kern w:val="0"/>
                <w:sz w:val="21"/>
                <w:szCs w:val="21"/>
              </w:rPr>
              <w:t>220kV</w:t>
            </w:r>
            <w:r>
              <w:rPr>
                <w:rFonts w:hint="eastAsia"/>
                <w:b/>
                <w:bCs/>
                <w:snapToGrid w:val="0"/>
                <w:kern w:val="0"/>
                <w:sz w:val="21"/>
                <w:szCs w:val="21"/>
              </w:rPr>
              <w:t>出线</w:t>
            </w:r>
          </w:p>
        </w:tc>
        <w:tc>
          <w:tcPr>
            <w:tcW w:w="30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无出线</w:t>
            </w:r>
          </w:p>
        </w:tc>
        <w:tc>
          <w:tcPr>
            <w:tcW w:w="35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贵州侧出线</w:t>
            </w:r>
            <w:r>
              <w:rPr>
                <w:snapToGrid w:val="0"/>
                <w:kern w:val="0"/>
                <w:sz w:val="21"/>
                <w:szCs w:val="21"/>
              </w:rPr>
              <w:t>14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18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b/>
                <w:bCs/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b/>
                <w:bCs/>
                <w:snapToGrid w:val="0"/>
                <w:kern w:val="0"/>
                <w:sz w:val="21"/>
                <w:szCs w:val="21"/>
              </w:rPr>
              <w:t>高压并联电抗器</w:t>
            </w:r>
          </w:p>
        </w:tc>
        <w:tc>
          <w:tcPr>
            <w:tcW w:w="30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至边城变</w:t>
            </w:r>
            <w:r>
              <w:rPr>
                <w:snapToGrid w:val="0"/>
                <w:kern w:val="0"/>
                <w:sz w:val="21"/>
                <w:szCs w:val="21"/>
              </w:rPr>
              <w:t>1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回</w:t>
            </w:r>
            <w:r>
              <w:rPr>
                <w:snapToGrid w:val="0"/>
                <w:kern w:val="0"/>
                <w:sz w:val="21"/>
                <w:szCs w:val="21"/>
              </w:rPr>
              <w:t>500kV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出线侧装设</w:t>
            </w:r>
            <w:r>
              <w:rPr>
                <w:snapToGrid w:val="0"/>
                <w:kern w:val="0"/>
                <w:sz w:val="21"/>
                <w:szCs w:val="21"/>
              </w:rPr>
              <w:t>1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组</w:t>
            </w:r>
            <w:r>
              <w:rPr>
                <w:snapToGrid w:val="0"/>
                <w:kern w:val="0"/>
                <w:sz w:val="21"/>
                <w:szCs w:val="21"/>
              </w:rPr>
              <w:t>120Mvar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高压并联电抗器及中性点小电抗</w:t>
            </w:r>
          </w:p>
        </w:tc>
        <w:tc>
          <w:tcPr>
            <w:tcW w:w="35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至边城变</w:t>
            </w:r>
            <w:r>
              <w:rPr>
                <w:snapToGrid w:val="0"/>
                <w:kern w:val="0"/>
                <w:sz w:val="21"/>
                <w:szCs w:val="21"/>
              </w:rPr>
              <w:t>1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回</w:t>
            </w:r>
            <w:r>
              <w:rPr>
                <w:snapToGrid w:val="0"/>
                <w:kern w:val="0"/>
                <w:sz w:val="21"/>
                <w:szCs w:val="21"/>
              </w:rPr>
              <w:t>500kV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出线侧装设</w:t>
            </w:r>
            <w:r>
              <w:rPr>
                <w:snapToGrid w:val="0"/>
                <w:kern w:val="0"/>
                <w:sz w:val="21"/>
                <w:szCs w:val="21"/>
              </w:rPr>
              <w:t>1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组</w:t>
            </w:r>
            <w:r>
              <w:rPr>
                <w:snapToGrid w:val="0"/>
                <w:kern w:val="0"/>
                <w:sz w:val="21"/>
                <w:szCs w:val="21"/>
              </w:rPr>
              <w:t>120Mvar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高压并联电抗器及中性点小电抗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18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b/>
                <w:bCs/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b/>
                <w:bCs/>
                <w:snapToGrid w:val="0"/>
                <w:kern w:val="0"/>
                <w:sz w:val="21"/>
                <w:szCs w:val="21"/>
              </w:rPr>
              <w:t>低压无功补偿</w:t>
            </w:r>
          </w:p>
        </w:tc>
        <w:tc>
          <w:tcPr>
            <w:tcW w:w="30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无</w:t>
            </w:r>
          </w:p>
        </w:tc>
        <w:tc>
          <w:tcPr>
            <w:tcW w:w="35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贵州侧每组主变低压侧预留</w:t>
            </w:r>
            <w:r>
              <w:rPr>
                <w:snapToGrid w:val="0"/>
                <w:kern w:val="0"/>
                <w:sz w:val="21"/>
                <w:szCs w:val="21"/>
              </w:rPr>
              <w:t>5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组低压无功补偿设备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18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b/>
                <w:bCs/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b/>
                <w:bCs/>
                <w:snapToGrid w:val="0"/>
                <w:kern w:val="0"/>
                <w:sz w:val="21"/>
                <w:szCs w:val="21"/>
              </w:rPr>
              <w:t>固定式融冰装置</w:t>
            </w:r>
          </w:p>
        </w:tc>
        <w:tc>
          <w:tcPr>
            <w:tcW w:w="30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新建一套直流融冰装置，</w:t>
            </w:r>
            <w:r>
              <w:rPr>
                <w:snapToGrid w:val="0"/>
                <w:kern w:val="0"/>
                <w:sz w:val="21"/>
                <w:szCs w:val="21"/>
              </w:rPr>
              <w:t>60MW</w:t>
            </w:r>
          </w:p>
        </w:tc>
        <w:tc>
          <w:tcPr>
            <w:tcW w:w="35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新建一套直流融冰装置，</w:t>
            </w:r>
            <w:r>
              <w:rPr>
                <w:snapToGrid w:val="0"/>
                <w:kern w:val="0"/>
                <w:sz w:val="21"/>
                <w:szCs w:val="21"/>
              </w:rPr>
              <w:t>60MW</w:t>
            </w:r>
          </w:p>
        </w:tc>
      </w:tr>
    </w:tbl>
    <w:p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adjustRightInd w:val="0"/>
        <w:snapToGrid w:val="0"/>
        <w:spacing w:line="360" w:lineRule="auto"/>
        <w:ind w:firstLine="480"/>
        <w:textAlignment w:val="auto"/>
        <w:rPr>
          <w:rFonts w:eastAsiaTheme="minorEastAsia"/>
          <w:sz w:val="21"/>
          <w:szCs w:val="21"/>
        </w:rPr>
      </w:pPr>
    </w:p>
    <w:p>
      <w:pPr>
        <w:pStyle w:val="3"/>
        <w:keepNext w:val="0"/>
        <w:keepLines w:val="0"/>
        <w:pageBreakBefore w:val="0"/>
        <w:widowControl w:val="0"/>
        <w:shd w:val="clear" w:color="auto" w:fill="auto"/>
        <w:wordWrap/>
        <w:overflowPunct/>
        <w:topLinePunct w:val="0"/>
        <w:bidi w:val="0"/>
        <w:snapToGrid w:val="0"/>
        <w:spacing w:beforeLines="0" w:afterLines="0" w:line="360" w:lineRule="auto"/>
        <w:textAlignment w:val="auto"/>
        <w:rPr>
          <w:rFonts w:hint="eastAsia" w:ascii="Calibri" w:hAnsi="Calibri" w:cs="Times New Roman" w:eastAsiaTheme="minorEastAsia"/>
          <w:b/>
          <w:bCs/>
          <w:i w:val="0"/>
          <w:color w:val="auto"/>
          <w:kern w:val="2"/>
          <w:sz w:val="21"/>
          <w:szCs w:val="21"/>
          <w:lang w:val="en-US" w:eastAsia="zh-CN" w:bidi="ar-SA"/>
        </w:rPr>
      </w:pPr>
      <w:bookmarkStart w:id="2" w:name="_Toc218503332"/>
      <w:bookmarkStart w:id="3" w:name="_Toc443982838"/>
      <w:r>
        <w:rPr>
          <w:rFonts w:hint="eastAsia" w:ascii="Calibri" w:hAnsi="Calibri" w:cs="Times New Roman" w:eastAsiaTheme="minorEastAsia"/>
          <w:b/>
          <w:bCs/>
          <w:i w:val="0"/>
          <w:color w:val="auto"/>
          <w:kern w:val="2"/>
          <w:sz w:val="21"/>
          <w:szCs w:val="21"/>
          <w:lang w:val="en-US" w:eastAsia="zh-CN" w:bidi="ar-SA"/>
        </w:rPr>
        <w:t>（二）站址概况</w:t>
      </w:r>
      <w:bookmarkEnd w:id="2"/>
      <w:bookmarkEnd w:id="3"/>
    </w:p>
    <w:p>
      <w:pPr>
        <w:pStyle w:val="4"/>
        <w:keepNext w:val="0"/>
        <w:keepLines w:val="0"/>
        <w:pageBreakBefore w:val="0"/>
        <w:widowControl w:val="0"/>
        <w:wordWrap/>
        <w:overflowPunct/>
        <w:topLinePunct w:val="0"/>
        <w:bidi w:val="0"/>
        <w:snapToGrid w:val="0"/>
        <w:spacing w:after="0" w:line="360" w:lineRule="auto"/>
        <w:ind w:firstLine="420" w:firstLineChars="200"/>
        <w:textAlignment w:val="auto"/>
        <w:rPr>
          <w:rFonts w:hint="default"/>
          <w:sz w:val="21"/>
          <w:szCs w:val="21"/>
          <w:highlight w:val="none"/>
          <w:lang w:val="en-US" w:eastAsia="zh-CN"/>
        </w:rPr>
      </w:pPr>
      <w:r>
        <w:rPr>
          <w:rFonts w:hint="eastAsia"/>
          <w:sz w:val="21"/>
          <w:szCs w:val="21"/>
          <w:highlight w:val="none"/>
          <w:lang w:val="en-US" w:eastAsia="zh-CN"/>
        </w:rPr>
        <w:t>背靠背换流站</w:t>
      </w:r>
      <w:r>
        <w:rPr>
          <w:rFonts w:hint="default"/>
          <w:sz w:val="21"/>
          <w:szCs w:val="21"/>
          <w:highlight w:val="none"/>
          <w:lang w:val="en-US" w:eastAsia="zh-CN"/>
        </w:rPr>
        <w:t>址位于铜仁市万山区茶店街道，位于万山区中部，距铜仁城区万山主城区城中心约10km，南侧2.5km有茶店收费站，东侧300米处为铜大高速南北向经过，东南侧毗邻茶店服务区。</w:t>
      </w:r>
    </w:p>
    <w:p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adjustRightInd w:val="0"/>
        <w:snapToGrid w:val="0"/>
        <w:spacing w:line="360" w:lineRule="auto"/>
        <w:ind w:firstLine="480"/>
        <w:textAlignment w:val="auto"/>
        <w:rPr>
          <w:rFonts w:hint="eastAsia" w:ascii="宋体" w:hAnsi="宋体"/>
          <w:kern w:val="0"/>
          <w:sz w:val="21"/>
          <w:szCs w:val="21"/>
          <w:highlight w:val="none"/>
        </w:rPr>
      </w:pPr>
      <w:r>
        <w:rPr>
          <w:rFonts w:ascii="宋体" w:hAnsi="宋体"/>
          <w:kern w:val="0"/>
          <w:sz w:val="21"/>
          <w:szCs w:val="21"/>
          <w:highlight w:val="none"/>
        </w:rPr>
        <w:t>站址围墙内占地面积12.2114 hm2，新建进站道路长度985m，站区围墙长度1753m。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snapToGrid w:val="0"/>
        <w:spacing w:line="360" w:lineRule="auto"/>
        <w:ind w:firstLine="420" w:firstLineChars="200"/>
        <w:textAlignment w:val="auto"/>
        <w:rPr>
          <w:rFonts w:hint="default" w:ascii="Times New Roman" w:hAnsi="Times New Roman" w:cs="Times New Roman"/>
          <w:b w:val="0"/>
          <w:bCs/>
          <w:color w:val="auto"/>
          <w:sz w:val="21"/>
          <w:szCs w:val="21"/>
          <w:highlight w:val="none"/>
          <w:u w:val="none"/>
        </w:rPr>
      </w:pPr>
      <w:r>
        <w:rPr>
          <w:rFonts w:hint="default" w:ascii="Times New Roman" w:hAnsi="Times New Roman" w:cs="Times New Roman"/>
          <w:b w:val="0"/>
          <w:bCs/>
          <w:color w:val="auto"/>
          <w:sz w:val="21"/>
          <w:szCs w:val="21"/>
          <w:highlight w:val="none"/>
          <w:u w:val="none"/>
        </w:rPr>
        <w:t>站址按A轴北偏西56°方向布置，全站根据功能分区，可划分为“阀厅”、“柔直变及启动回路”、“交流场”、 “生产辅助和站前区”区域。</w:t>
      </w:r>
    </w:p>
    <w:p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adjustRightInd w:val="0"/>
        <w:snapToGrid w:val="0"/>
        <w:spacing w:line="360" w:lineRule="auto"/>
        <w:ind w:firstLine="480"/>
        <w:textAlignment w:val="auto"/>
        <w:rPr>
          <w:rFonts w:hint="eastAsia" w:ascii="宋体" w:hAnsi="宋体"/>
          <w:kern w:val="0"/>
          <w:sz w:val="21"/>
          <w:szCs w:val="21"/>
          <w:highlight w:val="none"/>
        </w:rPr>
      </w:pPr>
      <w:r>
        <w:rPr>
          <w:rFonts w:ascii="宋体" w:hAnsi="宋体"/>
          <w:kern w:val="0"/>
          <w:sz w:val="21"/>
          <w:szCs w:val="21"/>
          <w:highlight w:val="none"/>
        </w:rPr>
        <w:t>总平面由西向东四列式布置：交流配电装置(贵州侧）→启动回路及柔直变区域→主辅控楼及柔直阀厅→启动回路及柔直变区域→交流配电装置（湖南侧）。</w:t>
      </w:r>
    </w:p>
    <w:tbl>
      <w:tblPr>
        <w:tblStyle w:val="12"/>
        <w:tblW w:w="8522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22" w:type="dxa"/>
            <w:vAlign w:val="center"/>
          </w:tcPr>
          <w:p>
            <w:pPr>
              <w:pStyle w:val="18"/>
              <w:ind w:firstLine="0" w:firstLineChars="0"/>
              <w:jc w:val="center"/>
              <w:rPr>
                <w:rFonts w:hint="eastAsia" w:ascii="宋体" w:hAnsi="宋体"/>
                <w:bCs/>
                <w:color w:val="auto"/>
              </w:rPr>
            </w:pPr>
            <w:r>
              <w:rPr>
                <w:rFonts w:ascii="宋体" w:hAnsi="宋体"/>
                <w:bCs/>
                <w:color w:val="auto"/>
              </w:rPr>
              <w:drawing>
                <wp:inline distT="0" distB="0" distL="0" distR="0">
                  <wp:extent cx="5306060" cy="2113280"/>
                  <wp:effectExtent l="0" t="0" r="8890" b="1270"/>
                  <wp:docPr id="4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6060" cy="2113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both"/>
        <w:textAlignment w:val="auto"/>
        <w:outlineLvl w:val="9"/>
        <w:rPr>
          <w:rFonts w:hint="default" w:ascii="Times New Roman" w:hAnsi="Times New Roman" w:eastAsia="宋体" w:cs="Times New Roman"/>
          <w:b/>
          <w:bCs/>
          <w:i w:val="0"/>
          <w:iCs w:val="0"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  <w:t>二、采购</w:t>
      </w:r>
      <w:r>
        <w:rPr>
          <w:rFonts w:hint="default" w:ascii="Times New Roman" w:hAnsi="Times New Roman" w:eastAsia="宋体" w:cs="Times New Roman"/>
          <w:b/>
          <w:bCs/>
          <w:i w:val="0"/>
          <w:i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  <w:t>范围</w:t>
      </w:r>
    </w:p>
    <w:p>
      <w:pPr>
        <w:pStyle w:val="8"/>
        <w:snapToGrid w:val="0"/>
        <w:spacing w:line="360" w:lineRule="auto"/>
        <w:ind w:firstLine="422" w:firstLineChars="200"/>
        <w:jc w:val="left"/>
        <w:outlineLvl w:val="0"/>
        <w:rPr>
          <w:rFonts w:hint="default" w:ascii="Times New Roman" w:hAnsi="Times New Roman" w:cs="Times New Roman"/>
          <w:b/>
          <w:bCs/>
          <w:snapToGrid w:val="0"/>
          <w:color w:val="auto"/>
          <w:sz w:val="21"/>
          <w:szCs w:val="21"/>
          <w:highlight w:val="none"/>
        </w:rPr>
      </w:pPr>
      <w:r>
        <w:rPr>
          <w:rFonts w:hint="default" w:ascii="Times New Roman" w:hAnsi="Times New Roman" w:cs="Times New Roman"/>
          <w:b/>
          <w:bCs/>
          <w:snapToGrid w:val="0"/>
          <w:color w:val="auto"/>
          <w:sz w:val="21"/>
          <w:szCs w:val="21"/>
          <w:highlight w:val="none"/>
        </w:rPr>
        <w:t>包括</w:t>
      </w:r>
      <w:r>
        <w:rPr>
          <w:rFonts w:hint="eastAsia" w:ascii="Times New Roman" w:hAnsi="Times New Roman" w:cs="Times New Roman"/>
          <w:b/>
          <w:bCs/>
          <w:snapToGrid w:val="0"/>
          <w:color w:val="auto"/>
          <w:sz w:val="21"/>
          <w:szCs w:val="21"/>
          <w:highlight w:val="none"/>
          <w:lang w:val="en-US" w:eastAsia="zh-CN"/>
        </w:rPr>
        <w:t>全站</w:t>
      </w:r>
      <w:r>
        <w:rPr>
          <w:rFonts w:hint="default" w:ascii="Times New Roman" w:hAnsi="Times New Roman" w:cs="Times New Roman"/>
          <w:b/>
          <w:bCs/>
          <w:snapToGrid w:val="0"/>
          <w:color w:val="auto"/>
          <w:sz w:val="21"/>
          <w:szCs w:val="21"/>
          <w:highlight w:val="none"/>
        </w:rPr>
        <w:t>的建筑、安装及调试工程。</w:t>
      </w:r>
    </w:p>
    <w:p>
      <w:pPr>
        <w:autoSpaceDE w:val="0"/>
        <w:autoSpaceDN w:val="0"/>
        <w:adjustRightInd w:val="0"/>
        <w:snapToGrid w:val="0"/>
        <w:spacing w:line="360" w:lineRule="auto"/>
        <w:ind w:firstLine="422" w:firstLineChars="200"/>
        <w:rPr>
          <w:rFonts w:hint="default" w:ascii="Times New Roman" w:hAnsi="Times New Roman"/>
          <w:bCs/>
          <w:color w:val="auto"/>
          <w:szCs w:val="21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 w:val="0"/>
          <w:color w:val="auto"/>
          <w:szCs w:val="21"/>
          <w:highlight w:val="none"/>
          <w:lang w:val="en-US" w:eastAsia="zh-CN"/>
        </w:rPr>
        <w:t>建筑、安装A包</w:t>
      </w:r>
      <w:r>
        <w:rPr>
          <w:rFonts w:hint="default" w:ascii="Times New Roman" w:hAnsi="Times New Roman" w:eastAsia="宋体" w:cs="Times New Roman"/>
          <w:b/>
          <w:bCs w:val="0"/>
          <w:color w:val="auto"/>
          <w:szCs w:val="21"/>
          <w:highlight w:val="none"/>
          <w:lang w:val="en-US" w:eastAsia="zh-CN"/>
        </w:rPr>
        <w:t>：</w:t>
      </w:r>
      <w:r>
        <w:rPr>
          <w:rFonts w:hint="default" w:ascii="Times New Roman" w:hAnsi="Times New Roman" w:eastAsia="宋体" w:cs="Times New Roman"/>
          <w:b w:val="0"/>
          <w:bCs/>
          <w:color w:val="auto"/>
          <w:szCs w:val="21"/>
          <w:highlight w:val="none"/>
          <w:lang w:val="en-US" w:eastAsia="zh-CN"/>
        </w:rPr>
        <w:t>阀厅、主辅控楼、湖南侧柔直变及启动回路区域、湖南侧交流场区域内建筑工程和电气安装及配套设施。从本工程施工准备至工程竣工投产及工程移交、达标投产及创优止各阶段的建筑、安装等相关工作内容和服务。</w:t>
      </w:r>
      <w:r>
        <w:rPr>
          <w:rFonts w:hint="default" w:ascii="Times New Roman" w:hAnsi="Times New Roman"/>
          <w:b/>
          <w:bCs w:val="0"/>
          <w:color w:val="auto"/>
          <w:szCs w:val="21"/>
          <w:highlight w:val="none"/>
          <w:lang w:val="en-US" w:eastAsia="zh-CN"/>
        </w:rPr>
        <w:t>注：</w:t>
      </w:r>
      <w:r>
        <w:rPr>
          <w:rFonts w:hint="default" w:ascii="Times New Roman" w:hAnsi="Times New Roman"/>
          <w:bCs/>
          <w:color w:val="auto"/>
          <w:szCs w:val="21"/>
          <w:highlight w:val="none"/>
          <w:lang w:val="en-US" w:eastAsia="zh-CN"/>
        </w:rPr>
        <w:t>1标段即下面划分图中的</w:t>
      </w:r>
      <w:r>
        <w:rPr>
          <w:rFonts w:hint="eastAsia" w:ascii="Times New Roman" w:hAnsi="Times New Roman"/>
          <w:bCs/>
          <w:color w:val="auto"/>
          <w:szCs w:val="21"/>
          <w:highlight w:val="none"/>
          <w:lang w:val="en-US" w:eastAsia="zh-CN"/>
        </w:rPr>
        <w:t>A</w:t>
      </w:r>
      <w:r>
        <w:rPr>
          <w:rFonts w:hint="default" w:ascii="Times New Roman" w:hAnsi="Times New Roman"/>
          <w:bCs/>
          <w:color w:val="auto"/>
          <w:szCs w:val="21"/>
          <w:highlight w:val="none"/>
          <w:lang w:val="en-US" w:eastAsia="zh-CN"/>
        </w:rPr>
        <w:t>包范围。</w:t>
      </w:r>
    </w:p>
    <w:p>
      <w:pPr>
        <w:autoSpaceDE w:val="0"/>
        <w:autoSpaceDN w:val="0"/>
        <w:adjustRightInd w:val="0"/>
        <w:snapToGrid w:val="0"/>
        <w:spacing w:line="360" w:lineRule="auto"/>
        <w:ind w:firstLine="420" w:firstLineChars="200"/>
        <w:rPr>
          <w:rFonts w:hint="default"/>
          <w:lang w:val="en-US" w:eastAsia="zh-CN"/>
        </w:rPr>
      </w:pPr>
      <w:r>
        <w:drawing>
          <wp:inline distT="0" distB="0" distL="114300" distR="114300">
            <wp:extent cx="4597400" cy="2362200"/>
            <wp:effectExtent l="0" t="0" r="1270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9740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8"/>
        <w:snapToGrid w:val="0"/>
        <w:spacing w:line="360" w:lineRule="auto"/>
        <w:rPr>
          <w:rFonts w:hint="default" w:ascii="Times New Roman" w:hAnsi="Times New Roman" w:cs="Times New Roman"/>
          <w:b/>
          <w:bCs/>
          <w:snapToGrid w:val="0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cs="Times New Roman"/>
          <w:b/>
          <w:bCs/>
          <w:snapToGrid w:val="0"/>
          <w:color w:val="auto"/>
          <w:sz w:val="24"/>
          <w:szCs w:val="24"/>
          <w:highlight w:val="none"/>
        </w:rPr>
        <w:t>三、承包方式</w:t>
      </w:r>
    </w:p>
    <w:p>
      <w:pPr>
        <w:pStyle w:val="8"/>
        <w:snapToGrid w:val="0"/>
        <w:spacing w:line="360" w:lineRule="auto"/>
        <w:ind w:firstLine="422" w:firstLineChars="200"/>
        <w:rPr>
          <w:rFonts w:hint="default" w:ascii="Times New Roman" w:hAnsi="Times New Roman" w:eastAsia="宋体" w:cs="Times New Roman"/>
          <w:b/>
          <w:bCs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default" w:ascii="Times New Roman" w:hAnsi="Times New Roman" w:eastAsia="宋体" w:cs="Times New Roman"/>
          <w:b/>
          <w:bCs w:val="0"/>
          <w:color w:val="auto"/>
          <w:kern w:val="2"/>
          <w:sz w:val="21"/>
          <w:szCs w:val="21"/>
          <w:highlight w:val="none"/>
          <w:lang w:val="en-US" w:eastAsia="zh-CN" w:bidi="ar-SA"/>
        </w:rPr>
        <w:t>包工、部分包料，施工图纸范围内如有下列设备、材料，无□及</w:t>
      </w:r>
      <w:r>
        <w:rPr>
          <w:rFonts w:hint="default" w:ascii="Times New Roman" w:hAnsi="Times New Roman" w:eastAsia="宋体" w:cs="Times New Roman"/>
          <w:b/>
          <w:bCs w:val="0"/>
          <w:color w:val="auto"/>
          <w:kern w:val="2"/>
          <w:sz w:val="21"/>
          <w:szCs w:val="21"/>
          <w:highlight w:val="none"/>
          <w:lang w:val="en-US" w:eastAsia="zh-CN" w:bidi="ar-SA"/>
        </w:rPr>
        <w:fldChar w:fldCharType="begin"/>
      </w:r>
      <w:r>
        <w:rPr>
          <w:rFonts w:hint="default" w:ascii="Times New Roman" w:hAnsi="Times New Roman" w:eastAsia="宋体" w:cs="Times New Roman"/>
          <w:b/>
          <w:bCs w:val="0"/>
          <w:color w:val="auto"/>
          <w:kern w:val="2"/>
          <w:sz w:val="21"/>
          <w:szCs w:val="21"/>
          <w:highlight w:val="none"/>
          <w:lang w:val="en-US" w:eastAsia="zh-CN" w:bidi="ar-SA"/>
        </w:rPr>
        <w:instrText xml:space="preserve"> EQ \o\ac(□,√)</w:instrText>
      </w:r>
      <w:r>
        <w:rPr>
          <w:rFonts w:hint="default" w:ascii="Times New Roman" w:hAnsi="Times New Roman" w:eastAsia="宋体" w:cs="Times New Roman"/>
          <w:b/>
          <w:bCs w:val="0"/>
          <w:color w:val="auto"/>
          <w:kern w:val="2"/>
          <w:sz w:val="21"/>
          <w:szCs w:val="21"/>
          <w:highlight w:val="none"/>
          <w:lang w:val="en-US" w:eastAsia="zh-CN" w:bidi="ar-SA"/>
        </w:rPr>
        <w:fldChar w:fldCharType="end"/>
      </w:r>
      <w:r>
        <w:rPr>
          <w:rFonts w:hint="default" w:ascii="Times New Roman" w:hAnsi="Times New Roman" w:eastAsia="宋体" w:cs="Times New Roman"/>
          <w:b/>
          <w:bCs w:val="0"/>
          <w:color w:val="auto"/>
          <w:kern w:val="2"/>
          <w:sz w:val="21"/>
          <w:szCs w:val="21"/>
          <w:highlight w:val="none"/>
          <w:lang w:val="en-US" w:eastAsia="zh-CN" w:bidi="ar-SA"/>
        </w:rPr>
        <w:t>的为甲供，□未打√的及不在下列的为乙供。</w:t>
      </w:r>
    </w:p>
    <w:p>
      <w:pPr>
        <w:autoSpaceDE w:val="0"/>
        <w:autoSpaceDN w:val="0"/>
        <w:adjustRightInd w:val="0"/>
        <w:snapToGrid w:val="0"/>
        <w:spacing w:line="360" w:lineRule="auto"/>
        <w:ind w:firstLine="422" w:firstLineChars="200"/>
        <w:jc w:val="left"/>
        <w:rPr>
          <w:rFonts w:hint="default" w:ascii="Times New Roman" w:hAnsi="Times New Roman" w:cs="Times New Roman"/>
          <w:b/>
          <w:color w:val="auto"/>
          <w:szCs w:val="21"/>
          <w:highlight w:val="none"/>
        </w:rPr>
      </w:pPr>
      <w:r>
        <w:rPr>
          <w:rFonts w:hint="default" w:ascii="Times New Roman" w:hAnsi="Times New Roman" w:cs="Times New Roman"/>
          <w:b/>
          <w:color w:val="auto"/>
          <w:szCs w:val="21"/>
          <w:highlight w:val="none"/>
        </w:rPr>
        <w:t>（一）甲供物资：</w:t>
      </w:r>
    </w:p>
    <w:p>
      <w:pPr>
        <w:shd w:val="clear" w:color="auto" w:fill="auto"/>
        <w:autoSpaceDE w:val="0"/>
        <w:autoSpaceDN w:val="0"/>
        <w:adjustRightInd w:val="0"/>
        <w:snapToGrid w:val="0"/>
        <w:spacing w:line="360" w:lineRule="auto"/>
        <w:ind w:firstLine="422" w:firstLineChars="200"/>
        <w:jc w:val="left"/>
        <w:rPr>
          <w:rFonts w:hint="eastAsia" w:ascii="Times New Roman" w:hAnsi="Times New Roman" w:eastAsia="宋体" w:cs="Times New Roman"/>
          <w:b w:val="0"/>
          <w:bCs/>
          <w:color w:val="auto"/>
          <w:szCs w:val="21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 w:val="0"/>
          <w:color w:val="auto"/>
          <w:szCs w:val="21"/>
          <w:highlight w:val="none"/>
          <w:lang w:val="en-US" w:eastAsia="zh-CN"/>
        </w:rPr>
        <w:t>1）建筑工程：</w:t>
      </w:r>
      <w:r>
        <w:rPr>
          <w:rFonts w:hint="eastAsia" w:ascii="Times New Roman" w:hAnsi="Times New Roman" w:eastAsia="宋体" w:cs="Times New Roman"/>
          <w:b w:val="0"/>
          <w:bCs/>
          <w:color w:val="auto"/>
          <w:szCs w:val="21"/>
          <w:highlight w:val="none"/>
          <w:lang w:val="en-US" w:eastAsia="zh-CN"/>
        </w:rPr>
        <w:t>构支架钢结构、建筑钢结构、建筑压型钢板、BOX-IN及围墙隔声屏障、通风空调（部分）等。</w:t>
      </w:r>
    </w:p>
    <w:p>
      <w:pPr>
        <w:shd w:val="clear" w:color="auto" w:fill="auto"/>
        <w:autoSpaceDE w:val="0"/>
        <w:autoSpaceDN w:val="0"/>
        <w:adjustRightInd w:val="0"/>
        <w:snapToGrid w:val="0"/>
        <w:spacing w:line="360" w:lineRule="auto"/>
        <w:ind w:firstLine="422" w:firstLineChars="200"/>
        <w:jc w:val="left"/>
        <w:rPr>
          <w:rFonts w:hint="eastAsia" w:ascii="Times New Roman" w:hAnsi="Times New Roman" w:eastAsia="宋体" w:cs="Times New Roman"/>
          <w:b w:val="0"/>
          <w:bCs/>
          <w:color w:val="auto"/>
          <w:szCs w:val="21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 w:val="0"/>
          <w:color w:val="auto"/>
          <w:szCs w:val="21"/>
          <w:highlight w:val="none"/>
          <w:lang w:val="en-US" w:eastAsia="zh-CN"/>
        </w:rPr>
        <w:t>2）安装工程：</w:t>
      </w:r>
      <w:r>
        <w:rPr>
          <w:rFonts w:hint="eastAsia" w:ascii="Times New Roman" w:hAnsi="Times New Roman" w:eastAsia="宋体" w:cs="Times New Roman"/>
          <w:b w:val="0"/>
          <w:bCs/>
          <w:color w:val="auto"/>
          <w:szCs w:val="21"/>
          <w:highlight w:val="none"/>
          <w:lang w:val="en-US" w:eastAsia="zh-CN"/>
        </w:rPr>
        <w:t>电气交直流一、二次设备(含柔直阀、柔直变、桥臂电抗器、交流GIS、站用变、高抗、控保等)、全站电缆、电缆桥架、10kV及以上电缆头、支柱绝缘子、管形母线及管母金具等。</w:t>
      </w:r>
    </w:p>
    <w:p>
      <w:pPr>
        <w:numPr>
          <w:ilvl w:val="0"/>
          <w:numId w:val="0"/>
        </w:numPr>
        <w:autoSpaceDE w:val="0"/>
        <w:autoSpaceDN w:val="0"/>
        <w:adjustRightInd w:val="0"/>
        <w:snapToGrid w:val="0"/>
        <w:spacing w:line="360" w:lineRule="auto"/>
        <w:ind w:firstLine="211" w:firstLineChars="100"/>
        <w:jc w:val="left"/>
        <w:rPr>
          <w:rFonts w:hint="default" w:ascii="Times New Roman" w:hAnsi="Times New Roman" w:cs="Times New Roman"/>
          <w:b/>
          <w:color w:val="auto"/>
          <w:szCs w:val="21"/>
          <w:highlight w:val="none"/>
        </w:rPr>
      </w:pPr>
    </w:p>
    <w:p>
      <w:pPr>
        <w:numPr>
          <w:ilvl w:val="0"/>
          <w:numId w:val="0"/>
        </w:numPr>
        <w:autoSpaceDE w:val="0"/>
        <w:autoSpaceDN w:val="0"/>
        <w:adjustRightInd w:val="0"/>
        <w:snapToGrid w:val="0"/>
        <w:spacing w:line="360" w:lineRule="auto"/>
        <w:ind w:firstLine="211" w:firstLineChars="100"/>
        <w:jc w:val="left"/>
        <w:rPr>
          <w:rFonts w:hint="default" w:ascii="Times New Roman" w:hAnsi="Times New Roman" w:cs="Times New Roman"/>
          <w:bCs/>
          <w:color w:val="auto"/>
          <w:szCs w:val="21"/>
          <w:highlight w:val="none"/>
          <w:u w:val="single"/>
        </w:rPr>
      </w:pPr>
      <w:r>
        <w:rPr>
          <w:rFonts w:hint="default" w:ascii="Times New Roman" w:hAnsi="Times New Roman" w:cs="Times New Roman"/>
          <w:b/>
          <w:color w:val="auto"/>
          <w:szCs w:val="21"/>
          <w:highlight w:val="none"/>
        </w:rPr>
        <w:t>（</w:t>
      </w:r>
      <w:r>
        <w:rPr>
          <w:rFonts w:hint="eastAsia" w:ascii="Times New Roman" w:hAnsi="Times New Roman" w:cs="Times New Roman"/>
          <w:b/>
          <w:color w:val="auto"/>
          <w:szCs w:val="21"/>
          <w:highlight w:val="none"/>
          <w:lang w:val="en-US" w:eastAsia="zh-CN"/>
        </w:rPr>
        <w:t>二</w:t>
      </w:r>
      <w:r>
        <w:rPr>
          <w:rFonts w:hint="default" w:ascii="Times New Roman" w:hAnsi="Times New Roman" w:cs="Times New Roman"/>
          <w:b/>
          <w:color w:val="auto"/>
          <w:szCs w:val="21"/>
          <w:highlight w:val="none"/>
        </w:rPr>
        <w:t>）其他甲供物资：</w:t>
      </w:r>
      <w:r>
        <w:rPr>
          <w:rFonts w:hint="default" w:ascii="Times New Roman" w:hAnsi="Times New Roman" w:cs="Times New Roman"/>
          <w:bCs/>
          <w:color w:val="auto"/>
          <w:szCs w:val="21"/>
          <w:highlight w:val="none"/>
          <w:u w:val="single"/>
        </w:rPr>
        <w:t xml:space="preserve"> /。</w:t>
      </w:r>
    </w:p>
    <w:p>
      <w:pPr>
        <w:pStyle w:val="8"/>
        <w:rPr>
          <w:rFonts w:hint="eastAsia" w:ascii="Times New Roman" w:hAnsi="Times New Roman" w:cs="Times New Roman"/>
          <w:b/>
          <w:bCs/>
          <w:color w:val="auto"/>
          <w:highlight w:val="none"/>
          <w:lang w:eastAsia="zh-CN"/>
        </w:rPr>
      </w:pPr>
      <w:r>
        <w:rPr>
          <w:rFonts w:hint="default" w:ascii="Times New Roman" w:hAnsi="Times New Roman" w:cs="Times New Roman"/>
          <w:b/>
          <w:bCs/>
          <w:color w:val="auto"/>
          <w:highlight w:val="none"/>
        </w:rPr>
        <w:t>注：建设单位提供的设备、材料以合同附件（甲供设备材料明细表）为准</w:t>
      </w:r>
      <w:r>
        <w:rPr>
          <w:rFonts w:hint="eastAsia" w:ascii="Times New Roman" w:hAnsi="Times New Roman" w:cs="Times New Roman"/>
          <w:b/>
          <w:bCs/>
          <w:color w:val="auto"/>
          <w:highlight w:val="none"/>
          <w:lang w:eastAsia="zh-CN"/>
        </w:rPr>
        <w:t>。</w:t>
      </w:r>
    </w:p>
    <w:p>
      <w:pPr>
        <w:pStyle w:val="8"/>
        <w:rPr>
          <w:rFonts w:hint="eastAsia" w:ascii="Times New Roman" w:hAnsi="Times New Roman" w:cs="Times New Roman"/>
          <w:b/>
          <w:bCs/>
          <w:color w:val="auto"/>
          <w:highlight w:val="none"/>
          <w:lang w:eastAsia="zh-CN"/>
        </w:rPr>
      </w:pPr>
    </w:p>
    <w:p>
      <w:pPr>
        <w:pStyle w:val="8"/>
        <w:rPr>
          <w:rFonts w:hint="eastAsia" w:ascii="Times New Roman" w:hAnsi="Times New Roman" w:cs="Times New Roman"/>
          <w:b/>
          <w:bCs/>
          <w:color w:val="auto"/>
          <w:highlight w:val="none"/>
          <w:lang w:eastAsia="zh-CN"/>
        </w:rPr>
      </w:pPr>
    </w:p>
    <w:p>
      <w:pPr>
        <w:pStyle w:val="8"/>
        <w:rPr>
          <w:rFonts w:hint="eastAsia" w:ascii="Times New Roman" w:hAnsi="Times New Roman" w:cs="Times New Roman"/>
          <w:b/>
          <w:bCs/>
          <w:color w:val="auto"/>
          <w:highlight w:val="none"/>
          <w:lang w:eastAsia="zh-CN"/>
        </w:rPr>
      </w:pPr>
    </w:p>
    <w:p>
      <w:pPr>
        <w:pStyle w:val="8"/>
        <w:rPr>
          <w:rFonts w:hint="eastAsia" w:ascii="Times New Roman" w:hAnsi="Times New Roman" w:cs="Times New Roman"/>
          <w:b/>
          <w:bCs/>
          <w:color w:val="auto"/>
          <w:highlight w:val="none"/>
          <w:lang w:eastAsia="zh-CN"/>
        </w:rPr>
      </w:pPr>
    </w:p>
    <w:p>
      <w:pPr>
        <w:pStyle w:val="8"/>
        <w:rPr>
          <w:rFonts w:hint="eastAsia" w:ascii="Times New Roman" w:hAnsi="Times New Roman" w:cs="Times New Roman"/>
          <w:b/>
          <w:bCs/>
          <w:color w:val="auto"/>
          <w:highlight w:val="none"/>
          <w:lang w:eastAsia="zh-CN"/>
        </w:rPr>
      </w:pPr>
    </w:p>
    <w:p>
      <w:pPr>
        <w:pStyle w:val="8"/>
        <w:rPr>
          <w:rFonts w:hint="eastAsia" w:ascii="Times New Roman" w:hAnsi="Times New Roman" w:cs="Times New Roman"/>
          <w:b/>
          <w:bCs/>
          <w:color w:val="auto"/>
          <w:highlight w:val="none"/>
          <w:lang w:eastAsia="zh-CN"/>
        </w:rPr>
      </w:pPr>
    </w:p>
    <w:p>
      <w:pPr>
        <w:pStyle w:val="8"/>
        <w:rPr>
          <w:rFonts w:hint="eastAsia" w:ascii="Times New Roman" w:hAnsi="Times New Roman" w:cs="Times New Roman"/>
          <w:b/>
          <w:bCs/>
          <w:color w:val="auto"/>
          <w:highlight w:val="none"/>
          <w:lang w:eastAsia="zh-CN"/>
        </w:rPr>
      </w:pPr>
    </w:p>
    <w:p>
      <w:pPr>
        <w:pStyle w:val="8"/>
        <w:rPr>
          <w:rFonts w:hint="eastAsia" w:ascii="Times New Roman" w:hAnsi="Times New Roman" w:cs="Times New Roman"/>
          <w:b/>
          <w:bCs/>
          <w:color w:val="auto"/>
          <w:highlight w:val="none"/>
          <w:lang w:eastAsia="zh-CN"/>
        </w:rPr>
      </w:pPr>
    </w:p>
    <w:p>
      <w:pPr>
        <w:pStyle w:val="8"/>
        <w:rPr>
          <w:rFonts w:hint="eastAsia" w:ascii="Times New Roman" w:hAnsi="Times New Roman" w:cs="Times New Roman"/>
          <w:b/>
          <w:bCs/>
          <w:color w:val="auto"/>
          <w:highlight w:val="none"/>
          <w:lang w:eastAsia="zh-CN"/>
        </w:rPr>
      </w:pPr>
    </w:p>
    <w:p>
      <w:pPr>
        <w:pStyle w:val="8"/>
        <w:rPr>
          <w:rFonts w:hint="eastAsia" w:ascii="Times New Roman" w:hAnsi="Times New Roman" w:cs="Times New Roman"/>
          <w:b/>
          <w:bCs/>
          <w:color w:val="auto"/>
          <w:highlight w:val="none"/>
          <w:lang w:eastAsia="zh-CN"/>
        </w:rPr>
      </w:pPr>
    </w:p>
    <w:p>
      <w:pPr>
        <w:pStyle w:val="8"/>
        <w:rPr>
          <w:rFonts w:hint="eastAsia" w:ascii="Times New Roman" w:hAnsi="Times New Roman" w:cs="Times New Roman"/>
          <w:b/>
          <w:bCs/>
          <w:color w:val="auto"/>
          <w:highlight w:val="none"/>
          <w:lang w:eastAsia="zh-CN"/>
        </w:rPr>
      </w:pPr>
    </w:p>
    <w:p>
      <w:pPr>
        <w:pStyle w:val="8"/>
        <w:rPr>
          <w:rFonts w:hint="eastAsia" w:ascii="Times New Roman" w:hAnsi="Times New Roman" w:cs="Times New Roman"/>
          <w:b/>
          <w:bCs/>
          <w:color w:val="auto"/>
          <w:highlight w:val="none"/>
          <w:lang w:eastAsia="zh-CN"/>
        </w:rPr>
      </w:pPr>
    </w:p>
    <w:p>
      <w:pPr>
        <w:pStyle w:val="8"/>
        <w:rPr>
          <w:rFonts w:hint="eastAsia" w:ascii="Times New Roman" w:hAnsi="Times New Roman" w:cs="Times New Roman"/>
          <w:b/>
          <w:bCs/>
          <w:color w:val="auto"/>
          <w:highlight w:val="none"/>
          <w:lang w:eastAsia="zh-CN"/>
        </w:rPr>
      </w:pPr>
    </w:p>
    <w:p>
      <w:pPr>
        <w:pStyle w:val="8"/>
        <w:rPr>
          <w:rFonts w:hint="eastAsia" w:ascii="Times New Roman" w:hAnsi="Times New Roman" w:cs="Times New Roman"/>
          <w:b/>
          <w:bCs/>
          <w:color w:val="auto"/>
          <w:highlight w:val="none"/>
          <w:lang w:eastAsia="zh-CN"/>
        </w:rPr>
      </w:pPr>
    </w:p>
    <w:p>
      <w:pPr>
        <w:pStyle w:val="8"/>
        <w:rPr>
          <w:rFonts w:hint="eastAsia" w:ascii="Times New Roman" w:hAnsi="Times New Roman" w:cs="Times New Roman"/>
          <w:b/>
          <w:bCs/>
          <w:color w:val="auto"/>
          <w:highlight w:val="none"/>
          <w:lang w:eastAsia="zh-CN"/>
        </w:rPr>
      </w:pPr>
    </w:p>
    <w:p>
      <w:pPr>
        <w:pStyle w:val="8"/>
        <w:rPr>
          <w:rFonts w:hint="eastAsia" w:ascii="Times New Roman" w:hAnsi="Times New Roman" w:cs="Times New Roman"/>
          <w:b/>
          <w:bCs/>
          <w:color w:val="auto"/>
          <w:highlight w:val="none"/>
          <w:lang w:eastAsia="zh-CN"/>
        </w:rPr>
      </w:pPr>
    </w:p>
    <w:p>
      <w:pPr>
        <w:pStyle w:val="8"/>
        <w:rPr>
          <w:rFonts w:hint="eastAsia" w:ascii="Times New Roman" w:hAnsi="Times New Roman" w:cs="Times New Roman"/>
          <w:b/>
          <w:bCs/>
          <w:color w:val="auto"/>
          <w:highlight w:val="none"/>
          <w:lang w:eastAsia="zh-CN"/>
        </w:rPr>
      </w:pPr>
    </w:p>
    <w:p>
      <w:pPr>
        <w:pStyle w:val="8"/>
        <w:rPr>
          <w:rFonts w:hint="eastAsia" w:ascii="Times New Roman" w:hAnsi="Times New Roman" w:cs="Times New Roman"/>
          <w:b/>
          <w:bCs/>
          <w:color w:val="auto"/>
          <w:highlight w:val="none"/>
          <w:lang w:eastAsia="zh-CN"/>
        </w:rPr>
      </w:pPr>
    </w:p>
    <w:p>
      <w:pPr>
        <w:pStyle w:val="8"/>
        <w:rPr>
          <w:rFonts w:hint="eastAsia" w:ascii="Times New Roman" w:hAnsi="Times New Roman" w:cs="Times New Roman"/>
          <w:b/>
          <w:bCs/>
          <w:color w:val="auto"/>
          <w:highlight w:val="none"/>
          <w:lang w:eastAsia="zh-CN"/>
        </w:rPr>
      </w:pPr>
    </w:p>
    <w:p>
      <w:pPr>
        <w:pStyle w:val="8"/>
        <w:rPr>
          <w:rFonts w:hint="eastAsia" w:ascii="Times New Roman" w:hAnsi="Times New Roman" w:cs="Times New Roman"/>
          <w:b/>
          <w:bCs/>
          <w:color w:val="auto"/>
          <w:highlight w:val="none"/>
          <w:lang w:eastAsia="zh-CN"/>
        </w:rPr>
      </w:pPr>
    </w:p>
    <w:p>
      <w:pPr>
        <w:pStyle w:val="8"/>
        <w:rPr>
          <w:rFonts w:hint="eastAsia" w:ascii="Times New Roman" w:hAnsi="Times New Roman" w:cs="Times New Roman"/>
          <w:b/>
          <w:bCs/>
          <w:color w:val="auto"/>
          <w:highlight w:val="none"/>
          <w:lang w:eastAsia="zh-CN"/>
        </w:rPr>
      </w:pPr>
    </w:p>
    <w:p>
      <w:pPr>
        <w:pStyle w:val="8"/>
        <w:rPr>
          <w:rFonts w:hint="eastAsia" w:ascii="Times New Roman" w:hAnsi="Times New Roman" w:cs="Times New Roman"/>
          <w:b/>
          <w:bCs/>
          <w:color w:val="auto"/>
          <w:highlight w:val="none"/>
          <w:lang w:eastAsia="zh-CN"/>
        </w:rPr>
      </w:pPr>
    </w:p>
    <w:p>
      <w:pPr>
        <w:pStyle w:val="8"/>
        <w:rPr>
          <w:rFonts w:hint="eastAsia" w:ascii="Times New Roman" w:hAnsi="Times New Roman" w:cs="Times New Roman"/>
          <w:b/>
          <w:bCs/>
          <w:color w:val="auto"/>
          <w:highlight w:val="none"/>
          <w:lang w:eastAsia="zh-CN"/>
        </w:rPr>
      </w:pPr>
    </w:p>
    <w:p>
      <w:pPr>
        <w:pStyle w:val="8"/>
        <w:rPr>
          <w:rFonts w:hint="eastAsia" w:ascii="Times New Roman" w:hAnsi="Times New Roman" w:cs="Times New Roman"/>
          <w:b/>
          <w:bCs/>
          <w:color w:val="auto"/>
          <w:highlight w:val="none"/>
          <w:lang w:eastAsia="zh-CN"/>
        </w:rPr>
      </w:pPr>
    </w:p>
    <w:p>
      <w:pPr>
        <w:pStyle w:val="8"/>
        <w:rPr>
          <w:rFonts w:hint="eastAsia" w:ascii="Times New Roman" w:hAnsi="Times New Roman" w:cs="Times New Roman"/>
          <w:b/>
          <w:bCs/>
          <w:color w:val="auto"/>
          <w:highlight w:val="none"/>
          <w:lang w:eastAsia="zh-CN"/>
        </w:rPr>
      </w:pPr>
    </w:p>
    <w:p>
      <w:pPr>
        <w:pStyle w:val="8"/>
        <w:rPr>
          <w:rFonts w:hint="eastAsia" w:ascii="Times New Roman" w:hAnsi="Times New Roman" w:cs="Times New Roman"/>
          <w:b/>
          <w:bCs/>
          <w:color w:val="auto"/>
          <w:highlight w:val="none"/>
          <w:lang w:eastAsia="zh-CN"/>
        </w:rPr>
      </w:pPr>
    </w:p>
    <w:p>
      <w:pPr>
        <w:pStyle w:val="8"/>
        <w:rPr>
          <w:rFonts w:hint="eastAsia" w:ascii="Times New Roman" w:hAnsi="Times New Roman" w:cs="Times New Roman"/>
          <w:b/>
          <w:bCs/>
          <w:color w:val="auto"/>
          <w:highlight w:val="none"/>
          <w:lang w:eastAsia="zh-CN"/>
        </w:rPr>
      </w:pPr>
    </w:p>
    <w:p>
      <w:pPr>
        <w:pStyle w:val="8"/>
        <w:rPr>
          <w:rFonts w:hint="eastAsia" w:ascii="Times New Roman" w:hAnsi="Times New Roman" w:cs="Times New Roman"/>
          <w:b/>
          <w:bCs/>
          <w:color w:val="auto"/>
          <w:highlight w:val="none"/>
          <w:lang w:eastAsia="zh-CN"/>
        </w:rPr>
      </w:pPr>
    </w:p>
    <w:p>
      <w:pPr>
        <w:pStyle w:val="8"/>
        <w:rPr>
          <w:rFonts w:hint="eastAsia" w:ascii="Times New Roman" w:hAnsi="Times New Roman" w:cs="Times New Roman"/>
          <w:b/>
          <w:bCs/>
          <w:color w:val="auto"/>
          <w:highlight w:val="none"/>
          <w:lang w:eastAsia="zh-CN"/>
        </w:rPr>
      </w:pPr>
    </w:p>
    <w:p>
      <w:pPr>
        <w:pStyle w:val="8"/>
        <w:rPr>
          <w:rFonts w:hint="eastAsia" w:ascii="Times New Roman" w:hAnsi="Times New Roman" w:cs="Times New Roman"/>
          <w:b/>
          <w:bCs/>
          <w:color w:val="auto"/>
          <w:highlight w:val="none"/>
          <w:lang w:eastAsia="zh-CN"/>
        </w:rPr>
      </w:pPr>
    </w:p>
    <w:p>
      <w:pPr>
        <w:pStyle w:val="8"/>
        <w:rPr>
          <w:rFonts w:hint="eastAsia" w:ascii="Times New Roman" w:hAnsi="Times New Roman" w:cs="Times New Roman"/>
          <w:b/>
          <w:bCs/>
          <w:color w:val="auto"/>
          <w:highlight w:val="none"/>
          <w:lang w:eastAsia="zh-CN"/>
        </w:rPr>
      </w:pPr>
    </w:p>
    <w:p>
      <w:pPr>
        <w:pStyle w:val="8"/>
        <w:rPr>
          <w:rFonts w:hint="eastAsia" w:ascii="Times New Roman" w:hAnsi="Times New Roman" w:cs="Times New Roman"/>
          <w:b/>
          <w:bCs/>
          <w:color w:val="auto"/>
          <w:highlight w:val="none"/>
          <w:lang w:eastAsia="zh-CN"/>
        </w:rPr>
      </w:pPr>
    </w:p>
    <w:p>
      <w:pPr>
        <w:pStyle w:val="8"/>
        <w:rPr>
          <w:rFonts w:hint="eastAsia" w:ascii="Times New Roman" w:hAnsi="Times New Roman" w:cs="Times New Roman"/>
          <w:b/>
          <w:bCs/>
          <w:color w:val="auto"/>
          <w:highlight w:val="none"/>
          <w:lang w:eastAsia="zh-CN"/>
        </w:rPr>
      </w:pPr>
    </w:p>
    <w:p>
      <w:pPr>
        <w:pStyle w:val="8"/>
        <w:rPr>
          <w:rFonts w:hint="eastAsia" w:ascii="Times New Roman" w:hAnsi="Times New Roman" w:cs="Times New Roman"/>
          <w:b/>
          <w:bCs/>
          <w:color w:val="auto"/>
          <w:highlight w:val="none"/>
          <w:lang w:eastAsia="zh-CN"/>
        </w:rPr>
      </w:pPr>
    </w:p>
    <w:p>
      <w:pPr>
        <w:pStyle w:val="8"/>
        <w:rPr>
          <w:rFonts w:hint="eastAsia" w:ascii="Times New Roman" w:hAnsi="Times New Roman" w:cs="Times New Roman"/>
          <w:b/>
          <w:bCs/>
          <w:color w:val="auto"/>
          <w:highlight w:val="none"/>
          <w:lang w:eastAsia="zh-CN"/>
        </w:rPr>
      </w:pPr>
    </w:p>
    <w:p>
      <w:pPr>
        <w:pStyle w:val="8"/>
        <w:rPr>
          <w:rFonts w:hint="eastAsia" w:ascii="Times New Roman" w:hAnsi="Times New Roman" w:cs="Times New Roman"/>
          <w:b/>
          <w:bCs/>
          <w:color w:val="auto"/>
          <w:highlight w:val="none"/>
          <w:lang w:eastAsia="zh-CN"/>
        </w:rPr>
      </w:pP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outlineLvl w:val="9"/>
        <w:rPr>
          <w:rFonts w:hint="default" w:ascii="宋体" w:hAnsi="宋体" w:cs="宋体"/>
          <w:b/>
          <w:bCs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u w:val="none"/>
          <w:lang w:val="en-US" w:eastAsia="zh-CN"/>
        </w:rPr>
        <w:t>标的名称：标的1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i w:val="0"/>
          <w:iCs w:val="0"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u w:val="none"/>
          <w:lang w:val="en-US" w:eastAsia="zh-CN"/>
        </w:rPr>
        <w:t>标段名称：</w:t>
      </w:r>
      <w:r>
        <w:rPr>
          <w:rFonts w:hint="default" w:ascii="Times New Roman" w:hAnsi="Times New Roman" w:eastAsia="宋体" w:cs="Times New Roman"/>
          <w:b/>
          <w:bCs/>
          <w:i w:val="0"/>
          <w:iCs w:val="0"/>
          <w:color w:val="auto"/>
          <w:sz w:val="24"/>
          <w:szCs w:val="24"/>
          <w:highlight w:val="none"/>
          <w:u w:val="none"/>
          <w:lang w:val="en-US" w:eastAsia="zh-CN"/>
        </w:rPr>
        <w:t>湖南-贵州电力灵活互济工程背靠背换流站建筑安装施工</w:t>
      </w:r>
      <w:r>
        <w:rPr>
          <w:rFonts w:hint="eastAsia" w:ascii="Times New Roman" w:hAnsi="Times New Roman" w:cs="Times New Roman"/>
          <w:b/>
          <w:bCs/>
          <w:i w:val="0"/>
          <w:iCs w:val="0"/>
          <w:color w:val="auto"/>
          <w:sz w:val="24"/>
          <w:szCs w:val="24"/>
          <w:highlight w:val="none"/>
          <w:u w:val="none"/>
          <w:lang w:val="en-US" w:eastAsia="zh-CN"/>
        </w:rPr>
        <w:t>B包</w:t>
      </w:r>
    </w:p>
    <w:p>
      <w:pPr>
        <w:pStyle w:val="8"/>
        <w:rPr>
          <w:rFonts w:hint="default"/>
          <w:color w:val="auto"/>
          <w:highlight w:val="none"/>
          <w:lang w:val="en-US" w:eastAsia="zh-CN"/>
        </w:rPr>
      </w:pPr>
    </w:p>
    <w:tbl>
      <w:tblPr>
        <w:tblStyle w:val="13"/>
        <w:tblW w:w="736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8"/>
        <w:gridCol w:w="2911"/>
        <w:gridCol w:w="34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8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2911" w:type="dxa"/>
            <w:vAlign w:val="center"/>
          </w:tcPr>
          <w:p>
            <w:pPr>
              <w:pStyle w:val="8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4"/>
                <w:szCs w:val="24"/>
                <w:highlight w:val="none"/>
              </w:rPr>
              <w:t>文件名称</w:t>
            </w:r>
          </w:p>
        </w:tc>
        <w:tc>
          <w:tcPr>
            <w:tcW w:w="3476" w:type="dxa"/>
            <w:vAlign w:val="center"/>
          </w:tcPr>
          <w:p>
            <w:pPr>
              <w:pStyle w:val="8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4"/>
                <w:szCs w:val="24"/>
                <w:highlight w:val="none"/>
              </w:rPr>
              <w:t>文件文号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8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2911" w:type="dxa"/>
            <w:vAlign w:val="center"/>
          </w:tcPr>
          <w:p>
            <w:pPr>
              <w:pStyle w:val="8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  <w:t>可研批复文号</w:t>
            </w:r>
          </w:p>
        </w:tc>
        <w:tc>
          <w:tcPr>
            <w:tcW w:w="3476" w:type="dxa"/>
            <w:vAlign w:val="center"/>
          </w:tcPr>
          <w:p>
            <w:pPr>
              <w:pStyle w:val="8"/>
              <w:snapToGrid w:val="0"/>
              <w:spacing w:line="360" w:lineRule="auto"/>
              <w:jc w:val="center"/>
              <w:rPr>
                <w:rFonts w:hint="default" w:ascii="Times New Roman" w:hAnsi="Times New Roman" w:cs="Times New Roman"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snapToGrid w:val="0"/>
                <w:color w:val="auto"/>
                <w:sz w:val="21"/>
                <w:szCs w:val="21"/>
                <w:highlight w:val="none"/>
              </w:rPr>
              <w:t>南方电网规划〔2025〕68号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8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  <w:t>2</w:t>
            </w:r>
          </w:p>
        </w:tc>
        <w:tc>
          <w:tcPr>
            <w:tcW w:w="2911" w:type="dxa"/>
            <w:vAlign w:val="center"/>
          </w:tcPr>
          <w:p>
            <w:pPr>
              <w:pStyle w:val="8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  <w:t>项目备案文号</w:t>
            </w:r>
          </w:p>
        </w:tc>
        <w:tc>
          <w:tcPr>
            <w:tcW w:w="3476" w:type="dxa"/>
            <w:vAlign w:val="bottom"/>
          </w:tcPr>
          <w:p>
            <w:pPr>
              <w:pStyle w:val="8"/>
              <w:snapToGrid w:val="0"/>
              <w:spacing w:line="360" w:lineRule="auto"/>
              <w:jc w:val="center"/>
              <w:rPr>
                <w:rFonts w:hint="default" w:ascii="Times New Roman" w:hAnsi="Times New Roman" w:cs="Times New Roman"/>
                <w:snapToGrid w:val="0"/>
                <w:color w:val="FF0000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发改能源〔2025〕1459号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8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  <w:t>3</w:t>
            </w:r>
          </w:p>
        </w:tc>
        <w:tc>
          <w:tcPr>
            <w:tcW w:w="2911" w:type="dxa"/>
            <w:vAlign w:val="center"/>
          </w:tcPr>
          <w:p>
            <w:pPr>
              <w:pStyle w:val="8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  <w:t>初设批复文号</w:t>
            </w:r>
          </w:p>
        </w:tc>
        <w:tc>
          <w:tcPr>
            <w:tcW w:w="3476" w:type="dxa"/>
            <w:vAlign w:val="center"/>
          </w:tcPr>
          <w:p>
            <w:pPr>
              <w:widowControl/>
              <w:snapToGrid w:val="0"/>
              <w:jc w:val="center"/>
              <w:rPr>
                <w:rFonts w:hint="default" w:ascii="Times New Roman" w:hAnsi="Times New Roman" w:eastAsia="宋体" w:cs="Times New Roman"/>
                <w:snapToGrid w:val="0"/>
                <w:color w:val="FF0000"/>
                <w:kern w:val="0"/>
                <w:sz w:val="21"/>
                <w:szCs w:val="21"/>
                <w:highlight w:val="yellow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napToGrid w:val="0"/>
                <w:color w:val="auto"/>
                <w:sz w:val="21"/>
                <w:szCs w:val="21"/>
                <w:highlight w:val="none"/>
              </w:rPr>
              <w:t>南方电网</w:t>
            </w:r>
            <w:r>
              <w:rPr>
                <w:rFonts w:hint="eastAsia" w:ascii="Times New Roman" w:hAnsi="Times New Roman" w:cs="Times New Roman"/>
                <w:snapToGrid w:val="0"/>
                <w:color w:val="auto"/>
                <w:sz w:val="21"/>
                <w:szCs w:val="21"/>
                <w:highlight w:val="none"/>
                <w:lang w:val="en-US" w:eastAsia="zh-CN"/>
              </w:rPr>
              <w:t>工程</w:t>
            </w:r>
            <w:r>
              <w:rPr>
                <w:rFonts w:hint="default" w:ascii="Times New Roman" w:hAnsi="Times New Roman" w:cs="Times New Roman"/>
                <w:snapToGrid w:val="0"/>
                <w:color w:val="auto"/>
                <w:sz w:val="21"/>
                <w:szCs w:val="21"/>
                <w:highlight w:val="none"/>
              </w:rPr>
              <w:t>〔202</w:t>
            </w:r>
            <w:r>
              <w:rPr>
                <w:rFonts w:hint="eastAsia" w:ascii="Times New Roman" w:hAnsi="Times New Roman" w:cs="Times New Roman"/>
                <w:snapToGrid w:val="0"/>
                <w:color w:val="auto"/>
                <w:sz w:val="21"/>
                <w:szCs w:val="21"/>
                <w:highlight w:val="none"/>
                <w:lang w:val="en-US" w:eastAsia="zh-CN"/>
              </w:rPr>
              <w:t>6</w:t>
            </w:r>
            <w:r>
              <w:rPr>
                <w:rFonts w:hint="default" w:ascii="Times New Roman" w:hAnsi="Times New Roman" w:cs="Times New Roman"/>
                <w:snapToGrid w:val="0"/>
                <w:color w:val="auto"/>
                <w:sz w:val="21"/>
                <w:szCs w:val="21"/>
                <w:highlight w:val="none"/>
              </w:rPr>
              <w:t>〕</w:t>
            </w:r>
            <w:r>
              <w:rPr>
                <w:rFonts w:hint="eastAsia" w:ascii="Times New Roman" w:hAnsi="Times New Roman" w:cs="Times New Roman"/>
                <w:snapToGrid w:val="0"/>
                <w:color w:val="auto"/>
                <w:sz w:val="21"/>
                <w:szCs w:val="21"/>
                <w:highlight w:val="none"/>
                <w:lang w:val="en-US" w:eastAsia="zh-CN"/>
              </w:rPr>
              <w:t>17</w:t>
            </w:r>
            <w:r>
              <w:rPr>
                <w:rFonts w:hint="default" w:ascii="Times New Roman" w:hAnsi="Times New Roman" w:cs="Times New Roman"/>
                <w:snapToGrid w:val="0"/>
                <w:color w:val="auto"/>
                <w:sz w:val="21"/>
                <w:szCs w:val="21"/>
                <w:highlight w:val="none"/>
              </w:rPr>
              <w:t>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8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  <w:t>4</w:t>
            </w:r>
          </w:p>
        </w:tc>
        <w:tc>
          <w:tcPr>
            <w:tcW w:w="2911" w:type="dxa"/>
            <w:vAlign w:val="center"/>
          </w:tcPr>
          <w:p>
            <w:pPr>
              <w:pStyle w:val="8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  <w:t>资金落实情况</w:t>
            </w:r>
          </w:p>
        </w:tc>
        <w:tc>
          <w:tcPr>
            <w:tcW w:w="3476" w:type="dxa"/>
            <w:vAlign w:val="center"/>
          </w:tcPr>
          <w:p>
            <w:pPr>
              <w:pStyle w:val="8"/>
              <w:snapToGrid w:val="0"/>
              <w:jc w:val="center"/>
              <w:rPr>
                <w:rFonts w:hint="default" w:ascii="Times New Roman" w:hAnsi="Times New Roman" w:eastAsia="宋体" w:cs="Times New Roman"/>
                <w:snapToGrid w:val="0"/>
                <w:color w:val="auto"/>
                <w:kern w:val="0"/>
                <w:sz w:val="21"/>
                <w:szCs w:val="21"/>
                <w:highlight w:val="yellow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南方电网计财〔2025〕56号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8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  <w:t>5</w:t>
            </w:r>
          </w:p>
        </w:tc>
        <w:tc>
          <w:tcPr>
            <w:tcW w:w="2911" w:type="dxa"/>
            <w:vAlign w:val="center"/>
          </w:tcPr>
          <w:p>
            <w:pPr>
              <w:pStyle w:val="8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  <w:t>施工图预算批复文号</w:t>
            </w:r>
          </w:p>
        </w:tc>
        <w:tc>
          <w:tcPr>
            <w:tcW w:w="3476" w:type="dxa"/>
            <w:vAlign w:val="center"/>
          </w:tcPr>
          <w:p>
            <w:pPr>
              <w:pStyle w:val="8"/>
              <w:snapToGrid w:val="0"/>
              <w:jc w:val="center"/>
              <w:rPr>
                <w:rFonts w:hint="default" w:ascii="Times New Roman" w:hAnsi="Times New Roman" w:cs="Times New Roman"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snapToGrid w:val="0"/>
                <w:color w:val="auto"/>
                <w:sz w:val="21"/>
                <w:szCs w:val="21"/>
                <w:highlight w:val="none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8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  <w:t>6</w:t>
            </w:r>
          </w:p>
        </w:tc>
        <w:tc>
          <w:tcPr>
            <w:tcW w:w="2911" w:type="dxa"/>
            <w:vAlign w:val="center"/>
          </w:tcPr>
          <w:p>
            <w:pPr>
              <w:pStyle w:val="8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  <w:t>项目建设单位</w:t>
            </w:r>
          </w:p>
        </w:tc>
        <w:tc>
          <w:tcPr>
            <w:tcW w:w="3476" w:type="dxa"/>
            <w:vAlign w:val="center"/>
          </w:tcPr>
          <w:p>
            <w:pPr>
              <w:pStyle w:val="8"/>
              <w:snapToGrid w:val="0"/>
              <w:jc w:val="center"/>
              <w:rPr>
                <w:rFonts w:hint="default" w:ascii="Times New Roman" w:hAnsi="Times New Roman" w:cs="Times New Roman"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snapToGrid w:val="0"/>
                <w:color w:val="auto"/>
                <w:sz w:val="21"/>
                <w:szCs w:val="21"/>
                <w:highlight w:val="none"/>
              </w:rPr>
              <w:t>南网超高压公司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8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  <w:t>7</w:t>
            </w:r>
          </w:p>
        </w:tc>
        <w:tc>
          <w:tcPr>
            <w:tcW w:w="2911" w:type="dxa"/>
            <w:vAlign w:val="center"/>
          </w:tcPr>
          <w:p>
            <w:pPr>
              <w:pStyle w:val="8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  <w:t>项目建设地点</w:t>
            </w:r>
          </w:p>
        </w:tc>
        <w:tc>
          <w:tcPr>
            <w:tcW w:w="3476" w:type="dxa"/>
            <w:vAlign w:val="center"/>
          </w:tcPr>
          <w:p>
            <w:pPr>
              <w:pStyle w:val="8"/>
              <w:snapToGrid w:val="0"/>
              <w:jc w:val="center"/>
              <w:rPr>
                <w:rFonts w:hint="default" w:ascii="Times New Roman" w:hAnsi="Times New Roman" w:eastAsia="宋体" w:cs="Times New Roman"/>
                <w:snapToGrid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贵州省铜仁市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8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  <w:t>8</w:t>
            </w:r>
          </w:p>
        </w:tc>
        <w:tc>
          <w:tcPr>
            <w:tcW w:w="2911" w:type="dxa"/>
            <w:vAlign w:val="center"/>
          </w:tcPr>
          <w:p>
            <w:pPr>
              <w:pStyle w:val="8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  <w:t>前期的设计或咨询服务单位名称</w:t>
            </w:r>
          </w:p>
        </w:tc>
        <w:tc>
          <w:tcPr>
            <w:tcW w:w="3476" w:type="dxa"/>
            <w:vAlign w:val="center"/>
          </w:tcPr>
          <w:p>
            <w:pPr>
              <w:pStyle w:val="8"/>
              <w:snapToGrid w:val="0"/>
              <w:jc w:val="center"/>
              <w:rPr>
                <w:rFonts w:hint="default" w:ascii="Times New Roman" w:hAnsi="Times New Roman" w:cs="Times New Roman"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联合体(中国能源建设集团广东省电力设计研究院有限公司，中国电建集团贵州电力设计研究院有限公司)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8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  <w:t>9</w:t>
            </w:r>
          </w:p>
        </w:tc>
        <w:tc>
          <w:tcPr>
            <w:tcW w:w="2911" w:type="dxa"/>
            <w:vAlign w:val="center"/>
          </w:tcPr>
          <w:p>
            <w:pPr>
              <w:pStyle w:val="8"/>
              <w:snapToGrid w:val="0"/>
              <w:jc w:val="center"/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 w:val="0"/>
                <w:color w:val="auto"/>
                <w:sz w:val="21"/>
                <w:szCs w:val="21"/>
                <w:highlight w:val="none"/>
              </w:rPr>
              <w:t>项目监理单位</w:t>
            </w:r>
          </w:p>
        </w:tc>
        <w:tc>
          <w:tcPr>
            <w:tcW w:w="3476" w:type="dxa"/>
            <w:vAlign w:val="center"/>
          </w:tcPr>
          <w:p>
            <w:pPr>
              <w:pStyle w:val="8"/>
              <w:snapToGrid w:val="0"/>
              <w:jc w:val="center"/>
              <w:rPr>
                <w:rFonts w:hint="default" w:ascii="Times New Roman" w:hAnsi="Times New Roman" w:cs="Times New Roman"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snapToGrid w:val="0"/>
                <w:color w:val="auto"/>
                <w:sz w:val="21"/>
                <w:szCs w:val="21"/>
                <w:highlight w:val="none"/>
              </w:rPr>
              <w:t>广东天广能源科技发展有限公司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both"/>
        <w:textAlignment w:val="auto"/>
        <w:outlineLvl w:val="9"/>
        <w:rPr>
          <w:rFonts w:hint="default" w:ascii="Times New Roman" w:hAnsi="Times New Roman" w:cs="Times New Roman"/>
          <w:b/>
          <w:bCs/>
          <w:i w:val="0"/>
          <w:iCs w:val="0"/>
          <w:color w:val="auto"/>
          <w:sz w:val="24"/>
          <w:szCs w:val="24"/>
          <w:highlight w:val="none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both"/>
        <w:textAlignment w:val="auto"/>
        <w:outlineLvl w:val="9"/>
        <w:rPr>
          <w:rFonts w:hint="default" w:ascii="Times New Roman" w:hAnsi="Times New Roman" w:cs="Times New Roman"/>
          <w:b/>
          <w:bCs/>
          <w:i w:val="0"/>
          <w:iCs w:val="0"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olor w:val="auto"/>
          <w:sz w:val="24"/>
          <w:szCs w:val="24"/>
          <w:highlight w:val="none"/>
          <w:u w:val="none"/>
          <w:lang w:val="en-US" w:eastAsia="zh-CN"/>
        </w:rPr>
        <w:t>一、项目概况</w:t>
      </w:r>
    </w:p>
    <w:p>
      <w:pPr>
        <w:pStyle w:val="3"/>
        <w:keepNext w:val="0"/>
        <w:keepLines w:val="0"/>
        <w:pageBreakBefore w:val="0"/>
        <w:widowControl w:val="0"/>
        <w:wordWrap/>
        <w:overflowPunct/>
        <w:topLinePunct w:val="0"/>
        <w:bidi w:val="0"/>
        <w:snapToGrid w:val="0"/>
        <w:spacing w:beforeLines="0" w:afterLines="0" w:line="360" w:lineRule="auto"/>
        <w:textAlignment w:val="auto"/>
        <w:rPr>
          <w:rFonts w:hint="eastAsia" w:ascii="Calibri" w:hAnsi="Calibri" w:cs="Times New Roman" w:eastAsiaTheme="minorEastAsia"/>
          <w:b/>
          <w:bCs/>
          <w:i w:val="0"/>
          <w:color w:val="auto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cs="Times New Roman" w:eastAsiaTheme="minorEastAsia"/>
          <w:b/>
          <w:bCs/>
          <w:i w:val="0"/>
          <w:color w:val="auto"/>
          <w:kern w:val="2"/>
          <w:sz w:val="21"/>
          <w:szCs w:val="21"/>
          <w:lang w:val="en-US" w:eastAsia="zh-CN" w:bidi="ar-SA"/>
        </w:rPr>
        <w:t>（一）工程建设规模</w:t>
      </w:r>
    </w:p>
    <w:p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adjustRightInd w:val="0"/>
        <w:snapToGrid w:val="0"/>
        <w:spacing w:line="360" w:lineRule="auto"/>
        <w:ind w:firstLine="480"/>
        <w:textAlignment w:val="auto"/>
        <w:rPr>
          <w:rFonts w:eastAsiaTheme="minorEastAsia"/>
          <w:sz w:val="21"/>
          <w:szCs w:val="21"/>
        </w:rPr>
      </w:pPr>
      <w:r>
        <w:rPr>
          <w:rFonts w:hint="eastAsia" w:eastAsiaTheme="minorEastAsia"/>
          <w:sz w:val="21"/>
          <w:szCs w:val="21"/>
        </w:rPr>
        <w:t>湖南</w:t>
      </w:r>
      <w:r>
        <w:rPr>
          <w:rFonts w:eastAsiaTheme="minorEastAsia"/>
          <w:sz w:val="21"/>
          <w:szCs w:val="21"/>
        </w:rPr>
        <w:t>-</w:t>
      </w:r>
      <w:r>
        <w:rPr>
          <w:rFonts w:hint="eastAsia" w:eastAsiaTheme="minorEastAsia"/>
          <w:sz w:val="21"/>
          <w:szCs w:val="21"/>
        </w:rPr>
        <w:t>贵州电力灵活互济工程（背靠背换流站工程）建设规模如下：</w:t>
      </w:r>
    </w:p>
    <w:tbl>
      <w:tblPr>
        <w:tblStyle w:val="12"/>
        <w:tblW w:w="836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830"/>
        <w:gridCol w:w="3012"/>
        <w:gridCol w:w="35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blHeader/>
          <w:jc w:val="center"/>
        </w:trPr>
        <w:tc>
          <w:tcPr>
            <w:tcW w:w="18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420" w:firstLineChars="0"/>
              <w:jc w:val="center"/>
              <w:textAlignment w:val="auto"/>
              <w:rPr>
                <w:b/>
                <w:bCs/>
                <w:snapToGrid w:val="0"/>
                <w:kern w:val="0"/>
                <w:sz w:val="21"/>
                <w:szCs w:val="21"/>
              </w:rPr>
            </w:pPr>
          </w:p>
        </w:tc>
        <w:tc>
          <w:tcPr>
            <w:tcW w:w="30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b/>
                <w:bCs/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b/>
                <w:bCs/>
                <w:snapToGrid w:val="0"/>
                <w:kern w:val="0"/>
                <w:sz w:val="21"/>
                <w:szCs w:val="21"/>
              </w:rPr>
              <w:t>本期</w:t>
            </w:r>
          </w:p>
        </w:tc>
        <w:tc>
          <w:tcPr>
            <w:tcW w:w="35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b/>
                <w:bCs/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b/>
                <w:bCs/>
                <w:snapToGrid w:val="0"/>
                <w:kern w:val="0"/>
                <w:sz w:val="21"/>
                <w:szCs w:val="21"/>
              </w:rPr>
              <w:t>终期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18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b/>
                <w:bCs/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b/>
                <w:bCs/>
                <w:snapToGrid w:val="0"/>
                <w:kern w:val="0"/>
                <w:sz w:val="21"/>
                <w:szCs w:val="21"/>
              </w:rPr>
              <w:t>直流额定功率</w:t>
            </w:r>
          </w:p>
        </w:tc>
        <w:tc>
          <w:tcPr>
            <w:tcW w:w="653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snapToGrid w:val="0"/>
                <w:kern w:val="0"/>
                <w:sz w:val="21"/>
                <w:szCs w:val="21"/>
              </w:rPr>
            </w:pPr>
            <w:r>
              <w:rPr>
                <w:snapToGrid w:val="0"/>
                <w:kern w:val="0"/>
                <w:sz w:val="21"/>
                <w:szCs w:val="21"/>
              </w:rPr>
              <w:t>2×1500MW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18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b/>
                <w:bCs/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b/>
                <w:bCs/>
                <w:snapToGrid w:val="0"/>
                <w:kern w:val="0"/>
                <w:sz w:val="21"/>
                <w:szCs w:val="21"/>
              </w:rPr>
              <w:t>直流主接线方式</w:t>
            </w:r>
          </w:p>
        </w:tc>
        <w:tc>
          <w:tcPr>
            <w:tcW w:w="653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两个柔直背靠背单元，对称单极接线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18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b/>
                <w:bCs/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b/>
                <w:bCs/>
                <w:snapToGrid w:val="0"/>
                <w:kern w:val="0"/>
                <w:sz w:val="21"/>
                <w:szCs w:val="21"/>
              </w:rPr>
              <w:t>柔直变压器</w:t>
            </w:r>
          </w:p>
        </w:tc>
        <w:tc>
          <w:tcPr>
            <w:tcW w:w="653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按</w:t>
            </w:r>
            <w:r>
              <w:rPr>
                <w:snapToGrid w:val="0"/>
                <w:kern w:val="0"/>
                <w:sz w:val="21"/>
                <w:szCs w:val="21"/>
              </w:rPr>
              <w:t>12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台</w:t>
            </w:r>
            <w:r>
              <w:rPr>
                <w:snapToGrid w:val="0"/>
                <w:kern w:val="0"/>
                <w:sz w:val="21"/>
                <w:szCs w:val="21"/>
              </w:rPr>
              <w:t>550MVA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单相双绕组变压器设计，</w:t>
            </w:r>
            <w:r>
              <w:rPr>
                <w:snapToGrid w:val="0"/>
                <w:kern w:val="0"/>
                <w:sz w:val="21"/>
                <w:szCs w:val="21"/>
              </w:rPr>
              <w:t xml:space="preserve"> 1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台备用，共</w:t>
            </w:r>
            <w:r>
              <w:rPr>
                <w:snapToGrid w:val="0"/>
                <w:kern w:val="0"/>
                <w:sz w:val="21"/>
                <w:szCs w:val="21"/>
              </w:rPr>
              <w:t>13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18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b/>
                <w:bCs/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b/>
                <w:bCs/>
                <w:snapToGrid w:val="0"/>
                <w:kern w:val="0"/>
                <w:sz w:val="21"/>
                <w:szCs w:val="21"/>
              </w:rPr>
              <w:t>主变规模</w:t>
            </w:r>
          </w:p>
        </w:tc>
        <w:tc>
          <w:tcPr>
            <w:tcW w:w="30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无主变</w:t>
            </w:r>
          </w:p>
        </w:tc>
        <w:tc>
          <w:tcPr>
            <w:tcW w:w="35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Chars="0"/>
              <w:jc w:val="center"/>
              <w:textAlignment w:val="auto"/>
              <w:rPr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贵州侧</w:t>
            </w:r>
            <w:r>
              <w:rPr>
                <w:snapToGrid w:val="0"/>
                <w:kern w:val="0"/>
                <w:sz w:val="21"/>
                <w:szCs w:val="21"/>
              </w:rPr>
              <w:t>3×1000MVA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18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b/>
                <w:bCs/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b/>
                <w:bCs/>
                <w:snapToGrid w:val="0"/>
                <w:kern w:val="0"/>
                <w:sz w:val="21"/>
                <w:szCs w:val="21"/>
              </w:rPr>
              <w:t>交流</w:t>
            </w:r>
            <w:r>
              <w:rPr>
                <w:b/>
                <w:bCs/>
                <w:snapToGrid w:val="0"/>
                <w:kern w:val="0"/>
                <w:sz w:val="21"/>
                <w:szCs w:val="21"/>
              </w:rPr>
              <w:t>500kV</w:t>
            </w:r>
            <w:r>
              <w:rPr>
                <w:rFonts w:hint="eastAsia"/>
                <w:b/>
                <w:bCs/>
                <w:snapToGrid w:val="0"/>
                <w:kern w:val="0"/>
                <w:sz w:val="21"/>
                <w:szCs w:val="21"/>
              </w:rPr>
              <w:t>出线</w:t>
            </w:r>
          </w:p>
        </w:tc>
        <w:tc>
          <w:tcPr>
            <w:tcW w:w="30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贵州侧出线</w:t>
            </w:r>
            <w:r>
              <w:rPr>
                <w:snapToGrid w:val="0"/>
                <w:kern w:val="0"/>
                <w:sz w:val="21"/>
                <w:szCs w:val="21"/>
              </w:rPr>
              <w:t>4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回，</w:t>
            </w:r>
          </w:p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分别至碧江</w:t>
            </w:r>
            <w:r>
              <w:rPr>
                <w:snapToGrid w:val="0"/>
                <w:kern w:val="0"/>
                <w:sz w:val="21"/>
                <w:szCs w:val="21"/>
              </w:rPr>
              <w:t>2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回、铜仁</w:t>
            </w:r>
            <w:r>
              <w:rPr>
                <w:snapToGrid w:val="0"/>
                <w:kern w:val="0"/>
                <w:sz w:val="21"/>
                <w:szCs w:val="21"/>
              </w:rPr>
              <w:t xml:space="preserve">2 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回；湖南侧出线</w:t>
            </w:r>
            <w:r>
              <w:rPr>
                <w:snapToGrid w:val="0"/>
                <w:kern w:val="0"/>
                <w:sz w:val="21"/>
                <w:szCs w:val="21"/>
              </w:rPr>
              <w:t>2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回分别至边城</w:t>
            </w:r>
            <w:r>
              <w:rPr>
                <w:snapToGrid w:val="0"/>
                <w:kern w:val="0"/>
                <w:sz w:val="21"/>
                <w:szCs w:val="21"/>
              </w:rPr>
              <w:t>1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回、牌楼</w:t>
            </w:r>
            <w:r>
              <w:rPr>
                <w:snapToGrid w:val="0"/>
                <w:kern w:val="0"/>
                <w:sz w:val="21"/>
                <w:szCs w:val="21"/>
              </w:rPr>
              <w:t>1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回</w:t>
            </w:r>
          </w:p>
        </w:tc>
        <w:tc>
          <w:tcPr>
            <w:tcW w:w="35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贵州侧出线</w:t>
            </w:r>
            <w:r>
              <w:rPr>
                <w:snapToGrid w:val="0"/>
                <w:kern w:val="0"/>
                <w:sz w:val="21"/>
                <w:szCs w:val="21"/>
              </w:rPr>
              <w:t>8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回，分别至碧江</w:t>
            </w:r>
            <w:r>
              <w:rPr>
                <w:snapToGrid w:val="0"/>
                <w:kern w:val="0"/>
                <w:sz w:val="21"/>
                <w:szCs w:val="21"/>
              </w:rPr>
              <w:t>3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回，外电</w:t>
            </w:r>
            <w:r>
              <w:rPr>
                <w:snapToGrid w:val="0"/>
                <w:kern w:val="0"/>
                <w:sz w:val="21"/>
                <w:szCs w:val="21"/>
              </w:rPr>
              <w:t>1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回，抽蓄</w:t>
            </w:r>
            <w:r>
              <w:rPr>
                <w:snapToGrid w:val="0"/>
                <w:kern w:val="0"/>
                <w:sz w:val="21"/>
                <w:szCs w:val="21"/>
              </w:rPr>
              <w:t>1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回，施秉</w:t>
            </w:r>
            <w:r>
              <w:rPr>
                <w:snapToGrid w:val="0"/>
                <w:kern w:val="0"/>
                <w:sz w:val="21"/>
                <w:szCs w:val="21"/>
              </w:rPr>
              <w:t>1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回，铜仁</w:t>
            </w:r>
            <w:r>
              <w:rPr>
                <w:snapToGrid w:val="0"/>
                <w:kern w:val="0"/>
                <w:sz w:val="21"/>
                <w:szCs w:val="21"/>
              </w:rPr>
              <w:t>2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回；湖南侧出线</w:t>
            </w:r>
            <w:r>
              <w:rPr>
                <w:snapToGrid w:val="0"/>
                <w:kern w:val="0"/>
                <w:sz w:val="21"/>
                <w:szCs w:val="21"/>
              </w:rPr>
              <w:t>2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回分别至边城</w:t>
            </w:r>
            <w:r>
              <w:rPr>
                <w:snapToGrid w:val="0"/>
                <w:kern w:val="0"/>
                <w:sz w:val="21"/>
                <w:szCs w:val="21"/>
              </w:rPr>
              <w:t>1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回、牌楼</w:t>
            </w:r>
            <w:r>
              <w:rPr>
                <w:snapToGrid w:val="0"/>
                <w:kern w:val="0"/>
                <w:sz w:val="21"/>
                <w:szCs w:val="21"/>
              </w:rPr>
              <w:t>1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回。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18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b/>
                <w:bCs/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b/>
                <w:bCs/>
                <w:snapToGrid w:val="0"/>
                <w:kern w:val="0"/>
                <w:sz w:val="21"/>
                <w:szCs w:val="21"/>
              </w:rPr>
              <w:t>交流</w:t>
            </w:r>
            <w:r>
              <w:rPr>
                <w:b/>
                <w:bCs/>
                <w:snapToGrid w:val="0"/>
                <w:kern w:val="0"/>
                <w:sz w:val="21"/>
                <w:szCs w:val="21"/>
              </w:rPr>
              <w:t>220kV</w:t>
            </w:r>
            <w:r>
              <w:rPr>
                <w:rFonts w:hint="eastAsia"/>
                <w:b/>
                <w:bCs/>
                <w:snapToGrid w:val="0"/>
                <w:kern w:val="0"/>
                <w:sz w:val="21"/>
                <w:szCs w:val="21"/>
              </w:rPr>
              <w:t>出线</w:t>
            </w:r>
          </w:p>
        </w:tc>
        <w:tc>
          <w:tcPr>
            <w:tcW w:w="30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无出线</w:t>
            </w:r>
          </w:p>
        </w:tc>
        <w:tc>
          <w:tcPr>
            <w:tcW w:w="35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贵州侧出线</w:t>
            </w:r>
            <w:r>
              <w:rPr>
                <w:snapToGrid w:val="0"/>
                <w:kern w:val="0"/>
                <w:sz w:val="21"/>
                <w:szCs w:val="21"/>
              </w:rPr>
              <w:t>14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18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b/>
                <w:bCs/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b/>
                <w:bCs/>
                <w:snapToGrid w:val="0"/>
                <w:kern w:val="0"/>
                <w:sz w:val="21"/>
                <w:szCs w:val="21"/>
              </w:rPr>
              <w:t>高压并联电抗器</w:t>
            </w:r>
          </w:p>
        </w:tc>
        <w:tc>
          <w:tcPr>
            <w:tcW w:w="30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至边城变</w:t>
            </w:r>
            <w:r>
              <w:rPr>
                <w:snapToGrid w:val="0"/>
                <w:kern w:val="0"/>
                <w:sz w:val="21"/>
                <w:szCs w:val="21"/>
              </w:rPr>
              <w:t>1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回</w:t>
            </w:r>
            <w:r>
              <w:rPr>
                <w:snapToGrid w:val="0"/>
                <w:kern w:val="0"/>
                <w:sz w:val="21"/>
                <w:szCs w:val="21"/>
              </w:rPr>
              <w:t>500kV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出线侧装设</w:t>
            </w:r>
            <w:r>
              <w:rPr>
                <w:snapToGrid w:val="0"/>
                <w:kern w:val="0"/>
                <w:sz w:val="21"/>
                <w:szCs w:val="21"/>
              </w:rPr>
              <w:t>1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组</w:t>
            </w:r>
            <w:r>
              <w:rPr>
                <w:snapToGrid w:val="0"/>
                <w:kern w:val="0"/>
                <w:sz w:val="21"/>
                <w:szCs w:val="21"/>
              </w:rPr>
              <w:t>120Mvar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高压并联电抗器及中性点小电抗</w:t>
            </w:r>
          </w:p>
        </w:tc>
        <w:tc>
          <w:tcPr>
            <w:tcW w:w="35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至边城变</w:t>
            </w:r>
            <w:r>
              <w:rPr>
                <w:snapToGrid w:val="0"/>
                <w:kern w:val="0"/>
                <w:sz w:val="21"/>
                <w:szCs w:val="21"/>
              </w:rPr>
              <w:t>1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回</w:t>
            </w:r>
            <w:r>
              <w:rPr>
                <w:snapToGrid w:val="0"/>
                <w:kern w:val="0"/>
                <w:sz w:val="21"/>
                <w:szCs w:val="21"/>
              </w:rPr>
              <w:t>500kV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出线侧装设</w:t>
            </w:r>
            <w:r>
              <w:rPr>
                <w:snapToGrid w:val="0"/>
                <w:kern w:val="0"/>
                <w:sz w:val="21"/>
                <w:szCs w:val="21"/>
              </w:rPr>
              <w:t>1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组</w:t>
            </w:r>
            <w:r>
              <w:rPr>
                <w:snapToGrid w:val="0"/>
                <w:kern w:val="0"/>
                <w:sz w:val="21"/>
                <w:szCs w:val="21"/>
              </w:rPr>
              <w:t>120Mvar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高压并联电抗器及中性点小电抗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18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b/>
                <w:bCs/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b/>
                <w:bCs/>
                <w:snapToGrid w:val="0"/>
                <w:kern w:val="0"/>
                <w:sz w:val="21"/>
                <w:szCs w:val="21"/>
              </w:rPr>
              <w:t>低压无功补偿</w:t>
            </w:r>
          </w:p>
        </w:tc>
        <w:tc>
          <w:tcPr>
            <w:tcW w:w="30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无</w:t>
            </w:r>
          </w:p>
        </w:tc>
        <w:tc>
          <w:tcPr>
            <w:tcW w:w="35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贵州侧每组主变低压侧预留</w:t>
            </w:r>
            <w:r>
              <w:rPr>
                <w:snapToGrid w:val="0"/>
                <w:kern w:val="0"/>
                <w:sz w:val="21"/>
                <w:szCs w:val="21"/>
              </w:rPr>
              <w:t>5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组低压无功补偿设备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18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b/>
                <w:bCs/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b/>
                <w:bCs/>
                <w:snapToGrid w:val="0"/>
                <w:kern w:val="0"/>
                <w:sz w:val="21"/>
                <w:szCs w:val="21"/>
              </w:rPr>
              <w:t>固定式融冰装置</w:t>
            </w:r>
          </w:p>
        </w:tc>
        <w:tc>
          <w:tcPr>
            <w:tcW w:w="30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新建一套直流融冰装置，</w:t>
            </w:r>
            <w:r>
              <w:rPr>
                <w:snapToGrid w:val="0"/>
                <w:kern w:val="0"/>
                <w:sz w:val="21"/>
                <w:szCs w:val="21"/>
              </w:rPr>
              <w:t>60MW</w:t>
            </w:r>
          </w:p>
        </w:tc>
        <w:tc>
          <w:tcPr>
            <w:tcW w:w="35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新建一套直流融冰装置，</w:t>
            </w:r>
            <w:r>
              <w:rPr>
                <w:snapToGrid w:val="0"/>
                <w:kern w:val="0"/>
                <w:sz w:val="21"/>
                <w:szCs w:val="21"/>
              </w:rPr>
              <w:t>60MW</w:t>
            </w:r>
          </w:p>
        </w:tc>
      </w:tr>
    </w:tbl>
    <w:p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adjustRightInd w:val="0"/>
        <w:snapToGrid w:val="0"/>
        <w:spacing w:line="360" w:lineRule="auto"/>
        <w:ind w:firstLine="480"/>
        <w:textAlignment w:val="auto"/>
        <w:rPr>
          <w:rFonts w:eastAsiaTheme="minorEastAsia"/>
          <w:sz w:val="21"/>
          <w:szCs w:val="21"/>
        </w:rPr>
      </w:pPr>
    </w:p>
    <w:p>
      <w:pPr>
        <w:pStyle w:val="3"/>
        <w:keepNext w:val="0"/>
        <w:keepLines w:val="0"/>
        <w:pageBreakBefore w:val="0"/>
        <w:widowControl w:val="0"/>
        <w:shd w:val="clear" w:color="auto" w:fill="auto"/>
        <w:wordWrap/>
        <w:overflowPunct/>
        <w:topLinePunct w:val="0"/>
        <w:bidi w:val="0"/>
        <w:snapToGrid w:val="0"/>
        <w:spacing w:beforeLines="0" w:afterLines="0" w:line="360" w:lineRule="auto"/>
        <w:textAlignment w:val="auto"/>
        <w:rPr>
          <w:rFonts w:hint="eastAsia" w:ascii="Calibri" w:hAnsi="Calibri" w:cs="Times New Roman" w:eastAsiaTheme="minorEastAsia"/>
          <w:b/>
          <w:bCs/>
          <w:i w:val="0"/>
          <w:color w:val="auto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cs="Times New Roman" w:eastAsiaTheme="minorEastAsia"/>
          <w:b/>
          <w:bCs/>
          <w:i w:val="0"/>
          <w:color w:val="auto"/>
          <w:kern w:val="2"/>
          <w:sz w:val="21"/>
          <w:szCs w:val="21"/>
          <w:lang w:val="en-US" w:eastAsia="zh-CN" w:bidi="ar-SA"/>
        </w:rPr>
        <w:t>（二）站址概况</w:t>
      </w:r>
    </w:p>
    <w:p>
      <w:pPr>
        <w:pStyle w:val="4"/>
        <w:keepNext w:val="0"/>
        <w:keepLines w:val="0"/>
        <w:pageBreakBefore w:val="0"/>
        <w:widowControl w:val="0"/>
        <w:wordWrap/>
        <w:overflowPunct/>
        <w:topLinePunct w:val="0"/>
        <w:bidi w:val="0"/>
        <w:snapToGrid w:val="0"/>
        <w:spacing w:after="0" w:line="360" w:lineRule="auto"/>
        <w:ind w:firstLine="420" w:firstLineChars="200"/>
        <w:textAlignment w:val="auto"/>
        <w:rPr>
          <w:rFonts w:hint="default"/>
          <w:sz w:val="21"/>
          <w:szCs w:val="21"/>
          <w:highlight w:val="none"/>
          <w:lang w:val="en-US" w:eastAsia="zh-CN"/>
        </w:rPr>
      </w:pPr>
      <w:r>
        <w:rPr>
          <w:rFonts w:hint="eastAsia"/>
          <w:sz w:val="21"/>
          <w:szCs w:val="21"/>
          <w:highlight w:val="none"/>
          <w:lang w:val="en-US" w:eastAsia="zh-CN"/>
        </w:rPr>
        <w:t>背靠背换流站</w:t>
      </w:r>
      <w:r>
        <w:rPr>
          <w:rFonts w:hint="default"/>
          <w:sz w:val="21"/>
          <w:szCs w:val="21"/>
          <w:highlight w:val="none"/>
          <w:lang w:val="en-US" w:eastAsia="zh-CN"/>
        </w:rPr>
        <w:t>址位于铜仁市万山区茶店街道，位于万山区中部，距铜仁城区万山主城区城中心约10km，南侧2.5km有茶店收费站，东侧300米处为铜大高速南北向经过，东南侧毗邻茶店服务区。</w:t>
      </w:r>
    </w:p>
    <w:p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adjustRightInd w:val="0"/>
        <w:snapToGrid w:val="0"/>
        <w:spacing w:line="360" w:lineRule="auto"/>
        <w:ind w:firstLine="420" w:firstLineChars="200"/>
        <w:textAlignment w:val="auto"/>
        <w:rPr>
          <w:rFonts w:hint="eastAsia" w:ascii="宋体" w:hAnsi="宋体"/>
          <w:kern w:val="0"/>
          <w:sz w:val="21"/>
          <w:szCs w:val="21"/>
          <w:highlight w:val="none"/>
        </w:rPr>
      </w:pPr>
      <w:r>
        <w:rPr>
          <w:rFonts w:ascii="宋体" w:hAnsi="宋体"/>
          <w:kern w:val="0"/>
          <w:sz w:val="21"/>
          <w:szCs w:val="21"/>
          <w:highlight w:val="none"/>
        </w:rPr>
        <w:t>站址围墙内占地面积12.2114 hm2，新建进站道路长度985m，站区围墙长度1753m。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snapToGrid w:val="0"/>
        <w:spacing w:line="360" w:lineRule="auto"/>
        <w:ind w:firstLine="420" w:firstLineChars="200"/>
        <w:textAlignment w:val="auto"/>
        <w:rPr>
          <w:rFonts w:hint="default" w:ascii="Times New Roman" w:hAnsi="Times New Roman" w:cs="Times New Roman"/>
          <w:b w:val="0"/>
          <w:bCs/>
          <w:color w:val="auto"/>
          <w:sz w:val="21"/>
          <w:szCs w:val="21"/>
          <w:highlight w:val="none"/>
          <w:u w:val="none"/>
        </w:rPr>
      </w:pPr>
      <w:r>
        <w:rPr>
          <w:rFonts w:hint="default" w:ascii="Times New Roman" w:hAnsi="Times New Roman" w:cs="Times New Roman"/>
          <w:b w:val="0"/>
          <w:bCs/>
          <w:color w:val="auto"/>
          <w:sz w:val="21"/>
          <w:szCs w:val="21"/>
          <w:highlight w:val="none"/>
          <w:u w:val="none"/>
        </w:rPr>
        <w:t>站址按A轴北偏西56°方向布置，全站根据功能分区，可划分为“阀厅”、“柔直变及启动回路”、“交流场”、 “生产辅助和站前区”区域。</w:t>
      </w:r>
    </w:p>
    <w:p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adjustRightInd w:val="0"/>
        <w:snapToGrid w:val="0"/>
        <w:spacing w:line="360" w:lineRule="auto"/>
        <w:ind w:firstLine="480"/>
        <w:textAlignment w:val="auto"/>
        <w:rPr>
          <w:rFonts w:hint="eastAsia" w:ascii="宋体" w:hAnsi="宋体"/>
          <w:kern w:val="0"/>
          <w:sz w:val="21"/>
          <w:szCs w:val="21"/>
          <w:highlight w:val="none"/>
        </w:rPr>
      </w:pPr>
      <w:r>
        <w:rPr>
          <w:rFonts w:ascii="宋体" w:hAnsi="宋体"/>
          <w:kern w:val="0"/>
          <w:sz w:val="21"/>
          <w:szCs w:val="21"/>
          <w:highlight w:val="none"/>
        </w:rPr>
        <w:t>总平面由西向东四列式布置：交流配电装置(贵州侧）→启动回路及柔直变区域→主辅控楼及柔直阀厅→启动回路及柔直变区域→交流配电装置（湖南侧）。</w:t>
      </w:r>
    </w:p>
    <w:tbl>
      <w:tblPr>
        <w:tblStyle w:val="12"/>
        <w:tblW w:w="8522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22" w:type="dxa"/>
            <w:vAlign w:val="center"/>
          </w:tcPr>
          <w:p>
            <w:pPr>
              <w:pStyle w:val="18"/>
              <w:ind w:firstLine="0" w:firstLineChars="0"/>
              <w:jc w:val="center"/>
              <w:rPr>
                <w:rFonts w:hint="eastAsia" w:ascii="宋体" w:hAnsi="宋体"/>
                <w:bCs/>
                <w:color w:val="auto"/>
              </w:rPr>
            </w:pPr>
            <w:r>
              <w:rPr>
                <w:rFonts w:ascii="宋体" w:hAnsi="宋体"/>
                <w:bCs/>
                <w:color w:val="auto"/>
              </w:rPr>
              <w:drawing>
                <wp:inline distT="0" distB="0" distL="0" distR="0">
                  <wp:extent cx="4989830" cy="1987550"/>
                  <wp:effectExtent l="0" t="0" r="1270" b="12700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89830" cy="198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both"/>
        <w:textAlignment w:val="auto"/>
        <w:outlineLvl w:val="9"/>
        <w:rPr>
          <w:rFonts w:hint="default" w:ascii="Times New Roman" w:hAnsi="Times New Roman" w:eastAsia="宋体" w:cs="Times New Roman"/>
          <w:b/>
          <w:bCs/>
          <w:i w:val="0"/>
          <w:iCs w:val="0"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  <w:t>二、采购</w:t>
      </w:r>
      <w:r>
        <w:rPr>
          <w:rFonts w:hint="default" w:ascii="Times New Roman" w:hAnsi="Times New Roman" w:eastAsia="宋体" w:cs="Times New Roman"/>
          <w:b/>
          <w:bCs/>
          <w:i w:val="0"/>
          <w:i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  <w:t>范围</w:t>
      </w:r>
    </w:p>
    <w:p>
      <w:pPr>
        <w:pStyle w:val="8"/>
        <w:snapToGrid w:val="0"/>
        <w:spacing w:line="360" w:lineRule="auto"/>
        <w:ind w:firstLine="422" w:firstLineChars="200"/>
        <w:jc w:val="left"/>
        <w:outlineLvl w:val="0"/>
        <w:rPr>
          <w:rFonts w:hint="default" w:ascii="Times New Roman" w:hAnsi="Times New Roman" w:cs="Times New Roman"/>
          <w:b/>
          <w:bCs/>
          <w:snapToGrid w:val="0"/>
          <w:color w:val="auto"/>
          <w:sz w:val="21"/>
          <w:szCs w:val="21"/>
          <w:highlight w:val="none"/>
        </w:rPr>
      </w:pPr>
      <w:r>
        <w:rPr>
          <w:rFonts w:hint="default" w:ascii="Times New Roman" w:hAnsi="Times New Roman" w:cs="Times New Roman"/>
          <w:b/>
          <w:bCs/>
          <w:snapToGrid w:val="0"/>
          <w:color w:val="auto"/>
          <w:sz w:val="21"/>
          <w:szCs w:val="21"/>
          <w:highlight w:val="none"/>
        </w:rPr>
        <w:t>包括</w:t>
      </w:r>
      <w:r>
        <w:rPr>
          <w:rFonts w:hint="eastAsia" w:ascii="Times New Roman" w:hAnsi="Times New Roman" w:cs="Times New Roman"/>
          <w:b/>
          <w:bCs/>
          <w:snapToGrid w:val="0"/>
          <w:color w:val="auto"/>
          <w:sz w:val="21"/>
          <w:szCs w:val="21"/>
          <w:highlight w:val="none"/>
          <w:lang w:val="en-US" w:eastAsia="zh-CN"/>
        </w:rPr>
        <w:t>全站</w:t>
      </w:r>
      <w:r>
        <w:rPr>
          <w:rFonts w:hint="default" w:ascii="Times New Roman" w:hAnsi="Times New Roman" w:cs="Times New Roman"/>
          <w:b/>
          <w:bCs/>
          <w:snapToGrid w:val="0"/>
          <w:color w:val="auto"/>
          <w:sz w:val="21"/>
          <w:szCs w:val="21"/>
          <w:highlight w:val="none"/>
        </w:rPr>
        <w:t>的建筑、安装及调试工程。</w:t>
      </w:r>
    </w:p>
    <w:p>
      <w:pPr>
        <w:shd w:val="clear"/>
        <w:autoSpaceDE w:val="0"/>
        <w:autoSpaceDN w:val="0"/>
        <w:adjustRightInd w:val="0"/>
        <w:snapToGrid w:val="0"/>
        <w:spacing w:line="360" w:lineRule="auto"/>
        <w:ind w:firstLine="422" w:firstLineChars="200"/>
        <w:jc w:val="left"/>
        <w:rPr>
          <w:rFonts w:hint="default" w:ascii="Times New Roman" w:hAnsi="Times New Roman" w:eastAsia="宋体" w:cs="Times New Roman"/>
          <w:b w:val="0"/>
          <w:bCs/>
          <w:color w:val="auto"/>
          <w:szCs w:val="21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b/>
          <w:bCs w:val="0"/>
          <w:color w:val="auto"/>
          <w:szCs w:val="21"/>
          <w:highlight w:val="none"/>
          <w:lang w:val="en-US" w:eastAsia="zh-CN"/>
        </w:rPr>
        <w:t>建筑、安装B包</w:t>
      </w:r>
      <w:r>
        <w:rPr>
          <w:rFonts w:hint="default" w:ascii="Times New Roman" w:hAnsi="Times New Roman" w:eastAsia="宋体" w:cs="Times New Roman"/>
          <w:b/>
          <w:bCs w:val="0"/>
          <w:color w:val="auto"/>
          <w:szCs w:val="21"/>
          <w:highlight w:val="none"/>
          <w:lang w:val="en-US" w:eastAsia="zh-CN"/>
        </w:rPr>
        <w:t>：</w:t>
      </w:r>
      <w:r>
        <w:rPr>
          <w:rFonts w:hint="default" w:ascii="Times New Roman" w:hAnsi="Times New Roman" w:eastAsia="宋体" w:cs="Times New Roman"/>
          <w:b w:val="0"/>
          <w:bCs/>
          <w:color w:val="auto"/>
          <w:szCs w:val="21"/>
          <w:highlight w:val="none"/>
          <w:lang w:val="en-US" w:eastAsia="zh-CN"/>
        </w:rPr>
        <w:t>站前区、生产辅助区、贵州侧柔直变及启动回路区域、贵州侧交流场区域内建筑工程和电气安装及配电设施，以及全站围墙和站外电源线路施工。从本工程施工准备至工程竣工投产及工程移交、达标投产及创优止各阶段的建筑、安装等相关工作内容和服务。</w:t>
      </w:r>
      <w:r>
        <w:rPr>
          <w:rFonts w:hint="default" w:ascii="Times New Roman" w:hAnsi="Times New Roman"/>
          <w:b/>
          <w:bCs w:val="0"/>
          <w:color w:val="auto"/>
          <w:szCs w:val="21"/>
          <w:highlight w:val="none"/>
          <w:lang w:val="en-US" w:eastAsia="zh-CN"/>
        </w:rPr>
        <w:t>注：</w:t>
      </w:r>
      <w:r>
        <w:rPr>
          <w:rFonts w:hint="default" w:ascii="Times New Roman" w:hAnsi="Times New Roman"/>
          <w:b w:val="0"/>
          <w:bCs/>
          <w:color w:val="auto"/>
          <w:szCs w:val="21"/>
          <w:highlight w:val="none"/>
          <w:lang w:val="en-US" w:eastAsia="zh-CN"/>
        </w:rPr>
        <w:t>建筑、安装</w:t>
      </w:r>
      <w:r>
        <w:rPr>
          <w:rFonts w:hint="default" w:ascii="Times New Roman" w:hAnsi="Times New Roman"/>
          <w:bCs/>
          <w:color w:val="auto"/>
          <w:szCs w:val="21"/>
          <w:highlight w:val="none"/>
          <w:lang w:val="en-US" w:eastAsia="zh-CN"/>
        </w:rPr>
        <w:t>2标段即下面划分图中的B包范围。</w:t>
      </w:r>
    </w:p>
    <w:p>
      <w:pPr>
        <w:autoSpaceDE w:val="0"/>
        <w:autoSpaceDN w:val="0"/>
        <w:adjustRightInd w:val="0"/>
        <w:snapToGrid w:val="0"/>
        <w:spacing w:line="360" w:lineRule="auto"/>
        <w:ind w:firstLine="420" w:firstLineChars="200"/>
        <w:rPr>
          <w:rFonts w:hint="default"/>
          <w:lang w:val="en-US" w:eastAsia="zh-CN"/>
        </w:rPr>
      </w:pPr>
      <w:r>
        <w:drawing>
          <wp:inline distT="0" distB="0" distL="114300" distR="114300">
            <wp:extent cx="4597400" cy="2362200"/>
            <wp:effectExtent l="0" t="0" r="1270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9740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8"/>
        <w:snapToGrid w:val="0"/>
        <w:spacing w:line="360" w:lineRule="auto"/>
        <w:rPr>
          <w:rFonts w:hint="default" w:ascii="Times New Roman" w:hAnsi="Times New Roman" w:cs="Times New Roman"/>
          <w:b/>
          <w:bCs/>
          <w:snapToGrid w:val="0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cs="Times New Roman"/>
          <w:b/>
          <w:bCs/>
          <w:snapToGrid w:val="0"/>
          <w:color w:val="auto"/>
          <w:sz w:val="24"/>
          <w:szCs w:val="24"/>
          <w:highlight w:val="none"/>
        </w:rPr>
        <w:t>三、承包方式</w:t>
      </w:r>
    </w:p>
    <w:p>
      <w:pPr>
        <w:pStyle w:val="8"/>
        <w:snapToGrid w:val="0"/>
        <w:spacing w:line="360" w:lineRule="auto"/>
        <w:ind w:firstLine="422" w:firstLineChars="200"/>
        <w:rPr>
          <w:rFonts w:hint="default" w:ascii="Times New Roman" w:hAnsi="Times New Roman" w:eastAsia="宋体" w:cs="Times New Roman"/>
          <w:b/>
          <w:bCs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default" w:ascii="Times New Roman" w:hAnsi="Times New Roman" w:eastAsia="宋体" w:cs="Times New Roman"/>
          <w:b/>
          <w:bCs w:val="0"/>
          <w:color w:val="auto"/>
          <w:kern w:val="2"/>
          <w:sz w:val="21"/>
          <w:szCs w:val="21"/>
          <w:highlight w:val="none"/>
          <w:lang w:val="en-US" w:eastAsia="zh-CN" w:bidi="ar-SA"/>
        </w:rPr>
        <w:t>包工、部分包料，施工图纸范围内如有下列设备、材料，无□及</w:t>
      </w:r>
      <w:r>
        <w:rPr>
          <w:rFonts w:hint="default" w:ascii="Times New Roman" w:hAnsi="Times New Roman" w:eastAsia="宋体" w:cs="Times New Roman"/>
          <w:b/>
          <w:bCs w:val="0"/>
          <w:color w:val="auto"/>
          <w:kern w:val="2"/>
          <w:sz w:val="21"/>
          <w:szCs w:val="21"/>
          <w:highlight w:val="none"/>
          <w:lang w:val="en-US" w:eastAsia="zh-CN" w:bidi="ar-SA"/>
        </w:rPr>
        <w:fldChar w:fldCharType="begin"/>
      </w:r>
      <w:r>
        <w:rPr>
          <w:rFonts w:hint="default" w:ascii="Times New Roman" w:hAnsi="Times New Roman" w:eastAsia="宋体" w:cs="Times New Roman"/>
          <w:b/>
          <w:bCs w:val="0"/>
          <w:color w:val="auto"/>
          <w:kern w:val="2"/>
          <w:sz w:val="21"/>
          <w:szCs w:val="21"/>
          <w:highlight w:val="none"/>
          <w:lang w:val="en-US" w:eastAsia="zh-CN" w:bidi="ar-SA"/>
        </w:rPr>
        <w:instrText xml:space="preserve"> EQ \o\ac(□,√)</w:instrText>
      </w:r>
      <w:r>
        <w:rPr>
          <w:rFonts w:hint="default" w:ascii="Times New Roman" w:hAnsi="Times New Roman" w:eastAsia="宋体" w:cs="Times New Roman"/>
          <w:b/>
          <w:bCs w:val="0"/>
          <w:color w:val="auto"/>
          <w:kern w:val="2"/>
          <w:sz w:val="21"/>
          <w:szCs w:val="21"/>
          <w:highlight w:val="none"/>
          <w:lang w:val="en-US" w:eastAsia="zh-CN" w:bidi="ar-SA"/>
        </w:rPr>
        <w:fldChar w:fldCharType="end"/>
      </w:r>
      <w:r>
        <w:rPr>
          <w:rFonts w:hint="default" w:ascii="Times New Roman" w:hAnsi="Times New Roman" w:eastAsia="宋体" w:cs="Times New Roman"/>
          <w:b/>
          <w:bCs w:val="0"/>
          <w:color w:val="auto"/>
          <w:kern w:val="2"/>
          <w:sz w:val="21"/>
          <w:szCs w:val="21"/>
          <w:highlight w:val="none"/>
          <w:lang w:val="en-US" w:eastAsia="zh-CN" w:bidi="ar-SA"/>
        </w:rPr>
        <w:t>的为甲供，□未打√的及不在下列的为乙供。</w:t>
      </w:r>
    </w:p>
    <w:p>
      <w:pPr>
        <w:autoSpaceDE w:val="0"/>
        <w:autoSpaceDN w:val="0"/>
        <w:adjustRightInd w:val="0"/>
        <w:snapToGrid w:val="0"/>
        <w:spacing w:line="360" w:lineRule="auto"/>
        <w:ind w:firstLine="422" w:firstLineChars="200"/>
        <w:jc w:val="left"/>
        <w:rPr>
          <w:rFonts w:hint="default" w:ascii="Times New Roman" w:hAnsi="Times New Roman" w:cs="Times New Roman"/>
          <w:b/>
          <w:color w:val="auto"/>
          <w:szCs w:val="21"/>
          <w:highlight w:val="none"/>
        </w:rPr>
      </w:pPr>
      <w:r>
        <w:rPr>
          <w:rFonts w:hint="default" w:ascii="Times New Roman" w:hAnsi="Times New Roman" w:cs="Times New Roman"/>
          <w:b/>
          <w:color w:val="auto"/>
          <w:szCs w:val="21"/>
          <w:highlight w:val="none"/>
        </w:rPr>
        <w:t>（一）甲供物资：</w:t>
      </w:r>
    </w:p>
    <w:p>
      <w:pPr>
        <w:shd w:val="clear" w:color="auto" w:fill="auto"/>
        <w:autoSpaceDE w:val="0"/>
        <w:autoSpaceDN w:val="0"/>
        <w:adjustRightInd w:val="0"/>
        <w:snapToGrid w:val="0"/>
        <w:spacing w:line="360" w:lineRule="auto"/>
        <w:ind w:firstLine="422" w:firstLineChars="200"/>
        <w:jc w:val="left"/>
        <w:rPr>
          <w:rFonts w:hint="eastAsia" w:ascii="Times New Roman" w:hAnsi="Times New Roman" w:eastAsia="宋体" w:cs="Times New Roman"/>
          <w:b w:val="0"/>
          <w:bCs/>
          <w:color w:val="auto"/>
          <w:szCs w:val="21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 w:val="0"/>
          <w:color w:val="auto"/>
          <w:szCs w:val="21"/>
          <w:highlight w:val="none"/>
          <w:lang w:val="en-US" w:eastAsia="zh-CN"/>
        </w:rPr>
        <w:t>1）建筑工程：</w:t>
      </w:r>
      <w:r>
        <w:rPr>
          <w:rFonts w:hint="eastAsia" w:ascii="Times New Roman" w:hAnsi="Times New Roman" w:eastAsia="宋体" w:cs="Times New Roman"/>
          <w:b w:val="0"/>
          <w:bCs/>
          <w:color w:val="auto"/>
          <w:szCs w:val="21"/>
          <w:highlight w:val="none"/>
          <w:lang w:val="en-US" w:eastAsia="zh-CN"/>
        </w:rPr>
        <w:t>构支架钢结构、建筑钢结构、建筑压型钢板、BOX-IN及围墙隔声屏障、通风空调（部分）、仓储货架及配套设施、四向/全向液压叉车等。</w:t>
      </w:r>
    </w:p>
    <w:p>
      <w:pPr>
        <w:shd w:val="clear" w:color="auto" w:fill="auto"/>
        <w:autoSpaceDE w:val="0"/>
        <w:autoSpaceDN w:val="0"/>
        <w:adjustRightInd w:val="0"/>
        <w:snapToGrid w:val="0"/>
        <w:spacing w:line="360" w:lineRule="auto"/>
        <w:ind w:firstLine="422" w:firstLineChars="200"/>
        <w:jc w:val="left"/>
        <w:rPr>
          <w:rFonts w:hint="eastAsia" w:ascii="Times New Roman" w:hAnsi="Times New Roman" w:eastAsia="宋体" w:cs="Times New Roman"/>
          <w:b w:val="0"/>
          <w:bCs/>
          <w:color w:val="auto"/>
          <w:szCs w:val="21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 w:val="0"/>
          <w:color w:val="auto"/>
          <w:szCs w:val="21"/>
          <w:highlight w:val="none"/>
          <w:lang w:val="en-US" w:eastAsia="zh-CN"/>
        </w:rPr>
        <w:t>2）安装工程：</w:t>
      </w:r>
      <w:r>
        <w:rPr>
          <w:rFonts w:hint="eastAsia" w:ascii="Times New Roman" w:hAnsi="Times New Roman" w:eastAsia="宋体" w:cs="Times New Roman"/>
          <w:b w:val="0"/>
          <w:bCs/>
          <w:color w:val="auto"/>
          <w:szCs w:val="21"/>
          <w:highlight w:val="none"/>
          <w:lang w:val="en-US" w:eastAsia="zh-CN"/>
        </w:rPr>
        <w:t>电气交直流一、二次设备(含柔直变、桥臂电抗器、交流GIS、站用变、高抗、控保等)、全站电缆、电缆桥架、10kV及以上电缆头、支柱绝缘子、管形母线及管母金具等。</w:t>
      </w:r>
    </w:p>
    <w:p>
      <w:pPr>
        <w:shd w:val="clear" w:color="auto" w:fill="auto"/>
        <w:autoSpaceDE w:val="0"/>
        <w:autoSpaceDN w:val="0"/>
        <w:adjustRightInd w:val="0"/>
        <w:snapToGrid w:val="0"/>
        <w:spacing w:line="360" w:lineRule="auto"/>
        <w:ind w:firstLine="422" w:firstLineChars="200"/>
        <w:jc w:val="left"/>
        <w:rPr>
          <w:rFonts w:hint="eastAsia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 w:val="0"/>
          <w:color w:val="auto"/>
          <w:szCs w:val="21"/>
          <w:highlight w:val="none"/>
          <w:lang w:val="en-US" w:eastAsia="zh-CN"/>
        </w:rPr>
        <w:t>3）站外电源线路：</w:t>
      </w:r>
      <w:r>
        <w:rPr>
          <w:rFonts w:hint="eastAsia" w:ascii="Times New Roman" w:hAnsi="Times New Roman" w:eastAsia="宋体" w:cs="Times New Roman"/>
          <w:b w:val="0"/>
          <w:bCs/>
          <w:color w:val="auto"/>
          <w:szCs w:val="21"/>
          <w:highlight w:val="none"/>
          <w:lang w:val="en-US" w:eastAsia="zh-CN"/>
        </w:rPr>
        <w:t>1.电气主要设备材料（导地线、盘式绝缘子、导线间隔棒、导、地线防振锤、普通挂线金具、耐张挂点补偿金具、石墨接地）。2.OPGW光缆、光缆耐张串及悬垂串、塔用普通接头盒、塔用普通引下线夹、塔用普通余缆架（非绝缘）、预绞丝防振锤。3.附属设备：线路避雷器、图像在线监测装置、导线安全备份线夹、地线安全备份线夹、OPGW安全备份线夹、三牌、机巡牌、X光检测及耐张线夹倒挂需注脂。4.结构主要设备材料：铁塔（含地脚螺栓）、防坠落导轨、防坠落金具及转向器等。</w:t>
      </w:r>
    </w:p>
    <w:p>
      <w:pPr>
        <w:numPr>
          <w:ilvl w:val="0"/>
          <w:numId w:val="0"/>
        </w:numPr>
        <w:autoSpaceDE w:val="0"/>
        <w:autoSpaceDN w:val="0"/>
        <w:adjustRightInd w:val="0"/>
        <w:snapToGrid w:val="0"/>
        <w:spacing w:line="360" w:lineRule="auto"/>
        <w:ind w:firstLine="211" w:firstLineChars="100"/>
        <w:jc w:val="left"/>
        <w:rPr>
          <w:rFonts w:hint="default" w:ascii="Times New Roman" w:hAnsi="Times New Roman" w:cs="Times New Roman"/>
          <w:bCs/>
          <w:color w:val="auto"/>
          <w:szCs w:val="21"/>
          <w:highlight w:val="none"/>
          <w:u w:val="single"/>
        </w:rPr>
      </w:pPr>
      <w:r>
        <w:rPr>
          <w:rFonts w:hint="default" w:ascii="Times New Roman" w:hAnsi="Times New Roman" w:cs="Times New Roman"/>
          <w:b/>
          <w:color w:val="auto"/>
          <w:szCs w:val="21"/>
          <w:highlight w:val="none"/>
        </w:rPr>
        <w:t>（</w:t>
      </w:r>
      <w:r>
        <w:rPr>
          <w:rFonts w:hint="eastAsia" w:ascii="Times New Roman" w:hAnsi="Times New Roman" w:cs="Times New Roman"/>
          <w:b/>
          <w:color w:val="auto"/>
          <w:szCs w:val="21"/>
          <w:highlight w:val="none"/>
          <w:lang w:val="en-US" w:eastAsia="zh-CN"/>
        </w:rPr>
        <w:t>二</w:t>
      </w:r>
      <w:r>
        <w:rPr>
          <w:rFonts w:hint="default" w:ascii="Times New Roman" w:hAnsi="Times New Roman" w:cs="Times New Roman"/>
          <w:b/>
          <w:color w:val="auto"/>
          <w:szCs w:val="21"/>
          <w:highlight w:val="none"/>
        </w:rPr>
        <w:t>）其他甲供物资：</w:t>
      </w:r>
      <w:r>
        <w:rPr>
          <w:rFonts w:hint="default" w:ascii="Times New Roman" w:hAnsi="Times New Roman" w:cs="Times New Roman"/>
          <w:bCs/>
          <w:color w:val="auto"/>
          <w:szCs w:val="21"/>
          <w:highlight w:val="none"/>
          <w:u w:val="single"/>
        </w:rPr>
        <w:t xml:space="preserve"> /。</w:t>
      </w:r>
    </w:p>
    <w:p>
      <w:pPr>
        <w:pStyle w:val="8"/>
        <w:widowControl w:val="0"/>
        <w:numPr>
          <w:ilvl w:val="0"/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jc w:val="both"/>
        <w:rPr>
          <w:rFonts w:hint="default" w:ascii="Times New Roman" w:hAnsi="Times New Roman" w:cs="Times New Roman"/>
          <w:b/>
          <w:bCs/>
          <w:color w:val="auto"/>
          <w:highlight w:val="none"/>
        </w:rPr>
      </w:pPr>
      <w:r>
        <w:rPr>
          <w:rFonts w:hint="default" w:ascii="Times New Roman" w:hAnsi="Times New Roman" w:cs="Times New Roman"/>
          <w:b/>
          <w:bCs/>
          <w:color w:val="auto"/>
          <w:highlight w:val="none"/>
        </w:rPr>
        <w:t>注：建设单位提供的设备、材料以合同附件（甲供设备材料明细表）为准。</w:t>
      </w:r>
    </w:p>
    <w:p>
      <w:pPr>
        <w:pStyle w:val="8"/>
        <w:rPr>
          <w:rFonts w:hint="eastAsia" w:ascii="Times New Roman" w:hAnsi="Times New Roman" w:cs="Times New Roman"/>
          <w:b/>
          <w:bCs/>
          <w:color w:val="auto"/>
          <w:highlight w:val="none"/>
          <w:lang w:eastAsia="zh-CN"/>
        </w:rPr>
      </w:pPr>
      <w:bookmarkStart w:id="4" w:name="_GoBack"/>
      <w:bookmarkEnd w:id="4"/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A31851"/>
    <w:rsid w:val="00160905"/>
    <w:rsid w:val="00634400"/>
    <w:rsid w:val="00735D39"/>
    <w:rsid w:val="0074475E"/>
    <w:rsid w:val="00AC4EA7"/>
    <w:rsid w:val="00C14451"/>
    <w:rsid w:val="00D42EBA"/>
    <w:rsid w:val="00E317F6"/>
    <w:rsid w:val="00E639D2"/>
    <w:rsid w:val="01234B47"/>
    <w:rsid w:val="01333E91"/>
    <w:rsid w:val="014C49AF"/>
    <w:rsid w:val="015A35F5"/>
    <w:rsid w:val="01740790"/>
    <w:rsid w:val="018B7850"/>
    <w:rsid w:val="01AA6406"/>
    <w:rsid w:val="02056B79"/>
    <w:rsid w:val="02257DBD"/>
    <w:rsid w:val="022711E1"/>
    <w:rsid w:val="02373911"/>
    <w:rsid w:val="024073A2"/>
    <w:rsid w:val="024654A7"/>
    <w:rsid w:val="02514781"/>
    <w:rsid w:val="025268C0"/>
    <w:rsid w:val="0258635C"/>
    <w:rsid w:val="026A4799"/>
    <w:rsid w:val="02852FF6"/>
    <w:rsid w:val="02885EBC"/>
    <w:rsid w:val="02A921A7"/>
    <w:rsid w:val="02B15B34"/>
    <w:rsid w:val="02C83782"/>
    <w:rsid w:val="03287EDC"/>
    <w:rsid w:val="034D7CA2"/>
    <w:rsid w:val="034E0227"/>
    <w:rsid w:val="03AA0451"/>
    <w:rsid w:val="03AF423F"/>
    <w:rsid w:val="03E3268F"/>
    <w:rsid w:val="0464098E"/>
    <w:rsid w:val="04652054"/>
    <w:rsid w:val="046C6B58"/>
    <w:rsid w:val="04865276"/>
    <w:rsid w:val="04894F85"/>
    <w:rsid w:val="048C6109"/>
    <w:rsid w:val="049E6E5E"/>
    <w:rsid w:val="04A100F9"/>
    <w:rsid w:val="04A77B66"/>
    <w:rsid w:val="04C67035"/>
    <w:rsid w:val="054A1544"/>
    <w:rsid w:val="055A1D52"/>
    <w:rsid w:val="05765B38"/>
    <w:rsid w:val="05953600"/>
    <w:rsid w:val="0597414B"/>
    <w:rsid w:val="05B438D9"/>
    <w:rsid w:val="05C24366"/>
    <w:rsid w:val="06784EE2"/>
    <w:rsid w:val="068A6309"/>
    <w:rsid w:val="069E2ED8"/>
    <w:rsid w:val="06CC371C"/>
    <w:rsid w:val="07066189"/>
    <w:rsid w:val="070E64F1"/>
    <w:rsid w:val="070F4FB8"/>
    <w:rsid w:val="073D2356"/>
    <w:rsid w:val="079F1171"/>
    <w:rsid w:val="08142C88"/>
    <w:rsid w:val="082B6B4E"/>
    <w:rsid w:val="087950C3"/>
    <w:rsid w:val="088607AA"/>
    <w:rsid w:val="08AB6852"/>
    <w:rsid w:val="08BF1F2D"/>
    <w:rsid w:val="08CE5B36"/>
    <w:rsid w:val="08E3133A"/>
    <w:rsid w:val="08E35813"/>
    <w:rsid w:val="08EA265C"/>
    <w:rsid w:val="091C5B6F"/>
    <w:rsid w:val="099C2434"/>
    <w:rsid w:val="09AA6D50"/>
    <w:rsid w:val="09B13DAF"/>
    <w:rsid w:val="09E661D8"/>
    <w:rsid w:val="0A34389E"/>
    <w:rsid w:val="0A434B06"/>
    <w:rsid w:val="0A467192"/>
    <w:rsid w:val="0A7B09AD"/>
    <w:rsid w:val="0A844D78"/>
    <w:rsid w:val="0A985A04"/>
    <w:rsid w:val="0AB54D77"/>
    <w:rsid w:val="0AB55BC4"/>
    <w:rsid w:val="0B007ACB"/>
    <w:rsid w:val="0B0808AF"/>
    <w:rsid w:val="0B0F2FF1"/>
    <w:rsid w:val="0B142DCD"/>
    <w:rsid w:val="0BF051F4"/>
    <w:rsid w:val="0BF179A4"/>
    <w:rsid w:val="0BF26409"/>
    <w:rsid w:val="0C000241"/>
    <w:rsid w:val="0C1E223E"/>
    <w:rsid w:val="0C386FE3"/>
    <w:rsid w:val="0C482B96"/>
    <w:rsid w:val="0C4B6137"/>
    <w:rsid w:val="0C7F2FB9"/>
    <w:rsid w:val="0C924F7F"/>
    <w:rsid w:val="0C9A2412"/>
    <w:rsid w:val="0CA06D4A"/>
    <w:rsid w:val="0CB26B57"/>
    <w:rsid w:val="0CCE61A6"/>
    <w:rsid w:val="0CF04D2D"/>
    <w:rsid w:val="0D0116A7"/>
    <w:rsid w:val="0D035166"/>
    <w:rsid w:val="0D502146"/>
    <w:rsid w:val="0D603900"/>
    <w:rsid w:val="0D6D48F9"/>
    <w:rsid w:val="0D725303"/>
    <w:rsid w:val="0D871279"/>
    <w:rsid w:val="0DD16EDD"/>
    <w:rsid w:val="0DD42F2A"/>
    <w:rsid w:val="0DD772CA"/>
    <w:rsid w:val="0DDC4BFD"/>
    <w:rsid w:val="0E215EAB"/>
    <w:rsid w:val="0E2C1CAE"/>
    <w:rsid w:val="0E3C4380"/>
    <w:rsid w:val="0E496566"/>
    <w:rsid w:val="0E6860E1"/>
    <w:rsid w:val="0E7930B0"/>
    <w:rsid w:val="0E8305E3"/>
    <w:rsid w:val="0EDC7EDE"/>
    <w:rsid w:val="0EE1215B"/>
    <w:rsid w:val="0EE24AF4"/>
    <w:rsid w:val="0EE842E9"/>
    <w:rsid w:val="0F046F53"/>
    <w:rsid w:val="0F16617F"/>
    <w:rsid w:val="0F1671BB"/>
    <w:rsid w:val="0F4F3CED"/>
    <w:rsid w:val="0F783895"/>
    <w:rsid w:val="100A20AC"/>
    <w:rsid w:val="10126925"/>
    <w:rsid w:val="101A4FA7"/>
    <w:rsid w:val="101B5FBF"/>
    <w:rsid w:val="10292999"/>
    <w:rsid w:val="10556526"/>
    <w:rsid w:val="10597DFC"/>
    <w:rsid w:val="10656E88"/>
    <w:rsid w:val="10743206"/>
    <w:rsid w:val="1078783A"/>
    <w:rsid w:val="10AD46CB"/>
    <w:rsid w:val="10B57E67"/>
    <w:rsid w:val="10BA6175"/>
    <w:rsid w:val="10CB27CE"/>
    <w:rsid w:val="10E2592C"/>
    <w:rsid w:val="10ED07B4"/>
    <w:rsid w:val="11644228"/>
    <w:rsid w:val="118F5908"/>
    <w:rsid w:val="11A21712"/>
    <w:rsid w:val="11AD553B"/>
    <w:rsid w:val="12203995"/>
    <w:rsid w:val="124F21F3"/>
    <w:rsid w:val="12712B03"/>
    <w:rsid w:val="128B0996"/>
    <w:rsid w:val="12BF41FF"/>
    <w:rsid w:val="12DE2CA9"/>
    <w:rsid w:val="12EE046D"/>
    <w:rsid w:val="130B4D14"/>
    <w:rsid w:val="133F34EA"/>
    <w:rsid w:val="13424C34"/>
    <w:rsid w:val="13716D9B"/>
    <w:rsid w:val="13AA1EC9"/>
    <w:rsid w:val="13B145E4"/>
    <w:rsid w:val="13C37281"/>
    <w:rsid w:val="13E25777"/>
    <w:rsid w:val="13E67590"/>
    <w:rsid w:val="13EC68F3"/>
    <w:rsid w:val="13FD0A07"/>
    <w:rsid w:val="140359B0"/>
    <w:rsid w:val="145D719E"/>
    <w:rsid w:val="14892EC9"/>
    <w:rsid w:val="149113C6"/>
    <w:rsid w:val="149E6179"/>
    <w:rsid w:val="14A517E4"/>
    <w:rsid w:val="14E478D4"/>
    <w:rsid w:val="14E60764"/>
    <w:rsid w:val="14EF57D3"/>
    <w:rsid w:val="1510366A"/>
    <w:rsid w:val="1517719C"/>
    <w:rsid w:val="1531652D"/>
    <w:rsid w:val="15327A46"/>
    <w:rsid w:val="1541289B"/>
    <w:rsid w:val="154356C5"/>
    <w:rsid w:val="157A61FC"/>
    <w:rsid w:val="157D2D7C"/>
    <w:rsid w:val="157F22D3"/>
    <w:rsid w:val="15AF6A20"/>
    <w:rsid w:val="15E97E48"/>
    <w:rsid w:val="15FB6399"/>
    <w:rsid w:val="1635495F"/>
    <w:rsid w:val="16382BA5"/>
    <w:rsid w:val="165E38ED"/>
    <w:rsid w:val="166C3F28"/>
    <w:rsid w:val="16B914D5"/>
    <w:rsid w:val="16BB6770"/>
    <w:rsid w:val="16E5397F"/>
    <w:rsid w:val="17F40C30"/>
    <w:rsid w:val="18061F11"/>
    <w:rsid w:val="182C1548"/>
    <w:rsid w:val="183959AC"/>
    <w:rsid w:val="187314E4"/>
    <w:rsid w:val="18D31FA0"/>
    <w:rsid w:val="18D914F7"/>
    <w:rsid w:val="18DA34FC"/>
    <w:rsid w:val="18DF1A90"/>
    <w:rsid w:val="18F769A7"/>
    <w:rsid w:val="191A0288"/>
    <w:rsid w:val="197700D9"/>
    <w:rsid w:val="19BA688F"/>
    <w:rsid w:val="19CB2669"/>
    <w:rsid w:val="19D94A08"/>
    <w:rsid w:val="19E16826"/>
    <w:rsid w:val="19FD0A55"/>
    <w:rsid w:val="1A0E4463"/>
    <w:rsid w:val="1A125A1A"/>
    <w:rsid w:val="1A24104A"/>
    <w:rsid w:val="1A4B6E14"/>
    <w:rsid w:val="1A812CEC"/>
    <w:rsid w:val="1AA02166"/>
    <w:rsid w:val="1AD738BE"/>
    <w:rsid w:val="1ADA69AD"/>
    <w:rsid w:val="1ADC3A8B"/>
    <w:rsid w:val="1AE2513B"/>
    <w:rsid w:val="1B157B93"/>
    <w:rsid w:val="1B1702DF"/>
    <w:rsid w:val="1B18509E"/>
    <w:rsid w:val="1B1D2B27"/>
    <w:rsid w:val="1B272B64"/>
    <w:rsid w:val="1B325AC4"/>
    <w:rsid w:val="1B484B62"/>
    <w:rsid w:val="1B8112BB"/>
    <w:rsid w:val="1B9A374E"/>
    <w:rsid w:val="1BC54021"/>
    <w:rsid w:val="1BC6116D"/>
    <w:rsid w:val="1BDD32DA"/>
    <w:rsid w:val="1BEF2397"/>
    <w:rsid w:val="1C020C05"/>
    <w:rsid w:val="1C02117A"/>
    <w:rsid w:val="1C021A24"/>
    <w:rsid w:val="1C7F4555"/>
    <w:rsid w:val="1C9B15BD"/>
    <w:rsid w:val="1CBA18A9"/>
    <w:rsid w:val="1CD911A3"/>
    <w:rsid w:val="1D252978"/>
    <w:rsid w:val="1D326BC3"/>
    <w:rsid w:val="1D4473F4"/>
    <w:rsid w:val="1D4A6449"/>
    <w:rsid w:val="1D63238B"/>
    <w:rsid w:val="1DBE31E8"/>
    <w:rsid w:val="1DC8387C"/>
    <w:rsid w:val="1DDE0980"/>
    <w:rsid w:val="1DED7883"/>
    <w:rsid w:val="1E590185"/>
    <w:rsid w:val="1E5D0A91"/>
    <w:rsid w:val="1E824BA3"/>
    <w:rsid w:val="1E93089F"/>
    <w:rsid w:val="1EAD1EBA"/>
    <w:rsid w:val="1EF677B0"/>
    <w:rsid w:val="1EFB4779"/>
    <w:rsid w:val="1F247549"/>
    <w:rsid w:val="1F473733"/>
    <w:rsid w:val="1FBE56FE"/>
    <w:rsid w:val="1FBF1795"/>
    <w:rsid w:val="1FC05EB3"/>
    <w:rsid w:val="1FC77A13"/>
    <w:rsid w:val="1FD72BED"/>
    <w:rsid w:val="1FEB6536"/>
    <w:rsid w:val="200A1251"/>
    <w:rsid w:val="202D7CD9"/>
    <w:rsid w:val="207474F3"/>
    <w:rsid w:val="20812AE8"/>
    <w:rsid w:val="20977C56"/>
    <w:rsid w:val="209C1411"/>
    <w:rsid w:val="20A95361"/>
    <w:rsid w:val="20C67991"/>
    <w:rsid w:val="20E179D2"/>
    <w:rsid w:val="20E6256D"/>
    <w:rsid w:val="211E3F60"/>
    <w:rsid w:val="2167725F"/>
    <w:rsid w:val="21AA6FE7"/>
    <w:rsid w:val="21C75F02"/>
    <w:rsid w:val="21D051E6"/>
    <w:rsid w:val="220431B6"/>
    <w:rsid w:val="221364F1"/>
    <w:rsid w:val="22293B5B"/>
    <w:rsid w:val="22305F5D"/>
    <w:rsid w:val="224C6BF4"/>
    <w:rsid w:val="22722AAE"/>
    <w:rsid w:val="22A75DA2"/>
    <w:rsid w:val="22F9477D"/>
    <w:rsid w:val="232769C8"/>
    <w:rsid w:val="233372E7"/>
    <w:rsid w:val="233F0309"/>
    <w:rsid w:val="23701809"/>
    <w:rsid w:val="238B50E2"/>
    <w:rsid w:val="23A57609"/>
    <w:rsid w:val="23C86946"/>
    <w:rsid w:val="23D005DB"/>
    <w:rsid w:val="23D02F97"/>
    <w:rsid w:val="23E34E0E"/>
    <w:rsid w:val="23E44DFE"/>
    <w:rsid w:val="23F34C2A"/>
    <w:rsid w:val="23F364EC"/>
    <w:rsid w:val="23F456E4"/>
    <w:rsid w:val="24201EC5"/>
    <w:rsid w:val="243B00EF"/>
    <w:rsid w:val="2479480C"/>
    <w:rsid w:val="24836ED4"/>
    <w:rsid w:val="24A23085"/>
    <w:rsid w:val="24AA0A2F"/>
    <w:rsid w:val="24EB170E"/>
    <w:rsid w:val="250929B2"/>
    <w:rsid w:val="25241B39"/>
    <w:rsid w:val="253D766D"/>
    <w:rsid w:val="253F2A6B"/>
    <w:rsid w:val="254D6486"/>
    <w:rsid w:val="25873B6E"/>
    <w:rsid w:val="259B3430"/>
    <w:rsid w:val="25BC0F61"/>
    <w:rsid w:val="25E605EC"/>
    <w:rsid w:val="25F00C39"/>
    <w:rsid w:val="26262D43"/>
    <w:rsid w:val="26665B8F"/>
    <w:rsid w:val="26807ADA"/>
    <w:rsid w:val="26A61A79"/>
    <w:rsid w:val="26C4717A"/>
    <w:rsid w:val="26D877A6"/>
    <w:rsid w:val="26DB4517"/>
    <w:rsid w:val="26EE0071"/>
    <w:rsid w:val="271C66CE"/>
    <w:rsid w:val="272B7F70"/>
    <w:rsid w:val="27505FA0"/>
    <w:rsid w:val="276242D9"/>
    <w:rsid w:val="2769620E"/>
    <w:rsid w:val="277B01F7"/>
    <w:rsid w:val="277F58FE"/>
    <w:rsid w:val="278B23EB"/>
    <w:rsid w:val="278E6E06"/>
    <w:rsid w:val="279D3C4B"/>
    <w:rsid w:val="27C1171A"/>
    <w:rsid w:val="27C25595"/>
    <w:rsid w:val="27CE2F76"/>
    <w:rsid w:val="27D67AEA"/>
    <w:rsid w:val="27E77FA5"/>
    <w:rsid w:val="27F33BEF"/>
    <w:rsid w:val="282B41CB"/>
    <w:rsid w:val="285C489C"/>
    <w:rsid w:val="28720E55"/>
    <w:rsid w:val="28862019"/>
    <w:rsid w:val="28AC3E74"/>
    <w:rsid w:val="28B770FF"/>
    <w:rsid w:val="28DC4EAA"/>
    <w:rsid w:val="29141B8A"/>
    <w:rsid w:val="29186F9B"/>
    <w:rsid w:val="291C2120"/>
    <w:rsid w:val="29405AF3"/>
    <w:rsid w:val="2941782B"/>
    <w:rsid w:val="297040AC"/>
    <w:rsid w:val="297A46BF"/>
    <w:rsid w:val="299013D6"/>
    <w:rsid w:val="29953D19"/>
    <w:rsid w:val="299769BD"/>
    <w:rsid w:val="29A86C9B"/>
    <w:rsid w:val="29BB00F3"/>
    <w:rsid w:val="29BC596C"/>
    <w:rsid w:val="29FF673D"/>
    <w:rsid w:val="2A364F6A"/>
    <w:rsid w:val="2A4436BF"/>
    <w:rsid w:val="2A4C098D"/>
    <w:rsid w:val="2AFB022D"/>
    <w:rsid w:val="2B214069"/>
    <w:rsid w:val="2B2A5014"/>
    <w:rsid w:val="2B371F98"/>
    <w:rsid w:val="2B3856E9"/>
    <w:rsid w:val="2B3D02F2"/>
    <w:rsid w:val="2B3E77A4"/>
    <w:rsid w:val="2B431E0B"/>
    <w:rsid w:val="2B5D1C4D"/>
    <w:rsid w:val="2B724D75"/>
    <w:rsid w:val="2B7B6879"/>
    <w:rsid w:val="2B861078"/>
    <w:rsid w:val="2B9C1D46"/>
    <w:rsid w:val="2BAF5518"/>
    <w:rsid w:val="2BBF1854"/>
    <w:rsid w:val="2BE0210F"/>
    <w:rsid w:val="2BE637B3"/>
    <w:rsid w:val="2BFD6ECD"/>
    <w:rsid w:val="2C0555E7"/>
    <w:rsid w:val="2C234287"/>
    <w:rsid w:val="2C3D20C7"/>
    <w:rsid w:val="2C721007"/>
    <w:rsid w:val="2C737020"/>
    <w:rsid w:val="2CCE758B"/>
    <w:rsid w:val="2D0936D4"/>
    <w:rsid w:val="2D3D1D37"/>
    <w:rsid w:val="2D6A3D58"/>
    <w:rsid w:val="2D6D06FF"/>
    <w:rsid w:val="2D8A6018"/>
    <w:rsid w:val="2D8C38CB"/>
    <w:rsid w:val="2D9B7B12"/>
    <w:rsid w:val="2DCE1DE5"/>
    <w:rsid w:val="2DD76019"/>
    <w:rsid w:val="2E1218FF"/>
    <w:rsid w:val="2E494152"/>
    <w:rsid w:val="2E7225D7"/>
    <w:rsid w:val="2E7D5F32"/>
    <w:rsid w:val="2EB73D67"/>
    <w:rsid w:val="2EBF4AC4"/>
    <w:rsid w:val="2ED82027"/>
    <w:rsid w:val="2EE839A3"/>
    <w:rsid w:val="2F5A2E3F"/>
    <w:rsid w:val="2F6F415D"/>
    <w:rsid w:val="2F9B59A0"/>
    <w:rsid w:val="2FC05317"/>
    <w:rsid w:val="2FF4434D"/>
    <w:rsid w:val="30005F4F"/>
    <w:rsid w:val="30403944"/>
    <w:rsid w:val="30485DC7"/>
    <w:rsid w:val="30C91BC9"/>
    <w:rsid w:val="30F64373"/>
    <w:rsid w:val="3110785D"/>
    <w:rsid w:val="31123C07"/>
    <w:rsid w:val="314F5802"/>
    <w:rsid w:val="315D6B90"/>
    <w:rsid w:val="319349B2"/>
    <w:rsid w:val="31ED003F"/>
    <w:rsid w:val="31F4784C"/>
    <w:rsid w:val="31FE5B35"/>
    <w:rsid w:val="320A13EE"/>
    <w:rsid w:val="32127BF7"/>
    <w:rsid w:val="32250F77"/>
    <w:rsid w:val="32265346"/>
    <w:rsid w:val="323718A6"/>
    <w:rsid w:val="324D335F"/>
    <w:rsid w:val="328551AF"/>
    <w:rsid w:val="32C459B6"/>
    <w:rsid w:val="32D65512"/>
    <w:rsid w:val="32FC0C7E"/>
    <w:rsid w:val="33280206"/>
    <w:rsid w:val="3331792D"/>
    <w:rsid w:val="334C5D0B"/>
    <w:rsid w:val="33750A5E"/>
    <w:rsid w:val="338208DF"/>
    <w:rsid w:val="33A71631"/>
    <w:rsid w:val="33AF7552"/>
    <w:rsid w:val="33FD6451"/>
    <w:rsid w:val="34103805"/>
    <w:rsid w:val="344620B9"/>
    <w:rsid w:val="3447047A"/>
    <w:rsid w:val="345E3143"/>
    <w:rsid w:val="347666F3"/>
    <w:rsid w:val="347B6553"/>
    <w:rsid w:val="34994606"/>
    <w:rsid w:val="34BC100F"/>
    <w:rsid w:val="34C64644"/>
    <w:rsid w:val="34C6497B"/>
    <w:rsid w:val="34E52ED6"/>
    <w:rsid w:val="34E833ED"/>
    <w:rsid w:val="34ED355A"/>
    <w:rsid w:val="35016B7E"/>
    <w:rsid w:val="350D0C0B"/>
    <w:rsid w:val="350D69B7"/>
    <w:rsid w:val="35223CEF"/>
    <w:rsid w:val="352F30A4"/>
    <w:rsid w:val="35394A56"/>
    <w:rsid w:val="3560453F"/>
    <w:rsid w:val="35747116"/>
    <w:rsid w:val="35773E1C"/>
    <w:rsid w:val="357E1910"/>
    <w:rsid w:val="35816FE0"/>
    <w:rsid w:val="35A03192"/>
    <w:rsid w:val="35A45BDC"/>
    <w:rsid w:val="35A9442E"/>
    <w:rsid w:val="35C54B17"/>
    <w:rsid w:val="35FB3689"/>
    <w:rsid w:val="362816D0"/>
    <w:rsid w:val="368D064F"/>
    <w:rsid w:val="36AE7442"/>
    <w:rsid w:val="36BA7ADC"/>
    <w:rsid w:val="36BB49DC"/>
    <w:rsid w:val="36CC2C53"/>
    <w:rsid w:val="370C332C"/>
    <w:rsid w:val="372F06AC"/>
    <w:rsid w:val="378A7DEF"/>
    <w:rsid w:val="38120D5F"/>
    <w:rsid w:val="38142CB8"/>
    <w:rsid w:val="38150E29"/>
    <w:rsid w:val="38172F3D"/>
    <w:rsid w:val="381F14AC"/>
    <w:rsid w:val="3821596F"/>
    <w:rsid w:val="385A4ECB"/>
    <w:rsid w:val="38855E39"/>
    <w:rsid w:val="389C1DD9"/>
    <w:rsid w:val="38B90A95"/>
    <w:rsid w:val="38CE0D79"/>
    <w:rsid w:val="38E67BBA"/>
    <w:rsid w:val="394152E9"/>
    <w:rsid w:val="3954004F"/>
    <w:rsid w:val="396809AD"/>
    <w:rsid w:val="398A6646"/>
    <w:rsid w:val="39A72E4F"/>
    <w:rsid w:val="39C45650"/>
    <w:rsid w:val="39D9372B"/>
    <w:rsid w:val="39E16D9E"/>
    <w:rsid w:val="39FA6C90"/>
    <w:rsid w:val="3A32422B"/>
    <w:rsid w:val="3A396A12"/>
    <w:rsid w:val="3A47133D"/>
    <w:rsid w:val="3A4C1AC6"/>
    <w:rsid w:val="3A4F46F7"/>
    <w:rsid w:val="3A602028"/>
    <w:rsid w:val="3A702EFF"/>
    <w:rsid w:val="3A7C2FB0"/>
    <w:rsid w:val="3AB6473B"/>
    <w:rsid w:val="3AD35499"/>
    <w:rsid w:val="3AD60989"/>
    <w:rsid w:val="3AF70779"/>
    <w:rsid w:val="3B0E1C9B"/>
    <w:rsid w:val="3B1861B2"/>
    <w:rsid w:val="3B3258F0"/>
    <w:rsid w:val="3B410753"/>
    <w:rsid w:val="3B65666D"/>
    <w:rsid w:val="3B6E7768"/>
    <w:rsid w:val="3B720DAF"/>
    <w:rsid w:val="3B74312B"/>
    <w:rsid w:val="3B8C3406"/>
    <w:rsid w:val="3BB34C22"/>
    <w:rsid w:val="3BCE6326"/>
    <w:rsid w:val="3BFC3F9D"/>
    <w:rsid w:val="3C156500"/>
    <w:rsid w:val="3C1A4009"/>
    <w:rsid w:val="3C8303D7"/>
    <w:rsid w:val="3CB90382"/>
    <w:rsid w:val="3CC66BCF"/>
    <w:rsid w:val="3CC948E2"/>
    <w:rsid w:val="3CF90008"/>
    <w:rsid w:val="3D285FDE"/>
    <w:rsid w:val="3D290AD8"/>
    <w:rsid w:val="3D4E5F25"/>
    <w:rsid w:val="3DBD7114"/>
    <w:rsid w:val="3DC545B0"/>
    <w:rsid w:val="3DE61EB3"/>
    <w:rsid w:val="3E5A34F7"/>
    <w:rsid w:val="3E76000B"/>
    <w:rsid w:val="3ED97DFB"/>
    <w:rsid w:val="3EDA6DEA"/>
    <w:rsid w:val="3EEC096E"/>
    <w:rsid w:val="3F18078B"/>
    <w:rsid w:val="3F9D51D1"/>
    <w:rsid w:val="3FAA196D"/>
    <w:rsid w:val="3FB078FE"/>
    <w:rsid w:val="3FB82BCD"/>
    <w:rsid w:val="3FBA6D89"/>
    <w:rsid w:val="3FED1AC3"/>
    <w:rsid w:val="3FF61880"/>
    <w:rsid w:val="3FF855C0"/>
    <w:rsid w:val="3FFE7D45"/>
    <w:rsid w:val="402D46A9"/>
    <w:rsid w:val="403D574E"/>
    <w:rsid w:val="40444B63"/>
    <w:rsid w:val="40674BBA"/>
    <w:rsid w:val="407F694F"/>
    <w:rsid w:val="408D0876"/>
    <w:rsid w:val="40AD34A5"/>
    <w:rsid w:val="40B212A2"/>
    <w:rsid w:val="40CD14D5"/>
    <w:rsid w:val="40D37CBF"/>
    <w:rsid w:val="40E45EBE"/>
    <w:rsid w:val="410D0887"/>
    <w:rsid w:val="4110084C"/>
    <w:rsid w:val="412A1CD3"/>
    <w:rsid w:val="4142454E"/>
    <w:rsid w:val="414D72E8"/>
    <w:rsid w:val="41927838"/>
    <w:rsid w:val="41934330"/>
    <w:rsid w:val="41B1014D"/>
    <w:rsid w:val="41CF35A6"/>
    <w:rsid w:val="41EE0065"/>
    <w:rsid w:val="41F064DA"/>
    <w:rsid w:val="41F427C7"/>
    <w:rsid w:val="420A037C"/>
    <w:rsid w:val="421D48A8"/>
    <w:rsid w:val="422200DA"/>
    <w:rsid w:val="42397608"/>
    <w:rsid w:val="42411959"/>
    <w:rsid w:val="42570210"/>
    <w:rsid w:val="426B1F1D"/>
    <w:rsid w:val="4289751A"/>
    <w:rsid w:val="42BB7925"/>
    <w:rsid w:val="42C212EE"/>
    <w:rsid w:val="42C47D99"/>
    <w:rsid w:val="42EA55AA"/>
    <w:rsid w:val="42F61DEC"/>
    <w:rsid w:val="4310568C"/>
    <w:rsid w:val="43176289"/>
    <w:rsid w:val="43190197"/>
    <w:rsid w:val="43475EFE"/>
    <w:rsid w:val="4372708D"/>
    <w:rsid w:val="439E7831"/>
    <w:rsid w:val="43E266DE"/>
    <w:rsid w:val="44022662"/>
    <w:rsid w:val="44093592"/>
    <w:rsid w:val="443A099C"/>
    <w:rsid w:val="443A4E2B"/>
    <w:rsid w:val="44C439C8"/>
    <w:rsid w:val="44D32EA5"/>
    <w:rsid w:val="44E044B6"/>
    <w:rsid w:val="45064ABA"/>
    <w:rsid w:val="450C6133"/>
    <w:rsid w:val="45317D80"/>
    <w:rsid w:val="4542258C"/>
    <w:rsid w:val="454D4A33"/>
    <w:rsid w:val="454F7CC0"/>
    <w:rsid w:val="455236DD"/>
    <w:rsid w:val="458B1AD4"/>
    <w:rsid w:val="458D04B5"/>
    <w:rsid w:val="45932AA6"/>
    <w:rsid w:val="459F2E19"/>
    <w:rsid w:val="45B57ACC"/>
    <w:rsid w:val="45BE3FFD"/>
    <w:rsid w:val="45D836DD"/>
    <w:rsid w:val="45E873D6"/>
    <w:rsid w:val="46111312"/>
    <w:rsid w:val="462F018D"/>
    <w:rsid w:val="462F1F22"/>
    <w:rsid w:val="46490EA5"/>
    <w:rsid w:val="465B5D2E"/>
    <w:rsid w:val="46653242"/>
    <w:rsid w:val="46740268"/>
    <w:rsid w:val="469212BC"/>
    <w:rsid w:val="46D4582B"/>
    <w:rsid w:val="47651CC4"/>
    <w:rsid w:val="47BF60DB"/>
    <w:rsid w:val="47C524E6"/>
    <w:rsid w:val="47CD5140"/>
    <w:rsid w:val="47CE3E13"/>
    <w:rsid w:val="47D974AB"/>
    <w:rsid w:val="480333C4"/>
    <w:rsid w:val="48063C1F"/>
    <w:rsid w:val="4859150B"/>
    <w:rsid w:val="48A01AF0"/>
    <w:rsid w:val="48A31C26"/>
    <w:rsid w:val="48AB7C8B"/>
    <w:rsid w:val="48BD48E2"/>
    <w:rsid w:val="48C61B22"/>
    <w:rsid w:val="48DF4D81"/>
    <w:rsid w:val="48EC6995"/>
    <w:rsid w:val="48F10580"/>
    <w:rsid w:val="49307CC2"/>
    <w:rsid w:val="49653B91"/>
    <w:rsid w:val="49A77852"/>
    <w:rsid w:val="49B92D76"/>
    <w:rsid w:val="49C517DE"/>
    <w:rsid w:val="49D1179B"/>
    <w:rsid w:val="49D42AD3"/>
    <w:rsid w:val="49E25BD6"/>
    <w:rsid w:val="49E25F7F"/>
    <w:rsid w:val="49F1060D"/>
    <w:rsid w:val="4A2C363B"/>
    <w:rsid w:val="4A395980"/>
    <w:rsid w:val="4A494D70"/>
    <w:rsid w:val="4A6140E2"/>
    <w:rsid w:val="4AA07C1B"/>
    <w:rsid w:val="4AA63CA7"/>
    <w:rsid w:val="4AAA743F"/>
    <w:rsid w:val="4ADF6F64"/>
    <w:rsid w:val="4AE92033"/>
    <w:rsid w:val="4B060270"/>
    <w:rsid w:val="4B116F6C"/>
    <w:rsid w:val="4B3F3CF1"/>
    <w:rsid w:val="4B6D767A"/>
    <w:rsid w:val="4B991A55"/>
    <w:rsid w:val="4BAA060F"/>
    <w:rsid w:val="4BB44480"/>
    <w:rsid w:val="4BB977B0"/>
    <w:rsid w:val="4C0700DB"/>
    <w:rsid w:val="4C080AAC"/>
    <w:rsid w:val="4C6560C3"/>
    <w:rsid w:val="4CAE144C"/>
    <w:rsid w:val="4CD01024"/>
    <w:rsid w:val="4CDB4AA5"/>
    <w:rsid w:val="4D1E4C44"/>
    <w:rsid w:val="4D312991"/>
    <w:rsid w:val="4D6D4F91"/>
    <w:rsid w:val="4D784F22"/>
    <w:rsid w:val="4DBC5532"/>
    <w:rsid w:val="4DDC0511"/>
    <w:rsid w:val="4DF623F7"/>
    <w:rsid w:val="4E117AB9"/>
    <w:rsid w:val="4E1B7F7E"/>
    <w:rsid w:val="4E36085D"/>
    <w:rsid w:val="4E5B20FE"/>
    <w:rsid w:val="4E5B7B9D"/>
    <w:rsid w:val="4E9D76EE"/>
    <w:rsid w:val="4EA13866"/>
    <w:rsid w:val="4EC82EAB"/>
    <w:rsid w:val="4EC9657F"/>
    <w:rsid w:val="4ED565C1"/>
    <w:rsid w:val="4EDC2243"/>
    <w:rsid w:val="4F003028"/>
    <w:rsid w:val="4F0A6052"/>
    <w:rsid w:val="4F12387B"/>
    <w:rsid w:val="4F2177D6"/>
    <w:rsid w:val="4F2E66BC"/>
    <w:rsid w:val="4F3B33B7"/>
    <w:rsid w:val="4F651BED"/>
    <w:rsid w:val="4F86398F"/>
    <w:rsid w:val="4F99674D"/>
    <w:rsid w:val="4FAC341B"/>
    <w:rsid w:val="4FBE70F5"/>
    <w:rsid w:val="4FCF701E"/>
    <w:rsid w:val="4FE65B93"/>
    <w:rsid w:val="4FF04D49"/>
    <w:rsid w:val="4FF306CF"/>
    <w:rsid w:val="4FF87AAA"/>
    <w:rsid w:val="500460E9"/>
    <w:rsid w:val="506B7D50"/>
    <w:rsid w:val="50794009"/>
    <w:rsid w:val="50CC062E"/>
    <w:rsid w:val="50F60A56"/>
    <w:rsid w:val="51067C3B"/>
    <w:rsid w:val="51097A3D"/>
    <w:rsid w:val="512833F8"/>
    <w:rsid w:val="512F1E9E"/>
    <w:rsid w:val="519E438F"/>
    <w:rsid w:val="51BC119F"/>
    <w:rsid w:val="51D835F6"/>
    <w:rsid w:val="51E77F3F"/>
    <w:rsid w:val="51F57061"/>
    <w:rsid w:val="521D4E6D"/>
    <w:rsid w:val="521F341B"/>
    <w:rsid w:val="5223663F"/>
    <w:rsid w:val="52243A39"/>
    <w:rsid w:val="5254433E"/>
    <w:rsid w:val="525D2510"/>
    <w:rsid w:val="52831C67"/>
    <w:rsid w:val="52881C4C"/>
    <w:rsid w:val="52AA6127"/>
    <w:rsid w:val="52C04176"/>
    <w:rsid w:val="52C44140"/>
    <w:rsid w:val="52EC283C"/>
    <w:rsid w:val="52F936AE"/>
    <w:rsid w:val="531D5A8E"/>
    <w:rsid w:val="532D1417"/>
    <w:rsid w:val="536343CD"/>
    <w:rsid w:val="5364372C"/>
    <w:rsid w:val="536F00FE"/>
    <w:rsid w:val="538B7395"/>
    <w:rsid w:val="539F297F"/>
    <w:rsid w:val="53C05677"/>
    <w:rsid w:val="53D375FB"/>
    <w:rsid w:val="54027561"/>
    <w:rsid w:val="54157E81"/>
    <w:rsid w:val="54504521"/>
    <w:rsid w:val="54687CE2"/>
    <w:rsid w:val="547C58A3"/>
    <w:rsid w:val="547E0FD7"/>
    <w:rsid w:val="54876480"/>
    <w:rsid w:val="54962925"/>
    <w:rsid w:val="549A5BB9"/>
    <w:rsid w:val="54A238EE"/>
    <w:rsid w:val="54E55F7A"/>
    <w:rsid w:val="54F91337"/>
    <w:rsid w:val="55320805"/>
    <w:rsid w:val="555046BE"/>
    <w:rsid w:val="55567893"/>
    <w:rsid w:val="556B35C7"/>
    <w:rsid w:val="55A87F17"/>
    <w:rsid w:val="55DB6936"/>
    <w:rsid w:val="55E308D1"/>
    <w:rsid w:val="561D44F9"/>
    <w:rsid w:val="562A6261"/>
    <w:rsid w:val="562B163E"/>
    <w:rsid w:val="563210D8"/>
    <w:rsid w:val="56367DBB"/>
    <w:rsid w:val="56377B71"/>
    <w:rsid w:val="56497965"/>
    <w:rsid w:val="56552C09"/>
    <w:rsid w:val="566F62A8"/>
    <w:rsid w:val="567518A3"/>
    <w:rsid w:val="56777080"/>
    <w:rsid w:val="56874990"/>
    <w:rsid w:val="569D497A"/>
    <w:rsid w:val="56A8142D"/>
    <w:rsid w:val="56BC41FD"/>
    <w:rsid w:val="56BC74A4"/>
    <w:rsid w:val="570305AE"/>
    <w:rsid w:val="57090376"/>
    <w:rsid w:val="571606C9"/>
    <w:rsid w:val="577703EC"/>
    <w:rsid w:val="57A504D1"/>
    <w:rsid w:val="57A76180"/>
    <w:rsid w:val="57A94845"/>
    <w:rsid w:val="57AC79C1"/>
    <w:rsid w:val="57FA7D63"/>
    <w:rsid w:val="583E757E"/>
    <w:rsid w:val="587577B5"/>
    <w:rsid w:val="58A203C1"/>
    <w:rsid w:val="58CB1CB2"/>
    <w:rsid w:val="590952D1"/>
    <w:rsid w:val="591A5738"/>
    <w:rsid w:val="592155DE"/>
    <w:rsid w:val="59240C81"/>
    <w:rsid w:val="595A76F1"/>
    <w:rsid w:val="595E171E"/>
    <w:rsid w:val="596C08B2"/>
    <w:rsid w:val="598F52A9"/>
    <w:rsid w:val="599A6305"/>
    <w:rsid w:val="59E64660"/>
    <w:rsid w:val="5A370256"/>
    <w:rsid w:val="5A4930E1"/>
    <w:rsid w:val="5A523000"/>
    <w:rsid w:val="5A544C3C"/>
    <w:rsid w:val="5A922827"/>
    <w:rsid w:val="5AAE4D54"/>
    <w:rsid w:val="5ABC78BE"/>
    <w:rsid w:val="5AEF5910"/>
    <w:rsid w:val="5AF27EEA"/>
    <w:rsid w:val="5B190267"/>
    <w:rsid w:val="5B2A41A2"/>
    <w:rsid w:val="5B3462DB"/>
    <w:rsid w:val="5B8A53F0"/>
    <w:rsid w:val="5BE23FA0"/>
    <w:rsid w:val="5BE83DF7"/>
    <w:rsid w:val="5BF57147"/>
    <w:rsid w:val="5C1D252D"/>
    <w:rsid w:val="5C4A343B"/>
    <w:rsid w:val="5C68140B"/>
    <w:rsid w:val="5C7A3B4A"/>
    <w:rsid w:val="5C7E096E"/>
    <w:rsid w:val="5CA501CF"/>
    <w:rsid w:val="5CAD5509"/>
    <w:rsid w:val="5CFA6493"/>
    <w:rsid w:val="5CFF2939"/>
    <w:rsid w:val="5D3F2809"/>
    <w:rsid w:val="5D524BA4"/>
    <w:rsid w:val="5D686795"/>
    <w:rsid w:val="5DC26299"/>
    <w:rsid w:val="5DD12242"/>
    <w:rsid w:val="5DD23635"/>
    <w:rsid w:val="5DE512DE"/>
    <w:rsid w:val="5E236AF4"/>
    <w:rsid w:val="5E237570"/>
    <w:rsid w:val="5E322ACA"/>
    <w:rsid w:val="5E5532A1"/>
    <w:rsid w:val="5EA31851"/>
    <w:rsid w:val="5EB1653E"/>
    <w:rsid w:val="5EB8089E"/>
    <w:rsid w:val="5EC50DCE"/>
    <w:rsid w:val="5EF24099"/>
    <w:rsid w:val="5EF92F75"/>
    <w:rsid w:val="5F0C4BB0"/>
    <w:rsid w:val="5F136266"/>
    <w:rsid w:val="5F170426"/>
    <w:rsid w:val="5F3A65CA"/>
    <w:rsid w:val="5F705577"/>
    <w:rsid w:val="5F7166AC"/>
    <w:rsid w:val="5F7170F4"/>
    <w:rsid w:val="5FA33B34"/>
    <w:rsid w:val="600320E5"/>
    <w:rsid w:val="601605FD"/>
    <w:rsid w:val="601E657E"/>
    <w:rsid w:val="60321DD6"/>
    <w:rsid w:val="605E1CCD"/>
    <w:rsid w:val="60BA03D4"/>
    <w:rsid w:val="60C1139C"/>
    <w:rsid w:val="60CD216B"/>
    <w:rsid w:val="60EE2807"/>
    <w:rsid w:val="60F05526"/>
    <w:rsid w:val="60F43E8A"/>
    <w:rsid w:val="61570983"/>
    <w:rsid w:val="61797832"/>
    <w:rsid w:val="618067DE"/>
    <w:rsid w:val="61841AEA"/>
    <w:rsid w:val="61890141"/>
    <w:rsid w:val="619F1C1D"/>
    <w:rsid w:val="61D212B8"/>
    <w:rsid w:val="61F94867"/>
    <w:rsid w:val="62016A75"/>
    <w:rsid w:val="62107B46"/>
    <w:rsid w:val="621A4119"/>
    <w:rsid w:val="623C05F2"/>
    <w:rsid w:val="62542C2D"/>
    <w:rsid w:val="62554602"/>
    <w:rsid w:val="625800B5"/>
    <w:rsid w:val="627C32F4"/>
    <w:rsid w:val="62A21A2F"/>
    <w:rsid w:val="62C3016F"/>
    <w:rsid w:val="62D11B44"/>
    <w:rsid w:val="63311296"/>
    <w:rsid w:val="63453190"/>
    <w:rsid w:val="635B6BBA"/>
    <w:rsid w:val="63646EFE"/>
    <w:rsid w:val="639167CE"/>
    <w:rsid w:val="63AA08A3"/>
    <w:rsid w:val="63CE1F61"/>
    <w:rsid w:val="63D713E5"/>
    <w:rsid w:val="6442256D"/>
    <w:rsid w:val="646003C9"/>
    <w:rsid w:val="64877B01"/>
    <w:rsid w:val="649A630B"/>
    <w:rsid w:val="64A546B5"/>
    <w:rsid w:val="65172ED7"/>
    <w:rsid w:val="65563E1B"/>
    <w:rsid w:val="65734EC1"/>
    <w:rsid w:val="657A739C"/>
    <w:rsid w:val="66046A7F"/>
    <w:rsid w:val="661622DA"/>
    <w:rsid w:val="662375E0"/>
    <w:rsid w:val="662D24D2"/>
    <w:rsid w:val="663D17A7"/>
    <w:rsid w:val="66457753"/>
    <w:rsid w:val="66913783"/>
    <w:rsid w:val="6712324A"/>
    <w:rsid w:val="67126FA0"/>
    <w:rsid w:val="67421039"/>
    <w:rsid w:val="67636A2B"/>
    <w:rsid w:val="6780741D"/>
    <w:rsid w:val="679000E4"/>
    <w:rsid w:val="67A606AE"/>
    <w:rsid w:val="67AA43EA"/>
    <w:rsid w:val="67B3310A"/>
    <w:rsid w:val="68187453"/>
    <w:rsid w:val="68360854"/>
    <w:rsid w:val="683D2705"/>
    <w:rsid w:val="68930734"/>
    <w:rsid w:val="68A83FF9"/>
    <w:rsid w:val="68B86939"/>
    <w:rsid w:val="68E30521"/>
    <w:rsid w:val="68EB763C"/>
    <w:rsid w:val="68EE7BE7"/>
    <w:rsid w:val="698B41C5"/>
    <w:rsid w:val="69A24CB7"/>
    <w:rsid w:val="69C20011"/>
    <w:rsid w:val="69F97051"/>
    <w:rsid w:val="6A1D1CE3"/>
    <w:rsid w:val="6A713CA6"/>
    <w:rsid w:val="6A7D6E15"/>
    <w:rsid w:val="6A81065F"/>
    <w:rsid w:val="6A86080E"/>
    <w:rsid w:val="6A8A3466"/>
    <w:rsid w:val="6A9A3B99"/>
    <w:rsid w:val="6AC24080"/>
    <w:rsid w:val="6AE7693A"/>
    <w:rsid w:val="6AF357A5"/>
    <w:rsid w:val="6AF61B84"/>
    <w:rsid w:val="6B025F8A"/>
    <w:rsid w:val="6B0F1C2C"/>
    <w:rsid w:val="6B1501BF"/>
    <w:rsid w:val="6B1945D3"/>
    <w:rsid w:val="6B374207"/>
    <w:rsid w:val="6B5E5108"/>
    <w:rsid w:val="6BD73932"/>
    <w:rsid w:val="6BE94A72"/>
    <w:rsid w:val="6BFA3A90"/>
    <w:rsid w:val="6C217A2A"/>
    <w:rsid w:val="6C742149"/>
    <w:rsid w:val="6CBB1331"/>
    <w:rsid w:val="6CCB59AC"/>
    <w:rsid w:val="6CD04FC3"/>
    <w:rsid w:val="6CE87454"/>
    <w:rsid w:val="6D263CE8"/>
    <w:rsid w:val="6D5711EE"/>
    <w:rsid w:val="6D8E3D76"/>
    <w:rsid w:val="6DA01946"/>
    <w:rsid w:val="6DBA0D91"/>
    <w:rsid w:val="6DD16484"/>
    <w:rsid w:val="6DDC66D2"/>
    <w:rsid w:val="6E074E6C"/>
    <w:rsid w:val="6E101675"/>
    <w:rsid w:val="6E2B2250"/>
    <w:rsid w:val="6E38432C"/>
    <w:rsid w:val="6E996276"/>
    <w:rsid w:val="6EB84893"/>
    <w:rsid w:val="6EC17773"/>
    <w:rsid w:val="6EDB1F5A"/>
    <w:rsid w:val="6EE42CFA"/>
    <w:rsid w:val="6EFB1785"/>
    <w:rsid w:val="6EFB5C5C"/>
    <w:rsid w:val="6F170083"/>
    <w:rsid w:val="6F1B30CC"/>
    <w:rsid w:val="6F2804BA"/>
    <w:rsid w:val="6F404D55"/>
    <w:rsid w:val="6F575CE5"/>
    <w:rsid w:val="6FA07672"/>
    <w:rsid w:val="6FAA4C62"/>
    <w:rsid w:val="6FE96BA6"/>
    <w:rsid w:val="6FEB0701"/>
    <w:rsid w:val="700C77E8"/>
    <w:rsid w:val="702B4D0A"/>
    <w:rsid w:val="70315914"/>
    <w:rsid w:val="70421494"/>
    <w:rsid w:val="7043221E"/>
    <w:rsid w:val="70BE3227"/>
    <w:rsid w:val="70BF0D02"/>
    <w:rsid w:val="710002D8"/>
    <w:rsid w:val="710F06D2"/>
    <w:rsid w:val="71391E79"/>
    <w:rsid w:val="717D3B92"/>
    <w:rsid w:val="71991037"/>
    <w:rsid w:val="71C33F74"/>
    <w:rsid w:val="71DB7284"/>
    <w:rsid w:val="71E93DA2"/>
    <w:rsid w:val="71F416E7"/>
    <w:rsid w:val="7201410D"/>
    <w:rsid w:val="72136101"/>
    <w:rsid w:val="723A4F70"/>
    <w:rsid w:val="723C2B95"/>
    <w:rsid w:val="72545A30"/>
    <w:rsid w:val="725A52CF"/>
    <w:rsid w:val="72934591"/>
    <w:rsid w:val="7296025F"/>
    <w:rsid w:val="729A3DE9"/>
    <w:rsid w:val="72AF3121"/>
    <w:rsid w:val="72D26E9A"/>
    <w:rsid w:val="72F02046"/>
    <w:rsid w:val="733137FF"/>
    <w:rsid w:val="73470530"/>
    <w:rsid w:val="737B3689"/>
    <w:rsid w:val="738E1B86"/>
    <w:rsid w:val="73DD5347"/>
    <w:rsid w:val="74362FF6"/>
    <w:rsid w:val="74457357"/>
    <w:rsid w:val="746F6670"/>
    <w:rsid w:val="747E0407"/>
    <w:rsid w:val="7482691F"/>
    <w:rsid w:val="748A78F7"/>
    <w:rsid w:val="749E6084"/>
    <w:rsid w:val="74A226DB"/>
    <w:rsid w:val="74D209CC"/>
    <w:rsid w:val="74DB0F7D"/>
    <w:rsid w:val="74FF2BF5"/>
    <w:rsid w:val="750E36F3"/>
    <w:rsid w:val="75152A2C"/>
    <w:rsid w:val="75313752"/>
    <w:rsid w:val="753813B3"/>
    <w:rsid w:val="75564933"/>
    <w:rsid w:val="757277DC"/>
    <w:rsid w:val="75923ACB"/>
    <w:rsid w:val="76063733"/>
    <w:rsid w:val="761C3143"/>
    <w:rsid w:val="7627449B"/>
    <w:rsid w:val="76470B3A"/>
    <w:rsid w:val="766E4DF7"/>
    <w:rsid w:val="76751F0E"/>
    <w:rsid w:val="769977F4"/>
    <w:rsid w:val="76A95CE4"/>
    <w:rsid w:val="76FF3874"/>
    <w:rsid w:val="771A2012"/>
    <w:rsid w:val="7728657F"/>
    <w:rsid w:val="775664DA"/>
    <w:rsid w:val="777B1787"/>
    <w:rsid w:val="778C2991"/>
    <w:rsid w:val="77973F99"/>
    <w:rsid w:val="77D63C13"/>
    <w:rsid w:val="77EC0B9A"/>
    <w:rsid w:val="77F105BF"/>
    <w:rsid w:val="77F647ED"/>
    <w:rsid w:val="780B0F22"/>
    <w:rsid w:val="78245B06"/>
    <w:rsid w:val="783B608B"/>
    <w:rsid w:val="785F7178"/>
    <w:rsid w:val="787A0BED"/>
    <w:rsid w:val="78984F50"/>
    <w:rsid w:val="78E6018F"/>
    <w:rsid w:val="78F73D45"/>
    <w:rsid w:val="79275157"/>
    <w:rsid w:val="79437218"/>
    <w:rsid w:val="794F20CB"/>
    <w:rsid w:val="795E56C1"/>
    <w:rsid w:val="79702AA3"/>
    <w:rsid w:val="79853439"/>
    <w:rsid w:val="798A4FA4"/>
    <w:rsid w:val="79C57F15"/>
    <w:rsid w:val="79D044D9"/>
    <w:rsid w:val="7A1A2156"/>
    <w:rsid w:val="7A291821"/>
    <w:rsid w:val="7A4935C7"/>
    <w:rsid w:val="7A5D746E"/>
    <w:rsid w:val="7A742E2B"/>
    <w:rsid w:val="7A7C7FDC"/>
    <w:rsid w:val="7A860DF3"/>
    <w:rsid w:val="7A984353"/>
    <w:rsid w:val="7AA769DA"/>
    <w:rsid w:val="7ADE72BD"/>
    <w:rsid w:val="7ADF480F"/>
    <w:rsid w:val="7AF21FC0"/>
    <w:rsid w:val="7AF76DC0"/>
    <w:rsid w:val="7B113F1E"/>
    <w:rsid w:val="7B160710"/>
    <w:rsid w:val="7B2578A5"/>
    <w:rsid w:val="7B32511F"/>
    <w:rsid w:val="7B545ADE"/>
    <w:rsid w:val="7B5C47F2"/>
    <w:rsid w:val="7B747208"/>
    <w:rsid w:val="7B980C9A"/>
    <w:rsid w:val="7B9C41CF"/>
    <w:rsid w:val="7BA74FD9"/>
    <w:rsid w:val="7BC472A5"/>
    <w:rsid w:val="7BC736E0"/>
    <w:rsid w:val="7BCF490A"/>
    <w:rsid w:val="7BD22565"/>
    <w:rsid w:val="7BD261C4"/>
    <w:rsid w:val="7C0B4872"/>
    <w:rsid w:val="7C3B3DD4"/>
    <w:rsid w:val="7C4262A0"/>
    <w:rsid w:val="7CAB5908"/>
    <w:rsid w:val="7D0617F9"/>
    <w:rsid w:val="7D1E3BF2"/>
    <w:rsid w:val="7D3740A2"/>
    <w:rsid w:val="7D403DD7"/>
    <w:rsid w:val="7D434B64"/>
    <w:rsid w:val="7D6A59B8"/>
    <w:rsid w:val="7DA95C2E"/>
    <w:rsid w:val="7DB50D8F"/>
    <w:rsid w:val="7DF62F52"/>
    <w:rsid w:val="7DFC6B13"/>
    <w:rsid w:val="7E022519"/>
    <w:rsid w:val="7E0C589C"/>
    <w:rsid w:val="7E1D5FDA"/>
    <w:rsid w:val="7E513250"/>
    <w:rsid w:val="7E634B20"/>
    <w:rsid w:val="7E9A1E11"/>
    <w:rsid w:val="7EA40A04"/>
    <w:rsid w:val="7ECE3D14"/>
    <w:rsid w:val="7EDC080E"/>
    <w:rsid w:val="7F03759F"/>
    <w:rsid w:val="7F573686"/>
    <w:rsid w:val="7F813EE4"/>
    <w:rsid w:val="7FB06B4E"/>
    <w:rsid w:val="7FBF4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99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iPriority="99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color w:val="000000"/>
      <w:sz w:val="32"/>
    </w:rPr>
  </w:style>
  <w:style w:type="paragraph" w:styleId="3">
    <w:name w:val="heading 2"/>
    <w:basedOn w:val="1"/>
    <w:next w:val="1"/>
    <w:unhideWhenUsed/>
    <w:qFormat/>
    <w:uiPriority w:val="0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i/>
      <w:color w:val="000000"/>
      <w:sz w:val="28"/>
    </w:rPr>
  </w:style>
  <w:style w:type="character" w:default="1" w:styleId="14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5"/>
    <w:unhideWhenUsed/>
    <w:qFormat/>
    <w:uiPriority w:val="99"/>
    <w:pPr>
      <w:spacing w:after="120"/>
    </w:pPr>
  </w:style>
  <w:style w:type="paragraph" w:styleId="5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6">
    <w:name w:val="Body Text Indent"/>
    <w:basedOn w:val="1"/>
    <w:next w:val="7"/>
    <w:qFormat/>
    <w:uiPriority w:val="0"/>
    <w:pPr>
      <w:spacing w:after="120"/>
      <w:ind w:left="420" w:leftChars="200"/>
    </w:pPr>
  </w:style>
  <w:style w:type="paragraph" w:styleId="7">
    <w:name w:val="envelope return"/>
    <w:basedOn w:val="1"/>
    <w:unhideWhenUsed/>
    <w:qFormat/>
    <w:uiPriority w:val="99"/>
    <w:pPr>
      <w:snapToGrid w:val="0"/>
    </w:pPr>
    <w:rPr>
      <w:rFonts w:ascii="Arial" w:hAnsi="Arial" w:eastAsia="宋体" w:cs="Times New Roman"/>
      <w:szCs w:val="24"/>
      <w:lang w:bidi="ar-SA"/>
    </w:rPr>
  </w:style>
  <w:style w:type="paragraph" w:styleId="8">
    <w:name w:val="Plain Text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宋体" w:hAnsi="Courier New"/>
      <w:kern w:val="0"/>
      <w:sz w:val="20"/>
      <w:szCs w:val="20"/>
      <w:lang w:val="en-US" w:eastAsia="zh-CN"/>
    </w:rPr>
  </w:style>
  <w:style w:type="paragraph" w:styleId="9">
    <w:name w:val="toc 2"/>
    <w:basedOn w:val="1"/>
    <w:next w:val="1"/>
    <w:qFormat/>
    <w:uiPriority w:val="39"/>
    <w:pPr>
      <w:tabs>
        <w:tab w:val="right" w:leader="dot" w:pos="9005"/>
      </w:tabs>
      <w:spacing w:line="360" w:lineRule="auto"/>
      <w:ind w:left="200" w:hanging="200" w:hangingChars="200"/>
    </w:pPr>
    <w:rPr>
      <w:rFonts w:ascii="Times New Roman"/>
      <w:sz w:val="24"/>
    </w:rPr>
  </w:style>
  <w:style w:type="paragraph" w:styleId="10">
    <w:name w:val="Body Text First Indent"/>
    <w:basedOn w:val="4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line="360" w:lineRule="auto"/>
      <w:ind w:firstLine="200" w:firstLineChars="200"/>
      <w:jc w:val="both"/>
    </w:pPr>
    <w:rPr>
      <w:kern w:val="0"/>
      <w:sz w:val="24"/>
      <w:lang w:val="en-US" w:eastAsia="zh-CN"/>
    </w:rPr>
  </w:style>
  <w:style w:type="paragraph" w:styleId="11">
    <w:name w:val="Body Text First Indent 2"/>
    <w:basedOn w:val="6"/>
    <w:qFormat/>
    <w:uiPriority w:val="0"/>
    <w:pPr>
      <w:adjustRightInd/>
      <w:snapToGrid/>
      <w:spacing w:after="120" w:line="240" w:lineRule="auto"/>
      <w:ind w:left="420" w:leftChars="200" w:firstLine="420" w:firstLineChars="200"/>
    </w:pPr>
    <w:rPr>
      <w:rFonts w:ascii="宋体" w:hAnsi="宋体"/>
      <w:spacing w:val="20"/>
      <w:sz w:val="21"/>
      <w:szCs w:val="24"/>
    </w:rPr>
  </w:style>
  <w:style w:type="table" w:styleId="13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5">
    <w:name w:val="正文首行缩进1"/>
    <w:basedOn w:val="1"/>
    <w:qFormat/>
    <w:uiPriority w:val="0"/>
    <w:pPr>
      <w:spacing w:line="360" w:lineRule="auto"/>
      <w:ind w:firstLine="200" w:firstLineChars="200"/>
    </w:pPr>
    <w:rPr>
      <w:kern w:val="2"/>
      <w:sz w:val="24"/>
      <w:szCs w:val="24"/>
    </w:rPr>
  </w:style>
  <w:style w:type="paragraph" w:styleId="16">
    <w:name w:val="List Paragraph"/>
    <w:basedOn w:val="1"/>
    <w:qFormat/>
    <w:uiPriority w:val="99"/>
    <w:pPr>
      <w:ind w:firstLine="420" w:firstLineChars="200"/>
    </w:pPr>
  </w:style>
  <w:style w:type="paragraph" w:customStyle="1" w:styleId="17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customStyle="1" w:styleId="18">
    <w:name w:val="0正文"/>
    <w:basedOn w:val="1"/>
    <w:qFormat/>
    <w:uiPriority w:val="0"/>
    <w:pPr>
      <w:adjustRightInd w:val="0"/>
      <w:snapToGrid w:val="0"/>
      <w:spacing w:line="360" w:lineRule="auto"/>
      <w:ind w:firstLine="200" w:firstLineChars="200"/>
    </w:pPr>
    <w:rPr>
      <w:rFonts w:ascii="Times New Roman" w:hAnsi="Times New Roman" w:eastAsia="宋体" w:cs="Times New Roman"/>
      <w:color w:val="000000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2022-08-15T10:27:00Z</dcterms:created>
  <dc:creator>顾开元</dc:creator>
  <cp:lastModifiedBy>韦将俊</cp:lastModifiedBy>
  <dcterms:modified xsi:type="dcterms:W3CDTF">2026-03-30T06:05:33Z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75CA45D13F8F4A8DAFE82F78A7F9BE63</vt:lpwstr>
  </property>
</Properties>
</file>