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480" w:after="480" w:line="288" w:lineRule="auto"/>
        <w:ind w:left="0"/>
        <w:jc w:val="center"/>
      </w:pPr>
      <w:r>
        <w:rPr>
          <w:rFonts w:hint="eastAsia" w:ascii="宋体" w:hAnsi="宋体" w:eastAsia="宋体" w:cs="宋体"/>
          <w:b/>
          <w:sz w:val="52"/>
        </w:rPr>
        <w:t>云南送变电工程有限公司2026年花卉绿植</w:t>
      </w:r>
      <w:r>
        <w:rPr>
          <w:rFonts w:hint="eastAsia" w:ascii="宋体" w:hAnsi="宋体" w:eastAsia="宋体" w:cs="宋体"/>
          <w:b/>
          <w:sz w:val="52"/>
          <w:lang w:val="en-US" w:eastAsia="zh-CN"/>
        </w:rPr>
        <w:t>项目</w:t>
      </w:r>
      <w:r>
        <w:rPr>
          <w:rFonts w:hint="eastAsia" w:ascii="宋体" w:hAnsi="宋体" w:eastAsia="宋体" w:cs="宋体"/>
          <w:b/>
          <w:sz w:val="52"/>
        </w:rPr>
        <w:t>采购技术规范书</w:t>
      </w:r>
    </w:p>
    <w:p>
      <w:pPr>
        <w:spacing w:before="300" w:after="120" w:line="288" w:lineRule="auto"/>
        <w:ind w:left="0"/>
        <w:jc w:val="left"/>
        <w:outlineLvl w:val="2"/>
      </w:pPr>
      <w:bookmarkStart w:id="0" w:name="heading_3"/>
      <w:r>
        <w:rPr>
          <w:rFonts w:hint="eastAsia" w:ascii="Arial" w:hAnsi="Arial" w:eastAsia="等线" w:cs="Arial"/>
          <w:b/>
          <w:sz w:val="30"/>
          <w:lang w:val="en-US" w:eastAsia="zh-CN"/>
        </w:rPr>
        <w:t>一、</w:t>
      </w:r>
      <w:r>
        <w:rPr>
          <w:rFonts w:ascii="Arial" w:hAnsi="Arial" w:eastAsia="等线" w:cs="Arial"/>
          <w:b/>
          <w:sz w:val="30"/>
        </w:rPr>
        <w:t xml:space="preserve"> 适用范围</w:t>
      </w:r>
      <w:bookmarkEnd w:id="0"/>
    </w:p>
    <w:p>
      <w:pPr>
        <w:spacing w:before="120" w:after="120" w:line="288" w:lineRule="auto"/>
        <w:ind w:left="0"/>
        <w:jc w:val="left"/>
      </w:pPr>
      <w:r>
        <w:rPr>
          <w:rFonts w:ascii="Arial" w:hAnsi="Arial" w:eastAsia="等线" w:cs="Arial"/>
          <w:sz w:val="22"/>
        </w:rPr>
        <w:t>本技术规范书适用于云南送变电工程有限公司本次花卉绿植零星采购的所有产品，包括花卉、水生植物、花盆、花盆底、草籽、花肥及农药等品类，覆盖产品的供货、验收、包装、运输、装卸及售后服务全流程。本次采购项目的所有供应商均需遵循本规范书要求。</w:t>
      </w:r>
    </w:p>
    <w:p>
      <w:pPr>
        <w:spacing w:before="320" w:after="120" w:line="288" w:lineRule="auto"/>
        <w:ind w:left="0"/>
        <w:jc w:val="left"/>
        <w:outlineLvl w:val="1"/>
      </w:pPr>
      <w:bookmarkStart w:id="1" w:name="heading_6"/>
      <w:r>
        <w:rPr>
          <w:rFonts w:hint="eastAsia" w:ascii="Arial" w:hAnsi="Arial" w:eastAsia="等线" w:cs="Arial"/>
          <w:b/>
          <w:sz w:val="32"/>
          <w:lang w:val="en-US" w:eastAsia="zh-CN"/>
        </w:rPr>
        <w:t>二、</w:t>
      </w:r>
      <w:r>
        <w:rPr>
          <w:rFonts w:ascii="Arial" w:hAnsi="Arial" w:eastAsia="等线" w:cs="Arial"/>
          <w:b/>
          <w:sz w:val="32"/>
        </w:rPr>
        <w:t xml:space="preserve"> 采购产品技术要求</w:t>
      </w:r>
      <w:bookmarkEnd w:id="1"/>
    </w:p>
    <w:p>
      <w:pPr>
        <w:spacing w:before="120" w:after="120" w:line="288" w:lineRule="auto"/>
        <w:ind w:left="0"/>
        <w:jc w:val="left"/>
      </w:pPr>
      <w:r>
        <w:rPr>
          <w:rFonts w:ascii="Arial" w:hAnsi="Arial" w:eastAsia="等线" w:cs="Arial"/>
          <w:sz w:val="22"/>
        </w:rPr>
        <w:t>本次采购产品共分6大类，且需适配云南地区的气候、土壤环境，确保正常生长。</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1、</w:t>
      </w:r>
      <w:r>
        <w:rPr>
          <w:rFonts w:ascii="Arial" w:hAnsi="Arial" w:eastAsia="等线" w:cs="Arial"/>
          <w:sz w:val="22"/>
        </w:rPr>
        <w:t>花卉类，含乔木、灌木、草本、盆栽等类型，特殊要求包括</w:t>
      </w:r>
      <w:r>
        <w:rPr>
          <w:rFonts w:ascii="Arial" w:hAnsi="Arial" w:eastAsia="等线" w:cs="Arial"/>
          <w:b/>
          <w:sz w:val="22"/>
        </w:rPr>
        <w:t>带盆</w:t>
      </w:r>
      <w:r>
        <w:rPr>
          <w:rFonts w:ascii="Arial" w:hAnsi="Arial" w:eastAsia="等线" w:cs="Arial"/>
          <w:sz w:val="22"/>
        </w:rPr>
        <w:t>/</w:t>
      </w:r>
      <w:r>
        <w:rPr>
          <w:rFonts w:ascii="Arial" w:hAnsi="Arial" w:eastAsia="等线" w:cs="Arial"/>
          <w:b/>
          <w:sz w:val="22"/>
        </w:rPr>
        <w:t>含吊车</w:t>
      </w:r>
      <w:r>
        <w:rPr>
          <w:rFonts w:ascii="Arial" w:hAnsi="Arial" w:eastAsia="等线" w:cs="Arial"/>
          <w:sz w:val="22"/>
        </w:rPr>
        <w:t>/</w:t>
      </w:r>
      <w:r>
        <w:rPr>
          <w:rFonts w:ascii="Arial" w:hAnsi="Arial" w:eastAsia="等线" w:cs="Arial"/>
          <w:b/>
          <w:sz w:val="22"/>
        </w:rPr>
        <w:t>10支带盆</w:t>
      </w:r>
      <w:r>
        <w:rPr>
          <w:rFonts w:ascii="Arial" w:hAnsi="Arial" w:eastAsia="等线" w:cs="Arial"/>
          <w:sz w:val="22"/>
        </w:rPr>
        <w:t>等，需严格按要求交付</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2、</w:t>
      </w:r>
      <w:r>
        <w:rPr>
          <w:rFonts w:ascii="Arial" w:hAnsi="Arial" w:eastAsia="等线" w:cs="Arial"/>
          <w:sz w:val="22"/>
        </w:rPr>
        <w:t>水生植物，均为盆栽交付，需适配水生环境栽培，栽培基质为塘泥+河沙混合基质，盆体为防水材质，底部无排水孔</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3、</w:t>
      </w:r>
      <w:r>
        <w:rPr>
          <w:rFonts w:ascii="Arial" w:hAnsi="Arial" w:eastAsia="等线" w:cs="Arial"/>
          <w:sz w:val="22"/>
        </w:rPr>
        <w:t>花盆，分瓷质和塑料两种材质，均为全新无破损产品，尺寸为盆口直径，瓷质花盆表面光滑、无釉面脱落，塑料花盆为硬质PP材质、耐老化</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4、</w:t>
      </w:r>
      <w:r>
        <w:rPr>
          <w:rFonts w:ascii="Arial" w:hAnsi="Arial" w:eastAsia="等线" w:cs="Arial"/>
          <w:sz w:val="22"/>
        </w:rPr>
        <w:t>花盆底，均为塑料接水托盘，全新无破损，耐挤压、防渗漏，适配对应直径的花盆</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5、</w:t>
      </w:r>
      <w:r>
        <w:rPr>
          <w:rFonts w:ascii="Arial" w:hAnsi="Arial" w:eastAsia="等线" w:cs="Arial"/>
          <w:sz w:val="22"/>
        </w:rPr>
        <w:t>草籽，均为混播/单一品种草籽，发芽率≥85%，净度≥95%，无霉变、无杂质，含主辅材（营养土、保水剂）</w:t>
      </w:r>
      <w:r>
        <w:rPr>
          <w:rFonts w:hint="eastAsia" w:ascii="Arial" w:hAnsi="Arial" w:eastAsia="等线" w:cs="Arial"/>
          <w:sz w:val="22"/>
          <w:lang w:eastAsia="zh-CN"/>
        </w:rPr>
        <w:t>。</w:t>
      </w:r>
    </w:p>
    <w:p>
      <w:pPr>
        <w:spacing w:before="120" w:after="120" w:line="288" w:lineRule="auto"/>
        <w:ind w:left="0"/>
        <w:jc w:val="left"/>
        <w:rPr>
          <w:rFonts w:hint="eastAsia" w:eastAsia="等线"/>
          <w:lang w:eastAsia="zh-CN"/>
        </w:rPr>
      </w:pPr>
      <w:r>
        <w:rPr>
          <w:rFonts w:hint="eastAsia" w:ascii="Arial" w:hAnsi="Arial" w:eastAsia="等线" w:cs="Arial"/>
          <w:sz w:val="22"/>
          <w:lang w:val="en-US" w:eastAsia="zh-CN"/>
        </w:rPr>
        <w:t>6、</w:t>
      </w:r>
      <w:r>
        <w:rPr>
          <w:rFonts w:ascii="Arial" w:hAnsi="Arial" w:eastAsia="等线" w:cs="Arial"/>
          <w:sz w:val="22"/>
        </w:rPr>
        <w:t>花肥及农药，均为正规厂家生产，有产品合格证、检验报告，符合国家环保标准，无过期，农药为低毒高效型</w:t>
      </w:r>
      <w:r>
        <w:rPr>
          <w:rFonts w:hint="eastAsia" w:ascii="Arial" w:hAnsi="Arial" w:eastAsia="等线" w:cs="Arial"/>
          <w:sz w:val="22"/>
          <w:lang w:eastAsia="zh-CN"/>
        </w:rPr>
        <w:t>。</w:t>
      </w:r>
    </w:p>
    <w:p>
      <w:pPr>
        <w:spacing w:before="320" w:after="120" w:line="288" w:lineRule="auto"/>
        <w:ind w:left="0"/>
        <w:jc w:val="left"/>
        <w:outlineLvl w:val="1"/>
      </w:pPr>
      <w:bookmarkStart w:id="2" w:name="heading_13"/>
      <w:r>
        <w:rPr>
          <w:rFonts w:hint="eastAsia" w:ascii="Arial" w:hAnsi="Arial" w:eastAsia="等线" w:cs="Arial"/>
          <w:b/>
          <w:sz w:val="32"/>
          <w:lang w:val="en-US" w:eastAsia="zh-CN"/>
        </w:rPr>
        <w:t>三、</w:t>
      </w:r>
      <w:r>
        <w:rPr>
          <w:rFonts w:ascii="Arial" w:hAnsi="Arial" w:eastAsia="等线" w:cs="Arial"/>
          <w:b/>
          <w:sz w:val="32"/>
        </w:rPr>
        <w:t>产品质量标准</w:t>
      </w:r>
      <w:bookmarkEnd w:id="2"/>
    </w:p>
    <w:p>
      <w:pPr>
        <w:spacing w:before="120" w:after="120" w:line="288" w:lineRule="auto"/>
        <w:ind w:left="0"/>
        <w:jc w:val="left"/>
      </w:pPr>
      <w:r>
        <w:rPr>
          <w:rFonts w:ascii="Arial" w:hAnsi="Arial" w:eastAsia="等线" w:cs="Arial"/>
          <w:sz w:val="22"/>
        </w:rPr>
        <w:t>本次采购的所有产品均需达到</w:t>
      </w:r>
      <w:r>
        <w:rPr>
          <w:rFonts w:ascii="Arial" w:hAnsi="Arial" w:eastAsia="等线" w:cs="Arial"/>
          <w:b/>
          <w:sz w:val="22"/>
        </w:rPr>
        <w:t>一级品</w:t>
      </w:r>
      <w:r>
        <w:rPr>
          <w:rFonts w:ascii="Arial" w:hAnsi="Arial" w:eastAsia="等线" w:cs="Arial"/>
          <w:sz w:val="22"/>
        </w:rPr>
        <w:t>质量标准，供应商需对产品质量全程负责，确保产品符合本规范书及国家、行业相关标准要求，无质量缺陷、无病虫害、无过期变质等问题。采购方进行现场验收抽检，抽检不合格则判定该批次产品不合格。</w:t>
      </w:r>
    </w:p>
    <w:p>
      <w:pPr>
        <w:spacing w:before="300" w:after="120" w:line="288" w:lineRule="auto"/>
        <w:ind w:left="0"/>
        <w:jc w:val="left"/>
        <w:outlineLvl w:val="2"/>
      </w:pPr>
      <w:bookmarkStart w:id="3" w:name="heading_14"/>
      <w:r>
        <w:rPr>
          <w:rFonts w:ascii="Arial" w:hAnsi="Arial" w:eastAsia="等线" w:cs="Arial"/>
          <w:b/>
          <w:sz w:val="30"/>
        </w:rPr>
        <w:t>3.1 整体质量要求</w:t>
      </w:r>
      <w:bookmarkEnd w:id="3"/>
    </w:p>
    <w:p>
      <w:pPr>
        <w:numPr>
          <w:ilvl w:val="0"/>
          <w:numId w:val="1"/>
        </w:numPr>
        <w:spacing w:before="120" w:after="120" w:line="288" w:lineRule="auto"/>
        <w:ind w:left="0"/>
        <w:jc w:val="left"/>
      </w:pPr>
      <w:r>
        <w:rPr>
          <w:rFonts w:ascii="Arial" w:hAnsi="Arial" w:eastAsia="等线" w:cs="Arial"/>
          <w:sz w:val="22"/>
        </w:rPr>
        <w:t>所有花卉、水生植物植株健壮，生长态势良好，无黄叶、焦叶、枯叶、折枝、烂根等现象，根系发达、完整，土球（如需）包扎牢固，无松散脱落；</w:t>
      </w:r>
    </w:p>
    <w:p>
      <w:pPr>
        <w:numPr>
          <w:ilvl w:val="0"/>
          <w:numId w:val="2"/>
        </w:numPr>
        <w:spacing w:before="120" w:after="120" w:line="288" w:lineRule="auto"/>
        <w:ind w:left="0"/>
        <w:jc w:val="left"/>
      </w:pPr>
      <w:r>
        <w:rPr>
          <w:rFonts w:ascii="Arial" w:hAnsi="Arial" w:eastAsia="等线" w:cs="Arial"/>
          <w:sz w:val="22"/>
        </w:rPr>
        <w:t>盆栽花卉的栽培基质需清洁、疏松、透气，无虫卵、杂草籽、病菌，盆体为全新无破损产品，适配植株生长；</w:t>
      </w:r>
    </w:p>
    <w:p>
      <w:pPr>
        <w:numPr>
          <w:ilvl w:val="0"/>
          <w:numId w:val="3"/>
        </w:numPr>
        <w:spacing w:before="120" w:after="120" w:line="288" w:lineRule="auto"/>
        <w:ind w:left="0"/>
        <w:jc w:val="left"/>
      </w:pPr>
      <w:r>
        <w:rPr>
          <w:rFonts w:ascii="Arial" w:hAnsi="Arial" w:eastAsia="等线" w:cs="Arial"/>
          <w:sz w:val="22"/>
        </w:rPr>
        <w:t>草籽类产品无霉变、无虫蛀、无杂质，发芽率、净度达到本规范书2.5条要求，包装完好，有清晰的生产日期、保质期；</w:t>
      </w:r>
    </w:p>
    <w:p>
      <w:pPr>
        <w:numPr>
          <w:ilvl w:val="0"/>
          <w:numId w:val="4"/>
        </w:numPr>
        <w:spacing w:before="120" w:after="120" w:line="288" w:lineRule="auto"/>
        <w:ind w:left="0"/>
        <w:jc w:val="left"/>
      </w:pPr>
      <w:r>
        <w:rPr>
          <w:rFonts w:ascii="Arial" w:hAnsi="Arial" w:eastAsia="等线" w:cs="Arial"/>
          <w:sz w:val="22"/>
        </w:rPr>
        <w:t>花肥类产品无结块、无受潮、无过期，有效成分含量达到标注值，包装完好，标识清晰；</w:t>
      </w:r>
    </w:p>
    <w:p>
      <w:pPr>
        <w:numPr>
          <w:ilvl w:val="0"/>
          <w:numId w:val="5"/>
        </w:numPr>
        <w:spacing w:before="120" w:after="120" w:line="288" w:lineRule="auto"/>
        <w:ind w:left="0"/>
        <w:jc w:val="left"/>
      </w:pPr>
      <w:r>
        <w:rPr>
          <w:rFonts w:ascii="Arial" w:hAnsi="Arial" w:eastAsia="等线" w:cs="Arial"/>
          <w:sz w:val="22"/>
        </w:rPr>
        <w:t>农药类产品为正规厂家生产，有农药登记证、生产许可证、产品标准证，无过期、无渗漏，包装上有清晰的标签、使用说明、警示标志；</w:t>
      </w:r>
    </w:p>
    <w:p>
      <w:pPr>
        <w:numPr>
          <w:ilvl w:val="0"/>
          <w:numId w:val="6"/>
        </w:numPr>
        <w:spacing w:before="120" w:after="120" w:line="288" w:lineRule="auto"/>
        <w:ind w:left="0"/>
        <w:jc w:val="left"/>
      </w:pPr>
      <w:r>
        <w:rPr>
          <w:rFonts w:ascii="Arial" w:hAnsi="Arial" w:eastAsia="等线" w:cs="Arial"/>
          <w:sz w:val="22"/>
        </w:rPr>
        <w:t>花盆、花盆底等器具为全新产品，无破损、变形、裂纹，材质符合本规范书要求，尺寸偏差≤±2%；</w:t>
      </w:r>
    </w:p>
    <w:p>
      <w:pPr>
        <w:numPr>
          <w:ilvl w:val="0"/>
          <w:numId w:val="7"/>
        </w:numPr>
        <w:spacing w:before="120" w:after="120" w:line="288" w:lineRule="auto"/>
        <w:ind w:left="0"/>
        <w:jc w:val="left"/>
      </w:pPr>
      <w:r>
        <w:rPr>
          <w:rFonts w:ascii="Arial" w:hAnsi="Arial" w:eastAsia="等线" w:cs="Arial"/>
          <w:sz w:val="22"/>
        </w:rPr>
        <w:t>所有产品的标识清晰，包含产品名称、规格、产地、生产日期/出苗日期、保质期/生长周期、生产厂家等信息（植物类可挂标识牌）。</w:t>
      </w:r>
    </w:p>
    <w:p>
      <w:pPr>
        <w:spacing w:before="300" w:after="120" w:line="288" w:lineRule="auto"/>
        <w:ind w:left="0"/>
        <w:jc w:val="left"/>
        <w:outlineLvl w:val="2"/>
      </w:pPr>
      <w:bookmarkStart w:id="4" w:name="heading_15"/>
      <w:r>
        <w:rPr>
          <w:rFonts w:ascii="Arial" w:hAnsi="Arial" w:eastAsia="等线" w:cs="Arial"/>
          <w:b/>
          <w:sz w:val="30"/>
        </w:rPr>
        <w:t>3.2 分品类质量标准</w:t>
      </w:r>
      <w:bookmarkEnd w:id="4"/>
    </w:p>
    <w:p>
      <w:pPr>
        <w:spacing w:before="260" w:after="120" w:line="288" w:lineRule="auto"/>
        <w:ind w:left="0"/>
        <w:jc w:val="left"/>
        <w:outlineLvl w:val="3"/>
      </w:pPr>
      <w:bookmarkStart w:id="5" w:name="heading_16"/>
      <w:r>
        <w:rPr>
          <w:rFonts w:ascii="Arial" w:hAnsi="Arial" w:eastAsia="等线" w:cs="Arial"/>
          <w:b/>
          <w:sz w:val="28"/>
        </w:rPr>
        <w:t>3.2.1 乔木类（云南樱花、树状月季、云南山茶等）</w:t>
      </w:r>
      <w:bookmarkEnd w:id="5"/>
    </w:p>
    <w:p>
      <w:pPr>
        <w:numPr>
          <w:ilvl w:val="0"/>
          <w:numId w:val="8"/>
        </w:numPr>
        <w:spacing w:before="120" w:after="120" w:line="288" w:lineRule="auto"/>
        <w:ind w:left="0"/>
        <w:jc w:val="left"/>
      </w:pPr>
      <w:r>
        <w:rPr>
          <w:rFonts w:ascii="Arial" w:hAnsi="Arial" w:eastAsia="等线" w:cs="Arial"/>
          <w:sz w:val="22"/>
        </w:rPr>
        <w:t>树形端正，主干挺直，分枝均匀，无偏冠、缺枝现象，枝干木质化程度高，无断裂、劈裂痕迹；</w:t>
      </w:r>
    </w:p>
    <w:p>
      <w:pPr>
        <w:numPr>
          <w:ilvl w:val="0"/>
          <w:numId w:val="9"/>
        </w:numPr>
        <w:spacing w:before="120" w:after="120" w:line="288" w:lineRule="auto"/>
        <w:ind w:left="0"/>
        <w:jc w:val="left"/>
      </w:pPr>
      <w:r>
        <w:rPr>
          <w:rFonts w:ascii="Arial" w:hAnsi="Arial" w:eastAsia="等线" w:cs="Arial"/>
          <w:sz w:val="22"/>
        </w:rPr>
        <w:t>地径、高度、冠幅的规格偏差≤±5%；</w:t>
      </w:r>
    </w:p>
    <w:p>
      <w:pPr>
        <w:numPr>
          <w:ilvl w:val="0"/>
          <w:numId w:val="10"/>
        </w:numPr>
        <w:spacing w:before="120" w:after="120" w:line="288" w:lineRule="auto"/>
        <w:ind w:left="0"/>
        <w:jc w:val="left"/>
      </w:pPr>
      <w:r>
        <w:rPr>
          <w:rFonts w:ascii="Arial" w:hAnsi="Arial" w:eastAsia="等线" w:cs="Arial"/>
          <w:sz w:val="22"/>
        </w:rPr>
        <w:t>土球包扎牢固，采用草绳+无纺布包扎，土球直径符合本规范书特殊要求，无松散、掉土，土球内根系完整，无烂根、断根；</w:t>
      </w:r>
    </w:p>
    <w:p>
      <w:pPr>
        <w:numPr>
          <w:ilvl w:val="0"/>
          <w:numId w:val="11"/>
        </w:numPr>
        <w:spacing w:before="120" w:after="120" w:line="288" w:lineRule="auto"/>
        <w:ind w:left="0"/>
        <w:jc w:val="left"/>
      </w:pPr>
      <w:r>
        <w:rPr>
          <w:rFonts w:ascii="Arial" w:hAnsi="Arial" w:eastAsia="等线" w:cs="Arial"/>
          <w:sz w:val="22"/>
        </w:rPr>
        <w:t>叶片浓绿、完整，无黄斑、黑斑、虫洞，无病虫害，发芽率≥90%（落叶乔木除外）；</w:t>
      </w:r>
    </w:p>
    <w:p>
      <w:pPr>
        <w:spacing w:before="260" w:after="120" w:line="288" w:lineRule="auto"/>
        <w:ind w:left="0"/>
        <w:jc w:val="left"/>
        <w:outlineLvl w:val="3"/>
      </w:pPr>
      <w:bookmarkStart w:id="6" w:name="heading_17"/>
      <w:r>
        <w:rPr>
          <w:rFonts w:ascii="Arial" w:hAnsi="Arial" w:eastAsia="等线" w:cs="Arial"/>
          <w:b/>
          <w:sz w:val="28"/>
        </w:rPr>
        <w:t>3.2.2 盆栽花卉类（大富贵、琴叶榕、绿萝、蝴蝶兰等）</w:t>
      </w:r>
      <w:bookmarkEnd w:id="6"/>
    </w:p>
    <w:p>
      <w:pPr>
        <w:numPr>
          <w:ilvl w:val="0"/>
          <w:numId w:val="12"/>
        </w:numPr>
        <w:spacing w:before="120" w:after="120" w:line="288" w:lineRule="auto"/>
        <w:ind w:left="0"/>
        <w:jc w:val="left"/>
      </w:pPr>
      <w:r>
        <w:rPr>
          <w:rFonts w:ascii="Arial" w:hAnsi="Arial" w:eastAsia="等线" w:cs="Arial"/>
          <w:sz w:val="22"/>
        </w:rPr>
        <w:t>植株健壮，株型紧凑，无徒长，高度、冠幅规格偏差≤±3%；</w:t>
      </w:r>
    </w:p>
    <w:p>
      <w:pPr>
        <w:numPr>
          <w:ilvl w:val="0"/>
          <w:numId w:val="13"/>
        </w:numPr>
        <w:spacing w:before="120" w:after="120" w:line="288" w:lineRule="auto"/>
        <w:ind w:left="0"/>
        <w:jc w:val="left"/>
      </w:pPr>
      <w:r>
        <w:rPr>
          <w:rFonts w:ascii="Arial" w:hAnsi="Arial" w:eastAsia="等线" w:cs="Arial"/>
          <w:sz w:val="22"/>
        </w:rPr>
        <w:t>叶片浓绿、光亮，无焦边、黄斑、折痕、虫洞，叶片数量符合品种正常生长标准，无大量黄叶、掉叶；</w:t>
      </w:r>
    </w:p>
    <w:p>
      <w:pPr>
        <w:numPr>
          <w:ilvl w:val="0"/>
          <w:numId w:val="14"/>
        </w:numPr>
        <w:spacing w:before="120" w:after="120" w:line="288" w:lineRule="auto"/>
        <w:ind w:left="0"/>
        <w:jc w:val="left"/>
      </w:pPr>
      <w:r>
        <w:rPr>
          <w:rFonts w:ascii="Arial" w:hAnsi="Arial" w:eastAsia="等线" w:cs="Arial"/>
          <w:sz w:val="22"/>
        </w:rPr>
        <w:t>带花/花苞品种的花型完整，花色鲜艳，花苞数量达标，无落花、落蕾现象，花葶直立，无倒伏；</w:t>
      </w:r>
    </w:p>
    <w:p>
      <w:pPr>
        <w:numPr>
          <w:ilvl w:val="0"/>
          <w:numId w:val="15"/>
        </w:numPr>
        <w:spacing w:before="120" w:after="120" w:line="288" w:lineRule="auto"/>
        <w:ind w:left="0"/>
        <w:jc w:val="left"/>
      </w:pPr>
      <w:r>
        <w:rPr>
          <w:rFonts w:ascii="Arial" w:hAnsi="Arial" w:eastAsia="等线" w:cs="Arial"/>
          <w:sz w:val="22"/>
        </w:rPr>
        <w:t>栽培基质疏松、透气、保水，无板结、无积水，根系完整，无烂根、腐根，盆体无破损、漏水，底部带排水孔（水生植物除外）；</w:t>
      </w:r>
    </w:p>
    <w:p>
      <w:pPr>
        <w:numPr>
          <w:ilvl w:val="0"/>
          <w:numId w:val="16"/>
        </w:numPr>
        <w:spacing w:before="120" w:after="120" w:line="288" w:lineRule="auto"/>
        <w:ind w:left="0"/>
        <w:jc w:val="left"/>
      </w:pPr>
      <w:r>
        <w:rPr>
          <w:rFonts w:ascii="Arial" w:hAnsi="Arial" w:eastAsia="等线" w:cs="Arial"/>
          <w:sz w:val="22"/>
        </w:rPr>
        <w:t>无病虫害，无虫卵、菌核，花盆内无杂草。</w:t>
      </w:r>
    </w:p>
    <w:p>
      <w:pPr>
        <w:spacing w:before="260" w:after="120" w:line="288" w:lineRule="auto"/>
        <w:ind w:left="0"/>
        <w:jc w:val="left"/>
        <w:outlineLvl w:val="3"/>
      </w:pPr>
      <w:bookmarkStart w:id="7" w:name="heading_18"/>
      <w:r>
        <w:rPr>
          <w:rFonts w:ascii="Arial" w:hAnsi="Arial" w:eastAsia="等线" w:cs="Arial"/>
          <w:b/>
          <w:sz w:val="28"/>
        </w:rPr>
        <w:t>3.2.3 小型草本花卉类（红掌、一品红、木春菊、三色堇等）</w:t>
      </w:r>
      <w:bookmarkEnd w:id="7"/>
    </w:p>
    <w:p>
      <w:pPr>
        <w:numPr>
          <w:ilvl w:val="0"/>
          <w:numId w:val="17"/>
        </w:numPr>
        <w:spacing w:before="120" w:after="120" w:line="288" w:lineRule="auto"/>
        <w:ind w:left="0"/>
        <w:jc w:val="left"/>
      </w:pPr>
      <w:r>
        <w:rPr>
          <w:rFonts w:ascii="Arial" w:hAnsi="Arial" w:eastAsia="等线" w:cs="Arial"/>
          <w:sz w:val="22"/>
        </w:rPr>
        <w:t>植株高度均匀，分枝多，株型紧凑，无徒长、倒伏现象，规格偏差≤±3%；</w:t>
      </w:r>
    </w:p>
    <w:p>
      <w:pPr>
        <w:numPr>
          <w:ilvl w:val="0"/>
          <w:numId w:val="18"/>
        </w:numPr>
        <w:spacing w:before="120" w:after="120" w:line="288" w:lineRule="auto"/>
        <w:ind w:left="0"/>
        <w:jc w:val="left"/>
      </w:pPr>
      <w:r>
        <w:rPr>
          <w:rFonts w:ascii="Arial" w:hAnsi="Arial" w:eastAsia="等线" w:cs="Arial"/>
          <w:sz w:val="22"/>
        </w:rPr>
        <w:t>花色鲜艳、纯正，花型完整，花量充足，无枯萎、落花现象，带花苞品种的花苞发育良好；</w:t>
      </w:r>
    </w:p>
    <w:p>
      <w:pPr>
        <w:numPr>
          <w:ilvl w:val="0"/>
          <w:numId w:val="19"/>
        </w:numPr>
        <w:spacing w:before="120" w:after="120" w:line="288" w:lineRule="auto"/>
        <w:ind w:left="0"/>
        <w:jc w:val="left"/>
      </w:pPr>
      <w:r>
        <w:rPr>
          <w:rFonts w:ascii="Arial" w:hAnsi="Arial" w:eastAsia="等线" w:cs="Arial"/>
          <w:sz w:val="22"/>
        </w:rPr>
        <w:t>叶片翠绿、完整，无虫洞、黄斑、焦边，无病虫害，根系发达，易移栽；</w:t>
      </w:r>
    </w:p>
    <w:p>
      <w:pPr>
        <w:numPr>
          <w:ilvl w:val="0"/>
          <w:numId w:val="20"/>
        </w:numPr>
        <w:spacing w:before="120" w:after="120" w:line="288" w:lineRule="auto"/>
        <w:ind w:left="0"/>
        <w:jc w:val="left"/>
      </w:pPr>
      <w:r>
        <w:rPr>
          <w:rFonts w:ascii="Arial" w:hAnsi="Arial" w:eastAsia="等线" w:cs="Arial"/>
          <w:sz w:val="22"/>
        </w:rPr>
        <w:t>批量供货的品种（如一品红316株、木春菊200株）需保证高度、花色、生长态势一致，无明显差异。</w:t>
      </w:r>
    </w:p>
    <w:p>
      <w:pPr>
        <w:spacing w:before="260" w:after="120" w:line="288" w:lineRule="auto"/>
        <w:ind w:left="0"/>
        <w:jc w:val="left"/>
        <w:outlineLvl w:val="3"/>
      </w:pPr>
      <w:bookmarkStart w:id="8" w:name="heading_19"/>
      <w:r>
        <w:rPr>
          <w:rFonts w:ascii="Arial" w:hAnsi="Arial" w:eastAsia="等线" w:cs="Arial"/>
          <w:b/>
          <w:sz w:val="28"/>
        </w:rPr>
        <w:t>3.2.4 水生植物类（旱伞草、荷花、睡莲、再力花等）</w:t>
      </w:r>
      <w:bookmarkEnd w:id="8"/>
    </w:p>
    <w:p>
      <w:pPr>
        <w:numPr>
          <w:ilvl w:val="0"/>
          <w:numId w:val="21"/>
        </w:numPr>
        <w:spacing w:before="120" w:after="120" w:line="288" w:lineRule="auto"/>
        <w:ind w:left="0"/>
        <w:jc w:val="left"/>
      </w:pPr>
      <w:r>
        <w:rPr>
          <w:rFonts w:ascii="Arial" w:hAnsi="Arial" w:eastAsia="等线" w:cs="Arial"/>
          <w:sz w:val="22"/>
        </w:rPr>
        <w:t>植株健壮，耐水湿，叶片挺直，无黄斑、焦边、破损，无倒伏现象，规格偏差≤±5%；</w:t>
      </w:r>
    </w:p>
    <w:p>
      <w:pPr>
        <w:numPr>
          <w:ilvl w:val="0"/>
          <w:numId w:val="22"/>
        </w:numPr>
        <w:spacing w:before="120" w:after="120" w:line="288" w:lineRule="auto"/>
        <w:ind w:left="0"/>
        <w:jc w:val="left"/>
      </w:pPr>
      <w:r>
        <w:rPr>
          <w:rFonts w:ascii="Arial" w:hAnsi="Arial" w:eastAsia="等线" w:cs="Arial"/>
          <w:sz w:val="22"/>
        </w:rPr>
        <w:t>水生球根/根茎类品种（荷花、睡莲、王莲）无腐烂、无虫蛀，芽点饱满，成活率≥90%；</w:t>
      </w:r>
    </w:p>
    <w:p>
      <w:pPr>
        <w:numPr>
          <w:ilvl w:val="0"/>
          <w:numId w:val="23"/>
        </w:numPr>
        <w:spacing w:before="120" w:after="120" w:line="288" w:lineRule="auto"/>
        <w:ind w:left="0"/>
        <w:jc w:val="left"/>
      </w:pPr>
      <w:r>
        <w:rPr>
          <w:rFonts w:ascii="Arial" w:hAnsi="Arial" w:eastAsia="等线" w:cs="Arial"/>
          <w:sz w:val="22"/>
        </w:rPr>
        <w:t>盆栽水生植物的盆体为防水材质，无排水孔，栽培基质为塘泥+河沙混合基质，无虫卵、杂草籽，盆内无积水变质；</w:t>
      </w:r>
    </w:p>
    <w:p>
      <w:pPr>
        <w:numPr>
          <w:ilvl w:val="0"/>
          <w:numId w:val="24"/>
        </w:numPr>
        <w:spacing w:before="120" w:after="120" w:line="288" w:lineRule="auto"/>
        <w:ind w:left="0"/>
        <w:jc w:val="left"/>
      </w:pPr>
      <w:r>
        <w:rPr>
          <w:rFonts w:ascii="Arial" w:hAnsi="Arial" w:eastAsia="等线" w:cs="Arial"/>
          <w:sz w:val="22"/>
        </w:rPr>
        <w:t>无水生病虫害（如蚜虫、红蜘蛛、水霉病），植株生长态势良好。</w:t>
      </w:r>
    </w:p>
    <w:p>
      <w:pPr>
        <w:spacing w:before="260" w:after="120" w:line="288" w:lineRule="auto"/>
        <w:ind w:left="0"/>
        <w:jc w:val="left"/>
        <w:outlineLvl w:val="3"/>
      </w:pPr>
      <w:bookmarkStart w:id="9" w:name="heading_20"/>
      <w:r>
        <w:rPr>
          <w:rFonts w:ascii="Arial" w:hAnsi="Arial" w:eastAsia="等线" w:cs="Arial"/>
          <w:b/>
          <w:sz w:val="28"/>
        </w:rPr>
        <w:t>3.2.5 地被植物类（麦冬、玉龙草、珍株草）</w:t>
      </w:r>
      <w:bookmarkEnd w:id="9"/>
    </w:p>
    <w:p>
      <w:pPr>
        <w:numPr>
          <w:ilvl w:val="0"/>
          <w:numId w:val="25"/>
        </w:numPr>
        <w:spacing w:before="120" w:after="120" w:line="288" w:lineRule="auto"/>
        <w:ind w:left="0"/>
        <w:jc w:val="left"/>
      </w:pPr>
      <w:r>
        <w:rPr>
          <w:rFonts w:ascii="Arial" w:hAnsi="Arial" w:eastAsia="等线" w:cs="Arial"/>
          <w:sz w:val="22"/>
        </w:rPr>
        <w:t>植株密集，成坪性好，无杂草，高度均匀，规格偏差≤±3%；</w:t>
      </w:r>
    </w:p>
    <w:p>
      <w:pPr>
        <w:numPr>
          <w:ilvl w:val="0"/>
          <w:numId w:val="26"/>
        </w:numPr>
        <w:spacing w:before="120" w:after="120" w:line="288" w:lineRule="auto"/>
        <w:ind w:left="0"/>
        <w:jc w:val="left"/>
      </w:pPr>
      <w:r>
        <w:rPr>
          <w:rFonts w:ascii="Arial" w:hAnsi="Arial" w:eastAsia="等线" w:cs="Arial"/>
          <w:sz w:val="22"/>
        </w:rPr>
        <w:t>叶片翠绿、完整，无焦边、黄叶，耐践踏、耐阴，适应室外种植环境；</w:t>
      </w:r>
    </w:p>
    <w:p>
      <w:pPr>
        <w:numPr>
          <w:ilvl w:val="0"/>
          <w:numId w:val="27"/>
        </w:numPr>
        <w:spacing w:before="120" w:after="120" w:line="288" w:lineRule="auto"/>
        <w:ind w:left="0"/>
        <w:jc w:val="left"/>
      </w:pPr>
      <w:r>
        <w:rPr>
          <w:rFonts w:ascii="Arial" w:hAnsi="Arial" w:eastAsia="等线" w:cs="Arial"/>
          <w:sz w:val="22"/>
        </w:rPr>
        <w:t>根系发达，蔓延能力强，种植后成活率≥98%，无斑秃现象。</w:t>
      </w:r>
    </w:p>
    <w:p>
      <w:pPr>
        <w:spacing w:before="260" w:after="120" w:line="288" w:lineRule="auto"/>
        <w:ind w:left="0"/>
        <w:jc w:val="left"/>
        <w:outlineLvl w:val="3"/>
      </w:pPr>
      <w:bookmarkStart w:id="10" w:name="heading_21"/>
      <w:r>
        <w:rPr>
          <w:rFonts w:ascii="Arial" w:hAnsi="Arial" w:eastAsia="等线" w:cs="Arial"/>
          <w:b/>
          <w:sz w:val="28"/>
        </w:rPr>
        <w:t>3.2.6 辅助材料类（花盆、草籽、花肥、农药等）</w:t>
      </w:r>
      <w:bookmarkEnd w:id="10"/>
    </w:p>
    <w:p>
      <w:pPr>
        <w:numPr>
          <w:ilvl w:val="0"/>
          <w:numId w:val="28"/>
        </w:numPr>
        <w:spacing w:before="120" w:after="120" w:line="288" w:lineRule="auto"/>
        <w:ind w:left="0"/>
        <w:jc w:val="left"/>
      </w:pPr>
      <w:r>
        <w:rPr>
          <w:rFonts w:ascii="Arial" w:hAnsi="Arial" w:eastAsia="等线" w:cs="Arial"/>
          <w:b/>
          <w:sz w:val="22"/>
        </w:rPr>
        <w:t>花盆/花盆底</w:t>
      </w:r>
      <w:r>
        <w:rPr>
          <w:rFonts w:ascii="Arial" w:hAnsi="Arial" w:eastAsia="等线" w:cs="Arial"/>
          <w:sz w:val="22"/>
        </w:rPr>
        <w:t>：材质符合本规范书要求，全新无破损、变形、裂纹，尺寸偏差≤±2%，瓷质花盆釉面光滑、无脱落，塑料花盆耐老化、抗挤压，接水托盘防渗漏；</w:t>
      </w:r>
    </w:p>
    <w:p>
      <w:pPr>
        <w:numPr>
          <w:ilvl w:val="0"/>
          <w:numId w:val="29"/>
        </w:numPr>
        <w:spacing w:before="120" w:after="120" w:line="288" w:lineRule="auto"/>
        <w:ind w:left="0"/>
        <w:jc w:val="left"/>
      </w:pPr>
      <w:r>
        <w:rPr>
          <w:rFonts w:ascii="Arial" w:hAnsi="Arial" w:eastAsia="等线" w:cs="Arial"/>
          <w:b/>
          <w:sz w:val="22"/>
        </w:rPr>
        <w:t>草籽</w:t>
      </w:r>
      <w:r>
        <w:rPr>
          <w:rFonts w:ascii="Arial" w:hAnsi="Arial" w:eastAsia="等线" w:cs="Arial"/>
          <w:sz w:val="22"/>
        </w:rPr>
        <w:t>：发芽率，无霉变、虫蛀、杂质，包装完好，保质期内，含主辅材的需配套齐全，辅材无变质；</w:t>
      </w:r>
    </w:p>
    <w:p>
      <w:pPr>
        <w:numPr>
          <w:ilvl w:val="0"/>
          <w:numId w:val="30"/>
        </w:numPr>
        <w:spacing w:before="120" w:after="120" w:line="288" w:lineRule="auto"/>
        <w:ind w:left="0"/>
        <w:jc w:val="left"/>
      </w:pPr>
      <w:r>
        <w:rPr>
          <w:rFonts w:ascii="Arial" w:hAnsi="Arial" w:eastAsia="等线" w:cs="Arial"/>
          <w:b/>
          <w:sz w:val="22"/>
        </w:rPr>
        <w:t>花肥</w:t>
      </w:r>
      <w:r>
        <w:rPr>
          <w:rFonts w:ascii="Arial" w:hAnsi="Arial" w:eastAsia="等线" w:cs="Arial"/>
          <w:sz w:val="22"/>
        </w:rPr>
        <w:t>：复合肥、尿素无结块、受潮，有效成分含量≥标注值，腐殖土有机质含量≥30%，无虫卵、杂草籽，包装完好，无渗漏；</w:t>
      </w:r>
    </w:p>
    <w:p>
      <w:pPr>
        <w:numPr>
          <w:ilvl w:val="0"/>
          <w:numId w:val="31"/>
        </w:numPr>
        <w:spacing w:before="120" w:after="120" w:line="288" w:lineRule="auto"/>
        <w:ind w:left="0"/>
        <w:jc w:val="left"/>
      </w:pPr>
      <w:r>
        <w:rPr>
          <w:rFonts w:ascii="Arial" w:hAnsi="Arial" w:eastAsia="等线" w:cs="Arial"/>
          <w:b/>
          <w:sz w:val="22"/>
        </w:rPr>
        <w:t>农药</w:t>
      </w:r>
      <w:r>
        <w:rPr>
          <w:rFonts w:ascii="Arial" w:hAnsi="Arial" w:eastAsia="等线" w:cs="Arial"/>
          <w:sz w:val="22"/>
        </w:rPr>
        <w:t>：正规厂家生产，“三证”齐全，无过期、渗漏，标签清晰，含使用说明、警示标志、配比方法，为低毒高效型，符合国家环保标准。</w:t>
      </w:r>
    </w:p>
    <w:p>
      <w:pPr>
        <w:spacing w:before="300" w:after="120" w:line="288" w:lineRule="auto"/>
        <w:ind w:left="0"/>
        <w:jc w:val="left"/>
        <w:outlineLvl w:val="2"/>
      </w:pPr>
      <w:bookmarkStart w:id="11" w:name="heading_22"/>
      <w:r>
        <w:rPr>
          <w:rFonts w:ascii="Arial" w:hAnsi="Arial" w:eastAsia="等线" w:cs="Arial"/>
          <w:b/>
          <w:sz w:val="30"/>
        </w:rPr>
        <w:t>3.3 病虫害防治标准</w:t>
      </w:r>
      <w:bookmarkEnd w:id="11"/>
    </w:p>
    <w:p>
      <w:pPr>
        <w:numPr>
          <w:ilvl w:val="0"/>
          <w:numId w:val="32"/>
        </w:numPr>
        <w:spacing w:before="120" w:after="120" w:line="288" w:lineRule="auto"/>
        <w:ind w:left="0"/>
        <w:jc w:val="left"/>
      </w:pPr>
      <w:r>
        <w:rPr>
          <w:rFonts w:ascii="Arial" w:hAnsi="Arial" w:eastAsia="等线" w:cs="Arial"/>
          <w:sz w:val="22"/>
        </w:rPr>
        <w:t>所有植物类产品均需为</w:t>
      </w:r>
      <w:r>
        <w:rPr>
          <w:rFonts w:ascii="Arial" w:hAnsi="Arial" w:eastAsia="等线" w:cs="Arial"/>
          <w:b/>
          <w:sz w:val="22"/>
        </w:rPr>
        <w:t>无病虫害苗</w:t>
      </w:r>
      <w:r>
        <w:rPr>
          <w:rFonts w:ascii="Arial" w:hAnsi="Arial" w:eastAsia="等线" w:cs="Arial"/>
          <w:sz w:val="22"/>
        </w:rPr>
        <w:t>，不得携带国家检疫性有害生物（如根结线虫、介壳虫、红蜘蛛、白粉病、黑斑病、霜霉病等）；</w:t>
      </w:r>
    </w:p>
    <w:p>
      <w:pPr>
        <w:numPr>
          <w:ilvl w:val="0"/>
          <w:numId w:val="33"/>
        </w:numPr>
        <w:spacing w:before="120" w:after="120" w:line="288" w:lineRule="auto"/>
        <w:ind w:left="0"/>
        <w:jc w:val="left"/>
      </w:pPr>
      <w:r>
        <w:rPr>
          <w:rFonts w:ascii="Arial" w:hAnsi="Arial" w:eastAsia="等线" w:cs="Arial"/>
          <w:sz w:val="22"/>
        </w:rPr>
        <w:t>供应商供货前需对植株进行全面的病虫害防治处理，确保植株无活虫、无虫卵、无病菌斑，且农药残留符合《农产品质量安全 无公害花卉》（NY 5323-2006）要求；</w:t>
      </w:r>
    </w:p>
    <w:p>
      <w:pPr>
        <w:numPr>
          <w:ilvl w:val="0"/>
          <w:numId w:val="34"/>
        </w:numPr>
        <w:spacing w:before="120" w:after="120" w:line="288" w:lineRule="auto"/>
        <w:ind w:left="0"/>
        <w:jc w:val="left"/>
      </w:pPr>
      <w:r>
        <w:rPr>
          <w:rFonts w:ascii="Arial" w:hAnsi="Arial" w:eastAsia="等线" w:cs="Arial"/>
          <w:sz w:val="22"/>
        </w:rPr>
        <w:t>乔木、灌木类植物的土球内不得携带蛴螬、地老虎等地下害虫，栽培基质不得携带病菌、虫卵；</w:t>
      </w:r>
    </w:p>
    <w:p>
      <w:pPr>
        <w:numPr>
          <w:ilvl w:val="0"/>
          <w:numId w:val="35"/>
        </w:numPr>
        <w:spacing w:before="120" w:after="120" w:line="288" w:lineRule="auto"/>
        <w:ind w:left="0"/>
        <w:jc w:val="left"/>
      </w:pPr>
      <w:r>
        <w:rPr>
          <w:rFonts w:ascii="Arial" w:hAnsi="Arial" w:eastAsia="等线" w:cs="Arial"/>
          <w:sz w:val="22"/>
        </w:rPr>
        <w:t>若验收时发现植株携带病虫害，判定该产品不合格，供应商需无条件退换货，并承担由此产生的所有费用；</w:t>
      </w:r>
    </w:p>
    <w:p>
      <w:pPr>
        <w:numPr>
          <w:ilvl w:val="0"/>
          <w:numId w:val="36"/>
        </w:numPr>
        <w:spacing w:before="120" w:after="120" w:line="288" w:lineRule="auto"/>
        <w:ind w:left="0"/>
        <w:jc w:val="left"/>
      </w:pPr>
      <w:r>
        <w:rPr>
          <w:rFonts w:ascii="Arial" w:hAnsi="Arial" w:eastAsia="等线" w:cs="Arial"/>
          <w:sz w:val="22"/>
        </w:rPr>
        <w:t>供应商需提供病虫害防治方案，明确后续养护过程中的病虫害预防、治疗方法及用药标准。</w:t>
      </w:r>
    </w:p>
    <w:p>
      <w:pPr>
        <w:spacing w:before="320" w:after="120" w:line="288" w:lineRule="auto"/>
        <w:ind w:left="0"/>
        <w:jc w:val="left"/>
        <w:outlineLvl w:val="1"/>
      </w:pPr>
      <w:bookmarkStart w:id="12" w:name="heading_23"/>
      <w:r>
        <w:rPr>
          <w:rFonts w:hint="eastAsia" w:ascii="Arial" w:hAnsi="Arial" w:eastAsia="等线" w:cs="Arial"/>
          <w:b/>
          <w:sz w:val="32"/>
          <w:lang w:val="en-US" w:eastAsia="zh-CN"/>
        </w:rPr>
        <w:t>四、</w:t>
      </w:r>
      <w:r>
        <w:rPr>
          <w:rFonts w:ascii="Arial" w:hAnsi="Arial" w:eastAsia="等线" w:cs="Arial"/>
          <w:b/>
          <w:sz w:val="32"/>
        </w:rPr>
        <w:t xml:space="preserve"> 验收规范</w:t>
      </w:r>
      <w:bookmarkEnd w:id="12"/>
    </w:p>
    <w:p>
      <w:pPr>
        <w:spacing w:before="120" w:after="120" w:line="288" w:lineRule="auto"/>
        <w:ind w:left="0"/>
        <w:jc w:val="left"/>
      </w:pPr>
      <w:r>
        <w:rPr>
          <w:rFonts w:ascii="Arial" w:hAnsi="Arial" w:eastAsia="等线" w:cs="Arial"/>
          <w:sz w:val="22"/>
        </w:rPr>
        <w:t>本次采购产品的验收工作由采购方（云南送变电工程有限公司）组织实施，供应商需配合验收，验收地点为采购方指定现场，验收时间为产品到货后24小时内。验收分为</w:t>
      </w:r>
      <w:r>
        <w:rPr>
          <w:rFonts w:ascii="Arial" w:hAnsi="Arial" w:eastAsia="等线" w:cs="Arial"/>
          <w:b/>
          <w:sz w:val="22"/>
        </w:rPr>
        <w:t>到货外观检验</w:t>
      </w:r>
      <w:r>
        <w:rPr>
          <w:rFonts w:ascii="Arial" w:hAnsi="Arial" w:eastAsia="等线" w:cs="Arial"/>
          <w:sz w:val="22"/>
        </w:rPr>
        <w:t>、</w:t>
      </w:r>
      <w:r>
        <w:rPr>
          <w:rFonts w:ascii="Arial" w:hAnsi="Arial" w:eastAsia="等线" w:cs="Arial"/>
          <w:b/>
          <w:sz w:val="22"/>
        </w:rPr>
        <w:t>抽样规格检验</w:t>
      </w:r>
      <w:r>
        <w:rPr>
          <w:rFonts w:ascii="Arial" w:hAnsi="Arial" w:eastAsia="等线" w:cs="Arial"/>
          <w:sz w:val="22"/>
        </w:rPr>
        <w:t>、</w:t>
      </w:r>
      <w:r>
        <w:rPr>
          <w:rFonts w:ascii="Arial" w:hAnsi="Arial" w:eastAsia="等线" w:cs="Arial"/>
          <w:b/>
          <w:sz w:val="22"/>
        </w:rPr>
        <w:t>质量性能检验</w:t>
      </w:r>
      <w:r>
        <w:rPr>
          <w:rFonts w:ascii="Arial" w:hAnsi="Arial" w:eastAsia="等线" w:cs="Arial"/>
          <w:sz w:val="22"/>
        </w:rPr>
        <w:t>三个环节，所有环节均合格则判定产品验收合格，任一环节不合格则判定为不合格产品。</w:t>
      </w:r>
    </w:p>
    <w:p>
      <w:pPr>
        <w:spacing w:before="320" w:after="120" w:line="288" w:lineRule="auto"/>
        <w:ind w:left="0"/>
        <w:jc w:val="left"/>
        <w:outlineLvl w:val="1"/>
      </w:pPr>
      <w:bookmarkStart w:id="13" w:name="heading_31"/>
      <w:r>
        <w:rPr>
          <w:rFonts w:hint="eastAsia" w:ascii="Arial" w:hAnsi="Arial" w:eastAsia="等线" w:cs="Arial"/>
          <w:b/>
          <w:sz w:val="32"/>
          <w:lang w:val="en-US" w:eastAsia="zh-CN"/>
        </w:rPr>
        <w:t>五</w:t>
      </w:r>
      <w:r>
        <w:rPr>
          <w:rFonts w:hint="eastAsia" w:ascii="Arial" w:hAnsi="Arial" w:eastAsia="等线" w:cs="Arial"/>
          <w:b/>
          <w:sz w:val="32"/>
          <w:lang w:eastAsia="zh-CN"/>
        </w:rPr>
        <w:t>、</w:t>
      </w:r>
      <w:r>
        <w:rPr>
          <w:rFonts w:ascii="Arial" w:hAnsi="Arial" w:eastAsia="等线" w:cs="Arial"/>
          <w:b/>
          <w:sz w:val="32"/>
        </w:rPr>
        <w:t xml:space="preserve"> 包装、运输与装卸要求</w:t>
      </w:r>
      <w:bookmarkEnd w:id="13"/>
    </w:p>
    <w:p>
      <w:pPr>
        <w:spacing w:before="120" w:after="120" w:line="288" w:lineRule="auto"/>
        <w:ind w:left="0"/>
        <w:jc w:val="left"/>
      </w:pPr>
      <w:r>
        <w:rPr>
          <w:rFonts w:ascii="Arial" w:hAnsi="Arial" w:eastAsia="等线" w:cs="Arial"/>
          <w:sz w:val="22"/>
        </w:rPr>
        <w:t>供应商需对产品的包装、运输、装卸全程负责，确保产品在运输、装卸过程中无损伤、无变质、无丢失，符合本规范书的质量要求。包装、运输、装卸的所有费用均包含在产品单价中，采购方不另行支付。</w:t>
      </w:r>
    </w:p>
    <w:p>
      <w:pPr>
        <w:spacing w:before="300" w:after="120" w:line="288" w:lineRule="auto"/>
        <w:ind w:left="0"/>
        <w:jc w:val="left"/>
        <w:outlineLvl w:val="2"/>
      </w:pPr>
      <w:bookmarkStart w:id="14" w:name="heading_54"/>
      <w:r>
        <w:rPr>
          <w:rFonts w:hint="eastAsia" w:ascii="Arial" w:hAnsi="Arial" w:eastAsia="等线" w:cs="Arial"/>
          <w:b/>
          <w:sz w:val="30"/>
          <w:lang w:val="en-US" w:eastAsia="zh-CN"/>
        </w:rPr>
        <w:t>六、</w:t>
      </w:r>
      <w:r>
        <w:rPr>
          <w:rFonts w:ascii="Arial" w:hAnsi="Arial" w:eastAsia="等线" w:cs="Arial"/>
          <w:b/>
          <w:sz w:val="30"/>
        </w:rPr>
        <w:t>服务响应机制</w:t>
      </w:r>
      <w:bookmarkEnd w:id="14"/>
    </w:p>
    <w:p>
      <w:pPr>
        <w:numPr>
          <w:ilvl w:val="0"/>
          <w:numId w:val="37"/>
        </w:numPr>
        <w:spacing w:before="120" w:after="120" w:line="288" w:lineRule="auto"/>
        <w:ind w:left="0"/>
        <w:jc w:val="left"/>
      </w:pPr>
      <w:r>
        <w:rPr>
          <w:rFonts w:ascii="Arial" w:hAnsi="Arial" w:eastAsia="等线" w:cs="Arial"/>
          <w:sz w:val="22"/>
        </w:rPr>
        <w:t>供应商需向采购方提供24小时售后服务热线，安排专人负责售后服务工作，确保采购方的服务需求能够及时得到响应；</w:t>
      </w:r>
    </w:p>
    <w:p>
      <w:pPr>
        <w:numPr>
          <w:ilvl w:val="0"/>
          <w:numId w:val="38"/>
        </w:numPr>
        <w:spacing w:before="120" w:after="120" w:line="288" w:lineRule="auto"/>
        <w:ind w:left="0"/>
        <w:jc w:val="left"/>
      </w:pPr>
      <w:r>
        <w:rPr>
          <w:rFonts w:ascii="Arial" w:hAnsi="Arial" w:eastAsia="等线" w:cs="Arial"/>
          <w:sz w:val="22"/>
        </w:rPr>
        <w:t>采购方提出服务需求后，供应商需在1小时内予以回复，明确问题解决方案及处理时间；</w:t>
      </w:r>
      <w:bookmarkStart w:id="15" w:name="_GoBack"/>
      <w:bookmarkEnd w:id="15"/>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singleLevel"/>
    <w:tmpl w:val="813A4B87"/>
    <w:lvl w:ilvl="0" w:tentative="0">
      <w:start w:val="2"/>
      <w:numFmt w:val="decimal"/>
      <w:lvlText w:val="%1."/>
      <w:lvlJc w:val="left"/>
      <w:rPr>
        <w:color w:val="3370FF"/>
      </w:rPr>
    </w:lvl>
  </w:abstractNum>
  <w:abstractNum w:abstractNumId="1">
    <w:nsid w:val="845B5372"/>
    <w:multiLevelType w:val="singleLevel"/>
    <w:tmpl w:val="845B5372"/>
    <w:lvl w:ilvl="0" w:tentative="0">
      <w:start w:val="1"/>
      <w:numFmt w:val="decimal"/>
      <w:lvlText w:val="%1."/>
      <w:lvlJc w:val="left"/>
      <w:rPr>
        <w:color w:val="3370FF"/>
      </w:rPr>
    </w:lvl>
  </w:abstractNum>
  <w:abstractNum w:abstractNumId="2">
    <w:nsid w:val="8CAEB125"/>
    <w:multiLevelType w:val="singleLevel"/>
    <w:tmpl w:val="8CAEB125"/>
    <w:lvl w:ilvl="0" w:tentative="0">
      <w:start w:val="3"/>
      <w:numFmt w:val="decimal"/>
      <w:lvlText w:val="%1."/>
      <w:lvlJc w:val="left"/>
      <w:rPr>
        <w:color w:val="3370FF"/>
      </w:rPr>
    </w:lvl>
  </w:abstractNum>
  <w:abstractNum w:abstractNumId="3">
    <w:nsid w:val="91995D4F"/>
    <w:multiLevelType w:val="singleLevel"/>
    <w:tmpl w:val="91995D4F"/>
    <w:lvl w:ilvl="0" w:tentative="0">
      <w:start w:val="3"/>
      <w:numFmt w:val="decimal"/>
      <w:lvlText w:val="%1."/>
      <w:lvlJc w:val="left"/>
      <w:rPr>
        <w:color w:val="3370FF"/>
      </w:rPr>
    </w:lvl>
  </w:abstractNum>
  <w:abstractNum w:abstractNumId="4">
    <w:nsid w:val="A0F05207"/>
    <w:multiLevelType w:val="singleLevel"/>
    <w:tmpl w:val="A0F05207"/>
    <w:lvl w:ilvl="0" w:tentative="0">
      <w:start w:val="5"/>
      <w:numFmt w:val="decimal"/>
      <w:lvlText w:val="%1."/>
      <w:lvlJc w:val="left"/>
      <w:rPr>
        <w:color w:val="3370FF"/>
      </w:rPr>
    </w:lvl>
  </w:abstractNum>
  <w:abstractNum w:abstractNumId="5">
    <w:nsid w:val="B23A94A9"/>
    <w:multiLevelType w:val="singleLevel"/>
    <w:tmpl w:val="B23A94A9"/>
    <w:lvl w:ilvl="0" w:tentative="0">
      <w:start w:val="3"/>
      <w:numFmt w:val="decimal"/>
      <w:lvlText w:val="%1."/>
      <w:lvlJc w:val="left"/>
      <w:rPr>
        <w:color w:val="3370FF"/>
      </w:rPr>
    </w:lvl>
  </w:abstractNum>
  <w:abstractNum w:abstractNumId="6">
    <w:nsid w:val="B53F3350"/>
    <w:multiLevelType w:val="singleLevel"/>
    <w:tmpl w:val="B53F3350"/>
    <w:lvl w:ilvl="0" w:tentative="0">
      <w:start w:val="3"/>
      <w:numFmt w:val="decimal"/>
      <w:lvlText w:val="%1."/>
      <w:lvlJc w:val="left"/>
      <w:rPr>
        <w:color w:val="3370FF"/>
      </w:rPr>
    </w:lvl>
  </w:abstractNum>
  <w:abstractNum w:abstractNumId="7">
    <w:nsid w:val="B8CEF35B"/>
    <w:multiLevelType w:val="singleLevel"/>
    <w:tmpl w:val="B8CEF35B"/>
    <w:lvl w:ilvl="0" w:tentative="0">
      <w:start w:val="4"/>
      <w:numFmt w:val="decimal"/>
      <w:lvlText w:val="%1."/>
      <w:lvlJc w:val="left"/>
      <w:rPr>
        <w:color w:val="3370FF"/>
      </w:rPr>
    </w:lvl>
  </w:abstractNum>
  <w:abstractNum w:abstractNumId="8">
    <w:nsid w:val="BB64CFA9"/>
    <w:multiLevelType w:val="singleLevel"/>
    <w:tmpl w:val="BB64CFA9"/>
    <w:lvl w:ilvl="0" w:tentative="0">
      <w:start w:val="2"/>
      <w:numFmt w:val="decimal"/>
      <w:lvlText w:val="%1."/>
      <w:lvlJc w:val="left"/>
      <w:rPr>
        <w:color w:val="3370FF"/>
      </w:rPr>
    </w:lvl>
  </w:abstractNum>
  <w:abstractNum w:abstractNumId="9">
    <w:nsid w:val="C0915F4F"/>
    <w:multiLevelType w:val="singleLevel"/>
    <w:tmpl w:val="C0915F4F"/>
    <w:lvl w:ilvl="0" w:tentative="0">
      <w:start w:val="1"/>
      <w:numFmt w:val="decimal"/>
      <w:lvlText w:val="%1."/>
      <w:lvlJc w:val="left"/>
      <w:rPr>
        <w:color w:val="3370FF"/>
      </w:rPr>
    </w:lvl>
  </w:abstractNum>
  <w:abstractNum w:abstractNumId="10">
    <w:nsid w:val="CB94649F"/>
    <w:multiLevelType w:val="singleLevel"/>
    <w:tmpl w:val="CB94649F"/>
    <w:lvl w:ilvl="0" w:tentative="0">
      <w:start w:val="1"/>
      <w:numFmt w:val="decimal"/>
      <w:lvlText w:val="%1."/>
      <w:lvlJc w:val="left"/>
      <w:rPr>
        <w:color w:val="3370FF"/>
      </w:rPr>
    </w:lvl>
  </w:abstractNum>
  <w:abstractNum w:abstractNumId="11">
    <w:nsid w:val="D7D140E4"/>
    <w:multiLevelType w:val="singleLevel"/>
    <w:tmpl w:val="D7D140E4"/>
    <w:lvl w:ilvl="0" w:tentative="0">
      <w:start w:val="2"/>
      <w:numFmt w:val="decimal"/>
      <w:lvlText w:val="%1."/>
      <w:lvlJc w:val="left"/>
      <w:rPr>
        <w:color w:val="3370FF"/>
      </w:rPr>
    </w:lvl>
  </w:abstractNum>
  <w:abstractNum w:abstractNumId="12">
    <w:nsid w:val="E093A4B0"/>
    <w:multiLevelType w:val="singleLevel"/>
    <w:tmpl w:val="E093A4B0"/>
    <w:lvl w:ilvl="0" w:tentative="0">
      <w:start w:val="6"/>
      <w:numFmt w:val="decimal"/>
      <w:lvlText w:val="%1."/>
      <w:lvlJc w:val="left"/>
      <w:rPr>
        <w:color w:val="3370FF"/>
      </w:rPr>
    </w:lvl>
  </w:abstractNum>
  <w:abstractNum w:abstractNumId="13">
    <w:nsid w:val="F0E89278"/>
    <w:multiLevelType w:val="singleLevel"/>
    <w:tmpl w:val="F0E89278"/>
    <w:lvl w:ilvl="0" w:tentative="0">
      <w:start w:val="1"/>
      <w:numFmt w:val="decimal"/>
      <w:lvlText w:val="%1."/>
      <w:lvlJc w:val="left"/>
      <w:rPr>
        <w:color w:val="3370FF"/>
      </w:rPr>
    </w:lvl>
  </w:abstractNum>
  <w:abstractNum w:abstractNumId="14">
    <w:nsid w:val="F7735DC9"/>
    <w:multiLevelType w:val="singleLevel"/>
    <w:tmpl w:val="F7735DC9"/>
    <w:lvl w:ilvl="0" w:tentative="0">
      <w:start w:val="5"/>
      <w:numFmt w:val="decimal"/>
      <w:lvlText w:val="%1."/>
      <w:lvlJc w:val="left"/>
      <w:rPr>
        <w:color w:val="3370FF"/>
      </w:rPr>
    </w:lvl>
  </w:abstractNum>
  <w:abstractNum w:abstractNumId="15">
    <w:nsid w:val="03A63A41"/>
    <w:multiLevelType w:val="singleLevel"/>
    <w:tmpl w:val="03A63A41"/>
    <w:lvl w:ilvl="0" w:tentative="0">
      <w:start w:val="4"/>
      <w:numFmt w:val="decimal"/>
      <w:lvlText w:val="%1."/>
      <w:lvlJc w:val="left"/>
      <w:rPr>
        <w:color w:val="3370FF"/>
      </w:rPr>
    </w:lvl>
  </w:abstractNum>
  <w:abstractNum w:abstractNumId="16">
    <w:nsid w:val="0709FD3E"/>
    <w:multiLevelType w:val="singleLevel"/>
    <w:tmpl w:val="0709FD3E"/>
    <w:lvl w:ilvl="0" w:tentative="0">
      <w:start w:val="4"/>
      <w:numFmt w:val="decimal"/>
      <w:lvlText w:val="%1."/>
      <w:lvlJc w:val="left"/>
      <w:rPr>
        <w:color w:val="3370FF"/>
      </w:rPr>
    </w:lvl>
  </w:abstractNum>
  <w:abstractNum w:abstractNumId="17">
    <w:nsid w:val="0CEF100B"/>
    <w:multiLevelType w:val="singleLevel"/>
    <w:tmpl w:val="0CEF100B"/>
    <w:lvl w:ilvl="0" w:tentative="0">
      <w:start w:val="1"/>
      <w:numFmt w:val="decimal"/>
      <w:lvlText w:val="%1."/>
      <w:lvlJc w:val="left"/>
      <w:rPr>
        <w:color w:val="3370FF"/>
      </w:rPr>
    </w:lvl>
  </w:abstractNum>
  <w:abstractNum w:abstractNumId="18">
    <w:nsid w:val="0F9F9CCA"/>
    <w:multiLevelType w:val="singleLevel"/>
    <w:tmpl w:val="0F9F9CCA"/>
    <w:lvl w:ilvl="0" w:tentative="0">
      <w:start w:val="2"/>
      <w:numFmt w:val="decimal"/>
      <w:lvlText w:val="%1."/>
      <w:lvlJc w:val="left"/>
      <w:rPr>
        <w:color w:val="3370FF"/>
      </w:rPr>
    </w:lvl>
  </w:abstractNum>
  <w:abstractNum w:abstractNumId="19">
    <w:nsid w:val="12EADF99"/>
    <w:multiLevelType w:val="singleLevel"/>
    <w:tmpl w:val="12EADF99"/>
    <w:lvl w:ilvl="0" w:tentative="0">
      <w:start w:val="2"/>
      <w:numFmt w:val="decimal"/>
      <w:lvlText w:val="%1."/>
      <w:lvlJc w:val="left"/>
      <w:rPr>
        <w:color w:val="3370FF"/>
      </w:rPr>
    </w:lvl>
  </w:abstractNum>
  <w:abstractNum w:abstractNumId="20">
    <w:nsid w:val="1ACDE60F"/>
    <w:multiLevelType w:val="singleLevel"/>
    <w:tmpl w:val="1ACDE60F"/>
    <w:lvl w:ilvl="0" w:tentative="0">
      <w:start w:val="2"/>
      <w:numFmt w:val="decimal"/>
      <w:lvlText w:val="%1."/>
      <w:lvlJc w:val="left"/>
      <w:rPr>
        <w:color w:val="3370FF"/>
      </w:rPr>
    </w:lvl>
  </w:abstractNum>
  <w:abstractNum w:abstractNumId="21">
    <w:nsid w:val="1C257C7B"/>
    <w:multiLevelType w:val="singleLevel"/>
    <w:tmpl w:val="1C257C7B"/>
    <w:lvl w:ilvl="0" w:tentative="0">
      <w:start w:val="4"/>
      <w:numFmt w:val="decimal"/>
      <w:lvlText w:val="%1."/>
      <w:lvlJc w:val="left"/>
      <w:rPr>
        <w:color w:val="3370FF"/>
      </w:rPr>
    </w:lvl>
  </w:abstractNum>
  <w:abstractNum w:abstractNumId="22">
    <w:nsid w:val="23E97754"/>
    <w:multiLevelType w:val="singleLevel"/>
    <w:tmpl w:val="23E97754"/>
    <w:lvl w:ilvl="0" w:tentative="0">
      <w:start w:val="2"/>
      <w:numFmt w:val="decimal"/>
      <w:lvlText w:val="%1."/>
      <w:lvlJc w:val="left"/>
      <w:rPr>
        <w:color w:val="3370FF"/>
      </w:rPr>
    </w:lvl>
  </w:abstractNum>
  <w:abstractNum w:abstractNumId="23">
    <w:nsid w:val="243FCF68"/>
    <w:multiLevelType w:val="singleLevel"/>
    <w:tmpl w:val="243FCF68"/>
    <w:lvl w:ilvl="0" w:tentative="0">
      <w:start w:val="3"/>
      <w:numFmt w:val="decimal"/>
      <w:lvlText w:val="%1."/>
      <w:lvlJc w:val="left"/>
      <w:rPr>
        <w:color w:val="3370FF"/>
      </w:rPr>
    </w:lvl>
  </w:abstractNum>
  <w:abstractNum w:abstractNumId="24">
    <w:nsid w:val="30FC5B15"/>
    <w:multiLevelType w:val="singleLevel"/>
    <w:tmpl w:val="30FC5B15"/>
    <w:lvl w:ilvl="0" w:tentative="0">
      <w:start w:val="7"/>
      <w:numFmt w:val="decimal"/>
      <w:lvlText w:val="%1."/>
      <w:lvlJc w:val="left"/>
      <w:rPr>
        <w:color w:val="3370FF"/>
      </w:rPr>
    </w:lvl>
  </w:abstractNum>
  <w:abstractNum w:abstractNumId="25">
    <w:nsid w:val="322D85CA"/>
    <w:multiLevelType w:val="singleLevel"/>
    <w:tmpl w:val="322D85CA"/>
    <w:lvl w:ilvl="0" w:tentative="0">
      <w:start w:val="2"/>
      <w:numFmt w:val="decimal"/>
      <w:lvlText w:val="%1."/>
      <w:lvlJc w:val="left"/>
      <w:rPr>
        <w:color w:val="3370FF"/>
      </w:rPr>
    </w:lvl>
  </w:abstractNum>
  <w:abstractNum w:abstractNumId="26">
    <w:nsid w:val="32A7AF2D"/>
    <w:multiLevelType w:val="singleLevel"/>
    <w:tmpl w:val="32A7AF2D"/>
    <w:lvl w:ilvl="0" w:tentative="0">
      <w:start w:val="3"/>
      <w:numFmt w:val="decimal"/>
      <w:lvlText w:val="%1."/>
      <w:lvlJc w:val="left"/>
      <w:rPr>
        <w:color w:val="3370FF"/>
      </w:rPr>
    </w:lvl>
  </w:abstractNum>
  <w:abstractNum w:abstractNumId="27">
    <w:nsid w:val="35E83B33"/>
    <w:multiLevelType w:val="singleLevel"/>
    <w:tmpl w:val="35E83B33"/>
    <w:lvl w:ilvl="0" w:tentative="0">
      <w:start w:val="3"/>
      <w:numFmt w:val="decimal"/>
      <w:lvlText w:val="%1."/>
      <w:lvlJc w:val="left"/>
      <w:rPr>
        <w:color w:val="3370FF"/>
      </w:rPr>
    </w:lvl>
  </w:abstractNum>
  <w:abstractNum w:abstractNumId="28">
    <w:nsid w:val="3B8127DF"/>
    <w:multiLevelType w:val="singleLevel"/>
    <w:tmpl w:val="3B8127DF"/>
    <w:lvl w:ilvl="0" w:tentative="0">
      <w:start w:val="4"/>
      <w:numFmt w:val="decimal"/>
      <w:lvlText w:val="%1."/>
      <w:lvlJc w:val="left"/>
      <w:rPr>
        <w:color w:val="3370FF"/>
      </w:rPr>
    </w:lvl>
  </w:abstractNum>
  <w:abstractNum w:abstractNumId="29">
    <w:nsid w:val="40B249F9"/>
    <w:multiLevelType w:val="singleLevel"/>
    <w:tmpl w:val="40B249F9"/>
    <w:lvl w:ilvl="0" w:tentative="0">
      <w:start w:val="1"/>
      <w:numFmt w:val="decimal"/>
      <w:lvlText w:val="%1."/>
      <w:lvlJc w:val="left"/>
      <w:rPr>
        <w:color w:val="3370FF"/>
      </w:rPr>
    </w:lvl>
  </w:abstractNum>
  <w:abstractNum w:abstractNumId="30">
    <w:nsid w:val="4C3D7A74"/>
    <w:multiLevelType w:val="singleLevel"/>
    <w:tmpl w:val="4C3D7A74"/>
    <w:lvl w:ilvl="0" w:tentative="0">
      <w:start w:val="1"/>
      <w:numFmt w:val="decimal"/>
      <w:lvlText w:val="%1."/>
      <w:lvlJc w:val="left"/>
      <w:rPr>
        <w:color w:val="3370FF"/>
      </w:rPr>
    </w:lvl>
  </w:abstractNum>
  <w:abstractNum w:abstractNumId="31">
    <w:nsid w:val="4D94DA66"/>
    <w:multiLevelType w:val="singleLevel"/>
    <w:tmpl w:val="4D94DA66"/>
    <w:lvl w:ilvl="0" w:tentative="0">
      <w:start w:val="4"/>
      <w:numFmt w:val="decimal"/>
      <w:lvlText w:val="%1."/>
      <w:lvlJc w:val="left"/>
      <w:rPr>
        <w:color w:val="3370FF"/>
      </w:rPr>
    </w:lvl>
  </w:abstractNum>
  <w:abstractNum w:abstractNumId="32">
    <w:nsid w:val="5FFFB1A7"/>
    <w:multiLevelType w:val="singleLevel"/>
    <w:tmpl w:val="5FFFB1A7"/>
    <w:lvl w:ilvl="0" w:tentative="0">
      <w:start w:val="4"/>
      <w:numFmt w:val="decimal"/>
      <w:lvlText w:val="%1."/>
      <w:lvlJc w:val="left"/>
      <w:rPr>
        <w:color w:val="3370FF"/>
      </w:rPr>
    </w:lvl>
  </w:abstractNum>
  <w:abstractNum w:abstractNumId="33">
    <w:nsid w:val="63B12E74"/>
    <w:multiLevelType w:val="singleLevel"/>
    <w:tmpl w:val="63B12E74"/>
    <w:lvl w:ilvl="0" w:tentative="0">
      <w:start w:val="2"/>
      <w:numFmt w:val="decimal"/>
      <w:lvlText w:val="%1."/>
      <w:lvlJc w:val="left"/>
      <w:rPr>
        <w:color w:val="3370FF"/>
      </w:rPr>
    </w:lvl>
  </w:abstractNum>
  <w:abstractNum w:abstractNumId="34">
    <w:nsid w:val="65CD0074"/>
    <w:multiLevelType w:val="singleLevel"/>
    <w:tmpl w:val="65CD0074"/>
    <w:lvl w:ilvl="0" w:tentative="0">
      <w:start w:val="3"/>
      <w:numFmt w:val="decimal"/>
      <w:lvlText w:val="%1."/>
      <w:lvlJc w:val="left"/>
      <w:rPr>
        <w:color w:val="3370FF"/>
      </w:rPr>
    </w:lvl>
  </w:abstractNum>
  <w:abstractNum w:abstractNumId="35">
    <w:nsid w:val="74C28B35"/>
    <w:multiLevelType w:val="singleLevel"/>
    <w:tmpl w:val="74C28B35"/>
    <w:lvl w:ilvl="0" w:tentative="0">
      <w:start w:val="5"/>
      <w:numFmt w:val="decimal"/>
      <w:lvlText w:val="%1."/>
      <w:lvlJc w:val="left"/>
      <w:rPr>
        <w:color w:val="3370FF"/>
      </w:rPr>
    </w:lvl>
  </w:abstractNum>
  <w:abstractNum w:abstractNumId="36">
    <w:nsid w:val="79AA4FA4"/>
    <w:multiLevelType w:val="singleLevel"/>
    <w:tmpl w:val="79AA4FA4"/>
    <w:lvl w:ilvl="0" w:tentative="0">
      <w:start w:val="1"/>
      <w:numFmt w:val="decimal"/>
      <w:lvlText w:val="%1."/>
      <w:lvlJc w:val="left"/>
      <w:rPr>
        <w:color w:val="3370FF"/>
      </w:rPr>
    </w:lvl>
  </w:abstractNum>
  <w:abstractNum w:abstractNumId="37">
    <w:nsid w:val="7DEC2089"/>
    <w:multiLevelType w:val="singleLevel"/>
    <w:tmpl w:val="7DEC2089"/>
    <w:lvl w:ilvl="0" w:tentative="0">
      <w:start w:val="1"/>
      <w:numFmt w:val="decimal"/>
      <w:lvlText w:val="%1."/>
      <w:lvlJc w:val="left"/>
      <w:rPr>
        <w:color w:val="3370FF"/>
      </w:rPr>
    </w:lvl>
  </w:abstractNum>
  <w:num w:numId="1">
    <w:abstractNumId w:val="37"/>
  </w:num>
  <w:num w:numId="2">
    <w:abstractNumId w:val="0"/>
  </w:num>
  <w:num w:numId="3">
    <w:abstractNumId w:val="23"/>
  </w:num>
  <w:num w:numId="4">
    <w:abstractNumId w:val="31"/>
  </w:num>
  <w:num w:numId="5">
    <w:abstractNumId w:val="14"/>
  </w:num>
  <w:num w:numId="6">
    <w:abstractNumId w:val="12"/>
  </w:num>
  <w:num w:numId="7">
    <w:abstractNumId w:val="24"/>
  </w:num>
  <w:num w:numId="8">
    <w:abstractNumId w:val="36"/>
  </w:num>
  <w:num w:numId="9">
    <w:abstractNumId w:val="8"/>
  </w:num>
  <w:num w:numId="10">
    <w:abstractNumId w:val="3"/>
  </w:num>
  <w:num w:numId="11">
    <w:abstractNumId w:val="7"/>
  </w:num>
  <w:num w:numId="12">
    <w:abstractNumId w:val="1"/>
  </w:num>
  <w:num w:numId="13">
    <w:abstractNumId w:val="20"/>
  </w:num>
  <w:num w:numId="14">
    <w:abstractNumId w:val="2"/>
  </w:num>
  <w:num w:numId="15">
    <w:abstractNumId w:val="32"/>
  </w:num>
  <w:num w:numId="16">
    <w:abstractNumId w:val="35"/>
  </w:num>
  <w:num w:numId="17">
    <w:abstractNumId w:val="30"/>
  </w:num>
  <w:num w:numId="18">
    <w:abstractNumId w:val="25"/>
  </w:num>
  <w:num w:numId="19">
    <w:abstractNumId w:val="34"/>
  </w:num>
  <w:num w:numId="20">
    <w:abstractNumId w:val="16"/>
  </w:num>
  <w:num w:numId="21">
    <w:abstractNumId w:val="17"/>
  </w:num>
  <w:num w:numId="22">
    <w:abstractNumId w:val="11"/>
  </w:num>
  <w:num w:numId="23">
    <w:abstractNumId w:val="26"/>
  </w:num>
  <w:num w:numId="24">
    <w:abstractNumId w:val="21"/>
  </w:num>
  <w:num w:numId="25">
    <w:abstractNumId w:val="13"/>
  </w:num>
  <w:num w:numId="26">
    <w:abstractNumId w:val="22"/>
  </w:num>
  <w:num w:numId="27">
    <w:abstractNumId w:val="6"/>
  </w:num>
  <w:num w:numId="28">
    <w:abstractNumId w:val="29"/>
  </w:num>
  <w:num w:numId="29">
    <w:abstractNumId w:val="18"/>
  </w:num>
  <w:num w:numId="30">
    <w:abstractNumId w:val="27"/>
  </w:num>
  <w:num w:numId="31">
    <w:abstractNumId w:val="15"/>
  </w:num>
  <w:num w:numId="32">
    <w:abstractNumId w:val="9"/>
  </w:num>
  <w:num w:numId="33">
    <w:abstractNumId w:val="19"/>
  </w:num>
  <w:num w:numId="34">
    <w:abstractNumId w:val="5"/>
  </w:num>
  <w:num w:numId="35">
    <w:abstractNumId w:val="28"/>
  </w:num>
  <w:num w:numId="36">
    <w:abstractNumId w:val="4"/>
  </w:num>
  <w:num w:numId="37">
    <w:abstractNumId w:val="10"/>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661A0"/>
    <w:rsid w:val="08BC2A6D"/>
    <w:rsid w:val="196163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TotalTime>2</TotalTime>
  <ScaleCrop>false</ScaleCrop>
  <LinksUpToDate>false</LinksUpToDate>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2026-03-31T02:58:00Z</dcterms:created>
  <dc:creator>Apache POI</dc:creator>
  <cp:lastModifiedBy>李恒</cp:lastModifiedBy>
  <dcterms:modified xsi:type="dcterms:W3CDTF">2026-03-31T07:52:21Z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2A82B6E16F3A4CADB78817EE81714EBB</vt:lpwstr>
  </property>
</Properties>
</file>