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0" w:firstLineChars="0"/>
        <w:jc w:val="center"/>
        <w:rPr>
          <w:rFonts w:hint="eastAsia" w:ascii="宋体" w:hAnsi="宋体" w:eastAsia="宋体"/>
          <w:b/>
          <w:bCs/>
        </w:rPr>
      </w:pPr>
      <w:r>
        <w:rPr>
          <w:rFonts w:hint="eastAsia" w:ascii="宋体" w:hAnsi="宋体" w:eastAsia="宋体"/>
          <w:b/>
          <w:bCs/>
        </w:rPr>
        <w:t>报价表</w:t>
      </w:r>
    </w:p>
    <w:tbl>
      <w:tblPr>
        <w:tblStyle w:val="13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4"/>
        <w:gridCol w:w="992"/>
        <w:gridCol w:w="1392"/>
        <w:gridCol w:w="1329"/>
        <w:gridCol w:w="1287"/>
        <w:gridCol w:w="12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3" w:hRule="atLeast"/>
        </w:trPr>
        <w:tc>
          <w:tcPr>
            <w:tcW w:w="1311" w:type="pct"/>
            <w:vAlign w:val="center"/>
          </w:tcPr>
          <w:p>
            <w:pPr>
              <w:ind w:firstLine="0" w:firstLineChars="0"/>
              <w:jc w:val="center"/>
              <w:rPr>
                <w:rFonts w:cs="Times New Roman" w:eastAsiaTheme="minorEastAsia"/>
                <w:sz w:val="24"/>
              </w:rPr>
            </w:pPr>
            <w:r>
              <w:rPr>
                <w:rFonts w:hint="eastAsia" w:cs="Times New Roman" w:eastAsiaTheme="minorEastAsia"/>
                <w:sz w:val="24"/>
              </w:rPr>
              <w:t>采购项目</w:t>
            </w:r>
            <w:r>
              <w:rPr>
                <w:rFonts w:cs="Times New Roman" w:eastAsiaTheme="minorEastAsia"/>
                <w:sz w:val="24"/>
              </w:rPr>
              <w:t>名称</w:t>
            </w:r>
          </w:p>
        </w:tc>
        <w:tc>
          <w:tcPr>
            <w:tcW w:w="582" w:type="pct"/>
            <w:vAlign w:val="center"/>
          </w:tcPr>
          <w:p>
            <w:pPr>
              <w:ind w:firstLine="0" w:firstLineChars="0"/>
              <w:jc w:val="center"/>
              <w:rPr>
                <w:rFonts w:cs="Times New Roman" w:eastAsiaTheme="minorEastAsia"/>
                <w:sz w:val="24"/>
              </w:rPr>
            </w:pPr>
            <w:r>
              <w:rPr>
                <w:rFonts w:hint="eastAsia" w:cs="Times New Roman" w:eastAsiaTheme="minorEastAsia"/>
                <w:sz w:val="24"/>
              </w:rPr>
              <w:t>物资名称</w:t>
            </w:r>
          </w:p>
        </w:tc>
        <w:tc>
          <w:tcPr>
            <w:tcW w:w="817" w:type="pct"/>
            <w:vAlign w:val="center"/>
          </w:tcPr>
          <w:p>
            <w:pPr>
              <w:ind w:firstLine="0" w:firstLineChars="0"/>
              <w:jc w:val="center"/>
              <w:rPr>
                <w:rFonts w:cs="Times New Roman" w:eastAsiaTheme="minorEastAsia"/>
                <w:sz w:val="24"/>
              </w:rPr>
            </w:pPr>
            <w:r>
              <w:rPr>
                <w:rFonts w:hint="eastAsia" w:cs="Times New Roman" w:eastAsiaTheme="minorEastAsia"/>
                <w:sz w:val="24"/>
              </w:rPr>
              <w:t>物资明细</w:t>
            </w:r>
          </w:p>
        </w:tc>
        <w:tc>
          <w:tcPr>
            <w:tcW w:w="780" w:type="pct"/>
            <w:tcBorders>
              <w:bottom w:val="single" w:color="auto" w:sz="4" w:space="0"/>
            </w:tcBorders>
            <w:vAlign w:val="center"/>
          </w:tcPr>
          <w:p>
            <w:pPr>
              <w:ind w:firstLine="0" w:firstLineChars="0"/>
              <w:jc w:val="center"/>
              <w:rPr>
                <w:rFonts w:cs="Times New Roman" w:eastAsiaTheme="minorEastAsia"/>
                <w:sz w:val="24"/>
              </w:rPr>
            </w:pPr>
            <w:r>
              <w:rPr>
                <w:rFonts w:cs="Times New Roman" w:eastAsiaTheme="minorEastAsia"/>
                <w:sz w:val="24"/>
              </w:rPr>
              <w:t>最高</w:t>
            </w:r>
            <w:r>
              <w:rPr>
                <w:rFonts w:hint="eastAsia" w:cs="Times New Roman" w:eastAsiaTheme="minorEastAsia"/>
                <w:sz w:val="24"/>
              </w:rPr>
              <w:t>总价</w:t>
            </w:r>
            <w:r>
              <w:rPr>
                <w:rFonts w:cs="Times New Roman" w:eastAsiaTheme="minorEastAsia"/>
                <w:sz w:val="24"/>
              </w:rPr>
              <w:t>限价</w:t>
            </w:r>
          </w:p>
          <w:p>
            <w:pPr>
              <w:ind w:firstLine="0" w:firstLineChars="0"/>
              <w:jc w:val="center"/>
              <w:rPr>
                <w:rFonts w:cs="Times New Roman" w:eastAsiaTheme="minorEastAsia"/>
                <w:sz w:val="24"/>
              </w:rPr>
            </w:pPr>
            <w:r>
              <w:rPr>
                <w:rFonts w:cs="Times New Roman" w:eastAsiaTheme="minorEastAsia"/>
                <w:sz w:val="24"/>
              </w:rPr>
              <w:t>（含税）/元</w:t>
            </w:r>
          </w:p>
        </w:tc>
        <w:tc>
          <w:tcPr>
            <w:tcW w:w="755" w:type="pct"/>
            <w:tcBorders>
              <w:bottom w:val="single" w:color="auto" w:sz="4" w:space="0"/>
            </w:tcBorders>
          </w:tcPr>
          <w:p>
            <w:pPr>
              <w:ind w:firstLine="0" w:firstLineChars="0"/>
              <w:jc w:val="center"/>
              <w:rPr>
                <w:rFonts w:cs="Times New Roman" w:eastAsiaTheme="minorEastAsia"/>
                <w:sz w:val="24"/>
              </w:rPr>
            </w:pPr>
            <w:r>
              <w:rPr>
                <w:rFonts w:cs="Times New Roman" w:eastAsiaTheme="minorEastAsia"/>
                <w:sz w:val="24"/>
              </w:rPr>
              <w:t>投标</w:t>
            </w:r>
            <w:r>
              <w:rPr>
                <w:rFonts w:hint="eastAsia" w:cs="Times New Roman" w:eastAsiaTheme="minorEastAsia"/>
                <w:sz w:val="24"/>
              </w:rPr>
              <w:t>总价</w:t>
            </w:r>
            <w:r>
              <w:rPr>
                <w:rFonts w:cs="Times New Roman" w:eastAsiaTheme="minorEastAsia"/>
                <w:sz w:val="24"/>
              </w:rPr>
              <w:t>报价</w:t>
            </w:r>
          </w:p>
          <w:p>
            <w:pPr>
              <w:ind w:firstLine="0" w:firstLineChars="0"/>
              <w:jc w:val="center"/>
              <w:rPr>
                <w:rFonts w:cs="Times New Roman" w:eastAsiaTheme="minorEastAsia"/>
                <w:sz w:val="24"/>
              </w:rPr>
            </w:pPr>
            <w:r>
              <w:rPr>
                <w:rFonts w:cs="Times New Roman" w:eastAsiaTheme="minorEastAsia"/>
                <w:sz w:val="24"/>
              </w:rPr>
              <w:t>（含税）/元</w:t>
            </w:r>
          </w:p>
        </w:tc>
        <w:tc>
          <w:tcPr>
            <w:tcW w:w="755" w:type="pct"/>
            <w:tcBorders>
              <w:bottom w:val="single" w:color="auto" w:sz="4" w:space="0"/>
            </w:tcBorders>
            <w:vAlign w:val="center"/>
          </w:tcPr>
          <w:p>
            <w:pPr>
              <w:ind w:firstLine="0" w:firstLineChars="0"/>
              <w:jc w:val="center"/>
              <w:rPr>
                <w:rFonts w:cs="Times New Roman" w:eastAsiaTheme="minorEastAsia"/>
                <w:sz w:val="24"/>
              </w:rPr>
            </w:pPr>
            <w:r>
              <w:rPr>
                <w:rFonts w:hint="eastAsia" w:cs="Times New Roman" w:eastAsiaTheme="minorEastAsia"/>
                <w:sz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1" w:hRule="atLeast"/>
        </w:trPr>
        <w:tc>
          <w:tcPr>
            <w:tcW w:w="1311" w:type="pct"/>
            <w:vAlign w:val="center"/>
          </w:tcPr>
          <w:p>
            <w:pPr>
              <w:ind w:firstLine="0" w:firstLineChars="0"/>
              <w:jc w:val="center"/>
              <w:rPr>
                <w:rFonts w:eastAsia="宋体" w:cs="Times New Roman"/>
                <w:sz w:val="24"/>
              </w:rPr>
            </w:pPr>
            <w:r>
              <w:rPr>
                <w:rFonts w:hint="eastAsia" w:eastAsia="宋体" w:cs="Times New Roman"/>
                <w:sz w:val="24"/>
              </w:rPr>
              <w:t>数字电网公司2026年综保模块测试硬件板卡试制服务项目（二次采购）</w:t>
            </w:r>
          </w:p>
        </w:tc>
        <w:tc>
          <w:tcPr>
            <w:tcW w:w="582" w:type="pct"/>
            <w:tcBorders>
              <w:right w:val="single" w:color="auto" w:sz="4" w:space="0"/>
            </w:tcBorders>
            <w:vAlign w:val="center"/>
          </w:tcPr>
          <w:p>
            <w:pPr>
              <w:ind w:firstLine="0" w:firstLineChars="0"/>
              <w:jc w:val="center"/>
              <w:rPr>
                <w:rFonts w:eastAsia="等线" w:cs="Times New Roman"/>
                <w:color w:val="000000"/>
                <w:sz w:val="24"/>
              </w:rPr>
            </w:pPr>
            <w:r>
              <w:rPr>
                <w:rFonts w:hint="eastAsia" w:eastAsia="宋体" w:cs="Times New Roman"/>
                <w:sz w:val="24"/>
              </w:rPr>
              <w:t>综保模块测试硬件板卡</w:t>
            </w:r>
          </w:p>
        </w:tc>
        <w:tc>
          <w:tcPr>
            <w:tcW w:w="817" w:type="pct"/>
            <w:tcBorders>
              <w:right w:val="single" w:color="auto" w:sz="4" w:space="0"/>
            </w:tcBorders>
            <w:vAlign w:val="center"/>
          </w:tcPr>
          <w:p>
            <w:pPr>
              <w:ind w:firstLine="0" w:firstLineChars="0"/>
              <w:jc w:val="center"/>
              <w:rPr>
                <w:rFonts w:eastAsia="宋体" w:cs="Times New Roman"/>
                <w:sz w:val="24"/>
              </w:rPr>
            </w:pPr>
            <w:r>
              <w:rPr>
                <w:rFonts w:hint="eastAsia" w:eastAsia="宋体" w:cs="Times New Roman"/>
                <w:sz w:val="24"/>
              </w:rPr>
              <w:t>详见技术规范书</w:t>
            </w:r>
          </w:p>
        </w:tc>
        <w:tc>
          <w:tcPr>
            <w:tcW w:w="780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0" w:firstLineChars="0"/>
              <w:jc w:val="center"/>
              <w:rPr>
                <w:rFonts w:hint="default" w:cs="Times New Roman" w:eastAsiaTheme="minorEastAsia"/>
                <w:sz w:val="24"/>
                <w:lang w:val="en-US" w:eastAsia="zh-CN"/>
              </w:rPr>
            </w:pPr>
            <w:r>
              <w:rPr>
                <w:rFonts w:hint="eastAsia" w:cs="Times New Roman" w:eastAsiaTheme="minorEastAsia"/>
                <w:sz w:val="24"/>
              </w:rPr>
              <w:t>48</w:t>
            </w:r>
            <w:r>
              <w:rPr>
                <w:rFonts w:hint="eastAsia" w:cs="Times New Roman" w:eastAsiaTheme="minorEastAsia"/>
                <w:sz w:val="24"/>
                <w:lang w:val="en-US" w:eastAsia="zh-CN"/>
              </w:rPr>
              <w:t>0</w:t>
            </w:r>
            <w:bookmarkStart w:id="0" w:name="_GoBack"/>
            <w:bookmarkEnd w:id="0"/>
            <w:r>
              <w:rPr>
                <w:rFonts w:hint="eastAsia" w:cs="Times New Roman" w:eastAsiaTheme="minorEastAsia"/>
                <w:sz w:val="24"/>
                <w:lang w:val="en-US" w:eastAsia="zh-CN"/>
              </w:rPr>
              <w:t>00</w:t>
            </w:r>
          </w:p>
        </w:tc>
        <w:tc>
          <w:tcPr>
            <w:tcW w:w="755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0" w:firstLineChars="0"/>
              <w:jc w:val="center"/>
              <w:rPr>
                <w:rFonts w:eastAsia="等线" w:cs="Times New Roman"/>
                <w:color w:val="000000"/>
                <w:sz w:val="24"/>
              </w:rPr>
            </w:pPr>
          </w:p>
        </w:tc>
        <w:tc>
          <w:tcPr>
            <w:tcW w:w="755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0" w:firstLineChars="0"/>
              <w:jc w:val="center"/>
              <w:rPr>
                <w:rFonts w:eastAsia="等线" w:cs="Times New Roman"/>
                <w:color w:val="000000"/>
                <w:sz w:val="24"/>
              </w:rPr>
            </w:pPr>
            <w:r>
              <w:rPr>
                <w:rFonts w:hint="eastAsia" w:cs="Times New Roman" w:eastAsiaTheme="minorEastAsia"/>
                <w:sz w:val="24"/>
              </w:rPr>
              <w:t>/</w:t>
            </w:r>
          </w:p>
        </w:tc>
      </w:tr>
    </w:tbl>
    <w:p>
      <w:pPr>
        <w:ind w:firstLine="560"/>
      </w:pPr>
    </w:p>
    <w:p>
      <w:pPr>
        <w:ind w:firstLine="560"/>
        <w:jc w:val="right"/>
        <w:rPr>
          <w:rFonts w:hint="eastAsia" w:cs="Times New Roman" w:eastAsiaTheme="minorEastAsia"/>
        </w:rPr>
      </w:pPr>
      <w:r>
        <w:rPr>
          <w:rFonts w:hint="eastAsia" w:cs="Times New Roman" w:eastAsiaTheme="minorEastAsia"/>
        </w:rPr>
        <w:t>报价人：XX</w:t>
      </w:r>
    </w:p>
    <w:p>
      <w:pPr>
        <w:ind w:firstLine="560"/>
        <w:jc w:val="right"/>
        <w:rPr>
          <w:rFonts w:hint="eastAsia" w:cs="Times New Roman" w:eastAsiaTheme="minorEastAsia"/>
        </w:rPr>
      </w:pPr>
      <w:r>
        <w:rPr>
          <w:rFonts w:hint="eastAsia" w:cs="Times New Roman" w:eastAsiaTheme="minorEastAsia"/>
        </w:rPr>
        <w:t>（公章）</w:t>
      </w:r>
    </w:p>
    <w:p>
      <w:pPr>
        <w:ind w:firstLine="560"/>
        <w:jc w:val="right"/>
        <w:rPr>
          <w:rFonts w:cs="Times New Roman" w:eastAsiaTheme="minorEastAsia"/>
        </w:rPr>
      </w:pPr>
      <w:r>
        <w:rPr>
          <w:rFonts w:hint="eastAsia" w:cs="Times New Roman" w:eastAsiaTheme="minorEastAsia"/>
        </w:rPr>
        <w:t>日期：  年  月  日</w:t>
      </w:r>
    </w:p>
    <w:p>
      <w:pPr>
        <w:ind w:firstLine="560"/>
        <w:rPr>
          <w:rFonts w:cs="Times New Roman" w:eastAsiaTheme="minorEastAsia"/>
        </w:rPr>
      </w:pPr>
    </w:p>
    <w:p>
      <w:pPr>
        <w:ind w:firstLine="560"/>
        <w:rPr>
          <w:rFonts w:cs="Times New Roman" w:eastAsiaTheme="minorEastAsia"/>
        </w:rPr>
      </w:pPr>
      <w:r>
        <w:rPr>
          <w:rFonts w:cs="Times New Roman" w:eastAsiaTheme="minorEastAsia"/>
        </w:rPr>
        <w:t>报价说明：</w:t>
      </w:r>
    </w:p>
    <w:p>
      <w:pPr>
        <w:ind w:firstLine="560"/>
        <w:rPr>
          <w:rFonts w:cs="Times New Roman" w:eastAsiaTheme="minorEastAsia"/>
        </w:rPr>
      </w:pPr>
      <w:r>
        <w:rPr>
          <w:rFonts w:hint="eastAsia" w:cs="Times New Roman" w:eastAsiaTheme="minorEastAsia"/>
        </w:rPr>
        <w:t>1</w:t>
      </w:r>
      <w:r>
        <w:rPr>
          <w:rFonts w:cs="Times New Roman" w:eastAsiaTheme="minorEastAsia"/>
        </w:rPr>
        <w:t>、</w:t>
      </w:r>
      <w:r>
        <w:rPr>
          <w:rFonts w:hint="eastAsia" w:cs="Times New Roman" w:eastAsiaTheme="minorEastAsia"/>
        </w:rPr>
        <w:t>固定总价报价，投标报价金额不得高于最高总价限价；</w:t>
      </w:r>
    </w:p>
    <w:p>
      <w:pPr>
        <w:ind w:firstLine="560"/>
        <w:rPr>
          <w:rFonts w:cs="Times New Roman" w:eastAsiaTheme="minorEastAsia"/>
        </w:rPr>
      </w:pPr>
      <w:r>
        <w:rPr>
          <w:rFonts w:hint="eastAsia" w:cs="Times New Roman" w:eastAsiaTheme="minorEastAsia"/>
        </w:rPr>
        <w:t>2、</w:t>
      </w:r>
      <w:r>
        <w:rPr>
          <w:rFonts w:cs="Times New Roman" w:eastAsiaTheme="minorEastAsia"/>
        </w:rPr>
        <w:t>报价以人民币为准</w:t>
      </w:r>
      <w:r>
        <w:rPr>
          <w:rFonts w:hint="eastAsia" w:cs="Times New Roman" w:eastAsiaTheme="minorEastAsia"/>
        </w:rPr>
        <w:t>；</w:t>
      </w:r>
    </w:p>
    <w:p>
      <w:pPr>
        <w:ind w:firstLine="560"/>
        <w:rPr>
          <w:rFonts w:cs="Times New Roman" w:eastAsiaTheme="minorEastAsia"/>
        </w:rPr>
      </w:pPr>
      <w:r>
        <w:rPr>
          <w:rFonts w:hint="eastAsia" w:cs="Times New Roman" w:eastAsiaTheme="minorEastAsia"/>
        </w:rPr>
        <w:t>3、增值税税率为13%；</w:t>
      </w:r>
    </w:p>
    <w:p>
      <w:pPr>
        <w:ind w:firstLine="560"/>
        <w:rPr>
          <w:rFonts w:cs="Times New Roman" w:eastAsiaTheme="minorEastAsia"/>
        </w:rPr>
      </w:pPr>
      <w:r>
        <w:rPr>
          <w:rFonts w:hint="eastAsia" w:cs="Times New Roman" w:eastAsiaTheme="minorEastAsia"/>
        </w:rPr>
        <w:t>4、结算方式：总价包干</w:t>
      </w:r>
      <w:r>
        <w:rPr>
          <w:rFonts w:cs="Times New Roman" w:eastAsiaTheme="minorEastAsia"/>
        </w:rPr>
        <w:t>。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560"/>
      </w:pPr>
      <w:r>
        <w:separator/>
      </w:r>
    </w:p>
  </w:endnote>
  <w:endnote w:type="continuationSeparator" w:id="1">
    <w:p>
      <w:pPr>
        <w:ind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560"/>
      </w:pPr>
      <w:r>
        <w:separator/>
      </w:r>
    </w:p>
  </w:footnote>
  <w:footnote w:type="continuationSeparator" w:id="1">
    <w:p>
      <w:pPr>
        <w:ind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4662D1D"/>
    <w:multiLevelType w:val="multilevel"/>
    <w:tmpl w:val="54662D1D"/>
    <w:lvl w:ilvl="0" w:tentative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pStyle w:val="4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83" w:hanging="1583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I3ZjM5NjE4NDVjNDkxNTJmNzc1YmRmZDdmMDBmOGUifQ=="/>
  </w:docVars>
  <w:rsids>
    <w:rsidRoot w:val="002244B7"/>
    <w:rsid w:val="000076A2"/>
    <w:rsid w:val="0001068D"/>
    <w:rsid w:val="00016E49"/>
    <w:rsid w:val="00025058"/>
    <w:rsid w:val="00056CAC"/>
    <w:rsid w:val="00074DB7"/>
    <w:rsid w:val="00097F69"/>
    <w:rsid w:val="000B0CA1"/>
    <w:rsid w:val="000B5CC5"/>
    <w:rsid w:val="000F5CBC"/>
    <w:rsid w:val="001151C6"/>
    <w:rsid w:val="001302DB"/>
    <w:rsid w:val="001334AF"/>
    <w:rsid w:val="00166437"/>
    <w:rsid w:val="001A77AC"/>
    <w:rsid w:val="002065E2"/>
    <w:rsid w:val="002112EF"/>
    <w:rsid w:val="00223393"/>
    <w:rsid w:val="002244B7"/>
    <w:rsid w:val="00271B20"/>
    <w:rsid w:val="002973DD"/>
    <w:rsid w:val="002A6E8A"/>
    <w:rsid w:val="002E2D7F"/>
    <w:rsid w:val="002F4F17"/>
    <w:rsid w:val="00313458"/>
    <w:rsid w:val="003240D7"/>
    <w:rsid w:val="00336B63"/>
    <w:rsid w:val="00342657"/>
    <w:rsid w:val="00363CB7"/>
    <w:rsid w:val="00382CF6"/>
    <w:rsid w:val="003B24A9"/>
    <w:rsid w:val="003C2F3E"/>
    <w:rsid w:val="00401DB1"/>
    <w:rsid w:val="004435EA"/>
    <w:rsid w:val="00490F6D"/>
    <w:rsid w:val="004D55B9"/>
    <w:rsid w:val="004F31E1"/>
    <w:rsid w:val="005266A8"/>
    <w:rsid w:val="00536410"/>
    <w:rsid w:val="00543EBA"/>
    <w:rsid w:val="0056523A"/>
    <w:rsid w:val="00570C8D"/>
    <w:rsid w:val="00592FE9"/>
    <w:rsid w:val="005A3269"/>
    <w:rsid w:val="005B02AF"/>
    <w:rsid w:val="005C347F"/>
    <w:rsid w:val="006008EF"/>
    <w:rsid w:val="006014E9"/>
    <w:rsid w:val="00626A5D"/>
    <w:rsid w:val="006514CA"/>
    <w:rsid w:val="006545AB"/>
    <w:rsid w:val="006635DE"/>
    <w:rsid w:val="006A4ECD"/>
    <w:rsid w:val="006E0C8C"/>
    <w:rsid w:val="006F5A7E"/>
    <w:rsid w:val="0070657C"/>
    <w:rsid w:val="00721C49"/>
    <w:rsid w:val="007B0ACB"/>
    <w:rsid w:val="007B66EF"/>
    <w:rsid w:val="007C245C"/>
    <w:rsid w:val="007C51DA"/>
    <w:rsid w:val="007D08DC"/>
    <w:rsid w:val="007E0178"/>
    <w:rsid w:val="007E1751"/>
    <w:rsid w:val="007E6515"/>
    <w:rsid w:val="0081408C"/>
    <w:rsid w:val="00824BED"/>
    <w:rsid w:val="00847457"/>
    <w:rsid w:val="00863010"/>
    <w:rsid w:val="008832DF"/>
    <w:rsid w:val="00892F15"/>
    <w:rsid w:val="008D6B3B"/>
    <w:rsid w:val="009038C2"/>
    <w:rsid w:val="009277AB"/>
    <w:rsid w:val="009375ED"/>
    <w:rsid w:val="009426BB"/>
    <w:rsid w:val="009B2F79"/>
    <w:rsid w:val="009C34C0"/>
    <w:rsid w:val="009D4012"/>
    <w:rsid w:val="009F001F"/>
    <w:rsid w:val="00A000A3"/>
    <w:rsid w:val="00A0236F"/>
    <w:rsid w:val="00A31FE3"/>
    <w:rsid w:val="00AC0DA7"/>
    <w:rsid w:val="00B500C5"/>
    <w:rsid w:val="00B66158"/>
    <w:rsid w:val="00B7603B"/>
    <w:rsid w:val="00BA6DE0"/>
    <w:rsid w:val="00BF5912"/>
    <w:rsid w:val="00C3493E"/>
    <w:rsid w:val="00C46124"/>
    <w:rsid w:val="00C54236"/>
    <w:rsid w:val="00C613ED"/>
    <w:rsid w:val="00C61F76"/>
    <w:rsid w:val="00C62561"/>
    <w:rsid w:val="00C71BB4"/>
    <w:rsid w:val="00C87E45"/>
    <w:rsid w:val="00C90182"/>
    <w:rsid w:val="00CA3FE4"/>
    <w:rsid w:val="00CC4186"/>
    <w:rsid w:val="00CE10C6"/>
    <w:rsid w:val="00CF37A4"/>
    <w:rsid w:val="00CF4BE7"/>
    <w:rsid w:val="00CF5B82"/>
    <w:rsid w:val="00D20BA5"/>
    <w:rsid w:val="00D2251B"/>
    <w:rsid w:val="00DA1EBC"/>
    <w:rsid w:val="00E26C35"/>
    <w:rsid w:val="00E563C0"/>
    <w:rsid w:val="00E60A98"/>
    <w:rsid w:val="00EA0BFD"/>
    <w:rsid w:val="00EB35A4"/>
    <w:rsid w:val="00EC173E"/>
    <w:rsid w:val="00F042DA"/>
    <w:rsid w:val="00F11656"/>
    <w:rsid w:val="00F23CA9"/>
    <w:rsid w:val="00F43304"/>
    <w:rsid w:val="00F50AA9"/>
    <w:rsid w:val="00F52AEC"/>
    <w:rsid w:val="00F74CB4"/>
    <w:rsid w:val="00F85E19"/>
    <w:rsid w:val="00F9019E"/>
    <w:rsid w:val="00FC39E3"/>
    <w:rsid w:val="00FD4549"/>
    <w:rsid w:val="01B36734"/>
    <w:rsid w:val="02E55D09"/>
    <w:rsid w:val="02FB57F1"/>
    <w:rsid w:val="05546E07"/>
    <w:rsid w:val="05DB0C92"/>
    <w:rsid w:val="068E3F91"/>
    <w:rsid w:val="08837E02"/>
    <w:rsid w:val="0A7F01BD"/>
    <w:rsid w:val="0D375F39"/>
    <w:rsid w:val="0F414D4F"/>
    <w:rsid w:val="0FA934F7"/>
    <w:rsid w:val="0FB663CB"/>
    <w:rsid w:val="10383C7E"/>
    <w:rsid w:val="137D3738"/>
    <w:rsid w:val="13C227C4"/>
    <w:rsid w:val="141753BE"/>
    <w:rsid w:val="142F6BD5"/>
    <w:rsid w:val="1568250F"/>
    <w:rsid w:val="1647702D"/>
    <w:rsid w:val="173567EF"/>
    <w:rsid w:val="18F42705"/>
    <w:rsid w:val="1A5971F8"/>
    <w:rsid w:val="1B8C6F40"/>
    <w:rsid w:val="1CA22B1F"/>
    <w:rsid w:val="1CB352B2"/>
    <w:rsid w:val="1D9804B9"/>
    <w:rsid w:val="1FC4513D"/>
    <w:rsid w:val="266D5E03"/>
    <w:rsid w:val="2A374F4D"/>
    <w:rsid w:val="2D901963"/>
    <w:rsid w:val="318B0728"/>
    <w:rsid w:val="325B74CE"/>
    <w:rsid w:val="32A152CF"/>
    <w:rsid w:val="33AC5B43"/>
    <w:rsid w:val="35B86EAA"/>
    <w:rsid w:val="35CD4C7B"/>
    <w:rsid w:val="36AA0CBD"/>
    <w:rsid w:val="384738DD"/>
    <w:rsid w:val="38844D40"/>
    <w:rsid w:val="39200B26"/>
    <w:rsid w:val="3A6A2085"/>
    <w:rsid w:val="3ABD68A9"/>
    <w:rsid w:val="3AD61170"/>
    <w:rsid w:val="3B346B6E"/>
    <w:rsid w:val="3B8A1F83"/>
    <w:rsid w:val="3CCD1AFB"/>
    <w:rsid w:val="3E1E1423"/>
    <w:rsid w:val="3E5C4D14"/>
    <w:rsid w:val="435D0C77"/>
    <w:rsid w:val="441722E3"/>
    <w:rsid w:val="45976265"/>
    <w:rsid w:val="4A4C1CE2"/>
    <w:rsid w:val="4B827E67"/>
    <w:rsid w:val="4CA65764"/>
    <w:rsid w:val="4DEE3688"/>
    <w:rsid w:val="4F51161B"/>
    <w:rsid w:val="55892B92"/>
    <w:rsid w:val="55FB04D7"/>
    <w:rsid w:val="59CD172A"/>
    <w:rsid w:val="5D690AC4"/>
    <w:rsid w:val="5FE710F6"/>
    <w:rsid w:val="60652A22"/>
    <w:rsid w:val="61382BD5"/>
    <w:rsid w:val="626312EB"/>
    <w:rsid w:val="65133847"/>
    <w:rsid w:val="667773CE"/>
    <w:rsid w:val="675639C4"/>
    <w:rsid w:val="685C431D"/>
    <w:rsid w:val="688E2EF4"/>
    <w:rsid w:val="6AF63A10"/>
    <w:rsid w:val="6B220038"/>
    <w:rsid w:val="6BDC6045"/>
    <w:rsid w:val="6D306528"/>
    <w:rsid w:val="6E4819BD"/>
    <w:rsid w:val="6FBE0EA0"/>
    <w:rsid w:val="70C40B49"/>
    <w:rsid w:val="74F71649"/>
    <w:rsid w:val="77946EFA"/>
    <w:rsid w:val="77A7468F"/>
    <w:rsid w:val="781942C5"/>
    <w:rsid w:val="7E790CD1"/>
    <w:rsid w:val="7E7C227A"/>
    <w:rsid w:val="7E876A7F"/>
    <w:rsid w:val="7F48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ind w:firstLine="200" w:firstLineChars="200"/>
      <w:jc w:val="both"/>
    </w:pPr>
    <w:rPr>
      <w:rFonts w:ascii="Times New Roman" w:hAnsi="Times New Roman" w:eastAsia="仿宋_GB2312" w:cstheme="minorBidi"/>
      <w:kern w:val="2"/>
      <w:sz w:val="28"/>
      <w:szCs w:val="24"/>
      <w:lang w:val="en-US" w:eastAsia="zh-CN" w:bidi="ar-SA"/>
    </w:rPr>
  </w:style>
  <w:style w:type="paragraph" w:styleId="3">
    <w:name w:val="heading 1"/>
    <w:basedOn w:val="1"/>
    <w:next w:val="1"/>
    <w:link w:val="16"/>
    <w:qFormat/>
    <w:uiPriority w:val="0"/>
    <w:pPr>
      <w:keepNext/>
      <w:keepLines/>
      <w:snapToGrid w:val="0"/>
      <w:spacing w:before="50" w:beforeLines="50"/>
      <w:jc w:val="left"/>
      <w:outlineLvl w:val="0"/>
    </w:pPr>
    <w:rPr>
      <w:rFonts w:ascii="宋体" w:hAnsi="宋体" w:eastAsia="宋体" w:cs="Times New Roman"/>
      <w:b/>
      <w:bCs/>
      <w:kern w:val="44"/>
      <w:sz w:val="32"/>
      <w:szCs w:val="21"/>
    </w:rPr>
  </w:style>
  <w:style w:type="paragraph" w:styleId="4">
    <w:name w:val="heading 2"/>
    <w:basedOn w:val="1"/>
    <w:next w:val="1"/>
    <w:link w:val="19"/>
    <w:semiHidden/>
    <w:unhideWhenUsed/>
    <w:qFormat/>
    <w:uiPriority w:val="0"/>
    <w:pPr>
      <w:keepLines/>
      <w:numPr>
        <w:ilvl w:val="1"/>
        <w:numId w:val="1"/>
      </w:numPr>
      <w:adjustRightInd w:val="0"/>
      <w:snapToGrid w:val="0"/>
      <w:spacing w:before="50" w:beforeLines="50"/>
      <w:ind w:left="573" w:hanging="573"/>
      <w:jc w:val="left"/>
      <w:outlineLvl w:val="1"/>
    </w:pPr>
    <w:rPr>
      <w:rFonts w:ascii="宋体" w:hAnsi="宋体" w:eastAsia="宋体"/>
      <w:b/>
      <w:bCs/>
      <w:szCs w:val="21"/>
    </w:rPr>
  </w:style>
  <w:style w:type="paragraph" w:styleId="5">
    <w:name w:val="heading 3"/>
    <w:basedOn w:val="1"/>
    <w:next w:val="1"/>
    <w:link w:val="17"/>
    <w:semiHidden/>
    <w:unhideWhenUsed/>
    <w:qFormat/>
    <w:uiPriority w:val="0"/>
    <w:pPr>
      <w:tabs>
        <w:tab w:val="left" w:pos="1560"/>
      </w:tabs>
      <w:snapToGrid w:val="0"/>
      <w:spacing w:before="50" w:beforeLines="50" w:line="360" w:lineRule="auto"/>
      <w:outlineLvl w:val="2"/>
    </w:pPr>
    <w:rPr>
      <w:rFonts w:ascii="宋体" w:hAnsi="宋体" w:eastAsia="宋体" w:cs="Times New Roman"/>
      <w:b/>
      <w:bCs/>
      <w:sz w:val="21"/>
    </w:rPr>
  </w:style>
  <w:style w:type="paragraph" w:styleId="6">
    <w:name w:val="heading 4"/>
    <w:basedOn w:val="1"/>
    <w:next w:val="1"/>
    <w:link w:val="18"/>
    <w:semiHidden/>
    <w:unhideWhenUsed/>
    <w:qFormat/>
    <w:uiPriority w:val="0"/>
    <w:pPr>
      <w:spacing w:line="360" w:lineRule="auto"/>
      <w:outlineLvl w:val="3"/>
    </w:pPr>
    <w:rPr>
      <w:rFonts w:ascii="宋体" w:hAnsi="宋体" w:eastAsia="宋体" w:cs="Times New Roman"/>
      <w:b/>
      <w:bCs/>
      <w:sz w:val="21"/>
      <w:szCs w:val="21"/>
    </w:rPr>
  </w:style>
  <w:style w:type="paragraph" w:styleId="7">
    <w:name w:val="heading 5"/>
    <w:basedOn w:val="1"/>
    <w:next w:val="1"/>
    <w:semiHidden/>
    <w:unhideWhenUsed/>
    <w:qFormat/>
    <w:uiPriority w:val="0"/>
    <w:pPr>
      <w:keepNext/>
      <w:keepLines/>
      <w:spacing w:before="280" w:after="290" w:line="372" w:lineRule="auto"/>
      <w:outlineLvl w:val="4"/>
    </w:pPr>
    <w:rPr>
      <w:rFonts w:eastAsiaTheme="majorEastAsia"/>
      <w:b/>
      <w:sz w:val="24"/>
    </w:rPr>
  </w:style>
  <w:style w:type="character" w:default="1" w:styleId="14">
    <w:name w:val="Default Paragraph Font"/>
    <w:unhideWhenUsed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  <w:rPr>
      <w:rFonts w:ascii="Calibri" w:hAnsi="Calibri" w:eastAsia="宋体" w:cs="Times New Roman"/>
      <w:szCs w:val="22"/>
    </w:rPr>
  </w:style>
  <w:style w:type="paragraph" w:styleId="8">
    <w:name w:val="annotation text"/>
    <w:basedOn w:val="1"/>
    <w:link w:val="22"/>
    <w:qFormat/>
    <w:uiPriority w:val="0"/>
    <w:pPr>
      <w:jc w:val="left"/>
    </w:pPr>
  </w:style>
  <w:style w:type="paragraph" w:styleId="9">
    <w:name w:val="footer"/>
    <w:basedOn w:val="1"/>
    <w:link w:val="2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annotation subject"/>
    <w:basedOn w:val="8"/>
    <w:next w:val="8"/>
    <w:link w:val="23"/>
    <w:qFormat/>
    <w:uiPriority w:val="0"/>
    <w:rPr>
      <w:b/>
      <w:bCs/>
    </w:rPr>
  </w:style>
  <w:style w:type="table" w:styleId="13">
    <w:name w:val="Table Grid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annotation reference"/>
    <w:basedOn w:val="14"/>
    <w:qFormat/>
    <w:uiPriority w:val="0"/>
    <w:rPr>
      <w:sz w:val="21"/>
      <w:szCs w:val="21"/>
    </w:rPr>
  </w:style>
  <w:style w:type="character" w:customStyle="1" w:styleId="16">
    <w:name w:val="标题 1 字符"/>
    <w:link w:val="3"/>
    <w:qFormat/>
    <w:uiPriority w:val="0"/>
    <w:rPr>
      <w:rFonts w:ascii="宋体" w:hAnsi="宋体" w:eastAsia="宋体" w:cs="Times New Roman"/>
      <w:b/>
      <w:bCs/>
      <w:kern w:val="44"/>
      <w:sz w:val="21"/>
      <w:szCs w:val="21"/>
    </w:rPr>
  </w:style>
  <w:style w:type="character" w:customStyle="1" w:styleId="17">
    <w:name w:val="标题 3 字符"/>
    <w:link w:val="5"/>
    <w:qFormat/>
    <w:locked/>
    <w:uiPriority w:val="9"/>
    <w:rPr>
      <w:rFonts w:ascii="宋体" w:hAnsi="宋体" w:eastAsia="宋体" w:cs="Times New Roman"/>
      <w:b/>
      <w:bCs/>
      <w:kern w:val="2"/>
      <w:sz w:val="21"/>
      <w:szCs w:val="24"/>
    </w:rPr>
  </w:style>
  <w:style w:type="character" w:customStyle="1" w:styleId="18">
    <w:name w:val="标题 4 字符"/>
    <w:link w:val="6"/>
    <w:qFormat/>
    <w:uiPriority w:val="0"/>
    <w:rPr>
      <w:rFonts w:ascii="宋体" w:hAnsi="宋体" w:eastAsia="宋体" w:cs="Times New Roman"/>
      <w:b/>
      <w:bCs/>
      <w:kern w:val="2"/>
      <w:sz w:val="21"/>
      <w:szCs w:val="21"/>
      <w:lang w:val="en-US" w:eastAsia="zh-CN" w:bidi="ar-SA"/>
    </w:rPr>
  </w:style>
  <w:style w:type="character" w:customStyle="1" w:styleId="19">
    <w:name w:val="标题 2 字符"/>
    <w:link w:val="4"/>
    <w:qFormat/>
    <w:uiPriority w:val="0"/>
    <w:rPr>
      <w:rFonts w:ascii="Arial" w:hAnsi="Arial" w:eastAsia="宋体" w:cs="Times New Roman"/>
      <w:b/>
      <w:sz w:val="32"/>
    </w:rPr>
  </w:style>
  <w:style w:type="character" w:customStyle="1" w:styleId="20">
    <w:name w:val="页眉 字符"/>
    <w:basedOn w:val="14"/>
    <w:link w:val="10"/>
    <w:qFormat/>
    <w:uiPriority w:val="0"/>
    <w:rPr>
      <w:rFonts w:ascii="Times New Roman" w:hAnsi="Times New Roman" w:eastAsia="仿宋_GB2312" w:cstheme="minorBidi"/>
      <w:kern w:val="2"/>
      <w:sz w:val="18"/>
      <w:szCs w:val="18"/>
    </w:rPr>
  </w:style>
  <w:style w:type="character" w:customStyle="1" w:styleId="21">
    <w:name w:val="页脚 字符"/>
    <w:basedOn w:val="14"/>
    <w:link w:val="9"/>
    <w:qFormat/>
    <w:uiPriority w:val="0"/>
    <w:rPr>
      <w:rFonts w:ascii="Times New Roman" w:hAnsi="Times New Roman" w:eastAsia="仿宋_GB2312" w:cstheme="minorBidi"/>
      <w:kern w:val="2"/>
      <w:sz w:val="18"/>
      <w:szCs w:val="18"/>
    </w:rPr>
  </w:style>
  <w:style w:type="character" w:customStyle="1" w:styleId="22">
    <w:name w:val="批注文字 字符"/>
    <w:basedOn w:val="14"/>
    <w:link w:val="8"/>
    <w:qFormat/>
    <w:uiPriority w:val="0"/>
    <w:rPr>
      <w:rFonts w:ascii="Times New Roman" w:hAnsi="Times New Roman" w:eastAsia="仿宋_GB2312" w:cstheme="minorBidi"/>
      <w:kern w:val="2"/>
      <w:sz w:val="28"/>
      <w:szCs w:val="24"/>
    </w:rPr>
  </w:style>
  <w:style w:type="character" w:customStyle="1" w:styleId="23">
    <w:name w:val="批注主题 字符"/>
    <w:basedOn w:val="22"/>
    <w:link w:val="11"/>
    <w:qFormat/>
    <w:uiPriority w:val="0"/>
    <w:rPr>
      <w:rFonts w:ascii="Times New Roman" w:hAnsi="Times New Roman" w:eastAsia="仿宋_GB2312" w:cstheme="minorBidi"/>
      <w:b/>
      <w:bCs/>
      <w:kern w:val="2"/>
      <w:sz w:val="28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</Words>
  <Characters>183</Characters>
  <Lines>1</Lines>
  <Paragraphs>1</Paragraphs>
  <TotalTime>31</TotalTime>
  <ScaleCrop>false</ScaleCrop>
  <LinksUpToDate>false</LinksUpToDate>
  <CharactersWithSpaces>213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2020-03-16T05:54:00Z</dcterms:created>
  <dc:creator>linli</dc:creator>
  <cp:lastModifiedBy>E4299387985D136AE053064310AC0894</cp:lastModifiedBy>
  <dcterms:modified xsi:type="dcterms:W3CDTF">2026-04-01T01:16:57Z</dcterms:modified>
  <cp:revision>58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E5AD077E395348DEBFAE6243081CBB34</vt:lpwstr>
  </property>
</Properties>
</file>