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8B5CD">
      <w:pPr>
        <w:jc w:val="center"/>
        <w:rPr>
          <w:rFonts w:ascii="华文宋体" w:hAnsi="华文宋体" w:eastAsia="华文宋体"/>
          <w:b/>
          <w:sz w:val="24"/>
          <w:szCs w:val="24"/>
        </w:rPr>
      </w:pPr>
      <w:r>
        <w:rPr>
          <w:rFonts w:hint="eastAsia" w:ascii="华文宋体" w:hAnsi="华文宋体" w:eastAsia="华文宋体"/>
          <w:b/>
          <w:sz w:val="24"/>
          <w:szCs w:val="24"/>
        </w:rPr>
        <w:t>关于云南丽江华坪产业园区电池储能项目</w:t>
      </w:r>
      <w:r>
        <w:rPr>
          <w:rFonts w:ascii="华文宋体" w:hAnsi="华文宋体" w:eastAsia="华文宋体"/>
          <w:b/>
          <w:sz w:val="24"/>
          <w:szCs w:val="24"/>
        </w:rPr>
        <w:t>95MW/380MWh 全钒液流储能系统直流侧设</w:t>
      </w:r>
      <w:r>
        <w:rPr>
          <w:rFonts w:hint="eastAsia" w:ascii="华文宋体" w:hAnsi="华文宋体" w:eastAsia="华文宋体"/>
          <w:b/>
          <w:sz w:val="24"/>
          <w:szCs w:val="24"/>
        </w:rPr>
        <w:t>备集成及</w:t>
      </w:r>
      <w:r>
        <w:rPr>
          <w:rFonts w:ascii="华文宋体" w:hAnsi="华文宋体" w:eastAsia="华文宋体"/>
          <w:b/>
          <w:sz w:val="24"/>
          <w:szCs w:val="24"/>
        </w:rPr>
        <w:t>380MWh 电解液经营性租赁服务采购项目的澄清提问</w:t>
      </w:r>
    </w:p>
    <w:p w14:paraId="4D86AF05">
      <w:pPr>
        <w:jc w:val="center"/>
        <w:rPr>
          <w:rFonts w:hint="eastAsia" w:ascii="华文宋体" w:hAnsi="华文宋体" w:eastAsia="华文宋体"/>
          <w:b/>
          <w:sz w:val="24"/>
          <w:szCs w:val="24"/>
        </w:rPr>
      </w:pPr>
    </w:p>
    <w:p w14:paraId="69559E26">
      <w:pPr>
        <w:rPr>
          <w:rFonts w:ascii="华文宋体" w:hAnsi="华文宋体" w:eastAsia="华文宋体"/>
          <w:b/>
        </w:rPr>
      </w:pPr>
      <w:r>
        <w:rPr>
          <w:rFonts w:hint="eastAsia" w:ascii="华文宋体" w:hAnsi="华文宋体" w:eastAsia="华文宋体"/>
          <w:b/>
        </w:rPr>
        <w:t>一、技术相关</w:t>
      </w:r>
    </w:p>
    <w:p w14:paraId="27507EB6">
      <w:pPr>
        <w:rPr>
          <w:rFonts w:ascii="华文宋体" w:hAnsi="华文宋体" w:eastAsia="华文宋体"/>
        </w:rPr>
      </w:pPr>
    </w:p>
    <w:p w14:paraId="3E12C162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1</w:t>
      </w:r>
      <w:r>
        <w:rPr>
          <w:rFonts w:hint="eastAsia" w:ascii="华文宋体" w:hAnsi="华文宋体" w:eastAsia="华文宋体"/>
        </w:rPr>
        <w:t xml:space="preserve">、 </w:t>
      </w:r>
      <w:r>
        <w:rPr>
          <w:rFonts w:ascii="华文宋体" w:hAnsi="华文宋体" w:eastAsia="华文宋体"/>
        </w:rPr>
        <w:t xml:space="preserve"> 2.1. 视频监控</w:t>
      </w:r>
    </w:p>
    <w:p w14:paraId="3E21BDA0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1）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容量单元预制舱（包括储罐）、380MWh电解液租赁服务、控制系统、预制舱内的配套设施（含热管理系统、配电、照明、应急照明、消防、</w:t>
      </w:r>
      <w:r>
        <w:rPr>
          <w:rFonts w:ascii="华文宋体" w:hAnsi="华文宋体" w:eastAsia="华文宋体"/>
          <w:color w:val="FF0000"/>
        </w:rPr>
        <w:t>视频监控</w:t>
      </w:r>
      <w:r>
        <w:rPr>
          <w:rFonts w:ascii="华文宋体" w:hAnsi="华文宋体" w:eastAsia="华文宋体"/>
        </w:rPr>
        <w:t>等）</w:t>
      </w:r>
    </w:p>
    <w:p w14:paraId="6E2C17A9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2）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投标方需提供舱内</w:t>
      </w:r>
      <w:r>
        <w:rPr>
          <w:rFonts w:ascii="华文宋体" w:hAnsi="华文宋体" w:eastAsia="华文宋体"/>
          <w:color w:val="EE0000"/>
        </w:rPr>
        <w:t>视频监控</w:t>
      </w:r>
      <w:r>
        <w:rPr>
          <w:rFonts w:ascii="华文宋体" w:hAnsi="华文宋体" w:eastAsia="华文宋体"/>
        </w:rPr>
        <w:t>系统，储能系统分视频监控系统至招标方总视频监控系统，并负责连接至招标方总视频监控系统，配合总视频监控系统的调试直至满足竣工验收要求。</w:t>
      </w:r>
    </w:p>
    <w:p w14:paraId="7AA05023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3）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储能集装箱系统应包括但不限于以下子系统：独立的配电系统、温度控制系统、通风系统、照明系统、火灾报警系统、</w:t>
      </w:r>
      <w:r>
        <w:rPr>
          <w:rFonts w:ascii="华文宋体" w:hAnsi="华文宋体" w:eastAsia="华文宋体"/>
          <w:color w:val="EE0000"/>
        </w:rPr>
        <w:t>视频监控</w:t>
      </w:r>
      <w:r>
        <w:rPr>
          <w:rFonts w:ascii="华文宋体" w:hAnsi="华文宋体" w:eastAsia="华文宋体"/>
        </w:rPr>
        <w:t>系统、计量系统等。</w:t>
      </w:r>
    </w:p>
    <w:p w14:paraId="152E1D79">
      <w:pPr>
        <w:rPr>
          <w:rFonts w:ascii="华文宋体" w:hAnsi="华文宋体" w:eastAsia="华文宋体"/>
          <w:color w:val="FF0000"/>
        </w:rPr>
      </w:pPr>
      <w:r>
        <w:rPr>
          <w:rFonts w:hint="eastAsia" w:ascii="华文宋体" w:hAnsi="华文宋体" w:eastAsia="华文宋体"/>
          <w:color w:val="FF0000"/>
        </w:rPr>
        <w:t>澄清：以上描述中，预制舱内安装视频监控，常规是锂电可步入式预制舱的设计需求，主要为保障预制舱内部人员安全作业。钒液流电池与锂电池存在差异，全钒液流电池采用非步入式预制舱设计，预制舱内部高度集成电解液及管路，不需要人员进到舱内作业，并且液流电池本征安全，没有起火爆炸的风险。</w:t>
      </w:r>
    </w:p>
    <w:p w14:paraId="52DA1859">
      <w:pPr>
        <w:rPr>
          <w:rFonts w:ascii="华文宋体" w:hAnsi="华文宋体" w:eastAsia="华文宋体"/>
          <w:color w:val="FF0000"/>
        </w:rPr>
      </w:pPr>
      <w:r>
        <w:rPr>
          <w:rFonts w:hint="eastAsia" w:ascii="华文宋体" w:hAnsi="华文宋体" w:eastAsia="华文宋体"/>
          <w:b/>
          <w:bCs/>
          <w:color w:val="FF0000"/>
        </w:rPr>
        <w:t>请招标方明确：</w:t>
      </w:r>
      <w:r>
        <w:rPr>
          <w:rFonts w:hint="eastAsia" w:ascii="华文宋体" w:hAnsi="华文宋体" w:eastAsia="华文宋体"/>
          <w:color w:val="FF0000"/>
        </w:rPr>
        <w:t>本液流电池项目，预制舱内是否可以不配置视频监控系统相关设备（以往项目都没有配置该系统）。</w:t>
      </w:r>
    </w:p>
    <w:p w14:paraId="27DD9D16">
      <w:pPr>
        <w:rPr>
          <w:rFonts w:ascii="华文宋体" w:hAnsi="华文宋体" w:eastAsia="华文宋体"/>
        </w:rPr>
      </w:pPr>
    </w:p>
    <w:p w14:paraId="68351A6E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2</w:t>
      </w:r>
      <w:r>
        <w:rPr>
          <w:rFonts w:hint="eastAsia" w:ascii="华文宋体" w:hAnsi="华文宋体" w:eastAsia="华文宋体"/>
        </w:rPr>
        <w:t xml:space="preserve">、 </w:t>
      </w:r>
      <w:r>
        <w:rPr>
          <w:rFonts w:ascii="华文宋体" w:hAnsi="华文宋体" w:eastAsia="华文宋体"/>
        </w:rPr>
        <w:t xml:space="preserve"> 2.3. 直流配置UPS</w:t>
      </w:r>
    </w:p>
    <w:p w14:paraId="5C4CF097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5）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储能系统自身运行控制系统应提供完善的内部监测、控制、故障保护与切除、事件记录功能，包括但不限于投切控制、运行模式控制、设备状态、运行温度、环境控制和监测等功能。储能系统内应配置相应的交直流UPS设备，保证控制系统、信号系统、消防系统在断电情况下能够正常工作。</w:t>
      </w:r>
    </w:p>
    <w:p w14:paraId="2EDE4500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6）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控制柜主要作用是为舱内交流用电设备提供交流电源以及通过柜内UPS为电池单元重要负荷（消防系统、BMS、热管理控制系统、交换机）提供不间断电源。</w:t>
      </w:r>
    </w:p>
    <w:p w14:paraId="3AADEC48">
      <w:pPr>
        <w:rPr>
          <w:rFonts w:ascii="华文宋体" w:hAnsi="华文宋体" w:eastAsia="华文宋体"/>
        </w:rPr>
      </w:pPr>
      <w:r>
        <w:rPr>
          <w:rFonts w:hint="eastAsia" w:ascii="华文宋体" w:hAnsi="华文宋体" w:eastAsia="华文宋体"/>
        </w:rPr>
        <w:t>控制柜需具有以下功能：</w:t>
      </w:r>
    </w:p>
    <w:p w14:paraId="0CD145D1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a) 完成舱内通风、照明、消防、应急灯、柜内外插座的交流配电；同时为系统内BMS部件（含交换机）提供不间断交流电源，后备时间不小于120min ；</w:t>
      </w:r>
    </w:p>
    <w:p w14:paraId="37102F05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7）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UPS具有旁路功能，能够在UPS故障时旁路运行，保障其下端负荷正常运行。UPS应采用双回供电，且具备双电源供电功能。</w:t>
      </w:r>
    </w:p>
    <w:p w14:paraId="64546EF8">
      <w:pPr>
        <w:rPr>
          <w:rFonts w:ascii="华文宋体" w:hAnsi="华文宋体" w:eastAsia="华文宋体"/>
          <w:color w:val="FF0000"/>
        </w:rPr>
      </w:pPr>
      <w:r>
        <w:rPr>
          <w:rFonts w:hint="eastAsia" w:ascii="华文宋体" w:hAnsi="华文宋体" w:eastAsia="华文宋体"/>
          <w:color w:val="FF0000"/>
        </w:rPr>
        <w:t>澄清：直流侧配置U</w:t>
      </w:r>
      <w:r>
        <w:rPr>
          <w:rFonts w:ascii="华文宋体" w:hAnsi="华文宋体" w:eastAsia="华文宋体"/>
          <w:color w:val="FF0000"/>
        </w:rPr>
        <w:t>PS</w:t>
      </w:r>
      <w:r>
        <w:rPr>
          <w:rFonts w:hint="eastAsia" w:ascii="华文宋体" w:hAnsi="华文宋体" w:eastAsia="华文宋体"/>
          <w:color w:val="FF0000"/>
        </w:rPr>
        <w:t>常见于锂电池系统的需要，为了保证消防系统包括灭火设备等的安全供电。投标人液流电池系统本身自带交直流供电设计，当外电路断电后，切换本身直流供电，可以保证</w:t>
      </w:r>
      <w:r>
        <w:rPr>
          <w:rFonts w:ascii="华文宋体" w:hAnsi="华文宋体" w:eastAsia="华文宋体"/>
          <w:color w:val="FF0000"/>
        </w:rPr>
        <w:t>控制</w:t>
      </w:r>
      <w:r>
        <w:rPr>
          <w:rFonts w:hint="eastAsia" w:ascii="华文宋体" w:hAnsi="华文宋体" w:eastAsia="华文宋体"/>
          <w:color w:val="FF0000"/>
        </w:rPr>
        <w:t>和通讯</w:t>
      </w:r>
      <w:r>
        <w:rPr>
          <w:rFonts w:ascii="华文宋体" w:hAnsi="华文宋体" w:eastAsia="华文宋体"/>
          <w:color w:val="FF0000"/>
        </w:rPr>
        <w:t>系统</w:t>
      </w:r>
      <w:r>
        <w:rPr>
          <w:rFonts w:hint="eastAsia" w:ascii="华文宋体" w:hAnsi="华文宋体" w:eastAsia="华文宋体"/>
          <w:color w:val="FF0000"/>
        </w:rPr>
        <w:t>等能</w:t>
      </w:r>
      <w:r>
        <w:rPr>
          <w:rFonts w:ascii="华文宋体" w:hAnsi="华文宋体" w:eastAsia="华文宋体"/>
          <w:color w:val="FF0000"/>
        </w:rPr>
        <w:t>够正常工作</w:t>
      </w:r>
      <w:r>
        <w:rPr>
          <w:rFonts w:hint="eastAsia" w:ascii="华文宋体" w:hAnsi="华文宋体" w:eastAsia="华文宋体"/>
          <w:color w:val="FF0000"/>
        </w:rPr>
        <w:t>。</w:t>
      </w:r>
    </w:p>
    <w:p w14:paraId="273E6B14">
      <w:pPr>
        <w:rPr>
          <w:rFonts w:ascii="华文宋体" w:hAnsi="华文宋体" w:eastAsia="华文宋体"/>
        </w:rPr>
      </w:pPr>
      <w:r>
        <w:rPr>
          <w:rFonts w:hint="eastAsia" w:ascii="华文宋体" w:hAnsi="华文宋体" w:eastAsia="华文宋体"/>
          <w:b/>
          <w:bCs/>
          <w:color w:val="EE0000"/>
        </w:rPr>
        <w:t>请招标方明确：</w:t>
      </w:r>
      <w:r>
        <w:rPr>
          <w:rFonts w:hint="eastAsia" w:ascii="华文宋体" w:hAnsi="华文宋体" w:eastAsia="华文宋体"/>
          <w:color w:val="FF0000"/>
        </w:rPr>
        <w:t>储能电池具备上述功能情况下，即，外电路断电后控制和通讯系统可以正常工作，储能电池本身是否可不再额外配置U</w:t>
      </w:r>
      <w:r>
        <w:rPr>
          <w:rFonts w:ascii="华文宋体" w:hAnsi="华文宋体" w:eastAsia="华文宋体"/>
          <w:color w:val="FF0000"/>
        </w:rPr>
        <w:t>PS</w:t>
      </w:r>
      <w:r>
        <w:rPr>
          <w:rFonts w:hint="eastAsia" w:ascii="华文宋体" w:hAnsi="华文宋体" w:eastAsia="华文宋体"/>
          <w:color w:val="FF0000"/>
        </w:rPr>
        <w:t>。</w:t>
      </w:r>
    </w:p>
    <w:p w14:paraId="16228B05">
      <w:pPr>
        <w:rPr>
          <w:rFonts w:ascii="华文宋体" w:hAnsi="华文宋体" w:eastAsia="华文宋体"/>
        </w:rPr>
      </w:pPr>
    </w:p>
    <w:p w14:paraId="2931B533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3</w:t>
      </w:r>
      <w:r>
        <w:rPr>
          <w:rFonts w:hint="eastAsia" w:ascii="华文宋体" w:hAnsi="华文宋体" w:eastAsia="华文宋体"/>
        </w:rPr>
        <w:t xml:space="preserve">、 </w:t>
      </w:r>
      <w:r>
        <w:rPr>
          <w:rFonts w:ascii="华文宋体" w:hAnsi="华文宋体" w:eastAsia="华文宋体"/>
        </w:rPr>
        <w:t xml:space="preserve"> 2.5. 避雷设计</w:t>
      </w:r>
    </w:p>
    <w:p w14:paraId="6C5CA2AD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9）</w:t>
      </w:r>
      <w:r>
        <w:rPr>
          <w:rFonts w:ascii="华文宋体" w:hAnsi="华文宋体" w:eastAsia="华文宋体"/>
        </w:rPr>
        <w:tab/>
      </w:r>
      <w:r>
        <w:rPr>
          <w:rFonts w:ascii="华文宋体" w:hAnsi="华文宋体" w:eastAsia="华文宋体"/>
        </w:rPr>
        <w:t>预制舱顶部必须配置连接可靠的高质量防雷系统，防雷系统通过接地扁钢或接地圆钢在不同的2点连接至主地网上，接地系统中导体的有效截面积在后续图纸确认时确定。乙方需进行防雷计算。</w:t>
      </w:r>
    </w:p>
    <w:p w14:paraId="12D46C86">
      <w:pPr>
        <w:rPr>
          <w:rFonts w:ascii="华文宋体" w:hAnsi="华文宋体" w:eastAsia="华文宋体"/>
          <w:color w:val="FF0000"/>
        </w:rPr>
      </w:pPr>
      <w:bookmarkStart w:id="0" w:name="OLE_LINK1"/>
      <w:r>
        <w:rPr>
          <w:rFonts w:hint="eastAsia" w:ascii="华文宋体" w:hAnsi="华文宋体" w:eastAsia="华文宋体"/>
          <w:color w:val="FF0000"/>
        </w:rPr>
        <w:t>澄清：全钒液</w:t>
      </w:r>
      <w:bookmarkEnd w:id="0"/>
      <w:r>
        <w:rPr>
          <w:rFonts w:hint="eastAsia" w:ascii="华文宋体" w:hAnsi="华文宋体" w:eastAsia="华文宋体"/>
          <w:color w:val="FF0000"/>
        </w:rPr>
        <w:t>流电池具有高安全性，无起火、燃烧、爆炸等风险，电站整站的避雷针设计常规会覆盖全场，并且电池设备有2点以上安全接地，与储能站主接地网连接。</w:t>
      </w:r>
    </w:p>
    <w:p w14:paraId="4E3E1942">
      <w:pPr>
        <w:rPr>
          <w:rFonts w:ascii="华文宋体" w:hAnsi="华文宋体" w:eastAsia="华文宋体"/>
          <w:color w:val="FF0000"/>
        </w:rPr>
      </w:pPr>
      <w:r>
        <w:rPr>
          <w:rFonts w:hint="eastAsia" w:ascii="华文宋体" w:hAnsi="华文宋体" w:eastAsia="华文宋体"/>
          <w:b/>
          <w:bCs/>
          <w:color w:val="FF0000"/>
        </w:rPr>
        <w:t>请招标方明确：</w:t>
      </w:r>
      <w:r>
        <w:rPr>
          <w:rFonts w:hint="eastAsia" w:ascii="华文宋体" w:hAnsi="华文宋体" w:eastAsia="华文宋体"/>
          <w:color w:val="FF0000"/>
        </w:rPr>
        <w:t>液流电池预制舱顶部是否可以取消配置防雷系统，配置2点以上安全接地即可。</w:t>
      </w:r>
    </w:p>
    <w:p w14:paraId="291FE520">
      <w:pPr>
        <w:rPr>
          <w:rFonts w:ascii="华文宋体" w:hAnsi="华文宋体" w:eastAsia="华文宋体"/>
        </w:rPr>
      </w:pPr>
    </w:p>
    <w:p w14:paraId="5A6C3C59">
      <w:pPr>
        <w:rPr>
          <w:rFonts w:ascii="华文宋体" w:hAnsi="华文宋体" w:eastAsia="华文宋体"/>
        </w:rPr>
      </w:pPr>
      <w:r>
        <w:rPr>
          <w:rFonts w:hint="eastAsia" w:ascii="华文宋体" w:hAnsi="华文宋体" w:eastAsia="华文宋体"/>
        </w:rPr>
        <w:t xml:space="preserve">4、 </w:t>
      </w:r>
      <w:r>
        <w:rPr>
          <w:rFonts w:ascii="华文宋体" w:hAnsi="华文宋体" w:eastAsia="华文宋体"/>
        </w:rPr>
        <w:t xml:space="preserve"> </w:t>
      </w:r>
      <w:r>
        <w:rPr>
          <w:rFonts w:hint="eastAsia" w:ascii="华文宋体" w:hAnsi="华文宋体" w:eastAsia="华文宋体"/>
        </w:rPr>
        <w:t>技术规范书，五</w:t>
      </w:r>
      <w:r>
        <w:rPr>
          <w:rFonts w:ascii="华文宋体" w:hAnsi="华文宋体" w:eastAsia="华文宋体"/>
        </w:rPr>
        <w:t>-设备部分，5.2-电池系统，5.2.2-电堆技术要求，中描述：“（1）电堆   1）单电堆其实际功率应不小于制造商宣称的额定值，且所有电堆功率必须一致，电堆总功率不应小于该储能电站设计功率。”。</w:t>
      </w:r>
    </w:p>
    <w:p w14:paraId="77B5B341">
      <w:pPr>
        <w:rPr>
          <w:rFonts w:ascii="华文宋体" w:hAnsi="华文宋体" w:eastAsia="华文宋体"/>
          <w:color w:val="EE0000"/>
        </w:rPr>
      </w:pPr>
      <w:r>
        <w:rPr>
          <w:rFonts w:hint="eastAsia" w:ascii="华文宋体" w:hAnsi="华文宋体" w:eastAsia="华文宋体"/>
          <w:color w:val="EE0000"/>
        </w:rPr>
        <w:t>澄清：本投标方案按照95MW整体规划，根据方案配置匹配实际电池数量，对应电堆的实际功率是用95MW除以电堆数量得出，假如为A，经常出现有零有整；假如，本项目使用的电堆额定功率值为B规格的电堆（投标人的标准电堆型号，且与现有型式试验报告对应），而且常规项目应用中应用是B＞A，尽可能保证保证不超负荷运行。但是，若按此应用，则不满足本招标要求“实际功率不小于额定值”；且最终中标容量不确定，最后的电堆实际功率也会存在偏差。</w:t>
      </w:r>
    </w:p>
    <w:p w14:paraId="0BA397FC">
      <w:pPr>
        <w:rPr>
          <w:rFonts w:ascii="华文宋体" w:hAnsi="华文宋体" w:eastAsia="华文宋体"/>
          <w:color w:val="EE0000"/>
        </w:rPr>
      </w:pPr>
      <w:r>
        <w:rPr>
          <w:rFonts w:hint="eastAsia" w:ascii="华文宋体" w:hAnsi="华文宋体" w:eastAsia="华文宋体"/>
          <w:b/>
          <w:bCs/>
          <w:color w:val="EE0000"/>
        </w:rPr>
        <w:t>请招标方明确：</w:t>
      </w:r>
      <w:r>
        <w:rPr>
          <w:rFonts w:hint="eastAsia" w:ascii="华文宋体" w:hAnsi="华文宋体" w:eastAsia="华文宋体"/>
          <w:color w:val="EE0000"/>
        </w:rPr>
        <w:t>1）投标方供货电堆是否可以按照已有型式试验报告额定值提供，但是电堆实际功率可能略小于额定值，满足相关性能要求。或者，2）若一定满足电堆实际功率值不小于额定值（与型式试验报告对应），是否可以在中标后，明确容量和方案配置，针对电堆实际功率出具型式试验报告（明确中标容量后，30天内提供对应电堆功率的型式试验报告）。</w:t>
      </w:r>
    </w:p>
    <w:p w14:paraId="03EE519A">
      <w:pPr>
        <w:rPr>
          <w:rFonts w:ascii="华文宋体" w:hAnsi="华文宋体" w:eastAsia="华文宋体"/>
        </w:rPr>
      </w:pPr>
    </w:p>
    <w:p w14:paraId="57121B75">
      <w:pPr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5</w:t>
      </w:r>
      <w:r>
        <w:rPr>
          <w:rFonts w:hint="eastAsia" w:ascii="华文宋体" w:hAnsi="华文宋体" w:eastAsia="华文宋体"/>
        </w:rPr>
        <w:t xml:space="preserve">、 </w:t>
      </w:r>
      <w:r>
        <w:rPr>
          <w:rFonts w:ascii="华文宋体" w:hAnsi="华文宋体" w:eastAsia="华文宋体"/>
        </w:rPr>
        <w:t xml:space="preserve"> 33）投标方需提供技术资料/文件如下：</w:t>
      </w:r>
    </w:p>
    <w:p w14:paraId="3B5CE9D1">
      <w:pPr>
        <w:ind w:firstLine="420" w:firstLineChars="200"/>
        <w:rPr>
          <w:rFonts w:ascii="华文宋体" w:hAnsi="华文宋体" w:eastAsia="华文宋体"/>
        </w:rPr>
      </w:pPr>
      <w:r>
        <w:rPr>
          <w:rFonts w:ascii="华文宋体" w:hAnsi="华文宋体" w:eastAsia="华文宋体"/>
        </w:rPr>
        <w:t>3、电磁暂态、机电暂态和中长期动态模型。</w:t>
      </w:r>
    </w:p>
    <w:p w14:paraId="12F0C90E">
      <w:pPr>
        <w:rPr>
          <w:rFonts w:ascii="华文宋体" w:hAnsi="华文宋体" w:eastAsia="华文宋体"/>
          <w:color w:val="FF0000"/>
        </w:rPr>
      </w:pPr>
      <w:r>
        <w:rPr>
          <w:rFonts w:hint="eastAsia" w:ascii="华文宋体" w:hAnsi="华文宋体" w:eastAsia="华文宋体"/>
          <w:color w:val="FF0000"/>
        </w:rPr>
        <w:t>澄清：此项要求适用于储能项目交流侧设备，投标人供货电池直流侧设备，所以不适用。</w:t>
      </w:r>
    </w:p>
    <w:p w14:paraId="28F8F0FA">
      <w:pPr>
        <w:rPr>
          <w:rFonts w:ascii="华文宋体" w:hAnsi="华文宋体" w:eastAsia="华文宋体"/>
          <w:color w:val="FF0000"/>
        </w:rPr>
      </w:pPr>
      <w:r>
        <w:rPr>
          <w:rFonts w:hint="eastAsia" w:ascii="华文宋体" w:hAnsi="华文宋体" w:eastAsia="华文宋体"/>
          <w:b/>
          <w:bCs/>
          <w:color w:val="FF0000"/>
        </w:rPr>
        <w:t>请招标方明确：</w:t>
      </w:r>
      <w:r>
        <w:rPr>
          <w:rFonts w:hint="eastAsia" w:ascii="华文宋体" w:hAnsi="华文宋体" w:eastAsia="华文宋体"/>
          <w:color w:val="FF0000"/>
        </w:rPr>
        <w:t>此项是否可以不提供。</w:t>
      </w:r>
    </w:p>
    <w:p w14:paraId="2D2CE658">
      <w:pPr>
        <w:rPr>
          <w:rFonts w:ascii="华文宋体" w:hAnsi="华文宋体" w:eastAsia="华文宋体"/>
          <w:color w:val="FF0000"/>
        </w:rPr>
      </w:pPr>
    </w:p>
    <w:p w14:paraId="2459BC57">
      <w:pPr>
        <w:rPr>
          <w:rFonts w:ascii="华文宋体" w:hAnsi="华文宋体" w:eastAsia="华文宋体"/>
          <w:color w:val="FF0000"/>
        </w:rPr>
      </w:pPr>
    </w:p>
    <w:p w14:paraId="1B91454E">
      <w:pPr>
        <w:rPr>
          <w:rFonts w:ascii="华文宋体" w:hAnsi="华文宋体" w:eastAsia="华文宋体"/>
          <w:color w:val="FF0000"/>
        </w:rPr>
      </w:pPr>
    </w:p>
    <w:p w14:paraId="70E0A1FB">
      <w:pPr>
        <w:rPr>
          <w:rFonts w:ascii="华文宋体" w:hAnsi="华文宋体" w:eastAsia="华文宋体"/>
          <w:color w:val="FF0000"/>
        </w:rPr>
      </w:pPr>
    </w:p>
    <w:p w14:paraId="505D527A">
      <w:pPr>
        <w:rPr>
          <w:rFonts w:ascii="华文宋体" w:hAnsi="华文宋体" w:eastAsia="华文宋体"/>
          <w:color w:val="FF0000"/>
        </w:rPr>
      </w:pPr>
    </w:p>
    <w:p w14:paraId="6D216F11">
      <w:pPr>
        <w:rPr>
          <w:rFonts w:ascii="华文宋体" w:hAnsi="华文宋体" w:eastAsia="华文宋体"/>
          <w:color w:val="FF0000"/>
        </w:rPr>
      </w:pPr>
    </w:p>
    <w:p w14:paraId="400E3B98">
      <w:pPr>
        <w:rPr>
          <w:rFonts w:ascii="华文宋体" w:hAnsi="华文宋体" w:eastAsia="华文宋体"/>
          <w:color w:val="FF0000"/>
        </w:rPr>
      </w:pPr>
    </w:p>
    <w:p w14:paraId="26EEE207">
      <w:pPr>
        <w:rPr>
          <w:rFonts w:ascii="华文宋体" w:hAnsi="华文宋体" w:eastAsia="华文宋体"/>
          <w:color w:val="FF0000"/>
        </w:rPr>
      </w:pPr>
    </w:p>
    <w:p w14:paraId="1556940F">
      <w:pPr>
        <w:rPr>
          <w:rFonts w:ascii="华文宋体" w:hAnsi="华文宋体" w:eastAsia="华文宋体"/>
          <w:color w:val="FF0000"/>
        </w:rPr>
      </w:pPr>
    </w:p>
    <w:p w14:paraId="20E537EE">
      <w:pPr>
        <w:rPr>
          <w:rFonts w:ascii="华文宋体" w:hAnsi="华文宋体" w:eastAsia="华文宋体"/>
          <w:color w:val="FF0000"/>
        </w:rPr>
      </w:pPr>
    </w:p>
    <w:p w14:paraId="3B92BFC8">
      <w:pPr>
        <w:rPr>
          <w:rFonts w:ascii="华文宋体" w:hAnsi="华文宋体" w:eastAsia="华文宋体"/>
          <w:color w:val="FF0000"/>
        </w:rPr>
      </w:pPr>
    </w:p>
    <w:p w14:paraId="6B232875">
      <w:pPr>
        <w:rPr>
          <w:rFonts w:ascii="华文宋体" w:hAnsi="华文宋体" w:eastAsia="华文宋体"/>
          <w:color w:val="FF0000"/>
        </w:rPr>
      </w:pPr>
    </w:p>
    <w:p w14:paraId="1E4E4FBF">
      <w:pPr>
        <w:rPr>
          <w:rFonts w:ascii="华文宋体" w:hAnsi="华文宋体" w:eastAsia="华文宋体"/>
          <w:color w:val="FF0000"/>
        </w:rPr>
      </w:pPr>
    </w:p>
    <w:p w14:paraId="6DFE9EE4">
      <w:pPr>
        <w:rPr>
          <w:rFonts w:ascii="华文宋体" w:hAnsi="华文宋体" w:eastAsia="华文宋体"/>
          <w:color w:val="FF0000"/>
        </w:rPr>
      </w:pPr>
    </w:p>
    <w:p w14:paraId="432ED8F0">
      <w:pPr>
        <w:rPr>
          <w:rFonts w:ascii="华文宋体" w:hAnsi="华文宋体" w:eastAsia="华文宋体"/>
          <w:color w:val="FF0000"/>
        </w:rPr>
      </w:pPr>
    </w:p>
    <w:p w14:paraId="650E01EE">
      <w:pPr>
        <w:rPr>
          <w:rFonts w:ascii="华文宋体" w:hAnsi="华文宋体" w:eastAsia="华文宋体"/>
          <w:color w:val="FF0000"/>
        </w:rPr>
      </w:pPr>
    </w:p>
    <w:p w14:paraId="101B0D8A">
      <w:pPr>
        <w:rPr>
          <w:rFonts w:ascii="华文宋体" w:hAnsi="华文宋体" w:eastAsia="华文宋体"/>
          <w:color w:val="FF0000"/>
        </w:rPr>
      </w:pPr>
    </w:p>
    <w:p w14:paraId="392E65FF">
      <w:pPr>
        <w:rPr>
          <w:rFonts w:ascii="华文宋体" w:hAnsi="华文宋体" w:eastAsia="华文宋体"/>
          <w:color w:val="FF0000"/>
        </w:rPr>
      </w:pPr>
    </w:p>
    <w:p w14:paraId="2C294FB0">
      <w:pPr>
        <w:rPr>
          <w:rFonts w:ascii="华文宋体" w:hAnsi="华文宋体" w:eastAsia="华文宋体"/>
          <w:color w:val="FF0000"/>
        </w:rPr>
      </w:pPr>
    </w:p>
    <w:p w14:paraId="1A960CF6">
      <w:pPr>
        <w:rPr>
          <w:rFonts w:ascii="华文宋体" w:hAnsi="华文宋体" w:eastAsia="华文宋体"/>
          <w:color w:val="FF0000"/>
        </w:rPr>
      </w:pPr>
    </w:p>
    <w:p w14:paraId="15BEF996">
      <w:pPr>
        <w:rPr>
          <w:rFonts w:ascii="华文宋体" w:hAnsi="华文宋体" w:eastAsia="华文宋体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FC9"/>
    <w:rsid w:val="000514AB"/>
    <w:rsid w:val="00083020"/>
    <w:rsid w:val="00093932"/>
    <w:rsid w:val="00173E7B"/>
    <w:rsid w:val="00182121"/>
    <w:rsid w:val="00191AF9"/>
    <w:rsid w:val="001F2C02"/>
    <w:rsid w:val="001F656E"/>
    <w:rsid w:val="00201D78"/>
    <w:rsid w:val="002615CE"/>
    <w:rsid w:val="00280DB6"/>
    <w:rsid w:val="00292FF6"/>
    <w:rsid w:val="00347B84"/>
    <w:rsid w:val="003A17BA"/>
    <w:rsid w:val="003A6C89"/>
    <w:rsid w:val="004117FE"/>
    <w:rsid w:val="00467F5C"/>
    <w:rsid w:val="004E27B0"/>
    <w:rsid w:val="004E38F9"/>
    <w:rsid w:val="00515280"/>
    <w:rsid w:val="00530606"/>
    <w:rsid w:val="00564D95"/>
    <w:rsid w:val="005B2BB7"/>
    <w:rsid w:val="005C2F7F"/>
    <w:rsid w:val="005C3619"/>
    <w:rsid w:val="00630DDF"/>
    <w:rsid w:val="00655B4B"/>
    <w:rsid w:val="00656D3C"/>
    <w:rsid w:val="00691695"/>
    <w:rsid w:val="00696A5F"/>
    <w:rsid w:val="00706C24"/>
    <w:rsid w:val="007A5B7E"/>
    <w:rsid w:val="007D4FC9"/>
    <w:rsid w:val="00871B2C"/>
    <w:rsid w:val="008E7304"/>
    <w:rsid w:val="008F480C"/>
    <w:rsid w:val="009057BB"/>
    <w:rsid w:val="00924457"/>
    <w:rsid w:val="00A41FBC"/>
    <w:rsid w:val="00A46D33"/>
    <w:rsid w:val="00A967D9"/>
    <w:rsid w:val="00AB418E"/>
    <w:rsid w:val="00AF4E4F"/>
    <w:rsid w:val="00B72F19"/>
    <w:rsid w:val="00BA023A"/>
    <w:rsid w:val="00BA2568"/>
    <w:rsid w:val="00BF7619"/>
    <w:rsid w:val="00C10AD7"/>
    <w:rsid w:val="00D2168D"/>
    <w:rsid w:val="00D24115"/>
    <w:rsid w:val="00D70C73"/>
    <w:rsid w:val="00E922BD"/>
    <w:rsid w:val="00F01233"/>
    <w:rsid w:val="00F47E23"/>
    <w:rsid w:val="00FD3075"/>
    <w:rsid w:val="076B3F20"/>
    <w:rsid w:val="72B3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1728</Words>
  <Characters>1799</Characters>
  <Lines>31</Lines>
  <Paragraphs>8</Paragraphs>
  <TotalTime>18</TotalTime>
  <ScaleCrop>false</ScaleCrop>
  <LinksUpToDate>false</LinksUpToDate>
  <CharactersWithSpaces>1826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2026-03-30T04:05:00Z</dcterms:created>
  <dc:creator>Miaohuayong</dc:creator>
  <cp:lastModifiedBy>何永姣</cp:lastModifiedBy>
  <dcterms:modified xsi:type="dcterms:W3CDTF">2026-03-30T05:34:08Z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eyJoZGlkIjoiMzEwNTM5NzYwMDRjMzkwZTVkZjY2ODkwMGIxNGU0OTUiLCJ1c2VySWQiOiIzNzI4OTkzNTEifQ==</vt:lpwstr>
  </property>
  <property fmtid="{D5CDD505-2E9C-101B-9397-08002B2CF9AE}" pid="3" name="KSOProductBuildVer">
    <vt:lpwstr>2052-12.1.0.25225</vt:lpwstr>
  </property>
  <property fmtid="{D5CDD505-2E9C-101B-9397-08002B2CF9AE}" pid="4" name="ICV">
    <vt:lpwstr>BBAEDBAE73D34CE683FC7B80D5577D71_12</vt:lpwstr>
  </property>
</Properties>
</file>