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ADA532">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u w:val="none"/>
          <w:lang w:val="en-US" w:eastAsia="zh-CN" w:bidi="ar"/>
          <w14:ligatures w14:val="standardContextual"/>
        </w:rPr>
      </w:pPr>
      <w:r>
        <w:rPr>
          <w:rFonts w:hint="default" w:ascii="Times New Roman" w:hAnsi="Times New Roman" w:eastAsia="宋体" w:cs="Times New Roman"/>
          <w:sz w:val="21"/>
          <w:szCs w:val="21"/>
          <w:lang w:val="en-US" w:eastAsia="zh-CN"/>
        </w:rPr>
        <w:t>1.</w:t>
      </w:r>
      <w:r>
        <w:rPr>
          <w:rFonts w:hint="default" w:ascii="Times New Roman" w:hAnsi="Times New Roman" w:eastAsia="宋体" w:cs="Times New Roman"/>
          <w:sz w:val="21"/>
          <w:szCs w:val="21"/>
          <w:lang w:val="en-US" w:eastAsia="zh-CN"/>
        </w:rPr>
        <w:t>合同附件12  5.1.1储能系统总体要求</w:t>
      </w:r>
      <w:r>
        <w:rPr>
          <w:rFonts w:hint="eastAsia" w:ascii="Times New Roman" w:hAnsi="Times New Roman" w:eastAsia="宋体" w:cs="Times New Roman"/>
          <w:sz w:val="21"/>
          <w:szCs w:val="21"/>
          <w:lang w:val="en-US" w:eastAsia="zh-CN"/>
        </w:rPr>
        <w:t>“投标方应根据整个液流储能系统的功能和技术要求提供完整方案，至少包括：储能系统总体布置、储能模块、储能单元集成、热管理系统、独立的自供电系统、电池管理系统（BMS）、温度控制系统、火灾探测、氢气探测、安全逃生系统、应急照明系统、火灾报警系统、绝缘监测、防浪涌装置、防震措施等自动控制和安全保障系统；以及设备运输、安装、调试等技术服务方案。液流储能系统所有的机械、电气、通信、外壳、接地等连接均由投标方负责。”</w:t>
      </w:r>
    </w:p>
    <w:p w14:paraId="1993D31E">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u w:val="none"/>
          <w:lang w:val="en-US" w:eastAsia="zh-CN" w:bidi="ar"/>
          <w14:ligatures w14:val="standardContextual"/>
        </w:rPr>
      </w:pPr>
      <w:r>
        <w:rPr>
          <w:rFonts w:hint="default" w:ascii="Times New Roman" w:hAnsi="Times New Roman" w:eastAsia="宋体" w:cs="Times New Roman"/>
          <w:sz w:val="21"/>
          <w:szCs w:val="21"/>
          <w:lang w:val="en-US" w:eastAsia="zh-CN"/>
        </w:rPr>
        <w:t>请明确：</w:t>
      </w:r>
      <w:r>
        <w:rPr>
          <w:rFonts w:hint="default" w:ascii="Times New Roman" w:hAnsi="Times New Roman" w:eastAsia="宋体" w:cs="Times New Roman"/>
          <w:i w:val="0"/>
          <w:iCs w:val="0"/>
          <w:color w:val="000000"/>
          <w:kern w:val="0"/>
          <w:sz w:val="21"/>
          <w:szCs w:val="21"/>
          <w:u w:val="none"/>
          <w:lang w:val="en-US" w:eastAsia="zh-CN" w:bidi="ar"/>
          <w14:ligatures w14:val="standardContextual"/>
        </w:rPr>
        <w:t>PCS装置直流侧已配置绝缘监测及防浪涌装置，满足储能系统的绝缘监测和防浪涌功能，电池系统直流侧是否无需再配置绝缘监测及防浪涌装置？</w:t>
      </w:r>
      <w:r>
        <w:rPr>
          <w:rFonts w:hint="default" w:ascii="Times New Roman" w:hAnsi="Times New Roman" w:eastAsia="宋体" w:cs="Times New Roman"/>
          <w:sz w:val="21"/>
          <w:szCs w:val="21"/>
          <w:lang w:val="en-US" w:eastAsia="zh-CN"/>
        </w:rPr>
        <w:t>我方采用</w:t>
      </w:r>
      <w:r>
        <w:rPr>
          <w:rFonts w:hint="eastAsia" w:ascii="Times New Roman" w:hAnsi="Times New Roman" w:eastAsia="宋体" w:cs="Times New Roman"/>
          <w:sz w:val="21"/>
          <w:szCs w:val="21"/>
          <w:lang w:val="en-US" w:eastAsia="zh-CN"/>
        </w:rPr>
        <w:t>的</w:t>
      </w:r>
      <w:r>
        <w:rPr>
          <w:rFonts w:hint="default" w:ascii="Times New Roman" w:hAnsi="Times New Roman" w:eastAsia="宋体" w:cs="Times New Roman"/>
          <w:i w:val="0"/>
          <w:iCs w:val="0"/>
          <w:color w:val="000000"/>
          <w:kern w:val="0"/>
          <w:sz w:val="21"/>
          <w:szCs w:val="21"/>
          <w:u w:val="none"/>
          <w:lang w:val="en-US" w:eastAsia="zh-CN" w:bidi="ar"/>
          <w14:ligatures w14:val="standardContextual"/>
        </w:rPr>
        <w:t>储能集装箱内均为非步入式，人员无需进入，是否无需配置应急照明系统？</w:t>
      </w:r>
    </w:p>
    <w:p w14:paraId="5988B0EA">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eastAsia" w:ascii="Times New Roman" w:hAnsi="Times New Roman" w:eastAsia="宋体" w:cs="Times New Roman"/>
          <w:sz w:val="21"/>
          <w:szCs w:val="21"/>
          <w:lang w:val="en-US" w:eastAsia="zh-CN"/>
        </w:rPr>
      </w:pPr>
    </w:p>
    <w:p w14:paraId="2110C1FE">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w:t>
      </w:r>
      <w:r>
        <w:rPr>
          <w:rFonts w:hint="default" w:ascii="Times New Roman" w:hAnsi="Times New Roman" w:eastAsia="宋体" w:cs="Times New Roman"/>
          <w:sz w:val="21"/>
          <w:szCs w:val="21"/>
          <w:lang w:val="en-US" w:eastAsia="zh-CN"/>
        </w:rPr>
        <w:t>合同附件12  5.1.1.5 直流侧系统性能</w:t>
      </w:r>
      <w:r>
        <w:rPr>
          <w:rFonts w:hint="eastAsia" w:ascii="宋体" w:hAnsi="宋体" w:eastAsia="宋体" w:cs="宋体"/>
          <w:sz w:val="21"/>
          <w:szCs w:val="21"/>
          <w:lang w:val="en-US" w:eastAsia="zh-CN"/>
        </w:rPr>
        <w:t>“</w:t>
      </w:r>
      <w:r>
        <w:rPr>
          <w:rFonts w:hint="default" w:ascii="Times New Roman" w:hAnsi="Times New Roman" w:eastAsia="宋体" w:cs="Times New Roman"/>
          <w:sz w:val="21"/>
          <w:szCs w:val="21"/>
          <w:lang w:val="en-US" w:eastAsia="zh-CN"/>
        </w:rPr>
        <w:t>（1）直流侧系统应与PCS系统配合，确保电堆性能发挥最优。每个储能系统需集成本地控制器及通讯设备，统一储能系统对外通讯控制接口，与储能站端能量管理系统配合，确保整体系统的安全稳定运行。储能系统通讯配置、通讯协议等需保证能够与储能电站监控系统、协调控制系统等站级系统通讯，建议采用IEC 61850通讯规约，通讯介质采用不低于超五类屏蔽双绞线或光缆，根据工程实际选型，数据网网口通讯速率不小于千兆，控制网网口通讯速率不小于百兆。</w:t>
      </w:r>
      <w:r>
        <w:rPr>
          <w:rFonts w:hint="eastAsia" w:ascii="宋体" w:hAnsi="宋体" w:eastAsia="宋体" w:cs="宋体"/>
          <w:sz w:val="21"/>
          <w:szCs w:val="21"/>
          <w:lang w:val="en-US" w:eastAsia="zh-CN"/>
        </w:rPr>
        <w:t>”</w:t>
      </w:r>
    </w:p>
    <w:p w14:paraId="2490B2B6">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请明确：储能系统与储能电站监控系通讯是否可采用MODBUS-TCP通讯？</w:t>
      </w:r>
    </w:p>
    <w:p w14:paraId="54E695C6">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u w:val="none"/>
          <w:lang w:val="en-US" w:eastAsia="zh-CN" w:bidi="ar"/>
          <w14:ligatures w14:val="standardContextual"/>
        </w:rPr>
      </w:pPr>
    </w:p>
    <w:p w14:paraId="23C1912D">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u w:val="none"/>
          <w:lang w:val="en-US" w:eastAsia="zh-CN" w:bidi="ar"/>
          <w14:ligatures w14:val="standardContextual"/>
        </w:rPr>
      </w:pPr>
      <w:r>
        <w:rPr>
          <w:rFonts w:hint="eastAsia" w:ascii="Times New Roman" w:hAnsi="Times New Roman" w:eastAsia="宋体" w:cs="Times New Roman"/>
          <w:i w:val="0"/>
          <w:iCs w:val="0"/>
          <w:color w:val="000000"/>
          <w:kern w:val="0"/>
          <w:sz w:val="21"/>
          <w:szCs w:val="21"/>
          <w:u w:val="none"/>
          <w:lang w:val="en-US" w:eastAsia="zh-CN" w:bidi="ar"/>
          <w14:ligatures w14:val="standardContextual"/>
        </w:rPr>
        <w:t>3</w:t>
      </w:r>
      <w:r>
        <w:rPr>
          <w:rFonts w:hint="default" w:ascii="Times New Roman" w:hAnsi="Times New Roman" w:eastAsia="宋体" w:cs="Times New Roman"/>
          <w:i w:val="0"/>
          <w:iCs w:val="0"/>
          <w:color w:val="000000"/>
          <w:kern w:val="0"/>
          <w:sz w:val="21"/>
          <w:szCs w:val="21"/>
          <w:u w:val="none"/>
          <w:lang w:val="en-US" w:eastAsia="zh-CN" w:bidi="ar"/>
          <w14:ligatures w14:val="standardContextual"/>
        </w:rPr>
        <w:t>.</w:t>
      </w:r>
      <w:r>
        <w:rPr>
          <w:rFonts w:hint="default" w:ascii="Times New Roman" w:hAnsi="Times New Roman" w:eastAsia="宋体" w:cs="Times New Roman"/>
          <w:sz w:val="21"/>
          <w:szCs w:val="21"/>
          <w:lang w:val="en-US" w:eastAsia="zh-CN"/>
        </w:rPr>
        <w:t>合同附件12  5.2.1.15短路保护</w:t>
      </w:r>
      <w:r>
        <w:rPr>
          <w:rFonts w:hint="eastAsia" w:ascii="Times New Roman" w:hAnsi="Times New Roman" w:eastAsia="宋体" w:cs="Times New Roman"/>
          <w:sz w:val="21"/>
          <w:szCs w:val="21"/>
          <w:lang w:val="en-US" w:eastAsia="zh-CN"/>
        </w:rPr>
        <w:t>“电池系统应具有短路保护功能。串联电池模块之间应配置直流断路器。”</w:t>
      </w:r>
    </w:p>
    <w:p w14:paraId="7D1A7681">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u w:val="none"/>
          <w:lang w:val="en-US" w:eastAsia="zh-CN" w:bidi="ar"/>
          <w14:ligatures w14:val="standardContextual"/>
        </w:rPr>
      </w:pPr>
      <w:r>
        <w:rPr>
          <w:rFonts w:hint="default" w:ascii="Times New Roman" w:hAnsi="Times New Roman" w:eastAsia="宋体" w:cs="Times New Roman"/>
          <w:sz w:val="21"/>
          <w:szCs w:val="21"/>
          <w:lang w:val="en-US" w:eastAsia="zh-CN"/>
        </w:rPr>
        <w:t>请明确：</w:t>
      </w:r>
      <w:r>
        <w:rPr>
          <w:rFonts w:hint="default" w:ascii="Times New Roman" w:hAnsi="Times New Roman" w:eastAsia="宋体" w:cs="Times New Roman"/>
          <w:i w:val="0"/>
          <w:iCs w:val="0"/>
          <w:color w:val="000000"/>
          <w:kern w:val="0"/>
          <w:sz w:val="21"/>
          <w:szCs w:val="21"/>
          <w:u w:val="none"/>
          <w:lang w:val="en-US" w:eastAsia="zh-CN" w:bidi="ar"/>
          <w14:ligatures w14:val="standardContextual"/>
        </w:rPr>
        <w:t>电池系统在汇流柜（BAU）已配置熔断器，电池系统由3台功率箱串联接入汇流柜，直流断路器无操作的空间，是否可以在串联功率箱之间配置熔断器？</w:t>
      </w:r>
    </w:p>
    <w:p w14:paraId="55DE6EF7">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u w:val="none"/>
          <w:lang w:val="en-US" w:eastAsia="zh-CN" w:bidi="ar"/>
          <w14:ligatures w14:val="standardContextual"/>
        </w:rPr>
      </w:pPr>
    </w:p>
    <w:p w14:paraId="11D43AF0">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u w:val="none"/>
          <w:lang w:val="en-US" w:eastAsia="zh-CN" w:bidi="ar"/>
          <w14:ligatures w14:val="standardContextual"/>
        </w:rPr>
      </w:pPr>
      <w:r>
        <w:rPr>
          <w:rFonts w:hint="eastAsia" w:ascii="Times New Roman" w:hAnsi="Times New Roman" w:eastAsia="宋体" w:cs="Times New Roman"/>
          <w:sz w:val="21"/>
          <w:szCs w:val="21"/>
          <w:lang w:val="en-US" w:eastAsia="zh-CN"/>
        </w:rPr>
        <w:t>4.</w:t>
      </w:r>
      <w:r>
        <w:rPr>
          <w:rFonts w:hint="default" w:ascii="Times New Roman" w:hAnsi="Times New Roman" w:eastAsia="宋体" w:cs="Times New Roman"/>
          <w:sz w:val="21"/>
          <w:szCs w:val="21"/>
          <w:lang w:val="en-US" w:eastAsia="zh-CN"/>
        </w:rPr>
        <w:t>合同附件12  5.2.2电堆技术要求</w:t>
      </w:r>
      <w:r>
        <w:rPr>
          <w:rFonts w:hint="eastAsia" w:ascii="Times New Roman" w:hAnsi="Times New Roman" w:eastAsia="宋体" w:cs="Times New Roman"/>
          <w:sz w:val="21"/>
          <w:szCs w:val="21"/>
          <w:lang w:val="en-US" w:eastAsia="zh-CN"/>
        </w:rPr>
        <w:t>“模块内元器件安装及走线要求整齐可靠、布置合理，电器间绝缘应符合有关标准。进出线必须通过母线排或接线端子，大电流、一般端子、弱电端子间需要有隔离保护，电缆排布充分考虑要求。应选用菲尼克斯输入输出端子排，母线排或端子排的设计应使运行、检修、调试方便，适当考虑与设备位置对应，并考虑电缆的安装固定。母线排或端子排，大小应与所接电缆相配套。强电、弱电的二次回路的导线应分开敷设。每个接线端子只允许接一根导线。电流端子和电压端子应有明确区分。”</w:t>
      </w:r>
    </w:p>
    <w:p w14:paraId="770BEA98">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u w:val="none"/>
          <w:lang w:val="en-US" w:eastAsia="zh-CN" w:bidi="ar"/>
          <w14:ligatures w14:val="standardContextual"/>
        </w:rPr>
      </w:pPr>
      <w:r>
        <w:rPr>
          <w:rFonts w:hint="default" w:ascii="Times New Roman" w:hAnsi="Times New Roman" w:eastAsia="宋体" w:cs="Times New Roman"/>
          <w:sz w:val="21"/>
          <w:szCs w:val="21"/>
          <w:lang w:val="en-US" w:eastAsia="zh-CN"/>
        </w:rPr>
        <w:t>请明确：</w:t>
      </w:r>
      <w:r>
        <w:rPr>
          <w:rFonts w:hint="default" w:ascii="Times New Roman" w:hAnsi="Times New Roman" w:eastAsia="宋体" w:cs="Times New Roman"/>
          <w:i w:val="0"/>
          <w:iCs w:val="0"/>
          <w:color w:val="000000"/>
          <w:kern w:val="0"/>
          <w:sz w:val="21"/>
          <w:szCs w:val="21"/>
          <w:u w:val="none"/>
          <w:lang w:val="en-US" w:eastAsia="zh-CN" w:bidi="ar"/>
          <w14:ligatures w14:val="standardContextual"/>
        </w:rPr>
        <w:t>接线端子是否可选用相同品质的魏德米勒品牌？</w:t>
      </w:r>
    </w:p>
    <w:p w14:paraId="43FDF37A">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u w:val="none"/>
          <w:lang w:val="en-US" w:eastAsia="zh-CN" w:bidi="ar"/>
          <w14:ligatures w14:val="standardContextual"/>
        </w:rPr>
      </w:pPr>
    </w:p>
    <w:p w14:paraId="1E6D09CA">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eastAsia" w:ascii="宋体" w:hAnsi="宋体" w:eastAsia="宋体" w:cs="宋体"/>
          <w:sz w:val="21"/>
          <w:szCs w:val="21"/>
          <w:lang w:val="en-US" w:eastAsia="zh-CN"/>
        </w:rPr>
      </w:pPr>
      <w:r>
        <w:rPr>
          <w:rFonts w:hint="eastAsia" w:ascii="Times New Roman" w:hAnsi="Times New Roman" w:eastAsia="宋体" w:cs="Times New Roman"/>
          <w:sz w:val="21"/>
          <w:szCs w:val="21"/>
          <w:lang w:val="en-US" w:eastAsia="zh-CN"/>
        </w:rPr>
        <w:t>5.</w:t>
      </w:r>
      <w:r>
        <w:rPr>
          <w:rFonts w:hint="default" w:ascii="Times New Roman" w:hAnsi="Times New Roman" w:eastAsia="宋体" w:cs="Times New Roman"/>
          <w:sz w:val="21"/>
          <w:szCs w:val="21"/>
          <w:lang w:val="en-US" w:eastAsia="zh-CN"/>
        </w:rPr>
        <w:t>合同附件12  5.2.7预制舱技术要</w:t>
      </w:r>
      <w:r>
        <w:rPr>
          <w:rFonts w:hint="eastAsia" w:ascii="宋体" w:hAnsi="宋体" w:eastAsia="宋体" w:cs="宋体"/>
          <w:sz w:val="21"/>
          <w:szCs w:val="21"/>
          <w:lang w:val="en-US" w:eastAsia="zh-CN"/>
        </w:rPr>
        <w:t>求“投标方应负责集装箱内消防灭火系统的设计、供货、安装、验收。集装箱内应按照《建筑灭火器配置设计规范》要求，设置移动式灭火器进行保护。”</w:t>
      </w:r>
    </w:p>
    <w:p w14:paraId="2B0918BD">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请明确：我方采用</w:t>
      </w:r>
      <w:r>
        <w:rPr>
          <w:rFonts w:hint="eastAsia" w:ascii="Times New Roman" w:hAnsi="Times New Roman" w:eastAsia="宋体" w:cs="Times New Roman"/>
          <w:sz w:val="21"/>
          <w:szCs w:val="21"/>
          <w:lang w:val="en-US" w:eastAsia="zh-CN"/>
        </w:rPr>
        <w:t>的</w:t>
      </w:r>
      <w:r>
        <w:rPr>
          <w:rFonts w:hint="default" w:ascii="Times New Roman" w:hAnsi="Times New Roman" w:eastAsia="宋体" w:cs="Times New Roman"/>
          <w:sz w:val="21"/>
          <w:szCs w:val="21"/>
          <w:lang w:val="en-US" w:eastAsia="zh-CN"/>
        </w:rPr>
        <w:t>集装箱内为非步入式，无法在集装箱内部设置移动式灭火器，是否可将消防灭火系统安排在集装箱外部？</w:t>
      </w:r>
    </w:p>
    <w:p w14:paraId="6431CF95">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u w:val="none"/>
          <w:lang w:val="en-US" w:eastAsia="zh-CN" w:bidi="ar"/>
          <w14:ligatures w14:val="standardContextual"/>
        </w:rPr>
      </w:pPr>
    </w:p>
    <w:p w14:paraId="22A70BA7">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eastAsia" w:ascii="宋体" w:hAnsi="宋体" w:eastAsia="宋体" w:cs="宋体"/>
          <w:sz w:val="21"/>
          <w:szCs w:val="21"/>
          <w:lang w:val="en-US" w:eastAsia="zh-CN"/>
        </w:rPr>
      </w:pPr>
      <w:r>
        <w:rPr>
          <w:rFonts w:hint="eastAsia" w:ascii="Times New Roman" w:hAnsi="Times New Roman" w:eastAsia="宋体" w:cs="Times New Roman"/>
          <w:i w:val="0"/>
          <w:iCs w:val="0"/>
          <w:color w:val="000000"/>
          <w:kern w:val="0"/>
          <w:sz w:val="21"/>
          <w:szCs w:val="21"/>
          <w:u w:val="none"/>
          <w:lang w:val="en-US" w:eastAsia="zh-CN" w:bidi="ar"/>
          <w14:ligatures w14:val="standardContextual"/>
        </w:rPr>
        <w:t>6</w:t>
      </w:r>
      <w:r>
        <w:rPr>
          <w:rFonts w:hint="default" w:ascii="Times New Roman" w:hAnsi="Times New Roman" w:eastAsia="宋体" w:cs="Times New Roman"/>
          <w:i w:val="0"/>
          <w:iCs w:val="0"/>
          <w:color w:val="000000"/>
          <w:kern w:val="0"/>
          <w:sz w:val="21"/>
          <w:szCs w:val="21"/>
          <w:u w:val="none"/>
          <w:lang w:val="en-US" w:eastAsia="zh-CN" w:bidi="ar"/>
          <w14:ligatures w14:val="standardContextual"/>
        </w:rPr>
        <w:t>.</w:t>
      </w:r>
      <w:r>
        <w:rPr>
          <w:rFonts w:hint="default" w:ascii="Times New Roman" w:hAnsi="Times New Roman" w:eastAsia="宋体" w:cs="Times New Roman"/>
          <w:sz w:val="21"/>
          <w:szCs w:val="21"/>
          <w:lang w:val="en-US" w:eastAsia="zh-CN"/>
        </w:rPr>
        <w:t>合同附件12  5.2.7.3 电堆预制舱电气</w:t>
      </w:r>
      <w:r>
        <w:rPr>
          <w:rFonts w:hint="eastAsia" w:ascii="宋体" w:hAnsi="宋体" w:eastAsia="宋体" w:cs="宋体"/>
          <w:sz w:val="21"/>
          <w:szCs w:val="21"/>
          <w:lang w:val="en-US" w:eastAsia="zh-CN"/>
        </w:rPr>
        <w:t>系统“预制舱舱门旁边设置舱内照明控制开关，舱内合适位置设置五孔电源插座。电源插座对应配电箱的连接必须有独立的断路器进行短路、过载和选择性保护，电源插座选用工业级产品。”</w:t>
      </w:r>
    </w:p>
    <w:p w14:paraId="291266CC">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u w:val="none"/>
          <w:lang w:val="en-US" w:eastAsia="zh-CN" w:bidi="ar"/>
          <w14:ligatures w14:val="standardContextual"/>
        </w:rPr>
      </w:pPr>
      <w:r>
        <w:rPr>
          <w:rFonts w:hint="default" w:ascii="Times New Roman" w:hAnsi="Times New Roman" w:eastAsia="宋体" w:cs="Times New Roman"/>
          <w:sz w:val="21"/>
          <w:szCs w:val="21"/>
          <w:lang w:val="en-US" w:eastAsia="zh-CN"/>
        </w:rPr>
        <w:t>请明确：</w:t>
      </w:r>
      <w:r>
        <w:rPr>
          <w:rFonts w:hint="default" w:ascii="Times New Roman" w:hAnsi="Times New Roman" w:eastAsia="宋体" w:cs="Times New Roman"/>
          <w:i w:val="0"/>
          <w:iCs w:val="0"/>
          <w:color w:val="000000"/>
          <w:kern w:val="0"/>
          <w:sz w:val="21"/>
          <w:szCs w:val="21"/>
          <w:u w:val="none"/>
          <w:lang w:val="en-US" w:eastAsia="zh-CN" w:bidi="ar"/>
          <w14:ligatures w14:val="standardContextual"/>
        </w:rPr>
        <w:t>集装箱内照明是否可以与门限开关做联动，控制照明回路？</w:t>
      </w:r>
    </w:p>
    <w:p w14:paraId="3680A922">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eastAsia" w:ascii="Times New Roman" w:hAnsi="Times New Roman" w:eastAsia="宋体" w:cs="Times New Roman"/>
          <w:i w:val="0"/>
          <w:iCs w:val="0"/>
          <w:color w:val="000000"/>
          <w:kern w:val="0"/>
          <w:sz w:val="21"/>
          <w:szCs w:val="21"/>
          <w:u w:val="none"/>
          <w:lang w:val="en-US" w:eastAsia="zh-CN" w:bidi="ar"/>
          <w14:ligatures w14:val="standardContextual"/>
        </w:rPr>
      </w:pPr>
    </w:p>
    <w:p w14:paraId="7C59E7EA">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u w:val="none"/>
          <w:lang w:val="en-US" w:eastAsia="zh-CN" w:bidi="ar"/>
          <w14:ligatures w14:val="standardContextual"/>
        </w:rPr>
      </w:pPr>
      <w:r>
        <w:rPr>
          <w:rFonts w:hint="eastAsia" w:ascii="Times New Roman" w:hAnsi="Times New Roman" w:eastAsia="宋体" w:cs="Times New Roman"/>
          <w:i w:val="0"/>
          <w:iCs w:val="0"/>
          <w:color w:val="000000"/>
          <w:kern w:val="0"/>
          <w:sz w:val="21"/>
          <w:szCs w:val="21"/>
          <w:u w:val="none"/>
          <w:lang w:val="en-US" w:eastAsia="zh-CN" w:bidi="ar"/>
          <w14:ligatures w14:val="standardContextual"/>
        </w:rPr>
        <w:t>7</w:t>
      </w:r>
      <w:r>
        <w:rPr>
          <w:rFonts w:hint="default" w:ascii="Times New Roman" w:hAnsi="Times New Roman" w:eastAsia="宋体" w:cs="Times New Roman"/>
          <w:i w:val="0"/>
          <w:iCs w:val="0"/>
          <w:color w:val="000000"/>
          <w:kern w:val="0"/>
          <w:sz w:val="21"/>
          <w:szCs w:val="21"/>
          <w:u w:val="none"/>
          <w:lang w:val="en-US" w:eastAsia="zh-CN" w:bidi="ar"/>
          <w14:ligatures w14:val="standardContextual"/>
        </w:rPr>
        <w:t>.</w:t>
      </w:r>
      <w:r>
        <w:rPr>
          <w:rFonts w:hint="default" w:ascii="Times New Roman" w:hAnsi="Times New Roman" w:eastAsia="宋体" w:cs="Times New Roman"/>
          <w:sz w:val="21"/>
          <w:szCs w:val="21"/>
          <w:lang w:val="en-US" w:eastAsia="zh-CN"/>
        </w:rPr>
        <w:t xml:space="preserve">合同附件12  </w:t>
      </w:r>
      <w:r>
        <w:rPr>
          <w:rFonts w:hint="eastAsia" w:ascii="Times New Roman" w:hAnsi="Times New Roman" w:eastAsia="宋体" w:cs="Times New Roman"/>
          <w:i w:val="0"/>
          <w:iCs w:val="0"/>
          <w:color w:val="000000"/>
          <w:kern w:val="0"/>
          <w:sz w:val="21"/>
          <w:szCs w:val="21"/>
          <w:u w:val="none"/>
          <w:lang w:val="en-US" w:eastAsia="zh-CN" w:bidi="ar"/>
          <w14:ligatures w14:val="standardContextual"/>
        </w:rPr>
        <w:t>5.3.2 配变电系统</w:t>
      </w:r>
      <w:r>
        <w:rPr>
          <w:rFonts w:hint="eastAsia" w:ascii="Times New Roman" w:hAnsi="Times New Roman" w:eastAsia="宋体" w:cs="Times New Roman"/>
          <w:i w:val="0"/>
          <w:iCs w:val="0"/>
          <w:color w:val="000000"/>
          <w:kern w:val="0"/>
          <w:sz w:val="21"/>
          <w:szCs w:val="21"/>
          <w:u w:val="none"/>
          <w:lang w:val="en-US" w:eastAsia="zh-CN" w:bidi="ar"/>
          <w14:ligatures w14:val="standardContextual"/>
        </w:rPr>
        <w:t>“每台储能箱变内设置1套箱变保护测控一体化装置，具备电流速断保护、过电流保护等电量保护功能，及箱变温度等非电量保护功能，且能实现对箱变高、低开关状态的远程监测与分、合闸，具备遥信、遥控及保护功能，并能够记录最近发生的故障信息和操作信息。箱变保测装置应能够采集箱变、逆变器、直流柜和子阵中各汇流箱等智能设备的通讯数据信息，并将通讯数据通过光纤上传至监控系统。”</w:t>
      </w:r>
    </w:p>
    <w:p w14:paraId="1E25DFA1">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u w:val="none"/>
          <w:lang w:val="en-US" w:eastAsia="zh-CN" w:bidi="ar"/>
          <w14:ligatures w14:val="standardContextual"/>
        </w:rPr>
      </w:pPr>
      <w:r>
        <w:rPr>
          <w:rFonts w:hint="default" w:ascii="Times New Roman" w:hAnsi="Times New Roman" w:eastAsia="宋体" w:cs="Times New Roman"/>
          <w:sz w:val="21"/>
          <w:szCs w:val="21"/>
          <w:lang w:val="en-US" w:eastAsia="zh-CN"/>
        </w:rPr>
        <w:t>请明确：</w:t>
      </w:r>
      <w:r>
        <w:rPr>
          <w:rFonts w:hint="default" w:ascii="Times New Roman" w:hAnsi="Times New Roman" w:eastAsia="宋体" w:cs="Times New Roman"/>
          <w:i w:val="0"/>
          <w:iCs w:val="0"/>
          <w:color w:val="000000"/>
          <w:kern w:val="0"/>
          <w:sz w:val="21"/>
          <w:szCs w:val="21"/>
          <w:u w:val="none"/>
          <w:lang w:val="en-US" w:eastAsia="zh-CN" w:bidi="ar"/>
          <w14:ligatures w14:val="standardContextual"/>
        </w:rPr>
        <w:t>逆变器、直流柜和子阵中各汇流箱等智能设备的通讯数据信息由各自设备单独上传至监控系统，此箱变仅用于辅助变用电，没有配套的逆变器等设备，无法采集逆变器、直流柜和子阵中各汇流箱等智能设备的通讯数据信息，只需采集箱变内部设备的通讯数据？</w:t>
      </w:r>
    </w:p>
    <w:p w14:paraId="632161A2">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u w:val="none"/>
          <w:lang w:val="en-US" w:eastAsia="zh-CN" w:bidi="ar"/>
          <w14:ligatures w14:val="standardContextual"/>
        </w:rPr>
      </w:pPr>
    </w:p>
    <w:p w14:paraId="0CFF6403">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u w:val="none"/>
          <w:lang w:val="en-US" w:eastAsia="zh-CN" w:bidi="ar"/>
          <w14:ligatures w14:val="standardContextual"/>
        </w:rPr>
      </w:pPr>
      <w:r>
        <w:rPr>
          <w:rFonts w:hint="default" w:ascii="Times New Roman" w:hAnsi="Times New Roman" w:eastAsia="宋体" w:cs="Times New Roman"/>
          <w:i w:val="0"/>
          <w:iCs w:val="0"/>
          <w:color w:val="000000"/>
          <w:kern w:val="0"/>
          <w:sz w:val="21"/>
          <w:szCs w:val="21"/>
          <w:u w:val="none"/>
          <w:lang w:val="en-US" w:eastAsia="zh-CN" w:bidi="ar"/>
          <w14:ligatures w14:val="standardContextual"/>
        </w:rPr>
        <w:t>8.</w:t>
      </w:r>
      <w:r>
        <w:rPr>
          <w:rFonts w:hint="default" w:ascii="Times New Roman" w:hAnsi="Times New Roman" w:eastAsia="宋体" w:cs="Times New Roman"/>
          <w:sz w:val="21"/>
          <w:szCs w:val="21"/>
          <w:lang w:val="en-US" w:eastAsia="zh-CN"/>
        </w:rPr>
        <w:t xml:space="preserve">合同附件12  </w:t>
      </w:r>
      <w:r>
        <w:rPr>
          <w:rFonts w:hint="default" w:ascii="Times New Roman" w:hAnsi="Times New Roman" w:eastAsia="宋体" w:cs="Times New Roman"/>
          <w:i w:val="0"/>
          <w:iCs w:val="0"/>
          <w:color w:val="000000"/>
          <w:kern w:val="0"/>
          <w:sz w:val="21"/>
          <w:szCs w:val="21"/>
          <w:u w:val="none"/>
          <w:lang w:val="en-US" w:eastAsia="zh-CN" w:bidi="ar"/>
          <w14:ligatures w14:val="standardContextual"/>
        </w:rPr>
        <w:t>5.1.3运行效率</w:t>
      </w:r>
      <w:r>
        <w:rPr>
          <w:rFonts w:hint="eastAsia" w:ascii="Times New Roman" w:hAnsi="Times New Roman" w:eastAsia="宋体" w:cs="Times New Roman"/>
          <w:i w:val="0"/>
          <w:iCs w:val="0"/>
          <w:color w:val="000000"/>
          <w:kern w:val="0"/>
          <w:sz w:val="21"/>
          <w:szCs w:val="21"/>
          <w:u w:val="none"/>
          <w:lang w:val="en-US" w:eastAsia="zh-CN" w:bidi="ar"/>
          <w14:ligatures w14:val="standardContextual"/>
        </w:rPr>
        <w:t>“储能系统运行综合效率定义：上网电量/下网电量。储能系统直流侧效率（含该储能系统辅助用电系统）不低于75%或承诺值，以最高值为准。”</w:t>
      </w:r>
      <w:r>
        <w:rPr>
          <w:rFonts w:hint="default" w:ascii="Times New Roman" w:hAnsi="Times New Roman" w:eastAsia="宋体" w:cs="Times New Roman"/>
          <w:i w:val="0"/>
          <w:iCs w:val="0"/>
          <w:color w:val="000000"/>
          <w:kern w:val="0"/>
          <w:sz w:val="21"/>
          <w:szCs w:val="21"/>
          <w:u w:val="none"/>
          <w:lang w:val="en-US" w:eastAsia="zh-CN" w:bidi="ar"/>
          <w14:ligatures w14:val="standardContextual"/>
        </w:rPr>
        <w:t>根据《GB/T 33339-2025全钒液流电池系统测试方法》的术语定义，包含储能系统辅助用电能耗计算的效率指标是该标准第8.2.1节明确定义的“额定能量效率”，并非直流侧效率；同时行业内通用的直流侧效率考核，均不含辅助用电系统能耗，仅针对电池本体直流端口的能量转换性能进行考核。</w:t>
      </w:r>
    </w:p>
    <w:p w14:paraId="3CA33647">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u w:val="none"/>
          <w:lang w:val="en-US" w:eastAsia="zh-CN" w:bidi="ar"/>
          <w14:ligatures w14:val="standardContextual"/>
        </w:rPr>
      </w:pPr>
      <w:r>
        <w:rPr>
          <w:rFonts w:hint="eastAsia" w:ascii="Times New Roman" w:hAnsi="Times New Roman" w:eastAsia="宋体" w:cs="Times New Roman"/>
          <w:i w:val="0"/>
          <w:iCs w:val="0"/>
          <w:color w:val="000000"/>
          <w:kern w:val="0"/>
          <w:sz w:val="21"/>
          <w:szCs w:val="21"/>
          <w:u w:val="none"/>
          <w:lang w:val="en-US" w:eastAsia="zh-CN" w:bidi="ar"/>
          <w14:ligatures w14:val="standardContextual"/>
        </w:rPr>
        <w:t>请明确：</w:t>
      </w:r>
      <w:r>
        <w:rPr>
          <w:rFonts w:hint="default" w:ascii="Times New Roman" w:hAnsi="Times New Roman" w:eastAsia="宋体" w:cs="Times New Roman"/>
          <w:i w:val="0"/>
          <w:iCs w:val="0"/>
          <w:color w:val="000000"/>
          <w:kern w:val="0"/>
          <w:sz w:val="21"/>
          <w:szCs w:val="21"/>
          <w:u w:val="none"/>
          <w:lang w:val="en-US" w:eastAsia="zh-CN" w:bidi="ar"/>
          <w14:ligatures w14:val="standardContextual"/>
        </w:rPr>
        <w:t>原条款的表述存在术语歧义，为保障项目顺利落地实施，恳请贵方将该条款修改为符合国标规范与行业通用规则的表述：“储能系统直流侧效率不低于75%或承诺值，以最高值为准”，我司将严格按照该标准承诺对应性能，请贵方予以澄清确认。</w:t>
      </w:r>
    </w:p>
    <w:p w14:paraId="5B89AFFB">
      <w:pPr>
        <w:keepNext w:val="0"/>
        <w:keepLines w:val="0"/>
        <w:pageBreakBefore w:val="0"/>
        <w:widowControl w:val="0"/>
        <w:kinsoku/>
        <w:wordWrap/>
        <w:overflowPunct/>
        <w:topLinePunct w:val="0"/>
        <w:autoSpaceDE/>
        <w:autoSpaceDN/>
        <w:bidi w:val="0"/>
        <w:adjustRightInd/>
        <w:snapToGrid/>
        <w:spacing w:after="100" w:line="276" w:lineRule="auto"/>
        <w:textAlignment w:val="auto"/>
        <w:rPr>
          <w:rFonts w:hint="default" w:ascii="Times New Roman" w:hAnsi="Times New Roman" w:eastAsia="宋体" w:cs="Times New Roman"/>
          <w:i w:val="0"/>
          <w:iCs w:val="0"/>
          <w:color w:val="000000"/>
          <w:kern w:val="0"/>
          <w:sz w:val="21"/>
          <w:szCs w:val="21"/>
          <w:u w:val="none"/>
          <w:lang w:val="en-US" w:eastAsia="zh-CN" w:bidi="ar"/>
          <w14:ligatures w14:val="standardContextual"/>
        </w:rPr>
      </w:pPr>
      <w:bookmarkStart w:id="0" w:name="_GoBack"/>
      <w:bookmarkEnd w:id="0"/>
    </w:p>
    <w:sectPr>
      <w:pgSz w:w="11906" w:h="16838"/>
      <w:pgMar w:top="1383" w:right="1689" w:bottom="1383" w:left="1689"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A021C5"/>
    <w:rsid w:val="154C623C"/>
    <w:rsid w:val="16116E0A"/>
    <w:rsid w:val="1EA07F76"/>
    <w:rsid w:val="47975322"/>
    <w:rsid w:val="4A3600D0"/>
    <w:rsid w:val="59182AC8"/>
    <w:rsid w:val="5E287D73"/>
    <w:rsid w:val="66A021C5"/>
    <w:rsid w:val="6F635599"/>
    <w:rsid w:val="7F8573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2026-03-31T01:55:00Z</dcterms:created>
  <dc:creator>Tina</dc:creator>
  <cp:lastModifiedBy>Tina</cp:lastModifiedBy>
  <dcterms:modified xsi:type="dcterms:W3CDTF">2026-03-31T02:42:11Z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C887AD3A2B254FAF8E5693503F17DCE5_11</vt:lpwstr>
  </property>
  <property fmtid="{D5CDD505-2E9C-101B-9397-08002B2CF9AE}" pid="4" name="KSOTemplateDocerSaveRecord">
    <vt:lpwstr>eyJoZGlkIjoiMDgxMTgyOTI2MDNhNTg1ZGI3YzZiYzg5MmFmMmI1OWIiLCJ1c2VySWQiOiIyOTU1ODMyMzMifQ==</vt:lpwstr>
  </property>
</Properties>
</file>