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after="480" w:line="68" w:lineRule="atLeast"/>
        <w:rPr>
          <w:rFonts w:hint="eastAsia" w:ascii="宋体" w:hAnsi="宋体" w:cs="宋体"/>
          <w:b/>
          <w:sz w:val="32"/>
          <w:szCs w:val="32"/>
        </w:rPr>
      </w:pPr>
      <w:r>
        <w:rPr>
          <w:rFonts w:hint="eastAsia" w:ascii="宋体" w:hAnsi="宋体" w:cs="宋体"/>
          <w:b/>
          <w:sz w:val="32"/>
          <w:szCs w:val="32"/>
        </w:rPr>
        <w:t>附件二：问题澄清通知</w:t>
      </w:r>
    </w:p>
    <w:p>
      <w:pPr>
        <w:spacing w:before="480" w:after="480" w:line="68" w:lineRule="atLeast"/>
        <w:jc w:val="center"/>
        <w:rPr>
          <w:rFonts w:hint="eastAsia" w:ascii="宋体" w:hAnsi="宋体" w:cs="宋体"/>
          <w:b/>
          <w:sz w:val="24"/>
          <w:szCs w:val="24"/>
        </w:rPr>
      </w:pPr>
      <w:r>
        <w:rPr>
          <w:rFonts w:hint="eastAsia" w:ascii="宋体" w:hAnsi="宋体" w:cs="宋体"/>
          <w:b/>
          <w:sz w:val="24"/>
          <w:szCs w:val="24"/>
          <w:u w:val="single"/>
        </w:rPr>
        <w:t>南网储能云南丽江华坪产业园区电池储能项目（标包1）</w:t>
      </w:r>
      <w:r>
        <w:rPr>
          <w:rFonts w:hint="eastAsia" w:ascii="宋体" w:hAnsi="宋体" w:cs="宋体"/>
          <w:b/>
          <w:sz w:val="24"/>
          <w:szCs w:val="24"/>
        </w:rPr>
        <w:t>问题澄清通知</w:t>
      </w:r>
    </w:p>
    <w:p>
      <w:pPr>
        <w:spacing w:before="480" w:after="480" w:line="68" w:lineRule="atLeast"/>
        <w:jc w:val="center"/>
        <w:rPr>
          <w:rFonts w:hint="eastAsia" w:ascii="宋体" w:hAnsi="宋体" w:cs="宋体"/>
          <w:b/>
          <w:sz w:val="24"/>
          <w:szCs w:val="24"/>
        </w:rPr>
      </w:pPr>
      <w:r>
        <w:rPr>
          <w:rFonts w:hint="eastAsia" w:ascii="宋体" w:hAnsi="宋体" w:cs="宋体"/>
          <w:b/>
          <w:sz w:val="24"/>
          <w:szCs w:val="24"/>
        </w:rPr>
        <w:t>（采购编号：</w:t>
      </w:r>
      <w:r>
        <w:rPr>
          <w:rFonts w:hint="eastAsia" w:ascii="宋体" w:hAnsi="宋体" w:cs="宋体"/>
          <w:b/>
          <w:color w:val="000000"/>
          <w:sz w:val="24"/>
          <w:szCs w:val="24"/>
          <w:u w:val="single"/>
          <w:lang w:bidi="ar"/>
        </w:rPr>
        <w:t>CG0200022002276437</w:t>
      </w:r>
      <w:r>
        <w:rPr>
          <w:rFonts w:hint="eastAsia" w:ascii="宋体" w:hAnsi="宋体" w:cs="宋体"/>
          <w:b/>
          <w:sz w:val="24"/>
          <w:szCs w:val="24"/>
        </w:rPr>
        <w:t>）</w:t>
      </w:r>
    </w:p>
    <w:tbl>
      <w:tblPr>
        <w:tblStyle w:val="16"/>
        <w:tblW w:w="9740" w:type="dxa"/>
        <w:tblInd w:w="118" w:type="dxa"/>
        <w:tblLayout w:type="autofit"/>
        <w:tblCellMar>
          <w:top w:w="15" w:type="dxa"/>
          <w:left w:w="108" w:type="dxa"/>
          <w:bottom w:w="0" w:type="dxa"/>
          <w:right w:w="108" w:type="dxa"/>
        </w:tblCellMar>
      </w:tblPr>
      <w:tblGrid>
        <w:gridCol w:w="924"/>
        <w:gridCol w:w="1215"/>
        <w:gridCol w:w="2425"/>
        <w:gridCol w:w="4954"/>
        <w:gridCol w:w="222"/>
      </w:tblGrid>
      <w:tr>
        <w:tblPrEx>
          <w:tblCellMar>
            <w:top w:w="15" w:type="dxa"/>
            <w:left w:w="108" w:type="dxa"/>
            <w:bottom w:w="0" w:type="dxa"/>
            <w:right w:w="108" w:type="dxa"/>
          </w:tblCellMar>
        </w:tblPrEx>
        <w:trPr>
          <w:gridAfter w:val="1"/>
          <w:wAfter w:w="222" w:type="dxa"/>
          <w:trHeight w:val="300" w:hRule="atLeast"/>
        </w:trPr>
        <w:tc>
          <w:tcPr>
            <w:tcW w:w="924" w:type="dxa"/>
            <w:tcBorders>
              <w:top w:val="single" w:color="auto" w:sz="8" w:space="0"/>
              <w:left w:val="single" w:color="auto" w:sz="8" w:space="0"/>
              <w:bottom w:val="single" w:color="auto" w:sz="8" w:space="0"/>
              <w:right w:val="single" w:color="auto" w:sz="8" w:space="0"/>
            </w:tcBorders>
            <w:vAlign w:val="center"/>
          </w:tcPr>
          <w:p>
            <w:pPr>
              <w:widowControl/>
              <w:jc w:val="left"/>
              <w:rPr>
                <w:rFonts w:hint="eastAsia" w:ascii="宋体" w:hAnsi="宋体" w:cs="宋体"/>
                <w:b/>
                <w:bCs/>
                <w:color w:val="000000"/>
                <w:sz w:val="22"/>
              </w:rPr>
            </w:pPr>
            <w:bookmarkStart w:id="0" w:name="_GoBack"/>
            <w:bookmarkEnd w:id="0"/>
            <w:r>
              <w:rPr>
                <w:rFonts w:hint="eastAsia" w:ascii="宋体" w:hAnsi="宋体" w:cs="宋体"/>
                <w:b/>
                <w:bCs/>
                <w:color w:val="000000"/>
                <w:sz w:val="22"/>
              </w:rPr>
              <w:t>序号</w:t>
            </w:r>
          </w:p>
        </w:tc>
        <w:tc>
          <w:tcPr>
            <w:tcW w:w="1215" w:type="dxa"/>
            <w:tcBorders>
              <w:top w:val="single" w:color="auto" w:sz="8" w:space="0"/>
              <w:left w:val="nil"/>
              <w:bottom w:val="single" w:color="auto" w:sz="8" w:space="0"/>
              <w:right w:val="single" w:color="auto" w:sz="8" w:space="0"/>
            </w:tcBorders>
            <w:vAlign w:val="center"/>
          </w:tcPr>
          <w:p>
            <w:pPr>
              <w:widowControl/>
              <w:jc w:val="left"/>
              <w:rPr>
                <w:rFonts w:hint="eastAsia" w:ascii="宋体" w:hAnsi="宋体" w:cs="宋体"/>
                <w:b/>
                <w:bCs/>
                <w:color w:val="000000"/>
                <w:sz w:val="22"/>
              </w:rPr>
            </w:pPr>
            <w:r>
              <w:rPr>
                <w:rFonts w:hint="eastAsia" w:ascii="宋体" w:hAnsi="宋体" w:cs="宋体"/>
                <w:b/>
                <w:bCs/>
                <w:color w:val="000000"/>
                <w:sz w:val="22"/>
              </w:rPr>
              <w:t>问题类型</w:t>
            </w:r>
          </w:p>
        </w:tc>
        <w:tc>
          <w:tcPr>
            <w:tcW w:w="2425" w:type="dxa"/>
            <w:tcBorders>
              <w:top w:val="single" w:color="auto" w:sz="8" w:space="0"/>
              <w:left w:val="nil"/>
              <w:bottom w:val="single" w:color="auto" w:sz="8" w:space="0"/>
              <w:right w:val="single" w:color="auto" w:sz="8" w:space="0"/>
            </w:tcBorders>
            <w:vAlign w:val="center"/>
          </w:tcPr>
          <w:p>
            <w:pPr>
              <w:widowControl/>
              <w:jc w:val="left"/>
              <w:rPr>
                <w:rFonts w:hint="eastAsia" w:ascii="宋体" w:hAnsi="宋体" w:cs="宋体"/>
                <w:b/>
                <w:bCs/>
                <w:color w:val="000000"/>
                <w:sz w:val="22"/>
              </w:rPr>
            </w:pPr>
            <w:r>
              <w:rPr>
                <w:rFonts w:hint="eastAsia" w:ascii="宋体" w:hAnsi="宋体" w:cs="宋体"/>
                <w:b/>
                <w:bCs/>
                <w:color w:val="000000"/>
                <w:sz w:val="22"/>
              </w:rPr>
              <w:t>品类/标的/标包/标段</w:t>
            </w:r>
          </w:p>
        </w:tc>
        <w:tc>
          <w:tcPr>
            <w:tcW w:w="4954" w:type="dxa"/>
            <w:tcBorders>
              <w:top w:val="single" w:color="auto" w:sz="8" w:space="0"/>
              <w:left w:val="nil"/>
              <w:bottom w:val="single" w:color="auto" w:sz="8" w:space="0"/>
              <w:right w:val="single" w:color="auto" w:sz="8" w:space="0"/>
            </w:tcBorders>
            <w:vAlign w:val="center"/>
          </w:tcPr>
          <w:p>
            <w:pPr>
              <w:widowControl/>
              <w:jc w:val="center"/>
              <w:rPr>
                <w:rFonts w:hint="eastAsia" w:ascii="宋体" w:hAnsi="宋体" w:cs="宋体"/>
                <w:b/>
                <w:bCs/>
                <w:color w:val="000000"/>
                <w:sz w:val="22"/>
              </w:rPr>
            </w:pPr>
            <w:r>
              <w:rPr>
                <w:rFonts w:hint="eastAsia" w:ascii="宋体" w:hAnsi="宋体" w:cs="宋体"/>
                <w:b/>
                <w:bCs/>
                <w:color w:val="000000"/>
                <w:sz w:val="22"/>
              </w:rPr>
              <w:t>问题</w:t>
            </w:r>
          </w:p>
        </w:tc>
      </w:tr>
      <w:tr>
        <w:tblPrEx>
          <w:tblCellMar>
            <w:top w:w="15" w:type="dxa"/>
            <w:left w:w="108" w:type="dxa"/>
            <w:bottom w:w="0" w:type="dxa"/>
            <w:right w:w="108" w:type="dxa"/>
          </w:tblCellMar>
        </w:tblPrEx>
        <w:trPr>
          <w:trHeight w:val="3168" w:hRule="atLeast"/>
        </w:trPr>
        <w:tc>
          <w:tcPr>
            <w:tcW w:w="9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sz w:val="22"/>
              </w:rPr>
            </w:pPr>
            <w:r>
              <w:rPr>
                <w:rFonts w:hint="eastAsia" w:ascii="宋体" w:hAnsi="宋体" w:cs="宋体"/>
                <w:color w:val="000000"/>
                <w:sz w:val="22"/>
              </w:rPr>
              <w:t>1</w:t>
            </w:r>
          </w:p>
        </w:tc>
        <w:tc>
          <w:tcPr>
            <w:tcW w:w="1215"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000000"/>
                <w:sz w:val="22"/>
              </w:rPr>
            </w:pPr>
            <w:r>
              <w:rPr>
                <w:rFonts w:hint="eastAsia" w:ascii="宋体" w:hAnsi="宋体" w:cs="宋体"/>
                <w:color w:val="000000"/>
                <w:sz w:val="22"/>
              </w:rPr>
              <w:t>通用技术</w:t>
            </w:r>
          </w:p>
        </w:tc>
        <w:tc>
          <w:tcPr>
            <w:tcW w:w="2425" w:type="dxa"/>
            <w:tcBorders>
              <w:top w:val="single" w:color="auto" w:sz="4" w:space="0"/>
              <w:left w:val="single" w:color="auto" w:sz="4" w:space="0"/>
              <w:bottom w:val="single" w:color="auto" w:sz="4" w:space="0"/>
              <w:right w:val="nil"/>
            </w:tcBorders>
            <w:vAlign w:val="center"/>
          </w:tcPr>
          <w:p>
            <w:pPr>
              <w:widowControl/>
              <w:jc w:val="left"/>
              <w:rPr>
                <w:rFonts w:hint="eastAsia" w:ascii="宋体" w:hAnsi="宋体" w:cs="宋体"/>
                <w:color w:val="000000"/>
                <w:sz w:val="22"/>
              </w:rPr>
            </w:pPr>
            <w:r>
              <w:rPr>
                <w:rFonts w:hint="eastAsia" w:ascii="宋体" w:hAnsi="宋体" w:cs="宋体"/>
                <w:color w:val="000000"/>
                <w:sz w:val="22"/>
              </w:rPr>
              <w:t>标包一：技术规范书中关于供货范围的确认</w:t>
            </w:r>
          </w:p>
        </w:tc>
        <w:tc>
          <w:tcPr>
            <w:tcW w:w="4954" w:type="dxa"/>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szCs w:val="21"/>
              </w:rPr>
            </w:pPr>
            <w:r>
              <w:rPr>
                <w:rFonts w:hint="eastAsia" w:ascii="宋体" w:hAnsi="宋体" w:cs="宋体"/>
                <w:color w:val="000000"/>
                <w:szCs w:val="21"/>
              </w:rPr>
              <w:t>3.2.1供货范围全钒液流电池储能系统包括：功率单元预制舱（包括电堆、电解液循环系统、BMS电池管理系统）、容量单元预制舱（包括储罐）、380MWh电解液租赁服务、控制系统、预制舱内的配套设施（含热管理系统、配电、照明、应急照明、消防、视频监控等）、预制舱内电缆、光缆及通信线缆（含线缆的终端及安装辅材）、储能辅助变压器及配电系统等。供货范围包括成套装置及其附属设备、备品备件、专用工具和技术服务。</w:t>
            </w:r>
          </w:p>
          <w:p>
            <w:pPr>
              <w:widowControl/>
              <w:jc w:val="left"/>
              <w:rPr>
                <w:rFonts w:hint="eastAsia" w:ascii="宋体" w:hAnsi="宋体" w:cs="宋体"/>
                <w:color w:val="000000"/>
                <w:szCs w:val="21"/>
              </w:rPr>
            </w:pPr>
            <w:r>
              <w:rPr>
                <w:rFonts w:hint="eastAsia" w:ascii="宋体" w:hAnsi="宋体" w:cs="宋体"/>
                <w:color w:val="000000"/>
                <w:szCs w:val="21"/>
              </w:rPr>
              <w:t>上文供货范围中是否含储能辅助变压器及其配电系统至储能设备预制舱之间的电缆？</w:t>
            </w:r>
          </w:p>
        </w:tc>
        <w:tc>
          <w:tcPr>
            <w:tcW w:w="222" w:type="dxa"/>
            <w:vAlign w:val="center"/>
          </w:tcPr>
          <w:p>
            <w:pPr>
              <w:widowControl/>
              <w:jc w:val="left"/>
              <w:rPr>
                <w:rFonts w:eastAsia="Times New Roman"/>
                <w:sz w:val="20"/>
                <w:szCs w:val="20"/>
              </w:rPr>
            </w:pPr>
          </w:p>
        </w:tc>
      </w:tr>
    </w:tbl>
    <w:p>
      <w:pPr>
        <w:spacing w:before="120" w:after="120" w:line="288" w:lineRule="auto"/>
        <w:jc w:val="left"/>
        <w:rPr>
          <w:rFonts w:hint="eastAsia" w:ascii="宋体" w:hAnsi="宋体" w:cs="宋体"/>
        </w:rPr>
      </w:pPr>
    </w:p>
    <w:p>
      <w:pPr>
        <w:pStyle w:val="2"/>
        <w:rPr>
          <w:rFonts w:hint="eastAsia" w:hAnsi="宋体" w:cs="宋体"/>
          <w:sz w:val="22"/>
          <w:szCs w:val="22"/>
        </w:rPr>
      </w:pPr>
    </w:p>
    <w:p>
      <w:pPr>
        <w:pStyle w:val="2"/>
        <w:ind w:firstLine="500"/>
        <w:rPr>
          <w:rFonts w:hint="eastAsia" w:hAnsi="宋体" w:cs="宋体"/>
          <w:sz w:val="22"/>
          <w:szCs w:val="22"/>
        </w:rPr>
      </w:pPr>
      <w:r>
        <w:rPr>
          <w:rFonts w:hint="eastAsia" w:hAnsi="宋体" w:cs="宋体"/>
          <w:sz w:val="22"/>
          <w:szCs w:val="22"/>
        </w:rPr>
        <w:t>请将上述问题的澄清、说明或补正按照招标文件规定的格式(投标人须知附件二:问题的澄清)于2026年4月1日12时00分前通过南方电网供应链统一服务平台(http://www.bidding.csg.cn)进行答复。如有补充附件，请一并上传。</w:t>
      </w:r>
    </w:p>
    <w:p>
      <w:pPr>
        <w:pStyle w:val="2"/>
        <w:ind w:firstLine="500"/>
        <w:rPr>
          <w:rFonts w:hint="eastAsia" w:hAnsi="宋体" w:cs="宋体"/>
          <w:sz w:val="22"/>
          <w:szCs w:val="22"/>
        </w:rPr>
      </w:pPr>
    </w:p>
    <w:p>
      <w:pPr>
        <w:pStyle w:val="2"/>
        <w:ind w:firstLine="500"/>
        <w:rPr>
          <w:rFonts w:hint="eastAsia" w:hAnsi="宋体" w:cs="宋体"/>
          <w:sz w:val="22"/>
          <w:szCs w:val="22"/>
        </w:rPr>
      </w:pPr>
    </w:p>
    <w:p>
      <w:pPr>
        <w:rPr>
          <w:rFonts w:hint="eastAsia"/>
        </w:rPr>
      </w:pPr>
    </w:p>
    <w:sectPr>
      <w:pgSz w:w="11905" w:h="16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07D"/>
    <w:rsid w:val="000F13C3"/>
    <w:rsid w:val="00321C00"/>
    <w:rsid w:val="00496680"/>
    <w:rsid w:val="00780686"/>
    <w:rsid w:val="0086207D"/>
    <w:rsid w:val="00E17702"/>
    <w:rsid w:val="10146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0"/>
      <w:sz w:val="21"/>
      <w:szCs w:val="22"/>
      <w:lang w:val="en-US" w:eastAsia="zh-CN" w:bidi="ar-SA"/>
      <w14:ligatures w14:val="none"/>
    </w:rPr>
  </w:style>
  <w:style w:type="paragraph" w:styleId="3">
    <w:name w:val="heading 1"/>
    <w:basedOn w:val="1"/>
    <w:next w:val="1"/>
    <w:link w:val="18"/>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kern w:val="2"/>
      <w:sz w:val="48"/>
      <w:szCs w:val="48"/>
      <w14:ligatures w14:val="standardContextual"/>
    </w:rPr>
  </w:style>
  <w:style w:type="paragraph" w:styleId="4">
    <w:name w:val="heading 2"/>
    <w:basedOn w:val="1"/>
    <w:next w:val="1"/>
    <w:link w:val="19"/>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kern w:val="2"/>
      <w:sz w:val="40"/>
      <w:szCs w:val="40"/>
      <w14:ligatures w14:val="standardContextual"/>
    </w:rPr>
  </w:style>
  <w:style w:type="paragraph" w:styleId="5">
    <w:name w:val="heading 3"/>
    <w:basedOn w:val="1"/>
    <w:next w:val="1"/>
    <w:link w:val="20"/>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kern w:val="2"/>
      <w:sz w:val="32"/>
      <w:szCs w:val="32"/>
      <w14:ligatures w14:val="standardContextual"/>
    </w:rPr>
  </w:style>
  <w:style w:type="paragraph" w:styleId="6">
    <w:name w:val="heading 4"/>
    <w:basedOn w:val="1"/>
    <w:next w:val="1"/>
    <w:link w:val="21"/>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104862" w:themeColor="accent1" w:themeShade="BF"/>
      <w:kern w:val="2"/>
      <w:sz w:val="28"/>
      <w:szCs w:val="28"/>
      <w14:ligatures w14:val="standardContextual"/>
    </w:rPr>
  </w:style>
  <w:style w:type="paragraph" w:styleId="7">
    <w:name w:val="heading 5"/>
    <w:basedOn w:val="1"/>
    <w:next w:val="1"/>
    <w:link w:val="22"/>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104862" w:themeColor="accent1" w:themeShade="BF"/>
      <w:kern w:val="2"/>
      <w:sz w:val="24"/>
      <w:szCs w:val="24"/>
      <w14:ligatures w14:val="standardContextual"/>
    </w:rPr>
  </w:style>
  <w:style w:type="paragraph" w:styleId="8">
    <w:name w:val="heading 6"/>
    <w:basedOn w:val="1"/>
    <w:next w:val="1"/>
    <w:link w:val="23"/>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104862" w:themeColor="accent1" w:themeShade="BF"/>
      <w:kern w:val="2"/>
      <w:sz w:val="22"/>
      <w:szCs w:val="24"/>
      <w14:ligatures w14:val="standardContextual"/>
    </w:rPr>
  </w:style>
  <w:style w:type="paragraph" w:styleId="9">
    <w:name w:val="heading 7"/>
    <w:basedOn w:val="1"/>
    <w:next w:val="1"/>
    <w:link w:val="24"/>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kern w:val="2"/>
      <w:sz w:val="22"/>
      <w:szCs w:val="24"/>
      <w14:textFill>
        <w14:solidFill>
          <w14:schemeClr w14:val="tx1">
            <w14:lumMod w14:val="65000"/>
            <w14:lumOff w14:val="35000"/>
          </w14:schemeClr>
        </w14:solidFill>
      </w14:textFill>
      <w14:ligatures w14:val="standardContextual"/>
    </w:rPr>
  </w:style>
  <w:style w:type="paragraph" w:styleId="10">
    <w:name w:val="heading 8"/>
    <w:basedOn w:val="1"/>
    <w:next w:val="1"/>
    <w:link w:val="25"/>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kern w:val="2"/>
      <w:sz w:val="22"/>
      <w:szCs w:val="24"/>
      <w14:textFill>
        <w14:solidFill>
          <w14:schemeClr w14:val="tx1">
            <w14:lumMod w14:val="65000"/>
            <w14:lumOff w14:val="35000"/>
          </w14:schemeClr>
        </w14:solidFill>
      </w14:textFill>
      <w14:ligatures w14:val="standardContextual"/>
    </w:rPr>
  </w:style>
  <w:style w:type="paragraph" w:styleId="11">
    <w:name w:val="heading 9"/>
    <w:basedOn w:val="1"/>
    <w:next w:val="1"/>
    <w:link w:val="26"/>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kern w:val="2"/>
      <w:sz w:val="22"/>
      <w:szCs w:val="24"/>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Plain Text"/>
    <w:basedOn w:val="1"/>
    <w:link w:val="38"/>
    <w:qFormat/>
    <w:uiPriority w:val="0"/>
    <w:rPr>
      <w:rFonts w:ascii="宋体" w:hAnsi="Courier New"/>
      <w:szCs w:val="20"/>
    </w:rPr>
  </w:style>
  <w:style w:type="paragraph" w:styleId="12">
    <w:name w:val="footer"/>
    <w:basedOn w:val="1"/>
    <w:link w:val="37"/>
    <w:unhideWhenUsed/>
    <w:qFormat/>
    <w:uiPriority w:val="99"/>
    <w:pPr>
      <w:tabs>
        <w:tab w:val="center" w:pos="4153"/>
        <w:tab w:val="right" w:pos="8306"/>
      </w:tabs>
      <w:snapToGrid w:val="0"/>
      <w:spacing w:after="160"/>
      <w:jc w:val="left"/>
    </w:pPr>
    <w:rPr>
      <w:rFonts w:asciiTheme="minorHAnsi" w:hAnsiTheme="minorHAnsi" w:eastAsiaTheme="minorEastAsia" w:cstheme="minorBidi"/>
      <w:kern w:val="2"/>
      <w:sz w:val="18"/>
      <w:szCs w:val="18"/>
      <w14:ligatures w14:val="standardContextual"/>
    </w:rPr>
  </w:style>
  <w:style w:type="paragraph" w:styleId="13">
    <w:name w:val="header"/>
    <w:basedOn w:val="1"/>
    <w:link w:val="36"/>
    <w:unhideWhenUsed/>
    <w:uiPriority w:val="99"/>
    <w:pPr>
      <w:tabs>
        <w:tab w:val="center" w:pos="4153"/>
        <w:tab w:val="right" w:pos="8306"/>
      </w:tabs>
      <w:snapToGrid w:val="0"/>
      <w:spacing w:after="160"/>
      <w:jc w:val="center"/>
    </w:pPr>
    <w:rPr>
      <w:rFonts w:asciiTheme="minorHAnsi" w:hAnsiTheme="minorHAnsi" w:eastAsiaTheme="minorEastAsia" w:cstheme="minorBidi"/>
      <w:kern w:val="2"/>
      <w:sz w:val="18"/>
      <w:szCs w:val="18"/>
      <w14:ligatures w14:val="standardContextual"/>
    </w:rPr>
  </w:style>
  <w:style w:type="paragraph" w:styleId="14">
    <w:name w:val="Subtitle"/>
    <w:basedOn w:val="1"/>
    <w:next w:val="1"/>
    <w:link w:val="28"/>
    <w:qFormat/>
    <w:uiPriority w:val="11"/>
    <w:pPr>
      <w:spacing w:after="160" w:line="278" w:lineRule="auto"/>
      <w:jc w:val="center"/>
    </w:pPr>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8">
    <w:name w:val="标题 1 字符"/>
    <w:basedOn w:val="17"/>
    <w:link w:val="3"/>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4"/>
    <w:semiHidden/>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5"/>
    <w:semiHidden/>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6"/>
    <w:semiHidden/>
    <w:uiPriority w:val="9"/>
    <w:rPr>
      <w:rFonts w:cstheme="majorBidi"/>
      <w:color w:val="104862" w:themeColor="accent1" w:themeShade="BF"/>
      <w:sz w:val="28"/>
      <w:szCs w:val="28"/>
    </w:rPr>
  </w:style>
  <w:style w:type="character" w:customStyle="1" w:styleId="22">
    <w:name w:val="标题 5 字符"/>
    <w:basedOn w:val="17"/>
    <w:link w:val="7"/>
    <w:semiHidden/>
    <w:uiPriority w:val="9"/>
    <w:rPr>
      <w:rFonts w:cstheme="majorBidi"/>
      <w:color w:val="104862" w:themeColor="accent1" w:themeShade="BF"/>
      <w:sz w:val="24"/>
    </w:rPr>
  </w:style>
  <w:style w:type="character" w:customStyle="1" w:styleId="23">
    <w:name w:val="标题 6 字符"/>
    <w:basedOn w:val="17"/>
    <w:link w:val="8"/>
    <w:semiHidden/>
    <w:uiPriority w:val="9"/>
    <w:rPr>
      <w:rFonts w:cstheme="majorBidi"/>
      <w:b/>
      <w:bCs/>
      <w:color w:val="104862" w:themeColor="accent1" w:themeShade="BF"/>
    </w:rPr>
  </w:style>
  <w:style w:type="character" w:customStyle="1" w:styleId="24">
    <w:name w:val="标题 7 字符"/>
    <w:basedOn w:val="17"/>
    <w:link w:val="9"/>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1"/>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line="278" w:lineRule="auto"/>
      <w:jc w:val="center"/>
    </w:pPr>
    <w:rPr>
      <w:rFonts w:asciiTheme="minorHAnsi" w:hAnsiTheme="minorHAnsi" w:eastAsiaTheme="minorEastAsia" w:cstheme="minorBidi"/>
      <w:i/>
      <w:iCs/>
      <w:color w:val="404040" w:themeColor="text1" w:themeTint="BF"/>
      <w:kern w:val="2"/>
      <w:sz w:val="22"/>
      <w:szCs w:val="24"/>
      <w14:textFill>
        <w14:solidFill>
          <w14:schemeClr w14:val="tx1">
            <w14:lumMod w14:val="75000"/>
            <w14:lumOff w14:val="25000"/>
          </w14:schemeClr>
        </w14:solidFill>
      </w14:textFill>
      <w14:ligatures w14:val="standardContextua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spacing w:after="160" w:line="278" w:lineRule="auto"/>
      <w:ind w:left="720"/>
      <w:contextualSpacing/>
      <w:jc w:val="left"/>
    </w:pPr>
    <w:rPr>
      <w:rFonts w:asciiTheme="minorHAnsi" w:hAnsiTheme="minorHAnsi" w:eastAsiaTheme="minorEastAsia" w:cstheme="minorBidi"/>
      <w:kern w:val="2"/>
      <w:sz w:val="22"/>
      <w:szCs w:val="24"/>
      <w14:ligatures w14:val="standardContextual"/>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EastAsia" w:cstheme="minorBidi"/>
      <w:i/>
      <w:iCs/>
      <w:color w:val="104862" w:themeColor="accent1" w:themeShade="BF"/>
      <w:kern w:val="2"/>
      <w:sz w:val="22"/>
      <w:szCs w:val="24"/>
      <w14:ligatures w14:val="standardContextual"/>
    </w:rPr>
  </w:style>
  <w:style w:type="character" w:customStyle="1" w:styleId="34">
    <w:name w:val="明显引用 字符"/>
    <w:basedOn w:val="17"/>
    <w:link w:val="33"/>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uiPriority w:val="99"/>
    <w:rPr>
      <w:sz w:val="18"/>
      <w:szCs w:val="18"/>
    </w:rPr>
  </w:style>
  <w:style w:type="character" w:customStyle="1" w:styleId="38">
    <w:name w:val="纯文本 字符"/>
    <w:basedOn w:val="17"/>
    <w:link w:val="2"/>
    <w:uiPriority w:val="0"/>
    <w:rPr>
      <w:rFonts w:ascii="宋体" w:hAnsi="Courier New" w:eastAsia="宋体" w:cs="Times New Roman"/>
      <w:kern w:val="0"/>
      <w:sz w:val="21"/>
      <w:szCs w:val="20"/>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Pages>
  <Words>243</Words>
  <Characters>264</Characters>
  <Lines>37</Lines>
  <Paragraphs>12</Paragraphs>
  <TotalTime>2</TotalTime>
  <ScaleCrop>false</ScaleCrop>
  <LinksUpToDate>false</LinksUpToDate>
  <CharactersWithSpaces>495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2026-03-31T02:45:00Z</dcterms:created>
  <dc:creator>宇澍 唐</dc:creator>
  <cp:lastModifiedBy>尹海庆</cp:lastModifiedBy>
  <dcterms:modified xsi:type="dcterms:W3CDTF">2026-04-02T01:43:59Z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7E4A531BEBD3488392EC7145D3BEF51A</vt:lpwstr>
  </property>
</Properties>
</file>