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val="0"/>
        <w:spacing w:line="560" w:lineRule="exact"/>
        <w:textAlignment w:val="auto"/>
        <w:rPr>
          <w:color w:val="auto"/>
        </w:rPr>
      </w:pPr>
      <w:r>
        <w:rPr>
          <w:rFonts w:ascii="宋体" w:hAnsi="宋体"/>
          <w:b/>
          <w:bCs/>
          <w:caps/>
          <w:color w:val="auto"/>
          <w:sz w:val="44"/>
          <w:szCs w:val="44"/>
        </w:rPr>
        <w:drawing>
          <wp:anchor distT="0" distB="0" distL="114300" distR="114300" simplePos="0" relativeHeight="251659264" behindDoc="1" locked="0" layoutInCell="1" allowOverlap="1">
            <wp:simplePos x="0" y="0"/>
            <wp:positionH relativeFrom="page">
              <wp:posOffset>8890</wp:posOffset>
            </wp:positionH>
            <wp:positionV relativeFrom="page">
              <wp:posOffset>10795</wp:posOffset>
            </wp:positionV>
            <wp:extent cx="7886700" cy="2670175"/>
            <wp:effectExtent l="0" t="0" r="7620" b="12065"/>
            <wp:wrapNone/>
            <wp:docPr id="5" name="图片 1119"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19" descr="D02-L [Converted]"/>
                    <pic:cNvPicPr>
                      <a:picLocks noChangeAspect="1" noChangeArrowheads="1"/>
                    </pic:cNvPicPr>
                  </pic:nvPicPr>
                  <pic:blipFill>
                    <a:blip r:embed="rId6" cstate="print"/>
                    <a:srcRect b="58837"/>
                    <a:stretch>
                      <a:fillRect/>
                    </a:stretch>
                  </pic:blipFill>
                  <pic:spPr>
                    <a:xfrm>
                      <a:off x="0" y="0"/>
                      <a:ext cx="7886700" cy="2670175"/>
                    </a:xfrm>
                    <a:prstGeom prst="rect">
                      <a:avLst/>
                    </a:prstGeom>
                    <a:noFill/>
                    <a:ln>
                      <a:noFill/>
                    </a:ln>
                  </pic:spPr>
                </pic:pic>
              </a:graphicData>
            </a:graphic>
          </wp:anchor>
        </w:drawing>
      </w: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textAlignment w:val="auto"/>
        <w:rPr>
          <w:color w:val="auto"/>
        </w:rPr>
      </w:pPr>
    </w:p>
    <w:p>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宋体" w:hAnsi="宋体"/>
          <w:b/>
          <w:bCs/>
          <w:caps/>
          <w:color w:val="auto"/>
          <w:sz w:val="44"/>
          <w:szCs w:val="44"/>
        </w:rPr>
      </w:pPr>
      <w:r>
        <w:rPr>
          <w:rFonts w:hint="eastAsia" w:ascii="宋体" w:hAnsi="宋体"/>
          <w:b/>
          <w:bCs/>
          <w:caps/>
          <w:color w:val="auto"/>
          <w:sz w:val="44"/>
          <w:szCs w:val="44"/>
        </w:rPr>
        <w:t>202</w:t>
      </w:r>
      <w:r>
        <w:rPr>
          <w:rFonts w:hint="eastAsia" w:ascii="宋体" w:hAnsi="宋体"/>
          <w:b/>
          <w:bCs/>
          <w:caps/>
          <w:color w:val="auto"/>
          <w:sz w:val="44"/>
          <w:szCs w:val="44"/>
          <w:lang w:val="en-US" w:eastAsia="zh-CN"/>
        </w:rPr>
        <w:t>6</w:t>
      </w:r>
      <w:r>
        <w:rPr>
          <w:rFonts w:hint="eastAsia" w:ascii="宋体" w:hAnsi="宋体"/>
          <w:b/>
          <w:bCs/>
          <w:caps/>
          <w:color w:val="auto"/>
          <w:sz w:val="44"/>
          <w:szCs w:val="44"/>
        </w:rPr>
        <w:t>年南方电网</w:t>
      </w:r>
      <w:r>
        <w:rPr>
          <w:rFonts w:hint="eastAsia" w:ascii="宋体" w:hAnsi="宋体"/>
          <w:b/>
          <w:bCs/>
          <w:caps/>
          <w:color w:val="auto"/>
          <w:sz w:val="44"/>
          <w:szCs w:val="44"/>
          <w:lang w:eastAsia="zh-CN"/>
        </w:rPr>
        <w:t>人工智能科技</w:t>
      </w:r>
      <w:r>
        <w:rPr>
          <w:rFonts w:hint="eastAsia" w:ascii="宋体" w:hAnsi="宋体"/>
          <w:b/>
          <w:bCs/>
          <w:caps/>
          <w:color w:val="auto"/>
          <w:sz w:val="44"/>
          <w:szCs w:val="44"/>
        </w:rPr>
        <w:t>有限公司</w:t>
      </w:r>
    </w:p>
    <w:p>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宋体" w:hAnsi="宋体"/>
          <w:b/>
          <w:bCs/>
          <w:caps/>
          <w:color w:val="auto"/>
          <w:sz w:val="44"/>
          <w:szCs w:val="44"/>
        </w:rPr>
      </w:pPr>
      <w:r>
        <w:rPr>
          <w:rFonts w:hint="eastAsia" w:ascii="宋体" w:hAnsi="宋体"/>
          <w:b/>
          <w:bCs/>
          <w:caps/>
          <w:color w:val="auto"/>
          <w:sz w:val="44"/>
          <w:szCs w:val="44"/>
        </w:rPr>
        <w:t>移动通信干扰器</w:t>
      </w:r>
      <w:r>
        <w:rPr>
          <w:rFonts w:hint="eastAsia" w:ascii="宋体" w:hAnsi="宋体"/>
          <w:b/>
          <w:bCs/>
          <w:caps/>
          <w:color w:val="auto"/>
          <w:sz w:val="44"/>
          <w:szCs w:val="44"/>
          <w:lang w:val="en-US" w:eastAsia="zh-CN"/>
        </w:rPr>
        <w:t>采购</w:t>
      </w:r>
      <w:r>
        <w:rPr>
          <w:rFonts w:hint="eastAsia" w:ascii="宋体" w:hAnsi="宋体"/>
          <w:b/>
          <w:bCs/>
          <w:caps/>
          <w:color w:val="auto"/>
          <w:sz w:val="44"/>
          <w:szCs w:val="44"/>
        </w:rPr>
        <w:t>项目</w:t>
      </w:r>
    </w:p>
    <w:p>
      <w:pPr>
        <w:pageBreakBefore w:val="0"/>
        <w:widowControl w:val="0"/>
        <w:kinsoku/>
        <w:wordWrap/>
        <w:overflowPunct/>
        <w:topLinePunct w:val="0"/>
        <w:autoSpaceDE/>
        <w:autoSpaceDN/>
        <w:bidi w:val="0"/>
        <w:adjustRightInd/>
        <w:snapToGrid w:val="0"/>
        <w:spacing w:line="560" w:lineRule="exact"/>
        <w:jc w:val="center"/>
        <w:textAlignment w:val="auto"/>
        <w:rPr>
          <w:rFonts w:hint="eastAsia"/>
          <w:b/>
          <w:bCs/>
          <w:color w:val="auto"/>
          <w:sz w:val="52"/>
          <w:szCs w:val="52"/>
          <w:lang w:val="en-US" w:eastAsia="zh-CN"/>
        </w:rPr>
      </w:pPr>
      <w:r>
        <w:rPr>
          <w:rFonts w:hint="eastAsia" w:ascii="宋体" w:hAnsi="宋体"/>
          <w:b/>
          <w:bCs/>
          <w:caps/>
          <w:color w:val="auto"/>
          <w:sz w:val="44"/>
          <w:szCs w:val="44"/>
        </w:rPr>
        <w:t>技术规范书</w:t>
      </w:r>
    </w:p>
    <w:p>
      <w:pPr>
        <w:pageBreakBefore w:val="0"/>
        <w:widowControl w:val="0"/>
        <w:kinsoku/>
        <w:wordWrap/>
        <w:overflowPunct/>
        <w:topLinePunct w:val="0"/>
        <w:autoSpaceDE/>
        <w:autoSpaceDN/>
        <w:bidi w:val="0"/>
        <w:adjustRightInd/>
        <w:snapToGrid w:val="0"/>
        <w:spacing w:line="560" w:lineRule="exact"/>
        <w:jc w:val="both"/>
        <w:textAlignment w:val="auto"/>
        <w:rPr>
          <w:rFonts w:hint="eastAsia"/>
          <w:b/>
          <w:bCs/>
          <w:color w:val="auto"/>
          <w:sz w:val="52"/>
          <w:szCs w:val="52"/>
          <w:lang w:val="en-US" w:eastAsia="zh-CN"/>
        </w:rPr>
      </w:pPr>
    </w:p>
    <w:p>
      <w:pPr>
        <w:pageBreakBefore w:val="0"/>
        <w:widowControl w:val="0"/>
        <w:kinsoku/>
        <w:wordWrap/>
        <w:overflowPunct/>
        <w:topLinePunct w:val="0"/>
        <w:autoSpaceDE/>
        <w:autoSpaceDN/>
        <w:bidi w:val="0"/>
        <w:adjustRightInd/>
        <w:snapToGrid w:val="0"/>
        <w:spacing w:line="560" w:lineRule="exact"/>
        <w:jc w:val="both"/>
        <w:textAlignment w:val="auto"/>
        <w:rPr>
          <w:rFonts w:hint="eastAsia"/>
          <w:b/>
          <w:bCs/>
          <w:color w:val="auto"/>
          <w:sz w:val="52"/>
          <w:szCs w:val="52"/>
          <w:lang w:val="en-US" w:eastAsia="zh-CN"/>
        </w:rPr>
      </w:pPr>
    </w:p>
    <w:p>
      <w:pPr>
        <w:pStyle w:val="2"/>
        <w:pageBreakBefore w:val="0"/>
        <w:widowControl w:val="0"/>
        <w:kinsoku/>
        <w:wordWrap/>
        <w:overflowPunct/>
        <w:topLinePunct w:val="0"/>
        <w:autoSpaceDE/>
        <w:autoSpaceDN/>
        <w:bidi w:val="0"/>
        <w:adjustRightInd/>
        <w:snapToGrid w:val="0"/>
        <w:spacing w:after="0" w:line="560" w:lineRule="exact"/>
        <w:textAlignment w:val="auto"/>
        <w:rPr>
          <w:rFonts w:hint="eastAsia"/>
          <w:b/>
          <w:bCs/>
          <w:color w:val="auto"/>
          <w:sz w:val="52"/>
          <w:szCs w:val="52"/>
          <w:lang w:val="en-US" w:eastAsia="zh-CN"/>
        </w:rPr>
      </w:pPr>
    </w:p>
    <w:p>
      <w:pPr>
        <w:pStyle w:val="3"/>
        <w:rPr>
          <w:rFonts w:hint="eastAsia"/>
          <w:b/>
          <w:bCs/>
          <w:color w:val="auto"/>
          <w:sz w:val="52"/>
          <w:szCs w:val="52"/>
          <w:lang w:val="en-US" w:eastAsia="zh-CN"/>
        </w:rPr>
      </w:pPr>
    </w:p>
    <w:p>
      <w:pPr>
        <w:rPr>
          <w:rFonts w:hint="eastAsia"/>
          <w:lang w:val="en-US" w:eastAsia="zh-CN"/>
        </w:rPr>
      </w:pPr>
    </w:p>
    <w:p>
      <w:pPr>
        <w:pStyle w:val="3"/>
        <w:pageBreakBefore w:val="0"/>
        <w:widowControl w:val="0"/>
        <w:kinsoku/>
        <w:wordWrap/>
        <w:overflowPunct/>
        <w:topLinePunct w:val="0"/>
        <w:autoSpaceDE/>
        <w:autoSpaceDN/>
        <w:bidi w:val="0"/>
        <w:adjustRightInd/>
        <w:snapToGrid w:val="0"/>
        <w:spacing w:before="0" w:after="0" w:line="560" w:lineRule="exact"/>
        <w:textAlignment w:val="auto"/>
        <w:rPr>
          <w:rFonts w:hint="eastAsia"/>
          <w:b/>
          <w:bCs/>
          <w:color w:val="auto"/>
          <w:sz w:val="52"/>
          <w:szCs w:val="52"/>
          <w:lang w:val="en-US" w:eastAsia="zh-CN"/>
        </w:rPr>
      </w:pPr>
    </w:p>
    <w:p>
      <w:pPr>
        <w:pageBreakBefore w:val="0"/>
        <w:widowControl w:val="0"/>
        <w:kinsoku/>
        <w:wordWrap/>
        <w:overflowPunct/>
        <w:topLinePunct w:val="0"/>
        <w:autoSpaceDE/>
        <w:autoSpaceDN/>
        <w:bidi w:val="0"/>
        <w:adjustRightInd/>
        <w:snapToGrid w:val="0"/>
        <w:spacing w:line="560" w:lineRule="exact"/>
        <w:textAlignment w:val="auto"/>
        <w:rPr>
          <w:rFonts w:hint="eastAsia"/>
          <w:color w:val="auto"/>
          <w:lang w:val="en-US" w:eastAsia="zh-CN"/>
        </w:rPr>
      </w:pPr>
    </w:p>
    <w:p>
      <w:pPr>
        <w:pageBreakBefore w:val="0"/>
        <w:widowControl w:val="0"/>
        <w:kinsoku/>
        <w:wordWrap/>
        <w:overflowPunct/>
        <w:topLinePunct w:val="0"/>
        <w:autoSpaceDE/>
        <w:autoSpaceDN/>
        <w:bidi w:val="0"/>
        <w:adjustRightInd/>
        <w:snapToGrid w:val="0"/>
        <w:spacing w:line="560" w:lineRule="exact"/>
        <w:jc w:val="center"/>
        <w:textAlignment w:val="auto"/>
        <w:rPr>
          <w:rFonts w:hint="default"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lang w:val="en-US" w:eastAsia="zh-CN"/>
        </w:rPr>
        <w:t>采购人：</w:t>
      </w:r>
      <w:r>
        <w:rPr>
          <w:rFonts w:hint="eastAsia" w:ascii="宋体" w:hAnsi="宋体" w:eastAsia="宋体" w:cs="宋体"/>
          <w:b/>
          <w:bCs/>
          <w:color w:val="auto"/>
          <w:sz w:val="28"/>
          <w:szCs w:val="28"/>
          <w:u w:val="single"/>
          <w:lang w:val="en-US" w:eastAsia="zh-CN"/>
        </w:rPr>
        <w:t>向士令</w:t>
      </w:r>
    </w:p>
    <w:p>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南方电网人工智能科技有限公司</w:t>
      </w:r>
    </w:p>
    <w:p>
      <w:pPr>
        <w:pageBreakBefore w:val="0"/>
        <w:widowControl w:val="0"/>
        <w:kinsoku/>
        <w:wordWrap/>
        <w:overflowPunct/>
        <w:topLinePunct w:val="0"/>
        <w:autoSpaceDE/>
        <w:autoSpaceDN/>
        <w:bidi w:val="0"/>
        <w:adjustRightInd/>
        <w:snapToGrid w:val="0"/>
        <w:spacing w:line="560" w:lineRule="exact"/>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2026年4月</w:t>
      </w:r>
    </w:p>
    <w:p>
      <w:pPr>
        <w:pageBreakBefore w:val="0"/>
        <w:widowControl w:val="0"/>
        <w:kinsoku/>
        <w:wordWrap/>
        <w:overflowPunct/>
        <w:topLinePunct w:val="0"/>
        <w:autoSpaceDE/>
        <w:autoSpaceDN/>
        <w:bidi w:val="0"/>
        <w:adjustRightInd/>
        <w:spacing w:line="560" w:lineRule="exact"/>
        <w:textAlignment w:val="auto"/>
        <w:rPr>
          <w:rFonts w:hint="eastAsia"/>
          <w:color w:val="auto"/>
          <w:sz w:val="36"/>
          <w:szCs w:val="21"/>
          <w:lang w:val="en-US" w:eastAsia="zh-CN"/>
        </w:rPr>
      </w:pPr>
      <w:r>
        <w:rPr>
          <w:rFonts w:hint="eastAsia"/>
          <w:color w:val="auto"/>
          <w:sz w:val="36"/>
          <w:szCs w:val="21"/>
          <w:lang w:val="en-US" w:eastAsia="zh-CN"/>
        </w:rPr>
        <w:br w:type="page"/>
      </w:r>
    </w:p>
    <w:p>
      <w:pPr>
        <w:pStyle w:val="5"/>
        <w:pageBreakBefore w:val="0"/>
        <w:widowControl w:val="0"/>
        <w:numPr>
          <w:ilvl w:val="0"/>
          <w:numId w:val="0"/>
        </w:numPr>
        <w:kinsoku/>
        <w:wordWrap/>
        <w:overflowPunct/>
        <w:topLinePunct w:val="0"/>
        <w:autoSpaceDE/>
        <w:autoSpaceDN/>
        <w:bidi w:val="0"/>
        <w:adjustRightInd/>
        <w:snapToGrid w:val="0"/>
        <w:spacing w:before="0" w:beforeLines="0" w:after="0" w:afterLines="0" w:line="560" w:lineRule="exact"/>
        <w:ind w:left="720" w:leftChars="300" w:firstLine="0" w:firstLineChars="0"/>
        <w:textAlignment w:val="auto"/>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一、项目背景</w:t>
      </w:r>
    </w:p>
    <w:p>
      <w:pPr>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为进一步完善南方电网人工智能科技有限公司保密基础设施，结合公司信息化终端平台现状及业务发展需要，开展移动通信干扰器</w:t>
      </w:r>
      <w:r>
        <w:rPr>
          <w:rFonts w:hint="eastAsia" w:ascii="仿宋_GB2312" w:hAnsi="仿宋_GB2312" w:eastAsia="仿宋_GB2312" w:cs="仿宋_GB2312"/>
          <w:color w:val="auto"/>
          <w:sz w:val="32"/>
          <w:szCs w:val="32"/>
          <w:lang w:val="en-US" w:eastAsia="zh-Hans"/>
        </w:rPr>
        <w:t>保密类产品</w:t>
      </w:r>
      <w:r>
        <w:rPr>
          <w:rFonts w:hint="eastAsia" w:ascii="仿宋_GB2312" w:hAnsi="仿宋_GB2312" w:eastAsia="仿宋_GB2312" w:cs="仿宋_GB2312"/>
          <w:color w:val="auto"/>
          <w:sz w:val="32"/>
          <w:szCs w:val="32"/>
          <w:lang w:val="en-US" w:eastAsia="zh-CN"/>
        </w:rPr>
        <w:t>采购，满足项目实施及公司人员办公需求，防范公司失泄密风险。</w:t>
      </w:r>
      <w:bookmarkStart w:id="17" w:name="_GoBack"/>
      <w:bookmarkEnd w:id="17"/>
    </w:p>
    <w:p>
      <w:pPr>
        <w:pStyle w:val="5"/>
        <w:pageBreakBefore w:val="0"/>
        <w:widowControl w:val="0"/>
        <w:numPr>
          <w:ilvl w:val="0"/>
          <w:numId w:val="0"/>
        </w:numPr>
        <w:kinsoku/>
        <w:wordWrap/>
        <w:overflowPunct/>
        <w:topLinePunct w:val="0"/>
        <w:autoSpaceDE/>
        <w:autoSpaceDN/>
        <w:bidi w:val="0"/>
        <w:adjustRightInd/>
        <w:snapToGrid w:val="0"/>
        <w:spacing w:before="0" w:beforeLines="0" w:after="0" w:afterLines="0" w:line="560" w:lineRule="exact"/>
        <w:ind w:leftChars="225"/>
        <w:textAlignment w:val="auto"/>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二、工作范围</w:t>
      </w:r>
    </w:p>
    <w:p>
      <w:pPr>
        <w:pStyle w:val="5"/>
        <w:pageBreakBefore w:val="0"/>
        <w:widowControl w:val="0"/>
        <w:numPr>
          <w:ilvl w:val="0"/>
          <w:numId w:val="0"/>
        </w:numPr>
        <w:kinsoku/>
        <w:wordWrap/>
        <w:overflowPunct/>
        <w:topLinePunct w:val="0"/>
        <w:autoSpaceDE/>
        <w:autoSpaceDN/>
        <w:bidi w:val="0"/>
        <w:adjustRightInd/>
        <w:snapToGrid w:val="0"/>
        <w:spacing w:before="0" w:beforeLines="0" w:after="0" w:afterLines="0" w:line="560" w:lineRule="exact"/>
        <w:ind w:firstLine="640" w:firstLineChars="200"/>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1.从生产厂家至采购人指定交货点的运输和装卸全部由报价人完成。</w:t>
      </w:r>
    </w:p>
    <w:p>
      <w:pPr>
        <w:pStyle w:val="5"/>
        <w:pageBreakBefore w:val="0"/>
        <w:widowControl w:val="0"/>
        <w:numPr>
          <w:ilvl w:val="0"/>
          <w:numId w:val="0"/>
        </w:numPr>
        <w:kinsoku/>
        <w:wordWrap/>
        <w:overflowPunct/>
        <w:topLinePunct w:val="0"/>
        <w:autoSpaceDE/>
        <w:autoSpaceDN/>
        <w:bidi w:val="0"/>
        <w:adjustRightInd/>
        <w:snapToGrid w:val="0"/>
        <w:spacing w:before="0" w:beforeLines="0" w:after="0" w:afterLines="0" w:line="560" w:lineRule="exact"/>
        <w:ind w:firstLine="640" w:firstLineChars="200"/>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2.现场安装和试验在报价人的技术指导和监督下由采购人完成，报价人协助采购人按标准检查安装质量，处理调试投运过程中出现的问题。</w:t>
      </w:r>
    </w:p>
    <w:p>
      <w:pPr>
        <w:pStyle w:val="5"/>
        <w:pageBreakBefore w:val="0"/>
        <w:widowControl w:val="0"/>
        <w:numPr>
          <w:ilvl w:val="0"/>
          <w:numId w:val="0"/>
        </w:numPr>
        <w:kinsoku/>
        <w:wordWrap/>
        <w:overflowPunct/>
        <w:topLinePunct w:val="0"/>
        <w:autoSpaceDE/>
        <w:autoSpaceDN/>
        <w:bidi w:val="0"/>
        <w:adjustRightInd/>
        <w:snapToGrid w:val="0"/>
        <w:spacing w:before="0" w:beforeLines="0" w:after="0" w:afterLines="0" w:line="560" w:lineRule="exact"/>
        <w:ind w:left="720" w:leftChars="300" w:firstLine="0" w:firstLineChars="0"/>
        <w:textAlignment w:val="auto"/>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三、技术要求</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本项目拟采购移动通信干扰器</w:t>
      </w:r>
      <w:r>
        <w:rPr>
          <w:rFonts w:hint="eastAsia" w:ascii="仿宋_GB2312" w:hAnsi="仿宋_GB2312" w:eastAsia="仿宋_GB2312" w:cs="仿宋_GB2312"/>
          <w:color w:val="auto"/>
          <w:sz w:val="32"/>
          <w:szCs w:val="32"/>
          <w:lang w:val="en-US" w:eastAsia="zh-Hans"/>
        </w:rPr>
        <w:t>保密类产品</w:t>
      </w:r>
      <w:r>
        <w:rPr>
          <w:rFonts w:hint="eastAsia" w:ascii="仿宋_GB2312" w:hAnsi="仿宋_GB2312" w:eastAsia="仿宋_GB2312" w:cs="仿宋_GB2312"/>
          <w:color w:val="auto"/>
          <w:sz w:val="32"/>
          <w:szCs w:val="32"/>
          <w:lang w:val="en-US" w:eastAsia="zh-CN"/>
        </w:rPr>
        <w:t>，拟采购的设备清单及技术规格如下：</w:t>
      </w:r>
    </w:p>
    <w:tbl>
      <w:tblPr>
        <w:tblStyle w:val="8"/>
        <w:tblW w:w="8651"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4"/>
        <w:gridCol w:w="1652"/>
        <w:gridCol w:w="5157"/>
        <w:gridCol w:w="8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Hans"/>
              </w:rPr>
              <w:t>序号</w:t>
            </w:r>
          </w:p>
        </w:tc>
        <w:tc>
          <w:tcPr>
            <w:tcW w:w="1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ind w:firstLine="320" w:firstLineChars="100"/>
              <w:jc w:val="both"/>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Hans"/>
              </w:rPr>
              <w:t>名称</w:t>
            </w:r>
          </w:p>
        </w:tc>
        <w:tc>
          <w:tcPr>
            <w:tcW w:w="51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center"/>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Hans"/>
              </w:rPr>
              <w:t>规格</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Hans"/>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9"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ind w:firstLine="320" w:firstLineChars="100"/>
              <w:jc w:val="both"/>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CN"/>
              </w:rPr>
              <w:t>1</w:t>
            </w:r>
          </w:p>
        </w:tc>
        <w:tc>
          <w:tcPr>
            <w:tcW w:w="16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CN"/>
              </w:rPr>
              <w:t>移动通信干扰器</w:t>
            </w:r>
          </w:p>
        </w:tc>
        <w:tc>
          <w:tcPr>
            <w:tcW w:w="51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1、干扰制式：2G/3G/4G/5G/WIFI</w:t>
            </w: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2、单路发射功率：≤2W</w:t>
            </w:r>
          </w:p>
          <w:p>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jc w:val="both"/>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CN"/>
              </w:rPr>
              <w:t>3、干扰距离：≤10米（受使用环境影响）</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CN"/>
              </w:rPr>
              <w:t>1</w:t>
            </w:r>
          </w:p>
        </w:tc>
      </w:tr>
    </w:tbl>
    <w:p>
      <w:pPr>
        <w:pStyle w:val="4"/>
        <w:pageBreakBefore w:val="0"/>
        <w:widowControl w:val="0"/>
        <w:numPr>
          <w:ilvl w:val="0"/>
          <w:numId w:val="0"/>
        </w:numPr>
        <w:kinsoku/>
        <w:wordWrap/>
        <w:overflowPunct/>
        <w:topLinePunct w:val="0"/>
        <w:autoSpaceDE/>
        <w:autoSpaceDN/>
        <w:bidi w:val="0"/>
        <w:adjustRightInd/>
        <w:spacing w:before="0" w:beforeLines="0" w:after="0" w:afterLines="0" w:line="560" w:lineRule="exact"/>
        <w:ind w:leftChars="0"/>
        <w:textAlignment w:val="auto"/>
        <w:rPr>
          <w:rFonts w:hint="eastAsia" w:ascii="宋体" w:hAnsi="宋体" w:eastAsia="宋体" w:cs="宋体"/>
          <w:b/>
          <w:bCs/>
          <w:color w:val="auto"/>
          <w:kern w:val="0"/>
          <w:sz w:val="24"/>
          <w:szCs w:val="24"/>
          <w:lang w:val="en-US" w:eastAsia="zh-CN"/>
        </w:rPr>
      </w:pPr>
    </w:p>
    <w:p>
      <w:pPr>
        <w:pStyle w:val="4"/>
        <w:pageBreakBefore w:val="0"/>
        <w:widowControl w:val="0"/>
        <w:numPr>
          <w:ilvl w:val="0"/>
          <w:numId w:val="0"/>
        </w:numPr>
        <w:kinsoku/>
        <w:wordWrap/>
        <w:overflowPunct/>
        <w:topLinePunct w:val="0"/>
        <w:autoSpaceDE/>
        <w:autoSpaceDN/>
        <w:bidi w:val="0"/>
        <w:adjustRightInd/>
        <w:spacing w:before="0" w:beforeLines="0" w:after="0" w:afterLines="0" w:line="560" w:lineRule="exact"/>
        <w:ind w:left="480" w:leftChars="200" w:firstLine="240" w:firstLineChars="75"/>
        <w:textAlignment w:val="auto"/>
        <w:rPr>
          <w:rFonts w:hint="eastAsia" w:ascii="黑体" w:hAnsi="黑体" w:eastAsia="黑体" w:cs="黑体"/>
          <w:b w:val="0"/>
          <w:bCs w:val="0"/>
          <w:color w:val="auto"/>
          <w:kern w:val="0"/>
          <w:sz w:val="32"/>
          <w:szCs w:val="32"/>
        </w:rPr>
      </w:pPr>
      <w:r>
        <w:rPr>
          <w:rFonts w:hint="eastAsia" w:ascii="黑体" w:hAnsi="黑体" w:eastAsia="黑体" w:cs="黑体"/>
          <w:b w:val="0"/>
          <w:bCs w:val="0"/>
          <w:color w:val="auto"/>
          <w:kern w:val="0"/>
          <w:sz w:val="32"/>
          <w:szCs w:val="32"/>
          <w:lang w:val="en-US" w:eastAsia="zh-CN"/>
        </w:rPr>
        <w:t>四、到货周期</w:t>
      </w:r>
    </w:p>
    <w:p>
      <w:pPr>
        <w:pStyle w:val="11"/>
        <w:pageBreakBefore w:val="0"/>
        <w:widowControl w:val="0"/>
        <w:kinsoku/>
        <w:wordWrap/>
        <w:overflowPunct/>
        <w:topLinePunct w:val="0"/>
        <w:autoSpaceDE/>
        <w:autoSpaceDN/>
        <w:bidi w:val="0"/>
        <w:adjustRightInd/>
        <w:spacing w:before="0" w:after="0" w:line="560" w:lineRule="exact"/>
        <w:ind w:firstLine="68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合同签订之日起至30天内完成货物到货验收，包括物流，报价人协助完成安装调试。</w:t>
      </w:r>
    </w:p>
    <w:p>
      <w:pPr>
        <w:pStyle w:val="4"/>
        <w:pageBreakBefore w:val="0"/>
        <w:widowControl w:val="0"/>
        <w:numPr>
          <w:ilvl w:val="0"/>
          <w:numId w:val="0"/>
        </w:numPr>
        <w:kinsoku/>
        <w:wordWrap/>
        <w:overflowPunct/>
        <w:topLinePunct w:val="0"/>
        <w:autoSpaceDE/>
        <w:autoSpaceDN/>
        <w:bidi w:val="0"/>
        <w:adjustRightInd/>
        <w:spacing w:before="0" w:beforeLines="0" w:after="0" w:afterLines="0" w:line="560" w:lineRule="exact"/>
        <w:ind w:left="480" w:leftChars="200" w:firstLine="240" w:firstLineChars="75"/>
        <w:textAlignment w:val="auto"/>
        <w:rPr>
          <w:rFonts w:hint="eastAsia" w:ascii="黑体" w:hAnsi="黑体" w:eastAsia="黑体" w:cs="黑体"/>
          <w:b w:val="0"/>
          <w:bCs/>
          <w:color w:val="auto"/>
          <w:kern w:val="0"/>
          <w:sz w:val="32"/>
          <w:szCs w:val="32"/>
        </w:rPr>
      </w:pPr>
      <w:bookmarkStart w:id="0" w:name="_Toc221617188"/>
      <w:bookmarkEnd w:id="0"/>
      <w:bookmarkStart w:id="1" w:name="_Toc221617189"/>
      <w:bookmarkEnd w:id="1"/>
      <w:bookmarkStart w:id="2" w:name="_Toc221619633"/>
      <w:bookmarkEnd w:id="2"/>
      <w:bookmarkStart w:id="3" w:name="_Toc221610059"/>
      <w:bookmarkEnd w:id="3"/>
      <w:bookmarkStart w:id="4" w:name="_Toc221619634"/>
      <w:bookmarkEnd w:id="4"/>
      <w:bookmarkStart w:id="5" w:name="_Toc221617186"/>
      <w:bookmarkEnd w:id="5"/>
      <w:bookmarkStart w:id="6" w:name="_Toc221617187"/>
      <w:bookmarkEnd w:id="6"/>
      <w:bookmarkStart w:id="7" w:name="_Toc221610057"/>
      <w:bookmarkEnd w:id="7"/>
      <w:bookmarkStart w:id="8" w:name="_Toc221619632"/>
      <w:bookmarkEnd w:id="8"/>
      <w:bookmarkStart w:id="9" w:name="_Toc221610058"/>
      <w:bookmarkEnd w:id="9"/>
      <w:bookmarkStart w:id="10" w:name="_Toc221619631"/>
      <w:bookmarkEnd w:id="10"/>
      <w:bookmarkStart w:id="11" w:name="_Toc221610060"/>
      <w:bookmarkEnd w:id="11"/>
      <w:bookmarkStart w:id="12" w:name="_Toc58225921"/>
      <w:bookmarkStart w:id="13" w:name="_Toc26871"/>
      <w:r>
        <w:rPr>
          <w:rFonts w:hint="eastAsia" w:ascii="黑体" w:hAnsi="黑体" w:eastAsia="黑体" w:cs="黑体"/>
          <w:b w:val="0"/>
          <w:bCs/>
          <w:color w:val="auto"/>
          <w:kern w:val="0"/>
          <w:sz w:val="32"/>
          <w:szCs w:val="32"/>
          <w:lang w:eastAsia="zh-CN"/>
        </w:rPr>
        <w:t>五、</w:t>
      </w:r>
      <w:r>
        <w:rPr>
          <w:rFonts w:hint="eastAsia" w:ascii="黑体" w:hAnsi="黑体" w:eastAsia="黑体" w:cs="黑体"/>
          <w:b w:val="0"/>
          <w:bCs/>
          <w:color w:val="auto"/>
          <w:kern w:val="0"/>
          <w:sz w:val="32"/>
          <w:szCs w:val="32"/>
        </w:rPr>
        <w:t>售后服务</w:t>
      </w:r>
      <w:bookmarkEnd w:id="12"/>
      <w:bookmarkEnd w:id="13"/>
    </w:p>
    <w:p>
      <w:pPr>
        <w:pageBreakBefore w:val="0"/>
        <w:widowControl w:val="0"/>
        <w:tabs>
          <w:tab w:val="left" w:pos="1148"/>
        </w:tabs>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在产品质保期内有制造质量的货物，由供货方负责修理或更换。对非甲方责任造成的货物损坏，供货方有优先提供更换的义务。</w:t>
      </w:r>
    </w:p>
    <w:p>
      <w:pPr>
        <w:pageBreakBefore w:val="0"/>
        <w:widowControl w:val="0"/>
        <w:numPr>
          <w:ilvl w:val="0"/>
          <w:numId w:val="1"/>
        </w:numPr>
        <w:tabs>
          <w:tab w:val="left" w:pos="1148"/>
          <w:tab w:val="clear" w:pos="312"/>
        </w:tabs>
        <w:kinsoku/>
        <w:wordWrap/>
        <w:overflowPunct/>
        <w:topLinePunct w:val="0"/>
        <w:autoSpaceDE/>
        <w:autoSpaceDN/>
        <w:bidi w:val="0"/>
        <w:adjustRightInd/>
        <w:spacing w:line="560" w:lineRule="exact"/>
        <w:ind w:left="0" w:leftChars="0" w:firstLine="720" w:firstLineChars="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项目支持人员不得少于1人，产品远程咨询使用服务。</w:t>
      </w:r>
    </w:p>
    <w:p>
      <w:pPr>
        <w:pageBreakBefore w:val="0"/>
        <w:widowControl w:val="0"/>
        <w:numPr>
          <w:ilvl w:val="0"/>
          <w:numId w:val="1"/>
        </w:numPr>
        <w:tabs>
          <w:tab w:val="left" w:pos="1148"/>
          <w:tab w:val="clear" w:pos="312"/>
        </w:tabs>
        <w:kinsoku/>
        <w:wordWrap/>
        <w:overflowPunct/>
        <w:topLinePunct w:val="0"/>
        <w:autoSpaceDE/>
        <w:autoSpaceDN/>
        <w:bidi w:val="0"/>
        <w:adjustRightInd/>
        <w:spacing w:line="560" w:lineRule="exact"/>
        <w:ind w:left="0" w:leftChars="0" w:firstLine="720" w:firstLineChars="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保修期内故障时，所提供的替代品性能应等于和高于原产品的性能；</w:t>
      </w:r>
    </w:p>
    <w:p>
      <w:pPr>
        <w:pageBreakBefore w:val="0"/>
        <w:widowControl w:val="0"/>
        <w:numPr>
          <w:ilvl w:val="0"/>
          <w:numId w:val="1"/>
        </w:numPr>
        <w:tabs>
          <w:tab w:val="left" w:pos="1148"/>
          <w:tab w:val="clear" w:pos="312"/>
        </w:tabs>
        <w:kinsoku/>
        <w:wordWrap/>
        <w:overflowPunct/>
        <w:topLinePunct w:val="0"/>
        <w:autoSpaceDE/>
        <w:autoSpaceDN/>
        <w:bidi w:val="0"/>
        <w:adjustRightInd/>
        <w:spacing w:line="560" w:lineRule="exact"/>
        <w:ind w:left="0" w:leftChars="0" w:firstLine="720" w:firstLineChars="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7天内故障应得以解决。</w:t>
      </w:r>
    </w:p>
    <w:p>
      <w:pPr>
        <w:pageBreakBefore w:val="0"/>
        <w:widowControl w:val="0"/>
        <w:tabs>
          <w:tab w:val="left" w:pos="1148"/>
        </w:tabs>
        <w:kinsoku/>
        <w:wordWrap/>
        <w:overflowPunct/>
        <w:topLinePunct w:val="0"/>
        <w:autoSpaceDE/>
        <w:autoSpaceDN/>
        <w:bidi w:val="0"/>
        <w:adjustRightInd/>
        <w:spacing w:line="560" w:lineRule="exact"/>
        <w:ind w:firstLine="48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项目通过实施终验后报价方提供为期一年的质量保证期。报价方对本项目做出如下的服务承诺：</w:t>
      </w:r>
    </w:p>
    <w:p>
      <w:pPr>
        <w:pageBreakBefore w:val="0"/>
        <w:widowControl w:val="0"/>
        <w:numPr>
          <w:ilvl w:val="0"/>
          <w:numId w:val="0"/>
        </w:numPr>
        <w:tabs>
          <w:tab w:val="left" w:pos="1148"/>
        </w:tabs>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在质保期内，报价方应负责本项目的质保服务，确保系统安全、稳定、正常地运行，报价方根据要求提供电话支持、系统故障处理、定期巡检等服务，并在约定或采购方要求的时限内响应并排除采购方报告的故障、缺陷。</w:t>
      </w:r>
    </w:p>
    <w:p>
      <w:pPr>
        <w:pageBreakBefore w:val="0"/>
        <w:widowControl w:val="0"/>
        <w:numPr>
          <w:ilvl w:val="0"/>
          <w:numId w:val="0"/>
        </w:numPr>
        <w:tabs>
          <w:tab w:val="left" w:pos="1148"/>
        </w:tabs>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具体质保期服务内容如下：</w:t>
      </w:r>
    </w:p>
    <w:p>
      <w:pPr>
        <w:pageBreakBefore w:val="0"/>
        <w:widowControl w:val="0"/>
        <w:numPr>
          <w:ilvl w:val="0"/>
          <w:numId w:val="0"/>
        </w:numPr>
        <w:tabs>
          <w:tab w:val="left" w:pos="1148"/>
        </w:tabs>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电话支持服务</w:t>
      </w:r>
    </w:p>
    <w:p>
      <w:pPr>
        <w:pageBreakBefore w:val="0"/>
        <w:widowControl w:val="0"/>
        <w:numPr>
          <w:ilvl w:val="0"/>
          <w:numId w:val="0"/>
        </w:numPr>
        <w:tabs>
          <w:tab w:val="left" w:pos="1148"/>
        </w:tabs>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b w:val="0"/>
          <w:color w:val="auto"/>
          <w:kern w:val="2"/>
          <w:sz w:val="32"/>
          <w:szCs w:val="32"/>
          <w:lang w:val="en-US" w:eastAsia="zh-CN" w:bidi="ar-SA"/>
        </w:rPr>
        <w:t>报价方提供7X24小时（含节假日）关于采购方质保服务对象的电话支持和相关技术咨询服务。</w:t>
      </w:r>
    </w:p>
    <w:p>
      <w:pPr>
        <w:pageBreakBefore w:val="0"/>
        <w:widowControl w:val="0"/>
        <w:numPr>
          <w:ilvl w:val="0"/>
          <w:numId w:val="0"/>
        </w:numPr>
        <w:tabs>
          <w:tab w:val="left" w:pos="1148"/>
        </w:tabs>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b w:val="0"/>
          <w:color w:val="auto"/>
          <w:kern w:val="2"/>
          <w:sz w:val="32"/>
          <w:szCs w:val="32"/>
          <w:lang w:val="en-US" w:eastAsia="zh-CN" w:bidi="ar-SA"/>
        </w:rPr>
        <w:t>在质保服务期间，报价方应主动打电话向采购方系统管理人员了解系统的运行情况，掌握系统运行状况，并详细纪录运行信息（如有发生），采购方可根据需要随时调阅。</w:t>
      </w:r>
    </w:p>
    <w:p>
      <w:pPr>
        <w:pStyle w:val="4"/>
        <w:pageBreakBefore w:val="0"/>
        <w:widowControl w:val="0"/>
        <w:numPr>
          <w:ilvl w:val="0"/>
          <w:numId w:val="0"/>
        </w:numPr>
        <w:kinsoku/>
        <w:wordWrap/>
        <w:overflowPunct/>
        <w:topLinePunct w:val="0"/>
        <w:autoSpaceDE/>
        <w:autoSpaceDN/>
        <w:bidi w:val="0"/>
        <w:adjustRightInd/>
        <w:spacing w:before="0" w:beforeLines="0" w:after="0" w:afterLines="0" w:line="560" w:lineRule="exact"/>
        <w:ind w:firstLine="640" w:firstLineChars="200"/>
        <w:textAlignment w:val="auto"/>
        <w:rPr>
          <w:rFonts w:hint="eastAsia" w:ascii="黑体" w:hAnsi="黑体" w:eastAsia="黑体" w:cs="黑体"/>
          <w:b w:val="0"/>
          <w:bCs/>
          <w:color w:val="auto"/>
          <w:kern w:val="0"/>
          <w:sz w:val="32"/>
          <w:szCs w:val="32"/>
          <w:lang w:val="en-US" w:eastAsia="zh-CN"/>
        </w:rPr>
      </w:pPr>
      <w:r>
        <w:rPr>
          <w:rFonts w:hint="eastAsia" w:ascii="黑体" w:hAnsi="黑体" w:eastAsia="黑体" w:cs="黑体"/>
          <w:b w:val="0"/>
          <w:bCs/>
          <w:color w:val="auto"/>
          <w:kern w:val="0"/>
          <w:sz w:val="32"/>
          <w:szCs w:val="32"/>
          <w:lang w:val="en-US" w:eastAsia="zh-CN"/>
        </w:rPr>
        <w:t>六、质量保证</w:t>
      </w:r>
    </w:p>
    <w:p>
      <w:pPr>
        <w:pStyle w:val="5"/>
        <w:pageBreakBefore w:val="0"/>
        <w:widowControl w:val="0"/>
        <w:numPr>
          <w:ilvl w:val="0"/>
          <w:numId w:val="0"/>
        </w:numPr>
        <w:kinsoku/>
        <w:wordWrap/>
        <w:overflowPunct/>
        <w:topLinePunct w:val="0"/>
        <w:autoSpaceDE/>
        <w:autoSpaceDN/>
        <w:bidi w:val="0"/>
        <w:adjustRightInd/>
        <w:spacing w:before="0" w:beforeLines="0" w:after="0" w:afterLines="0" w:line="560" w:lineRule="exact"/>
        <w:ind w:leftChars="0" w:firstLine="640" w:firstLineChars="200"/>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1.供方所提供货物的质量保证期为从供方所提供货物通过验收并投运后12个月。</w:t>
      </w:r>
    </w:p>
    <w:p>
      <w:pPr>
        <w:pStyle w:val="5"/>
        <w:pageBreakBefore w:val="0"/>
        <w:widowControl w:val="0"/>
        <w:numPr>
          <w:ilvl w:val="0"/>
          <w:numId w:val="0"/>
        </w:numPr>
        <w:kinsoku/>
        <w:wordWrap/>
        <w:overflowPunct/>
        <w:topLinePunct w:val="0"/>
        <w:autoSpaceDE/>
        <w:autoSpaceDN/>
        <w:bidi w:val="0"/>
        <w:adjustRightInd/>
        <w:spacing w:before="0" w:beforeLines="0" w:after="0" w:afterLines="0" w:line="560" w:lineRule="exact"/>
        <w:ind w:leftChars="0" w:firstLine="640" w:firstLineChars="200"/>
        <w:textAlignment w:val="auto"/>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2.在供方所提供货物质量保证期内，如发现供方提供的货物有缺陷，不符合甲方规定，供方应按照甲方要求进行免费修理或更换,同时质量保证期延长一年。</w:t>
      </w:r>
    </w:p>
    <w:p>
      <w:pPr>
        <w:pStyle w:val="4"/>
        <w:pageBreakBefore w:val="0"/>
        <w:widowControl w:val="0"/>
        <w:numPr>
          <w:ilvl w:val="0"/>
          <w:numId w:val="0"/>
        </w:numPr>
        <w:kinsoku/>
        <w:wordWrap/>
        <w:overflowPunct/>
        <w:topLinePunct w:val="0"/>
        <w:autoSpaceDE/>
        <w:autoSpaceDN/>
        <w:bidi w:val="0"/>
        <w:adjustRightInd/>
        <w:spacing w:before="0" w:beforeLines="0" w:after="0" w:afterLines="0" w:line="560" w:lineRule="exact"/>
        <w:ind w:firstLine="640" w:firstLineChars="200"/>
        <w:textAlignment w:val="auto"/>
        <w:rPr>
          <w:rFonts w:hint="default" w:ascii="黑体" w:hAnsi="黑体" w:eastAsia="黑体" w:cs="黑体"/>
          <w:b w:val="0"/>
          <w:bCs/>
          <w:color w:val="auto"/>
          <w:kern w:val="0"/>
          <w:sz w:val="32"/>
          <w:szCs w:val="32"/>
          <w:lang w:val="en-US" w:eastAsia="zh-CN"/>
        </w:rPr>
      </w:pPr>
      <w:r>
        <w:rPr>
          <w:rFonts w:hint="eastAsia" w:ascii="黑体" w:hAnsi="黑体" w:eastAsia="黑体" w:cs="黑体"/>
          <w:b w:val="0"/>
          <w:bCs/>
          <w:color w:val="auto"/>
          <w:kern w:val="0"/>
          <w:sz w:val="32"/>
          <w:szCs w:val="32"/>
          <w:lang w:val="en-US" w:eastAsia="zh-CN"/>
        </w:rPr>
        <w:t>七、验收要求</w:t>
      </w:r>
    </w:p>
    <w:p>
      <w:pPr>
        <w:pStyle w:val="6"/>
        <w:pageBreakBefore w:val="0"/>
        <w:widowControl w:val="0"/>
        <w:kinsoku/>
        <w:wordWrap/>
        <w:overflowPunct/>
        <w:topLinePunct w:val="0"/>
        <w:autoSpaceDE/>
        <w:autoSpaceDN/>
        <w:bidi w:val="0"/>
        <w:adjustRightInd/>
        <w:snapToGrid w:val="0"/>
        <w:spacing w:before="0" w:beforeLines="0" w:after="0" w:afterLines="0" w:line="560" w:lineRule="exact"/>
        <w:ind w:firstLine="640" w:firstLineChars="200"/>
        <w:textAlignment w:val="auto"/>
        <w:rPr>
          <w:rFonts w:hint="eastAsia" w:ascii="仿宋_GB2312" w:hAnsi="仿宋_GB2312" w:eastAsia="仿宋_GB2312" w:cs="仿宋_GB2312"/>
          <w:b w:val="0"/>
          <w:bCs w:val="0"/>
          <w:color w:val="auto"/>
          <w:sz w:val="32"/>
          <w:szCs w:val="32"/>
        </w:rPr>
      </w:pPr>
      <w:bookmarkStart w:id="14" w:name="_Toc25660"/>
      <w:r>
        <w:rPr>
          <w:rFonts w:hint="eastAsia" w:ascii="仿宋_GB2312" w:hAnsi="仿宋_GB2312" w:eastAsia="仿宋_GB2312" w:cs="仿宋_GB2312"/>
          <w:b w:val="0"/>
          <w:bCs w:val="0"/>
          <w:color w:val="auto"/>
          <w:sz w:val="32"/>
          <w:szCs w:val="32"/>
        </w:rPr>
        <w:t>1.验收标准</w:t>
      </w:r>
      <w:bookmarkEnd w:id="14"/>
    </w:p>
    <w:p>
      <w:pPr>
        <w:pStyle w:val="12"/>
        <w:pageBreakBefore w:val="0"/>
        <w:widowControl w:val="0"/>
        <w:kinsoku/>
        <w:wordWrap/>
        <w:overflowPunct/>
        <w:topLinePunct w:val="0"/>
        <w:autoSpaceDE/>
        <w:autoSpaceDN/>
        <w:bidi w:val="0"/>
        <w:adjustRightInd/>
        <w:snapToGrid w:val="0"/>
        <w:spacing w:beforeLines="0" w:afterLines="0"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（1）按照双方签订的技术协议完成双方约定的工作内容。</w:t>
      </w:r>
    </w:p>
    <w:p>
      <w:pPr>
        <w:pStyle w:val="12"/>
        <w:pageBreakBefore w:val="0"/>
        <w:widowControl w:val="0"/>
        <w:kinsoku/>
        <w:wordWrap/>
        <w:overflowPunct/>
        <w:topLinePunct w:val="0"/>
        <w:autoSpaceDE/>
        <w:autoSpaceDN/>
        <w:bidi w:val="0"/>
        <w:adjustRightInd/>
        <w:snapToGrid w:val="0"/>
        <w:spacing w:beforeLines="0" w:afterLines="0" w:line="560" w:lineRule="exact"/>
        <w:ind w:left="-5" w:firstLine="48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提交成果必须符合</w:t>
      </w:r>
      <w:r>
        <w:rPr>
          <w:rFonts w:hint="eastAsia" w:ascii="仿宋_GB2312" w:hAnsi="仿宋_GB2312" w:eastAsia="仿宋_GB2312" w:cs="仿宋_GB2312"/>
          <w:color w:val="auto"/>
          <w:sz w:val="32"/>
          <w:szCs w:val="32"/>
          <w:lang w:val="en-US" w:eastAsia="zh-CN"/>
        </w:rPr>
        <w:t>采购方</w:t>
      </w:r>
      <w:r>
        <w:rPr>
          <w:rFonts w:hint="eastAsia" w:ascii="仿宋_GB2312" w:hAnsi="仿宋_GB2312" w:eastAsia="仿宋_GB2312" w:cs="仿宋_GB2312"/>
          <w:color w:val="auto"/>
          <w:sz w:val="32"/>
          <w:szCs w:val="32"/>
        </w:rPr>
        <w:t>相关标准和管理办法。</w:t>
      </w:r>
    </w:p>
    <w:p>
      <w:pPr>
        <w:pStyle w:val="12"/>
        <w:pageBreakBefore w:val="0"/>
        <w:widowControl w:val="0"/>
        <w:kinsoku/>
        <w:wordWrap/>
        <w:overflowPunct/>
        <w:topLinePunct w:val="0"/>
        <w:autoSpaceDE/>
        <w:autoSpaceDN/>
        <w:bidi w:val="0"/>
        <w:adjustRightInd/>
        <w:snapToGrid w:val="0"/>
        <w:spacing w:beforeLines="0" w:afterLines="0" w:line="560" w:lineRule="exact"/>
        <w:ind w:left="-5" w:firstLine="48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必须完成项目要求的所有工作内容，工作完成情况证明由</w:t>
      </w:r>
      <w:r>
        <w:rPr>
          <w:rFonts w:hint="eastAsia" w:ascii="仿宋_GB2312" w:hAnsi="仿宋_GB2312" w:eastAsia="仿宋_GB2312" w:cs="仿宋_GB2312"/>
          <w:color w:val="auto"/>
          <w:sz w:val="32"/>
          <w:szCs w:val="32"/>
          <w:lang w:val="en-US" w:eastAsia="zh-CN"/>
        </w:rPr>
        <w:t>采购方</w:t>
      </w:r>
      <w:r>
        <w:rPr>
          <w:rFonts w:hint="eastAsia" w:ascii="仿宋_GB2312" w:hAnsi="仿宋_GB2312" w:eastAsia="仿宋_GB2312" w:cs="仿宋_GB2312"/>
          <w:color w:val="auto"/>
          <w:sz w:val="32"/>
          <w:szCs w:val="32"/>
        </w:rPr>
        <w:t>提供。</w:t>
      </w:r>
    </w:p>
    <w:p>
      <w:pPr>
        <w:pStyle w:val="6"/>
        <w:pageBreakBefore w:val="0"/>
        <w:widowControl w:val="0"/>
        <w:kinsoku/>
        <w:wordWrap/>
        <w:overflowPunct/>
        <w:topLinePunct w:val="0"/>
        <w:autoSpaceDE/>
        <w:autoSpaceDN/>
        <w:bidi w:val="0"/>
        <w:adjustRightInd/>
        <w:snapToGrid w:val="0"/>
        <w:spacing w:before="0" w:beforeLines="0" w:after="0" w:afterLines="0" w:line="560" w:lineRule="exact"/>
        <w:ind w:firstLine="640" w:firstLineChars="200"/>
        <w:textAlignment w:val="auto"/>
        <w:rPr>
          <w:rFonts w:hint="eastAsia" w:ascii="仿宋_GB2312" w:hAnsi="仿宋_GB2312" w:eastAsia="仿宋_GB2312" w:cs="仿宋_GB2312"/>
          <w:b w:val="0"/>
          <w:bCs w:val="0"/>
          <w:color w:val="auto"/>
          <w:sz w:val="32"/>
          <w:szCs w:val="32"/>
        </w:rPr>
      </w:pPr>
      <w:bookmarkStart w:id="15" w:name="_Toc29201"/>
      <w:r>
        <w:rPr>
          <w:rFonts w:hint="eastAsia" w:ascii="仿宋_GB2312" w:hAnsi="仿宋_GB2312" w:eastAsia="仿宋_GB2312" w:cs="仿宋_GB2312"/>
          <w:b w:val="0"/>
          <w:bCs w:val="0"/>
          <w:color w:val="auto"/>
          <w:sz w:val="32"/>
          <w:szCs w:val="32"/>
        </w:rPr>
        <w:t>2.验收方法</w:t>
      </w:r>
      <w:bookmarkEnd w:id="15"/>
    </w:p>
    <w:p>
      <w:pPr>
        <w:pStyle w:val="13"/>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如双方认为项目已具备验收条件，</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以书面方式向</w:t>
      </w:r>
      <w:r>
        <w:rPr>
          <w:rFonts w:hint="eastAsia" w:ascii="仿宋_GB2312" w:hAnsi="仿宋_GB2312" w:eastAsia="仿宋_GB2312" w:cs="仿宋_GB2312"/>
          <w:color w:val="auto"/>
          <w:sz w:val="32"/>
          <w:szCs w:val="32"/>
          <w:lang w:val="en-US" w:eastAsia="zh-CN"/>
        </w:rPr>
        <w:t>采购方</w:t>
      </w:r>
      <w:r>
        <w:rPr>
          <w:rFonts w:hint="eastAsia" w:ascii="仿宋_GB2312" w:hAnsi="仿宋_GB2312" w:eastAsia="仿宋_GB2312" w:cs="仿宋_GB2312"/>
          <w:color w:val="auto"/>
          <w:sz w:val="32"/>
          <w:szCs w:val="32"/>
        </w:rPr>
        <w:t>提出验收申请，</w:t>
      </w:r>
      <w:r>
        <w:rPr>
          <w:rFonts w:hint="eastAsia" w:ascii="仿宋_GB2312" w:hAnsi="仿宋_GB2312" w:eastAsia="仿宋_GB2312" w:cs="仿宋_GB2312"/>
          <w:color w:val="auto"/>
          <w:sz w:val="32"/>
          <w:szCs w:val="32"/>
          <w:lang w:val="en-US" w:eastAsia="zh-CN"/>
        </w:rPr>
        <w:t>采购方</w:t>
      </w:r>
      <w:r>
        <w:rPr>
          <w:rFonts w:hint="eastAsia" w:ascii="仿宋_GB2312" w:hAnsi="仿宋_GB2312" w:eastAsia="仿宋_GB2312" w:cs="仿宋_GB2312"/>
          <w:color w:val="auto"/>
          <w:sz w:val="32"/>
          <w:szCs w:val="32"/>
        </w:rPr>
        <w:t>在接到</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验收申请后组织对</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提交的资料进行审核，确认</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提交资料符合采购方项目验收标准后，由</w:t>
      </w:r>
      <w:r>
        <w:rPr>
          <w:rFonts w:hint="eastAsia" w:ascii="仿宋_GB2312" w:hAnsi="仿宋_GB2312" w:eastAsia="仿宋_GB2312" w:cs="仿宋_GB2312"/>
          <w:color w:val="auto"/>
          <w:sz w:val="32"/>
          <w:szCs w:val="32"/>
          <w:lang w:val="en-US" w:eastAsia="zh-CN"/>
        </w:rPr>
        <w:t>采购方</w:t>
      </w:r>
      <w:r>
        <w:rPr>
          <w:rFonts w:hint="eastAsia" w:ascii="仿宋_GB2312" w:hAnsi="仿宋_GB2312" w:eastAsia="仿宋_GB2312" w:cs="仿宋_GB2312"/>
          <w:color w:val="auto"/>
          <w:sz w:val="32"/>
          <w:szCs w:val="32"/>
        </w:rPr>
        <w:t>组织相关人员对</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工作提交的交付物进行评审。</w:t>
      </w:r>
    </w:p>
    <w:p>
      <w:pPr>
        <w:pStyle w:val="6"/>
        <w:pageBreakBefore w:val="0"/>
        <w:widowControl w:val="0"/>
        <w:kinsoku/>
        <w:wordWrap/>
        <w:overflowPunct/>
        <w:topLinePunct w:val="0"/>
        <w:autoSpaceDE/>
        <w:autoSpaceDN/>
        <w:bidi w:val="0"/>
        <w:adjustRightInd/>
        <w:snapToGrid w:val="0"/>
        <w:spacing w:before="0" w:beforeLines="0" w:after="0" w:afterLines="0" w:line="560" w:lineRule="exact"/>
        <w:ind w:firstLine="640" w:firstLineChars="200"/>
        <w:textAlignment w:val="auto"/>
        <w:rPr>
          <w:rFonts w:hint="eastAsia" w:ascii="仿宋_GB2312" w:hAnsi="仿宋_GB2312" w:eastAsia="仿宋_GB2312" w:cs="仿宋_GB2312"/>
          <w:b w:val="0"/>
          <w:bCs w:val="0"/>
          <w:color w:val="auto"/>
          <w:sz w:val="32"/>
          <w:szCs w:val="32"/>
        </w:rPr>
      </w:pPr>
      <w:bookmarkStart w:id="16" w:name="_Toc13775"/>
      <w:r>
        <w:rPr>
          <w:rFonts w:hint="eastAsia" w:ascii="仿宋_GB2312" w:hAnsi="仿宋_GB2312" w:eastAsia="仿宋_GB2312" w:cs="仿宋_GB2312"/>
          <w:b w:val="0"/>
          <w:bCs w:val="0"/>
          <w:color w:val="auto"/>
          <w:sz w:val="32"/>
          <w:szCs w:val="32"/>
        </w:rPr>
        <w:t>3.验收时间与地点</w:t>
      </w:r>
      <w:bookmarkEnd w:id="16"/>
    </w:p>
    <w:p>
      <w:pPr>
        <w:pStyle w:val="12"/>
        <w:pageBreakBefore w:val="0"/>
        <w:widowControl w:val="0"/>
        <w:kinsoku/>
        <w:wordWrap/>
        <w:overflowPunct/>
        <w:topLinePunct w:val="0"/>
        <w:autoSpaceDE/>
        <w:autoSpaceDN/>
        <w:bidi w:val="0"/>
        <w:adjustRightInd/>
        <w:snapToGrid w:val="0"/>
        <w:spacing w:beforeLines="0" w:afterLines="0" w:line="560" w:lineRule="exact"/>
        <w:ind w:firstLine="566" w:firstLineChars="177"/>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（1）验收时间：在完成项目合同约定内容后，</w:t>
      </w:r>
      <w:r>
        <w:rPr>
          <w:rFonts w:hint="eastAsia" w:ascii="仿宋_GB2312" w:hAnsi="仿宋_GB2312" w:eastAsia="仿宋_GB2312" w:cs="仿宋_GB2312"/>
          <w:color w:val="auto"/>
          <w:sz w:val="32"/>
          <w:szCs w:val="32"/>
          <w:lang w:val="en-US" w:eastAsia="zh-CN"/>
        </w:rPr>
        <w:t>报价方</w:t>
      </w:r>
      <w:r>
        <w:rPr>
          <w:rFonts w:hint="eastAsia" w:ascii="仿宋_GB2312" w:hAnsi="仿宋_GB2312" w:eastAsia="仿宋_GB2312" w:cs="仿宋_GB2312"/>
          <w:color w:val="auto"/>
          <w:sz w:val="32"/>
          <w:szCs w:val="32"/>
        </w:rPr>
        <w:t>按照合同约定时间提交验收申请，经</w:t>
      </w:r>
      <w:r>
        <w:rPr>
          <w:rFonts w:hint="eastAsia" w:ascii="仿宋_GB2312" w:hAnsi="仿宋_GB2312" w:eastAsia="仿宋_GB2312" w:cs="仿宋_GB2312"/>
          <w:color w:val="auto"/>
          <w:sz w:val="32"/>
          <w:szCs w:val="32"/>
          <w:lang w:val="en-US" w:eastAsia="zh-CN"/>
        </w:rPr>
        <w:t>采购方</w:t>
      </w:r>
      <w:r>
        <w:rPr>
          <w:rFonts w:hint="eastAsia" w:ascii="仿宋_GB2312" w:hAnsi="仿宋_GB2312" w:eastAsia="仿宋_GB2312" w:cs="仿宋_GB2312"/>
          <w:color w:val="auto"/>
          <w:sz w:val="32"/>
          <w:szCs w:val="32"/>
        </w:rPr>
        <w:t>确认提交资料满足采购方项目验收标准，可以开展验收。</w:t>
      </w:r>
    </w:p>
    <w:p>
      <w:pPr>
        <w:pStyle w:val="12"/>
        <w:pageBreakBefore w:val="0"/>
        <w:widowControl w:val="0"/>
        <w:kinsoku/>
        <w:wordWrap/>
        <w:overflowPunct/>
        <w:topLinePunct w:val="0"/>
        <w:autoSpaceDE/>
        <w:autoSpaceDN/>
        <w:bidi w:val="0"/>
        <w:adjustRightInd/>
        <w:snapToGrid w:val="0"/>
        <w:spacing w:beforeLines="0" w:afterLines="0" w:line="560" w:lineRule="exact"/>
        <w:ind w:left="480" w:leftChars="200" w:firstLine="6" w:firstLineChars="2"/>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（2）验收地点：双方具体约定。</w:t>
      </w:r>
    </w:p>
    <w:p>
      <w:pPr>
        <w:pStyle w:val="13"/>
        <w:pageBreakBefore w:val="0"/>
        <w:widowControl w:val="0"/>
        <w:kinsoku/>
        <w:wordWrap/>
        <w:overflowPunct/>
        <w:topLinePunct w:val="0"/>
        <w:autoSpaceDE/>
        <w:autoSpaceDN/>
        <w:bidi w:val="0"/>
        <w:adjustRightInd/>
        <w:snapToGrid w:val="0"/>
        <w:spacing w:line="560" w:lineRule="exact"/>
        <w:ind w:firstLine="480"/>
        <w:textAlignment w:val="auto"/>
        <w:rPr>
          <w:rFonts w:hint="eastAsia" w:ascii="宋体" w:hAnsi="宋体" w:eastAsia="宋体" w:cs="宋体"/>
          <w:color w:val="auto"/>
          <w:sz w:val="32"/>
          <w:szCs w:val="32"/>
        </w:rPr>
      </w:pPr>
    </w:p>
    <w:p>
      <w:pPr>
        <w:pStyle w:val="12"/>
        <w:pageBreakBefore w:val="0"/>
        <w:widowControl w:val="0"/>
        <w:kinsoku/>
        <w:wordWrap/>
        <w:overflowPunct/>
        <w:topLinePunct w:val="0"/>
        <w:autoSpaceDE/>
        <w:autoSpaceDN/>
        <w:bidi w:val="0"/>
        <w:adjustRightInd/>
        <w:snapToGrid w:val="0"/>
        <w:spacing w:beforeLines="0" w:afterLines="0" w:line="560" w:lineRule="exact"/>
        <w:ind w:left="-5" w:firstLine="480"/>
        <w:textAlignment w:val="auto"/>
        <w:rPr>
          <w:rFonts w:hint="eastAsia" w:ascii="宋体" w:hAnsi="宋体" w:eastAsia="宋体" w:cs="宋体"/>
          <w:b/>
          <w:bCs/>
          <w:color w:val="auto"/>
          <w:sz w:val="32"/>
          <w:szCs w:val="32"/>
        </w:rPr>
      </w:pPr>
    </w:p>
    <w:p>
      <w:pPr>
        <w:pageBreakBefore w:val="0"/>
        <w:widowControl w:val="0"/>
        <w:kinsoku/>
        <w:wordWrap/>
        <w:overflowPunct/>
        <w:topLinePunct w:val="0"/>
        <w:autoSpaceDE/>
        <w:autoSpaceDN/>
        <w:bidi w:val="0"/>
        <w:adjustRightInd/>
        <w:snapToGrid w:val="0"/>
        <w:spacing w:line="560" w:lineRule="exact"/>
        <w:textAlignment w:val="auto"/>
        <w:rPr>
          <w:rFonts w:hint="default"/>
          <w:color w:val="auto"/>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201ED6"/>
    <w:multiLevelType w:val="singleLevel"/>
    <w:tmpl w:val="0A201ED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yNDM1ZTA3NTA4MjlkMWZjODQ3NWE2ZWQzYzk2YjMifQ=="/>
  </w:docVars>
  <w:rsids>
    <w:rsidRoot w:val="20972E9B"/>
    <w:rsid w:val="03E750D2"/>
    <w:rsid w:val="0BF4B89C"/>
    <w:rsid w:val="0DBF264B"/>
    <w:rsid w:val="0F3AFE0D"/>
    <w:rsid w:val="18970C38"/>
    <w:rsid w:val="1DF508D2"/>
    <w:rsid w:val="1FD906B4"/>
    <w:rsid w:val="1FDEB10A"/>
    <w:rsid w:val="1FFCFB05"/>
    <w:rsid w:val="20972E9B"/>
    <w:rsid w:val="22A05015"/>
    <w:rsid w:val="22DC4487"/>
    <w:rsid w:val="24595CEF"/>
    <w:rsid w:val="27DA1836"/>
    <w:rsid w:val="2B6C15F7"/>
    <w:rsid w:val="2BACFD3A"/>
    <w:rsid w:val="2EEB5E16"/>
    <w:rsid w:val="2FD6A09F"/>
    <w:rsid w:val="2FDB3472"/>
    <w:rsid w:val="2FFF5FDF"/>
    <w:rsid w:val="33FDFFB2"/>
    <w:rsid w:val="354660CC"/>
    <w:rsid w:val="379E8D43"/>
    <w:rsid w:val="37FF15C8"/>
    <w:rsid w:val="37FFF423"/>
    <w:rsid w:val="3B6E8EAA"/>
    <w:rsid w:val="3CA7B611"/>
    <w:rsid w:val="3DDECF3F"/>
    <w:rsid w:val="3DEA5434"/>
    <w:rsid w:val="402A17F3"/>
    <w:rsid w:val="45675679"/>
    <w:rsid w:val="45A94121"/>
    <w:rsid w:val="4DE71B01"/>
    <w:rsid w:val="4F3C1677"/>
    <w:rsid w:val="4FFDE2A7"/>
    <w:rsid w:val="5098623D"/>
    <w:rsid w:val="53F57D74"/>
    <w:rsid w:val="54F5B38D"/>
    <w:rsid w:val="57F5BB30"/>
    <w:rsid w:val="57F66A74"/>
    <w:rsid w:val="5BFFF819"/>
    <w:rsid w:val="5DBFFBB9"/>
    <w:rsid w:val="5EDF5544"/>
    <w:rsid w:val="5FAF3A86"/>
    <w:rsid w:val="5FFF9BEA"/>
    <w:rsid w:val="6339FE99"/>
    <w:rsid w:val="634032F4"/>
    <w:rsid w:val="65C72185"/>
    <w:rsid w:val="67FCC447"/>
    <w:rsid w:val="6A667023"/>
    <w:rsid w:val="6B337269"/>
    <w:rsid w:val="6B6956CC"/>
    <w:rsid w:val="6BFB8E53"/>
    <w:rsid w:val="6F79B749"/>
    <w:rsid w:val="6F7AED39"/>
    <w:rsid w:val="6FAFFA17"/>
    <w:rsid w:val="6FC63BBE"/>
    <w:rsid w:val="6FF16B3C"/>
    <w:rsid w:val="6FF7B09A"/>
    <w:rsid w:val="6FFF96E0"/>
    <w:rsid w:val="73775910"/>
    <w:rsid w:val="73A99FA5"/>
    <w:rsid w:val="759258F0"/>
    <w:rsid w:val="76CE47F0"/>
    <w:rsid w:val="77BAC546"/>
    <w:rsid w:val="77F377D1"/>
    <w:rsid w:val="7A593E79"/>
    <w:rsid w:val="7B37C327"/>
    <w:rsid w:val="7B73146E"/>
    <w:rsid w:val="7B7F35B3"/>
    <w:rsid w:val="7BBFCE3A"/>
    <w:rsid w:val="7BF71B11"/>
    <w:rsid w:val="7BFD7CE3"/>
    <w:rsid w:val="7CEFA28F"/>
    <w:rsid w:val="7D7FF73A"/>
    <w:rsid w:val="7E2FF7EA"/>
    <w:rsid w:val="7EDB4E92"/>
    <w:rsid w:val="7F3A8EE9"/>
    <w:rsid w:val="7FBD9DF0"/>
    <w:rsid w:val="7FDF2EFB"/>
    <w:rsid w:val="7FFBF626"/>
    <w:rsid w:val="7FFD8068"/>
    <w:rsid w:val="7FFF57EF"/>
    <w:rsid w:val="7FFF7D49"/>
    <w:rsid w:val="8D7FC053"/>
    <w:rsid w:val="97DF771B"/>
    <w:rsid w:val="97DFFB0B"/>
    <w:rsid w:val="9E6FFBA7"/>
    <w:rsid w:val="A7556C9C"/>
    <w:rsid w:val="A79FA28C"/>
    <w:rsid w:val="ACCA28E8"/>
    <w:rsid w:val="AFBF3992"/>
    <w:rsid w:val="AFEFF681"/>
    <w:rsid w:val="AFFDCF1D"/>
    <w:rsid w:val="B53607C7"/>
    <w:rsid w:val="B55708B1"/>
    <w:rsid w:val="B72F2DA1"/>
    <w:rsid w:val="B79C8F99"/>
    <w:rsid w:val="B9FB8094"/>
    <w:rsid w:val="BACFDA05"/>
    <w:rsid w:val="BB7D7FE9"/>
    <w:rsid w:val="BBD7F7F0"/>
    <w:rsid w:val="BBDDCBBC"/>
    <w:rsid w:val="BBE81473"/>
    <w:rsid w:val="BBF36DD5"/>
    <w:rsid w:val="BDD6B0ED"/>
    <w:rsid w:val="BEDFAC2C"/>
    <w:rsid w:val="BEFD27CF"/>
    <w:rsid w:val="BFBEE266"/>
    <w:rsid w:val="BFD78A5C"/>
    <w:rsid w:val="BFF5DC6E"/>
    <w:rsid w:val="C7F7B5A2"/>
    <w:rsid w:val="CE9AD1E0"/>
    <w:rsid w:val="CEBF305F"/>
    <w:rsid w:val="CFF6B1D7"/>
    <w:rsid w:val="D71E85C7"/>
    <w:rsid w:val="DABFCE9D"/>
    <w:rsid w:val="DBDF492E"/>
    <w:rsid w:val="DCD5E1F1"/>
    <w:rsid w:val="DEAB3E38"/>
    <w:rsid w:val="DF7ECFA5"/>
    <w:rsid w:val="DFFF1F3D"/>
    <w:rsid w:val="E30786B3"/>
    <w:rsid w:val="E6BBC338"/>
    <w:rsid w:val="E7F9A343"/>
    <w:rsid w:val="EBCF6BC1"/>
    <w:rsid w:val="EBFD23D5"/>
    <w:rsid w:val="EBFFF783"/>
    <w:rsid w:val="ED6FA011"/>
    <w:rsid w:val="ED7DFE33"/>
    <w:rsid w:val="EF1FD938"/>
    <w:rsid w:val="EF8A1816"/>
    <w:rsid w:val="EFA3F134"/>
    <w:rsid w:val="EFD75F83"/>
    <w:rsid w:val="EFDD74AC"/>
    <w:rsid w:val="EFFE2100"/>
    <w:rsid w:val="EFFEFDA2"/>
    <w:rsid w:val="F1F42F12"/>
    <w:rsid w:val="F1FB43B0"/>
    <w:rsid w:val="F2B72646"/>
    <w:rsid w:val="F3CD3115"/>
    <w:rsid w:val="F4FDA553"/>
    <w:rsid w:val="F4FE6467"/>
    <w:rsid w:val="F53F1DE0"/>
    <w:rsid w:val="F57F6CA8"/>
    <w:rsid w:val="F748AA0E"/>
    <w:rsid w:val="F7E7972F"/>
    <w:rsid w:val="F9DA2636"/>
    <w:rsid w:val="F9DD9AB7"/>
    <w:rsid w:val="F9E36C18"/>
    <w:rsid w:val="FABD0A09"/>
    <w:rsid w:val="FBB78305"/>
    <w:rsid w:val="FBFF5200"/>
    <w:rsid w:val="FC7FF852"/>
    <w:rsid w:val="FCED7114"/>
    <w:rsid w:val="FDBFE6BD"/>
    <w:rsid w:val="FDD3E9B1"/>
    <w:rsid w:val="FDDF8301"/>
    <w:rsid w:val="FDE76109"/>
    <w:rsid w:val="FDFFCCA5"/>
    <w:rsid w:val="FE7B182C"/>
    <w:rsid w:val="FF4F1DFD"/>
    <w:rsid w:val="FFDF5378"/>
    <w:rsid w:val="FFEFCCD5"/>
    <w:rsid w:val="FFFB7387"/>
    <w:rsid w:val="FFFFDE52"/>
    <w:rsid w:val="FFFFF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Ascii" w:hAnsiTheme="minorAscii" w:eastAsiaTheme="minorEastAsia" w:cstheme="minorBidi"/>
      <w:kern w:val="2"/>
      <w:sz w:val="24"/>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7">
    <w:name w:val="Body Text Indent"/>
    <w:basedOn w:val="1"/>
    <w:qFormat/>
    <w:uiPriority w:val="0"/>
    <w:pPr>
      <w:spacing w:after="120"/>
      <w:ind w:left="420" w:leftChars="200"/>
    </w:p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表格文字"/>
    <w:basedOn w:val="1"/>
    <w:qFormat/>
    <w:uiPriority w:val="0"/>
    <w:pPr>
      <w:spacing w:before="25" w:after="25"/>
    </w:pPr>
    <w:rPr>
      <w:bCs/>
      <w:spacing w:val="10"/>
      <w:sz w:val="24"/>
    </w:rPr>
  </w:style>
  <w:style w:type="paragraph" w:customStyle="1" w:styleId="12">
    <w:name w:val="内容正文"/>
    <w:basedOn w:val="1"/>
    <w:qFormat/>
    <w:uiPriority w:val="0"/>
    <w:pPr>
      <w:spacing w:beforeLines="50" w:afterLines="50"/>
    </w:pPr>
    <w:rPr>
      <w:rFonts w:ascii="Arial" w:hAnsi="Arial"/>
      <w:szCs w:val="21"/>
    </w:rPr>
  </w:style>
  <w:style w:type="paragraph" w:customStyle="1" w:styleId="13">
    <w:name w:val="列出段落1"/>
    <w:basedOn w:val="1"/>
    <w:qFormat/>
    <w:uiPriority w:val="34"/>
  </w:style>
  <w:style w:type="paragraph" w:customStyle="1" w:styleId="14">
    <w:name w:val="标准正文"/>
    <w:basedOn w:val="7"/>
    <w:qFormat/>
    <w:uiPriority w:val="0"/>
    <w:pPr>
      <w:spacing w:before="60" w:after="60" w:line="360" w:lineRule="auto"/>
      <w:ind w:left="0" w:leftChars="0" w:firstLine="482" w:firstLineChars="0"/>
    </w:pPr>
    <w:rPr>
      <w:rFonts w:ascii="Arial" w:hAnsi="Arial"/>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3401</Words>
  <Characters>3605</Characters>
  <Lines>0</Lines>
  <Paragraphs>0</Paragraphs>
  <TotalTime>200</TotalTime>
  <ScaleCrop>false</ScaleCrop>
  <LinksUpToDate>false</LinksUpToDate>
  <CharactersWithSpaces>3633</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2022-12-24T00:55:00Z</dcterms:created>
  <dc:creator>指挥官</dc:creator>
  <cp:lastModifiedBy>pangzb</cp:lastModifiedBy>
  <dcterms:modified xsi:type="dcterms:W3CDTF">2026-03-27T14:51:28Z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DE728B31F65010E0BC1DC669C9266409</vt:lpwstr>
  </property>
</Properties>
</file>