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keepNext w:val="0"/>
        <w:keepLines w:val="0"/>
        <w:pageBreakBefore w:val="0"/>
        <w:shd w:val="clear" w:color="auto" w:fill="auto"/>
        <w:kinsoku/>
        <w:wordWrap/>
        <w:overflowPunct/>
        <w:topLinePunct w:val="0"/>
        <w:bidi w:val="0"/>
        <w:adjustRightInd w:val="0"/>
        <w:snapToGrid w:val="0"/>
        <w:spacing w:line="360" w:lineRule="auto"/>
        <w:ind w:firstLine="643" w:firstLineChars="200"/>
        <w:jc w:val="center"/>
        <w:textAlignment w:val="auto"/>
        <w:outlineLvl w:val="0"/>
        <w:rPr>
          <w:rFonts w:hint="eastAsia" w:hAnsi="宋体" w:cs="宋体"/>
          <w:b/>
          <w:bCs/>
          <w:snapToGrid w:val="0"/>
          <w:color w:val="auto"/>
          <w:kern w:val="0"/>
          <w:sz w:val="32"/>
          <w:szCs w:val="32"/>
          <w:highlight w:val="none"/>
          <w:u w:val="none"/>
          <w:lang w:val="en-US" w:eastAsia="zh-CN"/>
        </w:rPr>
      </w:pPr>
      <w:bookmarkStart w:id="0" w:name="_Toc8445"/>
      <w:r>
        <w:rPr>
          <w:rFonts w:hint="eastAsia" w:hAnsi="宋体" w:cs="宋体"/>
          <w:b/>
          <w:bCs/>
          <w:snapToGrid w:val="0"/>
          <w:color w:val="auto"/>
          <w:kern w:val="0"/>
          <w:sz w:val="32"/>
          <w:szCs w:val="32"/>
          <w:highlight w:val="none"/>
          <w:u w:val="none"/>
          <w:lang w:val="en-US" w:eastAsia="zh-CN"/>
        </w:rPr>
        <w:t>标的3</w:t>
      </w:r>
    </w:p>
    <w:p>
      <w:pPr>
        <w:pStyle w:val="10"/>
        <w:keepNext w:val="0"/>
        <w:keepLines w:val="0"/>
        <w:pageBreakBefore w:val="0"/>
        <w:shd w:val="clear" w:color="auto" w:fill="auto"/>
        <w:kinsoku/>
        <w:wordWrap/>
        <w:overflowPunct/>
        <w:topLinePunct w:val="0"/>
        <w:bidi w:val="0"/>
        <w:adjustRightInd w:val="0"/>
        <w:snapToGrid w:val="0"/>
        <w:spacing w:line="360" w:lineRule="auto"/>
        <w:ind w:firstLine="562" w:firstLineChars="200"/>
        <w:jc w:val="center"/>
        <w:textAlignment w:val="auto"/>
        <w:outlineLvl w:val="0"/>
        <w:rPr>
          <w:rFonts w:hint="eastAsia" w:hAnsi="宋体" w:cs="宋体"/>
          <w:b/>
          <w:color w:val="FF0000"/>
          <w:sz w:val="28"/>
          <w:szCs w:val="28"/>
          <w:highlight w:val="none"/>
          <w:lang w:val="en-US" w:eastAsia="zh-CN"/>
        </w:rPr>
      </w:pPr>
      <w:r>
        <w:rPr>
          <w:rFonts w:hint="eastAsia" w:hAnsi="宋体" w:cs="宋体"/>
          <w:b/>
          <w:bCs/>
          <w:snapToGrid w:val="0"/>
          <w:color w:val="auto"/>
          <w:kern w:val="0"/>
          <w:sz w:val="28"/>
          <w:szCs w:val="28"/>
          <w:highlight w:val="none"/>
          <w:u w:val="none"/>
          <w:lang w:val="en-US" w:eastAsia="zh-CN"/>
        </w:rPr>
        <w:t>项目</w:t>
      </w:r>
      <w:r>
        <w:rPr>
          <w:rFonts w:hint="eastAsia" w:ascii="宋体" w:hAnsi="宋体" w:eastAsia="宋体" w:cs="宋体"/>
          <w:b/>
          <w:bCs/>
          <w:snapToGrid w:val="0"/>
          <w:color w:val="auto"/>
          <w:kern w:val="0"/>
          <w:sz w:val="28"/>
          <w:szCs w:val="28"/>
          <w:highlight w:val="none"/>
          <w:u w:val="none"/>
          <w:lang w:val="en-US" w:eastAsia="zh-CN"/>
        </w:rPr>
        <w:t>名称：</w:t>
      </w:r>
      <w:r>
        <w:rPr>
          <w:rFonts w:hint="eastAsia" w:hAnsi="宋体" w:cs="宋体"/>
          <w:b/>
          <w:color w:val="auto"/>
          <w:sz w:val="28"/>
          <w:szCs w:val="28"/>
          <w:highlight w:val="none"/>
          <w:lang w:val="en-US" w:eastAsia="zh-CN"/>
        </w:rPr>
        <w:t>东莞220千伏学前输变电工程</w:t>
      </w:r>
      <w:r>
        <w:rPr>
          <w:rFonts w:hint="eastAsia" w:hAnsi="宋体" w:cs="宋体"/>
          <w:b/>
          <w:bCs w:val="0"/>
          <w:color w:val="auto"/>
          <w:sz w:val="28"/>
          <w:szCs w:val="28"/>
          <w:highlight w:val="none"/>
          <w:lang w:val="en-US" w:eastAsia="zh-CN"/>
        </w:rPr>
        <w:t>施工</w:t>
      </w:r>
    </w:p>
    <w:tbl>
      <w:tblPr>
        <w:tblStyle w:val="14"/>
        <w:tblW w:w="73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8"/>
        <w:gridCol w:w="2911"/>
        <w:gridCol w:w="34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序号</w:t>
            </w:r>
          </w:p>
        </w:tc>
        <w:tc>
          <w:tcPr>
            <w:tcW w:w="2911"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hAnsi="宋体" w:eastAsia="宋体" w:cs="宋体"/>
                <w:b/>
                <w:bCs/>
                <w:snapToGrid w:val="0"/>
                <w:color w:val="auto"/>
                <w:kern w:val="0"/>
                <w:sz w:val="21"/>
                <w:szCs w:val="21"/>
                <w:highlight w:val="none"/>
                <w:u w:val="none"/>
                <w:vertAlign w:val="baseline"/>
                <w:lang w:val="en-US" w:eastAsia="zh-CN"/>
              </w:rPr>
              <w:t>项目</w:t>
            </w:r>
          </w:p>
        </w:tc>
        <w:tc>
          <w:tcPr>
            <w:tcW w:w="3476"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hAnsi="宋体" w:eastAsia="宋体" w:cs="宋体"/>
                <w:b/>
                <w:bCs/>
                <w:snapToGrid w:val="0"/>
                <w:color w:val="auto"/>
                <w:sz w:val="21"/>
                <w:szCs w:val="21"/>
                <w:highlight w:val="none"/>
                <w:u w:val="none"/>
                <w:lang w:val="en-US" w:eastAsia="zh-CN"/>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1</w:t>
            </w:r>
          </w:p>
        </w:tc>
        <w:tc>
          <w:tcPr>
            <w:tcW w:w="2911"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项目建设单位</w:t>
            </w:r>
          </w:p>
        </w:tc>
        <w:tc>
          <w:tcPr>
            <w:tcW w:w="3476"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snapToGrid w:val="0"/>
                <w:color w:val="auto"/>
                <w:kern w:val="0"/>
                <w:sz w:val="21"/>
                <w:szCs w:val="21"/>
                <w:highlight w:val="none"/>
                <w:u w:val="none"/>
                <w:vertAlign w:val="baseline"/>
                <w:lang w:val="en-US" w:eastAsia="zh-CN"/>
              </w:rPr>
            </w:pPr>
            <w:r>
              <w:rPr>
                <w:rFonts w:hint="eastAsia" w:hAnsi="宋体" w:cs="宋体"/>
                <w:b w:val="0"/>
                <w:bCs w:val="0"/>
                <w:snapToGrid w:val="0"/>
                <w:color w:val="auto"/>
                <w:kern w:val="0"/>
                <w:sz w:val="21"/>
                <w:szCs w:val="21"/>
                <w:highlight w:val="none"/>
                <w:u w:val="none"/>
                <w:vertAlign w:val="baseline"/>
                <w:lang w:val="en-US" w:eastAsia="zh-CN"/>
              </w:rPr>
              <w:t>东莞</w:t>
            </w:r>
            <w:r>
              <w:rPr>
                <w:rFonts w:hint="eastAsia" w:ascii="宋体" w:hAnsi="宋体" w:eastAsia="宋体" w:cs="宋体"/>
                <w:b w:val="0"/>
                <w:bCs w:val="0"/>
                <w:snapToGrid w:val="0"/>
                <w:color w:val="auto"/>
                <w:kern w:val="0"/>
                <w:sz w:val="21"/>
                <w:szCs w:val="21"/>
                <w:highlight w:val="none"/>
                <w:u w:val="none"/>
                <w:vertAlign w:val="baseline"/>
                <w:lang w:val="en-US" w:eastAsia="zh-CN"/>
              </w:rPr>
              <w:t>供电局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2</w:t>
            </w:r>
          </w:p>
        </w:tc>
        <w:tc>
          <w:tcPr>
            <w:tcW w:w="2911"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项目建设地点</w:t>
            </w:r>
          </w:p>
        </w:tc>
        <w:tc>
          <w:tcPr>
            <w:tcW w:w="3476"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default" w:ascii="宋体" w:hAnsi="宋体" w:eastAsia="宋体" w:cs="宋体"/>
                <w:b w:val="0"/>
                <w:bCs w:val="0"/>
                <w:snapToGrid w:val="0"/>
                <w:color w:val="auto"/>
                <w:kern w:val="0"/>
                <w:sz w:val="21"/>
                <w:szCs w:val="21"/>
                <w:highlight w:val="none"/>
                <w:u w:val="none"/>
                <w:vertAlign w:val="baseline"/>
                <w:lang w:val="en-US" w:eastAsia="zh-CN"/>
              </w:rPr>
            </w:pPr>
            <w:r>
              <w:rPr>
                <w:rFonts w:hint="eastAsia" w:hAnsi="宋体" w:cs="宋体"/>
                <w:b w:val="0"/>
                <w:bCs w:val="0"/>
                <w:snapToGrid w:val="0"/>
                <w:color w:val="auto"/>
                <w:kern w:val="0"/>
                <w:sz w:val="21"/>
                <w:szCs w:val="21"/>
                <w:highlight w:val="none"/>
                <w:u w:val="none"/>
                <w:vertAlign w:val="baseline"/>
                <w:lang w:val="en-US" w:eastAsia="zh-CN"/>
              </w:rPr>
              <w:t>东莞市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3</w:t>
            </w:r>
          </w:p>
        </w:tc>
        <w:tc>
          <w:tcPr>
            <w:tcW w:w="2911"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可研批复文号</w:t>
            </w:r>
          </w:p>
        </w:tc>
        <w:tc>
          <w:tcPr>
            <w:tcW w:w="3476"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snapToGrid w:val="0"/>
                <w:color w:val="auto"/>
                <w:kern w:val="0"/>
                <w:sz w:val="21"/>
                <w:szCs w:val="21"/>
                <w:highlight w:val="none"/>
                <w:u w:val="none"/>
                <w:vertAlign w:val="baseline"/>
                <w:lang w:val="en-US" w:eastAsia="zh-CN"/>
              </w:rPr>
            </w:pPr>
            <w:r>
              <w:rPr>
                <w:rFonts w:hint="eastAsia" w:ascii="宋体" w:hAnsi="宋体" w:eastAsia="宋体" w:cs="宋体"/>
                <w:b w:val="0"/>
                <w:bCs w:val="0"/>
                <w:snapToGrid w:val="0"/>
                <w:color w:val="auto"/>
                <w:kern w:val="0"/>
                <w:sz w:val="21"/>
                <w:szCs w:val="21"/>
                <w:highlight w:val="none"/>
                <w:u w:val="none"/>
                <w:vertAlign w:val="baseline"/>
                <w:lang w:val="en-US" w:eastAsia="zh-CN"/>
              </w:rPr>
              <w:t>广电规〔2025〕142号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4</w:t>
            </w:r>
          </w:p>
        </w:tc>
        <w:tc>
          <w:tcPr>
            <w:tcW w:w="2911"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项目核准、备案文号</w:t>
            </w:r>
          </w:p>
        </w:tc>
        <w:tc>
          <w:tcPr>
            <w:tcW w:w="3476"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snapToGrid w:val="0"/>
                <w:color w:val="auto"/>
                <w:kern w:val="0"/>
                <w:sz w:val="21"/>
                <w:szCs w:val="21"/>
                <w:highlight w:val="none"/>
                <w:u w:val="none"/>
                <w:vertAlign w:val="baseline"/>
                <w:lang w:val="en-US" w:eastAsia="zh-CN"/>
              </w:rPr>
            </w:pPr>
            <w:r>
              <w:rPr>
                <w:rFonts w:hint="eastAsia" w:ascii="宋体" w:hAnsi="宋体" w:eastAsia="宋体" w:cs="宋体"/>
                <w:b w:val="0"/>
                <w:bCs w:val="0"/>
                <w:snapToGrid w:val="0"/>
                <w:color w:val="auto"/>
                <w:kern w:val="0"/>
                <w:sz w:val="21"/>
                <w:szCs w:val="21"/>
                <w:highlight w:val="none"/>
                <w:u w:val="none"/>
                <w:vertAlign w:val="baseline"/>
                <w:lang w:val="en-US" w:eastAsia="zh-CN"/>
              </w:rPr>
              <w:t>东发改核准〔2025〕17号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5</w:t>
            </w:r>
          </w:p>
        </w:tc>
        <w:tc>
          <w:tcPr>
            <w:tcW w:w="2911"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资金落实情况</w:t>
            </w:r>
          </w:p>
        </w:tc>
        <w:tc>
          <w:tcPr>
            <w:tcW w:w="3476"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snapToGrid w:val="0"/>
                <w:color w:val="auto"/>
                <w:kern w:val="0"/>
                <w:sz w:val="21"/>
                <w:szCs w:val="21"/>
                <w:highlight w:val="none"/>
                <w:u w:val="none"/>
                <w:vertAlign w:val="baseline"/>
                <w:lang w:val="en-US" w:eastAsia="zh-CN"/>
              </w:rPr>
            </w:pPr>
            <w:r>
              <w:rPr>
                <w:rFonts w:hint="eastAsia" w:ascii="宋体" w:hAnsi="宋体" w:eastAsia="宋体" w:cs="宋体"/>
                <w:b w:val="0"/>
                <w:bCs w:val="0"/>
                <w:snapToGrid w:val="0"/>
                <w:color w:val="auto"/>
                <w:kern w:val="0"/>
                <w:sz w:val="21"/>
                <w:szCs w:val="21"/>
                <w:highlight w:val="none"/>
                <w:u w:val="none"/>
                <w:vertAlign w:val="baseline"/>
                <w:lang w:val="en-US" w:eastAsia="zh-CN"/>
              </w:rPr>
              <w:t>东电计〔202</w:t>
            </w:r>
            <w:r>
              <w:rPr>
                <w:rFonts w:hint="eastAsia" w:hAnsi="宋体" w:cs="宋体"/>
                <w:b w:val="0"/>
                <w:bCs w:val="0"/>
                <w:snapToGrid w:val="0"/>
                <w:color w:val="auto"/>
                <w:kern w:val="0"/>
                <w:sz w:val="21"/>
                <w:szCs w:val="21"/>
                <w:highlight w:val="none"/>
                <w:u w:val="none"/>
                <w:vertAlign w:val="baseline"/>
                <w:lang w:val="en-US" w:eastAsia="zh-CN"/>
              </w:rPr>
              <w:t>6</w:t>
            </w:r>
            <w:r>
              <w:rPr>
                <w:rFonts w:hint="eastAsia" w:ascii="宋体" w:hAnsi="宋体" w:eastAsia="宋体" w:cs="宋体"/>
                <w:b w:val="0"/>
                <w:bCs w:val="0"/>
                <w:snapToGrid w:val="0"/>
                <w:color w:val="auto"/>
                <w:kern w:val="0"/>
                <w:sz w:val="21"/>
                <w:szCs w:val="21"/>
                <w:highlight w:val="none"/>
                <w:u w:val="none"/>
                <w:vertAlign w:val="baseline"/>
                <w:lang w:val="en-US" w:eastAsia="zh-CN"/>
              </w:rPr>
              <w:t>〕</w:t>
            </w:r>
            <w:r>
              <w:rPr>
                <w:rFonts w:hint="eastAsia" w:hAnsi="宋体" w:cs="宋体"/>
                <w:b w:val="0"/>
                <w:bCs w:val="0"/>
                <w:snapToGrid w:val="0"/>
                <w:color w:val="auto"/>
                <w:kern w:val="0"/>
                <w:sz w:val="21"/>
                <w:szCs w:val="21"/>
                <w:highlight w:val="none"/>
                <w:u w:val="none"/>
                <w:vertAlign w:val="baseline"/>
                <w:lang w:val="en-US" w:eastAsia="zh-CN"/>
              </w:rPr>
              <w:t>10</w:t>
            </w:r>
            <w:r>
              <w:rPr>
                <w:rFonts w:hint="eastAsia" w:ascii="宋体" w:hAnsi="宋体" w:eastAsia="宋体" w:cs="宋体"/>
                <w:b w:val="0"/>
                <w:bCs w:val="0"/>
                <w:snapToGrid w:val="0"/>
                <w:color w:val="auto"/>
                <w:kern w:val="0"/>
                <w:sz w:val="21"/>
                <w:szCs w:val="21"/>
                <w:highlight w:val="none"/>
                <w:u w:val="none"/>
                <w:vertAlign w:val="baseline"/>
                <w:lang w:val="en-US" w:eastAsia="zh-CN"/>
              </w:rPr>
              <w:t>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6</w:t>
            </w:r>
          </w:p>
        </w:tc>
        <w:tc>
          <w:tcPr>
            <w:tcW w:w="2911"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初设批复文号</w:t>
            </w:r>
          </w:p>
        </w:tc>
        <w:tc>
          <w:tcPr>
            <w:tcW w:w="3476"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snapToGrid w:val="0"/>
                <w:color w:val="auto"/>
                <w:kern w:val="0"/>
                <w:sz w:val="21"/>
                <w:szCs w:val="21"/>
                <w:highlight w:val="none"/>
                <w:u w:val="none"/>
                <w:vertAlign w:val="baseline"/>
                <w:lang w:val="en-US" w:eastAsia="zh-CN"/>
              </w:rPr>
            </w:pPr>
            <w:r>
              <w:rPr>
                <w:rFonts w:hint="eastAsia" w:ascii="宋体" w:hAnsi="宋体" w:eastAsia="宋体" w:cs="宋体"/>
                <w:b w:val="0"/>
                <w:bCs w:val="0"/>
                <w:snapToGrid w:val="0"/>
                <w:color w:val="auto"/>
                <w:kern w:val="0"/>
                <w:sz w:val="21"/>
                <w:szCs w:val="21"/>
                <w:highlight w:val="none"/>
                <w:u w:val="none"/>
                <w:vertAlign w:val="baseline"/>
                <w:lang w:val="en-US" w:eastAsia="zh-CN"/>
              </w:rPr>
              <w:t>广电建〔2026〕21号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7</w:t>
            </w:r>
          </w:p>
        </w:tc>
        <w:tc>
          <w:tcPr>
            <w:tcW w:w="2911"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施工图预算批复文号</w:t>
            </w:r>
          </w:p>
        </w:tc>
        <w:tc>
          <w:tcPr>
            <w:tcW w:w="3476"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snapToGrid w:val="0"/>
                <w:color w:val="auto"/>
                <w:kern w:val="0"/>
                <w:sz w:val="21"/>
                <w:szCs w:val="21"/>
                <w:highlight w:val="none"/>
                <w:u w:val="none"/>
                <w:vertAlign w:val="baseline"/>
                <w:lang w:val="en-US" w:eastAsia="zh-CN"/>
              </w:rPr>
            </w:pPr>
            <w:r>
              <w:rPr>
                <w:rFonts w:hint="eastAsia" w:ascii="宋体" w:hAnsi="宋体" w:cs="宋体"/>
                <w:b w:val="0"/>
                <w:bCs w:val="0"/>
                <w:snapToGrid w:val="0"/>
                <w:color w:val="auto"/>
                <w:kern w:val="0"/>
                <w:sz w:val="21"/>
                <w:szCs w:val="21"/>
                <w:highlight w:val="none"/>
                <w:u w:val="none"/>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8</w:t>
            </w:r>
          </w:p>
        </w:tc>
        <w:tc>
          <w:tcPr>
            <w:tcW w:w="2911"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前期的设计或咨询服务单位名称</w:t>
            </w:r>
          </w:p>
        </w:tc>
        <w:tc>
          <w:tcPr>
            <w:tcW w:w="3476" w:type="dxa"/>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b w:val="0"/>
                <w:bCs w:val="0"/>
                <w:snapToGrid w:val="0"/>
                <w:color w:val="auto"/>
                <w:kern w:val="0"/>
                <w:sz w:val="21"/>
                <w:szCs w:val="21"/>
                <w:highlight w:val="none"/>
                <w:u w:val="none"/>
                <w:vertAlign w:val="baseline"/>
                <w:lang w:val="en-US" w:eastAsia="zh-CN"/>
              </w:rPr>
            </w:pPr>
            <w:r>
              <w:rPr>
                <w:rFonts w:hint="eastAsia" w:ascii="宋体" w:hAnsi="宋体" w:eastAsia="宋体" w:cs="宋体"/>
                <w:b w:val="0"/>
                <w:bCs w:val="0"/>
                <w:snapToGrid w:val="0"/>
                <w:color w:val="auto"/>
                <w:kern w:val="0"/>
                <w:sz w:val="21"/>
                <w:szCs w:val="21"/>
                <w:highlight w:val="none"/>
                <w:u w:val="none"/>
                <w:vertAlign w:val="baseline"/>
                <w:lang w:val="en-US" w:eastAsia="zh-CN"/>
              </w:rPr>
              <w:t>东莞电力设计院有限公司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9</w:t>
            </w:r>
          </w:p>
        </w:tc>
        <w:tc>
          <w:tcPr>
            <w:tcW w:w="2911"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项目监理单位</w:t>
            </w:r>
          </w:p>
        </w:tc>
        <w:tc>
          <w:tcPr>
            <w:tcW w:w="3476" w:type="dxa"/>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b w:val="0"/>
                <w:bCs w:val="0"/>
                <w:snapToGrid w:val="0"/>
                <w:color w:val="auto"/>
                <w:kern w:val="0"/>
                <w:sz w:val="21"/>
                <w:szCs w:val="21"/>
                <w:highlight w:val="none"/>
                <w:u w:val="none"/>
                <w:vertAlign w:val="baseline"/>
                <w:lang w:val="en-US" w:eastAsia="zh-CN"/>
              </w:rPr>
            </w:pPr>
            <w:r>
              <w:rPr>
                <w:rFonts w:hint="eastAsia" w:ascii="宋体" w:hAnsi="宋体" w:cs="宋体"/>
                <w:b w:val="0"/>
                <w:bCs w:val="0"/>
                <w:snapToGrid w:val="0"/>
                <w:color w:val="auto"/>
                <w:kern w:val="0"/>
                <w:sz w:val="21"/>
                <w:szCs w:val="21"/>
                <w:highlight w:val="none"/>
                <w:u w:val="none"/>
                <w:vertAlign w:val="baseline"/>
                <w:lang w:val="en-US" w:eastAsia="zh-CN"/>
              </w:rPr>
              <w:t>广东诚誉工程咨询监理有限公司</w:t>
            </w:r>
          </w:p>
        </w:tc>
      </w:tr>
    </w:tbl>
    <w:p>
      <w:pPr>
        <w:pStyle w:val="10"/>
        <w:keepNext w:val="0"/>
        <w:keepLines w:val="0"/>
        <w:pageBreakBefore w:val="0"/>
        <w:shd w:val="clear" w:color="auto" w:fill="auto"/>
        <w:kinsoku/>
        <w:wordWrap/>
        <w:overflowPunct/>
        <w:topLinePunct w:val="0"/>
        <w:bidi w:val="0"/>
        <w:adjustRightInd w:val="0"/>
        <w:snapToGrid w:val="0"/>
        <w:spacing w:line="360" w:lineRule="auto"/>
        <w:ind w:firstLine="562" w:firstLineChars="200"/>
        <w:jc w:val="center"/>
        <w:textAlignment w:val="auto"/>
        <w:outlineLvl w:val="0"/>
        <w:rPr>
          <w:rFonts w:hint="default" w:hAnsi="宋体" w:cs="宋体"/>
          <w:b/>
          <w:color w:val="FF0000"/>
          <w:sz w:val="28"/>
          <w:szCs w:val="28"/>
          <w:highlight w:val="none"/>
          <w:lang w:val="en-US" w:eastAsia="zh-CN"/>
        </w:rPr>
      </w:pPr>
    </w:p>
    <w:bookmarkEnd w:id="0"/>
    <w:p>
      <w:pPr>
        <w:pStyle w:val="10"/>
        <w:keepNext w:val="0"/>
        <w:keepLines w:val="0"/>
        <w:pageBreakBefore w:val="0"/>
        <w:numPr>
          <w:ilvl w:val="0"/>
          <w:numId w:val="1"/>
        </w:numPr>
        <w:shd w:val="clear" w:color="auto" w:fill="auto"/>
        <w:kinsoku/>
        <w:wordWrap/>
        <w:overflowPunct/>
        <w:topLinePunct w:val="0"/>
        <w:bidi w:val="0"/>
        <w:adjustRightInd w:val="0"/>
        <w:snapToGrid w:val="0"/>
        <w:spacing w:line="360" w:lineRule="auto"/>
        <w:ind w:left="0" w:leftChars="0" w:firstLine="0" w:firstLineChars="0"/>
        <w:textAlignment w:val="auto"/>
        <w:outlineLvl w:val="0"/>
        <w:rPr>
          <w:rFonts w:hint="eastAsia" w:ascii="宋体" w:hAnsi="宋体" w:eastAsia="宋体" w:cs="宋体"/>
          <w:b/>
          <w:color w:val="auto"/>
          <w:sz w:val="24"/>
          <w:szCs w:val="24"/>
          <w:highlight w:val="none"/>
          <w:lang w:val="en-US" w:eastAsia="zh-CN"/>
        </w:rPr>
      </w:pPr>
      <w:r>
        <w:rPr>
          <w:rFonts w:hint="eastAsia" w:hAnsi="宋体" w:eastAsia="宋体" w:cs="宋体"/>
          <w:b/>
          <w:color w:val="auto"/>
          <w:sz w:val="24"/>
          <w:szCs w:val="24"/>
          <w:highlight w:val="none"/>
          <w:lang w:val="en-US" w:eastAsia="zh-CN"/>
        </w:rPr>
        <w:t>建设规模</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1"/>
        <w:rPr>
          <w:rFonts w:hint="eastAsia" w:ascii="宋体" w:hAnsi="宋体" w:eastAsia="宋体" w:cs="宋体"/>
          <w:b w:val="0"/>
          <w:bCs w:val="0"/>
          <w:snapToGrid w:val="0"/>
          <w:color w:val="auto"/>
          <w:kern w:val="0"/>
          <w:sz w:val="21"/>
          <w:szCs w:val="21"/>
          <w:highlight w:val="none"/>
          <w:u w:val="none"/>
        </w:rPr>
      </w:pPr>
      <w:r>
        <w:rPr>
          <w:rFonts w:hint="eastAsia" w:ascii="宋体" w:hAnsi="宋体" w:eastAsia="宋体" w:cs="宋体"/>
          <w:b w:val="0"/>
          <w:bCs w:val="0"/>
          <w:snapToGrid w:val="0"/>
          <w:color w:val="auto"/>
          <w:kern w:val="0"/>
          <w:sz w:val="21"/>
          <w:szCs w:val="21"/>
          <w:highlight w:val="none"/>
          <w:u w:val="none"/>
          <w:lang w:val="en-US" w:eastAsia="zh-CN"/>
        </w:rPr>
        <w:t>（一）变电</w:t>
      </w:r>
      <w:r>
        <w:rPr>
          <w:rFonts w:hint="eastAsia" w:ascii="宋体" w:hAnsi="宋体" w:eastAsia="宋体" w:cs="宋体"/>
          <w:b w:val="0"/>
          <w:bCs w:val="0"/>
          <w:snapToGrid w:val="0"/>
          <w:color w:val="auto"/>
          <w:kern w:val="0"/>
          <w:sz w:val="21"/>
          <w:szCs w:val="21"/>
          <w:highlight w:val="none"/>
          <w:u w:val="none"/>
        </w:rPr>
        <w:t>工程</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※变电部分：</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1、220千伏学前变电站工程：本期新建240兆伏安主变压器2台，每台主变低压侧装设4组8兆乏电容器和2组8兆乏电抗器。新建220千伏出线6回，110千伏出线6回，10千伏出线20回。</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2、110千伏良平变电站扩建工程：本期至学前站110千伏线路配置复用光纤通道的电流差动保护。</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3、110千伏旗峰站保护改造工程：本期至学前110千伏线路配置复用光纤通道的电流差动保护。</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4、110千伏上屯站保护改造工程：本期至学前110千伏线路配置复用光纤通道的电流差动保护。</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5、110千伏园岭站保护改造工程：本期至学前110千伏线路配置复用光纤通道的电流差动保护。</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6、110千伏主山站保护改造工程：本期至学前110千伏线路配置复用光纤通道的电流差动保护。</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7、220千伏百业站保护改造工程：本期至学前110千伏线路配置复用光纤通道的电流差动保护，利用原有保护装置升级改造。</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8、220千伏茶山站保护改造工程：本期至学前站220千伏线路每回均配置双套电流差动保护，第一套保护采用专用光纤通道和复用光纤通道构成的双通道，第二套保护采用双路复用光纤通道。本站原有至板桥站220千伏线路保护搬迁至学前站使用。</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9、220千伏立新站保护改造工程：本期至学前站220千伏线路更换保护装置，配置一套电流差动保护和一套集成接点方式分相距离保护的电流差动保护，第一套保护采用专用光纤通道和复用光纤通道构成的双通道，第二套保护采用双路复用光纤通道，第二套保护中的分相距离保护采用一路复用光纤通道。</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rPr>
      </w:pPr>
      <w:r>
        <w:rPr>
          <w:rFonts w:hint="eastAsia" w:ascii="宋体" w:hAnsi="宋体" w:eastAsia="宋体" w:cs="宋体"/>
          <w:b w:val="0"/>
          <w:bCs w:val="0"/>
          <w:snapToGrid w:val="0"/>
          <w:color w:val="auto"/>
          <w:kern w:val="0"/>
          <w:sz w:val="21"/>
          <w:szCs w:val="21"/>
          <w:highlight w:val="none"/>
          <w:u w:val="none"/>
          <w:lang w:val="en-US" w:eastAsia="zh-CN"/>
        </w:rPr>
        <w:t>10、220千伏跃立站保护改造工程：本期至学前110千伏线路配置复用光纤通道的电流差动保护，利用原有保护装置升级改造</w:t>
      </w:r>
      <w:r>
        <w:rPr>
          <w:rFonts w:hint="eastAsia" w:ascii="宋体" w:hAnsi="宋体" w:eastAsia="宋体" w:cs="宋体"/>
          <w:b w:val="0"/>
          <w:bCs w:val="0"/>
          <w:snapToGrid w:val="0"/>
          <w:color w:val="auto"/>
          <w:kern w:val="0"/>
          <w:sz w:val="21"/>
          <w:szCs w:val="21"/>
          <w:highlight w:val="none"/>
          <w:u w:val="none"/>
        </w:rPr>
        <w:t>。</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1"/>
        <w:rPr>
          <w:rFonts w:hint="eastAsia" w:ascii="宋体" w:hAnsi="宋体" w:eastAsia="宋体" w:cs="宋体"/>
          <w:b w:val="0"/>
          <w:bCs w:val="0"/>
          <w:snapToGrid w:val="0"/>
          <w:color w:val="auto"/>
          <w:kern w:val="0"/>
          <w:sz w:val="21"/>
          <w:szCs w:val="21"/>
          <w:highlight w:val="none"/>
          <w:u w:val="none"/>
        </w:rPr>
      </w:pPr>
      <w:r>
        <w:rPr>
          <w:rFonts w:hint="eastAsia" w:ascii="宋体" w:hAnsi="宋体" w:eastAsia="宋体" w:cs="宋体"/>
          <w:b w:val="0"/>
          <w:bCs w:val="0"/>
          <w:snapToGrid w:val="0"/>
          <w:color w:val="auto"/>
          <w:kern w:val="0"/>
          <w:sz w:val="21"/>
          <w:szCs w:val="21"/>
          <w:highlight w:val="none"/>
          <w:u w:val="none"/>
          <w:lang w:val="en-US" w:eastAsia="zh-CN"/>
        </w:rPr>
        <w:t>（二）</w:t>
      </w:r>
      <w:r>
        <w:rPr>
          <w:rFonts w:hint="eastAsia" w:ascii="宋体" w:hAnsi="宋体" w:eastAsia="宋体" w:cs="宋体"/>
          <w:b w:val="0"/>
          <w:bCs w:val="0"/>
          <w:snapToGrid w:val="0"/>
          <w:color w:val="auto"/>
          <w:kern w:val="0"/>
          <w:sz w:val="21"/>
          <w:szCs w:val="21"/>
          <w:highlight w:val="none"/>
          <w:u w:val="none"/>
        </w:rPr>
        <w:t>线路工程</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1"/>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※架空线路部分:</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1"/>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1、220千伏学前至东兴电厂、立新线路（架空部分）：本工程解口220千伏兴新甲线入学前站,形成220千伏东兴电厂至学前单回线路及220千伏学前至立新单回线路。新建220千伏同塔双回架空线路长约2×3.5千米，新建220千伏单回架空线路长约1×（0.1+0.22）千米。</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1"/>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2、110千伏板园线、立主线改接入学前线路工程（架空部分）：在110千伏立主线N15～N17段解断110千伏立主线、110千伏板园线，将解断后的110千伏立主线立新站侧与板园线板桥站侧接续，形成立新站与板桥站之间的1回110千伏联络线，新建架空线路长为1×0.03千米，导线选用JL/LB20A-300/40；板园线小号侧、立主线大号侧需调整导地线弧垂长度2×0.846千米，板园线大号侧、立主线小号侧需调整弧垂长度2×0.888千米。</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1"/>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※电缆线路部分:</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1"/>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1、220千伏板桥至茶山双回线路解口入学前站线路工程（电气部分）：本工程解口220千伏板桥至茶山线路（现寒板甲乙线）入学前站，形成220千伏学前至板桥双回线路、220千伏学前至茶山双回线路。新建220千伏四回电缆线路长约4×3.38千米。</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1"/>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2、220千伏板桥至茶山双回线路解口入学前站线路工程（土建部分）：电缆通道按六回路建设，本期敷设电缆4回（双沟共壁型式）。土建通道总长为3070米。其中A1型电缆沟370米，A2型电缆沟1870米，A3型电缆沟600米；新建2座电缆终端场；新建水平顶管1段230米。</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1"/>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3、110千伏板园线、立主线改接入学前线路工程（电缆部分）：解断110千伏立主线、110千伏板园线，将立主线由主山站侧改接入学前站，将板园线由板桥站侧入学前站，形成110千伏学前至主山单回线路、110千伏学前至体育开关站单回线路（T接园岭、八达、银丰站）。将解断后的110千伏立主线立新站侧与板园线板桥站侧接续，形成立新站与板桥站之间的1回110千伏联络线。新建110千伏双回电缆线路长约2×3.10千米，电缆铜导体截面1200平方毫米。</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1"/>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4、110千伏跃良甲线解口入学前线路工程：解口110千伏跃良甲线接入学前站，形成110千伏学前至良平单回线路、110千伏学前跃立上屯单回T接线路。新建110千伏双回电缆线路长1×2.94千米+1×2.88千米，电缆铜导体截面1200平方毫米。</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1"/>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（三）通信工程</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1、配套通信设备工程：(1)学前站配置2套STM-64 ASON设备，对侧站配置相应的光接口单元，接入东莞地区传输新A网和传输新网B。(2)学前站配置1套接入路由器、1套汇聚路由器，接入调度数据网A、B平面。(3)学前站配置1套接入路由器、1套接入交换机、1套IV区防火墙、1套WAPI站端系统，接入东莞地区综合数据网。(4)学前站配置1套汇聚交换机，接入东莞地区配电数据网。(5)学前站配置1套接入交换机，接入东莞地区语音视频网。(6)学前站配置2套E1接入网关设备、2套软交换IAD模块、1套统一通信终端。(7)学前站配置2套通信电源,电源系统按双重化原则配置。(8)学前站配置2套电源在线监测装置，配置2套通信蓄电池远程核容设备。(9)学前站租用2套波分复用设备，用于临时通信方案。</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2、220千伏板桥至茶山双回线路解口入学前站线路工程（管道光缆部分）：新建2根96芯管道光缆，长度2×3.376千米。</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3、220千伏板桥至茶山双回线路解口入学前站线路工程（OPGW光缆部分）：在解口点电缆终端场处，将220千伏寒板甲乙线（板桥站侧）两根地线更换为96芯OPGW光缆，新建OPGW光缆线路长度1×(4.6+4.8)千米,在解口点电缆终端场处引下为管道光缆，沿电缆敷设至学前站。</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4、110千伏板园线、立主线改接入学前线路工程（管道光缆部分）：新建光缆路径长度约2×3.1千米（不含站内管道光缆）。</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5、110千伏跃良甲线解口入学前线路工程（管道光缆部分）：新建48芯管道光缆路径长度为1×2.935千米。（不含站内管道光缆）。</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rPr>
      </w:pPr>
      <w:r>
        <w:rPr>
          <w:rFonts w:hint="eastAsia" w:ascii="宋体" w:hAnsi="宋体" w:eastAsia="宋体" w:cs="宋体"/>
          <w:b w:val="0"/>
          <w:bCs w:val="0"/>
          <w:snapToGrid w:val="0"/>
          <w:color w:val="auto"/>
          <w:kern w:val="0"/>
          <w:sz w:val="21"/>
          <w:szCs w:val="21"/>
          <w:highlight w:val="none"/>
          <w:u w:val="none"/>
          <w:lang w:val="en-US" w:eastAsia="zh-CN"/>
        </w:rPr>
        <w:t>具体建设规模以施工图纸为准。</w:t>
      </w:r>
    </w:p>
    <w:p>
      <w:pPr>
        <w:pStyle w:val="10"/>
        <w:keepNext w:val="0"/>
        <w:keepLines w:val="0"/>
        <w:pageBreakBefore w:val="0"/>
        <w:numPr>
          <w:ilvl w:val="0"/>
          <w:numId w:val="1"/>
        </w:numPr>
        <w:shd w:val="clear" w:color="auto" w:fill="auto"/>
        <w:kinsoku/>
        <w:wordWrap/>
        <w:overflowPunct/>
        <w:topLinePunct w:val="0"/>
        <w:bidi w:val="0"/>
        <w:adjustRightInd w:val="0"/>
        <w:snapToGrid w:val="0"/>
        <w:spacing w:line="360" w:lineRule="auto"/>
        <w:ind w:left="0" w:leftChars="0" w:firstLine="0" w:firstLineChars="0"/>
        <w:textAlignment w:val="auto"/>
        <w:outlineLvl w:val="0"/>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采购范围</w:t>
      </w:r>
      <w:bookmarkStart w:id="1" w:name="施工招标范围综合"/>
    </w:p>
    <w:bookmarkEnd w:id="1"/>
    <w:p>
      <w:pPr>
        <w:keepNext w:val="0"/>
        <w:keepLines w:val="0"/>
        <w:pageBreakBefore w:val="0"/>
        <w:widowControl w:val="0"/>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※变电部分：</w:t>
      </w:r>
    </w:p>
    <w:p>
      <w:pPr>
        <w:keepNext w:val="0"/>
        <w:keepLines w:val="0"/>
        <w:pageBreakBefore w:val="0"/>
        <w:widowControl w:val="0"/>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变电建筑工程：</w:t>
      </w:r>
    </w:p>
    <w:p>
      <w:pPr>
        <w:keepNext w:val="0"/>
        <w:keepLines w:val="0"/>
        <w:pageBreakBefore w:val="0"/>
        <w:widowControl w:val="0"/>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（一）主要生产工程：主要生产建筑，配电装置建筑，供水系统，消防系统；</w:t>
      </w:r>
    </w:p>
    <w:p>
      <w:pPr>
        <w:keepNext w:val="0"/>
        <w:keepLines w:val="0"/>
        <w:pageBreakBefore w:val="0"/>
        <w:widowControl w:val="0"/>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（二）辅助生产工程：辅助生产建筑，站区性建筑，特殊构筑物，全站沉降观测点，站区绿化；</w:t>
      </w:r>
    </w:p>
    <w:p>
      <w:pPr>
        <w:keepNext w:val="0"/>
        <w:keepLines w:val="0"/>
        <w:pageBreakBefore w:val="0"/>
        <w:widowControl w:val="0"/>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（三）与站址有关的单项工程：</w:t>
      </w:r>
    </w:p>
    <w:p>
      <w:pPr>
        <w:keepNext w:val="0"/>
        <w:keepLines w:val="0"/>
        <w:pageBreakBefore w:val="0"/>
        <w:widowControl w:val="0"/>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☑地基处理，☑站外道路（其中□桥涵），☑站外水源，☑站外排水，□站外蒸发池，□施工降水，☑临时施工电源，□临时施工水源，□临时施工道路，□临时施工通信线路，□临时施工防护工程；</w:t>
      </w:r>
    </w:p>
    <w:p>
      <w:pPr>
        <w:keepNext w:val="0"/>
        <w:keepLines w:val="0"/>
        <w:pageBreakBefore w:val="0"/>
        <w:widowControl w:val="0"/>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（四）其他费用工程：☑白蚁防治，□拆除工程；</w:t>
      </w:r>
    </w:p>
    <w:p>
      <w:pPr>
        <w:keepNext w:val="0"/>
        <w:keepLines w:val="0"/>
        <w:pageBreakBefore w:val="0"/>
        <w:widowControl w:val="0"/>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（五）其他：</w:t>
      </w:r>
      <w:r>
        <w:rPr>
          <w:rFonts w:hint="eastAsia" w:ascii="宋体" w:hAnsi="宋体" w:eastAsia="宋体" w:cs="宋体"/>
          <w:b w:val="0"/>
          <w:bCs w:val="0"/>
          <w:snapToGrid w:val="0"/>
          <w:color w:val="auto"/>
          <w:kern w:val="0"/>
          <w:sz w:val="21"/>
          <w:szCs w:val="21"/>
          <w:highlight w:val="none"/>
          <w:u w:val="single"/>
          <w:lang w:val="en-US" w:eastAsia="zh-CN"/>
        </w:rPr>
        <w:t>1、☑施工场地租用费，执行《临时用地手续管理协调会议会议纪要》（东莞项纪〔2025〕44号）及《关于发布东莞供电局基建项目临时占用地相关费用计算要求的通知》（东莞基建部20250152），施工场地租用费按招标图（设计方案）标注面积，招标计划工期及单价20元/月.平方计列，结算时需依据开竣工报告时间，结合签证单及租地协议及发票或收据（有无变更均需提供）、设计变更单（如有）进行结算，结算时单价不超20元/月.平方米。2、☑渣土消纳费，执行《广东省电力建设定额站关于东莞电力建设项目余泥渣土运输及消纳费计价请示的复函》（粤电定〔2022〕3号）。</w:t>
      </w:r>
    </w:p>
    <w:p>
      <w:pPr>
        <w:keepNext w:val="0"/>
        <w:keepLines w:val="0"/>
        <w:pageBreakBefore w:val="0"/>
        <w:widowControl w:val="0"/>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变电安装工程：</w:t>
      </w:r>
    </w:p>
    <w:p>
      <w:pPr>
        <w:keepNext w:val="0"/>
        <w:keepLines w:val="0"/>
        <w:pageBreakBefore w:val="0"/>
        <w:widowControl w:val="0"/>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一）主要生产工程：主变压器系统，配电装置，无功补偿，控制及直流系统，站用电系统，电缆及接地，远动系统（含总调、中调、地调调度端的扩容），计费系统，全站调试（其中特殊调试以合同附件特殊调试项目为准）；</w:t>
      </w:r>
    </w:p>
    <w:p>
      <w:pPr>
        <w:keepNext w:val="0"/>
        <w:keepLines w:val="0"/>
        <w:pageBreakBefore w:val="0"/>
        <w:widowControl w:val="0"/>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（二）辅助生产工程：检修及修配设备；</w:t>
      </w:r>
    </w:p>
    <w:p>
      <w:pPr>
        <w:keepNext w:val="0"/>
        <w:keepLines w:val="0"/>
        <w:pageBreakBefore w:val="0"/>
        <w:widowControl w:val="0"/>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（三）与站址有关的单项工程：□站外电源，□站外通信；</w:t>
      </w:r>
    </w:p>
    <w:p>
      <w:pPr>
        <w:keepNext w:val="0"/>
        <w:keepLines w:val="0"/>
        <w:pageBreakBefore w:val="0"/>
        <w:widowControl w:val="0"/>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（四）其他费用工程：☑标志牌安装，☑拆除工程；</w:t>
      </w:r>
    </w:p>
    <w:p>
      <w:pPr>
        <w:keepNext w:val="0"/>
        <w:keepLines w:val="0"/>
        <w:pageBreakBefore w:val="0"/>
        <w:widowControl w:val="0"/>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i w:val="0"/>
          <w:iCs w:val="0"/>
          <w:snapToGrid w:val="0"/>
          <w:color w:val="auto"/>
          <w:kern w:val="0"/>
          <w:sz w:val="21"/>
          <w:szCs w:val="21"/>
          <w:highlight w:val="none"/>
          <w:u w:val="singl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（五）其他：</w:t>
      </w:r>
      <w:r>
        <w:rPr>
          <w:rFonts w:hint="eastAsia" w:ascii="宋体" w:hAnsi="宋体" w:eastAsia="宋体" w:cs="宋体"/>
          <w:b w:val="0"/>
          <w:bCs w:val="0"/>
          <w:i w:val="0"/>
          <w:iCs w:val="0"/>
          <w:snapToGrid w:val="0"/>
          <w:color w:val="auto"/>
          <w:kern w:val="0"/>
          <w:sz w:val="21"/>
          <w:szCs w:val="21"/>
          <w:highlight w:val="none"/>
          <w:u w:val="single"/>
          <w:lang w:val="en-US" w:eastAsia="zh-CN"/>
        </w:rPr>
        <w:t xml:space="preserve">    /     。</w:t>
      </w:r>
    </w:p>
    <w:p>
      <w:pPr>
        <w:keepNext w:val="0"/>
        <w:keepLines w:val="0"/>
        <w:pageBreakBefore w:val="0"/>
        <w:widowControl w:val="0"/>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※架空线路部分：</w:t>
      </w:r>
    </w:p>
    <w:p>
      <w:pPr>
        <w:keepNext w:val="0"/>
        <w:keepLines w:val="0"/>
        <w:pageBreakBefore w:val="0"/>
        <w:widowControl w:val="0"/>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（一）基础工程：基础工程材料工地运输，土石方工程，基础砌筑，基础防腐，基础防护，地基处理；</w:t>
      </w:r>
    </w:p>
    <w:p>
      <w:pPr>
        <w:keepNext w:val="0"/>
        <w:keepLines w:val="0"/>
        <w:pageBreakBefore w:val="0"/>
        <w:widowControl w:val="0"/>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（二）杆塔工程：杆塔工程材料工地运输，杆塔组立；</w:t>
      </w:r>
    </w:p>
    <w:p>
      <w:pPr>
        <w:keepNext w:val="0"/>
        <w:keepLines w:val="0"/>
        <w:pageBreakBefore w:val="0"/>
        <w:widowControl w:val="0"/>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（三）接地工程：接地工程材料工地运输，接地土石方，接地安装；</w:t>
      </w:r>
    </w:p>
    <w:p>
      <w:pPr>
        <w:keepNext w:val="0"/>
        <w:keepLines w:val="0"/>
        <w:pageBreakBefore w:val="0"/>
        <w:widowControl w:val="0"/>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四）架线工程：架线工程材料工地运输，导地线架设（不含OPGW接续与测量），导地线跨越架设（其中□带电跨越10千伏及以下电力线路、□带电跨越35千伏及以上电力线路、□跨越铁路、□高速公路、□一、二级公路、□河流），其他架线工程；</w:t>
      </w:r>
    </w:p>
    <w:p>
      <w:pPr>
        <w:keepNext w:val="0"/>
        <w:keepLines w:val="0"/>
        <w:pageBreakBefore w:val="0"/>
        <w:widowControl w:val="0"/>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（五）附件安装工程：附件安装工程材料工地运输，绝缘子串及金具安装；</w:t>
      </w:r>
    </w:p>
    <w:p>
      <w:pPr>
        <w:keepNext w:val="0"/>
        <w:keepLines w:val="0"/>
        <w:pageBreakBefore w:val="0"/>
        <w:widowControl w:val="0"/>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六）辅助工程：永久施工道路修筑，尖峰、施工基面土石方工程，护坡、挡土墙及排洪沟，基础永久性围堰，索道站安装，杆塔上装的各类辅助生产装置（其中：☑标志牌安装，☑防坠地装置，□防鸟刺装置），☑输、送电线路试运；</w:t>
      </w:r>
    </w:p>
    <w:p>
      <w:pPr>
        <w:keepNext w:val="0"/>
        <w:keepLines w:val="0"/>
        <w:pageBreakBefore w:val="0"/>
        <w:widowControl w:val="0"/>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七）其他费用工程：☑拆除工程，□施工临时占用地补偿（含牵引场地租用费），□施工临时占用地（含牵引场地）青苗赔偿，□临时施工道路的青苗赔偿，□塔基占地及其青苗赔偿，□架线青苗赔偿，□接地线铺设的青苗赔偿，☑塔基绿化恢复，□临时施工道路修筑费（单价/总价均报），输电线路跨越补偿费（□跨越铁路补偿费、□跨越高速公路补偿费、□跨越一、二级公路补偿费、□跨越通航河流补偿费）；</w:t>
      </w:r>
    </w:p>
    <w:p>
      <w:pPr>
        <w:keepNext w:val="0"/>
        <w:keepLines w:val="0"/>
        <w:pageBreakBefore w:val="0"/>
        <w:widowControl w:val="0"/>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singl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（八）其他：</w:t>
      </w:r>
      <w:r>
        <w:rPr>
          <w:rFonts w:hint="eastAsia" w:ascii="宋体" w:hAnsi="宋体" w:eastAsia="宋体" w:cs="宋体"/>
          <w:b w:val="0"/>
          <w:bCs w:val="0"/>
          <w:snapToGrid w:val="0"/>
          <w:color w:val="auto"/>
          <w:kern w:val="0"/>
          <w:sz w:val="21"/>
          <w:szCs w:val="21"/>
          <w:highlight w:val="none"/>
          <w:u w:val="single"/>
          <w:lang w:val="en-US" w:eastAsia="zh-CN"/>
        </w:rPr>
        <w:t>1、☑渣土消纳费，执行《广东省电力建设定额站关于东莞电力建设项目余泥渣土运输及消纳费计价请示的复函》（粤电定〔2022〕3号）；2、☑施工临时占用地补偿（含牵引场地租用费），执行《临时用地手续管理协调会议会议纪要》（东莞项纪〔2025〕44号）及《关于发布东莞供电局基建项目临时占用地相关费用计算要求的通知》（东莞基建部20250152）要求，张力场及牵张场建设工期按0.5月计算，结算时需依据开竣工报告时间，结合签证单及租地协议及发票或收据（有无变更均需提供）、设计变更单（如有）进行结算。</w:t>
      </w:r>
    </w:p>
    <w:p>
      <w:pPr>
        <w:keepNext w:val="0"/>
        <w:keepLines w:val="0"/>
        <w:pageBreakBefore w:val="0"/>
        <w:widowControl w:val="0"/>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※电缆线路部分：</w:t>
      </w:r>
    </w:p>
    <w:p>
      <w:pPr>
        <w:keepNext w:val="0"/>
        <w:keepLines w:val="0"/>
        <w:pageBreakBefore w:val="0"/>
        <w:widowControl w:val="0"/>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施工图纸范围内的电缆建筑：</w:t>
      </w:r>
    </w:p>
    <w:p>
      <w:pPr>
        <w:keepNext w:val="0"/>
        <w:keepLines w:val="0"/>
        <w:pageBreakBefore w:val="0"/>
        <w:widowControl w:val="0"/>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（一）土石方：材料运输，土石方挖填，开挖路面，修复路面，隧道挖填；</w:t>
      </w:r>
    </w:p>
    <w:p>
      <w:pPr>
        <w:keepNext w:val="0"/>
        <w:keepLines w:val="0"/>
        <w:pageBreakBefore w:val="0"/>
        <w:widowControl w:val="0"/>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（二）构筑物：材料运输，直埋电缆垫层及盖板，电缆沟、浅槽，工作井，电缆埋管，隧道，隧道工作井，栈桥，基础；</w:t>
      </w:r>
    </w:p>
    <w:p>
      <w:pPr>
        <w:keepNext w:val="0"/>
        <w:keepLines w:val="0"/>
        <w:pageBreakBefore w:val="0"/>
        <w:widowControl w:val="0"/>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（三）辅助工程：材料运输，通风，照明，排水，消防，围护，地基处理；</w:t>
      </w:r>
    </w:p>
    <w:p>
      <w:pPr>
        <w:keepNext w:val="0"/>
        <w:keepLines w:val="0"/>
        <w:pageBreakBefore w:val="0"/>
        <w:widowControl w:val="0"/>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（四）其他费用工程：☑白蚁防治，</w:t>
      </w:r>
      <w:r>
        <w:rPr>
          <w:rFonts w:hint="eastAsia" w:ascii="宋体" w:hAnsi="宋体" w:cs="宋体"/>
          <w:b w:val="0"/>
          <w:bCs w:val="0"/>
          <w:snapToGrid w:val="0"/>
          <w:color w:val="auto"/>
          <w:kern w:val="0"/>
          <w:sz w:val="21"/>
          <w:szCs w:val="21"/>
          <w:highlight w:val="none"/>
          <w:u w:val="none"/>
          <w:lang w:val="en-US" w:eastAsia="zh-CN"/>
        </w:rPr>
        <w:t>□</w:t>
      </w:r>
      <w:r>
        <w:rPr>
          <w:rFonts w:hint="eastAsia" w:ascii="宋体" w:hAnsi="宋体" w:eastAsia="宋体" w:cs="宋体"/>
          <w:b w:val="0"/>
          <w:bCs w:val="0"/>
          <w:snapToGrid w:val="0"/>
          <w:color w:val="auto"/>
          <w:kern w:val="0"/>
          <w:sz w:val="21"/>
          <w:szCs w:val="21"/>
          <w:highlight w:val="none"/>
          <w:u w:val="none"/>
          <w:lang w:val="en-US" w:eastAsia="zh-CN"/>
        </w:rPr>
        <w:t>拆除工程，□电缆走廊绿化赔偿，□沿线建（构）筑物的拆除，☑与城市规划、市政、园林、交警、城监、公路等部门联系办理施工许可手续，□施工临时占用地补偿费；</w:t>
      </w:r>
    </w:p>
    <w:p>
      <w:pPr>
        <w:keepNext w:val="0"/>
        <w:keepLines w:val="0"/>
        <w:pageBreakBefore w:val="0"/>
        <w:widowControl w:val="0"/>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singl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（五）其他：</w:t>
      </w:r>
      <w:r>
        <w:rPr>
          <w:rFonts w:hint="eastAsia" w:ascii="宋体" w:hAnsi="宋体" w:eastAsia="宋体" w:cs="宋体"/>
          <w:b w:val="0"/>
          <w:bCs w:val="0"/>
          <w:snapToGrid w:val="0"/>
          <w:color w:val="auto"/>
          <w:kern w:val="0"/>
          <w:sz w:val="21"/>
          <w:szCs w:val="21"/>
          <w:highlight w:val="none"/>
          <w:u w:val="single"/>
          <w:lang w:val="en-US" w:eastAsia="zh-CN"/>
        </w:rPr>
        <w:t>☑渣土消纳费，执行《广东省电力建设定额站关于东莞电力建设项目余泥渣土运输及消纳费计价请示的复函》（粤电定〔2022〕3号）。</w:t>
      </w:r>
    </w:p>
    <w:p>
      <w:pPr>
        <w:keepNext w:val="0"/>
        <w:keepLines w:val="0"/>
        <w:pageBreakBefore w:val="0"/>
        <w:widowControl w:val="0"/>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施工图纸范围内的电缆安装：</w:t>
      </w:r>
    </w:p>
    <w:p>
      <w:pPr>
        <w:keepNext w:val="0"/>
        <w:keepLines w:val="0"/>
        <w:pageBreakBefore w:val="0"/>
        <w:widowControl w:val="0"/>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（一）电缆桥、支架制作安装：材料运输，电缆桥架，电缆支架；</w:t>
      </w:r>
    </w:p>
    <w:p>
      <w:pPr>
        <w:keepNext w:val="0"/>
        <w:keepLines w:val="0"/>
        <w:pageBreakBefore w:val="0"/>
        <w:widowControl w:val="0"/>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（二）电缆敷设：材料运输，直埋敷设，电缆沟、浅槽敷设，埋管内敷设，电缆隧道敷设，桥架敷设，栈桥敷设；</w:t>
      </w:r>
    </w:p>
    <w:p>
      <w:pPr>
        <w:keepNext w:val="0"/>
        <w:keepLines w:val="0"/>
        <w:pageBreakBefore w:val="0"/>
        <w:widowControl w:val="0"/>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（三）电缆附件：材料运输，终端头制作安装，中间接头制作安装，接地安装，设备安装，电缆保护管；</w:t>
      </w:r>
    </w:p>
    <w:p>
      <w:pPr>
        <w:keepNext w:val="0"/>
        <w:keepLines w:val="0"/>
        <w:pageBreakBefore w:val="0"/>
        <w:widowControl w:val="0"/>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（四）电缆防火：材料运输，构筑物防火，电缆本体防火；</w:t>
      </w:r>
    </w:p>
    <w:p>
      <w:pPr>
        <w:keepNext w:val="0"/>
        <w:keepLines w:val="0"/>
        <w:pageBreakBefore w:val="0"/>
        <w:widowControl w:val="0"/>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（五）调试与试验：电缆试验（其中：☑电缆局部放电试验，☑电缆参数测定），设备试验；</w:t>
      </w:r>
    </w:p>
    <w:p>
      <w:pPr>
        <w:keepNext w:val="0"/>
        <w:keepLines w:val="0"/>
        <w:pageBreakBefore w:val="0"/>
        <w:widowControl w:val="0"/>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（六）电缆监测（控）系统：材料运输，在线监测，安保监控；</w:t>
      </w:r>
    </w:p>
    <w:p>
      <w:pPr>
        <w:keepNext w:val="0"/>
        <w:keepLines w:val="0"/>
        <w:pageBreakBefore w:val="0"/>
        <w:widowControl w:val="0"/>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（七）其他费用工程：☑标志牌安装，</w:t>
      </w:r>
      <w:r>
        <w:rPr>
          <w:rFonts w:hint="eastAsia" w:ascii="宋体" w:hAnsi="宋体" w:cs="宋体"/>
          <w:b w:val="0"/>
          <w:bCs w:val="0"/>
          <w:snapToGrid w:val="0"/>
          <w:color w:val="auto"/>
          <w:kern w:val="0"/>
          <w:sz w:val="21"/>
          <w:szCs w:val="21"/>
          <w:highlight w:val="none"/>
          <w:u w:val="none"/>
          <w:lang w:val="en-US" w:eastAsia="zh-CN"/>
        </w:rPr>
        <w:t>☑</w:t>
      </w:r>
      <w:r>
        <w:rPr>
          <w:rFonts w:hint="eastAsia" w:ascii="宋体" w:hAnsi="宋体" w:eastAsia="宋体" w:cs="宋体"/>
          <w:b w:val="0"/>
          <w:bCs w:val="0"/>
          <w:snapToGrid w:val="0"/>
          <w:color w:val="auto"/>
          <w:kern w:val="0"/>
          <w:sz w:val="21"/>
          <w:szCs w:val="21"/>
          <w:highlight w:val="none"/>
          <w:u w:val="none"/>
          <w:lang w:val="en-US" w:eastAsia="zh-CN"/>
        </w:rPr>
        <w:t>拆除工程，☑线路牌挂牌；</w:t>
      </w:r>
    </w:p>
    <w:p>
      <w:pPr>
        <w:keepNext w:val="0"/>
        <w:keepLines w:val="0"/>
        <w:pageBreakBefore w:val="0"/>
        <w:widowControl w:val="0"/>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（八）其他：</w:t>
      </w:r>
      <w:r>
        <w:rPr>
          <w:rFonts w:hint="eastAsia" w:ascii="宋体" w:hAnsi="宋体" w:eastAsia="宋体" w:cs="宋体"/>
          <w:b w:val="0"/>
          <w:bCs w:val="0"/>
          <w:snapToGrid w:val="0"/>
          <w:color w:val="auto"/>
          <w:kern w:val="0"/>
          <w:sz w:val="21"/>
          <w:szCs w:val="21"/>
          <w:highlight w:val="none"/>
          <w:u w:val="single"/>
          <w:lang w:val="en-US" w:eastAsia="zh-CN"/>
        </w:rPr>
        <w:t>☑输、送电线路试运。</w:t>
      </w:r>
    </w:p>
    <w:p>
      <w:pPr>
        <w:keepNext w:val="0"/>
        <w:keepLines w:val="0"/>
        <w:pageBreakBefore w:val="0"/>
        <w:widowControl w:val="0"/>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※通信部分：</w:t>
      </w:r>
    </w:p>
    <w:p>
      <w:pPr>
        <w:keepNext w:val="0"/>
        <w:keepLines w:val="0"/>
        <w:pageBreakBefore w:val="0"/>
        <w:widowControl w:val="0"/>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变电站工程：施工图纸范围内的通信设备安装及测试、光缆单盘测试、中继测试、接续、光缆及联络光缆敷设、通信子管敷设、通道开通及业务接入、割接等；设备、光缆及金具卸车清点、验收及保管，与施工相关的所有其他费用项目。</w:t>
      </w:r>
    </w:p>
    <w:p>
      <w:pPr>
        <w:keepNext w:val="0"/>
        <w:keepLines w:val="0"/>
        <w:pageBreakBefore w:val="0"/>
        <w:widowControl w:val="0"/>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架空线路部分：施工图纸范围内的光缆单盘测量、接续、全程测量；与施工相关的所有其他费用项目；不包含光缆架设、拆除、跨越及青苗赔偿。</w:t>
      </w:r>
    </w:p>
    <w:p>
      <w:pPr>
        <w:keepNext w:val="0"/>
        <w:keepLines w:val="0"/>
        <w:pageBreakBefore w:val="0"/>
        <w:widowControl w:val="0"/>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lang w:val="en-US"/>
        </w:rPr>
      </w:pPr>
      <w:r>
        <w:rPr>
          <w:rFonts w:hint="eastAsia" w:ascii="宋体" w:hAnsi="宋体" w:eastAsia="宋体" w:cs="宋体"/>
          <w:b w:val="0"/>
          <w:bCs w:val="0"/>
          <w:snapToGrid w:val="0"/>
          <w:color w:val="auto"/>
          <w:kern w:val="0"/>
          <w:sz w:val="21"/>
          <w:szCs w:val="21"/>
          <w:highlight w:val="none"/>
          <w:u w:val="none"/>
          <w:lang w:val="en-US" w:eastAsia="zh-CN"/>
        </w:rPr>
        <w:t>电缆线路部分：施工图纸范围内的光缆单盘测试、中继测试、接续、光缆及联络光缆敷设、通信子管敷设、通道开通及业务接入、割接等；光缆及金具卸车清点、验收及保管，与施工相关的所有其他费用项目。</w:t>
      </w:r>
    </w:p>
    <w:p>
      <w:pPr>
        <w:pStyle w:val="10"/>
        <w:keepNext w:val="0"/>
        <w:keepLines w:val="0"/>
        <w:pageBreakBefore w:val="0"/>
        <w:numPr>
          <w:ilvl w:val="0"/>
          <w:numId w:val="1"/>
        </w:numPr>
        <w:shd w:val="clear" w:color="auto" w:fill="auto"/>
        <w:kinsoku/>
        <w:wordWrap/>
        <w:overflowPunct/>
        <w:topLinePunct w:val="0"/>
        <w:bidi w:val="0"/>
        <w:adjustRightInd w:val="0"/>
        <w:snapToGrid w:val="0"/>
        <w:spacing w:line="360" w:lineRule="auto"/>
        <w:ind w:left="0" w:leftChars="0" w:firstLine="0" w:firstLineChars="0"/>
        <w:textAlignment w:val="auto"/>
        <w:outlineLvl w:val="0"/>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 xml:space="preserve">承包方式 </w:t>
      </w:r>
    </w:p>
    <w:p>
      <w:pPr>
        <w:pStyle w:val="10"/>
        <w:keepNext w:val="0"/>
        <w:keepLines w:val="0"/>
        <w:pageBreakBefore w:val="0"/>
        <w:widowControl w:val="0"/>
        <w:numPr>
          <w:ilvl w:val="0"/>
          <w:numId w:val="0"/>
        </w:numPr>
        <w:kinsoku/>
        <w:wordWrap/>
        <w:overflowPunct/>
        <w:topLinePunct w:val="0"/>
        <w:autoSpaceDE/>
        <w:autoSpaceDN/>
        <w:bidi w:val="0"/>
        <w:spacing w:line="360" w:lineRule="auto"/>
        <w:ind w:leftChars="0" w:firstLine="420" w:firstLineChars="200"/>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bookmarkStart w:id="2" w:name="XmInfoEntity_SGCBFS_0_1"/>
      <w:r>
        <w:rPr>
          <w:rFonts w:hint="eastAsia" w:ascii="宋体" w:hAnsi="宋体" w:eastAsia="宋体" w:cs="宋体"/>
          <w:b w:val="0"/>
          <w:bCs w:val="0"/>
          <w:snapToGrid w:val="0"/>
          <w:color w:val="auto"/>
          <w:kern w:val="0"/>
          <w:sz w:val="21"/>
          <w:szCs w:val="21"/>
          <w:highlight w:val="none"/>
          <w:u w:val="none"/>
          <w:lang w:val="en-US" w:eastAsia="zh-CN"/>
        </w:rPr>
        <w:t>包工、部分包料。</w:t>
      </w:r>
    </w:p>
    <w:bookmarkEnd w:id="2"/>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※变电部分：</w:t>
      </w:r>
    </w:p>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（一）甲供物资：</w:t>
      </w:r>
    </w:p>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变电建筑工程：</w:t>
      </w:r>
    </w:p>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1、不锈钢材质检修电源箱，不锈钢材质配电箱（含照明和动力配电箱），电力电缆，控制电缆，低压电线，铜铝端子，铜端子，构支架钢结构（含构支架、横梁，爬梯、避雷针），标准成品预制电缆沟盖板（包括混凝土盖板和复合盖板），装配式变电站围墙和主变防火墙（含混凝土和复合材质，厂家包安装及基础灌浆），电缆支架（铝合金、角钢、复合材质），电杆（含混凝土和复合材料），电缆保护管材（HDPE管、涂塑钢管、PVC管、MPP管），电缆管塞封堵器，空调（精密空调、中央空调（换流站阀厅用）、工业空调（STATCOM集装箱用）、防爆空调（蓄电池室）），智能围栏。</w:t>
      </w:r>
    </w:p>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2、□装配式电缆沟、□消防电缆、□电梯（不含货物电梯）、□嵌入式空调（天井式）、</w:t>
      </w:r>
      <w:r>
        <w:rPr>
          <w:rFonts w:hint="eastAsia" w:ascii="宋体" w:hAnsi="宋体" w:cs="宋体"/>
          <w:b w:val="0"/>
          <w:bCs w:val="0"/>
          <w:snapToGrid w:val="0"/>
          <w:color w:val="auto"/>
          <w:kern w:val="0"/>
          <w:sz w:val="21"/>
          <w:szCs w:val="21"/>
          <w:highlight w:val="none"/>
          <w:u w:val="none"/>
          <w:lang w:val="en-US" w:eastAsia="zh-CN"/>
        </w:rPr>
        <w:t>☑</w:t>
      </w:r>
      <w:r>
        <w:rPr>
          <w:rFonts w:hint="eastAsia" w:ascii="宋体" w:hAnsi="宋体" w:eastAsia="宋体" w:cs="宋体"/>
          <w:b w:val="0"/>
          <w:bCs w:val="0"/>
          <w:snapToGrid w:val="0"/>
          <w:color w:val="auto"/>
          <w:kern w:val="0"/>
          <w:sz w:val="21"/>
          <w:szCs w:val="21"/>
          <w:highlight w:val="none"/>
          <w:u w:val="none"/>
          <w:lang w:val="en-US" w:eastAsia="zh-CN"/>
        </w:rPr>
        <w:t>专用空调（生产场所、带自动启动功能）。</w:t>
      </w:r>
    </w:p>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变电安装工程：</w:t>
      </w:r>
    </w:p>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1、电气一、二次设备，预制舱配电房，机载高速光电吊舱设备，铝镁合金管形母线及其配套金具，金具及附件（含线夹），钢绞线，铝绞线，红外热像仪，变电站智能巡检机器人，独立五防系统，检修隔离装置，视频及环境监控系统，监测装置，变压器配电箱（SMC材质、不锈钢材质），不锈钢材质端子箱，不锈钢材质检修电源箱，不锈钢材质发电车开关箱，不锈钢材质配电箱（含照明和动力配电箱），电力电缆，控制电缆，计量用电线，10kV及以上电缆头，各种类型绝缘子，封闭母线桥，10kV绝缘铜管母线，穿墙套管，电缆支架（铝合金、角钢、复合材质）、铝合金电缆桥架、计量接引装置、电抗器接地装置、小电流接地选线装置、通用型标志牌（包括：禁止攀登、高压危险、禁止抛物、高压危险等提醒类标志牌及相线牌、安装支架，不涉及资产名称、编号或位置）。</w:t>
      </w:r>
    </w:p>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2、□吊车。</w:t>
      </w:r>
    </w:p>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（二）其他甲供物资：</w:t>
      </w:r>
      <w:r>
        <w:rPr>
          <w:rFonts w:hint="eastAsia" w:ascii="宋体" w:hAnsi="宋体" w:eastAsia="宋体" w:cs="宋体"/>
          <w:b w:val="0"/>
          <w:bCs w:val="0"/>
          <w:snapToGrid w:val="0"/>
          <w:color w:val="auto"/>
          <w:kern w:val="0"/>
          <w:sz w:val="21"/>
          <w:szCs w:val="21"/>
          <w:highlight w:val="none"/>
          <w:u w:val="single"/>
          <w:lang w:val="en-US" w:eastAsia="zh-CN"/>
        </w:rPr>
        <w:t xml:space="preserve">     /    。</w:t>
      </w:r>
    </w:p>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※架空线路部分：</w:t>
      </w:r>
    </w:p>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（一）甲供物资：</w:t>
      </w:r>
    </w:p>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1、杆塔（水泥杆），铁塔加固器装置，高空防坠落装置，攀爬机轨道，钢绞线，铝绞线，导地线，绝缘子、绝缘横担，金具，标准铁构件，光缆，光缆金具，线路避雷器，故障指示器，故障精确定位装置，监测装置，视频监控系统，防鸟装置，铜覆钢接地极，石墨基接地体，通用型标志牌（包括：禁止攀登、高压危险、禁止抛物、高压危险等提醒类标志牌及相线牌、安装支架，不涉及资产名称、编号或位置）、警示灯（航空、航道）、航道牌及支架。</w:t>
      </w:r>
    </w:p>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2、☑地脚螺栓，☑直升机巡视作业标志牌。</w:t>
      </w:r>
    </w:p>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（二）其他甲供物资：</w:t>
      </w:r>
      <w:r>
        <w:rPr>
          <w:rFonts w:hint="eastAsia" w:ascii="宋体" w:hAnsi="宋体" w:eastAsia="宋体" w:cs="宋体"/>
          <w:b w:val="0"/>
          <w:bCs w:val="0"/>
          <w:snapToGrid w:val="0"/>
          <w:color w:val="auto"/>
          <w:kern w:val="0"/>
          <w:sz w:val="21"/>
          <w:szCs w:val="21"/>
          <w:highlight w:val="none"/>
          <w:u w:val="single"/>
          <w:lang w:val="en-US" w:eastAsia="zh-CN"/>
        </w:rPr>
        <w:t xml:space="preserve">    /     。</w:t>
      </w:r>
    </w:p>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※电缆线路部分：建设单位提供部分设备及材料：</w:t>
      </w:r>
    </w:p>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（一）甲供物资：</w:t>
      </w:r>
    </w:p>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1、电力电缆，电缆终端头，电缆直通接头，电缆绝缘接头，电缆T接头，电缆固定夹，带保护器接地箱，直接接地箱，同轴电缆，接地线，回流线，接地箱，避雷器，故障指示器，故障精确定位装置，监测装置，光缆及光缆附件，电缆隧道装置（含电缆隧道综合监测系统、隧道专用LED灯具、电缆隧道巡检机器人轨道、电缆隧道智能巡检机器人、电缆防火防爆装置、电缆隧道立柱支架、电缆隧道户外动力箱（IP66）），隧道风机，海缆保护区航标，接头区灭火装置，电缆支架（铝合金、槽钢、复合材质），电缆保护管材（包括HDPE管、涂塑钢管、PVC管、MPP管）、电缆管塞封堵器，标准成品预制电缆沟盖板（包括混凝土盖板和复合盖板）、智能围栏，标志牌（电缆标志牌、警示牌、标示桩、走向标志、安装支架）。</w:t>
      </w:r>
    </w:p>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2、□装配式电缆沟，□玻璃钢管。</w:t>
      </w:r>
    </w:p>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（二）其他甲供物资：</w:t>
      </w:r>
      <w:r>
        <w:rPr>
          <w:rFonts w:hint="eastAsia" w:ascii="宋体" w:hAnsi="宋体" w:eastAsia="宋体" w:cs="宋体"/>
          <w:b w:val="0"/>
          <w:bCs w:val="0"/>
          <w:snapToGrid w:val="0"/>
          <w:color w:val="auto"/>
          <w:kern w:val="0"/>
          <w:sz w:val="21"/>
          <w:szCs w:val="21"/>
          <w:highlight w:val="none"/>
          <w:u w:val="single"/>
          <w:lang w:val="en-US" w:eastAsia="zh-CN"/>
        </w:rPr>
        <w:t xml:space="preserve">     /     。</w:t>
      </w:r>
    </w:p>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※通信部分：建设单位提供部分设备及材料：</w:t>
      </w:r>
    </w:p>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变电部分：</w:t>
      </w:r>
    </w:p>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一）甲供物资：通信相关设备（含光传输设备、无线设备、电话、电池、监控、视频会议系统等），数据网设备，机架，通信电源，通信光缆及其金具，综合配线设备及材料，电缆保护管材（HDPE管、涂塑钢管、PVC管、MPP管）。</w:t>
      </w:r>
    </w:p>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（二）其他甲供物资：</w:t>
      </w:r>
      <w:r>
        <w:rPr>
          <w:rFonts w:hint="eastAsia" w:ascii="宋体" w:hAnsi="宋体" w:eastAsia="宋体" w:cs="宋体"/>
          <w:b w:val="0"/>
          <w:bCs w:val="0"/>
          <w:snapToGrid w:val="0"/>
          <w:color w:val="auto"/>
          <w:kern w:val="0"/>
          <w:sz w:val="21"/>
          <w:szCs w:val="21"/>
          <w:highlight w:val="none"/>
          <w:u w:val="single"/>
          <w:lang w:val="en-US" w:eastAsia="zh-CN"/>
        </w:rPr>
        <w:t xml:space="preserve">      /    。</w:t>
      </w:r>
    </w:p>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注：建设单位提供的设备、材料以合同附件（甲供设备材料明细表）为准。</w:t>
      </w:r>
      <w:bookmarkStart w:id="3" w:name="_GoBack"/>
      <w:bookmarkEnd w:id="3"/>
    </w:p>
    <w:p>
      <w:pPr>
        <w:pStyle w:val="3"/>
        <w:rPr>
          <w:rFonts w:hint="eastAsia"/>
          <w:lang w:val="en-US" w:eastAsia="zh-CN"/>
        </w:rPr>
      </w:pPr>
    </w:p>
    <w:p>
      <w:pPr>
        <w:pStyle w:val="10"/>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8"/>
          <w:szCs w:val="28"/>
          <w:highlight w:val="yellow"/>
          <w:lang w:val="en-US" w:eastAsia="zh-CN"/>
        </w:rPr>
      </w:pPr>
    </w:p>
    <w:sectPr>
      <w:pgSz w:w="11906" w:h="16838"/>
      <w:pgMar w:top="1440" w:right="1803" w:bottom="1440" w:left="1803" w:header="851" w:footer="992" w:gutter="0"/>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3F47E8"/>
    <w:multiLevelType w:val="singleLevel"/>
    <w:tmpl w:val="273F47E8"/>
    <w:lvl w:ilvl="0" w:tentative="0">
      <w:start w:val="1"/>
      <w:numFmt w:val="chineseCounting"/>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9"/>
  <w:displayHorizontalDrawingGridEvery w:val="1"/>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JmOGUyZmFiZDQ3NmE5NzU1OWEyZWQxZGI0NDIzNTMifQ=="/>
  </w:docVars>
  <w:rsids>
    <w:rsidRoot w:val="24F737D8"/>
    <w:rsid w:val="00503881"/>
    <w:rsid w:val="00675492"/>
    <w:rsid w:val="00C073B0"/>
    <w:rsid w:val="01000F1F"/>
    <w:rsid w:val="014D50AE"/>
    <w:rsid w:val="0270337E"/>
    <w:rsid w:val="03E95FF1"/>
    <w:rsid w:val="0465127D"/>
    <w:rsid w:val="04D31677"/>
    <w:rsid w:val="050E07AE"/>
    <w:rsid w:val="05B87515"/>
    <w:rsid w:val="05E259E1"/>
    <w:rsid w:val="068D71D9"/>
    <w:rsid w:val="07751D79"/>
    <w:rsid w:val="077730CD"/>
    <w:rsid w:val="09F62510"/>
    <w:rsid w:val="0BC07002"/>
    <w:rsid w:val="0C6B30AA"/>
    <w:rsid w:val="0D0758F3"/>
    <w:rsid w:val="0D882D55"/>
    <w:rsid w:val="0D9432B7"/>
    <w:rsid w:val="0DE024ED"/>
    <w:rsid w:val="0E7F20D3"/>
    <w:rsid w:val="10A919C2"/>
    <w:rsid w:val="11444D6C"/>
    <w:rsid w:val="116419AD"/>
    <w:rsid w:val="11DF6CFE"/>
    <w:rsid w:val="11E233BB"/>
    <w:rsid w:val="11FC1228"/>
    <w:rsid w:val="12205FC9"/>
    <w:rsid w:val="1221206F"/>
    <w:rsid w:val="12617BA5"/>
    <w:rsid w:val="13C71878"/>
    <w:rsid w:val="142C4DA5"/>
    <w:rsid w:val="14440D4B"/>
    <w:rsid w:val="15056A61"/>
    <w:rsid w:val="15F1120D"/>
    <w:rsid w:val="16BE50DE"/>
    <w:rsid w:val="17241016"/>
    <w:rsid w:val="17311749"/>
    <w:rsid w:val="18B14F30"/>
    <w:rsid w:val="18E57496"/>
    <w:rsid w:val="190C67D7"/>
    <w:rsid w:val="193066EB"/>
    <w:rsid w:val="196B23E3"/>
    <w:rsid w:val="1A2F2F81"/>
    <w:rsid w:val="1B1435D1"/>
    <w:rsid w:val="1B663F82"/>
    <w:rsid w:val="1BA9108A"/>
    <w:rsid w:val="1BB52303"/>
    <w:rsid w:val="1C660CB1"/>
    <w:rsid w:val="1D592E11"/>
    <w:rsid w:val="1DDE16D6"/>
    <w:rsid w:val="1EA379B5"/>
    <w:rsid w:val="1FE16C42"/>
    <w:rsid w:val="20E776A4"/>
    <w:rsid w:val="216F4D5B"/>
    <w:rsid w:val="22B30023"/>
    <w:rsid w:val="22BD2637"/>
    <w:rsid w:val="22D01CE9"/>
    <w:rsid w:val="23290A9A"/>
    <w:rsid w:val="23924415"/>
    <w:rsid w:val="24A01AA6"/>
    <w:rsid w:val="24E46BF4"/>
    <w:rsid w:val="24F737D8"/>
    <w:rsid w:val="250E3A49"/>
    <w:rsid w:val="274170EE"/>
    <w:rsid w:val="2785030E"/>
    <w:rsid w:val="278F57AD"/>
    <w:rsid w:val="27E47C4B"/>
    <w:rsid w:val="2874680A"/>
    <w:rsid w:val="28F46A2A"/>
    <w:rsid w:val="296555D1"/>
    <w:rsid w:val="29A55C56"/>
    <w:rsid w:val="29FC239E"/>
    <w:rsid w:val="2B8F6E89"/>
    <w:rsid w:val="2BED7EC0"/>
    <w:rsid w:val="2BFF0E0F"/>
    <w:rsid w:val="2D8D50EF"/>
    <w:rsid w:val="2D8E3667"/>
    <w:rsid w:val="2E816236"/>
    <w:rsid w:val="2E9A5E18"/>
    <w:rsid w:val="2F362DFB"/>
    <w:rsid w:val="2F454645"/>
    <w:rsid w:val="2F893A97"/>
    <w:rsid w:val="2FF65FF8"/>
    <w:rsid w:val="30035F08"/>
    <w:rsid w:val="300D195C"/>
    <w:rsid w:val="3044134F"/>
    <w:rsid w:val="30BF37B5"/>
    <w:rsid w:val="30D22D2F"/>
    <w:rsid w:val="312C2AE5"/>
    <w:rsid w:val="3178798B"/>
    <w:rsid w:val="3220664F"/>
    <w:rsid w:val="3244265D"/>
    <w:rsid w:val="32F2736E"/>
    <w:rsid w:val="35B73053"/>
    <w:rsid w:val="361736AD"/>
    <w:rsid w:val="36676B65"/>
    <w:rsid w:val="36905D28"/>
    <w:rsid w:val="36A54835"/>
    <w:rsid w:val="36D200CF"/>
    <w:rsid w:val="38382DC3"/>
    <w:rsid w:val="38F32560"/>
    <w:rsid w:val="39446F46"/>
    <w:rsid w:val="3A673196"/>
    <w:rsid w:val="3B2A0F67"/>
    <w:rsid w:val="3B7F0B2D"/>
    <w:rsid w:val="3BB261E1"/>
    <w:rsid w:val="3BCA27B8"/>
    <w:rsid w:val="3C114F9E"/>
    <w:rsid w:val="3C1E17EA"/>
    <w:rsid w:val="3C4A35F1"/>
    <w:rsid w:val="3C5C3206"/>
    <w:rsid w:val="3D1A51ED"/>
    <w:rsid w:val="3E9D7E49"/>
    <w:rsid w:val="3F9B7EF1"/>
    <w:rsid w:val="415A7E63"/>
    <w:rsid w:val="42D24F90"/>
    <w:rsid w:val="42E701E3"/>
    <w:rsid w:val="43193F4E"/>
    <w:rsid w:val="44444425"/>
    <w:rsid w:val="44A8314C"/>
    <w:rsid w:val="44D414C9"/>
    <w:rsid w:val="44D41B9E"/>
    <w:rsid w:val="454A135A"/>
    <w:rsid w:val="45AE252B"/>
    <w:rsid w:val="45BA6458"/>
    <w:rsid w:val="45C37365"/>
    <w:rsid w:val="460D1423"/>
    <w:rsid w:val="46472D5E"/>
    <w:rsid w:val="46772BA7"/>
    <w:rsid w:val="468E0BD5"/>
    <w:rsid w:val="469B4709"/>
    <w:rsid w:val="46A85B41"/>
    <w:rsid w:val="46B67BC3"/>
    <w:rsid w:val="47892FA5"/>
    <w:rsid w:val="47CB2C71"/>
    <w:rsid w:val="49332FB5"/>
    <w:rsid w:val="4A3A328A"/>
    <w:rsid w:val="4B3A1BDA"/>
    <w:rsid w:val="4C1966EB"/>
    <w:rsid w:val="4D392B7F"/>
    <w:rsid w:val="4DC43B62"/>
    <w:rsid w:val="4DC759F3"/>
    <w:rsid w:val="4DD3333C"/>
    <w:rsid w:val="4E040B17"/>
    <w:rsid w:val="4EA560D6"/>
    <w:rsid w:val="4EAB70C1"/>
    <w:rsid w:val="525522E2"/>
    <w:rsid w:val="528404F0"/>
    <w:rsid w:val="53463775"/>
    <w:rsid w:val="53523D60"/>
    <w:rsid w:val="53AA5AAD"/>
    <w:rsid w:val="547776C9"/>
    <w:rsid w:val="55734D49"/>
    <w:rsid w:val="55C3156A"/>
    <w:rsid w:val="55F326C8"/>
    <w:rsid w:val="57593089"/>
    <w:rsid w:val="582B703A"/>
    <w:rsid w:val="599017B7"/>
    <w:rsid w:val="5A492CEC"/>
    <w:rsid w:val="5A9E6817"/>
    <w:rsid w:val="5DE84119"/>
    <w:rsid w:val="5EB72BF2"/>
    <w:rsid w:val="5F8E0C51"/>
    <w:rsid w:val="5F9A39E4"/>
    <w:rsid w:val="5FE724D4"/>
    <w:rsid w:val="60395037"/>
    <w:rsid w:val="60546075"/>
    <w:rsid w:val="608606DE"/>
    <w:rsid w:val="62571F52"/>
    <w:rsid w:val="62F66503"/>
    <w:rsid w:val="639D46DC"/>
    <w:rsid w:val="6424058D"/>
    <w:rsid w:val="663511C3"/>
    <w:rsid w:val="663B2A3B"/>
    <w:rsid w:val="66C35559"/>
    <w:rsid w:val="66C67959"/>
    <w:rsid w:val="66D91A76"/>
    <w:rsid w:val="67573CF4"/>
    <w:rsid w:val="67977F0F"/>
    <w:rsid w:val="68B337CC"/>
    <w:rsid w:val="69311D38"/>
    <w:rsid w:val="6A287B5E"/>
    <w:rsid w:val="6A485E7E"/>
    <w:rsid w:val="6A6B37FA"/>
    <w:rsid w:val="6B303A1A"/>
    <w:rsid w:val="6C141EE0"/>
    <w:rsid w:val="6CF02B48"/>
    <w:rsid w:val="6D897695"/>
    <w:rsid w:val="6DAA2FDF"/>
    <w:rsid w:val="6E121228"/>
    <w:rsid w:val="70873960"/>
    <w:rsid w:val="70B81233"/>
    <w:rsid w:val="70D1495F"/>
    <w:rsid w:val="7129638F"/>
    <w:rsid w:val="73641402"/>
    <w:rsid w:val="74E73186"/>
    <w:rsid w:val="74F238E6"/>
    <w:rsid w:val="75E52E7E"/>
    <w:rsid w:val="76015DEA"/>
    <w:rsid w:val="763B2CF0"/>
    <w:rsid w:val="764E470D"/>
    <w:rsid w:val="76850D49"/>
    <w:rsid w:val="76EB7161"/>
    <w:rsid w:val="77E67240"/>
    <w:rsid w:val="7842124A"/>
    <w:rsid w:val="79435213"/>
    <w:rsid w:val="79527737"/>
    <w:rsid w:val="79D51B6D"/>
    <w:rsid w:val="7B2B3FE2"/>
    <w:rsid w:val="7B3B73B5"/>
    <w:rsid w:val="7C233754"/>
    <w:rsid w:val="7C766170"/>
    <w:rsid w:val="7CC45B07"/>
    <w:rsid w:val="7CC84BE5"/>
    <w:rsid w:val="7D26550D"/>
    <w:rsid w:val="7D2D6A7C"/>
    <w:rsid w:val="7D3A3102"/>
    <w:rsid w:val="7E3420E0"/>
    <w:rsid w:val="7E405052"/>
    <w:rsid w:val="7F124F07"/>
    <w:rsid w:val="7F1A0C44"/>
    <w:rsid w:val="7F2F2CCF"/>
    <w:rsid w:val="7F8F70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Calibri" w:hAnsi="Calibri" w:eastAsia="宋体" w:cs="Times New Roman"/>
      <w:kern w:val="2"/>
      <w:sz w:val="21"/>
      <w:szCs w:val="22"/>
      <w:lang w:val="en-US" w:eastAsia="zh-CN" w:bidi="ar-SA"/>
    </w:rPr>
  </w:style>
  <w:style w:type="paragraph" w:styleId="4">
    <w:name w:val="heading 1"/>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color w:val="000000"/>
      <w:sz w:val="32"/>
    </w:rPr>
  </w:style>
  <w:style w:type="paragraph" w:styleId="5">
    <w:name w:val="heading 2"/>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i/>
      <w:color w:val="000000"/>
      <w:sz w:val="28"/>
    </w:rPr>
  </w:style>
  <w:style w:type="paragraph" w:styleId="6">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w:basedOn w:val="1"/>
    <w:next w:val="3"/>
    <w:unhideWhenUsed/>
    <w:qFormat/>
    <w:uiPriority w:val="99"/>
    <w:pPr>
      <w:spacing w:after="120"/>
    </w:pPr>
  </w:style>
  <w:style w:type="paragraph" w:styleId="3">
    <w:name w:val="Title"/>
    <w:basedOn w:val="1"/>
    <w:next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paragraph" w:styleId="7">
    <w:name w:val="Normal Indent"/>
    <w:basedOn w:val="1"/>
    <w:qFormat/>
    <w:uiPriority w:val="0"/>
    <w:pPr>
      <w:ind w:firstLine="420"/>
    </w:pPr>
    <w:rPr>
      <w:rFonts w:ascii="Times New Roman" w:hAnsi="Times New Roman" w:cs="Times New Roman"/>
      <w:kern w:val="0"/>
      <w:sz w:val="20"/>
      <w:szCs w:val="20"/>
    </w:rPr>
  </w:style>
  <w:style w:type="paragraph" w:styleId="8">
    <w:name w:val="annotation text"/>
    <w:basedOn w:val="1"/>
    <w:qFormat/>
    <w:uiPriority w:val="0"/>
    <w:pPr>
      <w:jc w:val="left"/>
    </w:pPr>
  </w:style>
  <w:style w:type="paragraph" w:styleId="9">
    <w:name w:val="Body Text Indent"/>
    <w:basedOn w:val="1"/>
    <w:qFormat/>
    <w:uiPriority w:val="0"/>
    <w:pPr>
      <w:spacing w:after="120"/>
      <w:ind w:left="420" w:leftChars="200"/>
    </w:pPr>
  </w:style>
  <w:style w:type="paragraph" w:styleId="10">
    <w:name w:val="Plain Text"/>
    <w:basedOn w:val="1"/>
    <w:qFormat/>
    <w:uiPriority w:val="0"/>
    <w:pPr>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宋体" w:hAnsi="Courier New"/>
      <w:kern w:val="0"/>
      <w:sz w:val="20"/>
      <w:szCs w:val="20"/>
      <w:lang w:val="en-US" w:eastAsia="zh-CN"/>
    </w:rPr>
  </w:style>
  <w:style w:type="paragraph" w:styleId="11">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2">
    <w:name w:val="Body Text First Indent"/>
    <w:basedOn w:val="2"/>
    <w:next w:val="1"/>
    <w:unhideWhenUsed/>
    <w:qFormat/>
    <w:uiPriority w:val="99"/>
    <w:pPr>
      <w:pBdr>
        <w:top w:val="none" w:color="auto" w:sz="0" w:space="0"/>
        <w:left w:val="none" w:color="auto" w:sz="0" w:space="0"/>
        <w:bottom w:val="none" w:color="auto" w:sz="0" w:space="0"/>
        <w:right w:val="none" w:color="auto" w:sz="0" w:space="0"/>
        <w:between w:val="none" w:color="auto" w:sz="0" w:space="0"/>
      </w:pBdr>
      <w:shd w:val="clear" w:color="auto" w:fill="auto"/>
      <w:spacing w:line="360" w:lineRule="auto"/>
      <w:ind w:firstLine="200" w:firstLineChars="200"/>
      <w:jc w:val="both"/>
    </w:pPr>
    <w:rPr>
      <w:kern w:val="0"/>
      <w:sz w:val="24"/>
      <w:lang w:val="en-US" w:eastAsia="zh-CN"/>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
    <w:name w:val="目录 21"/>
    <w:basedOn w:val="1"/>
    <w:next w:val="1"/>
    <w:qFormat/>
    <w:uiPriority w:val="0"/>
    <w:pPr>
      <w:spacing w:before="100" w:beforeAutospacing="1" w:after="100" w:afterAutospacing="1"/>
      <w:ind w:left="420" w:leftChars="200"/>
    </w:pPr>
  </w:style>
  <w:style w:type="paragraph" w:customStyle="1" w:styleId="17">
    <w:name w:val="_Style 5"/>
    <w:basedOn w:val="1"/>
    <w:qFormat/>
    <w:uiPriority w:val="0"/>
    <w:pPr>
      <w:adjustRightInd/>
      <w:spacing w:line="240" w:lineRule="auto"/>
      <w:ind w:firstLine="420" w:firstLineChars="200"/>
      <w:textAlignment w:val="auto"/>
    </w:pPr>
    <w:rPr>
      <w:rFonts w:ascii="Calibri" w:hAnsi="Calibri" w:eastAsia="宋体" w:cs="Times New Roman"/>
      <w:kern w:val="2"/>
      <w:sz w:val="21"/>
      <w:szCs w:val="22"/>
    </w:rPr>
  </w:style>
  <w:style w:type="paragraph" w:customStyle="1" w:styleId="18">
    <w:name w:val="报告正文"/>
    <w:basedOn w:val="1"/>
    <w:qFormat/>
    <w:uiPriority w:val="0"/>
    <w:pPr>
      <w:ind w:firstLine="200" w:firstLineChars="200"/>
      <w:textAlignment w:val="baseline"/>
    </w:pPr>
    <w:rPr>
      <w:color w:val="FF0000"/>
      <w:kern w:val="0"/>
    </w:rPr>
  </w:style>
  <w:style w:type="character" w:customStyle="1" w:styleId="19">
    <w:name w:val="font31"/>
    <w:basedOn w:val="15"/>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6963</Words>
  <Characters>7508</Characters>
  <Lines>0</Lines>
  <Paragraphs>0</Paragraphs>
  <TotalTime>23</TotalTime>
  <ScaleCrop>false</ScaleCrop>
  <LinksUpToDate>false</LinksUpToDate>
  <CharactersWithSpaces>7560</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2021-02-24T07:45:00Z</dcterms:created>
  <dc:creator>maja</dc:creator>
  <cp:lastModifiedBy>anxs</cp:lastModifiedBy>
  <cp:lastPrinted>2022-02-11T02:00:00Z</cp:lastPrinted>
  <dcterms:modified xsi:type="dcterms:W3CDTF">2026-03-31T11:16:43Z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DA606E9BEFE74496AA32DDAD2DD49185</vt:lpwstr>
  </property>
  <property fmtid="{D5CDD505-2E9C-101B-9397-08002B2CF9AE}" pid="4" name="KSOTemplateDocerSaveRecord">
    <vt:lpwstr>eyJoZGlkIjoiMmQ5NTJlY2MwYWI5NDI5MzgzY2YyYTIzZTIxZjY4M2QiLCJ1c2VySWQiOiI0MDQ4MjMyNDAifQ==</vt:lpwstr>
  </property>
</Properties>
</file>