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eastAsia="宋体" w:cs="宋体"/>
          <w:b/>
          <w:bCs/>
          <w:snapToGrid w:val="0"/>
          <w:color w:val="auto"/>
          <w:kern w:val="0"/>
          <w:sz w:val="32"/>
          <w:szCs w:val="32"/>
          <w:highlight w:val="none"/>
          <w:u w:val="none"/>
          <w:lang w:val="en-US" w:eastAsia="zh-CN"/>
        </w:rPr>
        <w:t>标的4</w:t>
      </w:r>
    </w:p>
    <w:p>
      <w:pPr>
        <w:pStyle w:val="7"/>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FF0000"/>
          <w:sz w:val="28"/>
          <w:szCs w:val="28"/>
          <w:highlight w:val="non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asciiTheme="minorEastAsia" w:hAnsiTheme="minorEastAsia" w:eastAsiaTheme="minorEastAsia" w:cstheme="minorEastAsia"/>
          <w:b/>
          <w:bCs/>
          <w:snapToGrid w:val="0"/>
          <w:color w:val="auto"/>
          <w:sz w:val="28"/>
          <w:szCs w:val="28"/>
          <w:highlight w:val="none"/>
          <w:u w:val="single"/>
          <w:lang w:val="en-US" w:eastAsia="zh-CN"/>
        </w:rPr>
        <w:t>广西</w:t>
      </w:r>
      <w:r>
        <w:rPr>
          <w:rFonts w:hint="eastAsia" w:asciiTheme="minorEastAsia" w:hAnsiTheme="minorEastAsia" w:eastAsiaTheme="minorEastAsia" w:cstheme="minorEastAsia"/>
          <w:b/>
          <w:bCs/>
          <w:snapToGrid w:val="0"/>
          <w:color w:val="auto"/>
          <w:sz w:val="28"/>
          <w:szCs w:val="28"/>
          <w:highlight w:val="none"/>
          <w:u w:val="single"/>
          <w:lang w:eastAsia="zh-CN"/>
        </w:rPr>
        <w:t>植护元创生活用纸全产业链项目外部供电工程</w:t>
      </w:r>
      <w:r>
        <w:rPr>
          <w:rFonts w:hint="eastAsia" w:asciiTheme="minorEastAsia" w:hAnsiTheme="minorEastAsia" w:eastAsiaTheme="minorEastAsia" w:cstheme="minorEastAsia"/>
          <w:b/>
          <w:bCs/>
          <w:snapToGrid w:val="0"/>
          <w:color w:val="auto"/>
          <w:sz w:val="28"/>
          <w:szCs w:val="28"/>
          <w:highlight w:val="none"/>
          <w:u w:val="single"/>
          <w:lang w:val="en-US" w:eastAsia="zh-CN"/>
        </w:rPr>
        <w:t>施工</w:t>
      </w:r>
    </w:p>
    <w:tbl>
      <w:tblPr>
        <w:tblStyle w:val="10"/>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top"/>
          </w:tcPr>
          <w:p>
            <w:pPr>
              <w:pStyle w:val="7"/>
              <w:spacing w:line="240" w:lineRule="auto"/>
              <w:jc w:val="center"/>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ascii="宋体" w:hAnsi="宋体" w:eastAsia="宋体" w:cs="宋体"/>
                <w:i w:val="0"/>
                <w:strike w:val="0"/>
                <w:color w:val="auto"/>
                <w:spacing w:val="0"/>
                <w:sz w:val="21"/>
                <w:u w:val="none"/>
              </w:rPr>
              <w:t>广西电网有限责任公司电网建设分公司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top"/>
          </w:tcPr>
          <w:p>
            <w:pPr>
              <w:pStyle w:val="7"/>
              <w:spacing w:line="360" w:lineRule="auto"/>
              <w:jc w:val="center"/>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ascii="宋体" w:hAnsi="宋体" w:eastAsia="宋体" w:cs="宋体"/>
                <w:i w:val="0"/>
                <w:strike w:val="0"/>
                <w:color w:val="auto"/>
                <w:spacing w:val="0"/>
                <w:sz w:val="21"/>
                <w:u w:val="none"/>
              </w:rPr>
              <w:t>广西</w:t>
            </w:r>
            <w:r>
              <w:rPr>
                <w:rFonts w:hint="eastAsia" w:hAnsi="宋体" w:cs="宋体"/>
                <w:i w:val="0"/>
                <w:strike w:val="0"/>
                <w:color w:val="auto"/>
                <w:spacing w:val="0"/>
                <w:sz w:val="21"/>
                <w:u w:val="none"/>
                <w:lang w:val="en-US" w:eastAsia="zh-CN"/>
              </w:rPr>
              <w:t>贵港市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keepNext w:val="0"/>
              <w:keepLines w:val="0"/>
              <w:widowControl/>
              <w:suppressLineNumbers w:val="0"/>
              <w:jc w:val="center"/>
              <w:textAlignment w:val="center"/>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i w:val="0"/>
                <w:iCs w:val="0"/>
                <w:color w:val="000000"/>
                <w:kern w:val="0"/>
                <w:sz w:val="22"/>
                <w:szCs w:val="22"/>
                <w:u w:val="none"/>
                <w:lang w:val="en-US" w:eastAsia="zh-CN" w:bidi="ar"/>
              </w:rPr>
              <w:t>桂电规划〔2025〕</w:t>
            </w:r>
            <w:r>
              <w:rPr>
                <w:rFonts w:hint="eastAsia" w:ascii="宋体" w:hAnsi="宋体" w:cs="宋体"/>
                <w:i w:val="0"/>
                <w:iCs w:val="0"/>
                <w:color w:val="000000"/>
                <w:kern w:val="0"/>
                <w:sz w:val="22"/>
                <w:szCs w:val="22"/>
                <w:u w:val="none"/>
                <w:lang w:val="en-US" w:eastAsia="zh-CN" w:bidi="ar"/>
              </w:rPr>
              <w:t>188</w:t>
            </w:r>
            <w:r>
              <w:rPr>
                <w:rFonts w:hint="eastAsia" w:ascii="宋体" w:hAnsi="宋体" w:eastAsia="宋体" w:cs="宋体"/>
                <w:i w:val="0"/>
                <w:iCs w:val="0"/>
                <w:color w:val="000000"/>
                <w:kern w:val="0"/>
                <w:sz w:val="22"/>
                <w:szCs w:val="22"/>
                <w:u w:val="none"/>
                <w:lang w:val="en-US" w:eastAsia="zh-CN" w:bidi="ar"/>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top"/>
          </w:tcPr>
          <w:p>
            <w:pPr>
              <w:pStyle w:val="7"/>
              <w:spacing w:line="360" w:lineRule="auto"/>
              <w:jc w:val="center"/>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i w:val="0"/>
                <w:strike w:val="0"/>
                <w:color w:val="auto"/>
                <w:spacing w:val="0"/>
                <w:sz w:val="21"/>
                <w:u w:val="none"/>
                <w:lang w:eastAsia="zh-CN"/>
              </w:rPr>
              <w:t>贵发改环能〔2025〕515号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color w:val="auto"/>
                <w:sz w:val="21"/>
                <w:szCs w:val="21"/>
                <w:highlight w:val="none"/>
                <w:u w:val="none"/>
                <w:lang w:eastAsia="zh-CN"/>
              </w:rPr>
              <w:t>桂电规划〔2025〕2</w:t>
            </w:r>
            <w:r>
              <w:rPr>
                <w:rFonts w:hint="eastAsia" w:hAnsi="宋体" w:cs="宋体"/>
                <w:color w:val="auto"/>
                <w:sz w:val="21"/>
                <w:szCs w:val="21"/>
                <w:highlight w:val="none"/>
                <w:u w:val="none"/>
                <w:lang w:val="en-US" w:eastAsia="zh-CN"/>
              </w:rPr>
              <w:t>88</w:t>
            </w:r>
            <w:r>
              <w:rPr>
                <w:rFonts w:hint="eastAsia" w:hAnsi="宋体" w:eastAsia="宋体" w:cs="宋体"/>
                <w:color w:val="auto"/>
                <w:sz w:val="21"/>
                <w:szCs w:val="21"/>
                <w:highlight w:val="none"/>
                <w:u w:val="none"/>
                <w:lang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color w:val="auto"/>
                <w:sz w:val="21"/>
                <w:szCs w:val="21"/>
                <w:highlight w:val="none"/>
                <w:u w:val="none"/>
                <w:lang w:val="en-US" w:eastAsia="zh-CN"/>
              </w:rPr>
              <w:t>桂电基建〔2026〕25号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柳州电力勘察设计有限公司、广州竣盛工程造价咨询有限公司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i w:val="0"/>
                <w:strike w:val="0"/>
                <w:color w:val="auto"/>
                <w:spacing w:val="0"/>
                <w:sz w:val="21"/>
                <w:highlight w:val="none"/>
                <w:u w:val="none"/>
                <w:lang w:val="en-US" w:eastAsia="zh-CN"/>
              </w:rPr>
              <w:t>待定</w:t>
            </w:r>
          </w:p>
        </w:tc>
      </w:tr>
    </w:tbl>
    <w:p>
      <w:pPr>
        <w:pStyle w:val="7"/>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p>
    <w:bookmarkEnd w:id="0"/>
    <w:p>
      <w:pPr>
        <w:pStyle w:val="7"/>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w:t>
      </w:r>
      <w:r>
        <w:rPr>
          <w:rFonts w:hint="eastAsia" w:hAnsi="宋体" w:cs="宋体"/>
          <w:b w:val="0"/>
          <w:bCs w:val="0"/>
          <w:snapToGrid w:val="0"/>
          <w:color w:val="auto"/>
          <w:kern w:val="0"/>
          <w:sz w:val="21"/>
          <w:szCs w:val="21"/>
          <w:highlight w:val="none"/>
          <w:u w:val="none"/>
          <w:lang w:val="en-US" w:eastAsia="zh-CN"/>
        </w:rPr>
        <w:t>变电</w:t>
      </w:r>
      <w:r>
        <w:rPr>
          <w:rFonts w:hint="eastAsia" w:ascii="宋体" w:hAnsi="宋体" w:eastAsia="宋体" w:cs="宋体"/>
          <w:b w:val="0"/>
          <w:bCs w:val="0"/>
          <w:snapToGrid w:val="0"/>
          <w:color w:val="auto"/>
          <w:kern w:val="0"/>
          <w:sz w:val="21"/>
          <w:szCs w:val="21"/>
          <w:highlight w:val="none"/>
          <w:u w:val="none"/>
        </w:rPr>
        <w:t>工程</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i w:val="0"/>
          <w:iCs/>
          <w:color w:val="auto"/>
          <w:sz w:val="24"/>
          <w:szCs w:val="24"/>
          <w:highlight w:val="none"/>
          <w:lang w:val="en-US" w:eastAsia="zh-CN"/>
        </w:rPr>
      </w:pPr>
      <w:r>
        <w:rPr>
          <w:rFonts w:hint="eastAsia" w:ascii="宋体" w:hAnsi="宋体" w:cs="宋体"/>
          <w:b w:val="0"/>
          <w:bCs/>
          <w:i w:val="0"/>
          <w:iCs/>
          <w:color w:val="auto"/>
          <w:sz w:val="24"/>
          <w:szCs w:val="24"/>
          <w:highlight w:val="none"/>
          <w:lang w:val="en-US" w:eastAsia="zh-CN"/>
        </w:rPr>
        <w:t>1、</w:t>
      </w:r>
      <w:r>
        <w:rPr>
          <w:rFonts w:hint="eastAsia" w:ascii="宋体" w:hAnsi="宋体" w:eastAsia="宋体" w:cs="宋体"/>
          <w:b w:val="0"/>
          <w:bCs/>
          <w:i w:val="0"/>
          <w:iCs/>
          <w:color w:val="auto"/>
          <w:sz w:val="24"/>
          <w:szCs w:val="24"/>
          <w:highlight w:val="none"/>
          <w:lang w:val="en-US" w:eastAsia="zh-CN"/>
        </w:rPr>
        <w:t xml:space="preserve"> </w:t>
      </w:r>
      <w:r>
        <w:rPr>
          <w:rFonts w:hint="eastAsia" w:ascii="宋体" w:hAnsi="宋体" w:cs="宋体"/>
          <w:b w:val="0"/>
          <w:bCs/>
          <w:i w:val="0"/>
          <w:iCs/>
          <w:color w:val="auto"/>
          <w:sz w:val="24"/>
          <w:szCs w:val="24"/>
          <w:highlight w:val="none"/>
          <w:lang w:val="en-US" w:eastAsia="zh-CN"/>
        </w:rPr>
        <w:t>220kV运通站扩建220kV植护间隔工程</w:t>
      </w:r>
      <w:r>
        <w:rPr>
          <w:rFonts w:hint="eastAsia" w:ascii="宋体" w:hAnsi="宋体" w:eastAsia="宋体" w:cs="宋体"/>
          <w:b w:val="0"/>
          <w:bCs/>
          <w:i w:val="0"/>
          <w:iCs/>
          <w:color w:val="auto"/>
          <w:sz w:val="24"/>
          <w:szCs w:val="24"/>
          <w:highlight w:val="none"/>
          <w:lang w:val="en-US" w:eastAsia="zh-CN"/>
        </w:rPr>
        <w:t>：在</w:t>
      </w:r>
      <w:r>
        <w:rPr>
          <w:rFonts w:hint="eastAsia" w:ascii="宋体" w:hAnsi="宋体" w:cs="宋体"/>
          <w:b w:val="0"/>
          <w:bCs/>
          <w:i w:val="0"/>
          <w:iCs/>
          <w:color w:val="auto"/>
          <w:sz w:val="24"/>
          <w:szCs w:val="24"/>
          <w:highlight w:val="none"/>
          <w:lang w:val="en-US" w:eastAsia="zh-CN"/>
        </w:rPr>
        <w:t>运通</w:t>
      </w:r>
      <w:r>
        <w:rPr>
          <w:rFonts w:hint="eastAsia" w:ascii="宋体" w:hAnsi="宋体" w:eastAsia="宋体" w:cs="宋体"/>
          <w:b w:val="0"/>
          <w:bCs/>
          <w:i w:val="0"/>
          <w:iCs/>
          <w:color w:val="auto"/>
          <w:sz w:val="24"/>
          <w:szCs w:val="24"/>
          <w:highlight w:val="none"/>
          <w:lang w:val="en-US" w:eastAsia="zh-CN"/>
        </w:rPr>
        <w:t>站现有场地内扩建1个220kV出线间隔。</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二</w:t>
      </w:r>
      <w:r>
        <w:rPr>
          <w:rFonts w:hint="eastAsia" w:ascii="宋体" w:hAnsi="宋体" w:eastAsia="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rPr>
        <w:t>线路工程</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i w:val="0"/>
          <w:iCs/>
          <w:color w:val="auto"/>
          <w:sz w:val="24"/>
          <w:szCs w:val="24"/>
          <w:highlight w:val="none"/>
          <w:lang w:val="en-US" w:eastAsia="zh-CN"/>
        </w:rPr>
        <w:t>运通～植护220kV线路工程</w:t>
      </w:r>
      <w:r>
        <w:rPr>
          <w:rFonts w:hint="eastAsia" w:ascii="宋体" w:hAnsi="宋体" w:eastAsia="宋体" w:cs="宋体"/>
          <w:i w:val="0"/>
          <w:strike w:val="0"/>
          <w:color w:val="auto"/>
          <w:sz w:val="24"/>
          <w:szCs w:val="24"/>
          <w:highlight w:val="none"/>
          <w:u w:val="none"/>
        </w:rPr>
        <w:t>：</w:t>
      </w:r>
      <w:r>
        <w:rPr>
          <w:rFonts w:hint="eastAsia" w:ascii="宋体" w:hAnsi="宋体" w:cs="宋体"/>
          <w:i w:val="0"/>
          <w:strike w:val="0"/>
          <w:color w:val="auto"/>
          <w:sz w:val="24"/>
          <w:szCs w:val="24"/>
          <w:highlight w:val="none"/>
          <w:u w:val="none"/>
          <w:lang w:eastAsia="zh-CN"/>
        </w:rPr>
        <w:t>新建线路路径长度约8.0</w:t>
      </w:r>
      <w:r>
        <w:rPr>
          <w:rFonts w:hint="eastAsia" w:ascii="宋体" w:hAnsi="宋体" w:cs="宋体"/>
          <w:i w:val="0"/>
          <w:strike w:val="0"/>
          <w:color w:val="auto"/>
          <w:sz w:val="24"/>
          <w:szCs w:val="24"/>
          <w:highlight w:val="none"/>
          <w:u w:val="none"/>
          <w:lang w:val="en-US" w:eastAsia="zh-CN"/>
        </w:rPr>
        <w:t>km</w:t>
      </w:r>
      <w:r>
        <w:rPr>
          <w:rFonts w:hint="eastAsia" w:ascii="宋体" w:hAnsi="宋体" w:cs="宋体"/>
          <w:i w:val="0"/>
          <w:strike w:val="0"/>
          <w:color w:val="auto"/>
          <w:sz w:val="24"/>
          <w:szCs w:val="24"/>
          <w:highlight w:val="none"/>
          <w:u w:val="none"/>
          <w:lang w:eastAsia="zh-CN"/>
        </w:rPr>
        <w:t>， 全线按单回路角钢塔架设，导线JL/LB20A-300/40铝包钢芯铝绞线</w:t>
      </w:r>
      <w:r>
        <w:rPr>
          <w:rFonts w:hint="eastAsia" w:ascii="宋体" w:hAnsi="宋体" w:cs="宋体"/>
          <w:i w:val="0"/>
          <w:strike w:val="0"/>
          <w:color w:val="auto"/>
          <w:sz w:val="24"/>
          <w:szCs w:val="24"/>
          <w:highlight w:val="none"/>
          <w:u w:val="none"/>
          <w:lang w:val="en-US" w:eastAsia="zh-CN"/>
        </w:rPr>
        <w:t>,地线2根24芯OPGW-100光纤复合地线。</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p>
    <w:p>
      <w:pPr>
        <w:pStyle w:val="7"/>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pStyle w:val="2"/>
        <w:numPr>
          <w:ilvl w:val="0"/>
          <w:numId w:val="0"/>
        </w:numPr>
        <w:spacing w:line="360" w:lineRule="auto"/>
        <w:ind w:firstLine="482" w:firstLineChars="200"/>
        <w:rPr>
          <w:rFonts w:hint="eastAsia" w:ascii="宋体" w:hAnsi="宋体" w:eastAsia="宋体" w:cs="宋体"/>
          <w:b/>
          <w:bCs w:val="0"/>
          <w:i w:val="0"/>
          <w:iCs/>
          <w:color w:val="auto"/>
          <w:sz w:val="24"/>
          <w:szCs w:val="24"/>
          <w:highlight w:val="none"/>
          <w:lang w:val="en-US" w:eastAsia="zh-CN"/>
        </w:rPr>
      </w:pPr>
      <w:r>
        <w:rPr>
          <w:rFonts w:hint="eastAsia" w:ascii="宋体" w:hAnsi="宋体" w:eastAsia="宋体" w:cs="宋体"/>
          <w:b/>
          <w:bCs w:val="0"/>
          <w:i w:val="0"/>
          <w:iCs/>
          <w:color w:val="auto"/>
          <w:sz w:val="24"/>
          <w:szCs w:val="24"/>
          <w:highlight w:val="none"/>
          <w:lang w:val="en-US" w:eastAsia="zh-CN"/>
        </w:rPr>
        <w:t>1、</w:t>
      </w:r>
      <w:r>
        <w:rPr>
          <w:rFonts w:hint="eastAsia" w:asciiTheme="minorEastAsia" w:hAnsiTheme="minorEastAsia" w:eastAsiaTheme="minorEastAsia" w:cstheme="minorEastAsia"/>
          <w:i w:val="0"/>
          <w:iCs/>
          <w:color w:val="auto"/>
          <w:sz w:val="24"/>
          <w:szCs w:val="24"/>
          <w:highlight w:val="none"/>
        </w:rPr>
        <w:t>间隔扩建变电部分</w:t>
      </w:r>
      <w:r>
        <w:rPr>
          <w:rFonts w:hint="eastAsia" w:ascii="宋体" w:hAnsi="宋体" w:eastAsia="宋体" w:cs="宋体"/>
          <w:b/>
          <w:bCs w:val="0"/>
          <w:i w:val="0"/>
          <w:iCs/>
          <w:color w:val="auto"/>
          <w:sz w:val="24"/>
          <w:szCs w:val="24"/>
          <w:highlight w:val="none"/>
          <w:lang w:val="en-US" w:eastAsia="zh-CN"/>
        </w:rPr>
        <w:t>：</w:t>
      </w:r>
    </w:p>
    <w:p>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default" w:asciiTheme="minorEastAsia" w:hAnsiTheme="minorEastAsia" w:eastAsiaTheme="minorEastAsia" w:cstheme="minorEastAsia"/>
          <w:b w:val="0"/>
          <w:bCs/>
          <w:i w:val="0"/>
          <w:iCs/>
          <w:color w:val="auto"/>
          <w:sz w:val="24"/>
          <w:szCs w:val="24"/>
          <w:highlight w:val="none"/>
          <w:lang w:val="en-US" w:eastAsia="zh-CN"/>
        </w:rPr>
      </w:pPr>
      <w:r>
        <w:rPr>
          <w:rFonts w:hint="eastAsia" w:asciiTheme="minorEastAsia" w:hAnsiTheme="minorEastAsia" w:eastAsiaTheme="minorEastAsia" w:cstheme="minorEastAsia"/>
          <w:b w:val="0"/>
          <w:bCs/>
          <w:i w:val="0"/>
          <w:iCs/>
          <w:color w:val="auto"/>
          <w:sz w:val="24"/>
          <w:szCs w:val="24"/>
          <w:highlight w:val="none"/>
        </w:rPr>
        <w:t>施工图纸范围内的建筑、安装及调试（规程规范及招标前广西电网公司反措要求试验等）工程。包括但不限于：站区绿化、白蚁防治、消防系统、道路，电子围栏向属地公安局备案，消防报装报验（通过消防验收），弃土场租用及复绿，供水接入、排污接口、厂家安装调试项目的协助工作，施工单位负责整套启动试运及协助相关工作，变电站征地范围内的电力及通讯线（含光缆）迁移施工，设备搬迁，建筑物、构筑物、旧设备等余物清理，施工资料、设备信息采集等电子化资料移交工作，物资到货验收、卸车保管、二次倒运，拆除设备、材料运输至属地供电局仓库并完成相关手续办理。全站电力电缆、控制电缆、网线、光缆标志牌制作及悬挂（含厂家部分）；五防接入系统调试，电能计量系统接入，保护信息管理子站系统接入，故障录波修改接入，母线保护名称修改接入、线路间隔接入站内原有电能质量在线监测装置，直流系统及交流不间断电源接入，同步时钟对时系统接入，视频及环境监测系统接入，在线监测系统接入，行波测距系统接入，计算机监控系统完善接入，光通道调试，间隔名调整，保护调试，光纤熔接及光通道调试。资产录入、固定资产移交办理；林木砍伐证办理（含伐区调查），</w:t>
      </w:r>
      <w:r>
        <w:rPr>
          <w:rFonts w:hint="eastAsia" w:asciiTheme="minorEastAsia" w:hAnsiTheme="minorEastAsia" w:eastAsiaTheme="minorEastAsia" w:cstheme="minorEastAsia"/>
          <w:b w:val="0"/>
          <w:bCs/>
          <w:i w:val="0"/>
          <w:iCs/>
          <w:color w:val="auto"/>
          <w:sz w:val="24"/>
          <w:szCs w:val="24"/>
          <w:highlight w:val="none"/>
          <w:lang w:val="en-US" w:eastAsia="zh-CN"/>
        </w:rPr>
        <w:t>负责</w:t>
      </w:r>
      <w:r>
        <w:rPr>
          <w:rFonts w:hint="eastAsia" w:asciiTheme="minorEastAsia" w:hAnsiTheme="minorEastAsia" w:eastAsiaTheme="minorEastAsia" w:cstheme="minorEastAsia"/>
          <w:b w:val="0"/>
          <w:bCs/>
          <w:i w:val="0"/>
          <w:iCs/>
          <w:color w:val="auto"/>
          <w:sz w:val="24"/>
          <w:szCs w:val="24"/>
          <w:highlight w:val="none"/>
        </w:rPr>
        <w:t>桩基基础破桩头、磨桩头、以及检测开挖；建筑原材料取样和送至甲方确定的检测单位，部分厂家安装调试项目的协助工作,</w:t>
      </w:r>
      <w:r>
        <w:rPr>
          <w:rFonts w:hint="eastAsia" w:asciiTheme="minorEastAsia" w:hAnsiTheme="minorEastAsia" w:eastAsiaTheme="minorEastAsia" w:cstheme="minorEastAsia"/>
          <w:b w:val="0"/>
          <w:bCs/>
          <w:i w:val="0"/>
          <w:iCs/>
          <w:color w:val="auto"/>
          <w:sz w:val="24"/>
          <w:szCs w:val="24"/>
          <w:highlight w:val="none"/>
          <w:lang w:val="en-US" w:eastAsia="zh-CN"/>
        </w:rPr>
        <w:t>负责</w:t>
      </w:r>
      <w:r>
        <w:rPr>
          <w:rFonts w:hint="eastAsia" w:asciiTheme="minorEastAsia" w:hAnsiTheme="minorEastAsia" w:eastAsiaTheme="minorEastAsia" w:cstheme="minorEastAsia"/>
          <w:b w:val="0"/>
          <w:bCs/>
          <w:i w:val="0"/>
          <w:iCs/>
          <w:color w:val="auto"/>
          <w:sz w:val="24"/>
          <w:szCs w:val="24"/>
          <w:highlight w:val="none"/>
        </w:rPr>
        <w:t>项目建设厂家、第三方单位进场审批等手续办理，履行现场安全管理职责</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通过政府职业健康验收。站内设备、设施标志牌购置及其他安健环设施的购置和安装</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lang w:val="en-US" w:eastAsia="zh-CN"/>
        </w:rPr>
        <w:t>停电手续办理及相关停电接入工作。</w:t>
      </w:r>
    </w:p>
    <w:p>
      <w:pPr>
        <w:spacing w:line="360" w:lineRule="auto"/>
        <w:ind w:firstLine="480" w:firstLineChars="200"/>
        <w:outlineLvl w:val="9"/>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不包括：土地征用费，水土保持补偿费、环境监测及环境保护验收费、水土保持监测及验收费、等保测评、智慧工地费用等其他费用，间隔的X</w:t>
      </w:r>
      <w:r>
        <w:rPr>
          <w:rFonts w:hint="eastAsia" w:asciiTheme="minorEastAsia" w:hAnsiTheme="minorEastAsia" w:eastAsiaTheme="minorEastAsia" w:cstheme="minorEastAsia"/>
          <w:b w:val="0"/>
          <w:bCs/>
          <w:i w:val="0"/>
          <w:iCs/>
          <w:color w:val="auto"/>
          <w:sz w:val="24"/>
          <w:szCs w:val="24"/>
          <w:highlight w:val="none"/>
          <w:lang w:val="en-US" w:eastAsia="zh-CN"/>
        </w:rPr>
        <w:t>光</w:t>
      </w:r>
      <w:r>
        <w:rPr>
          <w:rFonts w:hint="eastAsia" w:asciiTheme="minorEastAsia" w:hAnsiTheme="minorEastAsia" w:eastAsiaTheme="minorEastAsia" w:cstheme="minorEastAsia"/>
          <w:b w:val="0"/>
          <w:bCs/>
          <w:i w:val="0"/>
          <w:iCs/>
          <w:color w:val="auto"/>
          <w:sz w:val="24"/>
          <w:szCs w:val="24"/>
          <w:highlight w:val="none"/>
        </w:rPr>
        <w:t>射</w:t>
      </w:r>
      <w:r>
        <w:rPr>
          <w:rFonts w:hint="eastAsia" w:asciiTheme="minorEastAsia" w:hAnsiTheme="minorEastAsia" w:eastAsiaTheme="minorEastAsia" w:cstheme="minorEastAsia"/>
          <w:b w:val="0"/>
          <w:bCs/>
          <w:i w:val="0"/>
          <w:iCs/>
          <w:color w:val="auto"/>
          <w:sz w:val="24"/>
          <w:szCs w:val="24"/>
          <w:highlight w:val="none"/>
          <w:lang w:val="en-US" w:eastAsia="zh-CN"/>
        </w:rPr>
        <w:t>线</w:t>
      </w:r>
      <w:r>
        <w:rPr>
          <w:rFonts w:hint="eastAsia" w:asciiTheme="minorEastAsia" w:hAnsiTheme="minorEastAsia" w:eastAsiaTheme="minorEastAsia" w:cstheme="minorEastAsia"/>
          <w:b w:val="0"/>
          <w:bCs/>
          <w:i w:val="0"/>
          <w:iCs/>
          <w:color w:val="auto"/>
          <w:sz w:val="24"/>
          <w:szCs w:val="24"/>
          <w:highlight w:val="none"/>
        </w:rPr>
        <w:t>检测，工程项目建设单位委托第三方检测机构进行的质量检测，费用不计入投标报价。根据《建设工程质量检测管理办法》的规定，工程项目建设单位委托第三方检测机构进行的质量检测业务包括但不限于以下内容：</w:t>
      </w:r>
    </w:p>
    <w:p>
      <w:pPr>
        <w:spacing w:line="360" w:lineRule="auto"/>
        <w:ind w:firstLine="480" w:firstLineChars="200"/>
        <w:outlineLvl w:val="9"/>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（1）专项检测</w:t>
      </w:r>
    </w:p>
    <w:p>
      <w:pPr>
        <w:spacing w:line="360" w:lineRule="auto"/>
        <w:ind w:firstLine="480" w:firstLineChars="200"/>
        <w:outlineLvl w:val="9"/>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场地土方回填试验（(击实试验、压实度试验）；钢筋混凝土实体监测(钢筋保护层厚度、混凝土强度、尺寸偏差)；桩基础检测(承载力、桩身完整性)；地基承载力检测；锚杆锁定力检测；因创优质工程需要，对不在国家规程规范监测范围内的建筑、边坡等额外开展的沉降观测。</w:t>
      </w:r>
    </w:p>
    <w:p>
      <w:pPr>
        <w:spacing w:line="360" w:lineRule="auto"/>
        <w:ind w:firstLine="480" w:firstLineChars="200"/>
        <w:outlineLvl w:val="9"/>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（2）见证取样检测</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水泥物理力学性能检验；钢筋（含焊接与机械连接）力学性能检验；</w:t>
      </w:r>
      <w:r>
        <w:rPr>
          <w:rFonts w:hint="eastAsia" w:asciiTheme="minorEastAsia" w:hAnsiTheme="minorEastAsia" w:eastAsiaTheme="minorEastAsia" w:cstheme="minorEastAsia"/>
          <w:b w:val="0"/>
          <w:bCs/>
          <w:i w:val="0"/>
          <w:iCs/>
          <w:color w:val="auto"/>
          <w:sz w:val="24"/>
          <w:szCs w:val="24"/>
          <w:highlight w:val="none"/>
          <w:lang w:val="en-US" w:eastAsia="zh-CN"/>
        </w:rPr>
        <w:t>施工用水、</w:t>
      </w:r>
      <w:r>
        <w:rPr>
          <w:rFonts w:hint="eastAsia" w:asciiTheme="minorEastAsia" w:hAnsiTheme="minorEastAsia" w:eastAsiaTheme="minorEastAsia" w:cstheme="minorEastAsia"/>
          <w:b w:val="0"/>
          <w:bCs/>
          <w:i w:val="0"/>
          <w:iCs/>
          <w:color w:val="auto"/>
          <w:sz w:val="24"/>
          <w:szCs w:val="24"/>
          <w:highlight w:val="none"/>
        </w:rPr>
        <w:t>砂、石常规检验；混凝土、砂浆强度检验。</w:t>
      </w:r>
    </w:p>
    <w:p>
      <w:pPr>
        <w:pStyle w:val="2"/>
        <w:numPr>
          <w:ilvl w:val="0"/>
          <w:numId w:val="0"/>
        </w:numPr>
        <w:spacing w:line="360" w:lineRule="auto"/>
        <w:ind w:firstLine="482" w:firstLineChars="200"/>
        <w:rPr>
          <w:rFonts w:hint="eastAsia" w:ascii="宋体" w:hAnsi="宋体" w:eastAsia="宋体" w:cs="宋体"/>
          <w:b/>
          <w:bCs w:val="0"/>
          <w:i w:val="0"/>
          <w:iCs/>
          <w:color w:val="auto"/>
          <w:sz w:val="24"/>
          <w:szCs w:val="24"/>
          <w:highlight w:val="none"/>
          <w:lang w:val="en-US" w:eastAsia="zh-CN"/>
        </w:rPr>
      </w:pPr>
      <w:r>
        <w:rPr>
          <w:rFonts w:hint="eastAsia" w:ascii="宋体" w:hAnsi="宋体" w:eastAsia="宋体" w:cs="宋体"/>
          <w:b/>
          <w:bCs w:val="0"/>
          <w:i w:val="0"/>
          <w:iCs/>
          <w:color w:val="auto"/>
          <w:sz w:val="24"/>
          <w:szCs w:val="24"/>
          <w:highlight w:val="none"/>
          <w:lang w:val="en-US" w:eastAsia="zh-CN"/>
        </w:rPr>
        <w:t>2、架空线路部分：</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施工图纸范围内的架空送电线路安装、调试工程。包括但不限于：线路本体工程、双回路相序进行调整、旧线路导线和地线弧垂调整、辅助施工费用</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跨越河流封航、</w:t>
      </w:r>
      <w:r>
        <w:rPr>
          <w:rFonts w:hint="eastAsia" w:asciiTheme="minorEastAsia" w:hAnsiTheme="minorEastAsia" w:eastAsiaTheme="minorEastAsia" w:cstheme="minorEastAsia"/>
          <w:b w:val="0"/>
          <w:bCs/>
          <w:i w:val="0"/>
          <w:iCs/>
          <w:color w:val="auto"/>
          <w:sz w:val="24"/>
          <w:szCs w:val="24"/>
          <w:highlight w:val="none"/>
          <w:lang w:eastAsia="zh-CN"/>
        </w:rPr>
        <w:t>铁路（</w:t>
      </w:r>
      <w:r>
        <w:rPr>
          <w:rFonts w:hint="eastAsia" w:asciiTheme="minorEastAsia" w:hAnsiTheme="minorEastAsia" w:eastAsiaTheme="minorEastAsia" w:cstheme="minorEastAsia"/>
          <w:b w:val="0"/>
          <w:bCs/>
          <w:i w:val="0"/>
          <w:iCs/>
          <w:color w:val="auto"/>
          <w:sz w:val="24"/>
          <w:szCs w:val="24"/>
          <w:highlight w:val="none"/>
          <w:lang w:val="en-US" w:eastAsia="zh-CN"/>
        </w:rPr>
        <w:t>预绞丝铠装保护条防护措施）</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公路、电力线等各种跨越工程及其建设许可报批，</w:t>
      </w:r>
      <w:r>
        <w:rPr>
          <w:rFonts w:hint="eastAsia" w:asciiTheme="minorEastAsia" w:hAnsiTheme="minorEastAsia" w:eastAsiaTheme="minorEastAsia" w:cstheme="minorEastAsia"/>
          <w:b w:val="0"/>
          <w:bCs/>
          <w:i w:val="0"/>
          <w:iCs/>
          <w:color w:val="auto"/>
          <w:sz w:val="24"/>
          <w:szCs w:val="24"/>
          <w:highlight w:val="none"/>
          <w:lang w:val="en-US" w:eastAsia="zh-CN"/>
        </w:rPr>
        <w:t>跨越油气管道评估、排流措施，</w:t>
      </w:r>
      <w:r>
        <w:rPr>
          <w:rFonts w:hint="eastAsia" w:asciiTheme="minorEastAsia" w:hAnsiTheme="minorEastAsia" w:eastAsiaTheme="minorEastAsia" w:cstheme="minorEastAsia"/>
          <w:b w:val="0"/>
          <w:bCs/>
          <w:i w:val="0"/>
          <w:iCs/>
          <w:color w:val="auto"/>
          <w:sz w:val="24"/>
          <w:szCs w:val="24"/>
          <w:highlight w:val="none"/>
        </w:rPr>
        <w:t>航道测量费、安全论证费</w:t>
      </w:r>
      <w:r>
        <w:rPr>
          <w:rFonts w:hint="eastAsia" w:asciiTheme="minorEastAsia" w:hAnsiTheme="minorEastAsia" w:eastAsiaTheme="minorEastAsia" w:cstheme="minorEastAsia"/>
          <w:b w:val="0"/>
          <w:bCs/>
          <w:i w:val="0"/>
          <w:iCs/>
          <w:color w:val="auto"/>
          <w:sz w:val="24"/>
          <w:szCs w:val="24"/>
          <w:highlight w:val="none"/>
          <w:lang w:val="en-US" w:eastAsia="zh-CN"/>
        </w:rPr>
        <w:t>；</w:t>
      </w:r>
      <w:r>
        <w:rPr>
          <w:rFonts w:hint="eastAsia" w:asciiTheme="minorEastAsia" w:hAnsiTheme="minorEastAsia" w:eastAsiaTheme="minorEastAsia" w:cstheme="minorEastAsia"/>
          <w:b w:val="0"/>
          <w:bCs/>
          <w:i w:val="0"/>
          <w:iCs/>
          <w:color w:val="auto"/>
          <w:sz w:val="24"/>
          <w:szCs w:val="24"/>
          <w:highlight w:val="none"/>
        </w:rPr>
        <w:t>OPGW光缆架设（含光纤架设、光缆现场单盘开箱检验、金具及附件现场开箱检验、光缆单盘测试、光缆架设、导引（管道）光缆安装、光纤接头标识、光缆熔接、光缆接续及测量、光缆全程接续点单向衰耗测试、光缆全程接续点双向平均衰耗测试</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lang w:val="en-US" w:eastAsia="zh-CN"/>
        </w:rPr>
        <w:t>导引光缆上ODF架</w:t>
      </w:r>
      <w:r>
        <w:rPr>
          <w:rFonts w:hint="eastAsia" w:asciiTheme="minorEastAsia" w:hAnsiTheme="minorEastAsia" w:eastAsiaTheme="minorEastAsia" w:cstheme="minorEastAsia"/>
          <w:b w:val="0"/>
          <w:bCs/>
          <w:i w:val="0"/>
          <w:iCs/>
          <w:color w:val="auto"/>
          <w:sz w:val="24"/>
          <w:szCs w:val="24"/>
          <w:highlight w:val="none"/>
        </w:rPr>
        <w:t>等），杆塔五牌（杆号牌、相序牌、警示牌、光缆牌、直升机巡视牌）安装，杆塔双回路色标牌安装，运行杆号、警示标志喷漆，旧杆号牌采购及安装，</w:t>
      </w:r>
      <w:r>
        <w:rPr>
          <w:rFonts w:hint="eastAsia" w:asciiTheme="minorEastAsia" w:hAnsiTheme="minorEastAsia" w:eastAsiaTheme="minorEastAsia" w:cstheme="minorEastAsia"/>
          <w:b w:val="0"/>
          <w:bCs/>
          <w:i w:val="0"/>
          <w:iCs/>
          <w:color w:val="auto"/>
          <w:sz w:val="24"/>
          <w:szCs w:val="24"/>
          <w:highlight w:val="none"/>
          <w:lang w:val="en-US" w:eastAsia="zh-CN"/>
        </w:rPr>
        <w:t>航空障碍</w:t>
      </w:r>
      <w:r>
        <w:rPr>
          <w:rFonts w:hint="eastAsia" w:asciiTheme="minorEastAsia" w:hAnsiTheme="minorEastAsia" w:eastAsiaTheme="minorEastAsia" w:cstheme="minorEastAsia"/>
          <w:b w:val="0"/>
          <w:bCs/>
          <w:i w:val="0"/>
          <w:iCs/>
          <w:color w:val="auto"/>
          <w:sz w:val="24"/>
          <w:szCs w:val="24"/>
          <w:highlight w:val="none"/>
        </w:rPr>
        <w:t>灯安装</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辅助施工费用，施工道路修筑（考虑桩基进场</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lang w:val="en-US" w:eastAsia="zh-CN"/>
        </w:rPr>
        <w:t>机械化施工道路修筑、临时用地赔偿及维护</w:t>
      </w:r>
      <w:r>
        <w:rPr>
          <w:rFonts w:hint="eastAsia" w:asciiTheme="minorEastAsia" w:hAnsiTheme="minorEastAsia" w:eastAsiaTheme="minorEastAsia" w:cstheme="minorEastAsia"/>
          <w:b w:val="0"/>
          <w:bCs/>
          <w:i w:val="0"/>
          <w:iCs/>
          <w:color w:val="auto"/>
          <w:sz w:val="24"/>
          <w:szCs w:val="24"/>
          <w:highlight w:val="none"/>
        </w:rPr>
        <w:t>），各种跨越工程手续办理，电力线、通信线迁移</w:t>
      </w:r>
      <w:r>
        <w:rPr>
          <w:rFonts w:hint="eastAsia" w:asciiTheme="minorEastAsia" w:hAnsiTheme="minorEastAsia" w:eastAsiaTheme="minorEastAsia" w:cstheme="minorEastAsia"/>
          <w:b w:val="0"/>
          <w:bCs/>
          <w:i w:val="0"/>
          <w:iCs/>
          <w:color w:val="auto"/>
          <w:sz w:val="24"/>
          <w:szCs w:val="24"/>
          <w:highlight w:val="none"/>
          <w:lang w:eastAsia="zh-CN"/>
        </w:rPr>
        <w:t>、通信基站搬迁</w:t>
      </w:r>
      <w:r>
        <w:rPr>
          <w:rFonts w:hint="eastAsia" w:asciiTheme="minorEastAsia" w:hAnsiTheme="minorEastAsia" w:eastAsiaTheme="minorEastAsia" w:cstheme="minorEastAsia"/>
          <w:b w:val="0"/>
          <w:bCs/>
          <w:i w:val="0"/>
          <w:iCs/>
          <w:color w:val="auto"/>
          <w:sz w:val="24"/>
          <w:szCs w:val="24"/>
          <w:highlight w:val="none"/>
        </w:rPr>
        <w:t>，拆除π接</w:t>
      </w:r>
      <w:r>
        <w:rPr>
          <w:rFonts w:hint="eastAsia" w:asciiTheme="minorEastAsia" w:hAnsiTheme="minorEastAsia" w:eastAsiaTheme="minorEastAsia" w:cstheme="minorEastAsia"/>
          <w:b w:val="0"/>
          <w:bCs/>
          <w:i w:val="0"/>
          <w:iCs/>
          <w:color w:val="auto"/>
          <w:sz w:val="24"/>
          <w:szCs w:val="24"/>
          <w:highlight w:val="none"/>
          <w:lang w:eastAsia="zh-CN"/>
        </w:rPr>
        <w:t>（改接）</w:t>
      </w:r>
      <w:r>
        <w:rPr>
          <w:rFonts w:hint="eastAsia" w:asciiTheme="minorEastAsia" w:hAnsiTheme="minorEastAsia" w:eastAsiaTheme="minorEastAsia" w:cstheme="minorEastAsia"/>
          <w:b w:val="0"/>
          <w:bCs/>
          <w:i w:val="0"/>
          <w:iCs/>
          <w:color w:val="auto"/>
          <w:sz w:val="24"/>
          <w:szCs w:val="24"/>
          <w:highlight w:val="none"/>
        </w:rPr>
        <w:t>原线路余物清理（包括工程拆除及清理），拆除物资运回</w:t>
      </w:r>
      <w:r>
        <w:rPr>
          <w:rFonts w:hint="eastAsia" w:asciiTheme="minorEastAsia" w:hAnsiTheme="minorEastAsia" w:eastAsiaTheme="minorEastAsia" w:cstheme="minorEastAsia"/>
          <w:b w:val="0"/>
          <w:bCs/>
          <w:i w:val="0"/>
          <w:iCs/>
          <w:color w:val="auto"/>
          <w:sz w:val="24"/>
          <w:szCs w:val="24"/>
          <w:highlight w:val="none"/>
          <w:lang w:eastAsia="zh-CN"/>
        </w:rPr>
        <w:t>属地</w:t>
      </w:r>
      <w:r>
        <w:rPr>
          <w:rFonts w:hint="eastAsia" w:asciiTheme="minorEastAsia" w:hAnsiTheme="minorEastAsia" w:eastAsiaTheme="minorEastAsia" w:cstheme="minorEastAsia"/>
          <w:b w:val="0"/>
          <w:bCs/>
          <w:i w:val="0"/>
          <w:iCs/>
          <w:color w:val="auto"/>
          <w:sz w:val="24"/>
          <w:szCs w:val="24"/>
          <w:highlight w:val="none"/>
        </w:rPr>
        <w:t>供电局仓库；负责导、地线拉力试验；</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中标单位负责现场组织、管理X光等各项检测工作</w:t>
      </w:r>
      <w:r>
        <w:rPr>
          <w:rFonts w:hint="eastAsia" w:asciiTheme="minorEastAsia" w:hAnsiTheme="minorEastAsia" w:eastAsiaTheme="minorEastAsia" w:cstheme="minorEastAsia"/>
          <w:b w:val="0"/>
          <w:bCs/>
          <w:i w:val="0"/>
          <w:iCs/>
          <w:color w:val="auto"/>
          <w:sz w:val="24"/>
          <w:szCs w:val="24"/>
          <w:highlight w:val="none"/>
        </w:rPr>
        <w:t>，按建设单位要求见证取样、其他检测送至甲方委托检测单位；附属设施安装（包括：综合在线监测装置、绝缘子污秽监测装置、分布式故障定位系统、线路避雷器、微气象在线监测装置、跨越铁路安全警示牌</w:t>
      </w:r>
      <w:r>
        <w:rPr>
          <w:rFonts w:hint="eastAsia" w:asciiTheme="minorEastAsia" w:hAnsiTheme="minorEastAsia" w:eastAsiaTheme="minorEastAsia" w:cstheme="minorEastAsia"/>
          <w:b w:val="0"/>
          <w:bCs/>
          <w:i w:val="0"/>
          <w:iCs/>
          <w:color w:val="auto"/>
          <w:sz w:val="24"/>
          <w:szCs w:val="24"/>
          <w:highlight w:val="none"/>
          <w:lang w:eastAsia="zh-CN"/>
        </w:rPr>
        <w:t>等</w:t>
      </w:r>
      <w:r>
        <w:rPr>
          <w:rFonts w:hint="eastAsia" w:asciiTheme="minorEastAsia" w:hAnsiTheme="minorEastAsia" w:eastAsiaTheme="minorEastAsia" w:cstheme="minorEastAsia"/>
          <w:b w:val="0"/>
          <w:bCs/>
          <w:i w:val="0"/>
          <w:iCs/>
          <w:color w:val="auto"/>
          <w:sz w:val="24"/>
          <w:szCs w:val="24"/>
          <w:highlight w:val="none"/>
        </w:rPr>
        <w:t>），电子化移交数据采集、资产录等入外业工作，安全生产管理系统输电设备台账录入；建设场地征用及清理费用编制结算工作，按3C绿色电网建设要求对余土进行处理，钻孔桩泥浆外运处理，塔基及弃土区植被恢复。线路通道树木砍伐人工费及办理林木砍伐证件（含林木砍伐设计调查报告编制等）相关手续费，钢管杆施工修路及附作物赔偿费，施工临时用地补偿费用（包含牵张场地、施工中因运输、堆放材料、机具，开挖基础土石方，开挖接地槽土石方，施工基础、组立杆塔过程中临时占用场地青苗赔偿、清理、复垦工作等相关费用），线路工程征地拆迁补偿工作服务（含沿线地方政府按公里或塔位收取的协调费）。线路参数测试，整套启动试运行。</w:t>
      </w:r>
      <w:r>
        <w:rPr>
          <w:rFonts w:hint="eastAsia" w:asciiTheme="minorEastAsia" w:hAnsiTheme="minorEastAsia" w:eastAsiaTheme="minorEastAsia" w:cstheme="minorEastAsia"/>
          <w:bCs/>
          <w:iCs/>
          <w:color w:val="auto"/>
          <w:sz w:val="24"/>
          <w:szCs w:val="24"/>
          <w:highlight w:val="none"/>
        </w:rPr>
        <w:t>根据《关于印发新建输电线路安全技术措施的通知》（桂电生技〔2024〕22 号）因甲方</w:t>
      </w:r>
      <w:bookmarkStart w:id="2" w:name="OLE_LINK8"/>
      <w:bookmarkStart w:id="3" w:name="OLE_LINK9"/>
      <w:r>
        <w:rPr>
          <w:rFonts w:hint="eastAsia" w:asciiTheme="minorEastAsia" w:hAnsiTheme="minorEastAsia" w:eastAsiaTheme="minorEastAsia" w:cstheme="minorEastAsia"/>
          <w:bCs/>
          <w:iCs/>
          <w:color w:val="auto"/>
          <w:sz w:val="24"/>
          <w:szCs w:val="24"/>
          <w:highlight w:val="none"/>
        </w:rPr>
        <w:t>抽检2</w:t>
      </w:r>
      <w:r>
        <w:rPr>
          <w:rFonts w:asciiTheme="minorEastAsia" w:hAnsiTheme="minorEastAsia" w:eastAsiaTheme="minorEastAsia" w:cstheme="minorEastAsia"/>
          <w:bCs/>
          <w:iCs/>
          <w:color w:val="auto"/>
          <w:sz w:val="24"/>
          <w:szCs w:val="24"/>
          <w:highlight w:val="none"/>
        </w:rPr>
        <w:t>0%</w:t>
      </w:r>
      <w:r>
        <w:rPr>
          <w:rFonts w:hint="eastAsia" w:asciiTheme="minorEastAsia" w:hAnsiTheme="minorEastAsia" w:eastAsiaTheme="minorEastAsia" w:cstheme="minorEastAsia"/>
          <w:bCs/>
          <w:iCs/>
          <w:color w:val="auto"/>
          <w:sz w:val="24"/>
          <w:szCs w:val="24"/>
          <w:highlight w:val="none"/>
        </w:rPr>
        <w:t>压接管及接续管</w:t>
      </w:r>
      <w:bookmarkEnd w:id="2"/>
      <w:bookmarkEnd w:id="3"/>
      <w:r>
        <w:rPr>
          <w:rFonts w:hint="eastAsia" w:asciiTheme="minorEastAsia" w:hAnsiTheme="minorEastAsia" w:eastAsiaTheme="minorEastAsia" w:cstheme="minorEastAsia"/>
          <w:bCs/>
          <w:iCs/>
          <w:color w:val="auto"/>
          <w:sz w:val="24"/>
          <w:szCs w:val="24"/>
          <w:highlight w:val="none"/>
        </w:rPr>
        <w:t>X光检测不合格，而扩大到1</w:t>
      </w:r>
      <w:r>
        <w:rPr>
          <w:rFonts w:asciiTheme="minorEastAsia" w:hAnsiTheme="minorEastAsia" w:eastAsiaTheme="minorEastAsia" w:cstheme="minorEastAsia"/>
          <w:bCs/>
          <w:iCs/>
          <w:color w:val="auto"/>
          <w:sz w:val="24"/>
          <w:szCs w:val="24"/>
          <w:highlight w:val="none"/>
        </w:rPr>
        <w:t>00%</w:t>
      </w:r>
      <w:r>
        <w:rPr>
          <w:rFonts w:hint="eastAsia" w:asciiTheme="minorEastAsia" w:hAnsiTheme="minorEastAsia" w:eastAsiaTheme="minorEastAsia" w:cstheme="minorEastAsia"/>
          <w:bCs/>
          <w:iCs/>
          <w:color w:val="auto"/>
          <w:sz w:val="24"/>
          <w:szCs w:val="24"/>
          <w:highlight w:val="none"/>
        </w:rPr>
        <w:t>检测而产生的费用。</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项目创优工作（含广西级、南网级、行优、国优等，包括创优材料准备、会务准备、专家费等工作）包含在报价中考虑。</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不包括：杆塔占地及附着物补偿费、护坡挡土墙和排水沟的占地及附着物补偿费、线路走廊青苗补偿费及树木砍伐补偿费、森林植被恢复费、坟墓迁移补偿费、养殖池（塘）补偿费、宅基地补偿费、厂矿场和房屋等不动产类拆迁补偿等费用、巡线与检修站工程、新建线路杆塔标志牌购置</w:t>
      </w:r>
      <w:r>
        <w:rPr>
          <w:rFonts w:hint="eastAsia" w:asciiTheme="minorEastAsia" w:hAnsiTheme="minorEastAsia" w:eastAsiaTheme="minorEastAsia" w:cstheme="minorEastAsia"/>
          <w:b w:val="0"/>
          <w:bCs/>
          <w:i w:val="0"/>
          <w:iCs/>
          <w:color w:val="auto"/>
          <w:sz w:val="24"/>
          <w:szCs w:val="24"/>
          <w:highlight w:val="none"/>
          <w:lang w:eastAsia="zh-CN"/>
        </w:rPr>
        <w:t>、机场飞行安全评估、跨越</w:t>
      </w:r>
      <w:r>
        <w:rPr>
          <w:rFonts w:hint="eastAsia" w:asciiTheme="minorEastAsia" w:hAnsiTheme="minorEastAsia" w:eastAsiaTheme="minorEastAsia" w:cstheme="minorEastAsia"/>
          <w:b w:val="0"/>
          <w:bCs/>
          <w:i w:val="0"/>
          <w:iCs/>
          <w:color w:val="auto"/>
          <w:sz w:val="24"/>
          <w:szCs w:val="24"/>
          <w:highlight w:val="none"/>
          <w:lang w:val="en-US" w:eastAsia="zh-CN"/>
        </w:rPr>
        <w:t>油气</w:t>
      </w:r>
      <w:r>
        <w:rPr>
          <w:rFonts w:hint="eastAsia" w:asciiTheme="minorEastAsia" w:hAnsiTheme="minorEastAsia" w:eastAsiaTheme="minorEastAsia" w:cstheme="minorEastAsia"/>
          <w:b w:val="0"/>
          <w:bCs/>
          <w:i w:val="0"/>
          <w:iCs/>
          <w:color w:val="auto"/>
          <w:sz w:val="24"/>
          <w:szCs w:val="24"/>
          <w:highlight w:val="none"/>
          <w:lang w:eastAsia="zh-CN"/>
        </w:rPr>
        <w:t>管道</w:t>
      </w:r>
      <w:r>
        <w:rPr>
          <w:rFonts w:hint="eastAsia" w:asciiTheme="minorEastAsia" w:hAnsiTheme="minorEastAsia" w:eastAsiaTheme="minorEastAsia" w:cstheme="minorEastAsia"/>
          <w:b w:val="0"/>
          <w:bCs/>
          <w:i w:val="0"/>
          <w:iCs/>
          <w:color w:val="auto"/>
          <w:sz w:val="24"/>
          <w:szCs w:val="24"/>
          <w:highlight w:val="none"/>
          <w:lang w:val="en-US" w:eastAsia="zh-CN"/>
        </w:rPr>
        <w:t>评估</w:t>
      </w:r>
      <w:r>
        <w:rPr>
          <w:rFonts w:hint="eastAsia" w:asciiTheme="minorEastAsia" w:hAnsiTheme="minorEastAsia" w:eastAsiaTheme="minorEastAsia" w:cstheme="minorEastAsia"/>
          <w:b w:val="0"/>
          <w:bCs/>
          <w:i w:val="0"/>
          <w:iCs/>
          <w:color w:val="auto"/>
          <w:sz w:val="24"/>
          <w:szCs w:val="24"/>
          <w:highlight w:val="none"/>
        </w:rPr>
        <w:t>。工程项目建设单位委托第三方检测机构进行的质量检测费用不计入投标报价。根据《建设工程质量检测管理办法》的规定，工程项目建设单位委托第三方检测机构进行的质量检测业务包括但不限于以下内容：</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（1）专项检测：场地土方回填试验（击实试验、压实度试验）；钢筋混凝土实体监测(钢筋保护层厚度、混凝土强度、尺寸偏差)；桩基础检测(承载力、桩身完整性)；地基承载力检测；</w:t>
      </w:r>
      <w:r>
        <w:rPr>
          <w:rFonts w:hint="eastAsia" w:asciiTheme="minorEastAsia" w:hAnsiTheme="minorEastAsia" w:eastAsiaTheme="minorEastAsia" w:cstheme="minorEastAsia"/>
          <w:b w:val="0"/>
          <w:bCs/>
          <w:i w:val="0"/>
          <w:iCs/>
          <w:color w:val="auto"/>
          <w:sz w:val="24"/>
          <w:szCs w:val="24"/>
          <w:highlight w:val="none"/>
          <w:lang w:val="en-US" w:eastAsia="zh-CN"/>
        </w:rPr>
        <w:t>接续管、</w:t>
      </w:r>
      <w:r>
        <w:rPr>
          <w:rFonts w:hint="eastAsia" w:asciiTheme="minorEastAsia" w:hAnsiTheme="minorEastAsia" w:eastAsiaTheme="minorEastAsia" w:cstheme="minorEastAsia"/>
          <w:b w:val="0"/>
          <w:bCs/>
          <w:i w:val="0"/>
          <w:iCs/>
          <w:color w:val="auto"/>
          <w:sz w:val="24"/>
          <w:szCs w:val="24"/>
          <w:highlight w:val="none"/>
        </w:rPr>
        <w:t>耐张线夹X光检测。</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（2）见证取样检测：水泥物理力学性能检验；钢筋（含焊接与机械连接）力学性能检验；</w:t>
      </w:r>
      <w:r>
        <w:rPr>
          <w:rFonts w:hint="eastAsia" w:asciiTheme="minorEastAsia" w:hAnsiTheme="minorEastAsia" w:eastAsiaTheme="minorEastAsia" w:cstheme="minorEastAsia"/>
          <w:b w:val="0"/>
          <w:bCs/>
          <w:i w:val="0"/>
          <w:iCs/>
          <w:color w:val="auto"/>
          <w:sz w:val="24"/>
          <w:szCs w:val="24"/>
          <w:highlight w:val="none"/>
          <w:lang w:val="en-US" w:eastAsia="zh-CN"/>
        </w:rPr>
        <w:t>施工用水、</w:t>
      </w:r>
      <w:r>
        <w:rPr>
          <w:rFonts w:hint="eastAsia" w:asciiTheme="minorEastAsia" w:hAnsiTheme="minorEastAsia" w:eastAsiaTheme="minorEastAsia" w:cstheme="minorEastAsia"/>
          <w:b w:val="0"/>
          <w:bCs/>
          <w:i w:val="0"/>
          <w:iCs/>
          <w:color w:val="auto"/>
          <w:sz w:val="24"/>
          <w:szCs w:val="24"/>
          <w:highlight w:val="none"/>
        </w:rPr>
        <w:t>砂、石常规检验；混凝土、砂浆强度检验。</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p>
    <w:p>
      <w:pPr>
        <w:pStyle w:val="3"/>
        <w:rPr>
          <w:rFonts w:hint="eastAsia" w:ascii="宋体" w:hAnsi="宋体" w:eastAsia="宋体" w:cs="宋体"/>
          <w:b/>
          <w:bCs w:val="0"/>
          <w:i w:val="0"/>
          <w:iCs/>
          <w:color w:val="auto"/>
          <w:kern w:val="2"/>
          <w:sz w:val="24"/>
          <w:szCs w:val="24"/>
          <w:highlight w:val="none"/>
          <w:lang w:val="en-US" w:eastAsia="zh-CN" w:bidi="ar-SA"/>
        </w:rPr>
      </w:pPr>
      <w:r>
        <w:rPr>
          <w:rFonts w:hint="eastAsia" w:ascii="宋体" w:hAnsi="宋体" w:cs="宋体"/>
          <w:b/>
          <w:bCs w:val="0"/>
          <w:i w:val="0"/>
          <w:iCs/>
          <w:color w:val="auto"/>
          <w:kern w:val="2"/>
          <w:sz w:val="24"/>
          <w:szCs w:val="24"/>
          <w:highlight w:val="none"/>
          <w:lang w:val="en-US" w:eastAsia="zh-CN" w:bidi="ar-SA"/>
        </w:rPr>
        <w:t>三、</w:t>
      </w:r>
      <w:r>
        <w:rPr>
          <w:rFonts w:hint="eastAsia" w:ascii="宋体" w:hAnsi="宋体" w:eastAsia="宋体" w:cs="宋体"/>
          <w:b/>
          <w:bCs w:val="0"/>
          <w:i w:val="0"/>
          <w:iCs/>
          <w:color w:val="auto"/>
          <w:kern w:val="2"/>
          <w:sz w:val="24"/>
          <w:szCs w:val="24"/>
          <w:highlight w:val="none"/>
          <w:lang w:val="en-US" w:eastAsia="zh-CN" w:bidi="ar-SA"/>
        </w:rPr>
        <w:t>特殊调试清单</w:t>
      </w:r>
    </w:p>
    <w:p>
      <w:pPr>
        <w:autoSpaceDE w:val="0"/>
        <w:autoSpaceDN w:val="0"/>
        <w:spacing w:line="360" w:lineRule="auto"/>
        <w:ind w:firstLine="420" w:firstLineChars="200"/>
        <w:jc w:val="center"/>
        <w:rPr>
          <w:rFonts w:hint="eastAsia" w:ascii="宋体" w:hAnsi="宋体" w:cs="仿宋_GB2312"/>
          <w:b/>
          <w:color w:val="auto"/>
          <w:szCs w:val="21"/>
          <w:highlight w:val="none"/>
        </w:rPr>
      </w:pPr>
      <w:r>
        <w:rPr>
          <w:rFonts w:hint="eastAsia" w:ascii="宋体" w:hAnsi="宋体"/>
          <w:color w:val="auto"/>
          <w:szCs w:val="21"/>
          <w:highlight w:val="none"/>
        </w:rPr>
        <w:t>特殊调试项目明细表</w:t>
      </w:r>
    </w:p>
    <w:tbl>
      <w:tblPr>
        <w:tblStyle w:val="9"/>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序号</w:t>
            </w:r>
          </w:p>
        </w:tc>
        <w:tc>
          <w:tcPr>
            <w:tcW w:w="5610"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特殊调试项目</w:t>
            </w:r>
          </w:p>
        </w:tc>
        <w:tc>
          <w:tcPr>
            <w:tcW w:w="2220"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1</w:t>
            </w:r>
          </w:p>
        </w:tc>
        <w:tc>
          <w:tcPr>
            <w:tcW w:w="5610" w:type="dxa"/>
            <w:vAlign w:val="center"/>
          </w:tcPr>
          <w:p>
            <w:pPr>
              <w:autoSpaceDE w:val="0"/>
              <w:autoSpaceDN w:val="0"/>
              <w:rPr>
                <w:rFonts w:hint="eastAsia" w:ascii="宋体" w:hAnsi="宋体" w:cs="Times New Roman"/>
                <w:color w:val="auto"/>
                <w:szCs w:val="21"/>
                <w:highlight w:val="none"/>
              </w:rPr>
            </w:pPr>
            <w:r>
              <w:rPr>
                <w:rFonts w:hint="eastAsia" w:ascii="宋体" w:hAnsi="宋体" w:cs="Times New Roman"/>
                <w:color w:val="auto"/>
                <w:szCs w:val="21"/>
                <w:highlight w:val="none"/>
              </w:rPr>
              <w:t>根据规程规范及南方电网公司反措要求试验调试</w:t>
            </w:r>
          </w:p>
        </w:tc>
        <w:tc>
          <w:tcPr>
            <w:tcW w:w="2220" w:type="dxa"/>
            <w:vAlign w:val="center"/>
          </w:tcPr>
          <w:p>
            <w:pPr>
              <w:autoSpaceDE w:val="0"/>
              <w:autoSpaceDN w:val="0"/>
              <w:jc w:val="center"/>
              <w:rPr>
                <w:rFonts w:hint="eastAsia" w:ascii="宋体" w:hAnsi="宋体" w:cs="Times New Roman"/>
                <w:color w:val="auto"/>
                <w:szCs w:val="21"/>
                <w:highlight w:val="none"/>
              </w:rPr>
            </w:pPr>
          </w:p>
        </w:tc>
      </w:tr>
    </w:tbl>
    <w:p>
      <w:pPr>
        <w:pStyle w:val="2"/>
        <w:rPr>
          <w:rFonts w:hint="eastAsia"/>
          <w:color w:val="auto"/>
          <w:highlight w:val="none"/>
          <w:lang w:val="en-US" w:eastAsia="zh-CN"/>
        </w:rPr>
      </w:pPr>
    </w:p>
    <w:p>
      <w:pPr>
        <w:rPr>
          <w:rFonts w:hint="default"/>
          <w:lang w:val="en-US"/>
        </w:rPr>
      </w:pPr>
    </w:p>
    <w:p>
      <w:pPr>
        <w:pStyle w:val="7"/>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textAlignment w:val="auto"/>
        <w:outlineLvl w:val="0"/>
        <w:rPr>
          <w:rFonts w:hint="eastAsia" w:ascii="宋体" w:hAnsi="宋体" w:eastAsia="宋体" w:cs="宋体"/>
          <w:b w:val="0"/>
          <w:bCs w:val="0"/>
          <w:snapToGrid w:val="0"/>
          <w:color w:val="auto"/>
          <w:kern w:val="0"/>
          <w:sz w:val="21"/>
          <w:szCs w:val="21"/>
          <w:highlight w:val="none"/>
          <w:u w:val="none"/>
          <w:lang w:val="en-US" w:eastAsia="zh-CN"/>
        </w:rPr>
      </w:pPr>
      <w:r>
        <w:rPr>
          <w:rFonts w:hint="eastAsia"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val="en-US" w:eastAsia="zh-CN"/>
        </w:rPr>
        <w:t>承包方式</w:t>
      </w:r>
      <w:r>
        <w:rPr>
          <w:rFonts w:hint="eastAsia" w:hAnsi="宋体" w:eastAsia="宋体" w:cs="宋体"/>
          <w:b/>
          <w:color w:val="auto"/>
          <w:sz w:val="24"/>
          <w:szCs w:val="24"/>
          <w:highlight w:val="none"/>
          <w:lang w:val="en-US" w:eastAsia="zh-CN"/>
        </w:rPr>
        <w:t>：</w:t>
      </w:r>
      <w:bookmarkStart w:id="4" w:name="XmInfoEntity_SGCBFS_0_1"/>
      <w:r>
        <w:rPr>
          <w:rFonts w:hint="eastAsia" w:ascii="宋体" w:hAnsi="宋体" w:eastAsia="宋体" w:cs="宋体"/>
          <w:b w:val="0"/>
          <w:bCs w:val="0"/>
          <w:snapToGrid w:val="0"/>
          <w:color w:val="auto"/>
          <w:kern w:val="0"/>
          <w:sz w:val="21"/>
          <w:szCs w:val="21"/>
          <w:highlight w:val="none"/>
          <w:u w:val="none"/>
          <w:lang w:val="en-US" w:eastAsia="zh-CN"/>
        </w:rPr>
        <w:t>包工、部分包料。</w:t>
      </w:r>
    </w:p>
    <w:bookmarkEnd w:id="4"/>
    <w:p>
      <w:pPr>
        <w:numPr>
          <w:ilvl w:val="0"/>
          <w:numId w:val="0"/>
        </w:numPr>
        <w:ind w:left="0" w:leftChars="0" w:firstLine="840" w:firstLineChars="400"/>
        <w:rPr>
          <w:rFonts w:hint="default"/>
          <w:color w:val="auto"/>
          <w:highlight w:val="none"/>
          <w:lang w:val="en-US" w:eastAsia="zh-CN"/>
        </w:rPr>
      </w:pPr>
      <w:r>
        <w:rPr>
          <w:rFonts w:hint="eastAsia"/>
          <w:color w:val="auto"/>
          <w:highlight w:val="none"/>
          <w:lang w:val="en-US" w:eastAsia="zh-CN"/>
        </w:rPr>
        <w:t xml:space="preserve"> </w:t>
      </w:r>
      <w:r>
        <w:rPr>
          <w:rFonts w:hint="eastAsia"/>
          <w:b/>
          <w:bCs/>
          <w:color w:val="auto"/>
          <w:sz w:val="24"/>
          <w:szCs w:val="24"/>
          <w:highlight w:val="none"/>
          <w:lang w:val="en-US" w:eastAsia="zh-CN"/>
        </w:rPr>
        <w:t>甲乙供</w:t>
      </w:r>
      <w:r>
        <w:rPr>
          <w:rFonts w:hint="eastAsia"/>
          <w:b/>
          <w:bCs/>
          <w:color w:val="auto"/>
          <w:sz w:val="24"/>
          <w:szCs w:val="24"/>
          <w:highlight w:val="none"/>
        </w:rPr>
        <w:t>物资清单划分</w:t>
      </w:r>
    </w:p>
    <w:p>
      <w:pPr>
        <w:ind w:left="0" w:leftChars="0" w:firstLine="421" w:firstLineChars="131"/>
        <w:jc w:val="both"/>
        <w:rPr>
          <w:rFonts w:hint="eastAsia" w:ascii="宋体" w:hAnsi="宋体"/>
          <w:b/>
          <w:color w:val="auto"/>
          <w:sz w:val="32"/>
          <w:szCs w:val="32"/>
          <w:highlight w:val="none"/>
          <w:u w:val="single"/>
        </w:rPr>
      </w:pPr>
      <w:r>
        <w:rPr>
          <w:rFonts w:hint="eastAsia" w:ascii="宋体" w:hAnsi="宋体"/>
          <w:b/>
          <w:color w:val="auto"/>
          <w:sz w:val="32"/>
          <w:szCs w:val="32"/>
          <w:highlight w:val="none"/>
          <w:u w:val="none"/>
          <w:lang w:val="en-US" w:eastAsia="zh-CN"/>
        </w:rPr>
        <w:t xml:space="preserve">4.1 </w:t>
      </w:r>
      <w:r>
        <w:rPr>
          <w:rFonts w:hint="eastAsia" w:ascii="宋体" w:hAnsi="宋体"/>
          <w:b/>
          <w:color w:val="auto"/>
          <w:sz w:val="32"/>
          <w:szCs w:val="32"/>
          <w:highlight w:val="none"/>
          <w:u w:val="single"/>
          <w:lang w:val="en-US" w:eastAsia="zh-CN"/>
        </w:rPr>
        <w:t xml:space="preserve"> </w:t>
      </w:r>
      <w:r>
        <w:rPr>
          <w:rFonts w:hint="eastAsia" w:asciiTheme="minorEastAsia" w:hAnsiTheme="minorEastAsia" w:eastAsiaTheme="minorEastAsia" w:cstheme="minorEastAsia"/>
          <w:b/>
          <w:bCs/>
          <w:snapToGrid w:val="0"/>
          <w:color w:val="auto"/>
          <w:sz w:val="28"/>
          <w:szCs w:val="28"/>
          <w:highlight w:val="none"/>
          <w:u w:val="single"/>
          <w:lang w:eastAsia="zh-CN"/>
        </w:rPr>
        <w:t>220kV运通站扩建220kV植护间隔工程</w:t>
      </w:r>
    </w:p>
    <w:p>
      <w:pPr>
        <w:jc w:val="center"/>
        <w:rPr>
          <w:rFonts w:hint="eastAsia"/>
          <w:b/>
          <w:color w:val="auto"/>
          <w:highlight w:val="none"/>
        </w:rPr>
      </w:pPr>
      <w:r>
        <w:rPr>
          <w:rFonts w:hint="eastAsia"/>
          <w:b/>
          <w:color w:val="auto"/>
          <w:highlight w:val="none"/>
        </w:rPr>
        <w:t>招标人提供的设备、材料清单</w:t>
      </w:r>
    </w:p>
    <w:tbl>
      <w:tblPr>
        <w:tblStyle w:val="9"/>
        <w:tblpPr w:leftFromText="180" w:rightFromText="180" w:vertAnchor="text" w:horzAnchor="margin" w:tblpX="-601" w:tblpY="555"/>
        <w:tblW w:w="9889" w:type="dxa"/>
        <w:tblInd w:w="0" w:type="dxa"/>
        <w:tblLayout w:type="fixed"/>
        <w:tblCellMar>
          <w:top w:w="0" w:type="dxa"/>
          <w:left w:w="108" w:type="dxa"/>
          <w:bottom w:w="0" w:type="dxa"/>
          <w:right w:w="108" w:type="dxa"/>
        </w:tblCellMar>
      </w:tblPr>
      <w:tblGrid>
        <w:gridCol w:w="958"/>
        <w:gridCol w:w="3404"/>
        <w:gridCol w:w="850"/>
        <w:gridCol w:w="852"/>
        <w:gridCol w:w="1135"/>
        <w:gridCol w:w="2690"/>
      </w:tblGrid>
      <w:tr>
        <w:tblPrEx>
          <w:tblCellMar>
            <w:top w:w="0" w:type="dxa"/>
            <w:left w:w="108" w:type="dxa"/>
            <w:bottom w:w="0" w:type="dxa"/>
            <w:right w:w="108" w:type="dxa"/>
          </w:tblCellMar>
        </w:tblPrEx>
        <w:trPr>
          <w:trHeight w:val="397" w:hRule="atLeast"/>
          <w:tblHeader/>
        </w:trPr>
        <w:tc>
          <w:tcPr>
            <w:tcW w:w="958" w:type="dxa"/>
            <w:tcBorders>
              <w:top w:val="single" w:color="auto" w:sz="8" w:space="0"/>
              <w:left w:val="single" w:color="auto" w:sz="8" w:space="0"/>
              <w:bottom w:val="single" w:color="auto" w:sz="4" w:space="0"/>
              <w:right w:val="single" w:color="auto" w:sz="4" w:space="0"/>
            </w:tcBorders>
            <w:vAlign w:val="center"/>
          </w:tcPr>
          <w:p>
            <w:pPr>
              <w:widowControl/>
              <w:rPr>
                <w:rFonts w:ascii="宋体" w:hAnsi="宋体"/>
                <w:b/>
                <w:color w:val="auto"/>
                <w:kern w:val="0"/>
                <w:highlight w:val="none"/>
              </w:rPr>
            </w:pPr>
            <w:r>
              <w:rPr>
                <w:rFonts w:hint="eastAsia" w:ascii="宋体" w:hAnsi="宋体"/>
                <w:b/>
                <w:color w:val="auto"/>
                <w:kern w:val="0"/>
                <w:highlight w:val="none"/>
              </w:rPr>
              <w:t>序号</w:t>
            </w:r>
          </w:p>
        </w:tc>
        <w:tc>
          <w:tcPr>
            <w:tcW w:w="3404"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85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85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135"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69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404" w:type="dxa"/>
            <w:tcBorders>
              <w:top w:val="nil"/>
              <w:left w:val="nil"/>
              <w:bottom w:val="single" w:color="auto" w:sz="4" w:space="0"/>
              <w:right w:val="single" w:color="auto" w:sz="4" w:space="0"/>
            </w:tcBorders>
            <w:vAlign w:val="center"/>
          </w:tcPr>
          <w:p>
            <w:pPr>
              <w:widowControl/>
              <w:spacing w:line="360" w:lineRule="auto"/>
              <w:rPr>
                <w:color w:val="auto"/>
                <w:highlight w:val="none"/>
              </w:rPr>
            </w:pPr>
            <w:r>
              <w:rPr>
                <w:rFonts w:hint="eastAsia"/>
                <w:color w:val="auto"/>
                <w:highlight w:val="none"/>
              </w:rPr>
              <w:t>安装工程（含通信）</w:t>
            </w:r>
            <w:r>
              <w:rPr>
                <w:color w:val="auto"/>
                <w:highlight w:val="none"/>
              </w:rPr>
              <w:t xml:space="preserve"> </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除中标人购买外的所有设备（其中封闭母线桥列为甲供设备）</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85" w:hRule="atLeast"/>
        </w:trPr>
        <w:tc>
          <w:tcPr>
            <w:tcW w:w="958"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p>
        </w:tc>
        <w:tc>
          <w:tcPr>
            <w:tcW w:w="3404" w:type="dxa"/>
            <w:tcBorders>
              <w:top w:val="nil"/>
              <w:left w:val="nil"/>
              <w:bottom w:val="single" w:color="auto" w:sz="4" w:space="0"/>
              <w:right w:val="single" w:color="auto" w:sz="4" w:space="0"/>
            </w:tcBorders>
            <w:vAlign w:val="center"/>
          </w:tcPr>
          <w:p>
            <w:pPr>
              <w:rPr>
                <w:rFonts w:hint="eastAsia"/>
                <w:color w:val="auto"/>
                <w:highlight w:val="none"/>
              </w:rPr>
            </w:pP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3404" w:type="dxa"/>
            <w:tcBorders>
              <w:top w:val="nil"/>
              <w:left w:val="nil"/>
              <w:bottom w:val="single" w:color="auto" w:sz="4" w:space="0"/>
              <w:right w:val="single" w:color="auto" w:sz="4" w:space="0"/>
            </w:tcBorders>
            <w:vAlign w:val="center"/>
          </w:tcPr>
          <w:p>
            <w:pPr>
              <w:widowControl/>
              <w:spacing w:line="240" w:lineRule="auto"/>
              <w:rPr>
                <w:color w:val="auto"/>
                <w:highlight w:val="none"/>
              </w:rPr>
            </w:pPr>
            <w:r>
              <w:rPr>
                <w:rFonts w:hint="eastAsia" w:hAnsi="Calibri"/>
                <w:color w:val="auto"/>
                <w:spacing w:val="10"/>
                <w:kern w:val="2"/>
                <w:highlight w:val="none"/>
              </w:rPr>
              <w:t>电力电缆（</w:t>
            </w:r>
            <w:r>
              <w:rPr>
                <w:rFonts w:hint="eastAsia" w:hAnsi="宋体"/>
                <w:color w:val="auto"/>
                <w:kern w:val="0"/>
                <w:szCs w:val="20"/>
                <w:highlight w:val="none"/>
              </w:rPr>
              <w:t>不含消防电缆、照明电缆、通信电缆</w:t>
            </w:r>
            <w:r>
              <w:rPr>
                <w:rFonts w:hint="eastAsia" w:hAnsi="Calibri"/>
                <w:color w:val="auto"/>
                <w:spacing w:val="10"/>
                <w:kern w:val="2"/>
                <w:highlight w:val="none"/>
              </w:rPr>
              <w:t>）</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r>
              <w:rPr>
                <w:color w:val="auto"/>
                <w:highlight w:val="none"/>
              </w:rPr>
              <w:t>m</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2</w:t>
            </w:r>
          </w:p>
        </w:tc>
        <w:tc>
          <w:tcPr>
            <w:tcW w:w="3404" w:type="dxa"/>
            <w:tcBorders>
              <w:top w:val="nil"/>
              <w:left w:val="nil"/>
              <w:bottom w:val="single" w:color="auto" w:sz="4" w:space="0"/>
              <w:right w:val="single" w:color="auto" w:sz="4" w:space="0"/>
            </w:tcBorders>
            <w:vAlign w:val="center"/>
          </w:tcPr>
          <w:p>
            <w:pPr>
              <w:snapToGrid w:val="0"/>
              <w:rPr>
                <w:color w:val="auto"/>
                <w:spacing w:val="10"/>
                <w:highlight w:val="none"/>
              </w:rPr>
            </w:pPr>
            <w:r>
              <w:rPr>
                <w:rFonts w:hint="eastAsia"/>
                <w:color w:val="auto"/>
                <w:spacing w:val="10"/>
                <w:highlight w:val="none"/>
              </w:rPr>
              <w:t>控制电缆（</w:t>
            </w:r>
            <w:r>
              <w:rPr>
                <w:rFonts w:hint="eastAsia" w:hAnsi="宋体"/>
                <w:color w:val="auto"/>
                <w:kern w:val="0"/>
                <w:szCs w:val="20"/>
                <w:highlight w:val="none"/>
              </w:rPr>
              <w:t>不含消防电缆、照明电缆、通信电缆、装置对时电缆</w:t>
            </w:r>
            <w:r>
              <w:rPr>
                <w:rFonts w:hint="eastAsia"/>
                <w:color w:val="auto"/>
                <w:spacing w:val="10"/>
                <w:highlight w:val="none"/>
              </w:rPr>
              <w:t>）</w:t>
            </w:r>
          </w:p>
        </w:tc>
        <w:tc>
          <w:tcPr>
            <w:tcW w:w="850" w:type="dxa"/>
            <w:tcBorders>
              <w:top w:val="nil"/>
              <w:left w:val="nil"/>
              <w:bottom w:val="single" w:color="auto" w:sz="4" w:space="0"/>
              <w:right w:val="single" w:color="auto" w:sz="4" w:space="0"/>
            </w:tcBorders>
            <w:vAlign w:val="center"/>
          </w:tcPr>
          <w:p>
            <w:pPr>
              <w:snapToGrid w:val="0"/>
              <w:jc w:val="center"/>
              <w:rPr>
                <w:rFonts w:ascii="宋体"/>
                <w:color w:val="auto"/>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r>
              <w:rPr>
                <w:color w:val="auto"/>
                <w:highlight w:val="none"/>
              </w:rPr>
              <w:t>m</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3</w:t>
            </w:r>
          </w:p>
        </w:tc>
        <w:tc>
          <w:tcPr>
            <w:tcW w:w="3404" w:type="dxa"/>
            <w:tcBorders>
              <w:top w:val="nil"/>
              <w:left w:val="nil"/>
              <w:bottom w:val="single" w:color="auto" w:sz="4" w:space="0"/>
              <w:right w:val="single" w:color="auto" w:sz="4" w:space="0"/>
            </w:tcBorders>
            <w:vAlign w:val="center"/>
          </w:tcPr>
          <w:p>
            <w:pPr>
              <w:snapToGrid w:val="0"/>
              <w:rPr>
                <w:color w:val="auto"/>
                <w:spacing w:val="10"/>
                <w:highlight w:val="none"/>
              </w:rPr>
            </w:pPr>
            <w:r>
              <w:rPr>
                <w:color w:val="auto"/>
                <w:spacing w:val="10"/>
                <w:highlight w:val="none"/>
              </w:rPr>
              <w:t>10kV</w:t>
            </w:r>
            <w:r>
              <w:rPr>
                <w:rFonts w:hint="eastAsia"/>
                <w:color w:val="auto"/>
                <w:spacing w:val="10"/>
                <w:highlight w:val="none"/>
              </w:rPr>
              <w:t>及以上冷、热缩电缆头</w:t>
            </w:r>
          </w:p>
        </w:tc>
        <w:tc>
          <w:tcPr>
            <w:tcW w:w="850" w:type="dxa"/>
            <w:tcBorders>
              <w:top w:val="nil"/>
              <w:left w:val="nil"/>
              <w:bottom w:val="single" w:color="auto" w:sz="4" w:space="0"/>
              <w:right w:val="single" w:color="auto" w:sz="4" w:space="0"/>
            </w:tcBorders>
            <w:vAlign w:val="center"/>
          </w:tcPr>
          <w:p>
            <w:pPr>
              <w:snapToGrid w:val="0"/>
              <w:rPr>
                <w:rFonts w:ascii="宋体"/>
                <w:color w:val="auto"/>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套</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single" w:color="auto" w:sz="6" w:space="0"/>
              <w:right w:val="single" w:color="auto" w:sz="6" w:space="0"/>
            </w:tcBorders>
            <w:vAlign w:val="center"/>
          </w:tcPr>
          <w:p>
            <w:pPr>
              <w:jc w:val="center"/>
              <w:rPr>
                <w:color w:val="auto"/>
                <w:highlight w:val="none"/>
              </w:rPr>
            </w:pPr>
            <w:r>
              <w:rPr>
                <w:color w:val="auto"/>
                <w:highlight w:val="none"/>
              </w:rPr>
              <w:t>4</w:t>
            </w:r>
          </w:p>
        </w:tc>
        <w:tc>
          <w:tcPr>
            <w:tcW w:w="3404" w:type="dxa"/>
            <w:tcBorders>
              <w:top w:val="single" w:color="auto" w:sz="6" w:space="0"/>
              <w:left w:val="single" w:color="auto" w:sz="6" w:space="0"/>
              <w:bottom w:val="single" w:color="auto" w:sz="6" w:space="0"/>
              <w:right w:val="single" w:color="auto" w:sz="4" w:space="0"/>
            </w:tcBorders>
            <w:vAlign w:val="center"/>
          </w:tcPr>
          <w:p>
            <w:pPr>
              <w:snapToGrid w:val="0"/>
              <w:rPr>
                <w:color w:val="auto"/>
                <w:spacing w:val="10"/>
                <w:highlight w:val="none"/>
              </w:rPr>
            </w:pPr>
            <w:r>
              <w:rPr>
                <w:rFonts w:hint="eastAsia"/>
                <w:color w:val="auto"/>
                <w:spacing w:val="10"/>
                <w:highlight w:val="none"/>
              </w:rPr>
              <w:t>变电站钢结构</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t</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nil"/>
              <w:right w:val="single" w:color="auto" w:sz="6" w:space="0"/>
            </w:tcBorders>
            <w:vAlign w:val="center"/>
          </w:tcPr>
          <w:p>
            <w:pPr>
              <w:jc w:val="center"/>
              <w:rPr>
                <w:color w:val="auto"/>
                <w:highlight w:val="none"/>
              </w:rPr>
            </w:pPr>
            <w:r>
              <w:rPr>
                <w:color w:val="auto"/>
                <w:highlight w:val="none"/>
              </w:rPr>
              <w:t>6</w:t>
            </w:r>
          </w:p>
        </w:tc>
        <w:tc>
          <w:tcPr>
            <w:tcW w:w="3404" w:type="dxa"/>
            <w:tcBorders>
              <w:top w:val="single" w:color="auto" w:sz="6" w:space="0"/>
              <w:left w:val="single" w:color="auto" w:sz="6" w:space="0"/>
              <w:bottom w:val="nil"/>
              <w:right w:val="single" w:color="auto" w:sz="4" w:space="0"/>
            </w:tcBorders>
            <w:vAlign w:val="center"/>
          </w:tcPr>
          <w:p>
            <w:pPr>
              <w:snapToGrid w:val="0"/>
              <w:rPr>
                <w:rFonts w:hint="default" w:eastAsia="宋体"/>
                <w:color w:val="auto"/>
                <w:highlight w:val="none"/>
                <w:lang w:val="en-US" w:eastAsia="zh-CN"/>
              </w:rPr>
            </w:pPr>
            <w:r>
              <w:rPr>
                <w:rFonts w:hint="eastAsia"/>
                <w:color w:val="auto"/>
                <w:highlight w:val="none"/>
              </w:rPr>
              <w:t>35kV</w:t>
            </w:r>
            <w:r>
              <w:rPr>
                <w:rFonts w:hint="eastAsia"/>
                <w:color w:val="auto"/>
                <w:highlight w:val="none"/>
                <w:lang w:eastAsia="zh-CN"/>
              </w:rPr>
              <w:t>及以上</w:t>
            </w:r>
            <w:r>
              <w:rPr>
                <w:rFonts w:hint="eastAsia"/>
                <w:color w:val="auto"/>
                <w:highlight w:val="none"/>
              </w:rPr>
              <w:t>支柱绝缘子</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个</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nil"/>
              <w:right w:val="single" w:color="auto" w:sz="6" w:space="0"/>
            </w:tcBorders>
            <w:vAlign w:val="center"/>
          </w:tcPr>
          <w:p>
            <w:pPr>
              <w:jc w:val="center"/>
              <w:rPr>
                <w:color w:val="auto"/>
                <w:highlight w:val="none"/>
              </w:rPr>
            </w:pPr>
            <w:r>
              <w:rPr>
                <w:rFonts w:hint="eastAsia"/>
                <w:color w:val="auto"/>
                <w:highlight w:val="none"/>
                <w:lang w:val="en-US" w:eastAsia="zh-CN"/>
              </w:rPr>
              <w:t>7</w:t>
            </w:r>
          </w:p>
        </w:tc>
        <w:tc>
          <w:tcPr>
            <w:tcW w:w="3404" w:type="dxa"/>
            <w:tcBorders>
              <w:top w:val="single" w:color="auto" w:sz="6" w:space="0"/>
              <w:left w:val="single" w:color="auto" w:sz="6" w:space="0"/>
              <w:bottom w:val="nil"/>
              <w:right w:val="single" w:color="auto" w:sz="4" w:space="0"/>
            </w:tcBorders>
            <w:vAlign w:val="center"/>
          </w:tcPr>
          <w:p>
            <w:pPr>
              <w:rPr>
                <w:rFonts w:hint="default"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钢芯铝绞线</w:t>
            </w:r>
            <w:r>
              <w:rPr>
                <w:rFonts w:hint="eastAsia"/>
                <w:color w:val="auto"/>
                <w:highlight w:val="none"/>
                <w:lang w:eastAsia="zh-CN"/>
              </w:rPr>
              <w:t>、</w:t>
            </w:r>
            <w:r>
              <w:rPr>
                <w:rFonts w:hint="eastAsia"/>
                <w:color w:val="auto"/>
                <w:highlight w:val="none"/>
                <w:lang w:val="en-US" w:eastAsia="zh-CN"/>
              </w:rPr>
              <w:t>导线</w:t>
            </w:r>
          </w:p>
        </w:tc>
        <w:tc>
          <w:tcPr>
            <w:tcW w:w="850" w:type="dxa"/>
            <w:tcBorders>
              <w:top w:val="single" w:color="auto" w:sz="6" w:space="0"/>
              <w:left w:val="single" w:color="auto" w:sz="4" w:space="0"/>
              <w:bottom w:val="single" w:color="auto" w:sz="6" w:space="0"/>
              <w:right w:val="single" w:color="auto" w:sz="6" w:space="0"/>
            </w:tcBorders>
            <w:vAlign w:val="center"/>
          </w:tcPr>
          <w:p>
            <w:pPr>
              <w:widowControl/>
              <w:jc w:val="center"/>
              <w:rPr>
                <w:rFonts w:ascii="宋体" w:hAnsi="Calibri" w:eastAsia="宋体" w:cs="Times New Roman"/>
                <w:color w:val="auto"/>
                <w:kern w:val="2"/>
                <w:sz w:val="21"/>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135"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8</w:t>
            </w:r>
          </w:p>
        </w:tc>
        <w:tc>
          <w:tcPr>
            <w:tcW w:w="3404" w:type="dxa"/>
            <w:tcBorders>
              <w:top w:val="single" w:color="auto" w:sz="6" w:space="0"/>
              <w:left w:val="single" w:color="auto" w:sz="6" w:space="0"/>
              <w:bottom w:val="single" w:color="auto" w:sz="6" w:space="0"/>
              <w:right w:val="single" w:color="auto" w:sz="6" w:space="0"/>
            </w:tcBorders>
            <w:vAlign w:val="center"/>
          </w:tcPr>
          <w:p>
            <w:pPr>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镀锌钢绞线</w:t>
            </w:r>
            <w:r>
              <w:rPr>
                <w:rFonts w:hint="eastAsia"/>
                <w:color w:val="auto"/>
                <w:highlight w:val="none"/>
                <w:lang w:eastAsia="zh-CN"/>
              </w:rPr>
              <w:t>和铝包钢绞线</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hAnsi="Calibri" w:eastAsia="宋体" w:cs="Times New Roman"/>
                <w:color w:val="auto"/>
                <w:kern w:val="2"/>
                <w:sz w:val="21"/>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135"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rPr>
            </w:pPr>
            <w:r>
              <w:rPr>
                <w:rFonts w:hint="eastAsia"/>
                <w:color w:val="auto"/>
                <w:highlight w:val="none"/>
                <w:lang w:val="en-US" w:eastAsia="zh-CN"/>
              </w:rPr>
              <w:t>9</w:t>
            </w:r>
          </w:p>
        </w:tc>
        <w:tc>
          <w:tcPr>
            <w:tcW w:w="3404" w:type="dxa"/>
            <w:tcBorders>
              <w:top w:val="single" w:color="auto" w:sz="6" w:space="0"/>
              <w:left w:val="single" w:color="auto" w:sz="6" w:space="0"/>
              <w:bottom w:val="single" w:color="auto" w:sz="6" w:space="0"/>
              <w:right w:val="single" w:color="auto" w:sz="6"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绝缘子</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hAnsi="Calibri" w:eastAsia="宋体" w:cs="Times New Roman"/>
                <w:color w:val="auto"/>
                <w:kern w:val="2"/>
                <w:sz w:val="21"/>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ascii="宋体" w:hAnsi="宋体"/>
                <w:color w:val="auto"/>
                <w:highlight w:val="none"/>
                <w:lang w:val="en-US" w:eastAsia="zh-CN"/>
              </w:rPr>
              <w:t>片</w:t>
            </w:r>
          </w:p>
        </w:tc>
        <w:tc>
          <w:tcPr>
            <w:tcW w:w="1135"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rPr>
            </w:pPr>
            <w:r>
              <w:rPr>
                <w:rFonts w:hint="eastAsia"/>
                <w:color w:val="auto"/>
                <w:highlight w:val="none"/>
                <w:lang w:val="en-US" w:eastAsia="zh-CN"/>
              </w:rPr>
              <w:t>10</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复合电缆支架、电缆桥架</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hAnsi="Calibri" w:eastAsia="宋体" w:cs="Times New Roman"/>
                <w:color w:val="auto"/>
                <w:kern w:val="2"/>
                <w:sz w:val="21"/>
                <w:szCs w:val="22"/>
                <w:highlight w:val="none"/>
                <w:lang w:val="en-US" w:eastAsia="zh-CN" w:bidi="ar-SA"/>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rFonts w:ascii="Calibri" w:hAnsi="Calibri" w:eastAsia="宋体" w:cs="Times New Roman"/>
                <w:color w:val="auto"/>
                <w:kern w:val="2"/>
                <w:sz w:val="21"/>
                <w:szCs w:val="22"/>
                <w:highlight w:val="none"/>
                <w:lang w:val="en-US" w:eastAsia="zh-CN" w:bidi="ar-SA"/>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center"/>
          </w:tcPr>
          <w:p>
            <w:pPr>
              <w:jc w:val="left"/>
              <w:rPr>
                <w:rFonts w:ascii="Calibri" w:hAnsi="Calibri" w:eastAsia="宋体" w:cs="Times New Roman"/>
                <w:color w:val="auto"/>
                <w:kern w:val="2"/>
                <w:sz w:val="21"/>
                <w:szCs w:val="22"/>
                <w:highlight w:val="none"/>
                <w:lang w:val="en-US" w:eastAsia="zh-CN" w:bidi="ar-SA"/>
              </w:rPr>
            </w:pPr>
            <w:r>
              <w:rPr>
                <w:rFonts w:hint="eastAsia"/>
                <w:color w:val="auto"/>
                <w:highlight w:val="none"/>
              </w:rPr>
              <w:t>中标施工单位安装</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建筑工程</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（一）</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设备部分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1</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空调</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Calibri" w:hAnsi="Calibri" w:eastAsia="宋体" w:cs="Times New Roman"/>
                <w:color w:val="auto"/>
                <w:kern w:val="2"/>
                <w:sz w:val="21"/>
                <w:szCs w:val="22"/>
                <w:highlight w:val="none"/>
                <w:lang w:val="en-US" w:eastAsia="zh-CN" w:bidi="ar-SA"/>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Calibri" w:hAnsi="Calibri" w:eastAsia="宋体" w:cs="Times New Roman"/>
                <w:color w:val="auto"/>
                <w:kern w:val="2"/>
                <w:sz w:val="21"/>
                <w:szCs w:val="22"/>
                <w:highlight w:val="none"/>
                <w:lang w:val="en-US" w:eastAsia="zh-CN" w:bidi="ar-SA"/>
              </w:rPr>
            </w:pPr>
          </w:p>
        </w:tc>
        <w:tc>
          <w:tcPr>
            <w:tcW w:w="2690" w:type="dxa"/>
            <w:tcBorders>
              <w:top w:val="single" w:color="auto" w:sz="6" w:space="0"/>
              <w:left w:val="single" w:color="auto" w:sz="6" w:space="0"/>
              <w:bottom w:val="single" w:color="auto" w:sz="6" w:space="0"/>
              <w:right w:val="single" w:color="auto" w:sz="4" w:space="0"/>
            </w:tcBorders>
            <w:shd w:val="clear" w:color="auto" w:fill="auto"/>
            <w:vAlign w:val="top"/>
          </w:tcPr>
          <w:p>
            <w:pPr>
              <w:rPr>
                <w:rFonts w:ascii="Calibri" w:hAnsi="Calibri" w:eastAsia="宋体" w:cs="Times New Roman"/>
                <w:color w:val="auto"/>
                <w:kern w:val="2"/>
                <w:sz w:val="21"/>
                <w:szCs w:val="22"/>
                <w:highlight w:val="none"/>
                <w:lang w:val="en-US" w:eastAsia="zh-CN" w:bidi="ar-SA"/>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材料部分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1</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ascii="宋体" w:hAnsi="宋体"/>
                <w:color w:val="auto"/>
                <w:szCs w:val="21"/>
                <w:highlight w:val="none"/>
                <w:lang w:eastAsia="zh-CN"/>
              </w:rPr>
              <w:t>复合</w:t>
            </w:r>
            <w:r>
              <w:rPr>
                <w:rFonts w:hint="eastAsia" w:ascii="宋体" w:hAnsi="宋体"/>
                <w:color w:val="auto"/>
                <w:szCs w:val="21"/>
                <w:highlight w:val="none"/>
              </w:rPr>
              <w:t>电缆沟盖板</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rFonts w:hint="eastAsia" w:eastAsia="宋体"/>
                <w:color w:val="auto"/>
                <w:highlight w:val="none"/>
                <w:lang w:val="en-US" w:eastAsia="zh-CN"/>
              </w:rPr>
            </w:pPr>
            <w:r>
              <w:rPr>
                <w:rFonts w:hint="eastAsia"/>
                <w:color w:val="auto"/>
                <w:highlight w:val="none"/>
                <w:lang w:val="en-US" w:eastAsia="zh-CN"/>
              </w:rPr>
              <w:t>块</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center"/>
          </w:tcPr>
          <w:p>
            <w:pPr>
              <w:jc w:val="left"/>
              <w:rPr>
                <w:color w:val="auto"/>
                <w:highlight w:val="none"/>
              </w:rPr>
            </w:pPr>
            <w:r>
              <w:rPr>
                <w:rFonts w:hint="eastAsia"/>
                <w:color w:val="auto"/>
                <w:highlight w:val="none"/>
              </w:rPr>
              <w:t>中标施工单位安装</w:t>
            </w:r>
          </w:p>
        </w:tc>
      </w:tr>
    </w:tbl>
    <w:p>
      <w:pPr>
        <w:jc w:val="both"/>
        <w:rPr>
          <w:rFonts w:hint="eastAsia"/>
          <w:b/>
          <w:color w:val="auto"/>
          <w:highlight w:val="none"/>
        </w:rPr>
      </w:pPr>
    </w:p>
    <w:p>
      <w:pPr>
        <w:jc w:val="center"/>
        <w:rPr>
          <w:rFonts w:hint="eastAsia"/>
          <w:b/>
          <w:color w:val="auto"/>
          <w:highlight w:val="none"/>
        </w:rPr>
      </w:pPr>
      <w:r>
        <w:rPr>
          <w:rFonts w:hint="eastAsia"/>
          <w:b/>
          <w:color w:val="auto"/>
          <w:highlight w:val="none"/>
        </w:rPr>
        <w:t>中标人提供的设备、材料清单</w:t>
      </w:r>
    </w:p>
    <w:tbl>
      <w:tblPr>
        <w:tblStyle w:val="9"/>
        <w:tblpPr w:leftFromText="180" w:rightFromText="180" w:vertAnchor="text" w:horzAnchor="margin" w:tblpXSpec="center" w:tblpY="256"/>
        <w:tblW w:w="9855" w:type="dxa"/>
        <w:tblInd w:w="0" w:type="dxa"/>
        <w:tblLayout w:type="fixed"/>
        <w:tblCellMar>
          <w:top w:w="0" w:type="dxa"/>
          <w:left w:w="108" w:type="dxa"/>
          <w:bottom w:w="0" w:type="dxa"/>
          <w:right w:w="108" w:type="dxa"/>
        </w:tblCellMar>
      </w:tblPr>
      <w:tblGrid>
        <w:gridCol w:w="946"/>
        <w:gridCol w:w="3138"/>
        <w:gridCol w:w="1289"/>
        <w:gridCol w:w="1149"/>
        <w:gridCol w:w="1666"/>
        <w:gridCol w:w="1667"/>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3138"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28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666"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166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138" w:type="dxa"/>
            <w:tcBorders>
              <w:top w:val="nil"/>
              <w:left w:val="nil"/>
              <w:bottom w:val="single" w:color="auto" w:sz="4" w:space="0"/>
              <w:right w:val="single" w:color="auto" w:sz="4" w:space="0"/>
            </w:tcBorders>
            <w:vAlign w:val="center"/>
          </w:tcPr>
          <w:p>
            <w:pPr>
              <w:widowControl/>
              <w:spacing w:line="360" w:lineRule="auto"/>
              <w:rPr>
                <w:color w:val="auto"/>
                <w:highlight w:val="none"/>
              </w:rPr>
            </w:pPr>
            <w:r>
              <w:rPr>
                <w:rFonts w:hint="eastAsia"/>
                <w:color w:val="auto"/>
                <w:highlight w:val="none"/>
              </w:rPr>
              <w:t>安装工程（含通信）</w:t>
            </w:r>
            <w:r>
              <w:rPr>
                <w:color w:val="auto"/>
                <w:highlight w:val="none"/>
              </w:rPr>
              <w:t xml:space="preserve"> </w:t>
            </w:r>
          </w:p>
        </w:tc>
        <w:tc>
          <w:tcPr>
            <w:tcW w:w="128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13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28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313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lang w:val="en-US" w:eastAsia="zh-CN"/>
              </w:rPr>
              <w:t>扩建</w:t>
            </w:r>
            <w:r>
              <w:rPr>
                <w:rFonts w:hint="eastAsia"/>
                <w:color w:val="auto"/>
                <w:highlight w:val="none"/>
              </w:rPr>
              <w:t>间隔保护改造（电缆标志牌更换，220kV线路保护装置升级</w:t>
            </w:r>
            <w:r>
              <w:rPr>
                <w:rFonts w:hint="eastAsia"/>
                <w:color w:val="auto"/>
                <w:highlight w:val="none"/>
                <w:lang w:eastAsia="zh-CN"/>
              </w:rPr>
              <w:t>、</w:t>
            </w:r>
            <w:r>
              <w:rPr>
                <w:rFonts w:hint="eastAsia"/>
                <w:color w:val="auto"/>
                <w:highlight w:val="none"/>
              </w:rPr>
              <w:t>保护信息管理子站系统接入、</w:t>
            </w:r>
            <w:r>
              <w:rPr>
                <w:rFonts w:hint="eastAsia"/>
                <w:color w:val="auto"/>
                <w:highlight w:val="none"/>
                <w:lang w:val="en-US" w:eastAsia="zh-CN"/>
              </w:rPr>
              <w:t>电能计量接入</w:t>
            </w:r>
            <w:r>
              <w:rPr>
                <w:rFonts w:hint="eastAsia"/>
                <w:color w:val="auto"/>
                <w:highlight w:val="none"/>
              </w:rPr>
              <w:t>、直流系统及交流不间断电源接入、同步时钟对时系统接入、故障录波接入，220kV母线保护接入，</w:t>
            </w:r>
            <w:r>
              <w:rPr>
                <w:rFonts w:hint="eastAsia"/>
                <w:color w:val="auto"/>
                <w:highlight w:val="none"/>
                <w:lang w:val="en-US" w:eastAsia="zh-CN"/>
              </w:rPr>
              <w:t>网络报文分析系统</w:t>
            </w:r>
            <w:r>
              <w:rPr>
                <w:rFonts w:hint="eastAsia"/>
                <w:color w:val="auto"/>
                <w:highlight w:val="none"/>
              </w:rPr>
              <w:t>接入，安稳控制系统接入</w:t>
            </w:r>
            <w:r>
              <w:rPr>
                <w:rFonts w:hint="eastAsia"/>
                <w:color w:val="auto"/>
                <w:highlight w:val="none"/>
                <w:lang w:eastAsia="zh-CN"/>
              </w:rPr>
              <w:t>，</w:t>
            </w:r>
            <w:r>
              <w:rPr>
                <w:rFonts w:hint="eastAsia"/>
                <w:color w:val="auto"/>
                <w:highlight w:val="none"/>
              </w:rPr>
              <w:t>计算机监控系统完善接入，</w:t>
            </w:r>
            <w:r>
              <w:rPr>
                <w:rFonts w:hint="eastAsia"/>
                <w:color w:val="auto"/>
                <w:highlight w:val="none"/>
                <w:lang w:val="en-US" w:eastAsia="zh-CN"/>
              </w:rPr>
              <w:t>五</w:t>
            </w:r>
            <w:r>
              <w:rPr>
                <w:rFonts w:hint="eastAsia" w:eastAsia="宋体" w:cs="Times New Roman"/>
                <w:color w:val="auto"/>
                <w:highlight w:val="none"/>
              </w:rPr>
              <w:t>防锁具软件升级</w:t>
            </w:r>
            <w:r>
              <w:rPr>
                <w:rFonts w:hint="eastAsia" w:eastAsia="宋体" w:cs="Times New Roman"/>
                <w:color w:val="auto"/>
                <w:highlight w:val="none"/>
                <w:lang w:eastAsia="zh-CN"/>
              </w:rPr>
              <w:t>采购</w:t>
            </w:r>
            <w:r>
              <w:rPr>
                <w:rFonts w:hint="eastAsia" w:eastAsia="宋体" w:cs="Times New Roman"/>
                <w:color w:val="auto"/>
                <w:highlight w:val="none"/>
              </w:rPr>
              <w:t>及接入系统调试，</w:t>
            </w:r>
            <w:r>
              <w:rPr>
                <w:rFonts w:hint="eastAsia"/>
                <w:color w:val="auto"/>
                <w:highlight w:val="none"/>
                <w:lang w:val="en-US" w:eastAsia="zh-CN"/>
              </w:rPr>
              <w:t>间隔调整</w:t>
            </w:r>
            <w:r>
              <w:rPr>
                <w:rFonts w:hint="eastAsia"/>
                <w:color w:val="auto"/>
                <w:highlight w:val="none"/>
              </w:rPr>
              <w:t>，光通道调试、保护对调，间隔名调整）。</w:t>
            </w:r>
          </w:p>
        </w:tc>
        <w:tc>
          <w:tcPr>
            <w:tcW w:w="1289" w:type="dxa"/>
            <w:tcBorders>
              <w:top w:val="nil"/>
              <w:left w:val="nil"/>
              <w:bottom w:val="single" w:color="auto" w:sz="4" w:space="0"/>
              <w:right w:val="single" w:color="auto" w:sz="4" w:space="0"/>
            </w:tcBorders>
            <w:vAlign w:val="top"/>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间隔</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138" w:type="dxa"/>
            <w:tcBorders>
              <w:top w:val="nil"/>
              <w:left w:val="nil"/>
              <w:bottom w:val="single" w:color="auto" w:sz="4" w:space="0"/>
              <w:right w:val="single" w:color="auto" w:sz="4" w:space="0"/>
            </w:tcBorders>
            <w:vAlign w:val="center"/>
          </w:tcPr>
          <w:p>
            <w:pPr>
              <w:rPr>
                <w:color w:val="auto"/>
                <w:highlight w:val="none"/>
              </w:rPr>
            </w:pPr>
          </w:p>
        </w:tc>
        <w:tc>
          <w:tcPr>
            <w:tcW w:w="1289" w:type="dxa"/>
            <w:tcBorders>
              <w:top w:val="nil"/>
              <w:left w:val="nil"/>
              <w:bottom w:val="single" w:color="auto" w:sz="4" w:space="0"/>
              <w:right w:val="single" w:color="auto" w:sz="4" w:space="0"/>
            </w:tcBorders>
            <w:vAlign w:val="top"/>
          </w:tcPr>
          <w:p>
            <w:pP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13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128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eastAsia="zh-CN"/>
              </w:rPr>
            </w:pPr>
            <w:r>
              <w:rPr>
                <w:rFonts w:hint="eastAsia"/>
                <w:color w:val="auto"/>
                <w:highlight w:val="none"/>
                <w:lang w:val="en-US" w:eastAsia="zh-CN"/>
              </w:rPr>
              <w:t>1</w:t>
            </w:r>
          </w:p>
        </w:tc>
        <w:tc>
          <w:tcPr>
            <w:tcW w:w="3138" w:type="dxa"/>
            <w:tcBorders>
              <w:top w:val="nil"/>
              <w:left w:val="nil"/>
              <w:bottom w:val="single" w:color="auto" w:sz="4" w:space="0"/>
              <w:right w:val="single" w:color="auto" w:sz="4" w:space="0"/>
            </w:tcBorders>
            <w:vAlign w:val="center"/>
          </w:tcPr>
          <w:p>
            <w:pPr>
              <w:widowControl/>
              <w:spacing w:line="360" w:lineRule="auto"/>
              <w:rPr>
                <w:rFonts w:hint="eastAsia"/>
                <w:color w:val="auto"/>
                <w:highlight w:val="none"/>
              </w:rPr>
            </w:pPr>
            <w:r>
              <w:rPr>
                <w:rFonts w:hint="eastAsia"/>
                <w:color w:val="auto"/>
                <w:highlight w:val="none"/>
              </w:rPr>
              <w:t>除招标人购买外的所有材料</w:t>
            </w:r>
          </w:p>
        </w:tc>
        <w:tc>
          <w:tcPr>
            <w:tcW w:w="128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313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建筑工程</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（一）</w:t>
            </w:r>
          </w:p>
        </w:tc>
        <w:tc>
          <w:tcPr>
            <w:tcW w:w="313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设备部分</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1</w:t>
            </w:r>
          </w:p>
        </w:tc>
        <w:tc>
          <w:tcPr>
            <w:tcW w:w="3138" w:type="dxa"/>
            <w:tcBorders>
              <w:top w:val="single" w:color="auto" w:sz="6" w:space="0"/>
              <w:left w:val="single" w:color="auto" w:sz="6" w:space="0"/>
              <w:bottom w:val="single" w:color="auto" w:sz="6" w:space="0"/>
              <w:right w:val="single" w:color="auto" w:sz="6" w:space="0"/>
            </w:tcBorders>
            <w:shd w:val="clear" w:color="auto" w:fill="auto"/>
            <w:vAlign w:val="center"/>
          </w:tcPr>
          <w:p>
            <w:pPr>
              <w:jc w:val="left"/>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消防及火灾自动报警系统（含电缆）</w:t>
            </w:r>
          </w:p>
        </w:tc>
        <w:tc>
          <w:tcPr>
            <w:tcW w:w="128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Calibri" w:hAnsi="Calibri" w:eastAsia="宋体" w:cs="Times New Roman"/>
                <w:color w:val="auto"/>
                <w:kern w:val="2"/>
                <w:sz w:val="21"/>
                <w:szCs w:val="22"/>
                <w:highlight w:val="none"/>
                <w:lang w:val="en-US" w:eastAsia="zh-CN" w:bidi="ar-SA"/>
              </w:rPr>
            </w:pPr>
          </w:p>
        </w:tc>
        <w:tc>
          <w:tcPr>
            <w:tcW w:w="114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shd w:val="clear" w:color="auto" w:fill="auto"/>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trHeight w:val="594"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2</w:t>
            </w:r>
          </w:p>
        </w:tc>
        <w:tc>
          <w:tcPr>
            <w:tcW w:w="3138" w:type="dxa"/>
            <w:tcBorders>
              <w:top w:val="single" w:color="auto" w:sz="6" w:space="0"/>
              <w:left w:val="single" w:color="auto" w:sz="6" w:space="0"/>
              <w:bottom w:val="single" w:color="auto" w:sz="6" w:space="0"/>
              <w:right w:val="single" w:color="auto" w:sz="6"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ascii="宋体" w:hAnsi="宋体"/>
                <w:color w:val="auto"/>
                <w:highlight w:val="none"/>
              </w:rPr>
              <w:t>消防器材（灭火器、消防铲、消防斧、消防桶等）</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hAnsi="Calibri" w:eastAsia="宋体" w:cs="Times New Roman"/>
                <w:color w:val="auto"/>
                <w:kern w:val="2"/>
                <w:sz w:val="21"/>
                <w:szCs w:val="22"/>
                <w:highlight w:val="none"/>
                <w:lang w:val="en-US" w:eastAsia="zh-CN" w:bidi="ar-SA"/>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只</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3</w:t>
            </w:r>
          </w:p>
        </w:tc>
        <w:tc>
          <w:tcPr>
            <w:tcW w:w="3138" w:type="dxa"/>
            <w:tcBorders>
              <w:top w:val="single" w:color="auto" w:sz="6" w:space="0"/>
              <w:left w:val="single" w:color="auto" w:sz="6" w:space="0"/>
              <w:bottom w:val="single" w:color="auto" w:sz="6" w:space="0"/>
              <w:right w:val="single" w:color="auto" w:sz="6" w:space="0"/>
            </w:tcBorders>
            <w:vAlign w:val="center"/>
          </w:tcPr>
          <w:p>
            <w:pPr>
              <w:jc w:val="left"/>
              <w:rPr>
                <w:color w:val="auto"/>
                <w:highlight w:val="none"/>
              </w:rPr>
            </w:pPr>
            <w:r>
              <w:rPr>
                <w:rFonts w:hint="eastAsia"/>
                <w:color w:val="auto"/>
                <w:highlight w:val="none"/>
              </w:rPr>
              <w:t>除以上标明的设备及招标人购买外的所有设备</w:t>
            </w:r>
          </w:p>
        </w:tc>
        <w:tc>
          <w:tcPr>
            <w:tcW w:w="128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313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材料部分</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1</w:t>
            </w:r>
          </w:p>
        </w:tc>
        <w:tc>
          <w:tcPr>
            <w:tcW w:w="3138" w:type="dxa"/>
            <w:tcBorders>
              <w:top w:val="single" w:color="auto" w:sz="6" w:space="0"/>
              <w:left w:val="single" w:color="auto" w:sz="6" w:space="0"/>
              <w:bottom w:val="single" w:color="auto" w:sz="6" w:space="0"/>
              <w:right w:val="single" w:color="auto" w:sz="6" w:space="0"/>
            </w:tcBorders>
            <w:vAlign w:val="center"/>
          </w:tcPr>
          <w:p>
            <w:pPr>
              <w:snapToGrid w:val="0"/>
              <w:rPr>
                <w:rFonts w:hint="eastAsia"/>
                <w:color w:val="auto"/>
                <w:highlight w:val="none"/>
              </w:rPr>
            </w:pPr>
            <w:r>
              <w:rPr>
                <w:rFonts w:hint="eastAsia"/>
                <w:color w:val="auto"/>
                <w:highlight w:val="none"/>
              </w:rPr>
              <w:t>除招标人购买外的所有材料</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bl>
    <w:p>
      <w:pPr>
        <w:jc w:val="both"/>
        <w:rPr>
          <w:rFonts w:hint="eastAsia"/>
          <w:b/>
          <w:color w:val="auto"/>
          <w:highlight w:val="none"/>
        </w:rPr>
      </w:pPr>
    </w:p>
    <w:p>
      <w:pPr>
        <w:jc w:val="center"/>
        <w:rPr>
          <w:rFonts w:hint="eastAsia"/>
          <w:b/>
          <w:color w:val="auto"/>
          <w:highlight w:val="none"/>
        </w:rPr>
      </w:pPr>
    </w:p>
    <w:p>
      <w:pPr>
        <w:ind w:firstLine="94" w:firstLineChars="45"/>
        <w:rPr>
          <w:rFonts w:ascii="宋体" w:hAnsi="宋体"/>
          <w:color w:val="auto"/>
          <w:highlight w:val="none"/>
          <w:u w:val="single"/>
        </w:rPr>
      </w:pPr>
      <w:r>
        <w:rPr>
          <w:rFonts w:hint="eastAsia" w:ascii="宋体" w:hAnsi="宋体"/>
          <w:color w:val="auto"/>
          <w:highlight w:val="none"/>
        </w:rPr>
        <w:t>说明：1、设备、材料按</w:t>
      </w:r>
      <w:r>
        <w:rPr>
          <w:rFonts w:hint="eastAsia" w:ascii="宋体" w:hAnsi="宋体"/>
          <w:color w:val="auto"/>
          <w:highlight w:val="none"/>
          <w:u w:val="single"/>
        </w:rPr>
        <w:t>、《电网工程建设预算编制与计算规定》（</w:t>
      </w:r>
      <w:r>
        <w:rPr>
          <w:rFonts w:hint="eastAsia" w:ascii="宋体" w:hAnsi="宋体"/>
          <w:color w:val="auto"/>
          <w:highlight w:val="none"/>
          <w:u w:val="single"/>
          <w:lang w:eastAsia="zh-CN"/>
        </w:rPr>
        <w:t>2018</w:t>
      </w:r>
      <w:r>
        <w:rPr>
          <w:rFonts w:hint="eastAsia" w:ascii="宋体" w:hAnsi="宋体"/>
          <w:color w:val="auto"/>
          <w:highlight w:val="none"/>
          <w:u w:val="single"/>
        </w:rPr>
        <w:t>年版）</w:t>
      </w:r>
      <w:r>
        <w:rPr>
          <w:rFonts w:hint="eastAsia" w:ascii="宋体" w:hAnsi="宋体"/>
          <w:color w:val="auto"/>
          <w:highlight w:val="none"/>
        </w:rPr>
        <w:t>划分。</w:t>
      </w:r>
    </w:p>
    <w:p>
      <w:pPr>
        <w:ind w:firstLine="735" w:firstLineChars="350"/>
        <w:rPr>
          <w:rFonts w:hAnsi="宋体"/>
          <w:color w:val="auto"/>
          <w:highlight w:val="none"/>
        </w:rPr>
      </w:pPr>
      <w:r>
        <w:rPr>
          <w:rFonts w:hint="eastAsia" w:ascii="宋体" w:hAnsi="宋体"/>
          <w:color w:val="auto"/>
          <w:highlight w:val="none"/>
        </w:rPr>
        <w:t>2、、如</w:t>
      </w:r>
      <w:r>
        <w:rPr>
          <w:rFonts w:hint="eastAsia" w:hAnsi="宋体"/>
          <w:color w:val="auto"/>
          <w:highlight w:val="none"/>
        </w:rPr>
        <w:t>电子围栏由中标人提供，中标人还需办理完成当地公安局备案手续。</w:t>
      </w:r>
    </w:p>
    <w:p>
      <w:pPr>
        <w:ind w:firstLine="735" w:firstLineChars="350"/>
        <w:rPr>
          <w:rFonts w:hint="eastAsia"/>
          <w:color w:val="auto"/>
          <w:highlight w:val="none"/>
        </w:rPr>
      </w:pPr>
      <w:r>
        <w:rPr>
          <w:rFonts w:hint="eastAsia" w:ascii="宋体" w:hAnsi="宋体"/>
          <w:color w:val="auto"/>
          <w:highlight w:val="none"/>
          <w:lang w:val="en-US" w:eastAsia="zh-CN"/>
        </w:rPr>
        <w:t>3</w:t>
      </w:r>
      <w:r>
        <w:rPr>
          <w:rFonts w:hint="eastAsia" w:ascii="宋体" w:hAnsi="宋体"/>
          <w:color w:val="auto"/>
          <w:highlight w:val="none"/>
        </w:rPr>
        <w:t>、招标人提供的</w:t>
      </w:r>
      <w:r>
        <w:rPr>
          <w:rFonts w:hint="eastAsia"/>
          <w:color w:val="auto"/>
          <w:highlight w:val="none"/>
        </w:rPr>
        <w:t>变电站钢结构包含：钢母线构架、钢进出线构架、钢主变构架（前述构架均包含横梁、横梁走道、地线柱、爬梯、柱上避雷针）、独立避雷针塔及配套连接件（如包箍、螺栓等）、钢设备支架。</w:t>
      </w:r>
    </w:p>
    <w:p>
      <w:pPr>
        <w:ind w:firstLine="735" w:firstLineChars="350"/>
        <w:rPr>
          <w:color w:val="auto"/>
          <w:highlight w:val="none"/>
        </w:rPr>
      </w:pPr>
      <w:r>
        <w:rPr>
          <w:rFonts w:hint="eastAsia" w:ascii="宋体" w:hAnsi="宋体"/>
          <w:color w:val="auto"/>
          <w:highlight w:val="none"/>
          <w:lang w:val="en-US" w:eastAsia="zh-CN"/>
        </w:rPr>
        <w:t>4</w:t>
      </w:r>
      <w:r>
        <w:rPr>
          <w:rFonts w:hint="eastAsia" w:ascii="宋体" w:hAnsi="宋体"/>
          <w:color w:val="auto"/>
          <w:highlight w:val="none"/>
        </w:rPr>
        <w:t>、非复合</w:t>
      </w:r>
      <w:r>
        <w:rPr>
          <w:rFonts w:hint="eastAsia" w:ascii="宋体" w:hAnsi="宋体"/>
          <w:color w:val="auto"/>
          <w:highlight w:val="none"/>
          <w:lang w:val="en-US" w:eastAsia="zh-CN"/>
        </w:rPr>
        <w:t>电缆沟盖板</w:t>
      </w:r>
      <w:r>
        <w:rPr>
          <w:rFonts w:hint="eastAsia" w:ascii="宋体" w:hAnsi="宋体"/>
          <w:color w:val="auto"/>
          <w:highlight w:val="none"/>
        </w:rPr>
        <w:t>由中标人采购</w:t>
      </w:r>
      <w:r>
        <w:rPr>
          <w:rFonts w:hint="eastAsia"/>
          <w:color w:val="auto"/>
          <w:highlight w:val="none"/>
        </w:rPr>
        <w:t>。</w:t>
      </w:r>
    </w:p>
    <w:p>
      <w:pPr>
        <w:ind w:firstLine="724" w:firstLineChars="345"/>
        <w:rPr>
          <w:rFonts w:hint="eastAsia" w:ascii="宋体" w:hAnsi="宋体"/>
          <w:color w:val="auto"/>
          <w:highlight w:val="none"/>
        </w:rPr>
      </w:pPr>
      <w:r>
        <w:rPr>
          <w:rFonts w:hint="eastAsia" w:ascii="宋体" w:hAnsi="宋体"/>
          <w:color w:val="auto"/>
          <w:highlight w:val="none"/>
          <w:lang w:val="en-US" w:eastAsia="zh-CN"/>
        </w:rPr>
        <w:t>5</w:t>
      </w:r>
      <w:r>
        <w:rPr>
          <w:rFonts w:hint="eastAsia" w:ascii="宋体" w:hAnsi="宋体"/>
          <w:color w:val="auto"/>
          <w:highlight w:val="none"/>
        </w:rPr>
        <w:t>、变电站对侧间隔涉及间隔施工或间隔调换时，考虑不连续停电时产生多次进退场费用和办理工作票手续。间隔扩建围挡措施费用按南网相关要求自行报价。</w:t>
      </w:r>
    </w:p>
    <w:p>
      <w:pPr>
        <w:ind w:firstLine="724" w:firstLineChars="345"/>
        <w:rPr>
          <w:rFonts w:hint="eastAsia" w:ascii="宋体" w:hAnsi="宋体"/>
          <w:color w:val="auto"/>
          <w:highlight w:val="none"/>
        </w:rPr>
      </w:pPr>
      <w:r>
        <w:rPr>
          <w:rFonts w:hint="eastAsia" w:ascii="宋体" w:hAnsi="宋体"/>
          <w:color w:val="auto"/>
          <w:highlight w:val="none"/>
          <w:lang w:val="en-US" w:eastAsia="zh-CN"/>
        </w:rPr>
        <w:t>6</w:t>
      </w:r>
      <w:r>
        <w:rPr>
          <w:rFonts w:hint="eastAsia" w:ascii="宋体" w:hAnsi="宋体"/>
          <w:color w:val="auto"/>
          <w:highlight w:val="none"/>
        </w:rPr>
        <w:t>、消防及火灾自动报警系统的设备材料（含感温系统）由中标人采购。依据电力工程建筑定额，在建筑工程中计列。</w:t>
      </w:r>
    </w:p>
    <w:p>
      <w:pPr>
        <w:ind w:firstLine="724" w:firstLineChars="345"/>
        <w:rPr>
          <w:rFonts w:hint="eastAsia" w:ascii="宋体" w:hAnsi="宋体"/>
          <w:color w:val="auto"/>
          <w:highlight w:val="none"/>
        </w:rPr>
      </w:pPr>
      <w:r>
        <w:rPr>
          <w:rFonts w:hint="eastAsia" w:ascii="宋体" w:hAnsi="宋体"/>
          <w:color w:val="auto"/>
          <w:highlight w:val="none"/>
          <w:lang w:val="en-US" w:eastAsia="zh-CN"/>
        </w:rPr>
        <w:t>7</w:t>
      </w:r>
      <w:r>
        <w:rPr>
          <w:rFonts w:hint="eastAsia" w:ascii="宋体" w:hAnsi="宋体"/>
          <w:color w:val="auto"/>
          <w:highlight w:val="none"/>
        </w:rPr>
        <w:t>、</w:t>
      </w:r>
      <w:r>
        <w:rPr>
          <w:rFonts w:hint="eastAsia" w:ascii="宋体" w:hAnsi="宋体"/>
          <w:color w:val="auto"/>
          <w:highlight w:val="none"/>
          <w:lang w:val="en-US" w:eastAsia="zh-CN"/>
        </w:rPr>
        <w:t>机械钻孔桩基础、</w:t>
      </w:r>
      <w:r>
        <w:rPr>
          <w:rFonts w:hint="eastAsia" w:ascii="宋体" w:hAnsi="宋体"/>
          <w:color w:val="auto"/>
          <w:highlight w:val="none"/>
        </w:rPr>
        <w:t>变电站混凝土采用商品混凝土。</w:t>
      </w:r>
    </w:p>
    <w:p>
      <w:pPr>
        <w:ind w:firstLine="724" w:firstLineChars="345"/>
        <w:rPr>
          <w:rFonts w:hint="eastAsia" w:ascii="宋体" w:hAnsi="宋体"/>
          <w:strike/>
          <w:color w:val="auto"/>
          <w:highlight w:val="none"/>
          <w:lang w:val="en-US" w:eastAsia="zh-CN"/>
        </w:rPr>
      </w:pPr>
    </w:p>
    <w:p>
      <w:pPr>
        <w:snapToGrid/>
        <w:spacing w:before="0" w:after="0" w:line="240" w:lineRule="auto"/>
        <w:ind w:left="0" w:leftChars="0" w:right="0" w:firstLine="421" w:firstLineChars="131"/>
        <w:jc w:val="both"/>
        <w:rPr>
          <w:rFonts w:hint="eastAsia" w:ascii="宋体" w:hAnsi="宋体" w:eastAsia="宋体" w:cs="Times New Roman"/>
          <w:b/>
          <w:color w:val="auto"/>
          <w:sz w:val="32"/>
          <w:szCs w:val="32"/>
          <w:highlight w:val="none"/>
          <w:u w:val="single"/>
          <w:lang w:val="en-US" w:eastAsia="zh-CN"/>
        </w:rPr>
      </w:pPr>
      <w:r>
        <w:rPr>
          <w:rFonts w:hint="eastAsia" w:ascii="宋体" w:hAnsi="宋体" w:cs="Times New Roman"/>
          <w:b/>
          <w:color w:val="auto"/>
          <w:sz w:val="32"/>
          <w:szCs w:val="32"/>
          <w:highlight w:val="none"/>
          <w:u w:val="single"/>
          <w:lang w:val="en-US" w:eastAsia="zh-CN"/>
        </w:rPr>
        <w:t>4.2</w:t>
      </w:r>
      <w:r>
        <w:rPr>
          <w:rFonts w:hint="eastAsia" w:ascii="宋体" w:hAnsi="宋体" w:eastAsia="宋体" w:cs="Times New Roman"/>
          <w:b/>
          <w:color w:val="auto"/>
          <w:sz w:val="32"/>
          <w:szCs w:val="32"/>
          <w:highlight w:val="none"/>
          <w:u w:val="single"/>
          <w:lang w:val="en-US" w:eastAsia="zh-CN"/>
        </w:rPr>
        <w:t>运通～植护220kV线路工程</w:t>
      </w:r>
    </w:p>
    <w:p>
      <w:pPr>
        <w:jc w:val="center"/>
        <w:rPr>
          <w:b/>
          <w:color w:val="auto"/>
          <w:highlight w:val="none"/>
        </w:rPr>
      </w:pPr>
      <w:r>
        <w:rPr>
          <w:rFonts w:hint="eastAsia"/>
          <w:b/>
          <w:color w:val="auto"/>
          <w:highlight w:val="none"/>
        </w:rPr>
        <w:t>招标人提供的设备、材料清单</w:t>
      </w:r>
    </w:p>
    <w:tbl>
      <w:tblPr>
        <w:tblStyle w:val="9"/>
        <w:tblpPr w:leftFromText="180" w:rightFromText="180" w:vertAnchor="text" w:horzAnchor="page" w:tblpX="999" w:tblpY="663"/>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30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1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48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jc w:val="center"/>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1</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避雷器</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台</w:t>
            </w:r>
          </w:p>
        </w:tc>
        <w:tc>
          <w:tcPr>
            <w:tcW w:w="1400" w:type="dxa"/>
            <w:tcBorders>
              <w:top w:val="nil"/>
              <w:left w:val="nil"/>
              <w:bottom w:val="single" w:color="auto" w:sz="4" w:space="0"/>
              <w:right w:val="single" w:color="auto" w:sz="4" w:space="0"/>
            </w:tcBorders>
            <w:vAlign w:val="center"/>
          </w:tcPr>
          <w:p>
            <w:pPr>
              <w:jc w:val="center"/>
              <w:rPr>
                <w:rFonts w:hint="default"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2</w:t>
            </w:r>
          </w:p>
        </w:tc>
        <w:tc>
          <w:tcPr>
            <w:tcW w:w="3000" w:type="dxa"/>
            <w:tcBorders>
              <w:top w:val="nil"/>
              <w:left w:val="nil"/>
              <w:bottom w:val="single" w:color="auto" w:sz="4" w:space="0"/>
              <w:right w:val="single" w:color="auto" w:sz="4" w:space="0"/>
            </w:tcBorders>
            <w:vAlign w:val="center"/>
          </w:tcPr>
          <w:p>
            <w:pPr>
              <w:rPr>
                <w:rFonts w:hint="eastAsia" w:eastAsia="宋体"/>
                <w:color w:val="auto"/>
                <w:highlight w:val="none"/>
                <w:lang w:eastAsia="zh-CN"/>
              </w:rPr>
            </w:pPr>
            <w:r>
              <w:rPr>
                <w:rFonts w:hint="eastAsia"/>
                <w:color w:val="auto"/>
                <w:highlight w:val="none"/>
                <w:lang w:eastAsia="zh-CN"/>
              </w:rPr>
              <w:t>故障定位装置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套</w:t>
            </w:r>
          </w:p>
        </w:tc>
        <w:tc>
          <w:tcPr>
            <w:tcW w:w="1400" w:type="dxa"/>
            <w:tcBorders>
              <w:top w:val="nil"/>
              <w:left w:val="nil"/>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3</w:t>
            </w:r>
          </w:p>
        </w:tc>
        <w:tc>
          <w:tcPr>
            <w:tcW w:w="3000" w:type="dxa"/>
            <w:tcBorders>
              <w:top w:val="nil"/>
              <w:left w:val="nil"/>
              <w:bottom w:val="single" w:color="auto" w:sz="4" w:space="0"/>
              <w:right w:val="single" w:color="auto" w:sz="4" w:space="0"/>
            </w:tcBorders>
            <w:vAlign w:val="center"/>
          </w:tcPr>
          <w:p>
            <w:pPr>
              <w:rPr>
                <w:rFonts w:hint="eastAsia"/>
                <w:color w:val="auto"/>
                <w:highlight w:val="none"/>
                <w:lang w:eastAsia="zh-CN"/>
              </w:rPr>
            </w:pPr>
            <w:r>
              <w:rPr>
                <w:rFonts w:hint="eastAsia"/>
                <w:color w:val="auto"/>
                <w:highlight w:val="none"/>
                <w:lang w:eastAsia="zh-CN"/>
              </w:rPr>
              <w:t>在线监测装置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套</w:t>
            </w:r>
          </w:p>
        </w:tc>
        <w:tc>
          <w:tcPr>
            <w:tcW w:w="1400" w:type="dxa"/>
            <w:tcBorders>
              <w:top w:val="nil"/>
              <w:left w:val="nil"/>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hint="default"/>
                <w:color w:val="auto"/>
                <w:highlight w:val="none"/>
                <w:lang w:val="en-US" w:eastAsia="zh-CN"/>
              </w:rPr>
            </w:pPr>
            <w:r>
              <w:rPr>
                <w:rFonts w:hint="eastAsia"/>
                <w:color w:val="auto"/>
                <w:highlight w:val="none"/>
                <w:lang w:val="en-US" w:eastAsia="zh-CN"/>
              </w:rPr>
              <w:t>4</w:t>
            </w:r>
          </w:p>
        </w:tc>
        <w:tc>
          <w:tcPr>
            <w:tcW w:w="3000" w:type="dxa"/>
            <w:tcBorders>
              <w:top w:val="nil"/>
              <w:left w:val="nil"/>
              <w:bottom w:val="single" w:color="auto" w:sz="4" w:space="0"/>
              <w:right w:val="single" w:color="auto" w:sz="4" w:space="0"/>
            </w:tcBorders>
            <w:vAlign w:val="center"/>
          </w:tcPr>
          <w:p>
            <w:pPr>
              <w:rPr>
                <w:rFonts w:hint="eastAsia"/>
                <w:color w:val="auto"/>
                <w:highlight w:val="none"/>
                <w:lang w:eastAsia="zh-CN"/>
              </w:rPr>
            </w:pPr>
            <w:r>
              <w:rPr>
                <w:rFonts w:hint="eastAsia"/>
                <w:color w:val="auto"/>
                <w:highlight w:val="none"/>
                <w:lang w:eastAsia="zh-CN"/>
              </w:rPr>
              <w:t>航空障碍灯</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盏</w:t>
            </w:r>
          </w:p>
        </w:tc>
        <w:tc>
          <w:tcPr>
            <w:tcW w:w="1400" w:type="dxa"/>
            <w:tcBorders>
              <w:top w:val="nil"/>
              <w:left w:val="nil"/>
              <w:bottom w:val="single" w:color="auto" w:sz="4" w:space="0"/>
              <w:right w:val="single" w:color="auto" w:sz="4" w:space="0"/>
            </w:tcBorders>
            <w:vAlign w:val="center"/>
          </w:tcPr>
          <w:p>
            <w:pPr>
              <w:jc w:val="center"/>
              <w:rPr>
                <w:rFonts w:hint="default"/>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1</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highlight w:val="none"/>
              </w:rPr>
            </w:pPr>
            <w:r>
              <w:rPr>
                <w:rFonts w:hint="eastAsia"/>
                <w:color w:val="auto"/>
                <w:highlight w:val="none"/>
              </w:rPr>
              <w:t>铁塔（直线塔）</w:t>
            </w:r>
            <w:r>
              <w:rPr>
                <w:rFonts w:hint="eastAsia" w:cs="Times New Roman"/>
                <w:color w:val="auto"/>
                <w:sz w:val="21"/>
                <w:szCs w:val="21"/>
                <w:highlight w:val="none"/>
                <w:lang w:val="en-US" w:eastAsia="zh-CN"/>
              </w:rPr>
              <w:t>（含地脚螺栓，不含杆塔防坠落装置）</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2</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highlight w:val="none"/>
              </w:rPr>
            </w:pPr>
            <w:r>
              <w:rPr>
                <w:rFonts w:hint="eastAsia"/>
                <w:color w:val="auto"/>
                <w:highlight w:val="none"/>
              </w:rPr>
              <w:t>铁塔（耐张塔）</w:t>
            </w:r>
            <w:r>
              <w:rPr>
                <w:rFonts w:hint="eastAsia" w:cs="Times New Roman"/>
                <w:color w:val="auto"/>
                <w:sz w:val="21"/>
                <w:szCs w:val="21"/>
                <w:highlight w:val="none"/>
                <w:lang w:val="en-US" w:eastAsia="zh-CN"/>
              </w:rPr>
              <w:t>（含地脚螺栓，不含杆塔防坠落装置）</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3</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钢芯铝绞线</w:t>
            </w:r>
            <w:r>
              <w:rPr>
                <w:rFonts w:hint="eastAsia"/>
                <w:color w:val="auto"/>
                <w:highlight w:val="none"/>
                <w:lang w:eastAsia="zh-CN"/>
              </w:rPr>
              <w:t>、导线</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4</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钢绞线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5</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绝缘子</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6</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线路金具</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color w:val="auto"/>
                <w:highlight w:val="none"/>
                <w:lang w:val="en-US" w:eastAsia="zh-CN"/>
              </w:rPr>
            </w:pPr>
            <w:r>
              <w:rPr>
                <w:rFonts w:hint="eastAsia"/>
                <w:color w:val="auto"/>
                <w:highlight w:val="none"/>
                <w:lang w:val="en-US" w:eastAsia="zh-CN"/>
              </w:rPr>
              <w:t>7</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default" w:eastAsia="宋体"/>
                <w:color w:val="auto"/>
                <w:highlight w:val="none"/>
                <w:lang w:val="en-US" w:eastAsia="zh-CN"/>
              </w:rPr>
            </w:pPr>
            <w:r>
              <w:rPr>
                <w:rFonts w:hint="eastAsia"/>
                <w:color w:val="auto"/>
                <w:highlight w:val="none"/>
                <w:lang w:val="en-US" w:eastAsia="zh-CN"/>
              </w:rPr>
              <w:t>防鸟挡板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hint="default" w:ascii="Calibri" w:hAnsi="Calibri" w:eastAsia="宋体" w:cs="Times New Roman"/>
                <w:color w:val="auto"/>
                <w:kern w:val="2"/>
                <w:sz w:val="21"/>
                <w:szCs w:val="22"/>
                <w:highlight w:val="none"/>
                <w:lang w:val="en-US" w:eastAsia="zh-CN" w:bidi="ar-SA"/>
              </w:rPr>
            </w:pPr>
            <w:r>
              <w:rPr>
                <w:rFonts w:hint="eastAsia" w:cs="Times New Roman"/>
                <w:color w:val="auto"/>
                <w:kern w:val="2"/>
                <w:sz w:val="21"/>
                <w:szCs w:val="22"/>
                <w:highlight w:val="none"/>
                <w:lang w:val="en-US" w:eastAsia="zh-CN" w:bidi="ar-SA"/>
              </w:rPr>
              <w:t>块</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eastAsia="宋体"/>
                <w:color w:val="auto"/>
                <w:highlight w:val="none"/>
                <w:lang w:val="en-US" w:eastAsia="zh-CN"/>
              </w:rPr>
            </w:pPr>
            <w:r>
              <w:rPr>
                <w:rFonts w:hint="eastAsia"/>
                <w:color w:val="auto"/>
                <w:highlight w:val="none"/>
                <w:lang w:val="en-US" w:eastAsia="zh-CN"/>
              </w:rPr>
              <w:t>8</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光缆及光缆金具（不含</w:t>
            </w:r>
            <w:r>
              <w:rPr>
                <w:rFonts w:hint="eastAsia"/>
                <w:color w:val="auto"/>
                <w:highlight w:val="none"/>
                <w:lang w:val="en-US" w:eastAsia="zh-CN"/>
              </w:rPr>
              <w:t>抱箍、</w:t>
            </w:r>
            <w:r>
              <w:rPr>
                <w:color w:val="auto"/>
                <w:highlight w:val="none"/>
              </w:rPr>
              <w:t>PVC</w:t>
            </w:r>
            <w:r>
              <w:rPr>
                <w:rFonts w:hint="eastAsia"/>
                <w:color w:val="auto"/>
                <w:highlight w:val="none"/>
              </w:rPr>
              <w:t>管、镀锌钢管）</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9</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default" w:ascii="Calibri" w:hAnsi="Calibri" w:eastAsia="宋体" w:cs="Times New Roman"/>
                <w:color w:val="auto"/>
                <w:kern w:val="2"/>
                <w:sz w:val="21"/>
                <w:szCs w:val="22"/>
                <w:highlight w:val="none"/>
                <w:lang w:val="en-US" w:eastAsia="zh-CN" w:bidi="ar-SA"/>
              </w:rPr>
            </w:pPr>
            <w:r>
              <w:rPr>
                <w:rFonts w:hint="eastAsia" w:cs="Times New Roman"/>
                <w:color w:val="auto"/>
                <w:sz w:val="21"/>
                <w:szCs w:val="21"/>
                <w:highlight w:val="none"/>
                <w:lang w:val="en-US" w:eastAsia="zh-CN"/>
              </w:rPr>
              <w:t>新建线路杆塔五牌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bl>
    <w:p>
      <w:pPr>
        <w:ind w:firstLine="724" w:firstLineChars="345"/>
        <w:rPr>
          <w:color w:val="auto"/>
          <w:highlight w:val="none"/>
        </w:rPr>
      </w:pPr>
    </w:p>
    <w:p>
      <w:pPr>
        <w:jc w:val="center"/>
        <w:rPr>
          <w:b/>
          <w:color w:val="auto"/>
          <w:highlight w:val="none"/>
        </w:rPr>
      </w:pPr>
    </w:p>
    <w:p>
      <w:pPr>
        <w:jc w:val="center"/>
        <w:rPr>
          <w:rFonts w:hint="eastAsia"/>
          <w:b/>
          <w:color w:val="auto"/>
          <w:highlight w:val="none"/>
        </w:rPr>
      </w:pPr>
    </w:p>
    <w:p>
      <w:pPr>
        <w:jc w:val="center"/>
        <w:rPr>
          <w:b/>
          <w:color w:val="auto"/>
          <w:highlight w:val="none"/>
        </w:rPr>
      </w:pPr>
      <w:r>
        <w:rPr>
          <w:rFonts w:hint="eastAsia"/>
          <w:b/>
          <w:color w:val="auto"/>
          <w:highlight w:val="none"/>
        </w:rPr>
        <w:t>中标人提供的设备、材料清单</w:t>
      </w:r>
    </w:p>
    <w:tbl>
      <w:tblPr>
        <w:tblStyle w:val="9"/>
        <w:tblpPr w:leftFromText="180" w:rightFromText="180" w:vertAnchor="text" w:horzAnchor="margin" w:tblpXSpec="center" w:tblpY="591"/>
        <w:tblW w:w="9854" w:type="dxa"/>
        <w:tblInd w:w="0" w:type="dxa"/>
        <w:tblLayout w:type="fixed"/>
        <w:tblCellMar>
          <w:top w:w="0" w:type="dxa"/>
          <w:left w:w="108" w:type="dxa"/>
          <w:bottom w:w="0" w:type="dxa"/>
          <w:right w:w="108" w:type="dxa"/>
        </w:tblCellMar>
      </w:tblPr>
      <w:tblGrid>
        <w:gridCol w:w="946"/>
        <w:gridCol w:w="2907"/>
        <w:gridCol w:w="1521"/>
        <w:gridCol w:w="1149"/>
        <w:gridCol w:w="1309"/>
        <w:gridCol w:w="2022"/>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21"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30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02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290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无</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2907" w:type="dxa"/>
            <w:tcBorders>
              <w:top w:val="nil"/>
              <w:left w:val="nil"/>
              <w:bottom w:val="single" w:color="auto" w:sz="4" w:space="0"/>
              <w:right w:val="single" w:color="auto" w:sz="4" w:space="0"/>
            </w:tcBorders>
            <w:vAlign w:val="center"/>
          </w:tcPr>
          <w:p>
            <w:pPr>
              <w:snapToGrid w:val="0"/>
              <w:rPr>
                <w:color w:val="auto"/>
                <w:highlight w:val="none"/>
              </w:rPr>
            </w:pPr>
            <w:r>
              <w:rPr>
                <w:rFonts w:hint="eastAsia"/>
                <w:color w:val="auto"/>
                <w:highlight w:val="none"/>
              </w:rPr>
              <w:t>材料部分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highlight w:val="none"/>
              </w:rPr>
            </w:pPr>
            <w:r>
              <w:rPr>
                <w:rFonts w:hint="eastAsia" w:ascii="宋体" w:hAnsi="宋体" w:cs="宋体" w:eastAsiaTheme="minorEastAsia"/>
                <w:b w:val="0"/>
                <w:bCs w:val="0"/>
                <w:snapToGrid w:val="0"/>
                <w:color w:val="auto"/>
                <w:kern w:val="0"/>
                <w:sz w:val="21"/>
                <w:szCs w:val="21"/>
                <w:highlight w:val="none"/>
                <w:u w:val="none"/>
                <w:lang w:val="en-US" w:eastAsia="zh-CN" w:bidi="ar-SA"/>
              </w:rPr>
              <w:t>1</w:t>
            </w:r>
          </w:p>
        </w:tc>
        <w:tc>
          <w:tcPr>
            <w:tcW w:w="290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Calibri" w:hAnsi="Calibri" w:eastAsia="宋体" w:cs="Times New Roman"/>
                <w:color w:val="auto"/>
                <w:kern w:val="2"/>
                <w:sz w:val="21"/>
                <w:szCs w:val="22"/>
                <w:highlight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杆塔防坠落装置（含镀锌件、钢绞线、配套金具等）</w:t>
            </w:r>
          </w:p>
        </w:tc>
        <w:tc>
          <w:tcPr>
            <w:tcW w:w="1521"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ascii="Calibri" w:hAnsi="Calibri" w:eastAsia="宋体" w:cs="Times New Roman"/>
                <w:color w:val="auto"/>
                <w:kern w:val="0"/>
                <w:sz w:val="21"/>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widowControl/>
              <w:ind w:left="0" w:leftChars="0" w:firstLine="0" w:firstLineChars="0"/>
              <w:jc w:val="center"/>
              <w:rPr>
                <w:rFonts w:ascii="Calibri" w:hAnsi="Calibri" w:eastAsia="宋体" w:cs="Times New Roman"/>
                <w:color w:val="auto"/>
                <w:kern w:val="2"/>
                <w:sz w:val="21"/>
                <w:szCs w:val="22"/>
                <w:highlight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吨</w:t>
            </w:r>
          </w:p>
        </w:tc>
        <w:tc>
          <w:tcPr>
            <w:tcW w:w="1309" w:type="dxa"/>
            <w:tcBorders>
              <w:top w:val="nil"/>
              <w:left w:val="nil"/>
              <w:bottom w:val="single" w:color="auto" w:sz="4" w:space="0"/>
              <w:right w:val="single" w:color="auto" w:sz="4" w:space="0"/>
            </w:tcBorders>
            <w:vAlign w:val="center"/>
          </w:tcPr>
          <w:p>
            <w:pPr>
              <w:ind w:left="0" w:leftChars="0" w:firstLine="0" w:firstLineChars="0"/>
              <w:jc w:val="center"/>
              <w:rPr>
                <w:rFonts w:ascii="Calibri" w:hAnsi="Calibri" w:eastAsia="宋体" w:cs="Times New Roman"/>
                <w:color w:val="auto"/>
                <w:kern w:val="2"/>
                <w:sz w:val="21"/>
                <w:szCs w:val="22"/>
                <w:highlight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022" w:type="dxa"/>
            <w:tcBorders>
              <w:top w:val="nil"/>
              <w:left w:val="nil"/>
              <w:bottom w:val="single" w:color="auto" w:sz="4" w:space="0"/>
              <w:right w:val="single" w:color="auto" w:sz="4" w:space="0"/>
            </w:tcBorders>
            <w:vAlign w:val="top"/>
          </w:tcPr>
          <w:p>
            <w:pPr>
              <w:ind w:left="0" w:leftChars="0" w:firstLine="0" w:firstLineChars="0"/>
              <w:rPr>
                <w:rFonts w:ascii="Calibri" w:hAnsi="Calibri" w:eastAsia="宋体" w:cs="Times New Roman"/>
                <w:color w:val="auto"/>
                <w:kern w:val="2"/>
                <w:sz w:val="21"/>
                <w:szCs w:val="22"/>
                <w:highlight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ind w:left="0" w:leftChars="0" w:firstLine="0" w:firstLineChars="0"/>
              <w:jc w:val="center"/>
              <w:rPr>
                <w:color w:val="auto"/>
                <w:highlight w:val="none"/>
              </w:rPr>
            </w:pPr>
            <w:r>
              <w:rPr>
                <w:rFonts w:hint="eastAsia" w:ascii="宋体" w:hAnsi="宋体" w:cs="宋体" w:eastAsiaTheme="minorEastAsia"/>
                <w:b w:val="0"/>
                <w:bCs w:val="0"/>
                <w:snapToGrid w:val="0"/>
                <w:color w:val="auto"/>
                <w:kern w:val="0"/>
                <w:sz w:val="21"/>
                <w:szCs w:val="21"/>
                <w:highlight w:val="none"/>
                <w:u w:val="none"/>
                <w:lang w:val="en-US" w:eastAsia="zh-CN" w:bidi="ar-SA"/>
              </w:rPr>
              <w:t>2</w:t>
            </w:r>
          </w:p>
        </w:tc>
        <w:tc>
          <w:tcPr>
            <w:tcW w:w="2907" w:type="dxa"/>
            <w:tcBorders>
              <w:top w:val="nil"/>
              <w:left w:val="nil"/>
              <w:bottom w:val="single" w:color="auto" w:sz="4" w:space="0"/>
              <w:right w:val="single" w:color="auto" w:sz="4" w:space="0"/>
            </w:tcBorders>
            <w:vAlign w:val="center"/>
          </w:tcPr>
          <w:p>
            <w:pPr>
              <w:snapToGrid w:val="0"/>
              <w:ind w:left="0" w:leftChars="0" w:firstLine="0" w:firstLineChars="0"/>
              <w:rPr>
                <w:rFonts w:hint="eastAsia" w:ascii="Calibri" w:hAnsi="Calibri" w:eastAsia="宋体" w:cs="Times New Roman"/>
                <w:color w:val="auto"/>
                <w:kern w:val="2"/>
                <w:sz w:val="21"/>
                <w:szCs w:val="22"/>
                <w:highlight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除以上标明的材料及招标人购买外的所有材料</w:t>
            </w:r>
          </w:p>
        </w:tc>
        <w:tc>
          <w:tcPr>
            <w:tcW w:w="1521" w:type="dxa"/>
            <w:tcBorders>
              <w:top w:val="nil"/>
              <w:left w:val="nil"/>
              <w:bottom w:val="single" w:color="auto" w:sz="4" w:space="0"/>
              <w:right w:val="single" w:color="auto" w:sz="4" w:space="0"/>
            </w:tcBorders>
            <w:vAlign w:val="center"/>
          </w:tcPr>
          <w:p>
            <w:pPr>
              <w:widowControl/>
              <w:snapToGrid w:val="0"/>
              <w:ind w:left="0" w:leftChars="0" w:firstLine="0" w:firstLineChars="0"/>
              <w:jc w:val="center"/>
              <w:rPr>
                <w:rFonts w:ascii="Calibri" w:hAnsi="Calibri" w:eastAsia="宋体" w:cs="Times New Roman"/>
                <w:color w:val="auto"/>
                <w:kern w:val="0"/>
                <w:sz w:val="21"/>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widowControl/>
              <w:ind w:left="0" w:leftChars="0" w:firstLine="0" w:firstLineChars="0"/>
              <w:jc w:val="center"/>
              <w:rPr>
                <w:rFonts w:ascii="Calibri" w:hAnsi="Calibri" w:eastAsia="宋体" w:cs="Times New Roman"/>
                <w:color w:val="auto"/>
                <w:kern w:val="2"/>
                <w:sz w:val="21"/>
                <w:szCs w:val="22"/>
                <w:highlight w:val="none"/>
                <w:lang w:val="en-US" w:eastAsia="zh-CN" w:bidi="ar-SA"/>
              </w:rPr>
            </w:pPr>
          </w:p>
        </w:tc>
        <w:tc>
          <w:tcPr>
            <w:tcW w:w="1309" w:type="dxa"/>
            <w:tcBorders>
              <w:top w:val="nil"/>
              <w:left w:val="nil"/>
              <w:bottom w:val="single" w:color="auto" w:sz="4" w:space="0"/>
              <w:right w:val="single" w:color="auto" w:sz="4" w:space="0"/>
            </w:tcBorders>
            <w:vAlign w:val="center"/>
          </w:tcPr>
          <w:p>
            <w:pPr>
              <w:ind w:left="0" w:leftChars="0" w:firstLine="0" w:firstLineChars="0"/>
              <w:jc w:val="center"/>
              <w:rPr>
                <w:rFonts w:ascii="Calibri" w:hAnsi="Calibri" w:eastAsia="宋体" w:cs="Times New Roman"/>
                <w:color w:val="auto"/>
                <w:kern w:val="2"/>
                <w:sz w:val="21"/>
                <w:szCs w:val="22"/>
                <w:highlight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自行计算</w:t>
            </w:r>
          </w:p>
        </w:tc>
        <w:tc>
          <w:tcPr>
            <w:tcW w:w="2022" w:type="dxa"/>
            <w:tcBorders>
              <w:top w:val="nil"/>
              <w:left w:val="nil"/>
              <w:bottom w:val="single" w:color="auto" w:sz="4" w:space="0"/>
              <w:right w:val="single" w:color="auto" w:sz="4" w:space="0"/>
            </w:tcBorders>
            <w:vAlign w:val="center"/>
          </w:tcPr>
          <w:p>
            <w:pPr>
              <w:ind w:left="0" w:leftChars="0" w:firstLine="0" w:firstLineChars="0"/>
              <w:rPr>
                <w:rFonts w:ascii="Calibri" w:hAnsi="Calibri" w:eastAsia="宋体" w:cs="Times New Roman"/>
                <w:color w:val="auto"/>
                <w:kern w:val="2"/>
                <w:sz w:val="21"/>
                <w:szCs w:val="22"/>
                <w:highlight w:val="none"/>
                <w:lang w:val="en-US" w:eastAsia="zh-CN" w:bidi="ar-SA"/>
              </w:rPr>
            </w:pPr>
            <w:r>
              <w:rPr>
                <w:rFonts w:hint="eastAsia" w:ascii="宋体" w:hAnsi="宋体" w:cs="宋体" w:eastAsiaTheme="minorEastAsia"/>
                <w:b w:val="0"/>
                <w:bCs w:val="0"/>
                <w:snapToGrid w:val="0"/>
                <w:color w:val="auto"/>
                <w:kern w:val="0"/>
                <w:sz w:val="21"/>
                <w:szCs w:val="21"/>
                <w:highlight w:val="none"/>
                <w:u w:val="none"/>
                <w:lang w:val="en-US" w:eastAsia="zh-CN" w:bidi="ar-SA"/>
              </w:rPr>
              <w:t>自行报价</w:t>
            </w:r>
          </w:p>
        </w:tc>
      </w:tr>
    </w:tbl>
    <w:p>
      <w:pPr>
        <w:jc w:val="center"/>
        <w:rPr>
          <w:b/>
          <w:color w:val="auto"/>
          <w:highlight w:val="none"/>
        </w:rPr>
      </w:pPr>
    </w:p>
    <w:p>
      <w:pPr>
        <w:rPr>
          <w:color w:val="auto"/>
          <w:highlight w:val="none"/>
        </w:rPr>
      </w:pPr>
    </w:p>
    <w:p>
      <w:pPr>
        <w:rPr>
          <w:color w:val="auto"/>
          <w:highlight w:val="none"/>
        </w:rPr>
      </w:pPr>
    </w:p>
    <w:p>
      <w:pPr>
        <w:pStyle w:val="2"/>
        <w:rPr>
          <w:color w:val="auto"/>
          <w:highlight w:val="none"/>
        </w:rPr>
      </w:pPr>
    </w:p>
    <w:p>
      <w:pPr>
        <w:rPr>
          <w:rFonts w:hint="eastAsia" w:eastAsiaTheme="minorEastAsia"/>
          <w:lang w:val="en-US" w:eastAsia="zh-CN"/>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CC0EB8"/>
    <w:rsid w:val="071B3875"/>
    <w:rsid w:val="0AB34E04"/>
    <w:rsid w:val="1096538D"/>
    <w:rsid w:val="1110038B"/>
    <w:rsid w:val="12297CF9"/>
    <w:rsid w:val="1BA63B03"/>
    <w:rsid w:val="21D06779"/>
    <w:rsid w:val="21DE176F"/>
    <w:rsid w:val="22683671"/>
    <w:rsid w:val="22D10D3B"/>
    <w:rsid w:val="37AC2A04"/>
    <w:rsid w:val="41046039"/>
    <w:rsid w:val="423B22C2"/>
    <w:rsid w:val="44F901B8"/>
    <w:rsid w:val="46A7570B"/>
    <w:rsid w:val="46B60F87"/>
    <w:rsid w:val="46CA2092"/>
    <w:rsid w:val="480C50DB"/>
    <w:rsid w:val="494A71CD"/>
    <w:rsid w:val="49C37D91"/>
    <w:rsid w:val="4D1B7EC6"/>
    <w:rsid w:val="4DC2499F"/>
    <w:rsid w:val="5304593C"/>
    <w:rsid w:val="55AF7E22"/>
    <w:rsid w:val="57596637"/>
    <w:rsid w:val="59B73677"/>
    <w:rsid w:val="610E74EE"/>
    <w:rsid w:val="65904792"/>
    <w:rsid w:val="6AF57C40"/>
    <w:rsid w:val="740D7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2">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6"/>
    <w:next w:val="6"/>
    <w:qFormat/>
    <w:uiPriority w:val="0"/>
    <w:pPr>
      <w:spacing w:after="120" w:line="360" w:lineRule="auto"/>
      <w:ind w:firstLine="598"/>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Plain Text"/>
    <w:basedOn w:val="1"/>
    <w:qFormat/>
    <w:uiPriority w:val="0"/>
    <w:rPr>
      <w:rFonts w:ascii="宋体" w:hAnsi="Courier New"/>
      <w:kern w:val="0"/>
      <w:sz w:val="20"/>
      <w:szCs w:val="20"/>
    </w:rPr>
  </w:style>
  <w:style w:type="paragraph" w:styleId="8">
    <w:name w:val="Body Text First Indent"/>
    <w:basedOn w:val="5"/>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anxs</cp:lastModifiedBy>
  <dcterms:modified xsi:type="dcterms:W3CDTF">2026-03-31T10:52:59Z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875AEE6B909242B0A55D8539E74AA3BD</vt:lpwstr>
  </property>
</Properties>
</file>