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360" w:lineRule="auto"/>
        <w:jc w:val="center"/>
        <w:rPr>
          <w:rFonts w:hint="default" w:ascii="宋体" w:hAnsi="宋体" w:eastAsia="宋体" w:cs="宋体"/>
          <w:b/>
          <w:bCs/>
          <w:snapToGrid w:val="0"/>
          <w:sz w:val="32"/>
          <w:szCs w:val="32"/>
          <w:lang w:val="en-US" w:eastAsia="zh-CN"/>
        </w:rPr>
      </w:pPr>
      <w:bookmarkStart w:id="0" w:name="_Toc8445"/>
      <w:r>
        <w:rPr>
          <w:rFonts w:hint="eastAsia" w:ascii="宋体" w:hAnsi="宋体" w:eastAsia="宋体" w:cs="宋体"/>
          <w:b/>
          <w:bCs/>
          <w:snapToGrid w:val="0"/>
          <w:sz w:val="32"/>
          <w:szCs w:val="32"/>
          <w:lang w:val="en-US" w:eastAsia="zh-CN"/>
        </w:rPr>
        <w:t>标的5</w:t>
      </w:r>
    </w:p>
    <w:p>
      <w:pPr>
        <w:pStyle w:val="6"/>
        <w:adjustRightInd w:val="0"/>
        <w:snapToGrid w:val="0"/>
        <w:spacing w:line="360" w:lineRule="auto"/>
        <w:ind w:firstLine="562" w:firstLineChars="200"/>
        <w:jc w:val="left"/>
        <w:outlineLvl w:val="0"/>
        <w:rPr>
          <w:rFonts w:hint="eastAsia" w:hAnsi="宋体" w:cs="宋体"/>
          <w:b/>
          <w:color w:val="FF0000"/>
          <w:sz w:val="28"/>
          <w:szCs w:val="28"/>
        </w:rPr>
      </w:pPr>
      <w:r>
        <w:rPr>
          <w:rFonts w:hint="eastAsia" w:hAnsi="宋体" w:cs="宋体"/>
          <w:b/>
          <w:bCs/>
          <w:snapToGrid w:val="0"/>
          <w:sz w:val="28"/>
          <w:szCs w:val="28"/>
        </w:rPr>
        <w:t>项目</w:t>
      </w:r>
      <w:r>
        <w:rPr>
          <w:rFonts w:hint="eastAsia" w:ascii="宋体" w:hAnsi="宋体" w:eastAsia="宋体" w:cs="宋体"/>
          <w:b/>
          <w:bCs/>
          <w:snapToGrid w:val="0"/>
          <w:sz w:val="28"/>
          <w:szCs w:val="28"/>
        </w:rPr>
        <w:t>名称：500千伏</w:t>
      </w:r>
      <w:r>
        <w:rPr>
          <w:rFonts w:hint="eastAsia" w:ascii="宋体" w:hAnsi="宋体" w:eastAsia="宋体" w:cs="宋体"/>
          <w:b/>
          <w:bCs/>
          <w:snapToGrid w:val="0"/>
          <w:sz w:val="28"/>
          <w:szCs w:val="28"/>
          <w:lang w:val="en-US" w:eastAsia="zh-CN"/>
        </w:rPr>
        <w:t>幸福</w:t>
      </w:r>
      <w:r>
        <w:rPr>
          <w:rFonts w:hint="eastAsia" w:ascii="宋体" w:hAnsi="宋体" w:eastAsia="宋体" w:cs="宋体"/>
          <w:b/>
          <w:bCs/>
          <w:snapToGrid w:val="0"/>
          <w:sz w:val="28"/>
          <w:szCs w:val="28"/>
        </w:rPr>
        <w:t>输变电工程施工1标段</w:t>
      </w:r>
    </w:p>
    <w:tbl>
      <w:tblPr>
        <w:tblStyle w:val="13"/>
        <w:tblW w:w="73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2911"/>
        <w:gridCol w:w="34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  <w:t>序号</w:t>
            </w:r>
          </w:p>
        </w:tc>
        <w:tc>
          <w:tcPr>
            <w:tcW w:w="2911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</w:pPr>
            <w:r>
              <w:rPr>
                <w:rFonts w:hint="eastAsia" w:hAnsi="宋体" w:eastAsia="宋体" w:cs="宋体"/>
                <w:b/>
                <w:bCs/>
                <w:snapToGrid w:val="0"/>
                <w:szCs w:val="21"/>
              </w:rPr>
              <w:t>项目</w:t>
            </w:r>
          </w:p>
        </w:tc>
        <w:tc>
          <w:tcPr>
            <w:tcW w:w="3473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</w:pPr>
            <w:r>
              <w:rPr>
                <w:rFonts w:hint="eastAsia" w:hAnsi="宋体" w:eastAsia="宋体" w:cs="宋体"/>
                <w:b/>
                <w:bCs/>
                <w:snapToGrid w:val="0"/>
                <w:szCs w:val="21"/>
              </w:rPr>
              <w:t>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  <w:t>1</w:t>
            </w:r>
          </w:p>
        </w:tc>
        <w:tc>
          <w:tcPr>
            <w:tcW w:w="2911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  <w:t>项目建设单位</w:t>
            </w:r>
          </w:p>
        </w:tc>
        <w:tc>
          <w:tcPr>
            <w:tcW w:w="3473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hint="eastAsia" w:ascii="宋体" w:hAnsi="宋体" w:eastAsia="宋体" w:cs="宋体"/>
                <w:snapToGrid w:val="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云南电网有限责任公司</w:t>
            </w:r>
            <w:r>
              <w:rPr>
                <w:rFonts w:hint="eastAsia" w:hAnsi="宋体" w:cs="宋体"/>
                <w:szCs w:val="21"/>
              </w:rPr>
              <w:t>建设分公司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  <w:t>2</w:t>
            </w:r>
          </w:p>
        </w:tc>
        <w:tc>
          <w:tcPr>
            <w:tcW w:w="2911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  <w:t>项目建设地点</w:t>
            </w:r>
          </w:p>
        </w:tc>
        <w:tc>
          <w:tcPr>
            <w:tcW w:w="3473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hint="eastAsia" w:ascii="宋体" w:hAnsi="宋体" w:eastAsia="宋体" w:cs="宋体"/>
                <w:snapToGrid w:val="0"/>
                <w:szCs w:val="21"/>
              </w:rPr>
            </w:pPr>
            <w:r>
              <w:rPr>
                <w:rFonts w:hint="eastAsia" w:hAnsi="宋体" w:eastAsia="宋体" w:cs="宋体"/>
                <w:szCs w:val="21"/>
                <w:lang w:val="en-US" w:eastAsia="zh-CN"/>
              </w:rPr>
              <w:t>临沧</w:t>
            </w:r>
            <w:r>
              <w:rPr>
                <w:rFonts w:hint="eastAsia" w:hAnsi="宋体" w:eastAsia="宋体" w:cs="宋体"/>
                <w:szCs w:val="21"/>
              </w:rPr>
              <w:t>市</w:t>
            </w:r>
            <w:r>
              <w:rPr>
                <w:rFonts w:hint="eastAsia" w:hAnsi="宋体" w:eastAsia="宋体" w:cs="宋体"/>
                <w:szCs w:val="21"/>
                <w:lang w:val="en-US" w:eastAsia="zh-CN"/>
              </w:rPr>
              <w:t>云</w:t>
            </w:r>
            <w:r>
              <w:rPr>
                <w:rFonts w:hint="eastAsia" w:hAnsi="宋体" w:eastAsia="宋体" w:cs="宋体"/>
                <w:szCs w:val="21"/>
              </w:rPr>
              <w:t>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  <w:t>3</w:t>
            </w:r>
          </w:p>
        </w:tc>
        <w:tc>
          <w:tcPr>
            <w:tcW w:w="2911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  <w:t>可研批复文号</w:t>
            </w:r>
          </w:p>
        </w:tc>
        <w:tc>
          <w:tcPr>
            <w:tcW w:w="3473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南方电网规划〔2025〕75号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  <w:t>4</w:t>
            </w:r>
          </w:p>
        </w:tc>
        <w:tc>
          <w:tcPr>
            <w:tcW w:w="2911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  <w:t>项目核准、备案文号</w:t>
            </w:r>
          </w:p>
        </w:tc>
        <w:tc>
          <w:tcPr>
            <w:tcW w:w="3473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云发改能源[2025]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1049</w:t>
            </w:r>
            <w:r>
              <w:rPr>
                <w:rFonts w:hint="eastAsia" w:ascii="宋体" w:hAnsi="宋体" w:eastAsia="宋体" w:cs="宋体"/>
                <w:szCs w:val="21"/>
              </w:rPr>
              <w:t>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  <w:t>5</w:t>
            </w:r>
          </w:p>
        </w:tc>
        <w:tc>
          <w:tcPr>
            <w:tcW w:w="2911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  <w:t>资金落实情况</w:t>
            </w:r>
          </w:p>
        </w:tc>
        <w:tc>
          <w:tcPr>
            <w:tcW w:w="3473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云电规划〔2025〕881号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  <w:t>6</w:t>
            </w:r>
          </w:p>
        </w:tc>
        <w:tc>
          <w:tcPr>
            <w:tcW w:w="2911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  <w:t>初设批复文号</w:t>
            </w:r>
          </w:p>
        </w:tc>
        <w:tc>
          <w:tcPr>
            <w:tcW w:w="3473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南方电网工程〔2026〕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13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 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  <w:t>7</w:t>
            </w:r>
          </w:p>
        </w:tc>
        <w:tc>
          <w:tcPr>
            <w:tcW w:w="2911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  <w:t>施工图预算批复文号</w:t>
            </w:r>
          </w:p>
        </w:tc>
        <w:tc>
          <w:tcPr>
            <w:tcW w:w="3473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napToGrid w:val="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  <w:t>8</w:t>
            </w:r>
          </w:p>
        </w:tc>
        <w:tc>
          <w:tcPr>
            <w:tcW w:w="2911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  <w:t>前期的设计或咨询服务单位名称</w:t>
            </w:r>
          </w:p>
        </w:tc>
        <w:tc>
          <w:tcPr>
            <w:tcW w:w="3473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snapToGrid w:val="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中国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电力工程顾问集团西南电力设计院有限公司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  <w:t>9</w:t>
            </w:r>
          </w:p>
        </w:tc>
        <w:tc>
          <w:tcPr>
            <w:tcW w:w="2911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zCs w:val="21"/>
              </w:rPr>
              <w:t>项目监理单位</w:t>
            </w:r>
          </w:p>
        </w:tc>
        <w:tc>
          <w:tcPr>
            <w:tcW w:w="3473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Cs w:val="21"/>
              </w:rPr>
              <w:t>/</w:t>
            </w:r>
          </w:p>
        </w:tc>
      </w:tr>
    </w:tbl>
    <w:p>
      <w:pPr>
        <w:pStyle w:val="6"/>
        <w:adjustRightInd w:val="0"/>
        <w:snapToGrid w:val="0"/>
        <w:spacing w:line="360" w:lineRule="auto"/>
        <w:ind w:firstLine="562" w:firstLineChars="200"/>
        <w:jc w:val="center"/>
        <w:outlineLvl w:val="0"/>
        <w:rPr>
          <w:rFonts w:hint="eastAsia" w:hAnsi="宋体" w:cs="宋体"/>
          <w:b/>
          <w:color w:val="FF0000"/>
          <w:sz w:val="28"/>
          <w:szCs w:val="28"/>
        </w:rPr>
      </w:pPr>
    </w:p>
    <w:bookmarkEnd w:id="0"/>
    <w:p>
      <w:pPr>
        <w:pStyle w:val="6"/>
        <w:numPr>
          <w:ilvl w:val="0"/>
          <w:numId w:val="1"/>
        </w:numPr>
        <w:adjustRightInd w:val="0"/>
        <w:snapToGrid w:val="0"/>
        <w:spacing w:line="360" w:lineRule="auto"/>
        <w:ind w:firstLine="0"/>
        <w:outlineLvl w:val="0"/>
        <w:rPr>
          <w:rFonts w:hint="eastAsia" w:ascii="宋体" w:hAnsi="宋体" w:eastAsia="宋体" w:cs="宋体"/>
          <w:b/>
          <w:sz w:val="24"/>
        </w:rPr>
      </w:pPr>
      <w:r>
        <w:rPr>
          <w:rFonts w:hint="eastAsia" w:hAnsi="宋体" w:eastAsia="宋体" w:cs="宋体"/>
          <w:b/>
          <w:sz w:val="24"/>
        </w:rPr>
        <w:t>建设规模</w:t>
      </w:r>
    </w:p>
    <w:p>
      <w:pPr>
        <w:pStyle w:val="6"/>
        <w:spacing w:line="360" w:lineRule="auto"/>
        <w:ind w:firstLine="422" w:firstLineChars="200"/>
        <w:rPr>
          <w:rFonts w:hint="eastAsia" w:asciiTheme="minorEastAsia" w:hAnsi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</w:rPr>
        <w:t>1. 500千伏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幸福</w:t>
      </w:r>
      <w:r>
        <w:rPr>
          <w:rFonts w:hint="eastAsia" w:asciiTheme="minorEastAsia" w:hAnsiTheme="minorEastAsia" w:cstheme="minorEastAsia"/>
          <w:b/>
          <w:bCs/>
          <w:sz w:val="21"/>
          <w:szCs w:val="21"/>
        </w:rPr>
        <w:t xml:space="preserve">变电站新建工程 </w:t>
      </w:r>
    </w:p>
    <w:p>
      <w:pPr>
        <w:pStyle w:val="6"/>
        <w:spacing w:line="360" w:lineRule="auto"/>
        <w:ind w:firstLine="420" w:firstLineChars="200"/>
        <w:rPr>
          <w:rFonts w:hint="eastAsia" w:asciiTheme="minorEastAsia" w:hAnsiTheme="minorEastAsia" w:cstheme="minorEastAsia"/>
          <w:bCs/>
          <w:sz w:val="21"/>
          <w:szCs w:val="21"/>
        </w:rPr>
      </w:pPr>
      <w:r>
        <w:rPr>
          <w:rFonts w:hint="eastAsia" w:asciiTheme="minorEastAsia" w:hAnsiTheme="minorEastAsia" w:cstheme="minorEastAsia"/>
          <w:bCs/>
          <w:sz w:val="21"/>
          <w:szCs w:val="21"/>
        </w:rPr>
        <w:t>（1）主变压器：远期规模 4×1000MVA，本期规模 2×1000MVA。</w:t>
      </w:r>
    </w:p>
    <w:p>
      <w:pPr>
        <w:pStyle w:val="6"/>
        <w:spacing w:line="360" w:lineRule="auto"/>
        <w:ind w:firstLine="420" w:firstLineChars="200"/>
        <w:rPr>
          <w:rFonts w:hint="eastAsia" w:asciiTheme="minorEastAsia" w:hAnsiTheme="minorEastAsia" w:cstheme="minorEastAsia"/>
          <w:bCs/>
          <w:sz w:val="21"/>
          <w:szCs w:val="21"/>
        </w:rPr>
      </w:pPr>
      <w:r>
        <w:rPr>
          <w:rFonts w:hint="eastAsia" w:asciiTheme="minorEastAsia" w:hAnsiTheme="minorEastAsia" w:cstheme="minorEastAsia"/>
          <w:bCs/>
          <w:sz w:val="21"/>
          <w:szCs w:val="21"/>
        </w:rPr>
        <w:t>（2）500kV：最终出线</w:t>
      </w:r>
      <w:r>
        <w:rPr>
          <w:rFonts w:hint="eastAsia" w:asciiTheme="minorEastAsia" w:hAnsiTheme="minorEastAsia" w:cstheme="minorEastAsia"/>
          <w:bCs/>
          <w:sz w:val="21"/>
          <w:szCs w:val="21"/>
          <w:lang w:val="en-US" w:eastAsia="zh-CN"/>
        </w:rPr>
        <w:t>8</w:t>
      </w:r>
      <w:r>
        <w:rPr>
          <w:rFonts w:hint="eastAsia" w:asciiTheme="minorEastAsia" w:hAnsiTheme="minorEastAsia" w:cstheme="minorEastAsia"/>
          <w:bCs/>
          <w:sz w:val="21"/>
          <w:szCs w:val="21"/>
        </w:rPr>
        <w:t>回。本期出线2回</w:t>
      </w:r>
      <w:r>
        <w:rPr>
          <w:rFonts w:hint="eastAsia" w:asciiTheme="minorEastAsia" w:hAnsiTheme="minorEastAsia" w:cstheme="minorEastAsia"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cstheme="minorEastAsia"/>
          <w:bCs/>
          <w:sz w:val="21"/>
          <w:szCs w:val="21"/>
          <w:lang w:val="en-US" w:eastAsia="zh-CN"/>
        </w:rPr>
        <w:t>其中1回</w:t>
      </w:r>
      <w:r>
        <w:rPr>
          <w:rFonts w:hint="eastAsia" w:asciiTheme="minorEastAsia" w:hAnsiTheme="minorEastAsia" w:cstheme="minorEastAsia"/>
          <w:bCs/>
          <w:sz w:val="21"/>
          <w:szCs w:val="21"/>
        </w:rPr>
        <w:t>接入500kV</w:t>
      </w:r>
      <w:r>
        <w:rPr>
          <w:rFonts w:hint="eastAsia" w:asciiTheme="minorEastAsia" w:hAnsiTheme="minorEastAsia" w:cstheme="minorEastAsia"/>
          <w:bCs/>
          <w:sz w:val="21"/>
          <w:szCs w:val="21"/>
          <w:lang w:val="en-US" w:eastAsia="zh-CN"/>
        </w:rPr>
        <w:t>玉溪</w:t>
      </w:r>
      <w:r>
        <w:rPr>
          <w:rFonts w:hint="eastAsia" w:asciiTheme="minorEastAsia" w:hAnsiTheme="minorEastAsia" w:cstheme="minorEastAsia"/>
          <w:bCs/>
          <w:sz w:val="21"/>
          <w:szCs w:val="21"/>
        </w:rPr>
        <w:t>变，</w:t>
      </w:r>
      <w:r>
        <w:rPr>
          <w:rFonts w:hint="eastAsia" w:asciiTheme="minorEastAsia" w:hAnsiTheme="minorEastAsia" w:cstheme="minorEastAsia"/>
          <w:bCs/>
          <w:sz w:val="21"/>
          <w:szCs w:val="21"/>
          <w:lang w:val="en-US" w:eastAsia="zh-CN"/>
        </w:rPr>
        <w:t>1回接入大朝山水电站</w:t>
      </w:r>
      <w:r>
        <w:rPr>
          <w:rFonts w:hint="eastAsia" w:asciiTheme="minorEastAsia" w:hAnsiTheme="minorEastAsia" w:cstheme="minorEastAsia"/>
          <w:bCs/>
          <w:sz w:val="21"/>
          <w:szCs w:val="21"/>
        </w:rPr>
        <w:t>。备用出线</w:t>
      </w:r>
      <w:r>
        <w:rPr>
          <w:rFonts w:hint="eastAsia" w:asciiTheme="minorEastAsia" w:hAnsiTheme="minorEastAsia" w:cstheme="minorEastAsia"/>
          <w:bCs/>
          <w:sz w:val="21"/>
          <w:szCs w:val="21"/>
          <w:lang w:val="en-US" w:eastAsia="zh-CN"/>
        </w:rPr>
        <w:t>6</w:t>
      </w:r>
      <w:r>
        <w:rPr>
          <w:rFonts w:hint="eastAsia" w:asciiTheme="minorEastAsia" w:hAnsiTheme="minorEastAsia" w:cstheme="minorEastAsia"/>
          <w:bCs/>
          <w:sz w:val="21"/>
          <w:szCs w:val="21"/>
        </w:rPr>
        <w:t>回，备用出线方向分别为</w:t>
      </w:r>
      <w:r>
        <w:rPr>
          <w:rFonts w:hint="eastAsia" w:asciiTheme="minorEastAsia" w:hAnsiTheme="minorEastAsia" w:cstheme="minorEastAsia"/>
          <w:bCs/>
          <w:sz w:val="21"/>
          <w:szCs w:val="21"/>
          <w:lang w:val="en-US" w:eastAsia="zh-CN"/>
        </w:rPr>
        <w:t>西</w:t>
      </w:r>
      <w:r>
        <w:rPr>
          <w:rFonts w:hint="eastAsia" w:asciiTheme="minorEastAsia" w:hAnsiTheme="minorEastAsia" w:cstheme="minorEastAsia"/>
          <w:bCs/>
          <w:sz w:val="21"/>
          <w:szCs w:val="21"/>
        </w:rPr>
        <w:t>南方向2回、</w:t>
      </w:r>
      <w:r>
        <w:rPr>
          <w:rFonts w:hint="eastAsia" w:asciiTheme="minorEastAsia" w:hAnsiTheme="minorEastAsia" w:cstheme="minorEastAsia"/>
          <w:bCs/>
          <w:sz w:val="21"/>
          <w:szCs w:val="21"/>
          <w:lang w:val="en-US" w:eastAsia="zh-CN"/>
        </w:rPr>
        <w:t>东南方向</w:t>
      </w:r>
      <w:r>
        <w:rPr>
          <w:rFonts w:hint="eastAsia" w:asciiTheme="minorEastAsia" w:hAnsiTheme="minorEastAsia" w:cstheme="minorEastAsia"/>
          <w:bCs/>
          <w:sz w:val="21"/>
          <w:szCs w:val="21"/>
        </w:rPr>
        <w:t>方向1回、</w:t>
      </w:r>
      <w:r>
        <w:rPr>
          <w:rFonts w:hint="eastAsia" w:asciiTheme="minorEastAsia" w:hAnsiTheme="minorEastAsia" w:cstheme="minorEastAsia"/>
          <w:bCs/>
          <w:sz w:val="21"/>
          <w:szCs w:val="21"/>
          <w:lang w:val="en-US" w:eastAsia="zh-CN"/>
        </w:rPr>
        <w:t>玉溪变1</w:t>
      </w:r>
      <w:r>
        <w:rPr>
          <w:rFonts w:hint="eastAsia" w:asciiTheme="minorEastAsia" w:hAnsiTheme="minorEastAsia" w:cstheme="minorEastAsia"/>
          <w:bCs/>
          <w:sz w:val="21"/>
          <w:szCs w:val="21"/>
        </w:rPr>
        <w:t>回、</w:t>
      </w:r>
      <w:r>
        <w:rPr>
          <w:rFonts w:hint="eastAsia" w:asciiTheme="minorEastAsia" w:hAnsiTheme="minorEastAsia" w:cstheme="minorEastAsia"/>
          <w:bCs/>
          <w:sz w:val="21"/>
          <w:szCs w:val="21"/>
          <w:lang w:val="en-US" w:eastAsia="zh-CN"/>
        </w:rPr>
        <w:t>东方向2</w:t>
      </w:r>
      <w:r>
        <w:rPr>
          <w:rFonts w:hint="eastAsia" w:asciiTheme="minorEastAsia" w:hAnsiTheme="minorEastAsia" w:cstheme="minorEastAsia"/>
          <w:bCs/>
          <w:sz w:val="21"/>
          <w:szCs w:val="21"/>
        </w:rPr>
        <w:t>回。</w:t>
      </w:r>
    </w:p>
    <w:p>
      <w:pPr>
        <w:pStyle w:val="6"/>
        <w:spacing w:line="360" w:lineRule="auto"/>
        <w:ind w:firstLine="420" w:firstLineChars="200"/>
        <w:rPr>
          <w:rFonts w:hint="eastAsia" w:asciiTheme="minorEastAsia" w:hAnsiTheme="minorEastAsia" w:cstheme="minorEastAsia"/>
          <w:bCs/>
          <w:sz w:val="21"/>
          <w:szCs w:val="21"/>
        </w:rPr>
      </w:pPr>
      <w:r>
        <w:rPr>
          <w:rFonts w:hint="eastAsia" w:asciiTheme="minorEastAsia" w:hAnsiTheme="minorEastAsia" w:cstheme="minorEastAsia"/>
          <w:bCs/>
          <w:sz w:val="21"/>
          <w:szCs w:val="21"/>
        </w:rPr>
        <w:t>（3）220kV：</w:t>
      </w:r>
      <w:r>
        <w:rPr>
          <w:rFonts w:hint="eastAsia" w:asciiTheme="minorEastAsia" w:hAnsiTheme="minorEastAsia" w:cstheme="minorEastAsia"/>
          <w:bCs/>
          <w:sz w:val="21"/>
          <w:szCs w:val="21"/>
          <w:lang w:val="en-US" w:eastAsia="zh-CN"/>
        </w:rPr>
        <w:t>最终</w:t>
      </w:r>
      <w:r>
        <w:rPr>
          <w:rFonts w:hint="eastAsia" w:asciiTheme="minorEastAsia" w:hAnsiTheme="minorEastAsia" w:cstheme="minorEastAsia"/>
          <w:bCs/>
          <w:sz w:val="21"/>
          <w:szCs w:val="21"/>
        </w:rPr>
        <w:t>出线16回，本期出线</w:t>
      </w:r>
      <w:r>
        <w:rPr>
          <w:rFonts w:hint="eastAsia" w:asciiTheme="minorEastAsia" w:hAnsiTheme="minorEastAsia" w:cstheme="minorEastAsia"/>
          <w:bCs/>
          <w:sz w:val="21"/>
          <w:szCs w:val="21"/>
          <w:lang w:val="en-US" w:eastAsia="zh-CN"/>
        </w:rPr>
        <w:t>5</w:t>
      </w:r>
      <w:r>
        <w:rPr>
          <w:rFonts w:hint="eastAsia" w:asciiTheme="minorEastAsia" w:hAnsiTheme="minorEastAsia" w:cstheme="minorEastAsia"/>
          <w:bCs/>
          <w:sz w:val="21"/>
          <w:szCs w:val="21"/>
        </w:rPr>
        <w:t>回，其中</w:t>
      </w:r>
      <w:r>
        <w:rPr>
          <w:rFonts w:hint="eastAsia" w:asciiTheme="minorEastAsia" w:hAnsiTheme="minorEastAsia" w:cstheme="minorEastAsia"/>
          <w:bCs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cstheme="minorEastAsia"/>
          <w:bCs/>
          <w:sz w:val="21"/>
          <w:szCs w:val="21"/>
        </w:rPr>
        <w:t>回接入</w:t>
      </w:r>
      <w:r>
        <w:rPr>
          <w:rFonts w:hint="eastAsia" w:asciiTheme="minorEastAsia" w:hAnsiTheme="minorEastAsia" w:cstheme="minorEastAsia"/>
          <w:bCs/>
          <w:sz w:val="21"/>
          <w:szCs w:val="21"/>
          <w:lang w:val="en-US" w:eastAsia="zh-CN"/>
        </w:rPr>
        <w:t>临沧变</w:t>
      </w:r>
      <w:r>
        <w:rPr>
          <w:rFonts w:hint="eastAsia" w:asciiTheme="minorEastAsia" w:hAnsiTheme="minorEastAsia" w:cstheme="minorEastAsia"/>
          <w:bCs/>
          <w:sz w:val="21"/>
          <w:szCs w:val="21"/>
        </w:rPr>
        <w:t>，2回</w:t>
      </w:r>
      <w:r>
        <w:rPr>
          <w:rFonts w:hint="eastAsia" w:asciiTheme="minorEastAsia" w:hAnsiTheme="minorEastAsia" w:cstheme="minorEastAsia"/>
          <w:bCs/>
          <w:sz w:val="21"/>
          <w:szCs w:val="21"/>
          <w:lang w:val="en-US" w:eastAsia="zh-CN"/>
        </w:rPr>
        <w:t>接入新云变，1回接入爱华光伏，1回接入凤山变</w:t>
      </w:r>
      <w:r>
        <w:rPr>
          <w:rFonts w:hint="eastAsia" w:asciiTheme="minorEastAsia" w:hAnsiTheme="minorEastAsia" w:cstheme="minorEastAsia"/>
          <w:bCs/>
          <w:sz w:val="21"/>
          <w:szCs w:val="21"/>
        </w:rPr>
        <w:t>。</w:t>
      </w:r>
      <w:r>
        <w:rPr>
          <w:rFonts w:hint="eastAsia" w:asciiTheme="minorEastAsia" w:hAnsiTheme="minorEastAsia" w:cstheme="minorEastAsia"/>
          <w:bCs/>
          <w:sz w:val="21"/>
          <w:szCs w:val="21"/>
          <w:lang w:val="en-US" w:eastAsia="zh-CN"/>
        </w:rPr>
        <w:t>备用出线11回</w:t>
      </w:r>
      <w:r>
        <w:rPr>
          <w:rFonts w:hint="eastAsia" w:asciiTheme="minorEastAsia" w:hAnsiTheme="minorEastAsia" w:cstheme="minorEastAsia"/>
          <w:bCs/>
          <w:sz w:val="21"/>
          <w:szCs w:val="21"/>
        </w:rPr>
        <w:t>。</w:t>
      </w:r>
    </w:p>
    <w:p>
      <w:pPr>
        <w:pStyle w:val="6"/>
        <w:spacing w:line="360" w:lineRule="auto"/>
        <w:ind w:firstLine="420" w:firstLineChars="200"/>
        <w:rPr>
          <w:rFonts w:hint="eastAsia" w:asciiTheme="minorEastAsia" w:hAnsiTheme="minorEastAsia" w:cstheme="minorEastAsia"/>
          <w:bCs/>
          <w:sz w:val="21"/>
          <w:szCs w:val="21"/>
        </w:rPr>
      </w:pPr>
      <w:r>
        <w:rPr>
          <w:rFonts w:hint="eastAsia" w:asciiTheme="minorEastAsia" w:hAnsiTheme="minorEastAsia" w:cstheme="minorEastAsia"/>
          <w:bCs/>
          <w:sz w:val="21"/>
          <w:szCs w:val="21"/>
        </w:rPr>
        <w:t>（4）低压无功：</w:t>
      </w:r>
      <w:r>
        <w:rPr>
          <w:rFonts w:hint="eastAsia" w:asciiTheme="minorEastAsia" w:hAnsiTheme="minorEastAsia" w:cstheme="minorEastAsia"/>
          <w:bCs/>
          <w:sz w:val="21"/>
          <w:szCs w:val="21"/>
          <w:lang w:val="en-US" w:eastAsia="zh-CN"/>
        </w:rPr>
        <w:t>本期</w:t>
      </w:r>
      <w:r>
        <w:rPr>
          <w:rFonts w:hint="default" w:asciiTheme="minorEastAsia" w:hAnsiTheme="minorEastAsia" w:cstheme="minorEastAsia"/>
          <w:bCs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cstheme="minorEastAsia"/>
          <w:bCs/>
          <w:sz w:val="21"/>
          <w:szCs w:val="21"/>
          <w:lang w:val="en-US" w:eastAsia="zh-CN"/>
        </w:rPr>
        <w:t>台主变低压侧各装设</w:t>
      </w:r>
      <w:r>
        <w:rPr>
          <w:rFonts w:hint="default" w:asciiTheme="minorEastAsia" w:hAnsiTheme="minorEastAsia" w:cstheme="minorEastAsia"/>
          <w:bCs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cstheme="minorEastAsia"/>
          <w:bCs/>
          <w:sz w:val="21"/>
          <w:szCs w:val="21"/>
          <w:lang w:val="en-US" w:eastAsia="zh-CN"/>
        </w:rPr>
        <w:t>组</w:t>
      </w:r>
      <w:r>
        <w:rPr>
          <w:rFonts w:hint="default" w:asciiTheme="minorEastAsia" w:hAnsiTheme="minorEastAsia" w:cstheme="minorEastAsia"/>
          <w:bCs/>
          <w:sz w:val="21"/>
          <w:szCs w:val="21"/>
          <w:lang w:val="en-US" w:eastAsia="zh-CN"/>
        </w:rPr>
        <w:t>60Mvar</w:t>
      </w:r>
      <w:r>
        <w:rPr>
          <w:rFonts w:hint="eastAsia" w:asciiTheme="minorEastAsia" w:hAnsiTheme="minorEastAsia" w:cstheme="minorEastAsia"/>
          <w:bCs/>
          <w:sz w:val="21"/>
          <w:szCs w:val="21"/>
          <w:lang w:val="en-US" w:eastAsia="zh-CN"/>
        </w:rPr>
        <w:t>低压电容器和</w:t>
      </w:r>
      <w:r>
        <w:rPr>
          <w:rFonts w:hint="default" w:asciiTheme="minorEastAsia" w:hAnsiTheme="minorEastAsia" w:cstheme="minorEastAsia"/>
          <w:bCs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cstheme="minorEastAsia"/>
          <w:bCs/>
          <w:sz w:val="21"/>
          <w:szCs w:val="21"/>
          <w:lang w:val="en-US" w:eastAsia="zh-CN"/>
        </w:rPr>
        <w:t>组</w:t>
      </w:r>
      <w:r>
        <w:rPr>
          <w:rFonts w:hint="default" w:asciiTheme="minorEastAsia" w:hAnsiTheme="minorEastAsia" w:cstheme="minorEastAsia"/>
          <w:bCs/>
          <w:sz w:val="21"/>
          <w:szCs w:val="21"/>
          <w:lang w:val="en-US" w:eastAsia="zh-CN"/>
        </w:rPr>
        <w:t>60MVar</w:t>
      </w:r>
      <w:r>
        <w:rPr>
          <w:rFonts w:hint="eastAsia" w:asciiTheme="minorEastAsia" w:hAnsiTheme="minorEastAsia" w:cstheme="minorEastAsia"/>
          <w:bCs/>
          <w:sz w:val="21"/>
          <w:szCs w:val="21"/>
          <w:lang w:val="en-US" w:eastAsia="zh-CN"/>
        </w:rPr>
        <w:t>低压电抗器、各预留</w:t>
      </w:r>
      <w:r>
        <w:rPr>
          <w:rFonts w:hint="default" w:asciiTheme="minorEastAsia" w:hAnsiTheme="minorEastAsia" w:cstheme="minorEastAsia"/>
          <w:bCs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cstheme="minorEastAsia"/>
          <w:bCs/>
          <w:sz w:val="21"/>
          <w:szCs w:val="21"/>
          <w:lang w:val="en-US" w:eastAsia="zh-CN"/>
        </w:rPr>
        <w:t xml:space="preserve">组 </w:t>
      </w:r>
      <w:r>
        <w:rPr>
          <w:rFonts w:hint="default" w:asciiTheme="minorEastAsia" w:hAnsiTheme="minorEastAsia" w:cstheme="minorEastAsia"/>
          <w:bCs/>
          <w:sz w:val="21"/>
          <w:szCs w:val="21"/>
          <w:lang w:val="en-US" w:eastAsia="zh-CN"/>
        </w:rPr>
        <w:t>60MVar</w:t>
      </w:r>
      <w:r>
        <w:rPr>
          <w:rFonts w:hint="eastAsia" w:asciiTheme="minorEastAsia" w:hAnsiTheme="minorEastAsia" w:cstheme="minorEastAsia"/>
          <w:bCs/>
          <w:sz w:val="21"/>
          <w:szCs w:val="21"/>
          <w:lang w:val="en-US" w:eastAsia="zh-CN"/>
        </w:rPr>
        <w:t>低压电抗器和</w:t>
      </w:r>
      <w:r>
        <w:rPr>
          <w:rFonts w:hint="default" w:asciiTheme="minorEastAsia" w:hAnsiTheme="minorEastAsia" w:cstheme="minorEastAsia"/>
          <w:bCs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cstheme="minorEastAsia"/>
          <w:bCs/>
          <w:sz w:val="21"/>
          <w:szCs w:val="21"/>
          <w:lang w:val="en-US" w:eastAsia="zh-CN"/>
        </w:rPr>
        <w:t>组</w:t>
      </w:r>
      <w:r>
        <w:rPr>
          <w:rFonts w:hint="default" w:asciiTheme="minorEastAsia" w:hAnsiTheme="minorEastAsia" w:cstheme="minorEastAsia"/>
          <w:bCs/>
          <w:sz w:val="21"/>
          <w:szCs w:val="21"/>
          <w:lang w:val="en-US" w:eastAsia="zh-CN"/>
        </w:rPr>
        <w:t>60MVar SVG</w:t>
      </w:r>
      <w:r>
        <w:rPr>
          <w:rFonts w:hint="eastAsia" w:asciiTheme="minorEastAsia" w:hAnsiTheme="minorEastAsia" w:cstheme="minorEastAsia"/>
          <w:bCs/>
          <w:sz w:val="21"/>
          <w:szCs w:val="21"/>
          <w:lang w:val="en-US" w:eastAsia="zh-CN"/>
        </w:rPr>
        <w:t>场地；其余</w:t>
      </w:r>
      <w:r>
        <w:rPr>
          <w:rFonts w:hint="default" w:asciiTheme="minorEastAsia" w:hAnsiTheme="minorEastAsia" w:cstheme="minorEastAsia"/>
          <w:bCs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cstheme="minorEastAsia"/>
          <w:bCs/>
          <w:sz w:val="21"/>
          <w:szCs w:val="21"/>
          <w:lang w:val="en-US" w:eastAsia="zh-CN"/>
        </w:rPr>
        <w:t>台备用主变低压侧各预留</w:t>
      </w:r>
      <w:r>
        <w:rPr>
          <w:rFonts w:hint="default" w:asciiTheme="minorEastAsia" w:hAnsiTheme="minorEastAsia" w:cstheme="minorEastAsia"/>
          <w:bCs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cstheme="minorEastAsia"/>
          <w:bCs/>
          <w:sz w:val="21"/>
          <w:szCs w:val="21"/>
          <w:lang w:val="en-US" w:eastAsia="zh-CN"/>
        </w:rPr>
        <w:t>组</w:t>
      </w:r>
      <w:r>
        <w:rPr>
          <w:rFonts w:hint="default" w:asciiTheme="minorEastAsia" w:hAnsiTheme="minorEastAsia" w:cstheme="minorEastAsia"/>
          <w:bCs/>
          <w:sz w:val="21"/>
          <w:szCs w:val="21"/>
          <w:lang w:val="en-US" w:eastAsia="zh-CN"/>
        </w:rPr>
        <w:t>60MVar</w:t>
      </w:r>
      <w:r>
        <w:rPr>
          <w:rFonts w:hint="eastAsia" w:asciiTheme="minorEastAsia" w:hAnsiTheme="minorEastAsia" w:cstheme="minorEastAsia"/>
          <w:bCs/>
          <w:sz w:val="21"/>
          <w:szCs w:val="21"/>
          <w:lang w:val="en-US" w:eastAsia="zh-CN"/>
        </w:rPr>
        <w:t>低压电容器和</w:t>
      </w:r>
      <w:r>
        <w:rPr>
          <w:rFonts w:hint="default" w:asciiTheme="minorEastAsia" w:hAnsiTheme="minorEastAsia" w:cstheme="minorEastAsia"/>
          <w:bCs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cstheme="minorEastAsia"/>
          <w:bCs/>
          <w:sz w:val="21"/>
          <w:szCs w:val="21"/>
          <w:lang w:val="en-US" w:eastAsia="zh-CN"/>
        </w:rPr>
        <w:t>组</w:t>
      </w:r>
      <w:r>
        <w:rPr>
          <w:rFonts w:hint="default" w:asciiTheme="minorEastAsia" w:hAnsiTheme="minorEastAsia" w:cstheme="minorEastAsia"/>
          <w:bCs/>
          <w:sz w:val="21"/>
          <w:szCs w:val="21"/>
          <w:lang w:val="en-US" w:eastAsia="zh-CN"/>
        </w:rPr>
        <w:t>60MVar</w:t>
      </w:r>
      <w:r>
        <w:rPr>
          <w:rFonts w:hint="eastAsia" w:asciiTheme="minorEastAsia" w:hAnsiTheme="minorEastAsia" w:cstheme="minorEastAsia"/>
          <w:bCs/>
          <w:sz w:val="21"/>
          <w:szCs w:val="21"/>
          <w:lang w:val="en-US" w:eastAsia="zh-CN"/>
        </w:rPr>
        <w:t>低压电抗器场地。</w:t>
      </w:r>
    </w:p>
    <w:p>
      <w:pPr>
        <w:pStyle w:val="6"/>
        <w:spacing w:line="360" w:lineRule="auto"/>
        <w:ind w:firstLine="420" w:firstLineChars="200"/>
        <w:rPr>
          <w:rFonts w:hint="eastAsia" w:asciiTheme="minorEastAsia" w:hAnsiTheme="minorEastAsia" w:cstheme="minorEastAsia"/>
          <w:bCs/>
          <w:sz w:val="21"/>
          <w:szCs w:val="21"/>
        </w:rPr>
      </w:pPr>
      <w:r>
        <w:rPr>
          <w:rFonts w:hint="eastAsia" w:asciiTheme="minorEastAsia" w:hAnsiTheme="minorEastAsia" w:cstheme="minorEastAsia"/>
          <w:bCs/>
          <w:sz w:val="21"/>
          <w:szCs w:val="21"/>
        </w:rPr>
        <w:t>（5）线路高抗：</w:t>
      </w:r>
      <w:r>
        <w:rPr>
          <w:rFonts w:hint="eastAsia" w:asciiTheme="minorEastAsia" w:hAnsiTheme="minorEastAsia" w:cstheme="minorEastAsia"/>
          <w:bCs/>
          <w:sz w:val="21"/>
          <w:szCs w:val="21"/>
          <w:lang w:val="en-US" w:eastAsia="zh-CN"/>
        </w:rPr>
        <w:t>本期至玉溪变</w:t>
      </w:r>
      <w:r>
        <w:rPr>
          <w:rFonts w:hint="default" w:asciiTheme="minorEastAsia" w:hAnsiTheme="minorEastAsia" w:cstheme="minorEastAsia"/>
          <w:bCs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cstheme="minorEastAsia"/>
          <w:bCs/>
          <w:sz w:val="21"/>
          <w:szCs w:val="21"/>
          <w:lang w:val="en-US" w:eastAsia="zh-CN"/>
        </w:rPr>
        <w:t>回线路装设</w:t>
      </w:r>
      <w:r>
        <w:rPr>
          <w:rFonts w:hint="default" w:asciiTheme="minorEastAsia" w:hAnsiTheme="minorEastAsia" w:cstheme="minorEastAsia"/>
          <w:bCs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cstheme="minorEastAsia"/>
          <w:bCs/>
          <w:sz w:val="21"/>
          <w:szCs w:val="21"/>
          <w:lang w:val="en-US" w:eastAsia="zh-CN"/>
        </w:rPr>
        <w:t>组120Mvar高抗，规划西南方向</w:t>
      </w:r>
      <w:r>
        <w:rPr>
          <w:rFonts w:hint="default" w:asciiTheme="minorEastAsia" w:hAnsiTheme="minorEastAsia" w:cstheme="minorEastAsia"/>
          <w:bCs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cstheme="minorEastAsia"/>
          <w:bCs/>
          <w:sz w:val="21"/>
          <w:szCs w:val="21"/>
          <w:lang w:val="en-US" w:eastAsia="zh-CN"/>
        </w:rPr>
        <w:t>回、玉溪</w:t>
      </w:r>
      <w:r>
        <w:rPr>
          <w:rFonts w:hint="default" w:asciiTheme="minorEastAsia" w:hAnsiTheme="minorEastAsia" w:cstheme="minorEastAsia"/>
          <w:bCs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cstheme="minorEastAsia"/>
          <w:bCs/>
          <w:sz w:val="21"/>
          <w:szCs w:val="21"/>
          <w:lang w:val="en-US" w:eastAsia="zh-CN"/>
        </w:rPr>
        <w:t>回、预留东方向</w:t>
      </w:r>
      <w:r>
        <w:rPr>
          <w:rFonts w:hint="default" w:asciiTheme="minorEastAsia" w:hAnsiTheme="minorEastAsia" w:cstheme="minorEastAsia"/>
          <w:bCs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cstheme="minorEastAsia"/>
          <w:bCs/>
          <w:sz w:val="21"/>
          <w:szCs w:val="21"/>
          <w:lang w:val="en-US" w:eastAsia="zh-CN"/>
        </w:rPr>
        <w:t>回出线上预留装设高抗的位置，其他间隔无高抗。</w:t>
      </w:r>
    </w:p>
    <w:p>
      <w:pPr>
        <w:pStyle w:val="6"/>
        <w:spacing w:line="360" w:lineRule="auto"/>
        <w:ind w:firstLine="422" w:firstLineChars="200"/>
        <w:rPr>
          <w:rFonts w:hint="eastAsia" w:asciiTheme="minorEastAsia" w:hAnsi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</w:rPr>
        <w:t>2.500千伏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玉溪</w:t>
      </w:r>
      <w:r>
        <w:rPr>
          <w:rFonts w:hint="eastAsia" w:asciiTheme="minorEastAsia" w:hAnsiTheme="minorEastAsia" w:cstheme="minorEastAsia"/>
          <w:b/>
          <w:bCs/>
          <w:sz w:val="21"/>
          <w:szCs w:val="21"/>
        </w:rPr>
        <w:t>变间隔扩建工程</w:t>
      </w:r>
    </w:p>
    <w:p>
      <w:pPr>
        <w:pStyle w:val="6"/>
        <w:spacing w:line="360" w:lineRule="auto"/>
        <w:ind w:firstLine="420" w:firstLineChars="200"/>
        <w:rPr>
          <w:rFonts w:hint="eastAsia" w:asciiTheme="minorEastAsia" w:hAnsiTheme="minorEastAsia" w:cstheme="minorEastAsia"/>
          <w:bCs/>
          <w:sz w:val="21"/>
          <w:szCs w:val="21"/>
        </w:rPr>
      </w:pPr>
      <w:r>
        <w:rPr>
          <w:rFonts w:hint="eastAsia" w:asciiTheme="minorEastAsia" w:hAnsiTheme="minorEastAsia" w:cstheme="minorEastAsia"/>
          <w:bCs/>
          <w:sz w:val="21"/>
          <w:szCs w:val="21"/>
          <w:lang w:val="en-US" w:eastAsia="zh-CN"/>
        </w:rPr>
        <w:t>本工程在500kV玉溪变西侧围墙外扩建2个完整串场地，将玉溪变</w:t>
      </w:r>
      <w:r>
        <w:rPr>
          <w:rFonts w:hint="default" w:asciiTheme="minorEastAsia" w:hAnsiTheme="minorEastAsia" w:cstheme="minorEastAsia"/>
          <w:bCs/>
          <w:sz w:val="21"/>
          <w:szCs w:val="21"/>
          <w:lang w:val="en-US" w:eastAsia="zh-CN"/>
        </w:rPr>
        <w:t>500kV</w:t>
      </w:r>
      <w:r>
        <w:rPr>
          <w:rFonts w:hint="eastAsia" w:asciiTheme="minorEastAsia" w:hAnsiTheme="minorEastAsia" w:cstheme="minorEastAsia"/>
          <w:bCs/>
          <w:sz w:val="21"/>
          <w:szCs w:val="21"/>
          <w:lang w:val="en-US" w:eastAsia="zh-CN"/>
        </w:rPr>
        <w:t>远期规模由</w:t>
      </w:r>
      <w:r>
        <w:rPr>
          <w:rFonts w:hint="default" w:asciiTheme="minorEastAsia" w:hAnsiTheme="minorEastAsia" w:cstheme="minorEastAsia"/>
          <w:bCs/>
          <w:sz w:val="21"/>
          <w:szCs w:val="21"/>
          <w:lang w:val="en-US" w:eastAsia="zh-CN"/>
        </w:rPr>
        <w:t>5</w:t>
      </w:r>
      <w:r>
        <w:rPr>
          <w:rFonts w:hint="eastAsia" w:asciiTheme="minorEastAsia" w:hAnsiTheme="minorEastAsia" w:cstheme="minorEastAsia"/>
          <w:bCs/>
          <w:sz w:val="21"/>
          <w:szCs w:val="21"/>
          <w:lang w:val="en-US" w:eastAsia="zh-CN"/>
        </w:rPr>
        <w:t>线</w:t>
      </w:r>
      <w:r>
        <w:rPr>
          <w:rFonts w:hint="default" w:asciiTheme="minorEastAsia" w:hAnsiTheme="minorEastAsia" w:cstheme="minorEastAsia"/>
          <w:bCs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cstheme="minorEastAsia"/>
          <w:bCs/>
          <w:sz w:val="21"/>
          <w:szCs w:val="21"/>
          <w:lang w:val="en-US" w:eastAsia="zh-CN"/>
        </w:rPr>
        <w:t>变调整为</w:t>
      </w:r>
      <w:r>
        <w:rPr>
          <w:rFonts w:hint="default" w:asciiTheme="minorEastAsia" w:hAnsiTheme="minorEastAsia" w:cstheme="minorEastAsia"/>
          <w:bCs/>
          <w:sz w:val="21"/>
          <w:szCs w:val="21"/>
          <w:lang w:val="en-US" w:eastAsia="zh-CN"/>
        </w:rPr>
        <w:t>9</w:t>
      </w:r>
      <w:r>
        <w:rPr>
          <w:rFonts w:hint="eastAsia" w:asciiTheme="minorEastAsia" w:hAnsiTheme="minorEastAsia" w:cstheme="minorEastAsia"/>
          <w:bCs/>
          <w:sz w:val="21"/>
          <w:szCs w:val="21"/>
          <w:lang w:val="en-US" w:eastAsia="zh-CN"/>
        </w:rPr>
        <w:t>线</w:t>
      </w:r>
      <w:r>
        <w:rPr>
          <w:rFonts w:hint="default" w:asciiTheme="minorEastAsia" w:hAnsiTheme="minorEastAsia" w:cstheme="minorEastAsia"/>
          <w:bCs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cstheme="minorEastAsia"/>
          <w:bCs/>
          <w:sz w:val="21"/>
          <w:szCs w:val="21"/>
          <w:lang w:val="en-US" w:eastAsia="zh-CN"/>
        </w:rPr>
        <w:t>变。本期扩建</w:t>
      </w:r>
      <w:r>
        <w:rPr>
          <w:rFonts w:hint="default" w:asciiTheme="minorEastAsia" w:hAnsiTheme="minorEastAsia" w:cstheme="minorEastAsia"/>
          <w:bCs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cstheme="minorEastAsia"/>
          <w:bCs/>
          <w:sz w:val="21"/>
          <w:szCs w:val="21"/>
          <w:lang w:val="en-US" w:eastAsia="zh-CN"/>
        </w:rPr>
        <w:t>回</w:t>
      </w:r>
      <w:r>
        <w:rPr>
          <w:rFonts w:hint="default" w:asciiTheme="minorEastAsia" w:hAnsiTheme="minorEastAsia" w:cstheme="minorEastAsia"/>
          <w:bCs/>
          <w:sz w:val="21"/>
          <w:szCs w:val="21"/>
          <w:lang w:val="en-US" w:eastAsia="zh-CN"/>
        </w:rPr>
        <w:t>500kV</w:t>
      </w:r>
      <w:r>
        <w:rPr>
          <w:rFonts w:hint="eastAsia" w:asciiTheme="minorEastAsia" w:hAnsiTheme="minorEastAsia" w:cstheme="minorEastAsia"/>
          <w:bCs/>
          <w:sz w:val="21"/>
          <w:szCs w:val="21"/>
          <w:lang w:val="en-US" w:eastAsia="zh-CN"/>
        </w:rPr>
        <w:t>出线至幸福变，</w:t>
      </w:r>
      <w:r>
        <w:rPr>
          <w:rFonts w:hint="eastAsia" w:asciiTheme="minorEastAsia" w:hAnsiTheme="minorEastAsia" w:cstheme="minorEastAsia"/>
          <w:bCs/>
          <w:sz w:val="21"/>
          <w:szCs w:val="21"/>
        </w:rPr>
        <w:t>500kV 电气设备额定电流按5000A、额定短路开断电流水平按63kA选择。</w:t>
      </w:r>
    </w:p>
    <w:p>
      <w:pPr>
        <w:pStyle w:val="6"/>
        <w:numPr>
          <w:ilvl w:val="0"/>
          <w:numId w:val="1"/>
        </w:numPr>
        <w:adjustRightInd w:val="0"/>
        <w:snapToGrid w:val="0"/>
        <w:spacing w:line="360" w:lineRule="auto"/>
        <w:ind w:firstLine="0"/>
        <w:outlineLvl w:val="0"/>
        <w:rPr>
          <w:rFonts w:hint="eastAsia" w:ascii="宋体" w:hAnsi="宋体" w:eastAsia="宋体" w:cs="宋体"/>
          <w:b/>
          <w:sz w:val="24"/>
          <w:shd w:val="clear" w:color="auto" w:fill="FFFFFF"/>
        </w:rPr>
      </w:pPr>
      <w:r>
        <w:rPr>
          <w:rFonts w:hint="eastAsia" w:ascii="宋体" w:hAnsi="宋体" w:eastAsia="宋体" w:cs="宋体"/>
          <w:b/>
          <w:sz w:val="24"/>
          <w:shd w:val="clear" w:color="auto" w:fill="FFFFFF"/>
        </w:rPr>
        <w:t>采购范围</w:t>
      </w:r>
      <w:bookmarkStart w:id="1" w:name="施工招标范围综合"/>
      <w:r>
        <w:rPr>
          <w:rFonts w:hint="eastAsia" w:hAnsi="宋体" w:eastAsia="宋体" w:cs="宋体"/>
          <w:b/>
          <w:sz w:val="24"/>
          <w:shd w:val="clear" w:color="auto" w:fill="FFFFFF"/>
        </w:rPr>
        <w:t xml:space="preserve"> </w:t>
      </w:r>
    </w:p>
    <w:bookmarkEnd w:id="1"/>
    <w:p>
      <w:pPr>
        <w:spacing w:line="400" w:lineRule="exact"/>
        <w:ind w:firstLine="420" w:firstLineChars="200"/>
        <w:rPr>
          <w:rFonts w:hint="eastAsia" w:ascii="宋体" w:hAnsi="宋体" w:eastAsia="宋体" w:cs="宋体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kern w:val="0"/>
          <w:szCs w:val="21"/>
          <w:shd w:val="clear" w:color="auto" w:fill="FFFFFF"/>
        </w:rPr>
        <w:t>（一）施工图纸范围内的场平、土建、变电建筑、安装、通信（包括配套光设备工程安装及调试）及调试工程：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kern w:val="0"/>
          <w:szCs w:val="21"/>
          <w:shd w:val="clear" w:color="auto" w:fill="FFFFFF"/>
        </w:rPr>
        <w:t>1、调试工程不含计量用互感器的误差试验、电能表校验。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kern w:val="0"/>
          <w:szCs w:val="21"/>
          <w:shd w:val="clear" w:color="auto" w:fill="FFFFFF"/>
        </w:rPr>
        <w:t>2、不含桩基检测、安健环设施标准化费用、视觉识别系统、电力设施保护区标牌设置。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kern w:val="0"/>
          <w:szCs w:val="21"/>
          <w:shd w:val="clear" w:color="auto" w:fill="FFFFFF"/>
        </w:rPr>
        <w:t>3、新建变电站或扩建变电站需征地的，征地范围内的原附着物的赔偿（包括土地、房屋、青苗、林木、迁坟、其他构建筑物的赔偿）由招标人负责，征地范围内的原附着物的拆除清理（包括房屋、青苗林木、其他构建筑物的拆除清理等）以及临时占地恢复（临时设施拆除后进行土地整治、植被恢复工作直至验收合格）由投标人负责。征地范围外的原附着物的赔偿（若涉及土地、房屋、青苗、林木、迁坟、其他构建筑物的赔偿）由招标人负责，征地范围外的原附着物的拆除清理（若涉及房屋、青苗林木、其他构建筑物的拆除清理等）以及临时占地恢复（临时设施拆除后进行土地整治、植被恢复工作直至验收合格）由投标人负责。</w:t>
      </w:r>
    </w:p>
    <w:p>
      <w:pPr>
        <w:spacing w:line="400" w:lineRule="exact"/>
        <w:ind w:firstLine="420" w:firstLineChars="200"/>
        <w:rPr>
          <w:rFonts w:hint="eastAsia" w:ascii="宋体" w:hAnsi="宋体" w:cs="宋体"/>
          <w:b/>
          <w:bCs/>
          <w:snapToGrid w:val="0"/>
          <w:kern w:val="0"/>
          <w:szCs w:val="21"/>
          <w:highlight w:val="yellow"/>
        </w:rPr>
      </w:pPr>
      <w:r>
        <w:rPr>
          <w:rFonts w:hint="eastAsia" w:ascii="宋体" w:hAnsi="宋体" w:eastAsia="宋体" w:cs="宋体"/>
          <w:kern w:val="0"/>
          <w:szCs w:val="21"/>
          <w:shd w:val="clear" w:color="auto" w:fill="FFFFFF"/>
        </w:rPr>
        <w:t>4、变电站二期扩建工程及扩建间隔工程不征地，但需要拆除部分基础或设备的，其拆除及运输（废旧物资运输至建设单位指定地点）工作由投标人负责。</w:t>
      </w:r>
    </w:p>
    <w:p>
      <w:pPr>
        <w:autoSpaceDE w:val="0"/>
        <w:autoSpaceDN w:val="0"/>
        <w:adjustRightInd w:val="0"/>
        <w:spacing w:line="360" w:lineRule="auto"/>
        <w:ind w:firstLine="422" w:firstLineChars="200"/>
        <w:jc w:val="left"/>
        <w:rPr>
          <w:rFonts w:hint="eastAsia" w:ascii="宋体" w:hAnsi="宋体" w:cs="宋体"/>
          <w:b/>
          <w:bCs/>
          <w:snapToGrid w:val="0"/>
          <w:color w:val="FF0000"/>
          <w:kern w:val="0"/>
          <w:szCs w:val="21"/>
        </w:rPr>
      </w:pPr>
      <w:r>
        <w:rPr>
          <w:rFonts w:hint="eastAsia" w:ascii="宋体" w:hAnsi="宋体" w:cs="宋体"/>
          <w:b/>
          <w:bCs/>
          <w:snapToGrid w:val="0"/>
          <w:kern w:val="0"/>
          <w:szCs w:val="21"/>
        </w:rPr>
        <w:t>特殊调试清单：见附件。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kern w:val="0"/>
          <w:szCs w:val="21"/>
          <w:shd w:val="clear" w:color="auto" w:fill="FFFFFF"/>
        </w:rPr>
        <w:t>（二）建筑工程、安装工程部分具体要求如下：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kern w:val="0"/>
          <w:szCs w:val="21"/>
          <w:shd w:val="clear" w:color="auto" w:fill="FFFFFF"/>
        </w:rPr>
        <w:t>1、建筑工程：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kern w:val="0"/>
          <w:szCs w:val="21"/>
          <w:shd w:val="clear" w:color="auto" w:fill="FFFFFF"/>
        </w:rPr>
        <w:t>（1）建筑工程设备除空调、通风机、消防器材由投标人自行采购外，其余如消防设备、管道、阀门、消火栓及供水设备等均由招标人供应。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kern w:val="0"/>
          <w:szCs w:val="21"/>
          <w:shd w:val="clear" w:color="auto" w:fill="FFFFFF"/>
        </w:rPr>
        <w:t>（2）对采用钢管构支架的，避雷针、站内出线铁塔、爬梯、节点等钢结构均由招标人供应，其余材料均由投标人自行采购；对采用混凝土环形管构支架，避雷针、站内出线铁塔、爬梯、节点等材料均由投标人自行采购。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kern w:val="0"/>
          <w:szCs w:val="21"/>
          <w:shd w:val="clear" w:color="auto" w:fill="FFFFFF"/>
        </w:rPr>
        <w:t>（3）变电站标准件（户外检修电源箱、户外动力箱、户外端子箱）由招标人采购，变电站照明配电箱、户内动力配电箱、户内检修电源箱、电缆支架、电缆桥架、门类、窗类、混凝土盖板、复合盖板</w:t>
      </w:r>
      <w:r>
        <w:rPr>
          <w:rFonts w:hint="eastAsia" w:ascii="宋体" w:hAnsi="宋体" w:eastAsia="宋体" w:cs="宋体"/>
          <w:kern w:val="0"/>
          <w:szCs w:val="21"/>
          <w:shd w:val="clear" w:color="auto" w:fill="FFFFFF"/>
          <w:lang w:eastAsia="zh-CN"/>
        </w:rPr>
        <w:t>、</w:t>
      </w:r>
      <w:r>
        <w:rPr>
          <w:rFonts w:hint="eastAsia" w:ascii="宋体" w:hAnsi="宋体" w:eastAsia="宋体" w:cs="宋体"/>
          <w:kern w:val="0"/>
          <w:szCs w:val="21"/>
          <w:shd w:val="clear" w:color="auto" w:fill="FFFFFF"/>
          <w:lang w:val="en-US" w:eastAsia="zh-CN"/>
        </w:rPr>
        <w:t>防火墙、围墙本体由投标人供应。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kern w:val="0"/>
          <w:szCs w:val="21"/>
          <w:shd w:val="clear" w:color="auto" w:fill="FFFFFF"/>
          <w:lang w:val="en-US" w:eastAsia="zh-CN"/>
        </w:rPr>
        <w:t>（4）围墙顶部隔声屏障及配件，由招标人供应。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kern w:val="0"/>
          <w:szCs w:val="21"/>
          <w:shd w:val="clear" w:color="auto" w:fill="FFFFFF"/>
        </w:rPr>
        <w:t>（</w:t>
      </w:r>
      <w:r>
        <w:rPr>
          <w:rFonts w:hint="eastAsia" w:ascii="宋体" w:hAnsi="宋体" w:eastAsia="宋体" w:cs="宋体"/>
          <w:kern w:val="0"/>
          <w:szCs w:val="21"/>
          <w:shd w:val="clear" w:color="auto" w:fill="FFFFFF"/>
          <w:lang w:val="en-US" w:eastAsia="zh-CN"/>
        </w:rPr>
        <w:t>5</w:t>
      </w:r>
      <w:r>
        <w:rPr>
          <w:rFonts w:hint="eastAsia" w:ascii="宋体" w:hAnsi="宋体" w:eastAsia="宋体" w:cs="宋体"/>
          <w:kern w:val="0"/>
          <w:szCs w:val="21"/>
          <w:shd w:val="clear" w:color="auto" w:fill="FFFFFF"/>
        </w:rPr>
        <w:t>）站内打井、施工电源、永久外引电源（永久外引电源除甲供设备及材料外）工作由投标人负责。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kern w:val="0"/>
          <w:szCs w:val="21"/>
          <w:shd w:val="clear" w:color="auto" w:fill="FFFFFF"/>
        </w:rPr>
        <w:t>2、安装工程：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kern w:val="0"/>
          <w:szCs w:val="21"/>
          <w:shd w:val="clear" w:color="auto" w:fill="FFFFFF"/>
        </w:rPr>
        <w:t>（1）所有设备（含通信设备）及随设备供货的封闭母线桥均由招标人供应。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kern w:val="0"/>
          <w:szCs w:val="21"/>
          <w:shd w:val="clear" w:color="auto" w:fill="FFFFFF"/>
        </w:rPr>
        <w:t>（2）主要材料中10kV及以上电缆头、金具（含线夹、间隔棒）、绝缘子、管型母线及管母金具、封闭母线桥、10kV绝缘铜管母线、穿墙套管、全站电缆（不含照明电缆、站内通信电缆）由招标人供应。其余材料均由投标人自行采购。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kern w:val="0"/>
          <w:szCs w:val="21"/>
          <w:shd w:val="clear" w:color="auto" w:fill="FFFFFF"/>
          <w:lang w:val="en-US" w:eastAsia="zh-CN"/>
        </w:rPr>
        <w:t>（3）视频及环境监视系统（含图像监视子系统、门禁子系统、环境监测子系统）、电子围栏由投标人负责设备安装、线缆敷设及接线。立杆、配电箱、线缆、网线、光缆、PVC管、镀锌钢管、镀锌扁钢等零星设备材料由投标人供应。以上系统的调测由投标人负责。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kern w:val="0"/>
          <w:szCs w:val="21"/>
          <w:shd w:val="clear" w:color="auto" w:fill="FFFFFF"/>
          <w:lang w:val="en-US" w:eastAsia="zh-CN"/>
        </w:rPr>
        <w:t>（4）扩建工程二次系统的接入及调试由投标人负责，包括但不限于500kV母线保护、电能量系统、调度端联调等涉及本工程的所有相关二次系统。</w:t>
      </w:r>
    </w:p>
    <w:p/>
    <w:p>
      <w:pPr>
        <w:pStyle w:val="6"/>
        <w:numPr>
          <w:ilvl w:val="0"/>
          <w:numId w:val="1"/>
        </w:numPr>
        <w:adjustRightInd w:val="0"/>
        <w:snapToGrid w:val="0"/>
        <w:spacing w:line="360" w:lineRule="auto"/>
        <w:ind w:firstLine="0"/>
        <w:outlineLvl w:val="0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承包方式</w:t>
      </w:r>
      <w:r>
        <w:rPr>
          <w:rFonts w:hint="eastAsia" w:hAnsi="宋体" w:eastAsia="宋体" w:cs="宋体"/>
          <w:b/>
          <w:sz w:val="24"/>
        </w:rPr>
        <w:t xml:space="preserve"> </w:t>
      </w:r>
    </w:p>
    <w:p>
      <w:pPr>
        <w:pStyle w:val="6"/>
        <w:spacing w:line="360" w:lineRule="auto"/>
        <w:ind w:firstLine="420" w:firstLineChars="200"/>
        <w:rPr>
          <w:rFonts w:hint="eastAsia" w:ascii="宋体" w:hAnsi="宋体" w:eastAsia="宋体" w:cs="宋体"/>
          <w:snapToGrid w:val="0"/>
          <w:szCs w:val="21"/>
        </w:rPr>
      </w:pPr>
      <w:bookmarkStart w:id="2" w:name="XmInfoEntity_SGCBFS_0_1"/>
      <w:r>
        <w:rPr>
          <w:rFonts w:hint="eastAsia" w:ascii="宋体" w:hAnsi="宋体" w:eastAsia="宋体" w:cs="宋体"/>
          <w:snapToGrid w:val="0"/>
          <w:szCs w:val="21"/>
        </w:rPr>
        <w:t>包工、部分包料。</w:t>
      </w:r>
      <w:bookmarkEnd w:id="2"/>
    </w:p>
    <w:p>
      <w:pPr>
        <w:pStyle w:val="6"/>
        <w:spacing w:line="360" w:lineRule="auto"/>
        <w:ind w:firstLine="420" w:firstLineChars="200"/>
        <w:rPr>
          <w:rFonts w:hint="eastAsia" w:ascii="宋体" w:hAnsi="宋体" w:eastAsia="宋体" w:cs="宋体"/>
          <w:snapToGrid w:val="0"/>
          <w:szCs w:val="21"/>
        </w:rPr>
      </w:pPr>
      <w:r>
        <w:rPr>
          <w:rFonts w:hint="eastAsia" w:ascii="宋体" w:hAnsi="宋体" w:eastAsia="宋体" w:cs="宋体"/>
          <w:snapToGrid w:val="0"/>
          <w:szCs w:val="21"/>
        </w:rPr>
        <w:t>甲供物资清单：见附件</w:t>
      </w:r>
    </w:p>
    <w:p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AE7B85"/>
    <w:multiLevelType w:val="multilevel"/>
    <w:tmpl w:val="14AE7B85"/>
    <w:lvl w:ilvl="0" w:tentative="0">
      <w:start w:val="1"/>
      <w:numFmt w:val="chineseCounting"/>
      <w:suff w:val="nothing"/>
      <w:lvlText w:val="%1、"/>
      <w:lvlJc w:val="left"/>
      <w:pPr>
        <w:ind w:left="0" w:hanging="336"/>
      </w:pPr>
      <w:rPr>
        <w:rFonts w:hint="eastAsia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0D71D5"/>
    <w:rsid w:val="0001755F"/>
    <w:rsid w:val="000A693A"/>
    <w:rsid w:val="00101070"/>
    <w:rsid w:val="00131065"/>
    <w:rsid w:val="00165DE3"/>
    <w:rsid w:val="002334D9"/>
    <w:rsid w:val="0033531F"/>
    <w:rsid w:val="00465E9D"/>
    <w:rsid w:val="004E74E7"/>
    <w:rsid w:val="005B43BD"/>
    <w:rsid w:val="006B3878"/>
    <w:rsid w:val="00723EED"/>
    <w:rsid w:val="007C4687"/>
    <w:rsid w:val="008166BC"/>
    <w:rsid w:val="00887F9A"/>
    <w:rsid w:val="00916962"/>
    <w:rsid w:val="00936AF1"/>
    <w:rsid w:val="00B52954"/>
    <w:rsid w:val="00C07625"/>
    <w:rsid w:val="00CC0EB8"/>
    <w:rsid w:val="00DF340A"/>
    <w:rsid w:val="00E30DE6"/>
    <w:rsid w:val="00E47AEC"/>
    <w:rsid w:val="00E538E4"/>
    <w:rsid w:val="00FF63AF"/>
    <w:rsid w:val="02514B5F"/>
    <w:rsid w:val="025D36FE"/>
    <w:rsid w:val="071B3875"/>
    <w:rsid w:val="0A67346C"/>
    <w:rsid w:val="0AB34E04"/>
    <w:rsid w:val="0B756CCA"/>
    <w:rsid w:val="1096538D"/>
    <w:rsid w:val="1110038B"/>
    <w:rsid w:val="12297CF9"/>
    <w:rsid w:val="124F0287"/>
    <w:rsid w:val="16250A1A"/>
    <w:rsid w:val="16895607"/>
    <w:rsid w:val="178611B3"/>
    <w:rsid w:val="1BA63B03"/>
    <w:rsid w:val="1C8F30AE"/>
    <w:rsid w:val="1D9C61F8"/>
    <w:rsid w:val="20DF2D8D"/>
    <w:rsid w:val="212A7BFC"/>
    <w:rsid w:val="214777F1"/>
    <w:rsid w:val="216A4702"/>
    <w:rsid w:val="21DE176F"/>
    <w:rsid w:val="22683671"/>
    <w:rsid w:val="23AD3423"/>
    <w:rsid w:val="28A1733A"/>
    <w:rsid w:val="29873F4C"/>
    <w:rsid w:val="2AA071F2"/>
    <w:rsid w:val="2E1A645B"/>
    <w:rsid w:val="2F9059E2"/>
    <w:rsid w:val="32E840EF"/>
    <w:rsid w:val="33157234"/>
    <w:rsid w:val="35B73AE7"/>
    <w:rsid w:val="37AC2A04"/>
    <w:rsid w:val="380F2842"/>
    <w:rsid w:val="38EB3928"/>
    <w:rsid w:val="38F62309"/>
    <w:rsid w:val="3E642A25"/>
    <w:rsid w:val="41046039"/>
    <w:rsid w:val="44F901B8"/>
    <w:rsid w:val="45712592"/>
    <w:rsid w:val="46A7570B"/>
    <w:rsid w:val="46B60F87"/>
    <w:rsid w:val="46CA2092"/>
    <w:rsid w:val="480C50DB"/>
    <w:rsid w:val="494A71CD"/>
    <w:rsid w:val="49C37D91"/>
    <w:rsid w:val="4AA54ED9"/>
    <w:rsid w:val="4D1B7EC6"/>
    <w:rsid w:val="4E01792C"/>
    <w:rsid w:val="4E0E17AA"/>
    <w:rsid w:val="507A69D4"/>
    <w:rsid w:val="555C645F"/>
    <w:rsid w:val="55AF7E22"/>
    <w:rsid w:val="57C339D5"/>
    <w:rsid w:val="588A581C"/>
    <w:rsid w:val="59B73677"/>
    <w:rsid w:val="62402261"/>
    <w:rsid w:val="62F377AE"/>
    <w:rsid w:val="65904792"/>
    <w:rsid w:val="663A2F15"/>
    <w:rsid w:val="67246111"/>
    <w:rsid w:val="6AF57C40"/>
    <w:rsid w:val="6C73245F"/>
    <w:rsid w:val="704851B6"/>
    <w:rsid w:val="72F773E8"/>
    <w:rsid w:val="740D71D5"/>
    <w:rsid w:val="74FB420B"/>
    <w:rsid w:val="75250A1A"/>
    <w:rsid w:val="753B6497"/>
    <w:rsid w:val="75C62EBB"/>
    <w:rsid w:val="76C147B3"/>
    <w:rsid w:val="76D03860"/>
    <w:rsid w:val="7B162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unhideWhenUsed/>
    <w:qFormat/>
    <w:uiPriority w:val="99"/>
    <w:pPr>
      <w:autoSpaceDE w:val="0"/>
      <w:autoSpaceDN w:val="0"/>
      <w:adjustRightInd w:val="0"/>
      <w:outlineLvl w:val="1"/>
    </w:pPr>
    <w:rPr>
      <w:rFonts w:ascii="Arial" w:hAnsi="Arial"/>
      <w:b/>
      <w:i/>
      <w:color w:val="000000"/>
      <w:sz w:val="28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line="360" w:lineRule="auto"/>
      <w:ind w:firstLine="598"/>
    </w:pPr>
  </w:style>
  <w:style w:type="paragraph" w:styleId="3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Plain Text"/>
    <w:basedOn w:val="1"/>
    <w:qFormat/>
    <w:uiPriority w:val="0"/>
  </w:style>
  <w:style w:type="paragraph" w:styleId="7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2"/>
    <w:basedOn w:val="1"/>
    <w:next w:val="1"/>
    <w:qFormat/>
    <w:uiPriority w:val="0"/>
    <w:pPr>
      <w:jc w:val="center"/>
    </w:pPr>
    <w:rPr>
      <w:rFonts w:ascii="仿宋_GB2312" w:hAnsi="宋体" w:eastAsia="仿宋_GB2312"/>
      <w:b/>
      <w:sz w:val="28"/>
      <w:szCs w:val="28"/>
    </w:rPr>
  </w:style>
  <w:style w:type="paragraph" w:styleId="10">
    <w:name w:val="Normal (Web)"/>
    <w:basedOn w:val="1"/>
    <w:qFormat/>
    <w:uiPriority w:val="0"/>
    <w:pPr>
      <w:widowControl/>
      <w:spacing w:before="0" w:beforeAutospacing="1" w:after="0" w:afterAutospacing="1"/>
      <w:ind w:left="0" w:right="0"/>
      <w:jc w:val="left"/>
    </w:pPr>
    <w:rPr>
      <w:rFonts w:ascii="宋体" w:hAnsi="宋体" w:eastAsia="宋体" w:cs="宋体"/>
      <w:kern w:val="0"/>
      <w:sz w:val="24"/>
      <w:szCs w:val="24"/>
      <w:lang w:val="en-US" w:eastAsia="zh-CN" w:bidi="ar"/>
    </w:rPr>
  </w:style>
  <w:style w:type="paragraph" w:styleId="11">
    <w:name w:val="Body Text First Indent"/>
    <w:basedOn w:val="2"/>
    <w:next w:val="1"/>
    <w:unhideWhenUsed/>
    <w:qFormat/>
    <w:uiPriority w:val="99"/>
    <w:pPr>
      <w:ind w:firstLine="200" w:firstLineChars="200"/>
    </w:pPr>
    <w:rPr>
      <w:kern w:val="0"/>
      <w:sz w:val="24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">
    <w:name w:val="页眉 字符"/>
    <w:basedOn w:val="14"/>
    <w:link w:val="8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6">
    <w:name w:val="页脚 字符"/>
    <w:basedOn w:val="14"/>
    <w:link w:val="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3</Pages>
  <Words>2059</Words>
  <Characters>2232</Characters>
  <Lines>16</Lines>
  <Paragraphs>4</Paragraphs>
  <TotalTime>0</TotalTime>
  <ScaleCrop>false</ScaleCrop>
  <LinksUpToDate>false</LinksUpToDate>
  <CharactersWithSpaces>2248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2025-06-27T17:20:00Z</dcterms:created>
  <dc:creator>puer</dc:creator>
  <cp:lastModifiedBy>anxs</cp:lastModifiedBy>
  <dcterms:modified xsi:type="dcterms:W3CDTF">2026-03-31T11:00:26Z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eyJoZGlkIjoiYzM2NjhiYzRmOWZlNDUzYzI0NDY3M2UxZTYwMmI4NGQiLCJ1c2VySWQiOiIzODMxMTM4MDMifQ==</vt:lpwstr>
  </property>
  <property fmtid="{D5CDD505-2E9C-101B-9397-08002B2CF9AE}" pid="3" name="KSOProductBuildVer">
    <vt:lpwstr>2052-11.8.2.12309</vt:lpwstr>
  </property>
  <property fmtid="{D5CDD505-2E9C-101B-9397-08002B2CF9AE}" pid="4" name="ICV">
    <vt:lpwstr>64672954A95049B3AF99820EA5279DB1_12</vt:lpwstr>
  </property>
</Properties>
</file>