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eastAsia" w:hAnsi="宋体" w:eastAsia="宋体" w:cs="宋体"/>
          <w:b/>
          <w:bCs/>
          <w:snapToGrid w:val="0"/>
          <w:sz w:val="32"/>
          <w:szCs w:val="32"/>
        </w:rPr>
      </w:pPr>
      <w:bookmarkStart w:id="0" w:name="_Toc8445"/>
      <w:r>
        <w:rPr>
          <w:rFonts w:hint="eastAsia" w:hAnsi="宋体" w:eastAsia="宋体" w:cs="宋体"/>
          <w:b/>
          <w:bCs/>
          <w:snapToGrid w:val="0"/>
          <w:sz w:val="32"/>
          <w:szCs w:val="32"/>
          <w:lang w:val="en-US" w:eastAsia="zh-CN"/>
        </w:rPr>
        <w:t>标的6</w:t>
      </w:r>
      <w:bookmarkStart w:id="3" w:name="_GoBack"/>
      <w:bookmarkEnd w:id="3"/>
    </w:p>
    <w:p>
      <w:pPr>
        <w:pStyle w:val="6"/>
        <w:spacing w:line="360" w:lineRule="auto"/>
        <w:jc w:val="center"/>
        <w:rPr>
          <w:rFonts w:hint="eastAsia" w:hAnsi="宋体" w:eastAsia="宋体" w:cs="宋体"/>
          <w:b/>
          <w:bCs/>
          <w:snapToGrid w:val="0"/>
          <w:sz w:val="32"/>
          <w:szCs w:val="32"/>
        </w:rPr>
      </w:pPr>
    </w:p>
    <w:p>
      <w:pPr>
        <w:pStyle w:val="6"/>
        <w:adjustRightInd w:val="0"/>
        <w:snapToGrid w:val="0"/>
        <w:spacing w:line="360" w:lineRule="auto"/>
        <w:ind w:firstLine="562" w:firstLineChars="200"/>
        <w:jc w:val="left"/>
        <w:outlineLvl w:val="0"/>
        <w:rPr>
          <w:rFonts w:hint="eastAsia"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名称：500千伏中老联网滇西南配套网架工程施工1标段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int="eastAsia"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int="eastAsia" w:hAnsi="宋体" w:eastAsia="宋体" w:cs="宋体"/>
                <w:snapToGrid w:val="0"/>
                <w:sz w:val="21"/>
                <w:szCs w:val="21"/>
              </w:rPr>
            </w:pPr>
            <w:r>
              <w:rPr>
                <w:rFonts w:hint="eastAsia" w:hAnsi="宋体" w:eastAsia="宋体" w:cs="宋体"/>
                <w:sz w:val="21"/>
                <w:szCs w:val="21"/>
              </w:rPr>
              <w:t>西双版纳州景洪市、勐腊县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南方电网规划[2025]45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云发改能源[2025]731号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highlight w:val="none"/>
              </w:rPr>
            </w:pPr>
            <w:r>
              <w:rPr>
                <w:rFonts w:hint="eastAsia" w:hAnsi="宋体" w:eastAsia="宋体" w:cs="宋体"/>
                <w:b/>
                <w:bCs/>
                <w:snapToGrid w:val="0"/>
                <w:sz w:val="21"/>
                <w:szCs w:val="21"/>
                <w:highlight w:val="none"/>
              </w:rPr>
              <w:t>5</w:t>
            </w:r>
          </w:p>
        </w:tc>
        <w:tc>
          <w:tcPr>
            <w:tcW w:w="2911" w:type="dxa"/>
            <w:vAlign w:val="center"/>
          </w:tcPr>
          <w:p>
            <w:pPr>
              <w:pStyle w:val="6"/>
              <w:spacing w:line="400" w:lineRule="exact"/>
              <w:jc w:val="center"/>
              <w:rPr>
                <w:rFonts w:hint="eastAsia" w:hAnsi="宋体" w:eastAsia="宋体" w:cs="宋体"/>
                <w:b/>
                <w:bCs/>
                <w:snapToGrid w:val="0"/>
                <w:sz w:val="21"/>
                <w:szCs w:val="21"/>
                <w:highlight w:val="none"/>
              </w:rPr>
            </w:pPr>
            <w:r>
              <w:rPr>
                <w:rFonts w:hint="eastAsia" w:hAnsi="宋体" w:eastAsia="宋体" w:cs="宋体"/>
                <w:b/>
                <w:bCs/>
                <w:snapToGrid w:val="0"/>
                <w:sz w:val="21"/>
                <w:szCs w:val="21"/>
                <w:highlight w:val="none"/>
              </w:rPr>
              <w:t>资金落实情况</w:t>
            </w:r>
          </w:p>
        </w:tc>
        <w:tc>
          <w:tcPr>
            <w:tcW w:w="3476" w:type="dxa"/>
            <w:vAlign w:val="center"/>
          </w:tcPr>
          <w:p>
            <w:pPr>
              <w:pStyle w:val="6"/>
              <w:spacing w:line="400" w:lineRule="exact"/>
              <w:jc w:val="center"/>
              <w:rPr>
                <w:rFonts w:hint="eastAsia" w:hAnsi="宋体" w:eastAsia="宋体" w:cs="宋体"/>
                <w:sz w:val="21"/>
                <w:szCs w:val="21"/>
                <w:highlight w:val="none"/>
              </w:rPr>
            </w:pPr>
            <w:r>
              <w:rPr>
                <w:rFonts w:hint="eastAsia" w:hAnsi="宋体" w:eastAsia="宋体" w:cs="宋体"/>
                <w:sz w:val="21"/>
                <w:szCs w:val="21"/>
                <w:highlight w:val="none"/>
              </w:rPr>
              <w:t>云电规划〔2026〕77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南方电网工程〔2026〕6号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中国能源建设集团云南省电力设计院有限公司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w:t>
            </w:r>
          </w:p>
        </w:tc>
      </w:tr>
    </w:tbl>
    <w:p>
      <w:pPr>
        <w:pStyle w:val="6"/>
        <w:adjustRightInd w:val="0"/>
        <w:snapToGrid w:val="0"/>
        <w:spacing w:line="360" w:lineRule="auto"/>
        <w:ind w:firstLine="562" w:firstLineChars="200"/>
        <w:jc w:val="center"/>
        <w:outlineLvl w:val="0"/>
        <w:rPr>
          <w:rFonts w:hint="eastAsia" w:hAnsi="宋体" w:cs="宋体"/>
          <w:b/>
          <w:sz w:val="28"/>
          <w:szCs w:val="28"/>
        </w:rPr>
      </w:pPr>
    </w:p>
    <w:bookmarkEnd w:id="0"/>
    <w:p>
      <w:pPr>
        <w:pStyle w:val="6"/>
        <w:numPr>
          <w:ilvl w:val="0"/>
          <w:numId w:val="1"/>
        </w:numPr>
        <w:adjustRightInd w:val="0"/>
        <w:snapToGrid w:val="0"/>
        <w:spacing w:line="360" w:lineRule="auto"/>
        <w:ind w:firstLine="0"/>
        <w:outlineLvl w:val="0"/>
        <w:rPr>
          <w:rFonts w:hint="eastAsia"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1.500kV版纳变电站间隔扩建工程</w:t>
      </w:r>
    </w:p>
    <w:p>
      <w:pPr>
        <w:spacing w:line="56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500kV扩建1个出线间隔，120Mvar高压并联电抗器 1 组（江城I回）。500kV 采用 1 个半断路器接线，本期安装2台断路器，采用罐式断路器。</w:t>
      </w:r>
    </w:p>
    <w:p>
      <w:pPr>
        <w:spacing w:line="56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本期工程在变电站围墙内预留位置扩建，不新征地。</w:t>
      </w:r>
    </w:p>
    <w:p>
      <w:pPr>
        <w:pStyle w:val="6"/>
        <w:spacing w:line="360" w:lineRule="auto"/>
        <w:ind w:firstLine="482" w:firstLineChars="200"/>
        <w:rPr>
          <w:rFonts w:hint="eastAsia" w:asciiTheme="minorEastAsia" w:hAnsiTheme="minorEastAsia" w:eastAsiaTheme="minorEastAsia" w:cstheme="minorEastAsia"/>
          <w:b/>
          <w:bCs/>
          <w:sz w:val="24"/>
          <w:szCs w:val="24"/>
          <w:lang w:eastAsia="zh-CN"/>
        </w:rPr>
      </w:pPr>
      <w:r>
        <w:rPr>
          <w:rFonts w:hint="eastAsia" w:asciiTheme="minorEastAsia" w:hAnsiTheme="minorEastAsia" w:cstheme="minorEastAsia"/>
          <w:b/>
          <w:bCs/>
          <w:sz w:val="24"/>
          <w:szCs w:val="24"/>
        </w:rPr>
        <w:t>2．500kV 版纳～江城线路工程</w:t>
      </w:r>
      <w:r>
        <w:rPr>
          <w:rFonts w:hint="eastAsia" w:asciiTheme="minorEastAsia" w:hAnsiTheme="minorEastAsia" w:cstheme="minorEastAsia"/>
          <w:b/>
          <w:bCs/>
          <w:sz w:val="24"/>
          <w:szCs w:val="24"/>
          <w:lang w:eastAsia="zh-CN"/>
        </w:rPr>
        <w:t>（</w:t>
      </w:r>
      <w:r>
        <w:rPr>
          <w:rFonts w:hint="eastAsia" w:asciiTheme="minorEastAsia" w:hAnsiTheme="minorEastAsia" w:cstheme="minorEastAsia"/>
          <w:b/>
          <w:bCs/>
          <w:sz w:val="24"/>
          <w:szCs w:val="24"/>
          <w:lang w:val="en-US" w:eastAsia="zh-CN"/>
        </w:rPr>
        <w:t>版纳段</w:t>
      </w:r>
      <w:r>
        <w:rPr>
          <w:rFonts w:hint="eastAsia" w:asciiTheme="minorEastAsia" w:hAnsiTheme="minorEastAsia" w:cstheme="minorEastAsia"/>
          <w:b/>
          <w:bCs/>
          <w:sz w:val="24"/>
          <w:szCs w:val="24"/>
          <w:lang w:eastAsia="zh-CN"/>
        </w:rPr>
        <w:t>）</w:t>
      </w:r>
    </w:p>
    <w:p>
      <w:pPr>
        <w:spacing w:line="56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新建版纳至江城线路（版纳段），路径长度90km，按单回路架设。</w:t>
      </w:r>
    </w:p>
    <w:p>
      <w:pPr>
        <w:pStyle w:val="6"/>
        <w:spacing w:line="360" w:lineRule="auto"/>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3. 光纤通信工程</w:t>
      </w:r>
      <w:r>
        <w:rPr>
          <w:rFonts w:hint="eastAsia" w:asciiTheme="minorEastAsia" w:hAnsiTheme="minorEastAsia" w:cstheme="minorEastAsia"/>
          <w:b/>
          <w:bCs/>
          <w:sz w:val="24"/>
          <w:szCs w:val="24"/>
          <w:lang w:eastAsia="zh-CN"/>
        </w:rPr>
        <w:t>（</w:t>
      </w:r>
      <w:r>
        <w:rPr>
          <w:rFonts w:hint="eastAsia" w:asciiTheme="minorEastAsia" w:hAnsiTheme="minorEastAsia" w:cstheme="minorEastAsia"/>
          <w:b/>
          <w:bCs/>
          <w:sz w:val="24"/>
          <w:szCs w:val="24"/>
          <w:lang w:val="en-US" w:eastAsia="zh-CN"/>
        </w:rPr>
        <w:t>版纳段</w:t>
      </w:r>
      <w:r>
        <w:rPr>
          <w:rFonts w:hint="eastAsia" w:asciiTheme="minorEastAsia" w:hAnsiTheme="minorEastAsia" w:cstheme="minorEastAsia"/>
          <w:b/>
          <w:bCs/>
          <w:sz w:val="24"/>
          <w:szCs w:val="24"/>
          <w:lang w:eastAsia="zh-CN"/>
        </w:rPr>
        <w:t>）</w:t>
      </w:r>
    </w:p>
    <w:p>
      <w:pPr>
        <w:spacing w:line="56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随江城～版纳（版纳段）500kV 线路架设 1 根 72 芯 OPGW，并同步建设保底通信网（云南省域）、云南省干传输新 B 网相关光纤通信电路。</w:t>
      </w:r>
    </w:p>
    <w:p>
      <w:pPr>
        <w:pStyle w:val="6"/>
        <w:numPr>
          <w:ilvl w:val="0"/>
          <w:numId w:val="1"/>
        </w:numPr>
        <w:adjustRightInd w:val="0"/>
        <w:snapToGrid w:val="0"/>
        <w:spacing w:line="360" w:lineRule="auto"/>
        <w:ind w:firstLine="0"/>
        <w:outlineLvl w:val="0"/>
        <w:rPr>
          <w:rFonts w:hint="eastAsia"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hint="eastAsia" w:ascii="宋体" w:hAnsi="宋体" w:eastAsia="宋体" w:cs="宋体"/>
          <w:bCs/>
          <w:i w:val="0"/>
          <w:color w:val="auto"/>
          <w:kern w:val="0"/>
          <w:sz w:val="21"/>
          <w:szCs w:val="21"/>
          <w:lang w:val="en-US" w:eastAsia="zh-CN"/>
        </w:rPr>
      </w:pPr>
      <w:r>
        <w:rPr>
          <w:rFonts w:hint="eastAsia" w:ascii="宋体" w:hAnsi="宋体" w:eastAsia="宋体" w:cs="宋体"/>
          <w:bCs/>
          <w:i w:val="0"/>
          <w:color w:val="auto"/>
          <w:kern w:val="0"/>
          <w:sz w:val="21"/>
          <w:szCs w:val="21"/>
          <w:lang w:val="en-US" w:eastAsia="zh-CN"/>
        </w:rPr>
        <w:t>（一）变电部分</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lang w:val="en-US" w:eastAsia="zh-CN"/>
        </w:rPr>
        <w:t>1、</w:t>
      </w:r>
      <w:r>
        <w:rPr>
          <w:rFonts w:hint="eastAsia" w:ascii="宋体" w:hAnsi="宋体" w:eastAsia="宋体" w:cs="宋体"/>
          <w:kern w:val="0"/>
          <w:szCs w:val="21"/>
          <w:shd w:val="clear" w:color="auto" w:fill="FFFFFF"/>
        </w:rPr>
        <w:t>施工图纸范围内的场平、土建、变电建筑、安装、通信（包括配套光设备工程安装及调试）及调试工程：</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lang w:eastAsia="zh-CN"/>
        </w:rPr>
        <w:t>（</w:t>
      </w:r>
      <w:r>
        <w:rPr>
          <w:rFonts w:hint="eastAsia" w:ascii="宋体" w:hAnsi="宋体" w:eastAsia="宋体" w:cs="宋体"/>
          <w:kern w:val="0"/>
          <w:szCs w:val="21"/>
          <w:shd w:val="clear" w:color="auto" w:fill="FFFFFF"/>
        </w:rPr>
        <w:t>1</w:t>
      </w:r>
      <w:r>
        <w:rPr>
          <w:rFonts w:hint="eastAsia" w:ascii="宋体" w:hAnsi="宋体" w:eastAsia="宋体" w:cs="宋体"/>
          <w:kern w:val="0"/>
          <w:szCs w:val="21"/>
          <w:shd w:val="clear" w:color="auto" w:fill="FFFFFF"/>
          <w:lang w:eastAsia="zh-CN"/>
        </w:rPr>
        <w:t>）</w:t>
      </w:r>
      <w:r>
        <w:rPr>
          <w:rFonts w:hint="eastAsia" w:ascii="宋体" w:hAnsi="宋体" w:eastAsia="宋体" w:cs="宋体"/>
          <w:kern w:val="0"/>
          <w:szCs w:val="21"/>
          <w:shd w:val="clear" w:color="auto" w:fill="FFFFFF"/>
        </w:rPr>
        <w:t>调试工程不含计量用互感器的误差试验、电能表校验。</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lang w:eastAsia="zh-CN"/>
        </w:rPr>
        <w:t>（</w:t>
      </w:r>
      <w:r>
        <w:rPr>
          <w:rFonts w:hint="eastAsia" w:ascii="宋体" w:hAnsi="宋体" w:eastAsia="宋体" w:cs="宋体"/>
          <w:kern w:val="0"/>
          <w:szCs w:val="21"/>
          <w:shd w:val="clear" w:color="auto" w:fill="FFFFFF"/>
        </w:rPr>
        <w:t>2</w:t>
      </w:r>
      <w:r>
        <w:rPr>
          <w:rFonts w:hint="eastAsia" w:ascii="宋体" w:hAnsi="宋体" w:eastAsia="宋体" w:cs="宋体"/>
          <w:kern w:val="0"/>
          <w:szCs w:val="21"/>
          <w:shd w:val="clear" w:color="auto" w:fill="FFFFFF"/>
          <w:lang w:eastAsia="zh-CN"/>
        </w:rPr>
        <w:t>）</w:t>
      </w:r>
      <w:r>
        <w:rPr>
          <w:rFonts w:hint="eastAsia" w:ascii="宋体" w:hAnsi="宋体" w:eastAsia="宋体" w:cs="宋体"/>
          <w:kern w:val="0"/>
          <w:szCs w:val="21"/>
          <w:shd w:val="clear" w:color="auto" w:fill="FFFFFF"/>
        </w:rPr>
        <w:t>不含桩基检测、安健环设施标准化费用、视觉识别系统、电力设施保护区标牌设置。</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lang w:eastAsia="zh-CN"/>
        </w:rPr>
        <w:t>（</w:t>
      </w:r>
      <w:r>
        <w:rPr>
          <w:rFonts w:hint="eastAsia" w:ascii="宋体" w:hAnsi="宋体" w:eastAsia="宋体" w:cs="宋体"/>
          <w:kern w:val="0"/>
          <w:szCs w:val="21"/>
          <w:shd w:val="clear" w:color="auto" w:fill="FFFFFF"/>
        </w:rPr>
        <w:t>3</w:t>
      </w:r>
      <w:r>
        <w:rPr>
          <w:rFonts w:hint="eastAsia" w:ascii="宋体" w:hAnsi="宋体" w:eastAsia="宋体" w:cs="宋体"/>
          <w:kern w:val="0"/>
          <w:szCs w:val="21"/>
          <w:shd w:val="clear" w:color="auto" w:fill="FFFFFF"/>
          <w:lang w:eastAsia="zh-CN"/>
        </w:rPr>
        <w:t>）</w:t>
      </w:r>
      <w:r>
        <w:rPr>
          <w:rFonts w:hint="eastAsia" w:ascii="宋体" w:hAnsi="宋体" w:eastAsia="宋体" w:cs="宋体"/>
          <w:kern w:val="0"/>
          <w:szCs w:val="21"/>
          <w:shd w:val="clear" w:color="auto" w:fill="FFFFFF"/>
        </w:rPr>
        <w:t>新建变电站或扩建变电站需征地的，征地范围内的原附着物的赔偿（包括土地、房屋、青苗、林木、迁坟、其他构建筑物的赔偿）由招标人负责，征地范围内的原附着物的拆除清理（包括房屋、青苗林木、其他构建筑物的拆除清理等）以及临时占地恢复（临时设施拆除后进行土地整治、植被恢复工作直至验收合格）由投标人负责。征地范围外的原附着物的赔偿（若涉及土地、房屋、青苗、林木、迁坟、其他构建筑物的赔偿）由招标人负责，征地范围外的原附着物的拆除清理（若涉及房屋、青苗林木、其他构建筑物的拆除清理等）以及临时占地恢复（临时设施拆除后进行土地整治、植被恢复工作直至验收合格）由投标人负责。</w:t>
      </w:r>
    </w:p>
    <w:p>
      <w:pPr>
        <w:spacing w:line="400" w:lineRule="exact"/>
        <w:ind w:firstLine="420" w:firstLineChars="200"/>
        <w:rPr>
          <w:rFonts w:hint="eastAsia" w:ascii="宋体" w:hAnsi="宋体" w:cs="宋体"/>
          <w:b/>
          <w:bCs/>
          <w:snapToGrid w:val="0"/>
          <w:kern w:val="0"/>
          <w:szCs w:val="21"/>
          <w:highlight w:val="yellow"/>
        </w:rPr>
      </w:pPr>
      <w:r>
        <w:rPr>
          <w:rFonts w:hint="eastAsia" w:ascii="宋体" w:hAnsi="宋体" w:eastAsia="宋体" w:cs="宋体"/>
          <w:kern w:val="0"/>
          <w:szCs w:val="21"/>
          <w:shd w:val="clear" w:color="auto" w:fill="FFFFFF"/>
          <w:lang w:eastAsia="zh-CN"/>
        </w:rPr>
        <w:t>（</w:t>
      </w:r>
      <w:r>
        <w:rPr>
          <w:rFonts w:hint="eastAsia" w:ascii="宋体" w:hAnsi="宋体" w:eastAsia="宋体" w:cs="宋体"/>
          <w:kern w:val="0"/>
          <w:szCs w:val="21"/>
          <w:shd w:val="clear" w:color="auto" w:fill="FFFFFF"/>
        </w:rPr>
        <w:t>4</w:t>
      </w:r>
      <w:r>
        <w:rPr>
          <w:rFonts w:hint="eastAsia" w:ascii="宋体" w:hAnsi="宋体" w:eastAsia="宋体" w:cs="宋体"/>
          <w:kern w:val="0"/>
          <w:szCs w:val="21"/>
          <w:shd w:val="clear" w:color="auto" w:fill="FFFFFF"/>
          <w:lang w:eastAsia="zh-CN"/>
        </w:rPr>
        <w:t>）</w:t>
      </w:r>
      <w:r>
        <w:rPr>
          <w:rFonts w:hint="eastAsia" w:ascii="宋体" w:hAnsi="宋体" w:eastAsia="宋体" w:cs="宋体"/>
          <w:kern w:val="0"/>
          <w:szCs w:val="21"/>
          <w:shd w:val="clear" w:color="auto" w:fill="FFFFFF"/>
        </w:rPr>
        <w:t>变电站二期扩建工程及扩建间隔工程不征地，但需要拆除部分基础或设备的，其拆除及运输（废旧物资运输至建设单位指定地点）工作由投标人负责。</w:t>
      </w:r>
    </w:p>
    <w:p>
      <w:pPr>
        <w:spacing w:line="400" w:lineRule="exact"/>
        <w:ind w:firstLine="420" w:firstLineChars="200"/>
        <w:rPr>
          <w:rFonts w:ascii="宋体" w:hAnsi="宋体" w:cs="宋体"/>
          <w:b/>
          <w:bCs/>
          <w:snapToGrid w:val="0"/>
          <w:kern w:val="0"/>
          <w:szCs w:val="21"/>
          <w:highlight w:val="none"/>
        </w:rPr>
      </w:pPr>
      <w:r>
        <w:rPr>
          <w:rFonts w:hint="eastAsia" w:ascii="宋体" w:hAnsi="宋体" w:eastAsia="宋体" w:cs="宋体"/>
          <w:kern w:val="0"/>
          <w:szCs w:val="21"/>
          <w:highlight w:val="none"/>
          <w:shd w:val="clear" w:color="auto" w:fill="FFFFFF"/>
        </w:rPr>
        <w:t>（</w:t>
      </w:r>
      <w:r>
        <w:rPr>
          <w:rFonts w:ascii="宋体" w:hAnsi="宋体" w:eastAsia="宋体" w:cs="宋体"/>
          <w:kern w:val="0"/>
          <w:szCs w:val="21"/>
          <w:highlight w:val="none"/>
          <w:shd w:val="clear" w:color="auto" w:fill="FFFFFF"/>
        </w:rPr>
        <w:t>5</w:t>
      </w:r>
      <w:r>
        <w:rPr>
          <w:rFonts w:hint="eastAsia" w:ascii="宋体" w:hAnsi="宋体" w:eastAsia="宋体" w:cs="宋体"/>
          <w:kern w:val="0"/>
          <w:szCs w:val="21"/>
          <w:highlight w:val="none"/>
          <w:shd w:val="clear" w:color="auto" w:fill="FFFFFF"/>
        </w:rPr>
        <w:t>）本工程与前期工程</w:t>
      </w:r>
      <w:r>
        <w:rPr>
          <w:rFonts w:hint="eastAsia" w:ascii="宋体" w:hAnsi="宋体" w:eastAsia="宋体" w:cs="宋体"/>
          <w:kern w:val="0"/>
          <w:szCs w:val="21"/>
          <w:highlight w:val="none"/>
          <w:shd w:val="clear" w:color="auto" w:fill="FFFFFF"/>
          <w:lang w:val="en-US" w:eastAsia="zh-CN"/>
        </w:rPr>
        <w:t>设备</w:t>
      </w:r>
      <w:r>
        <w:rPr>
          <w:rFonts w:hint="eastAsia" w:ascii="宋体" w:hAnsi="宋体" w:eastAsia="宋体" w:cs="宋体"/>
          <w:kern w:val="0"/>
          <w:szCs w:val="21"/>
          <w:highlight w:val="none"/>
          <w:shd w:val="clear" w:color="auto" w:fill="FFFFFF"/>
        </w:rPr>
        <w:t>的接入、调试等工作</w:t>
      </w:r>
      <w:r>
        <w:rPr>
          <w:rFonts w:hint="eastAsia" w:ascii="宋体" w:hAnsi="宋体" w:eastAsia="宋体" w:cs="宋体"/>
          <w:kern w:val="0"/>
          <w:szCs w:val="21"/>
          <w:highlight w:val="none"/>
          <w:shd w:val="clear" w:color="auto" w:fill="FFFFFF"/>
          <w:lang w:val="en-US" w:eastAsia="zh-CN"/>
        </w:rPr>
        <w:t>由投标人负责</w:t>
      </w:r>
      <w:r>
        <w:rPr>
          <w:rFonts w:hint="eastAsia" w:ascii="宋体" w:hAnsi="宋体" w:eastAsia="宋体" w:cs="宋体"/>
          <w:kern w:val="0"/>
          <w:szCs w:val="21"/>
          <w:highlight w:val="none"/>
          <w:shd w:val="clear" w:color="auto" w:fill="FFFFFF"/>
        </w:rPr>
        <w:t>。</w:t>
      </w:r>
    </w:p>
    <w:p>
      <w:pPr>
        <w:autoSpaceDE w:val="0"/>
        <w:autoSpaceDN w:val="0"/>
        <w:adjustRightInd w:val="0"/>
        <w:spacing w:line="360" w:lineRule="auto"/>
        <w:ind w:firstLine="422" w:firstLineChars="200"/>
        <w:jc w:val="left"/>
        <w:rPr>
          <w:rFonts w:hint="eastAsia" w:ascii="宋体" w:hAnsi="宋体" w:cs="宋体"/>
          <w:b/>
          <w:bCs/>
          <w:snapToGrid w:val="0"/>
          <w:color w:val="FF0000"/>
          <w:kern w:val="0"/>
          <w:szCs w:val="21"/>
        </w:rPr>
      </w:pPr>
      <w:r>
        <w:rPr>
          <w:rFonts w:hint="eastAsia" w:ascii="宋体" w:hAnsi="宋体" w:cs="宋体"/>
          <w:b/>
          <w:bCs/>
          <w:snapToGrid w:val="0"/>
          <w:kern w:val="0"/>
          <w:szCs w:val="21"/>
        </w:rPr>
        <w:t>特殊调试清单：见附件。</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lang w:val="en-US" w:eastAsia="zh-CN"/>
        </w:rPr>
        <w:t>2、</w:t>
      </w:r>
      <w:r>
        <w:rPr>
          <w:rFonts w:hint="eastAsia" w:ascii="宋体" w:hAnsi="宋体" w:eastAsia="宋体" w:cs="宋体"/>
          <w:kern w:val="0"/>
          <w:szCs w:val="21"/>
          <w:shd w:val="clear" w:color="auto" w:fill="FFFFFF"/>
        </w:rPr>
        <w:t>建筑工程、安装工程部分具体要求如下：</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建筑工程：</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（1）建筑工程设备除空调、通风机、消防器材由投标人自行采购外，其余如消防设备、管道、阀门、消火栓及供水设备等均由招标人供应。</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2）对采用钢管构支架的，避雷针、站内出线铁塔、爬梯、节点等钢结构均由招标人供应，其余材料均由投标人自行采购；对采用混凝土环形管构支架，避雷针、站内出线铁塔、爬梯、节点等材料均由投标人自行采购。</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3）变电站标准件（户外检修电源箱、户外动力箱、户外端子箱）由招标人采购，变电站照明配电箱、户内动力配电箱、户内检修电源箱、电缆支架、电缆桥架、门类、窗类、混凝土盖板、复合盖板由投标人供应。</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安装工程：</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（1）所有设备（含通信设备）及随设备供货的封闭母线桥均由招标人供应。</w:t>
      </w:r>
    </w:p>
    <w:p>
      <w:pPr>
        <w:spacing w:line="400" w:lineRule="exact"/>
        <w:ind w:firstLine="420" w:firstLineChars="200"/>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2）主要材料中10kV及以上电缆头、金具（含线夹、间隔棒）、绝缘子、管型母线及管母金具、封闭母线桥、10kV绝缘铜管母线、穿墙套管、全站电缆（不含照明电缆、站内通信电缆）由招标人供应。其余材料均由投标人自行采购。</w:t>
      </w:r>
    </w:p>
    <w:p>
      <w:pPr>
        <w:rPr>
          <w:rFonts w:hint="default"/>
          <w:lang w:val="en-US" w:eastAsia="zh-CN"/>
        </w:rPr>
      </w:pPr>
    </w:p>
    <w:p>
      <w:pPr>
        <w:pStyle w:val="4"/>
        <w:numPr>
          <w:ilvl w:val="0"/>
          <w:numId w:val="2"/>
        </w:numPr>
        <w:spacing w:line="360" w:lineRule="auto"/>
        <w:ind w:firstLine="422" w:firstLineChars="200"/>
        <w:rPr>
          <w:rFonts w:hint="eastAsia" w:ascii="宋体" w:hAnsi="宋体" w:eastAsia="宋体" w:cs="宋体"/>
          <w:bCs/>
          <w:i w:val="0"/>
          <w:color w:val="auto"/>
          <w:kern w:val="0"/>
          <w:sz w:val="21"/>
          <w:szCs w:val="21"/>
        </w:rPr>
      </w:pPr>
      <w:r>
        <w:rPr>
          <w:rFonts w:hint="eastAsia" w:ascii="宋体" w:hAnsi="宋体" w:eastAsia="宋体" w:cs="宋体"/>
          <w:bCs/>
          <w:i w:val="0"/>
          <w:color w:val="auto"/>
          <w:kern w:val="0"/>
          <w:sz w:val="21"/>
          <w:szCs w:val="21"/>
        </w:rPr>
        <w:t>线路部分</w:t>
      </w:r>
    </w:p>
    <w:p>
      <w:pPr>
        <w:pStyle w:val="4"/>
        <w:numPr>
          <w:ilvl w:val="0"/>
          <w:numId w:val="0"/>
        </w:numPr>
        <w:spacing w:line="360" w:lineRule="auto"/>
        <w:ind w:firstLine="420" w:firstLineChars="200"/>
        <w:rPr>
          <w:rFonts w:hint="eastAsia" w:ascii="宋体" w:hAnsi="宋体" w:cs="宋体"/>
          <w:b w:val="0"/>
          <w:i w:val="0"/>
          <w:color w:val="auto"/>
          <w:kern w:val="0"/>
          <w:sz w:val="21"/>
          <w:szCs w:val="21"/>
        </w:rPr>
      </w:pP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hint="eastAsia"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铁塔（含防高空坠落装置）、导线、地线（含OPGW光缆及金具）、绝缘子、线路金具、降阻剂、接地模块、航空警示灯（如有）、石墨接地体（如有）由招标人供应。其余材料均由投标人自行采购。</w:t>
      </w:r>
    </w:p>
    <w:p/>
    <w:p/>
    <w:p>
      <w:pPr>
        <w:pStyle w:val="6"/>
        <w:numPr>
          <w:ilvl w:val="0"/>
          <w:numId w:val="1"/>
        </w:numPr>
        <w:adjustRightInd w:val="0"/>
        <w:snapToGrid w:val="0"/>
        <w:spacing w:line="360" w:lineRule="auto"/>
        <w:ind w:firstLine="0"/>
        <w:outlineLvl w:val="0"/>
        <w:rPr>
          <w:rFonts w:hint="eastAsia"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int="eastAsia"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int="eastAsia" w:hAnsi="宋体" w:eastAsia="宋体" w:cs="宋体"/>
          <w:snapToGrid w:val="0"/>
          <w:sz w:val="21"/>
          <w:szCs w:val="21"/>
        </w:rPr>
      </w:pPr>
      <w:r>
        <w:rPr>
          <w:rFonts w:hint="eastAsia" w:hAnsi="宋体" w:eastAsia="宋体" w:cs="宋体"/>
          <w:snapToGrid w:val="0"/>
          <w:sz w:val="21"/>
          <w:szCs w:val="21"/>
        </w:rPr>
        <w:t>甲供物资清单：见附件</w:t>
      </w:r>
    </w:p>
    <w:p>
      <w:pPr>
        <w:pStyle w:val="6"/>
        <w:spacing w:line="360" w:lineRule="auto"/>
        <w:ind w:firstLine="420" w:firstLineChars="200"/>
        <w:rPr>
          <w:rFonts w:hint="eastAsia" w:hAnsi="宋体" w:eastAsia="宋体" w:cs="宋体"/>
          <w:snapToGrid w:val="0"/>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6596C1"/>
    <w:multiLevelType w:val="singleLevel"/>
    <w:tmpl w:val="046596C1"/>
    <w:lvl w:ilvl="0" w:tentative="0">
      <w:start w:val="2"/>
      <w:numFmt w:val="chineseCounting"/>
      <w:suff w:val="nothing"/>
      <w:lvlText w:val="（%1）"/>
      <w:lvlJc w:val="left"/>
      <w:rPr>
        <w:rFonts w:hint="eastAsia"/>
      </w:rPr>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A1EB5"/>
    <w:rsid w:val="000A4457"/>
    <w:rsid w:val="000E27DB"/>
    <w:rsid w:val="0013076D"/>
    <w:rsid w:val="00142DDC"/>
    <w:rsid w:val="00143E49"/>
    <w:rsid w:val="00193119"/>
    <w:rsid w:val="001E0CA4"/>
    <w:rsid w:val="0021100A"/>
    <w:rsid w:val="002F2D65"/>
    <w:rsid w:val="00331A8A"/>
    <w:rsid w:val="003563F7"/>
    <w:rsid w:val="003B28C3"/>
    <w:rsid w:val="003E6908"/>
    <w:rsid w:val="00413C2D"/>
    <w:rsid w:val="004366B3"/>
    <w:rsid w:val="00440115"/>
    <w:rsid w:val="0046080E"/>
    <w:rsid w:val="00483C90"/>
    <w:rsid w:val="004B4774"/>
    <w:rsid w:val="004D0EC8"/>
    <w:rsid w:val="004D1B37"/>
    <w:rsid w:val="00581255"/>
    <w:rsid w:val="005820A2"/>
    <w:rsid w:val="005B170A"/>
    <w:rsid w:val="005C4928"/>
    <w:rsid w:val="005F10B0"/>
    <w:rsid w:val="005F5B1F"/>
    <w:rsid w:val="00611B1D"/>
    <w:rsid w:val="006313B1"/>
    <w:rsid w:val="00673EB2"/>
    <w:rsid w:val="006763AD"/>
    <w:rsid w:val="00681DD2"/>
    <w:rsid w:val="00690269"/>
    <w:rsid w:val="00696080"/>
    <w:rsid w:val="006B1AD8"/>
    <w:rsid w:val="006B7BAE"/>
    <w:rsid w:val="00705DFB"/>
    <w:rsid w:val="0071236B"/>
    <w:rsid w:val="00741515"/>
    <w:rsid w:val="007B13C2"/>
    <w:rsid w:val="007C4298"/>
    <w:rsid w:val="007C6A79"/>
    <w:rsid w:val="007D797C"/>
    <w:rsid w:val="007F35D2"/>
    <w:rsid w:val="0092079F"/>
    <w:rsid w:val="0096213B"/>
    <w:rsid w:val="009B3C21"/>
    <w:rsid w:val="009B51A3"/>
    <w:rsid w:val="009E5BBE"/>
    <w:rsid w:val="009E6F37"/>
    <w:rsid w:val="009F7B5D"/>
    <w:rsid w:val="00A64FC6"/>
    <w:rsid w:val="00AC1A12"/>
    <w:rsid w:val="00B80CB5"/>
    <w:rsid w:val="00B8627D"/>
    <w:rsid w:val="00C13DDC"/>
    <w:rsid w:val="00C51B64"/>
    <w:rsid w:val="00C52751"/>
    <w:rsid w:val="00C54698"/>
    <w:rsid w:val="00CA2DAA"/>
    <w:rsid w:val="00CC0EB8"/>
    <w:rsid w:val="00CC7855"/>
    <w:rsid w:val="00D87D67"/>
    <w:rsid w:val="00E44943"/>
    <w:rsid w:val="00E53392"/>
    <w:rsid w:val="00F56FC4"/>
    <w:rsid w:val="00F82E46"/>
    <w:rsid w:val="00FC00B0"/>
    <w:rsid w:val="00FF12D2"/>
    <w:rsid w:val="00FF55CE"/>
    <w:rsid w:val="02C1531D"/>
    <w:rsid w:val="071B3875"/>
    <w:rsid w:val="0AB34E04"/>
    <w:rsid w:val="0DC6401A"/>
    <w:rsid w:val="0DF30D4B"/>
    <w:rsid w:val="1096538D"/>
    <w:rsid w:val="1110038B"/>
    <w:rsid w:val="11902A8A"/>
    <w:rsid w:val="12297CF9"/>
    <w:rsid w:val="128819B3"/>
    <w:rsid w:val="137E24BA"/>
    <w:rsid w:val="15716B1A"/>
    <w:rsid w:val="173730A1"/>
    <w:rsid w:val="17D35E50"/>
    <w:rsid w:val="199C244D"/>
    <w:rsid w:val="19AA7401"/>
    <w:rsid w:val="19E22CC7"/>
    <w:rsid w:val="1BA63B03"/>
    <w:rsid w:val="1C8F30AE"/>
    <w:rsid w:val="214777F1"/>
    <w:rsid w:val="21DE176F"/>
    <w:rsid w:val="22683671"/>
    <w:rsid w:val="24673F50"/>
    <w:rsid w:val="254D147E"/>
    <w:rsid w:val="2920046A"/>
    <w:rsid w:val="2A99495F"/>
    <w:rsid w:val="2B7C6D74"/>
    <w:rsid w:val="2DAA2CF8"/>
    <w:rsid w:val="2E8B0915"/>
    <w:rsid w:val="3288573D"/>
    <w:rsid w:val="33A212C0"/>
    <w:rsid w:val="344250FD"/>
    <w:rsid w:val="34D9267E"/>
    <w:rsid w:val="372F4799"/>
    <w:rsid w:val="37AC2A04"/>
    <w:rsid w:val="3B850560"/>
    <w:rsid w:val="3C1E4D70"/>
    <w:rsid w:val="3CBE0D9F"/>
    <w:rsid w:val="3E0569D1"/>
    <w:rsid w:val="3E2E2725"/>
    <w:rsid w:val="3F43088C"/>
    <w:rsid w:val="41046039"/>
    <w:rsid w:val="41767F8A"/>
    <w:rsid w:val="44F901B8"/>
    <w:rsid w:val="46445777"/>
    <w:rsid w:val="46A7570B"/>
    <w:rsid w:val="46B60F87"/>
    <w:rsid w:val="46CA2092"/>
    <w:rsid w:val="47AC6A1D"/>
    <w:rsid w:val="480C50DB"/>
    <w:rsid w:val="494A71CD"/>
    <w:rsid w:val="49C37D91"/>
    <w:rsid w:val="4AA54ED9"/>
    <w:rsid w:val="4BCD7C02"/>
    <w:rsid w:val="4C5A0EFC"/>
    <w:rsid w:val="4D1B7EC6"/>
    <w:rsid w:val="4E0020A1"/>
    <w:rsid w:val="4F01352B"/>
    <w:rsid w:val="53086608"/>
    <w:rsid w:val="540E1011"/>
    <w:rsid w:val="54C939AE"/>
    <w:rsid w:val="550D4B37"/>
    <w:rsid w:val="55AF7E22"/>
    <w:rsid w:val="57B12A6A"/>
    <w:rsid w:val="57D305A7"/>
    <w:rsid w:val="590429E2"/>
    <w:rsid w:val="59B73677"/>
    <w:rsid w:val="59EF0568"/>
    <w:rsid w:val="5BBB1A7E"/>
    <w:rsid w:val="5D0D428B"/>
    <w:rsid w:val="5D80593A"/>
    <w:rsid w:val="5D964E94"/>
    <w:rsid w:val="6189617B"/>
    <w:rsid w:val="65904792"/>
    <w:rsid w:val="65A323A7"/>
    <w:rsid w:val="6633218F"/>
    <w:rsid w:val="6AF57C40"/>
    <w:rsid w:val="72AA112F"/>
    <w:rsid w:val="740D71D5"/>
    <w:rsid w:val="753B6497"/>
    <w:rsid w:val="760D6D27"/>
    <w:rsid w:val="76BD6253"/>
    <w:rsid w:val="76EC0E90"/>
    <w:rsid w:val="7A384B3C"/>
    <w:rsid w:val="7FB8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Company>
  <Pages>3</Pages>
  <Words>1345</Words>
  <Characters>1444</Characters>
  <Lines>99</Lines>
  <Paragraphs>74</Paragraphs>
  <TotalTime>1</TotalTime>
  <ScaleCrop>false</ScaleCrop>
  <LinksUpToDate>false</LinksUpToDate>
  <CharactersWithSpaces>1473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anxs</cp:lastModifiedBy>
  <dcterms:modified xsi:type="dcterms:W3CDTF">2026-03-31T11:09:03Z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B479D0E5632944839553BAB45D94E3E2</vt:lpwstr>
  </property>
  <property fmtid="{D5CDD505-2E9C-101B-9397-08002B2CF9AE}" pid="4" name="KSOTemplateDocerSaveRecord">
    <vt:lpwstr>eyJoZGlkIjoiZTRmYTVkMzM3ZGM4N2YwNGUzMDk2YmQ1NzRhZTQwY2IiLCJ1c2VySWQiOiI0MTU2MjIwMTUifQ==</vt:lpwstr>
  </property>
</Properties>
</file>