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标的7</w:t>
      </w:r>
    </w:p>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海南东方CZ7与CZ9海上风电项目接入系统工程施工1标段</w:t>
      </w:r>
    </w:p>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9"/>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default" w:ascii="宋体" w:hAnsi="宋体" w:eastAsia="宋体" w:cs="宋体"/>
                <w:b w:val="0"/>
                <w:bCs w:val="0"/>
                <w:snapToGrid w:val="0"/>
                <w:color w:val="auto"/>
                <w:kern w:val="0"/>
                <w:sz w:val="21"/>
                <w:szCs w:val="21"/>
                <w:highlight w:val="none"/>
                <w:u w:val="none"/>
                <w:vertAlign w:val="baseline"/>
                <w:lang w:val="en-US" w:eastAsia="zh-CN"/>
              </w:rPr>
              <w:t>南方电网规划〔2025〕111号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pPr>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2512-469007-04-01-706499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ind w:firstLine="210" w:firstLineChars="100"/>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南方电网工程〔2026〕15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海南电网规划〔2026〕7号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东方市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广东天联电力设计有限公司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cs="宋体"/>
                <w:b w:val="0"/>
                <w:bCs w:val="0"/>
                <w:snapToGrid w:val="0"/>
                <w:color w:val="auto"/>
                <w:kern w:val="0"/>
                <w:sz w:val="21"/>
                <w:szCs w:val="21"/>
                <w:highlight w:val="none"/>
                <w:u w:val="none"/>
                <w:vertAlign w:val="baseline"/>
                <w:lang w:val="en-US" w:eastAsia="zh-CN"/>
              </w:rPr>
              <w:t>/</w:t>
            </w:r>
          </w:p>
        </w:tc>
      </w:tr>
    </w:tbl>
    <w:p>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4755"/>
      <w:bookmarkStart w:id="2" w:name="_Toc13498"/>
      <w:bookmarkStart w:id="3" w:name="_Toc2871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keepNext w:val="0"/>
        <w:keepLines w:val="0"/>
        <w:pageBreakBefore w:val="0"/>
        <w:widowControl w:val="0"/>
        <w:kinsoku/>
        <w:wordWrap/>
        <w:overflowPunct/>
        <w:topLinePunct w:val="0"/>
        <w:autoSpaceDE/>
        <w:autoSpaceDN/>
        <w:bidi w:val="0"/>
        <w:spacing w:line="360" w:lineRule="auto"/>
        <w:ind w:left="0" w:leftChars="0" w:right="0" w:rightChars="0" w:firstLine="420" w:firstLineChars="200"/>
        <w:jc w:val="both"/>
        <w:textAlignment w:val="auto"/>
        <w:rPr>
          <w:rFonts w:hint="eastAsia" w:ascii="宋体" w:hAnsi="宋体" w:eastAsia="宋体" w:cs="宋体"/>
          <w:b w:val="0"/>
          <w:bCs w:val="0"/>
          <w:snapToGrid w:val="0"/>
          <w:color w:val="auto"/>
          <w:kern w:val="0"/>
          <w:sz w:val="21"/>
          <w:szCs w:val="21"/>
          <w:highlight w:val="none"/>
          <w:u w:val="none"/>
          <w:lang w:val="en-US" w:eastAsia="zh-CN" w:bidi="ar-SA"/>
        </w:rPr>
      </w:pPr>
      <w:r>
        <w:rPr>
          <w:rFonts w:hint="eastAsia" w:ascii="宋体" w:hAnsi="宋体" w:eastAsia="宋体" w:cs="宋体"/>
          <w:b w:val="0"/>
          <w:bCs w:val="0"/>
          <w:snapToGrid w:val="0"/>
          <w:color w:val="auto"/>
          <w:kern w:val="0"/>
          <w:sz w:val="21"/>
          <w:szCs w:val="21"/>
          <w:highlight w:val="none"/>
          <w:u w:val="none"/>
          <w:lang w:val="en-US" w:eastAsia="zh-CN" w:bidi="ar-SA"/>
        </w:rPr>
        <w:t>（一）东方500kV变电站新建工程</w:t>
      </w:r>
    </w:p>
    <w:p>
      <w:pPr>
        <w:keepNext w:val="0"/>
        <w:keepLines w:val="0"/>
        <w:pageBreakBefore w:val="0"/>
        <w:widowControl w:val="0"/>
        <w:kinsoku/>
        <w:wordWrap/>
        <w:topLinePunct w:val="0"/>
        <w:bidi w:val="0"/>
        <w:adjustRightInd w:val="0"/>
        <w:snapToGrid/>
        <w:spacing w:line="360" w:lineRule="auto"/>
        <w:ind w:firstLine="420" w:firstLineChars="200"/>
        <w:jc w:val="both"/>
        <w:rPr>
          <w:rFonts w:hint="eastAsia" w:ascii="宋体" w:hAnsi="宋体" w:eastAsia="宋体" w:cs="宋体"/>
          <w:b w:val="0"/>
          <w:bCs w:val="0"/>
          <w:snapToGrid w:val="0"/>
          <w:color w:val="auto"/>
          <w:kern w:val="0"/>
          <w:sz w:val="21"/>
          <w:szCs w:val="21"/>
          <w:highlight w:val="none"/>
          <w:u w:val="none"/>
          <w:lang w:val="en-US" w:eastAsia="zh-CN" w:bidi="ar-SA"/>
        </w:rPr>
      </w:pPr>
      <w:r>
        <w:rPr>
          <w:rFonts w:hint="eastAsia" w:ascii="宋体" w:hAnsi="宋体" w:eastAsia="宋体" w:cs="宋体"/>
          <w:b w:val="0"/>
          <w:bCs w:val="0"/>
          <w:snapToGrid w:val="0"/>
          <w:color w:val="auto"/>
          <w:kern w:val="0"/>
          <w:sz w:val="21"/>
          <w:szCs w:val="21"/>
          <w:highlight w:val="none"/>
          <w:u w:val="none"/>
          <w:lang w:val="en-US" w:eastAsia="zh-CN" w:bidi="ar-SA"/>
        </w:rPr>
        <w:t>远期按500kV变电站考虑，本期仅建设500kV开关站。新建500kV出线6回，其中至三亚变Ⅰ回出线安装1组120Mvar高压并联电抗器。500kV采用1个半断路器接线，本期安装10台断路器，采用GIS设备。</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bidi="ar-SA"/>
        </w:rPr>
      </w:pPr>
      <w:r>
        <w:rPr>
          <w:rFonts w:hint="eastAsia" w:ascii="宋体" w:hAnsi="宋体" w:eastAsia="宋体" w:cs="宋体"/>
          <w:b w:val="0"/>
          <w:bCs w:val="0"/>
          <w:snapToGrid w:val="0"/>
          <w:color w:val="auto"/>
          <w:kern w:val="0"/>
          <w:sz w:val="21"/>
          <w:szCs w:val="21"/>
          <w:highlight w:val="none"/>
          <w:u w:val="none"/>
          <w:lang w:val="en-US" w:eastAsia="zh-CN" w:bidi="ar-SA"/>
        </w:rPr>
        <w:t>本工程按最终规模一次征地。全站总征地面积6.53公顷（98.0亩），其中围墙内占地4.74公顷。全站总建筑面积6205.88m2，其中主控通信楼2362.80m2。</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bidi="ar-SA"/>
        </w:rPr>
      </w:pPr>
      <w:r>
        <w:rPr>
          <w:rFonts w:hint="eastAsia" w:ascii="宋体" w:hAnsi="宋体" w:eastAsia="宋体" w:cs="宋体"/>
          <w:b w:val="0"/>
          <w:bCs w:val="0"/>
          <w:snapToGrid w:val="0"/>
          <w:color w:val="auto"/>
          <w:kern w:val="0"/>
          <w:sz w:val="21"/>
          <w:szCs w:val="21"/>
          <w:highlight w:val="none"/>
          <w:u w:val="none"/>
          <w:lang w:val="en-US" w:eastAsia="zh-CN" w:bidi="ar-SA"/>
        </w:rPr>
        <w:t>（二）昌化500kV变电站间隔扩建工程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bidi="ar-SA"/>
        </w:rPr>
        <w:t>扩建500kV</w:t>
      </w:r>
      <w:r>
        <w:rPr>
          <w:rFonts w:hint="eastAsia" w:ascii="宋体" w:hAnsi="宋体" w:eastAsia="宋体" w:cs="宋体"/>
          <w:b w:val="0"/>
          <w:bCs w:val="0"/>
          <w:snapToGrid w:val="0"/>
          <w:color w:val="auto"/>
          <w:kern w:val="0"/>
          <w:sz w:val="21"/>
          <w:szCs w:val="21"/>
          <w:highlight w:val="none"/>
          <w:u w:val="none"/>
          <w:lang w:val="en-US" w:eastAsia="zh-CN"/>
        </w:rPr>
        <w:t>出线1回，并将前期1组高压并联电抗器中性点小抗由900Ω更换为400Ω。</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500kV采用1个半断路器接线，本期安装2台断路器，采用GIS设备。</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（三）CZ7陆上集控站～东方变电站500kV线路工程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新建线路路径长度26km，其中新建CZ7陆上集控站～东方变电站线路路径长度25.7km，除在CZ7集控站采用1基双回路终端塔外（本期一次建成，与CZ7集控站～CZ9集控站500kV联络线路共塔），其余段按单回路架设；新建CZ7集控站～CZ9集控站500kV联络线路路径长度0.3km，利用本期CZ7、CZ9集控站双回路终端塔连接（两端双回路终端塔分别与CZ7集控站～东方变电站500kV线路、CZ9集控站～东方变电站500kV线路同塔架设），终端塔之间按单回路架设。</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全线设计基本风速为39m/s，按无覆冰设计。</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导线采用JNRLH1/LB20A-400/35铝包钢芯耐热铝合金绞线，每相4分裂。</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全线采用自立式角钢塔和钢管塔。单回路悬垂塔采用酒杯型塔，单回路耐张塔采用干字型塔;双回路塔采用伞型塔。</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根据不同地质条件，因地制宜采用挖孔桩基础、嵌岩桩基础、钻孔灌注桩基础等基础型式。</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（四）CZ9陆上集控站～东方变电站500kV线路工程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新建线路路径长度25.3km，除CZ9集控站采用1基双回路终端塔外（本期一次建成，与CZ7集控站～CZ9集控站联络线路共塔），其余段按单回路架设。</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全线设计基本风速为39m/s，按无覆冰设计。</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导线采用JNRLH1/LB20A-400/35铝包钢芯耐热铝合金绞线，每相4分裂。</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全线采用自立式角钢塔和钢管塔。单回路悬垂塔采用酒杯型塔，单回路耐张塔采用干字型塔;双回路塔采用伞型塔。</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根据不同地质条件，因地制宜采用挖孔桩基础、嵌岩桩基础、钻孔灌注桩基础等基础型式。</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w:t>
      </w:r>
      <w:r>
        <w:rPr>
          <w:rFonts w:hint="eastAsia" w:hAnsi="宋体" w:cs="宋体"/>
          <w:b w:val="0"/>
          <w:bCs w:val="0"/>
          <w:snapToGrid w:val="0"/>
          <w:color w:val="auto"/>
          <w:kern w:val="0"/>
          <w:sz w:val="21"/>
          <w:szCs w:val="21"/>
          <w:highlight w:val="none"/>
          <w:u w:val="none"/>
          <w:lang w:val="en-US" w:eastAsia="zh-CN"/>
        </w:rPr>
        <w:t>五</w:t>
      </w:r>
      <w:r>
        <w:rPr>
          <w:rFonts w:hint="eastAsia" w:ascii="宋体" w:hAnsi="宋体" w:eastAsia="宋体" w:cs="宋体"/>
          <w:b w:val="0"/>
          <w:bCs w:val="0"/>
          <w:snapToGrid w:val="0"/>
          <w:color w:val="auto"/>
          <w:kern w:val="0"/>
          <w:sz w:val="21"/>
          <w:szCs w:val="21"/>
          <w:highlight w:val="none"/>
          <w:u w:val="none"/>
          <w:lang w:val="en-US" w:eastAsia="zh-CN"/>
        </w:rPr>
        <w:t>）光纤通信工程</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随CZ7～东方新建的单回500kV线路架设2根48芯OPGW，新建线路长度约为25.7km；</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随CZ9～东方新建的单回500kV线路架设2根48芯OPGW，新建线路长度约为25.3km;</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随CZ7～CZ9之间新建的单回500kV线路架设1根48芯OPGW, 新建线路长度约为0.3km。</w:t>
      </w:r>
    </w:p>
    <w:p>
      <w:pPr>
        <w:pStyle w:val="6"/>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另在CZ7～CZ9之间敷设的1根48芯管道光缆，新建光缆路径长度约为0.3km，投资计列在海上风电本体工程。</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通信系统、主站系统（站外部分）</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highlight w:val="none"/>
          <w:u w:val="none"/>
        </w:rPr>
      </w:pPr>
      <w:r>
        <w:rPr>
          <w:rFonts w:hint="eastAsia" w:ascii="宋体" w:hAnsi="宋体" w:eastAsia="宋体" w:cs="宋体"/>
          <w:bCs/>
          <w:color w:val="auto"/>
          <w:sz w:val="21"/>
          <w:szCs w:val="21"/>
          <w:highlight w:val="none"/>
          <w:u w:val="none"/>
          <w:lang w:val="en-US" w:eastAsia="zh-CN"/>
        </w:rPr>
        <w:t>2.项目如有涉及保护树种移植相关费用，最终以发包单位审批的方案，据实结算</w:t>
      </w:r>
      <w:r>
        <w:rPr>
          <w:rFonts w:hint="eastAsia" w:ascii="宋体" w:hAnsi="宋体" w:eastAsia="宋体" w:cs="宋体"/>
          <w:color w:val="auto"/>
          <w:sz w:val="21"/>
          <w:szCs w:val="21"/>
          <w:highlight w:val="none"/>
          <w:u w:val="none"/>
          <w:lang w:val="en-US" w:eastAsia="zh-CN"/>
        </w:rPr>
        <w:t>。</w:t>
      </w:r>
    </w:p>
    <w:p>
      <w:pPr>
        <w:pStyle w:val="3"/>
        <w:ind w:firstLine="420"/>
        <w:rPr>
          <w:rFonts w:hint="eastAsia" w:ascii="宋体" w:hAnsi="宋体" w:cs="宋体"/>
          <w:b w:val="0"/>
          <w:i w:val="0"/>
          <w:color w:val="auto"/>
          <w:kern w:val="2"/>
          <w:sz w:val="21"/>
          <w:szCs w:val="21"/>
          <w:highlight w:val="none"/>
          <w:lang w:val="en-US" w:eastAsia="zh-CN" w:bidi="ar-SA"/>
        </w:rPr>
      </w:pPr>
      <w:r>
        <w:rPr>
          <w:rFonts w:hint="eastAsia" w:ascii="宋体" w:hAnsi="宋体" w:cs="宋体"/>
          <w:b w:val="0"/>
          <w:i w:val="0"/>
          <w:color w:val="auto"/>
          <w:kern w:val="2"/>
          <w:sz w:val="21"/>
          <w:szCs w:val="21"/>
          <w:highlight w:val="none"/>
          <w:lang w:val="en-US" w:eastAsia="zh-CN" w:bidi="ar-SA"/>
        </w:rPr>
        <w:t>3.项目如需实施桩基础检测、主体工程检测，以发包单位委托单及审批的方案，据实结算。</w:t>
      </w:r>
    </w:p>
    <w:p>
      <w:pPr>
        <w:ind w:firstLine="420"/>
        <w:rPr>
          <w:rFonts w:hint="default"/>
          <w:highlight w:val="none"/>
          <w:lang w:val="en-US" w:eastAsia="zh-CN"/>
        </w:rPr>
      </w:pPr>
      <w:r>
        <w:rPr>
          <w:rFonts w:hint="eastAsia"/>
          <w:highlight w:val="none"/>
          <w:lang w:val="en-US" w:eastAsia="zh-CN"/>
        </w:rPr>
        <w:t>4.架空线路跨越铁路时，按88万元/处暂估计入合同控制价，</w:t>
      </w:r>
      <w:r>
        <w:rPr>
          <w:rFonts w:hint="eastAsia" w:ascii="宋体" w:hAnsi="宋体" w:eastAsia="宋体" w:cs="宋体"/>
          <w:bCs/>
          <w:color w:val="auto"/>
          <w:sz w:val="21"/>
          <w:szCs w:val="21"/>
          <w:highlight w:val="none"/>
          <w:u w:val="none"/>
          <w:lang w:val="en-US" w:eastAsia="zh-CN"/>
        </w:rPr>
        <w:t>最终以发包单位审批的方案，据实结算</w:t>
      </w:r>
      <w:r>
        <w:rPr>
          <w:rFonts w:hint="eastAsia" w:ascii="宋体" w:hAnsi="宋体" w:cs="宋体"/>
          <w:bCs/>
          <w:color w:val="auto"/>
          <w:sz w:val="21"/>
          <w:szCs w:val="21"/>
          <w:highlight w:val="none"/>
          <w:u w:val="none"/>
          <w:lang w:val="en-US" w:eastAsia="zh-CN"/>
        </w:rPr>
        <w:t>（不考虑下浮系数）</w:t>
      </w:r>
      <w:r>
        <w:rPr>
          <w:rFonts w:hint="eastAsia" w:ascii="宋体" w:hAnsi="宋体" w:eastAsia="宋体" w:cs="宋体"/>
          <w:color w:val="auto"/>
          <w:sz w:val="21"/>
          <w:szCs w:val="21"/>
          <w:highlight w:val="none"/>
          <w:u w:val="none"/>
          <w:lang w:val="en-US" w:eastAsia="zh-CN"/>
        </w:rPr>
        <w:t>。</w:t>
      </w:r>
    </w:p>
    <w:p>
      <w:pPr>
        <w:pStyle w:val="6"/>
        <w:keepNext w:val="0"/>
        <w:keepLines w:val="0"/>
        <w:pageBreakBefore w:val="0"/>
        <w:numPr>
          <w:ilvl w:val="0"/>
          <w:numId w:val="0"/>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pStyle w:val="6"/>
        <w:keepNext w:val="0"/>
        <w:keepLines w:val="0"/>
        <w:pageBreakBefore w:val="0"/>
        <w:widowControl w:val="0"/>
        <w:kinsoku/>
        <w:wordWrap/>
        <w:overflowPunct/>
        <w:topLinePunct w:val="0"/>
        <w:autoSpaceDE/>
        <w:autoSpaceDN/>
        <w:bidi w:val="0"/>
        <w:adjustRightInd/>
        <w:snapToGrid/>
        <w:spacing w:line="480" w:lineRule="atLeast"/>
        <w:textAlignment w:val="auto"/>
        <w:outlineLvl w:val="9"/>
        <w:rPr>
          <w:rFonts w:hint="eastAsia" w:asciiTheme="minorEastAsia" w:hAnsiTheme="minorEastAsia" w:eastAsiaTheme="minorEastAsia" w:cstheme="minorEastAsia"/>
          <w:color w:val="auto"/>
          <w:highlight w:val="none"/>
          <w:lang w:val="en-US" w:eastAsia="zh-CN"/>
        </w:rPr>
      </w:pPr>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1EA0BBA"/>
    <w:rsid w:val="02294F89"/>
    <w:rsid w:val="03401ADA"/>
    <w:rsid w:val="03A53B02"/>
    <w:rsid w:val="04A24F71"/>
    <w:rsid w:val="06520FFB"/>
    <w:rsid w:val="06810BE5"/>
    <w:rsid w:val="06B1238C"/>
    <w:rsid w:val="07091E9E"/>
    <w:rsid w:val="08361E2C"/>
    <w:rsid w:val="092036A8"/>
    <w:rsid w:val="0BC07002"/>
    <w:rsid w:val="0D277AA0"/>
    <w:rsid w:val="10D87C07"/>
    <w:rsid w:val="1138611B"/>
    <w:rsid w:val="11482125"/>
    <w:rsid w:val="116419AD"/>
    <w:rsid w:val="11DF6CFE"/>
    <w:rsid w:val="12A13D0F"/>
    <w:rsid w:val="14440D4B"/>
    <w:rsid w:val="15056A61"/>
    <w:rsid w:val="17BC3393"/>
    <w:rsid w:val="181450F3"/>
    <w:rsid w:val="18953F09"/>
    <w:rsid w:val="18D760D3"/>
    <w:rsid w:val="18E57496"/>
    <w:rsid w:val="1A5E5008"/>
    <w:rsid w:val="1AD65683"/>
    <w:rsid w:val="1B663F82"/>
    <w:rsid w:val="1BF61BDE"/>
    <w:rsid w:val="1D002639"/>
    <w:rsid w:val="1E0B2C54"/>
    <w:rsid w:val="216F4D5B"/>
    <w:rsid w:val="21B74FEF"/>
    <w:rsid w:val="23413BD4"/>
    <w:rsid w:val="24F737D8"/>
    <w:rsid w:val="273F4635"/>
    <w:rsid w:val="281556A3"/>
    <w:rsid w:val="2A5F22EC"/>
    <w:rsid w:val="2C2218E8"/>
    <w:rsid w:val="2EF744D3"/>
    <w:rsid w:val="2FF65FF8"/>
    <w:rsid w:val="300D195C"/>
    <w:rsid w:val="3060369A"/>
    <w:rsid w:val="30BF37B5"/>
    <w:rsid w:val="33336984"/>
    <w:rsid w:val="33851415"/>
    <w:rsid w:val="34E034E5"/>
    <w:rsid w:val="355C6F05"/>
    <w:rsid w:val="35803A8B"/>
    <w:rsid w:val="361736AD"/>
    <w:rsid w:val="36D200CF"/>
    <w:rsid w:val="378972BA"/>
    <w:rsid w:val="37B4116F"/>
    <w:rsid w:val="38382DC3"/>
    <w:rsid w:val="38DE045C"/>
    <w:rsid w:val="3B572E0B"/>
    <w:rsid w:val="3C3333A5"/>
    <w:rsid w:val="3C4A35F1"/>
    <w:rsid w:val="3D3F7E21"/>
    <w:rsid w:val="3D404689"/>
    <w:rsid w:val="3D8175A7"/>
    <w:rsid w:val="3FB3468C"/>
    <w:rsid w:val="44D414C9"/>
    <w:rsid w:val="46472D5E"/>
    <w:rsid w:val="472C2557"/>
    <w:rsid w:val="49167B33"/>
    <w:rsid w:val="49265AC8"/>
    <w:rsid w:val="497B140B"/>
    <w:rsid w:val="4ABA71C6"/>
    <w:rsid w:val="4B3A1BDA"/>
    <w:rsid w:val="4E2E1997"/>
    <w:rsid w:val="4E6C5236"/>
    <w:rsid w:val="4FE01E45"/>
    <w:rsid w:val="50240F2B"/>
    <w:rsid w:val="507B3005"/>
    <w:rsid w:val="51517155"/>
    <w:rsid w:val="52E734B9"/>
    <w:rsid w:val="535B7567"/>
    <w:rsid w:val="5411167A"/>
    <w:rsid w:val="54EF1F60"/>
    <w:rsid w:val="550514B7"/>
    <w:rsid w:val="55C3156A"/>
    <w:rsid w:val="56A84EC8"/>
    <w:rsid w:val="5AEC29EC"/>
    <w:rsid w:val="608606DE"/>
    <w:rsid w:val="61806520"/>
    <w:rsid w:val="61CF1286"/>
    <w:rsid w:val="63C52F7A"/>
    <w:rsid w:val="64931D8E"/>
    <w:rsid w:val="65225574"/>
    <w:rsid w:val="65306B7B"/>
    <w:rsid w:val="65354E1B"/>
    <w:rsid w:val="65CA2936"/>
    <w:rsid w:val="65D95304"/>
    <w:rsid w:val="66443719"/>
    <w:rsid w:val="665D487D"/>
    <w:rsid w:val="66C35559"/>
    <w:rsid w:val="695912BA"/>
    <w:rsid w:val="6A287B5E"/>
    <w:rsid w:val="6B303A1A"/>
    <w:rsid w:val="6B593D2B"/>
    <w:rsid w:val="6DAA2FDF"/>
    <w:rsid w:val="6DFC1F85"/>
    <w:rsid w:val="6E121228"/>
    <w:rsid w:val="70D1495F"/>
    <w:rsid w:val="71B40378"/>
    <w:rsid w:val="72395514"/>
    <w:rsid w:val="772527A8"/>
    <w:rsid w:val="78440BA6"/>
    <w:rsid w:val="78BC6089"/>
    <w:rsid w:val="79C76AF4"/>
    <w:rsid w:val="7B3D6049"/>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3">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Body Text Indent"/>
    <w:basedOn w:val="1"/>
    <w:qFormat/>
    <w:uiPriority w:val="0"/>
    <w:pPr>
      <w:spacing w:after="120"/>
      <w:ind w:left="420" w:leftChars="200"/>
    </w:pPr>
  </w:style>
  <w:style w:type="paragraph" w:styleId="6">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anxs</cp:lastModifiedBy>
  <dcterms:modified xsi:type="dcterms:W3CDTF">2026-03-31T11:10:14Z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4C6BB88D7247469EBC7894C177D69FA7_13</vt:lpwstr>
  </property>
</Properties>
</file>