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outlineLvl w:val="0"/>
        <w:rPr>
          <w:rFonts w:hint="default" w:asciiTheme="minorEastAsia" w:hAnsiTheme="minorEastAsia" w:eastAsiaTheme="minorEastAsia" w:cstheme="minorEastAsia"/>
          <w:b/>
          <w:bCs/>
          <w:snapToGrid w:val="0"/>
          <w:color w:val="auto"/>
          <w:sz w:val="28"/>
          <w:szCs w:val="28"/>
          <w:u w:val="single"/>
          <w:lang w:val="en-US" w:eastAsia="zh-CN"/>
        </w:rPr>
      </w:pPr>
      <w:r>
        <w:rPr>
          <w:rFonts w:hint="eastAsia" w:asciiTheme="minorEastAsia" w:hAnsiTheme="minorEastAsia" w:eastAsiaTheme="minorEastAsia" w:cstheme="minorEastAsia"/>
          <w:b/>
          <w:bCs/>
          <w:snapToGrid w:val="0"/>
          <w:color w:val="auto"/>
          <w:sz w:val="28"/>
          <w:szCs w:val="28"/>
          <w:u w:val="single"/>
          <w:lang w:val="en-US" w:eastAsia="zh-CN"/>
        </w:rPr>
        <w:t>标的9</w:t>
      </w:r>
      <w:bookmarkStart w:id="3" w:name="_GoBack"/>
      <w:bookmarkEnd w:id="3"/>
    </w:p>
    <w:p>
      <w:pPr>
        <w:pStyle w:val="6"/>
        <w:spacing w:line="360" w:lineRule="auto"/>
        <w:jc w:val="center"/>
        <w:outlineLvl w:val="0"/>
        <w:rPr>
          <w:rFonts w:asciiTheme="minorEastAsia" w:hAnsiTheme="minorEastAsia" w:eastAsiaTheme="minorEastAsia" w:cstheme="minorEastAsia"/>
          <w:b/>
          <w:bCs/>
          <w:snapToGrid w:val="0"/>
          <w:color w:val="auto"/>
          <w:sz w:val="28"/>
          <w:szCs w:val="28"/>
          <w:u w:val="single"/>
        </w:rPr>
      </w:pPr>
      <w:r>
        <w:rPr>
          <w:rFonts w:hint="eastAsia" w:asciiTheme="minorEastAsia" w:hAnsiTheme="minorEastAsia" w:eastAsiaTheme="minorEastAsia" w:cstheme="minorEastAsia"/>
          <w:b/>
          <w:bCs/>
          <w:snapToGrid w:val="0"/>
          <w:color w:val="auto"/>
          <w:sz w:val="28"/>
          <w:szCs w:val="28"/>
          <w:u w:val="single"/>
          <w:lang w:val="en-US" w:eastAsia="zh-CN"/>
        </w:rPr>
        <w:t>项目</w:t>
      </w:r>
      <w:r>
        <w:rPr>
          <w:rFonts w:hint="eastAsia" w:asciiTheme="minorEastAsia" w:hAnsiTheme="minorEastAsia" w:eastAsiaTheme="minorEastAsia" w:cstheme="minorEastAsia"/>
          <w:b/>
          <w:bCs/>
          <w:snapToGrid w:val="0"/>
          <w:color w:val="auto"/>
          <w:sz w:val="28"/>
          <w:szCs w:val="28"/>
          <w:u w:val="single"/>
        </w:rPr>
        <w:t>名称：220千伏白石洲（沙洲）输变电工程</w:t>
      </w:r>
      <w:r>
        <w:rPr>
          <w:rFonts w:hint="eastAsia" w:asciiTheme="minorEastAsia" w:hAnsiTheme="minorEastAsia" w:eastAsiaTheme="minorEastAsia" w:cstheme="minorEastAsia"/>
          <w:b/>
          <w:bCs/>
          <w:snapToGrid w:val="0"/>
          <w:color w:val="auto"/>
          <w:sz w:val="28"/>
          <w:szCs w:val="28"/>
          <w:u w:val="single"/>
          <w:lang w:eastAsia="zh-CN"/>
        </w:rPr>
        <w:t>（线路部分）</w:t>
      </w:r>
      <w:r>
        <w:rPr>
          <w:rFonts w:hint="eastAsia" w:asciiTheme="minorEastAsia" w:hAnsiTheme="minorEastAsia" w:eastAsiaTheme="minorEastAsia" w:cstheme="minorEastAsia"/>
          <w:b/>
          <w:bCs/>
          <w:snapToGrid w:val="0"/>
          <w:color w:val="auto"/>
          <w:sz w:val="28"/>
          <w:szCs w:val="28"/>
          <w:u w:val="single"/>
        </w:rPr>
        <w:t>施工</w:t>
      </w:r>
    </w:p>
    <w:p>
      <w:pPr>
        <w:pStyle w:val="6"/>
        <w:spacing w:line="360" w:lineRule="auto"/>
        <w:jc w:val="center"/>
        <w:outlineLvl w:val="0"/>
        <w:rPr>
          <w:rFonts w:hAnsi="宋体" w:cs="宋体"/>
          <w:b/>
          <w:bCs/>
          <w:snapToGrid w:val="0"/>
          <w:color w:val="auto"/>
          <w:sz w:val="24"/>
          <w:szCs w:val="24"/>
          <w:u w:val="single"/>
        </w:rPr>
      </w:pPr>
      <w:r>
        <w:rPr>
          <w:rFonts w:hint="eastAsia" w:hAnsi="宋体" w:cs="宋体"/>
          <w:b/>
          <w:bCs/>
          <w:snapToGrid w:val="0"/>
          <w:color w:val="auto"/>
          <w:sz w:val="24"/>
          <w:szCs w:val="24"/>
          <w:u w:val="single"/>
        </w:rPr>
        <w:t>招标前期资料</w:t>
      </w:r>
    </w:p>
    <w:tbl>
      <w:tblPr>
        <w:tblStyle w:val="10"/>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序号</w:t>
            </w:r>
          </w:p>
        </w:tc>
        <w:tc>
          <w:tcPr>
            <w:tcW w:w="2263" w:type="dxa"/>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文件名称</w:t>
            </w:r>
          </w:p>
        </w:tc>
        <w:tc>
          <w:tcPr>
            <w:tcW w:w="3574" w:type="dxa"/>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1</w:t>
            </w:r>
          </w:p>
        </w:tc>
        <w:tc>
          <w:tcPr>
            <w:tcW w:w="2263" w:type="dxa"/>
          </w:tcPr>
          <w:p>
            <w:pPr>
              <w:pStyle w:val="6"/>
              <w:spacing w:line="360" w:lineRule="auto"/>
              <w:jc w:val="center"/>
              <w:rPr>
                <w:rFonts w:hAnsi="宋体" w:cs="宋体"/>
                <w:b/>
                <w:bCs/>
                <w:snapToGrid w:val="0"/>
                <w:color w:val="auto"/>
                <w:sz w:val="24"/>
                <w:szCs w:val="24"/>
              </w:rPr>
            </w:pPr>
            <w:r>
              <w:rPr>
                <w:rFonts w:hint="eastAsia" w:hAnsi="宋体" w:cs="宋体"/>
                <w:b/>
                <w:bCs/>
                <w:color w:val="auto"/>
                <w:sz w:val="21"/>
                <w:szCs w:val="21"/>
              </w:rPr>
              <w:t>可研批复文号</w:t>
            </w:r>
          </w:p>
        </w:tc>
        <w:tc>
          <w:tcPr>
            <w:tcW w:w="3574" w:type="dxa"/>
            <w:vAlign w:val="top"/>
          </w:tcPr>
          <w:p>
            <w:pPr>
              <w:pStyle w:val="6"/>
              <w:spacing w:line="360" w:lineRule="auto"/>
              <w:jc w:val="center"/>
              <w:rPr>
                <w:rFonts w:hAnsi="宋体" w:cs="宋体"/>
                <w:b/>
                <w:bCs/>
                <w:snapToGrid w:val="0"/>
                <w:color w:val="auto"/>
                <w:sz w:val="24"/>
                <w:szCs w:val="24"/>
                <w:u w:val="single"/>
              </w:rPr>
            </w:pPr>
            <w:r>
              <w:rPr>
                <w:rFonts w:hint="eastAsia" w:ascii="宋体" w:hAnsi="宋体" w:eastAsia="宋体" w:cs="宋体"/>
                <w:i w:val="0"/>
                <w:iCs w:val="0"/>
                <w:strike w:val="0"/>
                <w:dstrike w:val="0"/>
                <w:color w:val="auto"/>
                <w:kern w:val="0"/>
                <w:sz w:val="21"/>
                <w:szCs w:val="21"/>
                <w:highlight w:val="none"/>
                <w:u w:val="none"/>
                <w:lang w:val="en-US" w:eastAsia="zh-CN" w:bidi="ar-SA"/>
              </w:rPr>
              <w:t>深供电工程〔2024〕1号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2</w:t>
            </w:r>
          </w:p>
        </w:tc>
        <w:tc>
          <w:tcPr>
            <w:tcW w:w="2263" w:type="dxa"/>
          </w:tcPr>
          <w:p>
            <w:pPr>
              <w:pStyle w:val="6"/>
              <w:spacing w:line="360" w:lineRule="auto"/>
              <w:jc w:val="center"/>
              <w:rPr>
                <w:rFonts w:hAnsi="宋体" w:cs="宋体"/>
                <w:b/>
                <w:bCs/>
                <w:snapToGrid w:val="0"/>
                <w:color w:val="auto"/>
                <w:sz w:val="24"/>
                <w:szCs w:val="24"/>
              </w:rPr>
            </w:pPr>
            <w:r>
              <w:rPr>
                <w:rFonts w:hint="eastAsia" w:hAnsi="宋体" w:cs="宋体"/>
                <w:b/>
                <w:bCs/>
                <w:color w:val="auto"/>
                <w:sz w:val="21"/>
                <w:szCs w:val="21"/>
              </w:rPr>
              <w:t>项目核准文号</w:t>
            </w:r>
          </w:p>
        </w:tc>
        <w:tc>
          <w:tcPr>
            <w:tcW w:w="3574" w:type="dxa"/>
            <w:vAlign w:val="top"/>
          </w:tcPr>
          <w:p>
            <w:pPr>
              <w:pStyle w:val="6"/>
              <w:spacing w:line="360" w:lineRule="auto"/>
              <w:jc w:val="center"/>
              <w:rPr>
                <w:rFonts w:hAnsi="宋体" w:cs="宋体"/>
                <w:b/>
                <w:bCs/>
                <w:snapToGrid w:val="0"/>
                <w:color w:val="auto"/>
                <w:sz w:val="24"/>
                <w:szCs w:val="24"/>
                <w:u w:val="single"/>
              </w:rPr>
            </w:pPr>
            <w:r>
              <w:rPr>
                <w:rFonts w:hint="eastAsia" w:ascii="宋体" w:hAnsi="宋体" w:eastAsia="宋体" w:cs="宋体"/>
                <w:i w:val="0"/>
                <w:iCs w:val="0"/>
                <w:strike w:val="0"/>
                <w:dstrike w:val="0"/>
                <w:color w:val="auto"/>
                <w:kern w:val="0"/>
                <w:sz w:val="21"/>
                <w:szCs w:val="21"/>
                <w:highlight w:val="none"/>
                <w:u w:val="none"/>
                <w:lang w:val="en-US" w:eastAsia="zh-CN" w:bidi="ar-SA"/>
              </w:rPr>
              <w:t>深南山发改核准【2024】0001号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3</w:t>
            </w:r>
          </w:p>
        </w:tc>
        <w:tc>
          <w:tcPr>
            <w:tcW w:w="2263" w:type="dxa"/>
          </w:tcPr>
          <w:p>
            <w:pPr>
              <w:pStyle w:val="6"/>
              <w:spacing w:line="360" w:lineRule="auto"/>
              <w:jc w:val="center"/>
              <w:rPr>
                <w:rFonts w:hAnsi="宋体" w:cs="宋体"/>
                <w:b/>
                <w:bCs/>
                <w:snapToGrid w:val="0"/>
                <w:color w:val="auto"/>
                <w:sz w:val="24"/>
                <w:szCs w:val="24"/>
              </w:rPr>
            </w:pPr>
            <w:r>
              <w:rPr>
                <w:rFonts w:hint="eastAsia" w:hAnsi="宋体" w:cs="宋体"/>
                <w:b/>
                <w:bCs/>
                <w:color w:val="auto"/>
                <w:sz w:val="21"/>
                <w:szCs w:val="21"/>
              </w:rPr>
              <w:t>初设批复文号</w:t>
            </w:r>
          </w:p>
        </w:tc>
        <w:tc>
          <w:tcPr>
            <w:tcW w:w="3574" w:type="dxa"/>
            <w:vAlign w:val="center"/>
          </w:tcPr>
          <w:p>
            <w:pPr>
              <w:pStyle w:val="6"/>
              <w:spacing w:line="360" w:lineRule="auto"/>
              <w:jc w:val="center"/>
              <w:rPr>
                <w:rFonts w:hAnsi="宋体" w:cs="宋体"/>
                <w:b/>
                <w:bCs/>
                <w:snapToGrid w:val="0"/>
                <w:color w:val="auto"/>
                <w:sz w:val="24"/>
                <w:szCs w:val="24"/>
              </w:rPr>
            </w:pPr>
            <w:r>
              <w:rPr>
                <w:rFonts w:hint="eastAsia" w:ascii="宋体" w:hAnsi="宋体" w:eastAsia="宋体" w:cs="宋体"/>
                <w:strike w:val="0"/>
                <w:dstrike w:val="0"/>
                <w:color w:val="auto"/>
                <w:sz w:val="21"/>
                <w:szCs w:val="21"/>
                <w:highlight w:val="none"/>
                <w:lang w:val="en-US" w:eastAsia="zh-CN"/>
              </w:rPr>
              <w:t>深供电基建〔2025〕47号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4</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资金落实情况</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highlight w:val="none"/>
              </w:rPr>
              <w:t>资金已落实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5</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施工图预算批复文号</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highlight w:val="none"/>
              </w:rPr>
              <w:t>深供电基建〔2026〕17号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6</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项目建设单位</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highlight w:val="none"/>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7</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项目建设地点</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highlight w:val="none"/>
              </w:rPr>
              <w:t>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8</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前期的设计或咨询服务单位名称</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highlight w:val="none"/>
                <w:lang w:val="en-US" w:eastAsia="zh-CN"/>
              </w:rPr>
              <w:t>深圳供电规划设计院有限公司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6"/>
              <w:spacing w:line="360" w:lineRule="auto"/>
              <w:jc w:val="center"/>
              <w:rPr>
                <w:rFonts w:hAnsi="宋体" w:cs="宋体"/>
                <w:b/>
                <w:bCs/>
                <w:snapToGrid w:val="0"/>
                <w:color w:val="auto"/>
                <w:sz w:val="24"/>
                <w:szCs w:val="24"/>
              </w:rPr>
            </w:pPr>
            <w:r>
              <w:rPr>
                <w:rFonts w:hint="eastAsia" w:hAnsi="宋体" w:cs="宋体"/>
                <w:b/>
                <w:bCs/>
                <w:snapToGrid w:val="0"/>
                <w:color w:val="auto"/>
                <w:sz w:val="24"/>
                <w:szCs w:val="24"/>
              </w:rPr>
              <w:t>9</w:t>
            </w:r>
          </w:p>
        </w:tc>
        <w:tc>
          <w:tcPr>
            <w:tcW w:w="2263" w:type="dxa"/>
          </w:tcPr>
          <w:p>
            <w:pPr>
              <w:pStyle w:val="6"/>
              <w:spacing w:line="360" w:lineRule="auto"/>
              <w:jc w:val="center"/>
              <w:rPr>
                <w:rFonts w:hAnsi="宋体" w:cs="宋体"/>
                <w:b/>
                <w:bCs/>
                <w:color w:val="auto"/>
                <w:sz w:val="21"/>
                <w:szCs w:val="21"/>
              </w:rPr>
            </w:pPr>
            <w:r>
              <w:rPr>
                <w:rFonts w:hint="eastAsia" w:hAnsi="宋体" w:cs="宋体"/>
                <w:b/>
                <w:bCs/>
                <w:color w:val="auto"/>
                <w:sz w:val="21"/>
                <w:szCs w:val="21"/>
              </w:rPr>
              <w:t>项目监理单位</w:t>
            </w:r>
          </w:p>
        </w:tc>
        <w:tc>
          <w:tcPr>
            <w:tcW w:w="3574" w:type="dxa"/>
            <w:vAlign w:val="center"/>
          </w:tcPr>
          <w:p>
            <w:pPr>
              <w:pStyle w:val="6"/>
              <w:spacing w:line="360" w:lineRule="auto"/>
              <w:jc w:val="center"/>
              <w:rPr>
                <w:rFonts w:hAnsi="宋体" w:cs="宋体"/>
                <w:color w:val="auto"/>
                <w:sz w:val="21"/>
                <w:szCs w:val="21"/>
              </w:rPr>
            </w:pPr>
            <w:r>
              <w:rPr>
                <w:rFonts w:hint="eastAsia" w:hAnsi="宋体" w:cs="宋体"/>
                <w:color w:val="auto"/>
                <w:sz w:val="21"/>
                <w:szCs w:val="21"/>
              </w:rPr>
              <w:t>深圳市威彦达工程监理有限公司</w:t>
            </w:r>
          </w:p>
        </w:tc>
      </w:tr>
    </w:tbl>
    <w:p>
      <w:pPr>
        <w:rPr>
          <w:color w:val="auto"/>
        </w:rPr>
      </w:pPr>
    </w:p>
    <w:p>
      <w:pPr>
        <w:pStyle w:val="6"/>
        <w:spacing w:line="360" w:lineRule="auto"/>
        <w:outlineLvl w:val="0"/>
        <w:rPr>
          <w:rFonts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（一）建设规模：</w:t>
      </w:r>
      <w:bookmarkStart w:id="0" w:name="_Toc28718"/>
      <w:bookmarkStart w:id="1" w:name="_Toc4755"/>
      <w:bookmarkStart w:id="2" w:name="_Toc1349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220千伏白石洲（沙洲）输变电工程（线路部分）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1.220 千伏秀翡线解口进白石洲（沙洲）站线路工程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新建电缆线路路径长 2.68 千米，按单回路敷设，电缆采用交联聚乙烯绝缘铜芯电缆。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2.220 千伏翡翠至白石洲（沙洲）单回线路工程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新建电缆线路路径长 3.915 千米，按单回路敷设，电缆采用交联聚乙烯绝缘铜芯电缆。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3.110 千伏控河Ⅰ、Ⅱ线解口进 220 千伏白石洲（沙洲） 站线路工程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新建电缆线路路径长 1.41 千米，按双回路敷设，电缆采用交联聚乙烯绝缘铜芯电缆。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4.110 千伏祥冲线解口进 220 千伏白石洲（沙洲）站线路工程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新建电缆线路路径长 0.892 千米，其中大冲侧 0.582 千米， 祥和侧 0.31 千米，按单回路敷设，电缆采用交联聚乙烯绝缘铜芯 电缆。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5.110 千伏白石洲（沙洲）至大冲Ⅱ回线路工程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新建电缆线路路径长 2.17 千米，按单回路敷设，电缆采用交联聚乙烯绝缘铜芯电缆。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6.110 千伏白石洲（沙洲）至红树双回线路工程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新建电缆线路路径Ⅰ线长 1×1.650 千米，Ⅱ线长 1×1.597 千米，按双回路敷设，电缆采用交联聚乙烯绝缘铜芯电缆。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7.110 千伏白石洲（沙洲）至鹭港单回线路工程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新建电缆线路路径长 1.88 千米，按单回路敷设，电缆采用交联聚乙烯绝缘铜芯电缆。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 xml:space="preserve">8.110 千伏白石洲（沙洲）至秀丽单回线路工程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r>
        <w:rPr>
          <w:rFonts w:hint="eastAsia"/>
          <w:color w:val="auto"/>
          <w:lang w:val="en-US" w:eastAsia="zh-CN"/>
        </w:rPr>
        <w:t>110 千伏白石洲（沙洲）至秀丽单回新建电缆由白石洲站向西出线，新建电缆线路路径长 1.53 千米，按单回路敷设，电缆采用交联聚乙烯绝缘铜芯电缆。 110千伏秀丽至地铁白石洲线路迁改新建电缆由白石洲站向北出线，新建电缆线路路径长 0.152 千米，按单回路敷设，电缆采用交联聚乙烯绝缘铜芯电缆。</w:t>
      </w:r>
    </w:p>
    <w:p>
      <w:pPr>
        <w:pStyle w:val="3"/>
        <w:snapToGrid w:val="0"/>
        <w:ind w:firstLine="420" w:firstLineChars="200"/>
        <w:rPr>
          <w:rFonts w:hint="eastAsia" w:ascii="Calibri" w:hAnsi="Calibri" w:eastAsia="宋体" w:cs="Times New Roman"/>
          <w:b w:val="0"/>
          <w:bCs w:val="0"/>
          <w:color w:val="auto"/>
          <w:sz w:val="21"/>
          <w:szCs w:val="22"/>
          <w:highlight w:val="none"/>
        </w:rPr>
      </w:pPr>
      <w:r>
        <w:rPr>
          <w:rFonts w:hint="eastAsia" w:ascii="Calibri" w:hAnsi="Calibri" w:cs="Times New Roman"/>
          <w:b w:val="0"/>
          <w:color w:val="auto"/>
          <w:sz w:val="21"/>
          <w:szCs w:val="22"/>
          <w:highlight w:val="none"/>
        </w:rPr>
        <w:t>具体建设规模以审定施工图纸为准。</w:t>
      </w:r>
    </w:p>
    <w:bookmarkEnd w:id="0"/>
    <w:bookmarkEnd w:id="1"/>
    <w:bookmarkEnd w:id="2"/>
    <w:p>
      <w:pPr>
        <w:pStyle w:val="6"/>
        <w:adjustRightInd w:val="0"/>
        <w:snapToGrid w:val="0"/>
        <w:spacing w:line="400" w:lineRule="exact"/>
        <w:ind w:firstLine="420" w:firstLineChars="200"/>
        <w:rPr>
          <w:color w:val="auto"/>
          <w:highlight w:val="none"/>
        </w:rPr>
      </w:pPr>
      <w:r>
        <w:rPr>
          <w:rFonts w:hint="eastAsia" w:asciiTheme="minorEastAsia" w:hAnsiTheme="minorEastAsia" w:eastAsiaTheme="minorEastAsia" w:cstheme="minorEastAsia"/>
          <w:bCs/>
          <w:color w:val="auto"/>
          <w:sz w:val="21"/>
          <w:szCs w:val="21"/>
          <w:highlight w:val="none"/>
        </w:rPr>
        <w:t>计划工期</w:t>
      </w:r>
      <w:r>
        <w:rPr>
          <w:rFonts w:hint="eastAsia" w:asciiTheme="minorEastAsia" w:hAnsiTheme="minorEastAsia" w:eastAsiaTheme="minorEastAsia" w:cstheme="minorEastAsia"/>
          <w:bCs/>
          <w:color w:val="auto"/>
          <w:sz w:val="21"/>
          <w:szCs w:val="21"/>
          <w:highlight w:val="none"/>
          <w:lang w:val="en-US" w:eastAsia="zh-CN"/>
        </w:rPr>
        <w:t>572</w:t>
      </w:r>
      <w:r>
        <w:rPr>
          <w:rFonts w:hint="eastAsia" w:asciiTheme="minorEastAsia" w:hAnsiTheme="minorEastAsia" w:eastAsiaTheme="minorEastAsia" w:cstheme="minorEastAsia"/>
          <w:bCs/>
          <w:color w:val="auto"/>
          <w:sz w:val="21"/>
          <w:szCs w:val="21"/>
          <w:highlight w:val="none"/>
        </w:rPr>
        <w:t>日历天，计划开工日期：202</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月</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日，计划竣工日期：202</w:t>
      </w:r>
      <w:r>
        <w:rPr>
          <w:rFonts w:hint="eastAsia" w:asciiTheme="minorEastAsia" w:hAnsiTheme="minorEastAsia" w:eastAsiaTheme="minorEastAsia" w:cstheme="minorEastAsia"/>
          <w:bCs/>
          <w:color w:val="auto"/>
          <w:sz w:val="21"/>
          <w:szCs w:val="21"/>
          <w:highlight w:val="none"/>
          <w:lang w:val="en-US" w:eastAsia="zh-CN"/>
        </w:rPr>
        <w:t>7</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12</w:t>
      </w:r>
      <w:r>
        <w:rPr>
          <w:rFonts w:hint="eastAsia" w:asciiTheme="minorEastAsia" w:hAnsiTheme="minorEastAsia" w:eastAsiaTheme="minorEastAsia" w:cstheme="minorEastAsia"/>
          <w:bCs/>
          <w:color w:val="auto"/>
          <w:sz w:val="21"/>
          <w:szCs w:val="21"/>
          <w:highlight w:val="none"/>
        </w:rPr>
        <w:t>月</w:t>
      </w:r>
      <w:r>
        <w:rPr>
          <w:rFonts w:hint="eastAsia" w:asciiTheme="minorEastAsia" w:hAnsiTheme="minorEastAsia" w:eastAsiaTheme="minorEastAsia" w:cstheme="minorEastAsia"/>
          <w:bCs/>
          <w:color w:val="auto"/>
          <w:sz w:val="21"/>
          <w:szCs w:val="21"/>
          <w:highlight w:val="none"/>
          <w:lang w:val="en-US" w:eastAsia="zh-CN"/>
        </w:rPr>
        <w:t>30</w:t>
      </w:r>
      <w:r>
        <w:rPr>
          <w:rFonts w:hint="eastAsia" w:asciiTheme="minorEastAsia" w:hAnsiTheme="minorEastAsia" w:eastAsiaTheme="minorEastAsia" w:cstheme="minorEastAsia"/>
          <w:bCs/>
          <w:color w:val="auto"/>
          <w:sz w:val="21"/>
          <w:szCs w:val="21"/>
          <w:highlight w:val="none"/>
        </w:rPr>
        <w:t>日</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rPr>
        <w:t>具体以开工报告、竣工报告为准，项目开工前必须取得施工图(含预算)评审意见(或预评审意见)。</w:t>
      </w:r>
    </w:p>
    <w:p>
      <w:pPr>
        <w:pStyle w:val="8"/>
        <w:widowControl/>
        <w:numPr>
          <w:ilvl w:val="0"/>
          <w:numId w:val="1"/>
        </w:numPr>
        <w:ind w:firstLine="422"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采购范围：</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color w:val="auto"/>
          <w:lang w:val="en-US" w:eastAsia="zh-CN"/>
        </w:rPr>
      </w:pPr>
      <w:r>
        <w:rPr>
          <w:rFonts w:hint="eastAsia"/>
          <w:b/>
          <w:bCs/>
          <w:color w:val="auto"/>
          <w:lang w:val="en-US" w:eastAsia="zh-CN"/>
        </w:rPr>
        <w:t xml:space="preserve">220千伏白石洲（沙洲）输变电工程（线路部分），按施工图招标。 </w:t>
      </w:r>
    </w:p>
    <w:p>
      <w:pPr>
        <w:ind w:firstLine="422" w:firstLineChars="200"/>
        <w:rPr>
          <w:rFonts w:ascii="宋体" w:hAnsi="宋体" w:cs="宋体"/>
          <w:b/>
          <w:bCs/>
          <w:color w:val="auto"/>
          <w:szCs w:val="21"/>
        </w:rPr>
      </w:pPr>
      <w:r>
        <w:rPr>
          <w:rFonts w:hint="eastAsia" w:asciiTheme="minorEastAsia" w:hAnsiTheme="minorEastAsia" w:eastAsiaTheme="minorEastAsia" w:cstheme="minorEastAsia"/>
          <w:b/>
          <w:bCs/>
          <w:color w:val="auto"/>
          <w:sz w:val="21"/>
          <w:szCs w:val="21"/>
          <w:lang w:val="en-US" w:eastAsia="zh-CN"/>
        </w:rPr>
        <w:t>1</w:t>
      </w:r>
      <w:r>
        <w:rPr>
          <w:rFonts w:hint="eastAsia" w:ascii="宋体" w:hAnsi="宋体" w:cs="宋体"/>
          <w:b/>
          <w:bCs/>
          <w:strike w:val="0"/>
          <w:color w:val="auto"/>
          <w:szCs w:val="21"/>
        </w:rPr>
        <w:t>.</w:t>
      </w:r>
      <w:r>
        <w:rPr>
          <w:rFonts w:hint="eastAsia" w:ascii="宋体" w:hAnsi="宋体" w:cs="宋体"/>
          <w:b/>
          <w:bCs/>
          <w:color w:val="auto"/>
          <w:szCs w:val="21"/>
          <w:lang w:val="en-US" w:eastAsia="zh-CN"/>
        </w:rPr>
        <w:t>电缆</w:t>
      </w:r>
      <w:r>
        <w:rPr>
          <w:rFonts w:hint="eastAsia" w:ascii="宋体" w:hAnsi="宋体" w:cs="宋体"/>
          <w:b/>
          <w:bCs/>
          <w:color w:val="auto"/>
          <w:szCs w:val="21"/>
        </w:rPr>
        <w:t>线路：</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审定版施工图纸范围内的电缆线路建筑、安装、调试工程，与施工相关的所有其他费用项目。</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①本体工程、</w:t>
      </w:r>
      <w:r>
        <w:rPr>
          <w:rFonts w:hint="eastAsia" w:ascii="宋体" w:hAnsi="宋体" w:eastAsia="宋体" w:cs="宋体"/>
          <w:i w:val="0"/>
          <w:iCs w:val="0"/>
          <w:color w:val="auto"/>
          <w:sz w:val="21"/>
          <w:szCs w:val="21"/>
          <w:highlight w:val="none"/>
        </w:rPr>
        <w:t>辅助设施工程</w:t>
      </w:r>
      <w:r>
        <w:rPr>
          <w:rFonts w:hint="eastAsia" w:ascii="宋体" w:hAnsi="宋体" w:eastAsia="宋体" w:cs="宋体"/>
          <w:i w:val="0"/>
          <w:iCs w:val="0"/>
          <w:color w:val="auto"/>
          <w:sz w:val="21"/>
          <w:szCs w:val="21"/>
          <w:highlight w:val="none"/>
          <w:lang w:eastAsia="zh-CN"/>
        </w:rPr>
        <w:t>、</w:t>
      </w:r>
      <w:r>
        <w:rPr>
          <w:rFonts w:hint="eastAsia" w:ascii="宋体" w:hAnsi="宋体" w:cs="宋体"/>
          <w:color w:val="auto"/>
          <w:szCs w:val="21"/>
          <w:highlight w:val="none"/>
        </w:rPr>
        <w:t>隧道土建工程、隧道电力附属设施工程、隧道监控系统及火灾自动报警系统、隧道强电及动力照明系统。</w:t>
      </w:r>
    </w:p>
    <w:p>
      <w:pPr>
        <w:ind w:firstLine="420" w:firstLineChars="200"/>
        <w:rPr>
          <w:rFonts w:ascii="宋体" w:hAnsi="宋体" w:cs="宋体"/>
          <w:strike/>
          <w:color w:val="auto"/>
          <w:szCs w:val="21"/>
          <w:highlight w:val="none"/>
        </w:rPr>
      </w:pPr>
      <w:r>
        <w:rPr>
          <w:rFonts w:hint="eastAsia" w:ascii="宋体" w:hAnsi="宋体" w:cs="宋体"/>
          <w:color w:val="auto"/>
          <w:szCs w:val="21"/>
          <w:highlight w:val="none"/>
        </w:rPr>
        <w:t>②路面（包括人行道）破除、施工期临时占用道路、施工场地租用、旧电缆线路拆除运输、电缆标志牌安装、电缆标志桩、顶管标识器、埋管标识球的制作及安装、电缆井及盖板编码、电缆线路参数测试。隧道的给排水、通风、监控系统、消防、动力及照明、工作井、暗挖箱涵、电缆保护井、支架、进出场道路。施工图纸范围内的110kV电缆线路迁改、保护改造、10kV开关柜及配套电缆迁移、10kV电缆通道。</w:t>
      </w:r>
    </w:p>
    <w:p>
      <w:pPr>
        <w:ind w:firstLine="420" w:firstLineChars="200"/>
        <w:rPr>
          <w:rFonts w:ascii="宋体" w:hAnsi="宋体" w:cs="宋体"/>
          <w:color w:val="auto"/>
          <w:szCs w:val="21"/>
        </w:rPr>
      </w:pPr>
      <w:r>
        <w:rPr>
          <w:rFonts w:hint="eastAsia" w:ascii="宋体" w:hAnsi="宋体" w:cs="宋体"/>
          <w:color w:val="auto"/>
          <w:szCs w:val="21"/>
        </w:rPr>
        <w:t>③其他：配合投运工作（包括但不限于配合整套启动调试和参加联合试运行[含在线监测系统]、配合电子化移交提资、档案移交、参数上报、启动方案编写等）、样板点建设、业主项目部板房搭建、白蚁防治、参数上报、启动方案编写、负责办理并取得项目施工许可工作（含占道开挖手续）、交委要求加装的占挖道路安装视频监控、负责办理临时林地、交通疏解方案等工作。确保水保、环评验收通过，若验收不通过，施工单位必须做好整改措施直至通过为止。工程建设过程中，中标单位对外的交涉与纠纷，以及所造成的损失，除招标文件中有明确规定者外，均由中标单位自行解决。如确需建设单位进行协调时，协调解决问题所发生的一切费用仍由中标单位承担。</w:t>
      </w:r>
    </w:p>
    <w:p>
      <w:pPr>
        <w:ind w:firstLine="420" w:firstLineChars="200"/>
        <w:rPr>
          <w:rFonts w:ascii="宋体" w:hAnsi="宋体" w:cs="宋体"/>
          <w:color w:val="auto"/>
          <w:szCs w:val="21"/>
        </w:rPr>
      </w:pPr>
      <w:r>
        <w:rPr>
          <w:rFonts w:hint="eastAsia" w:ascii="宋体" w:hAnsi="宋体" w:cs="宋体"/>
          <w:color w:val="auto"/>
          <w:szCs w:val="21"/>
        </w:rPr>
        <w:t>④以下招标范围内的内容若有发生按实结算：</w:t>
      </w:r>
    </w:p>
    <w:p>
      <w:pPr>
        <w:numPr>
          <w:ilvl w:val="-1"/>
          <w:numId w:val="0"/>
        </w:numPr>
        <w:ind w:firstLine="420" w:firstLineChars="200"/>
        <w:rPr>
          <w:rFonts w:ascii="宋体" w:hAnsi="宋体" w:cs="宋体"/>
          <w:color w:val="auto"/>
          <w:szCs w:val="21"/>
          <w:highlight w:val="none"/>
        </w:rPr>
      </w:pPr>
      <w:r>
        <w:rPr>
          <w:rFonts w:hint="eastAsia" w:ascii="宋体" w:hAnsi="宋体" w:cs="宋体"/>
          <w:color w:val="auto"/>
          <w:szCs w:val="21"/>
          <w:lang w:eastAsia="zh-CN"/>
        </w:rPr>
        <w:t>（</w:t>
      </w:r>
      <w:r>
        <w:rPr>
          <w:rFonts w:hint="eastAsia" w:ascii="宋体" w:hAnsi="宋体" w:cs="宋体"/>
          <w:color w:val="auto"/>
          <w:szCs w:val="21"/>
          <w:lang w:val="en-US" w:eastAsia="zh-CN"/>
        </w:rPr>
        <w:t>1</w:t>
      </w:r>
      <w:r>
        <w:rPr>
          <w:rFonts w:hint="eastAsia" w:ascii="宋体" w:hAnsi="宋体" w:cs="宋体"/>
          <w:color w:val="auto"/>
          <w:szCs w:val="21"/>
          <w:lang w:eastAsia="zh-CN"/>
        </w:rPr>
        <w:t>）</w:t>
      </w:r>
      <w:r>
        <w:rPr>
          <w:rFonts w:hint="eastAsia" w:ascii="宋体" w:hAnsi="宋体" w:cs="宋体"/>
          <w:color w:val="auto"/>
          <w:szCs w:val="21"/>
        </w:rPr>
        <w:t>地下原有管线迁移（包含油气管线、通信管线、</w:t>
      </w:r>
      <w:r>
        <w:rPr>
          <w:rFonts w:hint="eastAsia" w:ascii="宋体" w:hAnsi="宋体" w:cs="宋体"/>
          <w:color w:val="auto"/>
          <w:szCs w:val="21"/>
          <w:highlight w:val="none"/>
        </w:rPr>
        <w:t>雨水排污等市政迁移）、电力设施迁改（图纸以外）及绿化树木迁移（破复绿化带）赔偿、建构筑物拆迁不计入报价，结算时按经签证的实际工程量结算。</w:t>
      </w:r>
    </w:p>
    <w:p>
      <w:pPr>
        <w:numPr>
          <w:ilvl w:val="-1"/>
          <w:numId w:val="0"/>
        </w:numPr>
        <w:ind w:firstLine="420" w:firstLineChars="200"/>
        <w:rPr>
          <w:rFonts w:hint="eastAsia" w:ascii="宋体" w:hAnsi="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余土外运及收纳费用，在投标（或正式合同价编制）时按照审定施工图计算工程量及标明的运距计算以暂估价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numPr>
          <w:ilvl w:val="-1"/>
          <w:numId w:val="0"/>
        </w:numPr>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Cs w:val="21"/>
          <w:highlight w:val="none"/>
        </w:rPr>
        <w:t>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施工阶段应相关政府或相应权属单位要求开展的安全评估、分析报告及防护措施（须有相关政府及相应权属单位红头文件作为依据），如涉森林、涉河道、涉高速、市政道路、涉水务、水库、水源保护区、燃气、石油、石化管道、地铁、铁路等评估和措施、通信安全评估评价、给排水安全评估评价、道路安全评估评价、交流杂散电流干扰分析和防护措施、办理临时林地产生的相关报告费用、占用城市绿地及迁移树木涉及的专家评估论证及听证工作，需委托具备相应资质的第三方机构进行评估（若有），委托前须取得业主同意后实施，并按项目实际发生费用（经发包人确认）据实结算。</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bCs w:val="0"/>
          <w:color w:val="auto"/>
          <w:sz w:val="21"/>
          <w:szCs w:val="21"/>
          <w:highlight w:val="none"/>
        </w:rPr>
        <w:t>占挖道路安装视频监控费用不计入报价，结算按实结算</w:t>
      </w:r>
      <w:r>
        <w:rPr>
          <w:rFonts w:hint="eastAsia" w:ascii="宋体" w:hAnsi="宋体" w:cs="宋体"/>
          <w:bCs w:val="0"/>
          <w:color w:val="auto"/>
          <w:sz w:val="21"/>
          <w:szCs w:val="21"/>
          <w:highlight w:val="none"/>
          <w:lang w:eastAsia="zh-CN"/>
        </w:rPr>
        <w:t>。</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）与当地城规、市政、园林、交警、城监、公路、河道、高速、水库等部门联系办理施工许可手续，均由中标单位办理，如发生费用由建设单位负责（如行政许可、市政收费等有收费文件规定的费用）。</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）路面（包括人行道）恢复，不计入报价，若由中标单位实施，结算时按经签证实际工程量按实结算，定额套用最新市政定额；若采用行政缴费方式实施，结算时按实际发生的金额结算（凭缴费发票）。</w:t>
      </w:r>
    </w:p>
    <w:p>
      <w:pPr>
        <w:ind w:firstLine="421"/>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w:t>
      </w:r>
      <w:r>
        <w:rPr>
          <w:rFonts w:hint="eastAsia" w:ascii="宋体" w:hAnsi="宋体" w:cs="宋体"/>
          <w:color w:val="2E75B6" w:themeColor="accent1" w:themeShade="BF"/>
          <w:szCs w:val="21"/>
          <w:highlight w:val="none"/>
        </w:rPr>
        <w:t>施工图纸范围内的110kV电缆线路迁改、保护改造、10kV开关柜及配套电缆迁移、10kV电缆通道承包方根据现有图纸自行报价。施工图纸范围外旧电缆迁移（含10kV电缆悬吊保护）不计入报价，结算时按经签订的实际工程量按实结算。单价参考《深圳供电局有限公司部门会议纪要》技经纪要〔2014〕10号规定执行。</w:t>
      </w:r>
    </w:p>
    <w:p>
      <w:pPr>
        <w:spacing w:line="240" w:lineRule="auto"/>
        <w:ind w:firstLine="421" w:firstLineChars="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⑤服务有相应年度框架招标结果的按框架招标结果执行。招标范围不包括：电缆在线监测、征地及青苗赔偿、沿线建（构）筑物的拆迁</w:t>
      </w:r>
      <w:r>
        <w:rPr>
          <w:rFonts w:hint="eastAsia" w:ascii="宋体" w:hAnsi="宋体" w:cs="宋体"/>
          <w:color w:val="auto"/>
          <w:szCs w:val="21"/>
          <w:highlight w:val="none"/>
          <w:lang w:val="en-US" w:eastAsia="zh-CN"/>
        </w:rPr>
        <w:t>补偿</w:t>
      </w:r>
      <w:r>
        <w:rPr>
          <w:rFonts w:hint="eastAsia" w:ascii="宋体" w:hAnsi="宋体" w:cs="宋体"/>
          <w:color w:val="auto"/>
          <w:szCs w:val="21"/>
          <w:highlight w:val="none"/>
        </w:rPr>
        <w:t>、通信工程管道光缆敷设、接续及测量（已年度框招）、电子化移交服务（已年度框招）、检测监测服务（已年度框招）、基建工程涉燃气管线交互影响安全评价报告（已年度框招）、基建工程涉及轨道交通安全影响评价（已年度框招）、基建工程水土保持监测技术服务框架招标（已年度框招）、基建工程防洪影响评价报告编制（已年度框招）。</w:t>
      </w:r>
    </w:p>
    <w:p>
      <w:pPr>
        <w:spacing w:line="240" w:lineRule="auto"/>
        <w:ind w:firstLine="421" w:firstLineChars="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所有征地、拆迁</w:t>
      </w:r>
      <w:r>
        <w:rPr>
          <w:rFonts w:hint="eastAsia" w:ascii="宋体" w:hAnsi="宋体" w:cs="宋体"/>
          <w:i w:val="0"/>
          <w:iCs w:val="0"/>
          <w:color w:val="auto"/>
          <w:sz w:val="21"/>
          <w:szCs w:val="21"/>
          <w:highlight w:val="none"/>
          <w:lang w:val="en-US" w:eastAsia="zh-CN"/>
        </w:rPr>
        <w:t>补偿</w:t>
      </w:r>
      <w:r>
        <w:rPr>
          <w:rFonts w:hint="eastAsia" w:ascii="宋体" w:hAnsi="宋体" w:eastAsia="宋体" w:cs="宋体"/>
          <w:i w:val="0"/>
          <w:iCs w:val="0"/>
          <w:color w:val="auto"/>
          <w:sz w:val="21"/>
          <w:szCs w:val="21"/>
          <w:highlight w:val="none"/>
        </w:rPr>
        <w:t>及青苗赔偿等工作均由中标施工单位协助完成（以上费用不列入本次报价，根据后续出具的委托函开展工作）。工程建设过程中，中标单位对外的交涉与纠纷，以及所造成的损失，除招标文件中有明确规定者外，均由中标单位自行解决。如确需建设单位进行协调时，协调解决问题所发生的一切费用仍由中标单位承担。</w:t>
      </w:r>
    </w:p>
    <w:p>
      <w:pPr>
        <w:pStyle w:val="5"/>
        <w:ind w:firstLine="420" w:firstLineChars="200"/>
        <w:rPr>
          <w:rFonts w:hint="eastAsia" w:ascii="宋体" w:hAnsi="宋体" w:cs="宋体"/>
          <w:b w:val="0"/>
          <w:bCs w:val="0"/>
          <w:color w:val="auto"/>
          <w:kern w:val="2"/>
          <w:sz w:val="21"/>
          <w:szCs w:val="21"/>
          <w:highlight w:val="none"/>
        </w:rPr>
      </w:pPr>
      <w:r>
        <w:rPr>
          <w:rFonts w:hint="eastAsia" w:ascii="宋体" w:hAnsi="宋体" w:cs="宋体"/>
          <w:b w:val="0"/>
          <w:bCs w:val="0"/>
          <w:color w:val="auto"/>
          <w:kern w:val="2"/>
          <w:sz w:val="21"/>
          <w:szCs w:val="21"/>
          <w:highlight w:val="none"/>
        </w:rPr>
        <w:t>具体内容以施工图纸为准。</w:t>
      </w:r>
    </w:p>
    <w:p>
      <w:pPr>
        <w:pStyle w:val="5"/>
        <w:ind w:firstLine="482" w:firstLineChars="200"/>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（三）承包方式：</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承包方式：包工、部分包料。</w:t>
      </w:r>
    </w:p>
    <w:p>
      <w:pPr>
        <w:ind w:firstLine="420" w:firstLineChars="200"/>
        <w:rPr>
          <w:rFonts w:ascii="宋体" w:hAnsi="宋体" w:cs="宋体"/>
          <w:color w:val="auto"/>
          <w:szCs w:val="21"/>
          <w:highlight w:val="none"/>
        </w:rPr>
      </w:pPr>
      <w:r>
        <w:rPr>
          <w:rFonts w:hint="eastAsia" w:ascii="宋体" w:hAnsi="宋体" w:cs="宋体"/>
          <w:strike w:val="0"/>
          <w:color w:val="auto"/>
          <w:szCs w:val="21"/>
          <w:highlight w:val="none"/>
        </w:rPr>
        <w:t>电缆线路：建设单位提供110kV及以上电力电缆、电缆GIS终端头、电缆绝缘接头、带保护器接地箱、直接接地箱、接地电缆、接地回流线、电缆固定夹、SF6气体、接地环流在线监测设备、高压电缆故障精确定位系统。非标准件如金具、电缆防水封堵模块等未在同期公司物资采购目录内（未有物资供应单位）</w:t>
      </w:r>
      <w:r>
        <w:rPr>
          <w:rFonts w:hint="eastAsia" w:ascii="宋体" w:hAnsi="宋体" w:cs="宋体"/>
          <w:strike w:val="0"/>
          <w:color w:val="auto"/>
          <w:szCs w:val="21"/>
          <w:highlight w:val="none"/>
          <w:lang w:eastAsia="zh-CN"/>
        </w:rPr>
        <w:t>、</w:t>
      </w:r>
      <w:r>
        <w:rPr>
          <w:rFonts w:hint="eastAsia" w:ascii="宋体" w:hAnsi="宋体" w:cs="宋体"/>
          <w:strike w:val="0"/>
          <w:color w:val="auto"/>
          <w:szCs w:val="21"/>
          <w:highlight w:val="none"/>
          <w:lang w:val="en-US" w:eastAsia="zh-CN"/>
        </w:rPr>
        <w:t>无</w:t>
      </w:r>
      <w:r>
        <w:rPr>
          <w:rFonts w:hint="eastAsia" w:ascii="宋体" w:hAnsi="宋体" w:cs="宋体"/>
          <w:strike w:val="0"/>
          <w:color w:val="auto"/>
          <w:szCs w:val="21"/>
          <w:highlight w:val="none"/>
        </w:rPr>
        <w:t>年度框招</w:t>
      </w:r>
      <w:r>
        <w:rPr>
          <w:rFonts w:hint="eastAsia" w:ascii="宋体" w:hAnsi="宋体" w:cs="宋体"/>
          <w:strike w:val="0"/>
          <w:color w:val="auto"/>
          <w:szCs w:val="21"/>
          <w:highlight w:val="none"/>
          <w:lang w:eastAsia="zh-CN"/>
        </w:rPr>
        <w:t>、</w:t>
      </w:r>
      <w:r>
        <w:rPr>
          <w:rFonts w:hint="eastAsia" w:ascii="宋体" w:hAnsi="宋体" w:cs="宋体"/>
          <w:strike w:val="0"/>
          <w:color w:val="auto"/>
          <w:szCs w:val="21"/>
          <w:highlight w:val="none"/>
          <w:lang w:val="en-US" w:eastAsia="zh-CN"/>
        </w:rPr>
        <w:t>南网商城无法采购</w:t>
      </w:r>
      <w:r>
        <w:rPr>
          <w:rFonts w:hint="eastAsia" w:ascii="宋体" w:hAnsi="宋体" w:cs="宋体"/>
          <w:strike w:val="0"/>
          <w:color w:val="auto"/>
          <w:szCs w:val="21"/>
          <w:highlight w:val="none"/>
        </w:rPr>
        <w:t>及其余材料由施工单位提供。</w:t>
      </w:r>
    </w:p>
    <w:p>
      <w:pPr>
        <w:pStyle w:val="3"/>
        <w:keepNext w:val="0"/>
        <w:keepLines w:val="0"/>
        <w:pageBreakBefore w:val="0"/>
        <w:widowControl w:val="0"/>
        <w:kinsoku/>
        <w:wordWrap/>
        <w:overflowPunct/>
        <w:topLinePunct w:val="0"/>
        <w:autoSpaceDE w:val="0"/>
        <w:autoSpaceDN w:val="0"/>
        <w:bidi w:val="0"/>
        <w:adjustRightInd w:val="0"/>
        <w:snapToGrid/>
        <w:ind w:firstLine="420" w:firstLineChars="200"/>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建设单位提供的设备、材料最终以</w:t>
      </w:r>
      <w:r>
        <w:rPr>
          <w:rFonts w:hint="eastAsia" w:ascii="宋体" w:hAnsi="宋体" w:cs="宋体"/>
          <w:b w:val="0"/>
          <w:bCs w:val="0"/>
          <w:color w:val="auto"/>
          <w:sz w:val="21"/>
          <w:szCs w:val="21"/>
          <w:highlight w:val="none"/>
          <w:lang w:val="en-US" w:eastAsia="zh-CN"/>
        </w:rPr>
        <w:t>合同附件（甲供设备材料明细表）</w:t>
      </w:r>
      <w:r>
        <w:rPr>
          <w:rFonts w:hint="eastAsia" w:ascii="宋体" w:hAnsi="宋体" w:cs="宋体"/>
          <w:b w:val="0"/>
          <w:bCs w:val="0"/>
          <w:color w:val="auto"/>
          <w:sz w:val="21"/>
          <w:szCs w:val="21"/>
          <w:highlight w:val="none"/>
        </w:rPr>
        <w:t>为准。</w:t>
      </w:r>
    </w:p>
    <w:p>
      <w:pPr>
        <w:pStyle w:val="4"/>
        <w:spacing w:line="360" w:lineRule="auto"/>
        <w:rPr>
          <w:rFonts w:asciiTheme="minorEastAsia" w:hAnsiTheme="minorEastAsia" w:eastAsiaTheme="minorEastAsia" w:cstheme="minorEastAsia"/>
          <w:bCs/>
          <w:i w:val="0"/>
          <w:color w:val="auto"/>
          <w:sz w:val="24"/>
          <w:szCs w:val="24"/>
        </w:rPr>
      </w:pPr>
    </w:p>
    <w:p>
      <w:pPr>
        <w:pStyle w:val="6"/>
        <w:spacing w:line="480" w:lineRule="atLeast"/>
        <w:rPr>
          <w:rFonts w:asciiTheme="minorEastAsia" w:hAnsiTheme="minorEastAsia" w:eastAsiaTheme="minorEastAsia" w:cstheme="minorEastAsia"/>
          <w:color w:val="auto"/>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303319"/>
    <w:multiLevelType w:val="singleLevel"/>
    <w:tmpl w:val="4730331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623BD6"/>
    <w:rsid w:val="28623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2">
    <w:name w:val="heading 3"/>
    <w:basedOn w:val="1"/>
    <w:next w:val="1"/>
    <w:qFormat/>
    <w:uiPriority w:val="0"/>
    <w:pPr>
      <w:keepNext/>
      <w:keepLines/>
      <w:spacing w:before="140" w:after="140" w:line="413" w:lineRule="auto"/>
      <w:outlineLvl w:val="2"/>
    </w:pPr>
    <w:rPr>
      <w:rFonts w:ascii="Times New Roman" w:hAnsi="Times New Roman"/>
      <w:b/>
      <w:sz w:val="28"/>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Body Text"/>
    <w:basedOn w:val="1"/>
    <w:next w:val="1"/>
    <w:semiHidden/>
    <w:qFormat/>
    <w:uiPriority w:val="99"/>
    <w:pPr>
      <w:widowControl/>
      <w:jc w:val="left"/>
    </w:pPr>
    <w:rPr>
      <w:kern w:val="0"/>
      <w:sz w:val="28"/>
      <w:szCs w:val="20"/>
    </w:rPr>
  </w:style>
  <w:style w:type="paragraph" w:styleId="6">
    <w:name w:val="Plain Text"/>
    <w:basedOn w:val="1"/>
    <w:next w:val="1"/>
    <w:qFormat/>
    <w:uiPriority w:val="0"/>
    <w:rPr>
      <w:rFonts w:ascii="宋体" w:hAnsi="Courier New"/>
      <w:kern w:val="0"/>
      <w:sz w:val="20"/>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Autospacing="1"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2026-03-31T11:10:00Z</dcterms:created>
  <dc:creator>anxs</dc:creator>
  <cp:lastModifiedBy>anxs</cp:lastModifiedBy>
  <dcterms:modified xsi:type="dcterms:W3CDTF">2026-03-31T11:11:11Z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4D94919CDEE14B72BF6A435A28EB66E1</vt:lpwstr>
  </property>
</Properties>
</file>