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b w:val="0"/>
          <w:bCs/>
          <w:kern w:val="10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kern w:val="10"/>
          <w:sz w:val="44"/>
          <w:szCs w:val="44"/>
          <w:lang w:val="en-US" w:eastAsia="zh-CN"/>
        </w:rPr>
        <w:t>南网数研院2026年会计档案整理装订服务项目</w:t>
      </w:r>
      <w:r>
        <w:rPr>
          <w:rFonts w:hint="eastAsia" w:ascii="方正小标宋_GBK" w:hAnsi="方正小标宋_GBK" w:eastAsia="方正小标宋_GBK" w:cs="方正小标宋_GBK"/>
          <w:b w:val="0"/>
          <w:bCs/>
          <w:kern w:val="10"/>
          <w:sz w:val="44"/>
          <w:szCs w:val="44"/>
        </w:rPr>
        <w:t>技术规范</w:t>
      </w:r>
      <w:r>
        <w:rPr>
          <w:rFonts w:hint="eastAsia" w:ascii="方正小标宋_GBK" w:hAnsi="方正小标宋_GBK" w:eastAsia="方正小标宋_GBK" w:cs="方正小标宋_GBK"/>
          <w:b w:val="0"/>
          <w:bCs/>
          <w:kern w:val="10"/>
          <w:sz w:val="44"/>
          <w:szCs w:val="44"/>
          <w:lang w:eastAsia="zh-CN"/>
        </w:rPr>
        <w:t>书</w:t>
      </w:r>
    </w:p>
    <w:p>
      <w:pPr>
        <w:numPr>
          <w:ilvl w:val="0"/>
          <w:numId w:val="0"/>
        </w:numPr>
        <w:rPr>
          <w:rFonts w:hint="eastAsia" w:ascii="方正仿宋_GB2312" w:hAnsi="方正仿宋_GB2312" w:cs="方正仿宋_GB2312"/>
          <w:sz w:val="20"/>
          <w:szCs w:val="20"/>
          <w:lang w:val="en-US" w:eastAsia="zh-CN"/>
        </w:rPr>
      </w:pPr>
    </w:p>
    <w:p>
      <w:pPr>
        <w:numPr>
          <w:ilvl w:val="0"/>
          <w:numId w:val="0"/>
        </w:numPr>
        <w:ind w:firstLine="643" w:firstLineChars="200"/>
        <w:rPr>
          <w:rFonts w:hint="default" w:ascii="方正仿宋_GB2312" w:hAnsi="方正仿宋_GB2312" w:eastAsia="方正仿宋_GB2312" w:cs="方正仿宋_GB2312"/>
          <w:b/>
          <w:bCs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32"/>
          <w:szCs w:val="32"/>
          <w:lang w:val="en-US" w:eastAsia="zh-CN"/>
        </w:rPr>
        <w:t>一、项目概况</w:t>
      </w:r>
    </w:p>
    <w:p>
      <w:pPr>
        <w:numPr>
          <w:ilvl w:val="0"/>
          <w:numId w:val="0"/>
        </w:numPr>
        <w:ind w:firstLine="560" w:firstLineChars="200"/>
        <w:rPr>
          <w:rFonts w:hint="eastAsia" w:ascii="方正仿宋_GB2312" w:hAnsi="方正仿宋_GB2312" w:eastAsia="方正仿宋_GB2312" w:cs="方正仿宋_GB2312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sz w:val="28"/>
          <w:szCs w:val="28"/>
          <w:lang w:val="en-US" w:eastAsia="zh-CN"/>
        </w:rPr>
        <w:t>本项目需求为整理装订</w:t>
      </w:r>
      <w:r>
        <w:rPr>
          <w:rFonts w:hint="eastAsia" w:ascii="方正仿宋_GB2312" w:hAnsi="方正仿宋_GB2312" w:cs="方正仿宋_GB2312"/>
          <w:color w:val="auto"/>
          <w:sz w:val="28"/>
          <w:szCs w:val="28"/>
          <w:lang w:val="en-US" w:eastAsia="zh-CN"/>
        </w:rPr>
        <w:t>2025-2026</w:t>
      </w:r>
      <w:r>
        <w:rPr>
          <w:rFonts w:hint="eastAsia" w:ascii="方正仿宋_GB2312" w:hAnsi="方正仿宋_GB2312" w:eastAsia="方正仿宋_GB2312" w:cs="方正仿宋_GB2312"/>
          <w:color w:val="auto"/>
          <w:sz w:val="28"/>
          <w:szCs w:val="28"/>
          <w:lang w:val="en-US" w:eastAsia="zh-CN"/>
        </w:rPr>
        <w:t>年凭证、合同。包含收款、付款、转账凭证、工会账户和党委账户凭证，从前期凭证收集整理到装订归档，程序包括单据匹配、单据排序、凭证回单打印，装订成册、纸质档案归档、系统电子档案移交等9个步骤，由于装订工作量较大，现需聘请第三方服务公司进场协助凭证整理归档服务。</w:t>
      </w:r>
    </w:p>
    <w:p>
      <w:pPr>
        <w:numPr>
          <w:ilvl w:val="0"/>
          <w:numId w:val="0"/>
        </w:numPr>
        <w:ind w:firstLine="643" w:firstLineChars="200"/>
        <w:rPr>
          <w:rFonts w:hint="eastAsia" w:ascii="方正仿宋_GB2312" w:hAnsi="方正仿宋_GB2312" w:eastAsia="方正仿宋_GB2312" w:cs="方正仿宋_GB2312"/>
          <w:b/>
          <w:bCs/>
          <w:sz w:val="32"/>
          <w:szCs w:val="32"/>
          <w:lang w:val="en-US" w:eastAsia="zh-CN"/>
        </w:rPr>
      </w:pPr>
      <w:r>
        <w:rPr>
          <w:rFonts w:hint="eastAsia" w:ascii="方正仿宋_GB2312" w:hAnsi="方正仿宋_GB2312" w:cs="方正仿宋_GB2312"/>
          <w:b/>
          <w:bCs/>
          <w:sz w:val="32"/>
          <w:szCs w:val="32"/>
          <w:lang w:val="en-US" w:eastAsia="zh-CN"/>
        </w:rPr>
        <w:t>二</w:t>
      </w:r>
      <w:r>
        <w:rPr>
          <w:rFonts w:hint="eastAsia" w:ascii="方正仿宋_GB2312" w:hAnsi="方正仿宋_GB2312" w:eastAsia="方正仿宋_GB2312" w:cs="方正仿宋_GB2312"/>
          <w:b/>
          <w:bCs/>
          <w:sz w:val="32"/>
          <w:szCs w:val="32"/>
          <w:lang w:val="en-US" w:eastAsia="zh-CN"/>
        </w:rPr>
        <w:t>、项目内容</w:t>
      </w:r>
    </w:p>
    <w:p>
      <w:pPr>
        <w:numPr>
          <w:ilvl w:val="0"/>
          <w:numId w:val="0"/>
        </w:numPr>
        <w:ind w:firstLine="560" w:firstLineChars="200"/>
        <w:rPr>
          <w:rFonts w:hint="eastAsia" w:ascii="方正仿宋_GB2312" w:hAnsi="方正仿宋_GB2312" w:eastAsia="方正仿宋_GB2312" w:cs="方正仿宋_GB2312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sz w:val="28"/>
          <w:szCs w:val="28"/>
          <w:lang w:val="en-US" w:eastAsia="zh-CN"/>
        </w:rPr>
        <w:t>1</w:t>
      </w:r>
      <w:bookmarkStart w:id="0" w:name="XmInfoEntity_ZBNR_0_1"/>
      <w:r>
        <w:rPr>
          <w:rFonts w:hint="eastAsia" w:ascii="方正仿宋_GB2312" w:hAnsi="方正仿宋_GB2312" w:cs="方正仿宋_GB2312"/>
          <w:color w:val="auto"/>
          <w:sz w:val="28"/>
          <w:szCs w:val="28"/>
          <w:lang w:val="en-US" w:eastAsia="zh-CN"/>
        </w:rPr>
        <w:t>.采购内容：</w:t>
      </w:r>
      <w:r>
        <w:rPr>
          <w:rFonts w:hint="eastAsia" w:ascii="方正仿宋_GB2312" w:hAnsi="方正仿宋_GB2312" w:eastAsia="方正仿宋_GB2312" w:cs="方正仿宋_GB2312"/>
          <w:color w:val="auto"/>
          <w:sz w:val="28"/>
          <w:szCs w:val="28"/>
          <w:lang w:val="en-US" w:eastAsia="zh-CN"/>
        </w:rPr>
        <w:t>为确保</w:t>
      </w:r>
      <w:r>
        <w:rPr>
          <w:rFonts w:hint="eastAsia" w:ascii="方正仿宋_GB2312" w:hAnsi="方正仿宋_GB2312" w:cs="方正仿宋_GB2312"/>
          <w:color w:val="auto"/>
          <w:sz w:val="28"/>
          <w:szCs w:val="28"/>
          <w:lang w:val="en-US" w:eastAsia="zh-CN"/>
        </w:rPr>
        <w:t>会计</w:t>
      </w:r>
      <w:r>
        <w:rPr>
          <w:rFonts w:hint="eastAsia" w:ascii="方正仿宋_GB2312" w:hAnsi="方正仿宋_GB2312" w:eastAsia="方正仿宋_GB2312" w:cs="方正仿宋_GB2312"/>
          <w:color w:val="auto"/>
          <w:sz w:val="28"/>
          <w:szCs w:val="28"/>
          <w:lang w:val="en-US" w:eastAsia="zh-CN"/>
        </w:rPr>
        <w:t>档案的规范管理、长期保存与便捷查阅，</w:t>
      </w:r>
      <w:r>
        <w:rPr>
          <w:rFonts w:hint="eastAsia" w:ascii="方正仿宋_GB2312" w:hAnsi="方正仿宋_GB2312" w:cs="方正仿宋_GB2312"/>
          <w:color w:val="auto"/>
          <w:sz w:val="28"/>
          <w:szCs w:val="28"/>
          <w:lang w:val="en-US" w:eastAsia="zh-CN"/>
        </w:rPr>
        <w:t>公司开展</w:t>
      </w:r>
      <w:r>
        <w:rPr>
          <w:rFonts w:hint="eastAsia" w:ascii="方正仿宋_GB2312" w:hAnsi="方正仿宋_GB2312" w:eastAsia="方正仿宋_GB2312" w:cs="方正仿宋_GB2312"/>
          <w:color w:val="auto"/>
          <w:sz w:val="28"/>
          <w:szCs w:val="28"/>
          <w:lang w:val="en-US" w:eastAsia="zh-CN"/>
        </w:rPr>
        <w:t>202</w:t>
      </w:r>
      <w:r>
        <w:rPr>
          <w:rFonts w:hint="eastAsia" w:ascii="方正仿宋_GB2312" w:hAnsi="方正仿宋_GB2312" w:cs="方正仿宋_GB2312"/>
          <w:color w:val="auto"/>
          <w:sz w:val="28"/>
          <w:szCs w:val="28"/>
          <w:lang w:val="en-US" w:eastAsia="zh-CN"/>
        </w:rPr>
        <w:t>5</w:t>
      </w:r>
      <w:r>
        <w:rPr>
          <w:rFonts w:hint="eastAsia" w:ascii="方正仿宋_GB2312" w:hAnsi="方正仿宋_GB2312" w:eastAsia="方正仿宋_GB2312" w:cs="方正仿宋_GB2312"/>
          <w:color w:val="auto"/>
          <w:sz w:val="28"/>
          <w:szCs w:val="28"/>
          <w:lang w:val="en-US" w:eastAsia="zh-CN"/>
        </w:rPr>
        <w:t>年-202</w:t>
      </w:r>
      <w:r>
        <w:rPr>
          <w:rFonts w:hint="eastAsia" w:ascii="方正仿宋_GB2312" w:hAnsi="方正仿宋_GB2312" w:cs="方正仿宋_GB2312"/>
          <w:color w:val="auto"/>
          <w:sz w:val="28"/>
          <w:szCs w:val="28"/>
          <w:lang w:val="en-US" w:eastAsia="zh-CN"/>
        </w:rPr>
        <w:t>6</w:t>
      </w:r>
      <w:r>
        <w:rPr>
          <w:rFonts w:hint="eastAsia" w:ascii="方正仿宋_GB2312" w:hAnsi="方正仿宋_GB2312" w:eastAsia="方正仿宋_GB2312" w:cs="方正仿宋_GB2312"/>
          <w:color w:val="auto"/>
          <w:sz w:val="28"/>
          <w:szCs w:val="28"/>
          <w:lang w:val="en-US" w:eastAsia="zh-CN"/>
        </w:rPr>
        <w:t>年凭证、合同</w:t>
      </w:r>
      <w:r>
        <w:rPr>
          <w:rFonts w:hint="eastAsia" w:ascii="方正仿宋_GB2312" w:hAnsi="方正仿宋_GB2312" w:cs="方正仿宋_GB2312"/>
          <w:color w:val="auto"/>
          <w:sz w:val="28"/>
          <w:szCs w:val="28"/>
          <w:lang w:val="en-US" w:eastAsia="zh-CN"/>
        </w:rPr>
        <w:t>档案整理、装订、归档移交等服务采购，</w:t>
      </w:r>
      <w:bookmarkEnd w:id="0"/>
      <w:r>
        <w:rPr>
          <w:rFonts w:hint="eastAsia" w:ascii="方正仿宋_GB2312" w:hAnsi="方正仿宋_GB2312" w:cs="方正仿宋_GB2312"/>
          <w:color w:val="auto"/>
          <w:sz w:val="28"/>
          <w:szCs w:val="28"/>
          <w:lang w:val="en-US" w:eastAsia="zh-CN"/>
        </w:rPr>
        <w:t>确保会计档案符合管理要求</w:t>
      </w:r>
      <w:r>
        <w:rPr>
          <w:rFonts w:hint="eastAsia" w:ascii="方正仿宋_GB2312" w:hAnsi="方正仿宋_GB2312" w:eastAsia="方正仿宋_GB2312" w:cs="方正仿宋_GB2312"/>
          <w:color w:val="auto"/>
          <w:sz w:val="28"/>
          <w:szCs w:val="28"/>
          <w:lang w:val="en-US" w:eastAsia="zh-CN"/>
        </w:rPr>
        <w:t>。</w:t>
      </w:r>
    </w:p>
    <w:p>
      <w:pPr>
        <w:numPr>
          <w:ilvl w:val="0"/>
          <w:numId w:val="0"/>
        </w:numPr>
        <w:ind w:firstLine="560" w:firstLineChars="200"/>
        <w:rPr>
          <w:rFonts w:hint="eastAsia" w:ascii="方正仿宋_GB2312" w:hAnsi="方正仿宋_GB2312" w:eastAsia="方正仿宋_GB2312" w:cs="方正仿宋_GB2312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sz w:val="28"/>
          <w:szCs w:val="28"/>
          <w:lang w:val="en-US" w:eastAsia="zh-CN"/>
        </w:rPr>
        <w:t>2.采购预算：</w:t>
      </w:r>
      <w:r>
        <w:rPr>
          <w:rFonts w:hint="eastAsia" w:ascii="方正仿宋_GB2312" w:hAnsi="方正仿宋_GB2312" w:cs="方正仿宋_GB2312"/>
          <w:color w:val="auto"/>
          <w:sz w:val="28"/>
          <w:szCs w:val="28"/>
          <w:lang w:val="en-US" w:eastAsia="zh-CN"/>
        </w:rPr>
        <w:t>预算金额为4.9</w:t>
      </w:r>
      <w:r>
        <w:rPr>
          <w:rFonts w:hint="eastAsia" w:ascii="方正仿宋_GB2312" w:hAnsi="方正仿宋_GB2312" w:eastAsia="方正仿宋_GB2312" w:cs="方正仿宋_GB2312"/>
          <w:color w:val="auto"/>
          <w:sz w:val="28"/>
          <w:szCs w:val="28"/>
          <w:lang w:val="en-US" w:eastAsia="zh-CN"/>
        </w:rPr>
        <w:t>万元。</w:t>
      </w:r>
    </w:p>
    <w:p>
      <w:pPr>
        <w:numPr>
          <w:ilvl w:val="0"/>
          <w:numId w:val="0"/>
        </w:numPr>
        <w:ind w:firstLine="560" w:firstLineChars="200"/>
        <w:rPr>
          <w:rFonts w:hint="eastAsia" w:ascii="方正仿宋_GB2312" w:hAnsi="方正仿宋_GB2312" w:eastAsia="方正仿宋_GB2312" w:cs="方正仿宋_GB2312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sz w:val="28"/>
          <w:szCs w:val="28"/>
          <w:lang w:val="en-US" w:eastAsia="zh-CN"/>
        </w:rPr>
        <w:t>3.合同期限：</w:t>
      </w:r>
      <w:r>
        <w:rPr>
          <w:rFonts w:hint="eastAsia" w:ascii="方正仿宋_GB2312" w:hAnsi="方正仿宋_GB2312" w:cs="方正仿宋_GB2312"/>
          <w:color w:val="auto"/>
          <w:sz w:val="28"/>
          <w:szCs w:val="28"/>
          <w:lang w:val="en-US" w:eastAsia="zh-CN"/>
        </w:rPr>
        <w:t>2026年7月30日前</w:t>
      </w:r>
      <w:r>
        <w:rPr>
          <w:rFonts w:hint="eastAsia" w:ascii="方正仿宋_GB2312" w:hAnsi="方正仿宋_GB2312" w:eastAsia="方正仿宋_GB2312" w:cs="方正仿宋_GB2312"/>
          <w:color w:val="auto"/>
          <w:sz w:val="28"/>
          <w:szCs w:val="28"/>
          <w:lang w:val="en-US" w:eastAsia="zh-CN"/>
        </w:rPr>
        <w:t>。</w:t>
      </w:r>
    </w:p>
    <w:p>
      <w:pPr>
        <w:numPr>
          <w:ilvl w:val="0"/>
          <w:numId w:val="0"/>
        </w:numPr>
        <w:ind w:firstLine="643" w:firstLineChars="200"/>
        <w:rPr>
          <w:rFonts w:hint="eastAsia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32"/>
          <w:szCs w:val="32"/>
          <w:lang w:val="en-US" w:eastAsia="zh-CN" w:bidi="ar-SA"/>
        </w:rPr>
        <w:t>二、</w:t>
      </w:r>
      <w:r>
        <w:rPr>
          <w:rFonts w:hint="eastAsia" w:ascii="方正仿宋_GB2312" w:hAnsi="方正仿宋_GB2312" w:cs="方正仿宋_GB2312"/>
          <w:b/>
          <w:bCs/>
          <w:sz w:val="32"/>
          <w:szCs w:val="32"/>
          <w:lang w:val="en-US" w:eastAsia="zh-CN" w:bidi="ar-SA"/>
        </w:rPr>
        <w:t>资格</w:t>
      </w:r>
      <w:r>
        <w:rPr>
          <w:rFonts w:hint="eastAsia" w:ascii="方正仿宋_GB2312" w:hAnsi="方正仿宋_GB2312" w:eastAsia="方正仿宋_GB2312" w:cs="方正仿宋_GB2312"/>
          <w:b/>
          <w:bCs/>
          <w:sz w:val="32"/>
          <w:szCs w:val="32"/>
          <w:lang w:val="en-US" w:eastAsia="zh-CN" w:bidi="ar-SA"/>
        </w:rPr>
        <w:t>要求</w:t>
      </w:r>
    </w:p>
    <w:p>
      <w:pPr>
        <w:numPr>
          <w:ilvl w:val="0"/>
          <w:numId w:val="0"/>
        </w:numPr>
        <w:ind w:firstLine="560" w:firstLineChars="200"/>
        <w:rPr>
          <w:rFonts w:hint="eastAsia" w:ascii="方正仿宋_GB2312" w:hAnsi="方正仿宋_GB2312" w:cs="方正仿宋_GB2312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cs="方正仿宋_GB2312"/>
          <w:color w:val="auto"/>
          <w:sz w:val="28"/>
          <w:szCs w:val="28"/>
          <w:lang w:val="en-US" w:eastAsia="zh-CN"/>
        </w:rPr>
        <w:t>具有独立法人资格，营业执照经营范围涵盖档案装订等相关内容，且年检合格、有效存续。</w:t>
      </w:r>
    </w:p>
    <w:p>
      <w:pPr>
        <w:numPr>
          <w:ilvl w:val="0"/>
          <w:numId w:val="0"/>
        </w:numPr>
        <w:ind w:firstLine="560" w:firstLineChars="200"/>
        <w:rPr>
          <w:rFonts w:hint="eastAsia" w:ascii="方正仿宋_GB2312" w:hAnsi="方正仿宋_GB2312" w:cs="方正仿宋_GB2312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cs="方正仿宋_GB2312"/>
          <w:color w:val="auto"/>
          <w:sz w:val="28"/>
          <w:szCs w:val="28"/>
          <w:lang w:val="en-US" w:eastAsia="zh-CN"/>
        </w:rPr>
        <w:t>（1）在中华人民共和国境内注册，具备独立法人资格，持有合法有效的法人证书（或法人身份证明文件）。</w:t>
      </w:r>
    </w:p>
    <w:p>
      <w:pPr>
        <w:numPr>
          <w:ilvl w:val="0"/>
          <w:numId w:val="0"/>
        </w:numPr>
        <w:ind w:firstLine="560" w:firstLineChars="200"/>
        <w:rPr>
          <w:rFonts w:hint="eastAsia" w:ascii="方正仿宋_GB2312" w:hAnsi="方正仿宋_GB2312" w:cs="方正仿宋_GB2312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cs="方正仿宋_GB2312"/>
          <w:color w:val="auto"/>
          <w:sz w:val="28"/>
          <w:szCs w:val="28"/>
          <w:lang w:val="en-US" w:eastAsia="zh-CN"/>
        </w:rPr>
        <w:t>（2）具有良好的社会信誉，在最近三年内没有骗取中标（隐瞒或提供虚假资料等）行为和严重违法、违约记录</w:t>
      </w:r>
      <w:r>
        <w:rPr>
          <w:rFonts w:hint="default" w:ascii="方正仿宋_GB2312" w:hAnsi="方正仿宋_GB2312" w:cs="方正仿宋_GB2312"/>
          <w:color w:val="auto"/>
          <w:sz w:val="28"/>
          <w:szCs w:val="28"/>
          <w:lang w:val="en-US" w:eastAsia="zh-CN"/>
        </w:rPr>
        <w:t>。</w:t>
      </w:r>
    </w:p>
    <w:p>
      <w:pPr>
        <w:numPr>
          <w:ilvl w:val="0"/>
          <w:numId w:val="0"/>
        </w:numPr>
        <w:ind w:firstLine="560" w:firstLineChars="200"/>
        <w:rPr>
          <w:rFonts w:hint="eastAsia" w:ascii="方正仿宋_GB2312" w:hAnsi="方正仿宋_GB2312" w:cs="方正仿宋_GB2312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cs="方正仿宋_GB2312"/>
          <w:color w:val="auto"/>
          <w:sz w:val="28"/>
          <w:szCs w:val="28"/>
          <w:lang w:val="en-US" w:eastAsia="zh-CN"/>
        </w:rPr>
        <w:t>（3）列入南方电网有限责任公司黑名单供应商，不得对其进行采购。</w:t>
      </w:r>
    </w:p>
    <w:p>
      <w:pPr>
        <w:numPr>
          <w:ilvl w:val="0"/>
          <w:numId w:val="0"/>
        </w:numPr>
        <w:ind w:firstLine="560" w:firstLineChars="200"/>
        <w:rPr>
          <w:rFonts w:hint="eastAsia" w:ascii="方正仿宋_GB2312" w:hAnsi="方正仿宋_GB2312" w:cs="方正仿宋_GB2312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cs="方正仿宋_GB2312"/>
          <w:color w:val="auto"/>
          <w:sz w:val="28"/>
          <w:szCs w:val="28"/>
          <w:lang w:val="en-US" w:eastAsia="zh-CN"/>
        </w:rPr>
        <w:t>（4）具有</w:t>
      </w:r>
      <w:r>
        <w:rPr>
          <w:rFonts w:hint="default" w:ascii="方正仿宋_GB2312" w:hAnsi="方正仿宋_GB2312" w:cs="方正仿宋_GB2312"/>
          <w:color w:val="auto"/>
          <w:sz w:val="28"/>
          <w:szCs w:val="28"/>
          <w:lang w:val="en-US" w:eastAsia="zh-CN"/>
        </w:rPr>
        <w:t>ISO9001质量管理体系认证证书</w:t>
      </w:r>
      <w:r>
        <w:rPr>
          <w:rFonts w:hint="eastAsia" w:ascii="方正仿宋_GB2312" w:hAnsi="方正仿宋_GB2312" w:cs="方正仿宋_GB2312"/>
          <w:color w:val="auto"/>
          <w:sz w:val="28"/>
          <w:szCs w:val="28"/>
          <w:lang w:val="en-US" w:eastAsia="zh-CN"/>
        </w:rPr>
        <w:t>、ISO45001职业健康安全管理体系认证证书、ISO27001信息安全管理体系认证证书、ISO20000信息技术服务管理体系认证证书，所有证书认证范围包含档案数字化。</w:t>
      </w:r>
    </w:p>
    <w:p>
      <w:pPr>
        <w:numPr>
          <w:ilvl w:val="0"/>
          <w:numId w:val="0"/>
        </w:numPr>
        <w:ind w:firstLine="560" w:firstLineChars="200"/>
        <w:rPr>
          <w:rFonts w:hint="eastAsia" w:ascii="方正仿宋_GB2312" w:hAnsi="方正仿宋_GB2312" w:cs="方正仿宋_GB2312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cs="方正仿宋_GB2312"/>
          <w:color w:val="auto"/>
          <w:sz w:val="28"/>
          <w:szCs w:val="28"/>
          <w:lang w:val="en-US" w:eastAsia="zh-CN"/>
        </w:rPr>
        <w:t>（5）提供2023年1月1日至报价截止日有财务档案整理、财务档案数字化加工等同类项目业绩，须提供合同关键页复印件（首页、服务内容页、盖章签字页等）有效证明材料。</w:t>
      </w:r>
    </w:p>
    <w:p>
      <w:pPr>
        <w:numPr>
          <w:ilvl w:val="0"/>
          <w:numId w:val="0"/>
        </w:numPr>
        <w:ind w:firstLine="560" w:firstLineChars="200"/>
        <w:rPr>
          <w:rFonts w:hint="eastAsia" w:ascii="方正仿宋_GB2312" w:hAnsi="方正仿宋_GB2312" w:cs="方正仿宋_GB2312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cs="方正仿宋_GB2312"/>
          <w:color w:val="auto"/>
          <w:sz w:val="28"/>
          <w:szCs w:val="28"/>
          <w:lang w:val="en-US" w:eastAsia="zh-CN"/>
        </w:rPr>
        <w:t>（6）具备有效的省、市级或所在地档案局出具的档案备案证明或认证文件。</w:t>
      </w:r>
    </w:p>
    <w:p>
      <w:pPr>
        <w:numPr>
          <w:ilvl w:val="0"/>
          <w:numId w:val="0"/>
        </w:numPr>
        <w:ind w:firstLine="560" w:firstLineChars="200"/>
        <w:rPr>
          <w:rFonts w:hint="eastAsia" w:ascii="方正仿宋_GB2312" w:hAnsi="方正仿宋_GB2312" w:cs="方正仿宋_GB2312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cs="方正仿宋_GB2312"/>
          <w:color w:val="auto"/>
          <w:sz w:val="28"/>
          <w:szCs w:val="28"/>
          <w:lang w:val="en-US" w:eastAsia="zh-CN"/>
        </w:rPr>
        <w:t>（7）团队成员人员数量不少于2人。人员需熟悉会计凭证装订、归档等基本技能，具备严谨、认真负责的工作态度，要严格遵守公司的保密要求。</w:t>
      </w:r>
    </w:p>
    <w:p>
      <w:pPr>
        <w:numPr>
          <w:ilvl w:val="0"/>
          <w:numId w:val="0"/>
        </w:numPr>
        <w:ind w:firstLine="643" w:firstLineChars="200"/>
        <w:rPr>
          <w:rFonts w:hint="eastAsia" w:ascii="方正仿宋_GB2312" w:hAnsi="方正仿宋_GB2312" w:eastAsia="方正仿宋_GB2312" w:cs="方正仿宋_GB2312"/>
          <w:b/>
          <w:bCs/>
          <w:sz w:val="32"/>
          <w:szCs w:val="32"/>
          <w:lang w:val="en-US" w:eastAsia="zh-CN"/>
        </w:rPr>
      </w:pPr>
      <w:r>
        <w:rPr>
          <w:rFonts w:hint="eastAsia" w:ascii="方正仿宋_GB2312" w:hAnsi="方正仿宋_GB2312" w:cs="方正仿宋_GB2312"/>
          <w:b/>
          <w:bCs/>
          <w:sz w:val="32"/>
          <w:szCs w:val="32"/>
          <w:lang w:val="en-US" w:eastAsia="zh-CN"/>
        </w:rPr>
        <w:t>三</w:t>
      </w:r>
      <w:r>
        <w:rPr>
          <w:rFonts w:hint="eastAsia" w:ascii="方正仿宋_GB2312" w:hAnsi="方正仿宋_GB2312" w:eastAsia="方正仿宋_GB2312" w:cs="方正仿宋_GB2312"/>
          <w:b/>
          <w:bCs/>
          <w:sz w:val="32"/>
          <w:szCs w:val="32"/>
          <w:lang w:val="en-US" w:eastAsia="zh-CN"/>
        </w:rPr>
        <w:t>、技术要求</w:t>
      </w:r>
    </w:p>
    <w:p>
      <w:pPr>
        <w:numPr>
          <w:ilvl w:val="0"/>
          <w:numId w:val="0"/>
        </w:numPr>
        <w:ind w:firstLine="562" w:firstLineChars="200"/>
        <w:rPr>
          <w:rFonts w:hint="eastAsia" w:ascii="方正仿宋_GB2312" w:hAnsi="方正仿宋_GB2312" w:cs="方正仿宋_GB2312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cs="方正仿宋_GB2312"/>
          <w:b/>
          <w:bCs/>
          <w:color w:val="auto"/>
          <w:sz w:val="28"/>
          <w:szCs w:val="28"/>
          <w:lang w:val="en-US" w:eastAsia="zh-CN"/>
        </w:rPr>
        <w:t>（一）单据匹配凭证</w:t>
      </w:r>
    </w:p>
    <w:p>
      <w:pPr>
        <w:numPr>
          <w:ilvl w:val="0"/>
          <w:numId w:val="0"/>
        </w:numPr>
        <w:ind w:firstLine="560" w:firstLineChars="200"/>
        <w:rPr>
          <w:rFonts w:hint="eastAsia" w:ascii="方正仿宋_GB2312" w:hAnsi="方正仿宋_GB2312" w:cs="方正仿宋_GB2312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cs="方正仿宋_GB2312"/>
          <w:color w:val="auto"/>
          <w:sz w:val="28"/>
          <w:szCs w:val="28"/>
          <w:lang w:val="en-US" w:eastAsia="zh-CN"/>
        </w:rPr>
        <w:t>在单据上匹配对应的凭证号，并粘贴好凭证附件。每笔记账凭证必须附齐所有相关单据（如发票需附清单、付款需附审批单），不得遗漏。原始单据的信息必须与记账凭证完全一致，若有差异需标注原因并审批。若原始单据缺失（如发票丢失），需补充“情况说明”并由经办人、审批人签字确认，随凭证一并归档。对于跨期业务，需在凭证备注栏注明“跨期支付原因”，确保匹配逻辑清晰。</w:t>
      </w:r>
    </w:p>
    <w:p>
      <w:pPr>
        <w:numPr>
          <w:ilvl w:val="0"/>
          <w:numId w:val="0"/>
        </w:numPr>
        <w:ind w:firstLine="562" w:firstLineChars="200"/>
        <w:rPr>
          <w:rFonts w:hint="eastAsia" w:ascii="方正仿宋_GB2312" w:hAnsi="方正仿宋_GB2312" w:cs="方正仿宋_GB2312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cs="方正仿宋_GB2312"/>
          <w:b/>
          <w:bCs/>
          <w:color w:val="auto"/>
          <w:sz w:val="28"/>
          <w:szCs w:val="28"/>
          <w:lang w:val="en-US" w:eastAsia="zh-CN"/>
        </w:rPr>
        <w:t>（二）单据排序</w:t>
      </w:r>
    </w:p>
    <w:p>
      <w:pPr>
        <w:numPr>
          <w:ilvl w:val="0"/>
          <w:numId w:val="0"/>
        </w:numPr>
        <w:ind w:firstLine="560" w:firstLineChars="200"/>
        <w:rPr>
          <w:rFonts w:hint="eastAsia" w:ascii="方正仿宋_GB2312" w:hAnsi="方正仿宋_GB2312" w:cs="方正仿宋_GB2312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cs="方正仿宋_GB2312"/>
          <w:color w:val="auto"/>
          <w:sz w:val="28"/>
          <w:szCs w:val="28"/>
          <w:lang w:val="en-US" w:eastAsia="zh-CN"/>
        </w:rPr>
        <w:t>按收款、付款、转账类型分类排序并附会计凭证。单据需左上对齐，避免歪斜或重叠（可使用“票据粘贴单”固定，大尺寸单据需折叠至与凭证同大小）。在单据右上角用铅笔注明“凭证号+页码”（如“记-123-1”表示第123号凭证的第1张单据），便于快速查找。</w:t>
      </w:r>
    </w:p>
    <w:p>
      <w:pPr>
        <w:numPr>
          <w:ilvl w:val="0"/>
          <w:numId w:val="0"/>
        </w:numPr>
        <w:ind w:firstLine="562" w:firstLineChars="200"/>
        <w:rPr>
          <w:rFonts w:hint="eastAsia" w:ascii="方正仿宋_GB2312" w:hAnsi="方正仿宋_GB2312" w:cs="方正仿宋_GB2312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cs="方正仿宋_GB2312"/>
          <w:b/>
          <w:bCs/>
          <w:color w:val="auto"/>
          <w:sz w:val="28"/>
          <w:szCs w:val="28"/>
          <w:lang w:val="en-US" w:eastAsia="zh-CN"/>
        </w:rPr>
        <w:t>（三）凭证打印</w:t>
      </w:r>
    </w:p>
    <w:p>
      <w:pPr>
        <w:numPr>
          <w:ilvl w:val="0"/>
          <w:numId w:val="0"/>
        </w:numPr>
        <w:ind w:firstLine="560" w:firstLineChars="200"/>
        <w:rPr>
          <w:rFonts w:hint="eastAsia" w:ascii="方正仿宋_GB2312" w:hAnsi="方正仿宋_GB2312" w:cs="方正仿宋_GB2312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cs="方正仿宋_GB2312"/>
          <w:color w:val="auto"/>
          <w:sz w:val="28"/>
          <w:szCs w:val="28"/>
          <w:lang w:val="en-US" w:eastAsia="zh-CN"/>
        </w:rPr>
        <w:t>需符合国家法规（如《会计档案管理办法》）及企业格式要求。凭证需包含“单位名称、凭证编号、日期、摘要、科目、金额、附件张数、相关人员签字（制单、复核、记账）”等要素，字体需清晰。</w:t>
      </w:r>
    </w:p>
    <w:p>
      <w:pPr>
        <w:numPr>
          <w:ilvl w:val="0"/>
          <w:numId w:val="0"/>
        </w:numPr>
        <w:ind w:firstLine="562" w:firstLineChars="200"/>
        <w:rPr>
          <w:rFonts w:hint="eastAsia" w:ascii="方正仿宋_GB2312" w:hAnsi="方正仿宋_GB2312" w:cs="方正仿宋_GB2312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cs="方正仿宋_GB2312"/>
          <w:b/>
          <w:bCs/>
          <w:color w:val="auto"/>
          <w:sz w:val="28"/>
          <w:szCs w:val="28"/>
          <w:lang w:val="en-US" w:eastAsia="zh-CN"/>
        </w:rPr>
        <w:t>（四）银行回单打印</w:t>
      </w:r>
    </w:p>
    <w:p>
      <w:pPr>
        <w:numPr>
          <w:ilvl w:val="0"/>
          <w:numId w:val="0"/>
        </w:numPr>
        <w:ind w:firstLine="560" w:firstLineChars="200"/>
        <w:rPr>
          <w:rFonts w:hint="eastAsia" w:ascii="方正仿宋_GB2312" w:hAnsi="方正仿宋_GB2312" w:cs="方正仿宋_GB2312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cs="方正仿宋_GB2312"/>
          <w:color w:val="auto"/>
          <w:sz w:val="28"/>
          <w:szCs w:val="28"/>
          <w:lang w:val="en-US" w:eastAsia="zh-CN"/>
        </w:rPr>
        <w:t>包括南网财、建行和批量支付回单。回单需包含“交易日期、金额、对方账户、业务类型（收款/付款）、银行印章”等要素，不得缺失。在回单右上角注明“对应凭证号”（如“记-123”），便于后续装订与查找。</w:t>
      </w:r>
    </w:p>
    <w:p>
      <w:pPr>
        <w:numPr>
          <w:ilvl w:val="0"/>
          <w:numId w:val="0"/>
        </w:numPr>
        <w:ind w:firstLine="562" w:firstLineChars="200"/>
        <w:rPr>
          <w:rFonts w:hint="eastAsia" w:ascii="方正仿宋_GB2312" w:hAnsi="方正仿宋_GB2312" w:cs="方正仿宋_GB2312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cs="方正仿宋_GB2312"/>
          <w:b/>
          <w:bCs/>
          <w:color w:val="auto"/>
          <w:sz w:val="28"/>
          <w:szCs w:val="28"/>
          <w:lang w:val="en-US" w:eastAsia="zh-CN"/>
        </w:rPr>
        <w:t>（五）加附会计凭证</w:t>
      </w:r>
    </w:p>
    <w:p>
      <w:pPr>
        <w:numPr>
          <w:ilvl w:val="0"/>
          <w:numId w:val="0"/>
        </w:numPr>
        <w:ind w:firstLine="560" w:firstLineChars="200"/>
        <w:rPr>
          <w:rFonts w:hint="eastAsia" w:ascii="方正仿宋_GB2312" w:hAnsi="方正仿宋_GB2312" w:cs="方正仿宋_GB2312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cs="方正仿宋_GB2312"/>
          <w:color w:val="auto"/>
          <w:sz w:val="28"/>
          <w:szCs w:val="28"/>
          <w:lang w:val="en-US" w:eastAsia="zh-CN"/>
        </w:rPr>
        <w:t>按“原始单据→银行回单”的顺序附加（原始单据在前，回单在后）。使用“凭证封面”或“装订夹”固定附加材料，避免脱落。在附加材料的左上角注明“凭证号+页码”（如“记-123-1”），便于快速查找。若附加材料过多（如超过凭证厚度），需单独装订成册（标注“附件册”），并在记账凭证上注明“附件另订”及“册号”。对于电子附加材料（如电子发票），需将其扫描为PDF格式，随纸质凭证一并归档（确保电子档案与纸质档案一致）。</w:t>
      </w:r>
    </w:p>
    <w:p>
      <w:pPr>
        <w:numPr>
          <w:ilvl w:val="0"/>
          <w:numId w:val="0"/>
        </w:numPr>
        <w:ind w:firstLine="562" w:firstLineChars="200"/>
        <w:rPr>
          <w:rFonts w:hint="eastAsia" w:ascii="方正仿宋_GB2312" w:hAnsi="方正仿宋_GB2312" w:cs="方正仿宋_GB2312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cs="方正仿宋_GB2312"/>
          <w:b/>
          <w:bCs/>
          <w:color w:val="auto"/>
          <w:sz w:val="28"/>
          <w:szCs w:val="28"/>
          <w:lang w:val="en-US" w:eastAsia="zh-CN"/>
        </w:rPr>
        <w:t>（六）复核、分册</w:t>
      </w:r>
    </w:p>
    <w:p>
      <w:pPr>
        <w:numPr>
          <w:ilvl w:val="0"/>
          <w:numId w:val="0"/>
        </w:numPr>
        <w:ind w:firstLine="560" w:firstLineChars="200"/>
        <w:rPr>
          <w:rFonts w:hint="eastAsia" w:ascii="方正仿宋_GB2312" w:hAnsi="方正仿宋_GB2312" w:cs="方正仿宋_GB2312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cs="方正仿宋_GB2312"/>
          <w:color w:val="auto"/>
          <w:sz w:val="28"/>
          <w:szCs w:val="28"/>
          <w:lang w:val="en-US" w:eastAsia="zh-CN"/>
        </w:rPr>
        <w:t>检查“凭证-原始单据-回单”是否齐全。核对“凭证金额与原始单据金额”“回单信息与凭证信息”是否一致。检查“凭证签字是否齐全”、“原始单据是否符合规定”、“回单是否有银行印章”。检查“凭证打印格式”“单据排序”“附加材料固定”是否符合企业要求。</w:t>
      </w:r>
    </w:p>
    <w:p>
      <w:pPr>
        <w:numPr>
          <w:ilvl w:val="0"/>
          <w:numId w:val="0"/>
        </w:numPr>
        <w:ind w:firstLine="560" w:firstLineChars="200"/>
        <w:rPr>
          <w:rFonts w:hint="eastAsia" w:ascii="方正仿宋_GB2312" w:hAnsi="方正仿宋_GB2312" w:cs="方正仿宋_GB2312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cs="方正仿宋_GB2312"/>
          <w:color w:val="auto"/>
          <w:sz w:val="28"/>
          <w:szCs w:val="28"/>
          <w:lang w:val="en-US" w:eastAsia="zh-CN"/>
        </w:rPr>
        <w:t>按装订厚度分册，每册凭证厚度不超过2厘米（或企业规定的标准），避免过厚导致装订困难。同一月份的凭证按“上旬、中旬、下旬”分成册。对于业务量大的，可按“收款凭证、付款凭证、转账凭证”分成册。分册后需保持凭证编号的连续性，在每册凭证的封面注明“册次、起止编号、张数”，分册后需使用“凭证封套”固定，避免凭证散落。</w:t>
      </w:r>
    </w:p>
    <w:p>
      <w:pPr>
        <w:numPr>
          <w:ilvl w:val="0"/>
          <w:numId w:val="0"/>
        </w:numPr>
        <w:ind w:firstLine="562" w:firstLineChars="200"/>
        <w:rPr>
          <w:rFonts w:hint="eastAsia" w:ascii="方正仿宋_GB2312" w:hAnsi="方正仿宋_GB2312" w:cs="方正仿宋_GB2312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cs="方正仿宋_GB2312"/>
          <w:b/>
          <w:bCs/>
          <w:color w:val="auto"/>
          <w:sz w:val="28"/>
          <w:szCs w:val="28"/>
          <w:lang w:val="en-US" w:eastAsia="zh-CN"/>
        </w:rPr>
        <w:t>（七）装订</w:t>
      </w:r>
    </w:p>
    <w:p>
      <w:pPr>
        <w:numPr>
          <w:ilvl w:val="0"/>
          <w:numId w:val="0"/>
        </w:numPr>
        <w:ind w:firstLine="560" w:firstLineChars="200"/>
        <w:rPr>
          <w:rFonts w:hint="eastAsia" w:ascii="方正仿宋_GB2312" w:hAnsi="方正仿宋_GB2312" w:cs="方正仿宋_GB2312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cs="方正仿宋_GB2312"/>
          <w:color w:val="auto"/>
          <w:sz w:val="28"/>
          <w:szCs w:val="28"/>
          <w:lang w:val="en-US" w:eastAsia="zh-CN"/>
        </w:rPr>
        <w:t>装订成册并编号，填写凭证封面。在凭证左侧打三个孔，用棉线穿过孔并打结。凭证需左上对齐，避免歪斜。装订后需检查“结扣是否牢固”“凭证是否脱落”。装订线需置于凭证左侧，结扣需隐藏在凭证内侧。将“凭证封面”附在装订好的凭证上，用胶水或钉书机固定，封面需注明“单位名称、凭证类别、起止编号、张数、装订人、装订日期”。</w:t>
      </w:r>
    </w:p>
    <w:p>
      <w:pPr>
        <w:numPr>
          <w:ilvl w:val="0"/>
          <w:numId w:val="0"/>
        </w:numPr>
        <w:ind w:firstLine="562" w:firstLineChars="200"/>
        <w:rPr>
          <w:rFonts w:hint="eastAsia" w:ascii="方正仿宋_GB2312" w:hAnsi="方正仿宋_GB2312" w:cs="方正仿宋_GB2312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cs="方正仿宋_GB2312"/>
          <w:b/>
          <w:bCs/>
          <w:color w:val="auto"/>
          <w:sz w:val="28"/>
          <w:szCs w:val="28"/>
          <w:lang w:val="en-US" w:eastAsia="zh-CN"/>
        </w:rPr>
        <w:t>（八）装盒</w:t>
      </w:r>
    </w:p>
    <w:p>
      <w:pPr>
        <w:numPr>
          <w:ilvl w:val="0"/>
          <w:numId w:val="0"/>
        </w:numPr>
        <w:ind w:firstLine="560" w:firstLineChars="200"/>
        <w:rPr>
          <w:rFonts w:hint="eastAsia" w:ascii="方正仿宋_GB2312" w:hAnsi="方正仿宋_GB2312" w:cs="方正仿宋_GB2312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cs="方正仿宋_GB2312"/>
          <w:color w:val="auto"/>
          <w:sz w:val="28"/>
          <w:szCs w:val="28"/>
          <w:lang w:val="en-US" w:eastAsia="zh-CN"/>
        </w:rPr>
        <w:t>使用“会计档案专用盒”，标准装入盒并填写封盒信息。在档案盒封面注明“单位名称、凭证类别、年度、月份、册数、起止编号、保管期限（30年）、装盒人、装盒日期”。在档案盒脊背注明“单位名称、凭证类别、年度、月份、册数、起止编号、保管期限”。</w:t>
      </w:r>
    </w:p>
    <w:p>
      <w:pPr>
        <w:numPr>
          <w:ilvl w:val="0"/>
          <w:numId w:val="0"/>
        </w:numPr>
        <w:ind w:firstLine="562" w:firstLineChars="200"/>
        <w:rPr>
          <w:rFonts w:hint="eastAsia" w:ascii="方正仿宋_GB2312" w:hAnsi="方正仿宋_GB2312" w:cs="方正仿宋_GB2312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cs="方正仿宋_GB2312"/>
          <w:b/>
          <w:bCs/>
          <w:color w:val="auto"/>
          <w:sz w:val="28"/>
          <w:szCs w:val="28"/>
          <w:lang w:val="en-US" w:eastAsia="zh-CN"/>
        </w:rPr>
        <w:t>（九）归档移交</w:t>
      </w:r>
    </w:p>
    <w:p>
      <w:pPr>
        <w:numPr>
          <w:ilvl w:val="0"/>
          <w:numId w:val="0"/>
        </w:numPr>
        <w:ind w:firstLine="560" w:firstLineChars="200"/>
        <w:rPr>
          <w:rFonts w:hint="default" w:ascii="方正仿宋_GB2312" w:hAnsi="方正仿宋_GB2312" w:cs="方正仿宋_GB2312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cs="方正仿宋_GB2312"/>
          <w:color w:val="auto"/>
          <w:sz w:val="28"/>
          <w:szCs w:val="28"/>
          <w:lang w:val="en-US" w:eastAsia="zh-CN"/>
        </w:rPr>
        <w:t>纸质档案归档存放档案室，电子档案移交。纸质档案归档需编制“会计档案移交清册”，注明“档案名称、卷号、册数、起止年度、档案编号、保管期限、应保管期限、已保管期限、移交人、接收人、监交人”等内容。将装盒后的档案按“年度-类别-月份”排列，移交前需核对“移交清册”与“档案盒信息”是否一致，移交人、接收人、监交人需在“会计档案移交清册”上签字确认，档案管理部门需将“会计档案移交清册”存档，并将档案放入“档案库房”。</w:t>
      </w:r>
    </w:p>
    <w:p>
      <w:pPr>
        <w:numPr>
          <w:ilvl w:val="0"/>
          <w:numId w:val="0"/>
        </w:numPr>
        <w:ind w:firstLine="562" w:firstLineChars="200"/>
        <w:rPr>
          <w:rFonts w:hint="default" w:ascii="方正仿宋_GB2312" w:hAnsi="方正仿宋_GB2312" w:cs="方正仿宋_GB2312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cs="方正仿宋_GB2312"/>
          <w:b/>
          <w:bCs/>
          <w:color w:val="auto"/>
          <w:sz w:val="28"/>
          <w:szCs w:val="28"/>
          <w:lang w:val="en-US" w:eastAsia="zh-CN"/>
        </w:rPr>
        <w:t>（十）项目进度要求</w:t>
      </w:r>
    </w:p>
    <w:p>
      <w:pPr>
        <w:pStyle w:val="1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ind w:firstLine="560" w:firstLineChars="200"/>
        <w:textAlignment w:val="baseline"/>
        <w:rPr>
          <w:rFonts w:hint="eastAsia" w:ascii="方正仿宋_GB2312" w:hAnsi="方正仿宋_GB2312" w:cs="方正仿宋_GB2312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cs="方正仿宋_GB2312"/>
          <w:color w:val="auto"/>
          <w:sz w:val="28"/>
          <w:szCs w:val="28"/>
          <w:lang w:val="en-US" w:eastAsia="zh-CN"/>
        </w:rPr>
        <w:t>（1）需在202</w:t>
      </w:r>
      <w:r>
        <w:rPr>
          <w:rFonts w:hint="eastAsia" w:cs="方正仿宋_GB2312"/>
          <w:color w:val="auto"/>
          <w:sz w:val="28"/>
          <w:szCs w:val="28"/>
          <w:lang w:val="en-US" w:eastAsia="zh-CN"/>
        </w:rPr>
        <w:t>6</w:t>
      </w:r>
      <w:r>
        <w:rPr>
          <w:rFonts w:hint="eastAsia" w:ascii="方正仿宋_GB2312" w:hAnsi="方正仿宋_GB2312" w:cs="方正仿宋_GB2312"/>
          <w:color w:val="auto"/>
          <w:sz w:val="28"/>
          <w:szCs w:val="28"/>
          <w:lang w:val="en-US" w:eastAsia="zh-CN"/>
        </w:rPr>
        <w:t>年</w:t>
      </w:r>
      <w:r>
        <w:rPr>
          <w:rFonts w:hint="eastAsia" w:cs="方正仿宋_GB2312"/>
          <w:color w:val="auto"/>
          <w:sz w:val="28"/>
          <w:szCs w:val="28"/>
          <w:lang w:val="en-US" w:eastAsia="zh-CN"/>
        </w:rPr>
        <w:t>4</w:t>
      </w:r>
      <w:r>
        <w:rPr>
          <w:rFonts w:hint="eastAsia" w:ascii="方正仿宋_GB2312" w:hAnsi="方正仿宋_GB2312" w:cs="方正仿宋_GB2312"/>
          <w:color w:val="auto"/>
          <w:sz w:val="28"/>
          <w:szCs w:val="28"/>
          <w:lang w:val="en-US" w:eastAsia="zh-CN"/>
        </w:rPr>
        <w:t>月</w:t>
      </w:r>
      <w:r>
        <w:rPr>
          <w:rFonts w:hint="eastAsia" w:cs="方正仿宋_GB2312"/>
          <w:color w:val="auto"/>
          <w:sz w:val="28"/>
          <w:szCs w:val="28"/>
          <w:lang w:val="en-US" w:eastAsia="zh-CN"/>
        </w:rPr>
        <w:t>30</w:t>
      </w:r>
      <w:r>
        <w:rPr>
          <w:rFonts w:hint="eastAsia" w:ascii="方正仿宋_GB2312" w:hAnsi="方正仿宋_GB2312" w:cs="方正仿宋_GB2312"/>
          <w:color w:val="auto"/>
          <w:sz w:val="28"/>
          <w:szCs w:val="28"/>
          <w:lang w:val="en-US" w:eastAsia="zh-CN"/>
        </w:rPr>
        <w:t>日前，通知乙方人员进场开展工作，202</w:t>
      </w:r>
      <w:r>
        <w:rPr>
          <w:rFonts w:hint="eastAsia" w:cs="方正仿宋_GB2312"/>
          <w:color w:val="auto"/>
          <w:sz w:val="28"/>
          <w:szCs w:val="28"/>
          <w:lang w:val="en-US" w:eastAsia="zh-CN"/>
        </w:rPr>
        <w:t>6</w:t>
      </w:r>
      <w:bookmarkStart w:id="1" w:name="_GoBack"/>
      <w:bookmarkEnd w:id="1"/>
      <w:r>
        <w:rPr>
          <w:rFonts w:hint="eastAsia" w:ascii="方正仿宋_GB2312" w:hAnsi="方正仿宋_GB2312" w:cs="方正仿宋_GB2312"/>
          <w:color w:val="auto"/>
          <w:sz w:val="28"/>
          <w:szCs w:val="28"/>
          <w:lang w:val="en-US" w:eastAsia="zh-CN"/>
        </w:rPr>
        <w:t>年</w:t>
      </w:r>
      <w:r>
        <w:rPr>
          <w:rFonts w:hint="eastAsia" w:cs="方正仿宋_GB2312"/>
          <w:color w:val="auto"/>
          <w:sz w:val="28"/>
          <w:szCs w:val="28"/>
          <w:lang w:val="en-US" w:eastAsia="zh-CN"/>
        </w:rPr>
        <w:t>7</w:t>
      </w:r>
      <w:r>
        <w:rPr>
          <w:rFonts w:hint="eastAsia" w:ascii="方正仿宋_GB2312" w:hAnsi="方正仿宋_GB2312" w:cs="方正仿宋_GB2312"/>
          <w:color w:val="auto"/>
          <w:sz w:val="28"/>
          <w:szCs w:val="28"/>
          <w:lang w:val="en-US" w:eastAsia="zh-CN"/>
        </w:rPr>
        <w:t>月3</w:t>
      </w:r>
      <w:r>
        <w:rPr>
          <w:rFonts w:hint="eastAsia" w:cs="方正仿宋_GB2312"/>
          <w:color w:val="auto"/>
          <w:sz w:val="28"/>
          <w:szCs w:val="28"/>
          <w:lang w:val="en-US" w:eastAsia="zh-CN"/>
        </w:rPr>
        <w:t>0</w:t>
      </w:r>
      <w:r>
        <w:rPr>
          <w:rFonts w:hint="eastAsia" w:ascii="方正仿宋_GB2312" w:hAnsi="方正仿宋_GB2312" w:cs="方正仿宋_GB2312"/>
          <w:color w:val="auto"/>
          <w:sz w:val="28"/>
          <w:szCs w:val="28"/>
          <w:lang w:val="en-US" w:eastAsia="zh-CN"/>
        </w:rPr>
        <w:t>日前，乙方配合完成全部凭证装订整理归档工作。</w:t>
      </w:r>
    </w:p>
    <w:p>
      <w:pPr>
        <w:pStyle w:val="1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ind w:firstLine="560" w:firstLineChars="200"/>
        <w:textAlignment w:val="baseline"/>
        <w:rPr>
          <w:rFonts w:hint="eastAsia" w:ascii="方正仿宋_GB2312" w:hAnsi="方正仿宋_GB2312" w:cs="方正仿宋_GB2312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cs="方正仿宋_GB2312"/>
          <w:color w:val="auto"/>
          <w:sz w:val="28"/>
          <w:szCs w:val="28"/>
          <w:lang w:val="en-US" w:eastAsia="zh-CN"/>
        </w:rPr>
        <w:t>（2）需提供凭证装订计划表，确保交付及时。</w:t>
      </w:r>
    </w:p>
    <w:p>
      <w:pPr>
        <w:numPr>
          <w:ilvl w:val="0"/>
          <w:numId w:val="0"/>
        </w:numPr>
        <w:ind w:firstLine="643" w:firstLineChars="200"/>
        <w:rPr>
          <w:rFonts w:hint="eastAsia" w:ascii="方正仿宋_GB2312" w:hAnsi="方正仿宋_GB2312" w:cs="方正仿宋_GB2312"/>
          <w:b/>
          <w:bCs/>
          <w:sz w:val="32"/>
          <w:szCs w:val="32"/>
          <w:lang w:val="en-US" w:eastAsia="zh-CN"/>
        </w:rPr>
      </w:pPr>
      <w:r>
        <w:rPr>
          <w:rFonts w:hint="eastAsia" w:ascii="方正仿宋_GB2312" w:hAnsi="方正仿宋_GB2312" w:cs="方正仿宋_GB2312"/>
          <w:b/>
          <w:bCs/>
          <w:sz w:val="32"/>
          <w:szCs w:val="32"/>
          <w:lang w:val="en-US" w:eastAsia="zh-CN"/>
        </w:rPr>
        <w:t>四、验收</w:t>
      </w:r>
    </w:p>
    <w:p>
      <w:pPr>
        <w:pStyle w:val="1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ind w:firstLine="560" w:firstLineChars="200"/>
        <w:textAlignment w:val="baseline"/>
        <w:rPr>
          <w:rFonts w:hint="eastAsia" w:ascii="方正仿宋_GB2312" w:hAnsi="方正仿宋_GB2312" w:cs="方正仿宋_GB2312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cs="方正仿宋_GB2312"/>
          <w:color w:val="auto"/>
          <w:sz w:val="28"/>
          <w:szCs w:val="28"/>
          <w:lang w:val="en-US" w:eastAsia="zh-CN"/>
        </w:rPr>
        <w:t>待凭证装订结束后，甲方进行检查交付物，如下:</w:t>
      </w:r>
    </w:p>
    <w:p>
      <w:pPr>
        <w:pStyle w:val="1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ind w:firstLine="560" w:firstLineChars="200"/>
        <w:textAlignment w:val="baseline"/>
        <w:rPr>
          <w:rFonts w:hint="eastAsia" w:ascii="方正仿宋_GB2312" w:hAnsi="方正仿宋_GB2312" w:cs="方正仿宋_GB2312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cs="方正仿宋_GB2312"/>
          <w:color w:val="auto"/>
          <w:sz w:val="28"/>
          <w:szCs w:val="28"/>
          <w:lang w:val="en-US" w:eastAsia="zh-CN"/>
        </w:rPr>
        <w:t>（1）每月收付转凭证号是否连续。</w:t>
      </w:r>
    </w:p>
    <w:p>
      <w:pPr>
        <w:pStyle w:val="1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ind w:firstLine="560" w:firstLineChars="200"/>
        <w:textAlignment w:val="baseline"/>
        <w:rPr>
          <w:rFonts w:hint="eastAsia" w:ascii="方正仿宋_GB2312" w:hAnsi="方正仿宋_GB2312" w:cs="方正仿宋_GB2312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cs="方正仿宋_GB2312"/>
          <w:color w:val="auto"/>
          <w:sz w:val="28"/>
          <w:szCs w:val="28"/>
          <w:lang w:val="en-US" w:eastAsia="zh-CN"/>
        </w:rPr>
        <w:t>（2）每月凭证册数是否齐全。</w:t>
      </w:r>
    </w:p>
    <w:p>
      <w:pPr>
        <w:pStyle w:val="1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ind w:firstLine="560" w:firstLineChars="200"/>
        <w:textAlignment w:val="baseline"/>
        <w:rPr>
          <w:rFonts w:hint="eastAsia" w:ascii="方正仿宋_GB2312" w:hAnsi="方正仿宋_GB2312" w:cs="方正仿宋_GB2312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cs="方正仿宋_GB2312"/>
          <w:color w:val="auto"/>
          <w:sz w:val="28"/>
          <w:szCs w:val="28"/>
          <w:lang w:val="en-US" w:eastAsia="zh-CN"/>
        </w:rPr>
        <w:t>（3）纸质及电子档案是否移交完成。</w:t>
      </w:r>
    </w:p>
    <w:sectPr>
      <w:headerReference r:id="rId5" w:type="default"/>
      <w:type w:val="continuous"/>
      <w:pgSz w:w="11906" w:h="16838"/>
      <w:pgMar w:top="1440" w:right="1803" w:bottom="1440" w:left="1803" w:header="397" w:footer="851" w:gutter="0"/>
      <w:pgNumType w:start="1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2312">
    <w:altName w:val="仿宋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方正小标宋_GBK">
    <w:altName w:val="微软雅黑"/>
    <w:panose1 w:val="02000000000000000000"/>
    <w:charset w:val="86"/>
    <w:family w:val="auto"/>
    <w:pitch w:val="default"/>
    <w:sig w:usb0="00000000" w:usb1="00000000" w:usb2="00082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r>
      <w:pict>
        <v:shape id="_x0000_s2049" o:spid="_x0000_s2049" o:spt="75" type="#_x0000_t75" style="position:absolute;left:0pt;margin-left:-50pt;margin-top:25pt;height:76pt;width:100pt;z-index:-251657216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2050" o:spid="_x0000_s2050" o:spt="75" type="#_x0000_t75" style="position:absolute;left:0pt;margin-left:160pt;margin-top:25pt;height:76pt;width:100pt;z-index:-251657216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2051" o:spid="_x0000_s2051" o:spt="75" type="#_x0000_t75" style="position:absolute;left:0pt;margin-left:370pt;margin-top:25pt;height:76pt;width:100pt;z-index:-251657216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2052" o:spid="_x0000_s2052" o:spt="75" type="#_x0000_t75" style="position:absolute;left:0pt;margin-left:-50pt;margin-top:340pt;height:76pt;width:100pt;z-index:-251657216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2053" o:spid="_x0000_s2053" o:spt="75" type="#_x0000_t75" style="position:absolute;left:0pt;margin-left:160pt;margin-top:340pt;height:76pt;width:100pt;z-index:-251657216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2054" o:spid="_x0000_s2054" o:spt="75" type="#_x0000_t75" style="position:absolute;left:0pt;margin-left:370pt;margin-top:340pt;height:76pt;width:100pt;z-index:-251657216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2055" o:spid="_x0000_s2055" o:spt="75" type="#_x0000_t75" style="position:absolute;left:0pt;margin-left:-50pt;margin-top:655pt;height:76pt;width:100pt;z-index:-251657216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2056" o:spid="_x0000_s2056" o:spt="75" type="#_x0000_t75" style="position:absolute;left:0pt;margin-left:160pt;margin-top:655pt;height:76pt;width:100pt;z-index:-251657216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2057" o:spid="_x0000_s2057" o:spt="75" type="#_x0000_t75" style="position:absolute;left:0pt;margin-left:370pt;margin-top:655pt;height:76pt;width:100pt;z-index:-251657216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NotTrackMoves/>
  <w:documentProtection w:enforcement="0"/>
  <w:defaultTabStop w:val="420"/>
  <w:drawingGridVerticalSpacing w:val="156"/>
  <w:noPunctuationKerning w:val="1"/>
  <w:characterSpacingControl w:val="compressPunctuation"/>
  <w:noLineBreaksAfter w:lang="zh-CN" w:val="([{·‘“〈《「『【〔〖（．［｛￡￥"/>
  <w:noLineBreaksBefore w:lang="zh-CN" w:val="!),.:;?]}¨·ˇˉ―‖’”…∶、。〃々〉》」』】〕〗！＂＇），．：；？］｀｜｝～￠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5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3A5473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iPriority="99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spacing w:line="560" w:lineRule="exact"/>
      <w:jc w:val="both"/>
      <w:textAlignment w:val="baseline"/>
    </w:pPr>
    <w:rPr>
      <w:rFonts w:ascii="Times New Roman" w:hAnsi="Times New Roman" w:eastAsia="方正仿宋_GB2312" w:cs="Times New Roman"/>
      <w:sz w:val="3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pPr>
      <w:widowControl/>
      <w:overflowPunct w:val="0"/>
      <w:autoSpaceDE w:val="0"/>
      <w:autoSpaceDN w:val="0"/>
      <w:spacing w:line="360" w:lineRule="atLeast"/>
    </w:pPr>
    <w:rPr>
      <w:rFonts w:eastAsia="宋体"/>
      <w:sz w:val="21"/>
    </w:rPr>
  </w:style>
  <w:style w:type="table" w:styleId="4">
    <w:name w:val="Table Grid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customStyle="1" w:styleId="6">
    <w:name w:val="标题 11"/>
    <w:basedOn w:val="1"/>
    <w:next w:val="1"/>
    <w:qFormat/>
    <w:uiPriority w:val="0"/>
    <w:pPr>
      <w:spacing w:line="360" w:lineRule="auto"/>
      <w:jc w:val="left"/>
      <w:outlineLvl w:val="0"/>
    </w:pPr>
    <w:rPr>
      <w:rFonts w:ascii="Arial" w:eastAsia="黑体"/>
      <w:kern w:val="44"/>
      <w:sz w:val="28"/>
    </w:rPr>
  </w:style>
  <w:style w:type="paragraph" w:customStyle="1" w:styleId="7">
    <w:name w:val="标题 21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 w:cs="Times New Roman"/>
      <w:b/>
      <w:bCs/>
      <w:sz w:val="32"/>
      <w:szCs w:val="32"/>
    </w:rPr>
  </w:style>
  <w:style w:type="paragraph" w:customStyle="1" w:styleId="8">
    <w:name w:val="标题 31"/>
    <w:basedOn w:val="1"/>
    <w:next w:val="1"/>
    <w:unhideWhenUsed/>
    <w:qFormat/>
    <w:uiPriority w:val="0"/>
    <w:pPr>
      <w:spacing w:before="100" w:beforeAutospacing="1" w:after="100" w:afterAutospacing="1"/>
      <w:jc w:val="left"/>
      <w:outlineLvl w:val="2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en-AU"/>
    </w:rPr>
  </w:style>
  <w:style w:type="character" w:customStyle="1" w:styleId="9">
    <w:name w:val="默认段落字体1"/>
    <w:semiHidden/>
    <w:uiPriority w:val="0"/>
  </w:style>
  <w:style w:type="table" w:customStyle="1" w:styleId="10">
    <w:name w:val="普通表格1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正文首行缩进 21"/>
    <w:basedOn w:val="12"/>
    <w:qFormat/>
    <w:uiPriority w:val="0"/>
    <w:pPr>
      <w:ind w:left="420" w:firstLine="420" w:firstLineChars="200"/>
    </w:pPr>
  </w:style>
  <w:style w:type="paragraph" w:customStyle="1" w:styleId="12">
    <w:name w:val="正文文本缩进1"/>
    <w:basedOn w:val="1"/>
    <w:qFormat/>
    <w:uiPriority w:val="0"/>
    <w:pPr>
      <w:spacing w:after="120" w:afterLines="0" w:afterAutospacing="0"/>
      <w:ind w:left="420" w:leftChars="200"/>
    </w:pPr>
  </w:style>
  <w:style w:type="paragraph" w:customStyle="1" w:styleId="13">
    <w:name w:val="正文文本1"/>
    <w:basedOn w:val="1"/>
    <w:next w:val="1"/>
    <w:qFormat/>
    <w:uiPriority w:val="0"/>
    <w:pPr>
      <w:spacing w:before="34"/>
      <w:ind w:left="120"/>
      <w:jc w:val="both"/>
    </w:pPr>
    <w:rPr>
      <w:rFonts w:ascii="方正仿宋_GB2312" w:hAnsi="方正仿宋_GB2312" w:eastAsia="方正仿宋_GB2312" w:cs="方正仿宋_GB2312"/>
      <w:lang w:val="zh-CN" w:bidi="zh-CN"/>
    </w:rPr>
  </w:style>
  <w:style w:type="paragraph" w:customStyle="1" w:styleId="14">
    <w:name w:val="批注框文本1"/>
    <w:basedOn w:val="1"/>
    <w:semiHidden/>
    <w:uiPriority w:val="0"/>
    <w:rPr>
      <w:sz w:val="18"/>
      <w:szCs w:val="18"/>
    </w:rPr>
  </w:style>
  <w:style w:type="paragraph" w:customStyle="1" w:styleId="15">
    <w:name w:val="页脚1"/>
    <w:basedOn w:val="1"/>
    <w:uiPriority w:val="0"/>
    <w:pPr>
      <w:tabs>
        <w:tab w:val="center" w:pos="4153"/>
        <w:tab w:val="right" w:pos="8306"/>
      </w:tabs>
      <w:spacing w:line="240" w:lineRule="atLeast"/>
      <w:jc w:val="left"/>
    </w:pPr>
    <w:rPr>
      <w:sz w:val="18"/>
    </w:rPr>
  </w:style>
  <w:style w:type="paragraph" w:customStyle="1" w:styleId="16">
    <w:name w:val="页眉1"/>
    <w:basedOn w:val="1"/>
    <w:link w:val="17"/>
    <w:qFormat/>
    <w:uiPriority w:val="0"/>
    <w:pPr>
      <w:tabs>
        <w:tab w:val="center" w:pos="4153"/>
        <w:tab w:val="right" w:pos="8306"/>
      </w:tabs>
      <w:spacing w:line="240" w:lineRule="atLeast"/>
    </w:pPr>
    <w:rPr>
      <w:sz w:val="18"/>
    </w:rPr>
  </w:style>
  <w:style w:type="character" w:customStyle="1" w:styleId="17">
    <w:name w:val="页眉 Char"/>
    <w:link w:val="16"/>
    <w:semiHidden/>
    <w:uiPriority w:val="0"/>
    <w:rPr>
      <w:rFonts w:eastAsia="方正仿宋_GB2312"/>
      <w:sz w:val="18"/>
      <w:lang w:val="en-US" w:eastAsia="zh-CN" w:bidi="ar-SA"/>
    </w:rPr>
  </w:style>
  <w:style w:type="paragraph" w:customStyle="1" w:styleId="18">
    <w:name w:val="目录 11"/>
    <w:basedOn w:val="1"/>
    <w:next w:val="1"/>
    <w:semiHidden/>
    <w:qFormat/>
    <w:uiPriority w:val="0"/>
    <w:pPr>
      <w:tabs>
        <w:tab w:val="left" w:pos="560"/>
        <w:tab w:val="right" w:leader="dot" w:pos="8296"/>
      </w:tabs>
      <w:adjustRightInd/>
      <w:snapToGrid w:val="0"/>
      <w:spacing w:before="60" w:after="60" w:line="240" w:lineRule="auto"/>
      <w:jc w:val="left"/>
      <w:textAlignment w:val="auto"/>
    </w:pPr>
    <w:rPr>
      <w:rFonts w:eastAsia="宋体"/>
      <w:b/>
      <w:caps/>
      <w:kern w:val="2"/>
      <w:sz w:val="28"/>
    </w:rPr>
  </w:style>
  <w:style w:type="paragraph" w:customStyle="1" w:styleId="19">
    <w:name w:val="索引标题1"/>
    <w:basedOn w:val="1"/>
    <w:next w:val="20"/>
    <w:semiHidden/>
    <w:uiPriority w:val="0"/>
    <w:pPr>
      <w:adjustRightInd/>
      <w:snapToGrid w:val="0"/>
      <w:spacing w:line="360" w:lineRule="auto"/>
      <w:textAlignment w:val="auto"/>
    </w:pPr>
    <w:rPr>
      <w:rFonts w:eastAsia="宋体"/>
      <w:kern w:val="2"/>
      <w:sz w:val="28"/>
    </w:rPr>
  </w:style>
  <w:style w:type="paragraph" w:customStyle="1" w:styleId="20">
    <w:name w:val="索引 11"/>
    <w:basedOn w:val="1"/>
    <w:next w:val="1"/>
    <w:semiHidden/>
    <w:qFormat/>
    <w:uiPriority w:val="0"/>
  </w:style>
  <w:style w:type="paragraph" w:customStyle="1" w:styleId="21">
    <w:name w:val="普通(网站)1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customStyle="1" w:styleId="22">
    <w:name w:val="标题1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/>
      <w:b/>
      <w:bCs/>
      <w:sz w:val="32"/>
      <w:szCs w:val="32"/>
    </w:rPr>
  </w:style>
  <w:style w:type="paragraph" w:customStyle="1" w:styleId="23">
    <w:name w:val="正文首行缩进1"/>
    <w:basedOn w:val="13"/>
    <w:next w:val="1"/>
    <w:qFormat/>
    <w:uiPriority w:val="0"/>
    <w:pPr>
      <w:ind w:firstLine="420" w:firstLineChars="100"/>
    </w:pPr>
    <w:rPr>
      <w:rFonts w:ascii="Times New Roman" w:hAnsi="Times New Roman" w:eastAsia="宋体" w:cs="Times New Roman"/>
      <w:szCs w:val="20"/>
    </w:rPr>
  </w:style>
  <w:style w:type="table" w:customStyle="1" w:styleId="24">
    <w:name w:val="网格型1"/>
    <w:basedOn w:val="10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25">
    <w:name w:val="要点1"/>
    <w:basedOn w:val="9"/>
    <w:qFormat/>
    <w:uiPriority w:val="0"/>
    <w:rPr>
      <w:b/>
    </w:rPr>
  </w:style>
  <w:style w:type="character" w:customStyle="1" w:styleId="26">
    <w:name w:val="页码1"/>
    <w:basedOn w:val="9"/>
    <w:uiPriority w:val="0"/>
  </w:style>
  <w:style w:type="paragraph" w:customStyle="1" w:styleId="27">
    <w:name w:val=" Char"/>
    <w:basedOn w:val="1"/>
    <w:uiPriority w:val="0"/>
    <w:pPr>
      <w:adjustRightInd/>
      <w:spacing w:line="360" w:lineRule="auto"/>
      <w:textAlignment w:val="auto"/>
    </w:pPr>
    <w:rPr>
      <w:rFonts w:ascii="Tahoma" w:hAnsi="Tahoma" w:eastAsia="宋体"/>
      <w:kern w:val="2"/>
      <w:sz w:val="24"/>
    </w:rPr>
  </w:style>
  <w:style w:type="paragraph" w:customStyle="1" w:styleId="28">
    <w:name w:val=" Char Char Char"/>
    <w:basedOn w:val="1"/>
    <w:qFormat/>
    <w:uiPriority w:val="0"/>
    <w:pPr>
      <w:spacing w:line="360" w:lineRule="auto"/>
    </w:pPr>
    <w:rPr>
      <w:rFonts w:ascii="Tahoma" w:hAnsi="Tahoma"/>
      <w:sz w:val="24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2049"/>
    <customShpInfo spid="_x0000_s2050"/>
    <customShpInfo spid="_x0000_s2051"/>
    <customShpInfo spid="_x0000_s2052"/>
    <customShpInfo spid="_x0000_s2053"/>
    <customShpInfo spid="_x0000_s2054"/>
    <customShpInfo spid="_x0000_s2055"/>
    <customShpInfo spid="_x0000_s2056"/>
    <customShpInfo spid="_x0000_s205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5</Pages>
  <Words>2352</Words>
  <Characters>2443</Characters>
  <Lines>6</Lines>
  <Paragraphs>1</Paragraphs>
  <TotalTime>157604642</TotalTime>
  <ScaleCrop>false</ScaleCrop>
  <LinksUpToDate>false</LinksUpToDate>
  <CharactersWithSpaces>2443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2020-12-26T00:27:00Z</dcterms:created>
  <dc:creator>User</dc:creator>
  <cp:lastModifiedBy>xujp</cp:lastModifiedBy>
  <cp:lastPrinted>2021-04-21T00:07:00Z</cp:lastPrinted>
  <dcterms:modified xsi:type="dcterms:W3CDTF">2026-03-30T03:42:59Z</dcterms:modified>
  <dc:title>深圳市鹏能投资控股有限公司</dc:title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13917B4B51BE4A61BF4CE3F8E7A7B470</vt:lpwstr>
  </property>
</Properties>
</file>