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CF386">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标的2.广州供电局2026-2027年建设工程地质灾害危险性评估及压覆矿产资源调查、压覆矿产资源储量评估技术服务）</w:t>
      </w:r>
    </w:p>
    <w:bookmarkEnd w:id="0"/>
    <w:p w14:paraId="1B400F1B">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6A85F409">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3648"/>
        <w:gridCol w:w="5063"/>
      </w:tblGrid>
      <w:tr w14:paraId="11415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8" w:type="dxa"/>
            <w:noWrap w:val="0"/>
            <w:vAlign w:val="top"/>
          </w:tcPr>
          <w:p w14:paraId="3B3506D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648" w:type="dxa"/>
            <w:noWrap w:val="0"/>
            <w:vAlign w:val="top"/>
          </w:tcPr>
          <w:p w14:paraId="6024EE5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063" w:type="dxa"/>
            <w:noWrap w:val="0"/>
            <w:vAlign w:val="top"/>
          </w:tcPr>
          <w:p w14:paraId="14DA97F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6064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8" w:type="dxa"/>
            <w:noWrap w:val="0"/>
            <w:vAlign w:val="center"/>
          </w:tcPr>
          <w:p w14:paraId="22604A4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648" w:type="dxa"/>
            <w:noWrap w:val="0"/>
            <w:vAlign w:val="center"/>
          </w:tcPr>
          <w:p w14:paraId="3D5649E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项目立项(可研批复)文号</w:t>
            </w:r>
          </w:p>
        </w:tc>
        <w:tc>
          <w:tcPr>
            <w:tcW w:w="5063" w:type="dxa"/>
            <w:noWrap w:val="0"/>
            <w:vAlign w:val="center"/>
          </w:tcPr>
          <w:p w14:paraId="1C8B536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纳入本框架范围内的各主网基建项目（含纳入基建统一建设的技改、迁改、小型基建项目）对应的立项批复文件。</w:t>
            </w:r>
          </w:p>
        </w:tc>
      </w:tr>
      <w:tr w14:paraId="66E8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8" w:type="dxa"/>
            <w:noWrap w:val="0"/>
            <w:vAlign w:val="center"/>
          </w:tcPr>
          <w:p w14:paraId="18F269A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648" w:type="dxa"/>
            <w:noWrap w:val="0"/>
            <w:vAlign w:val="center"/>
          </w:tcPr>
          <w:p w14:paraId="681D2FF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063" w:type="dxa"/>
            <w:noWrap w:val="0"/>
            <w:vAlign w:val="center"/>
          </w:tcPr>
          <w:p w14:paraId="41D91BF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资金已落实。资金来源为纳入本框架范围内的各主网基建项目对应本框架年度的固定资产投资计划，或迁改项目的资金补偿协议。</w:t>
            </w:r>
          </w:p>
        </w:tc>
      </w:tr>
      <w:tr w14:paraId="1B86A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8" w:type="dxa"/>
            <w:noWrap w:val="0"/>
            <w:vAlign w:val="center"/>
          </w:tcPr>
          <w:p w14:paraId="4043B44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648" w:type="dxa"/>
            <w:noWrap w:val="0"/>
            <w:vAlign w:val="center"/>
          </w:tcPr>
          <w:p w14:paraId="772607B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063" w:type="dxa"/>
            <w:noWrap w:val="0"/>
            <w:vAlign w:val="center"/>
          </w:tcPr>
          <w:p w14:paraId="1C0E76D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68BB3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8" w:type="dxa"/>
            <w:noWrap w:val="0"/>
            <w:vAlign w:val="center"/>
          </w:tcPr>
          <w:p w14:paraId="3C01077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648" w:type="dxa"/>
            <w:noWrap w:val="0"/>
            <w:vAlign w:val="center"/>
          </w:tcPr>
          <w:p w14:paraId="232F803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063" w:type="dxa"/>
            <w:noWrap w:val="0"/>
            <w:vAlign w:val="center"/>
          </w:tcPr>
          <w:p w14:paraId="2283784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14:paraId="0F91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8" w:type="dxa"/>
            <w:noWrap w:val="0"/>
            <w:vAlign w:val="center"/>
          </w:tcPr>
          <w:p w14:paraId="1CEFB64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648" w:type="dxa"/>
            <w:noWrap w:val="0"/>
            <w:vAlign w:val="center"/>
          </w:tcPr>
          <w:p w14:paraId="08EA820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063" w:type="dxa"/>
            <w:noWrap w:val="0"/>
            <w:vAlign w:val="center"/>
          </w:tcPr>
          <w:p w14:paraId="3ED787C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p>
          <w:p w14:paraId="69DED2C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服务期：合同签订之日起至2027年12月31日。</w:t>
            </w:r>
          </w:p>
          <w:p w14:paraId="236409D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default" w:ascii="宋体" w:hAnsi="宋体" w:eastAsia="宋体" w:cs="宋体"/>
                <w:bCs/>
                <w:color w:val="auto"/>
                <w:kern w:val="0"/>
                <w:sz w:val="21"/>
                <w:szCs w:val="21"/>
                <w:highlight w:val="none"/>
                <w:u w:val="no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框架有效期：合同签订之日起至2027年12月31日。</w:t>
            </w:r>
          </w:p>
        </w:tc>
      </w:tr>
    </w:tbl>
    <w:p w14:paraId="5706FD2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5A063146">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ascii="Wingdings" w:hAnsi="Wingdings" w:cs="Wingdings" w:eastAsiaTheme="minorEastAsia"/>
          <w:b w:val="0"/>
          <w:bCs w:val="0"/>
          <w:i w:val="0"/>
          <w:iCs/>
          <w:color w:val="auto"/>
          <w:kern w:val="2"/>
          <w:sz w:val="24"/>
          <w:szCs w:val="24"/>
          <w:highlight w:val="none"/>
          <w:u w:val="single"/>
          <w:lang w:val="en-US" w:eastAsia="zh-CN" w:bidi="ar-SA"/>
        </w:rPr>
        <w:t>根据自然资源部、广东省及广州市相关法律法规，对新建、扩建的输变电、小型基建、技改、迁改等工程，委托具备相应资质的第三方单位开展地质灾害危险性评估及压覆矿产资源调查技术服务工作，如建设工程确定压覆重要矿床，还须开展压覆矿产资源储量评估技术服务工作</w:t>
      </w:r>
      <w:r>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t>。</w:t>
      </w:r>
    </w:p>
    <w:p w14:paraId="128CD0D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14:paraId="4E12F5C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val="0"/>
          <w:bCs w:val="0"/>
          <w:i w:val="0"/>
          <w:iCs/>
          <w:color w:val="auto"/>
          <w:kern w:val="2"/>
          <w:sz w:val="24"/>
          <w:szCs w:val="24"/>
          <w:highlight w:val="none"/>
          <w:u w:val="single"/>
          <w:lang w:val="en-US" w:eastAsia="zh-CN" w:bidi="ar-SA"/>
        </w:rPr>
        <w:t>服务包括据地质灾害危险性评估要求，对项目及周边范围进行地形测量并绘制图纸；对调查区的地质环境条件、地质灾害进行现状评估；对工程建设可能破坏地质环境的程度和诱发、加剧地质灾害的可能性进行预测评估；对工程建设本身可能遭受地质灾害的危险性进行预测评估；在现状评估和预测评估的基础上进行地质灾害危险性分区评估，并对工程建设场地的适宜性进行综合评价；对工程建设场地的地质灾害提出相应的防治措施，并对建设过程中应注意的环境地质问题提出建议；地质矿产资料收集及压覆矿产资源申请文件编制；取得自然资源部门对建设工程是否压覆矿产资源的意见（含向自然资源部门申请、查询及取得意见）；如建设工程确定压覆重要矿床，还须开展压覆矿产资源储量评估并取得自然资源部门备案证明</w:t>
      </w:r>
      <w:r>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t xml:space="preserve">。  </w:t>
      </w: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14:paraId="01102C38">
      <w:pPr>
        <w:pStyle w:val="2"/>
        <w:rPr>
          <w:rFonts w:hint="eastAsia"/>
          <w:b w:val="0"/>
          <w:bCs w:val="0"/>
          <w:lang w:val="en-US" w:eastAsia="zh-CN"/>
        </w:rPr>
      </w:pPr>
    </w:p>
    <w:p w14:paraId="66495B45">
      <w:pPr>
        <w:pStyle w:val="4"/>
        <w:keepNext w:val="0"/>
        <w:keepLines w:val="0"/>
        <w:pageBreakBefore w:val="0"/>
        <w:numPr>
          <w:ilvl w:val="0"/>
          <w:numId w:val="0"/>
        </w:numPr>
        <w:kinsoku/>
        <w:wordWrap/>
        <w:overflowPunct/>
        <w:topLinePunct w:val="0"/>
        <w:bidi w:val="0"/>
        <w:spacing w:line="360" w:lineRule="auto"/>
        <w:ind w:firstLine="482" w:firstLineChars="20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三、报价表及报价要求</w:t>
      </w:r>
    </w:p>
    <w:p w14:paraId="60BEFB15">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2008"/>
        <w:gridCol w:w="1627"/>
        <w:gridCol w:w="1350"/>
        <w:gridCol w:w="1292"/>
        <w:gridCol w:w="1423"/>
        <w:gridCol w:w="1424"/>
      </w:tblGrid>
      <w:tr w14:paraId="0CE8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5670534C">
            <w:pPr>
              <w:tabs>
                <w:tab w:val="left" w:pos="900"/>
              </w:tabs>
              <w:snapToGrid w:val="0"/>
              <w:ind w:right="-24" w:rightChars="0"/>
              <w:jc w:val="center"/>
              <w:rPr>
                <w:rFonts w:hint="eastAsia"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序号</w:t>
            </w:r>
          </w:p>
        </w:tc>
        <w:tc>
          <w:tcPr>
            <w:tcW w:w="2008" w:type="dxa"/>
            <w:vAlign w:val="center"/>
          </w:tcPr>
          <w:p w14:paraId="73AC8F3B">
            <w:pPr>
              <w:tabs>
                <w:tab w:val="left" w:pos="900"/>
              </w:tabs>
              <w:snapToGrid w:val="0"/>
              <w:ind w:right="-24" w:rightChars="0"/>
              <w:jc w:val="center"/>
              <w:rPr>
                <w:rFonts w:hint="default" w:ascii="宋体" w:hAnsi="宋体" w:eastAsia="宋体" w:cs="Times New Roman"/>
                <w:color w:val="auto"/>
                <w:kern w:val="2"/>
                <w:sz w:val="21"/>
                <w:szCs w:val="22"/>
                <w:highlight w:val="none"/>
                <w:lang w:val="en-US" w:eastAsia="zh-CN" w:bidi="ar-SA"/>
              </w:rPr>
            </w:pPr>
            <w:r>
              <w:rPr>
                <w:rFonts w:hint="eastAsia" w:ascii="宋体" w:hAnsi="宋体"/>
                <w:color w:val="auto"/>
                <w:highlight w:val="none"/>
                <w:lang w:val="en-US" w:eastAsia="zh-CN"/>
              </w:rPr>
              <w:t>标的名称</w:t>
            </w:r>
          </w:p>
        </w:tc>
        <w:tc>
          <w:tcPr>
            <w:tcW w:w="1627" w:type="dxa"/>
            <w:vAlign w:val="center"/>
          </w:tcPr>
          <w:p w14:paraId="3B349314">
            <w:pPr>
              <w:bidi w:val="0"/>
              <w:jc w:val="center"/>
              <w:rPr>
                <w:rFonts w:hint="eastAsia" w:ascii="Calibri" w:hAnsi="Calibri" w:eastAsia="宋体" w:cs="Times New Roman"/>
                <w:color w:val="auto"/>
                <w:kern w:val="2"/>
                <w:sz w:val="21"/>
                <w:szCs w:val="22"/>
                <w:lang w:val="en-US" w:eastAsia="zh-CN" w:bidi="ar-SA"/>
              </w:rPr>
            </w:pPr>
            <w:r>
              <w:rPr>
                <w:rFonts w:hint="eastAsia" w:ascii="宋体" w:hAnsi="宋体"/>
                <w:color w:val="auto"/>
                <w:highlight w:val="none"/>
                <w:lang w:val="en-US" w:eastAsia="zh-CN"/>
              </w:rPr>
              <w:t>标段划分区域</w:t>
            </w:r>
          </w:p>
        </w:tc>
        <w:tc>
          <w:tcPr>
            <w:tcW w:w="1350" w:type="dxa"/>
            <w:vAlign w:val="center"/>
          </w:tcPr>
          <w:p w14:paraId="512CBA5F">
            <w:pPr>
              <w:tabs>
                <w:tab w:val="left" w:pos="900"/>
              </w:tabs>
              <w:snapToGrid w:val="0"/>
              <w:spacing w:before="120" w:after="120"/>
              <w:ind w:right="-24" w:rightChars="0"/>
              <w:jc w:val="center"/>
              <w:rPr>
                <w:rFonts w:hint="eastAsia"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预计</w:t>
            </w:r>
            <w:r>
              <w:rPr>
                <w:rFonts w:hint="eastAsia" w:ascii="宋体" w:hAnsi="宋体"/>
                <w:color w:val="auto"/>
                <w:highlight w:val="none"/>
                <w:lang w:eastAsia="zh-CN"/>
              </w:rPr>
              <w:t>发包价</w:t>
            </w:r>
            <w:r>
              <w:rPr>
                <w:rFonts w:hint="eastAsia" w:ascii="宋体" w:hAnsi="宋体"/>
                <w:color w:val="auto"/>
                <w:highlight w:val="none"/>
              </w:rPr>
              <w:t>(元)</w:t>
            </w:r>
          </w:p>
        </w:tc>
        <w:tc>
          <w:tcPr>
            <w:tcW w:w="1292" w:type="dxa"/>
            <w:vAlign w:val="center"/>
          </w:tcPr>
          <w:p w14:paraId="7C98D9F1">
            <w:pPr>
              <w:tabs>
                <w:tab w:val="left" w:pos="900"/>
              </w:tabs>
              <w:snapToGrid w:val="0"/>
              <w:spacing w:before="120" w:after="120"/>
              <w:ind w:right="-24" w:rightChars="0"/>
              <w:jc w:val="center"/>
              <w:rPr>
                <w:rFonts w:hint="eastAsia" w:ascii="宋体" w:hAnsi="宋体" w:eastAsia="宋体" w:cs="Times New Roman"/>
                <w:b/>
                <w:color w:val="auto"/>
                <w:kern w:val="2"/>
                <w:sz w:val="21"/>
                <w:szCs w:val="22"/>
                <w:highlight w:val="none"/>
                <w:lang w:val="en-US" w:eastAsia="zh-CN" w:bidi="ar-SA"/>
              </w:rPr>
            </w:pPr>
            <w:r>
              <w:rPr>
                <w:rFonts w:hint="eastAsia" w:ascii="宋体" w:hAnsi="宋体"/>
                <w:b/>
                <w:color w:val="auto"/>
                <w:highlight w:val="none"/>
              </w:rPr>
              <w:t>投标下浮率（%）</w:t>
            </w:r>
          </w:p>
        </w:tc>
        <w:tc>
          <w:tcPr>
            <w:tcW w:w="1423" w:type="dxa"/>
            <w:vAlign w:val="center"/>
          </w:tcPr>
          <w:p w14:paraId="1A8A1E09">
            <w:pPr>
              <w:tabs>
                <w:tab w:val="left" w:pos="900"/>
              </w:tabs>
              <w:snapToGrid w:val="0"/>
              <w:spacing w:before="120" w:after="120"/>
              <w:ind w:right="-24"/>
              <w:jc w:val="center"/>
              <w:rPr>
                <w:rFonts w:hint="eastAsia" w:ascii="仿宋_GB2312" w:hAnsi="宋体"/>
                <w:color w:val="auto"/>
                <w:szCs w:val="32"/>
                <w:highlight w:val="none"/>
                <w:u w:val="none"/>
              </w:rPr>
            </w:pPr>
            <w:r>
              <w:rPr>
                <w:rFonts w:hint="eastAsia" w:ascii="仿宋_GB2312" w:hAnsi="宋体"/>
                <w:color w:val="auto"/>
                <w:szCs w:val="32"/>
                <w:highlight w:val="none"/>
                <w:u w:val="none"/>
              </w:rPr>
              <w:t>投标报价</w:t>
            </w:r>
          </w:p>
          <w:p w14:paraId="57F66D1C">
            <w:pPr>
              <w:tabs>
                <w:tab w:val="left" w:pos="900"/>
              </w:tabs>
              <w:snapToGrid w:val="0"/>
              <w:spacing w:before="120" w:after="120"/>
              <w:ind w:right="-24" w:rightChars="0"/>
              <w:jc w:val="center"/>
              <w:rPr>
                <w:rFonts w:hint="eastAsia" w:ascii="宋体" w:hAnsi="宋体" w:eastAsia="宋体" w:cs="Times New Roman"/>
                <w:color w:val="auto"/>
                <w:kern w:val="2"/>
                <w:sz w:val="21"/>
                <w:szCs w:val="22"/>
                <w:highlight w:val="none"/>
                <w:lang w:val="en-US" w:eastAsia="zh-CN" w:bidi="ar-SA"/>
              </w:rPr>
            </w:pPr>
            <w:r>
              <w:rPr>
                <w:rFonts w:hint="eastAsia" w:ascii="仿宋_GB2312" w:hAnsi="宋体"/>
                <w:color w:val="auto"/>
                <w:szCs w:val="32"/>
                <w:highlight w:val="none"/>
                <w:u w:val="none"/>
              </w:rPr>
              <w:t>（元）</w:t>
            </w:r>
          </w:p>
        </w:tc>
        <w:tc>
          <w:tcPr>
            <w:tcW w:w="1424" w:type="dxa"/>
            <w:vAlign w:val="center"/>
          </w:tcPr>
          <w:p w14:paraId="2E7CDB6A">
            <w:pPr>
              <w:tabs>
                <w:tab w:val="left" w:pos="900"/>
              </w:tabs>
              <w:snapToGrid w:val="0"/>
              <w:spacing w:before="120" w:after="120"/>
              <w:ind w:right="-24" w:rightChars="0"/>
              <w:jc w:val="center"/>
              <w:rPr>
                <w:rFonts w:hint="eastAsia"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备注</w:t>
            </w:r>
          </w:p>
        </w:tc>
      </w:tr>
      <w:tr w14:paraId="1D9F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atLeast"/>
        </w:trPr>
        <w:tc>
          <w:tcPr>
            <w:tcW w:w="838" w:type="dxa"/>
            <w:vAlign w:val="center"/>
          </w:tcPr>
          <w:p w14:paraId="75F8F9D8">
            <w:pPr>
              <w:tabs>
                <w:tab w:val="left" w:pos="900"/>
              </w:tabs>
              <w:snapToGrid w:val="0"/>
              <w:spacing w:before="60" w:after="120"/>
              <w:ind w:right="-24" w:rightChars="0"/>
              <w:jc w:val="center"/>
              <w:rPr>
                <w:rFonts w:hint="eastAsia"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1</w:t>
            </w:r>
          </w:p>
        </w:tc>
        <w:tc>
          <w:tcPr>
            <w:tcW w:w="2008" w:type="dxa"/>
            <w:vAlign w:val="center"/>
          </w:tcPr>
          <w:p w14:paraId="05ABB839">
            <w:pPr>
              <w:tabs>
                <w:tab w:val="left" w:pos="900"/>
              </w:tabs>
              <w:snapToGrid w:val="0"/>
              <w:spacing w:before="60" w:after="120"/>
              <w:ind w:right="-24" w:rightChars="0"/>
              <w:jc w:val="left"/>
              <w:rPr>
                <w:rFonts w:hint="eastAsia" w:ascii="宋体" w:hAnsi="宋体" w:eastAsia="宋体" w:cs="Times New Roman"/>
                <w:color w:val="000000" w:themeColor="text1"/>
                <w:kern w:val="2"/>
                <w:sz w:val="21"/>
                <w:szCs w:val="22"/>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2"/>
                <w:highlight w:val="none"/>
                <w:lang w:val="en-US" w:eastAsia="zh-CN" w:bidi="ar-SA"/>
                <w14:textFill>
                  <w14:solidFill>
                    <w14:schemeClr w14:val="tx1"/>
                  </w14:solidFill>
                </w14:textFill>
              </w:rPr>
              <w:t>标包1.广州供电局2026-2027年建设工程地质灾害危险性评估及压覆矿产资源调查、压覆矿产资源储量评估技术服务</w:t>
            </w:r>
          </w:p>
        </w:tc>
        <w:tc>
          <w:tcPr>
            <w:tcW w:w="1627" w:type="dxa"/>
            <w:vAlign w:val="center"/>
          </w:tcPr>
          <w:p w14:paraId="54F7C802">
            <w:pPr>
              <w:tabs>
                <w:tab w:val="left" w:pos="900"/>
              </w:tabs>
              <w:snapToGrid w:val="0"/>
              <w:spacing w:before="60" w:after="120"/>
              <w:ind w:right="-24" w:rightChars="0"/>
              <w:jc w:val="left"/>
              <w:rPr>
                <w:rFonts w:hint="eastAsia" w:asciiTheme="minorEastAsia" w:hAnsiTheme="minorEastAsia" w:eastAsiaTheme="minorEastAsia" w:cstheme="minorEastAsia"/>
                <w:b w:val="0"/>
                <w:bCs w:val="0"/>
                <w:snapToGrid w:val="0"/>
                <w:color w:val="000000" w:themeColor="text1"/>
                <w:kern w:val="0"/>
                <w:sz w:val="24"/>
                <w:szCs w:val="24"/>
                <w:highlight w:val="none"/>
                <w:u w:val="none"/>
                <w:vertAlign w:val="baseline"/>
                <w:lang w:val="en-US" w:eastAsia="zh-CN" w:bidi="ar-SA"/>
                <w14:textFill>
                  <w14:solidFill>
                    <w14:schemeClr w14:val="tx1"/>
                  </w14:solidFill>
                </w14:textFill>
              </w:rPr>
            </w:pPr>
            <w:r>
              <w:rPr>
                <w:rFonts w:hint="eastAsia" w:asciiTheme="minorEastAsia" w:hAnsiTheme="minorEastAsia" w:eastAsiaTheme="minorEastAsia" w:cstheme="minorEastAsia"/>
                <w:snapToGrid w:val="0"/>
                <w:color w:val="000000" w:themeColor="text1"/>
                <w:sz w:val="21"/>
                <w:szCs w:val="21"/>
                <w:lang w:val="en-US" w:eastAsia="zh-CN"/>
                <w14:textFill>
                  <w14:solidFill>
                    <w14:schemeClr w14:val="tx1"/>
                  </w14:solidFill>
                </w14:textFill>
              </w:rPr>
              <w:t>广州市</w:t>
            </w:r>
          </w:p>
        </w:tc>
        <w:tc>
          <w:tcPr>
            <w:tcW w:w="1350" w:type="dxa"/>
            <w:vAlign w:val="center"/>
          </w:tcPr>
          <w:p w14:paraId="3F350735">
            <w:pPr>
              <w:tabs>
                <w:tab w:val="left" w:pos="900"/>
              </w:tabs>
              <w:snapToGrid w:val="0"/>
              <w:spacing w:before="60" w:after="120"/>
              <w:ind w:right="-24" w:rightChars="0"/>
              <w:jc w:val="center"/>
              <w:rPr>
                <w:rFonts w:hint="default" w:ascii="宋体" w:hAnsi="宋体" w:eastAsia="宋体" w:cs="Times New Roman"/>
                <w:color w:val="000000" w:themeColor="text1"/>
                <w:kern w:val="2"/>
                <w:sz w:val="21"/>
                <w:szCs w:val="22"/>
                <w:highlight w:val="none"/>
                <w:lang w:val="en-US" w:eastAsia="zh-CN" w:bidi="ar-SA"/>
                <w14:textFill>
                  <w14:solidFill>
                    <w14:schemeClr w14:val="tx1"/>
                  </w14:solidFill>
                </w14:textFill>
              </w:rPr>
            </w:pPr>
            <w:r>
              <w:rPr>
                <w:rFonts w:hint="eastAsia" w:asciiTheme="minorEastAsia" w:hAnsiTheme="minorEastAsia" w:eastAsiaTheme="minorEastAsia" w:cstheme="minorEastAsia"/>
                <w:snapToGrid w:val="0"/>
                <w:color w:val="000000" w:themeColor="text1"/>
                <w:sz w:val="21"/>
                <w:szCs w:val="21"/>
                <w:lang w:val="en-US" w:eastAsia="zh-CN"/>
                <w14:textFill>
                  <w14:solidFill>
                    <w14:schemeClr w14:val="tx1"/>
                  </w14:solidFill>
                </w14:textFill>
              </w:rPr>
              <w:t>4500000</w:t>
            </w:r>
          </w:p>
        </w:tc>
        <w:tc>
          <w:tcPr>
            <w:tcW w:w="1292" w:type="dxa"/>
            <w:vAlign w:val="center"/>
          </w:tcPr>
          <w:p w14:paraId="225F5163">
            <w:pPr>
              <w:tabs>
                <w:tab w:val="left" w:pos="900"/>
              </w:tabs>
              <w:snapToGrid w:val="0"/>
              <w:spacing w:before="60" w:after="120"/>
              <w:ind w:right="-24" w:rightChars="0"/>
              <w:jc w:val="center"/>
              <w:rPr>
                <w:rFonts w:hint="eastAsia" w:ascii="宋体" w:hAnsi="宋体" w:eastAsia="宋体" w:cs="Times New Roman"/>
                <w:color w:val="000000" w:themeColor="text1"/>
                <w:kern w:val="2"/>
                <w:sz w:val="21"/>
                <w:szCs w:val="22"/>
                <w:highlight w:val="none"/>
                <w:lang w:val="en-US" w:eastAsia="zh-CN" w:bidi="ar-SA"/>
                <w14:textFill>
                  <w14:solidFill>
                    <w14:schemeClr w14:val="tx1"/>
                  </w14:solidFill>
                </w14:textFill>
              </w:rPr>
            </w:pPr>
          </w:p>
        </w:tc>
        <w:tc>
          <w:tcPr>
            <w:tcW w:w="1423" w:type="dxa"/>
            <w:vAlign w:val="top"/>
          </w:tcPr>
          <w:p w14:paraId="40F132C0">
            <w:pPr>
              <w:tabs>
                <w:tab w:val="left" w:pos="900"/>
              </w:tabs>
              <w:snapToGrid w:val="0"/>
              <w:spacing w:before="60" w:after="120"/>
              <w:ind w:right="-24" w:rightChars="0"/>
              <w:jc w:val="center"/>
              <w:rPr>
                <w:rFonts w:hint="eastAsia" w:ascii="宋体" w:hAnsi="宋体" w:eastAsia="宋体" w:cs="Times New Roman"/>
                <w:color w:val="auto"/>
                <w:kern w:val="2"/>
                <w:sz w:val="21"/>
                <w:szCs w:val="22"/>
                <w:highlight w:val="none"/>
                <w:lang w:val="en-US" w:eastAsia="zh-CN" w:bidi="ar-SA"/>
              </w:rPr>
            </w:pPr>
          </w:p>
        </w:tc>
        <w:tc>
          <w:tcPr>
            <w:tcW w:w="1424" w:type="dxa"/>
            <w:vAlign w:val="center"/>
          </w:tcPr>
          <w:p w14:paraId="32E43EDE">
            <w:pPr>
              <w:tabs>
                <w:tab w:val="left" w:pos="900"/>
              </w:tabs>
              <w:snapToGrid w:val="0"/>
              <w:spacing w:before="60" w:after="120"/>
              <w:ind w:right="-24" w:rightChars="0"/>
              <w:jc w:val="center"/>
              <w:rPr>
                <w:rFonts w:hint="eastAsia" w:ascii="宋体" w:hAnsi="宋体" w:eastAsia="宋体" w:cs="Times New Roman"/>
                <w:color w:val="auto"/>
                <w:kern w:val="2"/>
                <w:sz w:val="21"/>
                <w:szCs w:val="22"/>
                <w:highlight w:val="none"/>
                <w:lang w:val="en-US" w:eastAsia="zh-CN" w:bidi="ar-SA"/>
              </w:rPr>
            </w:pPr>
          </w:p>
        </w:tc>
      </w:tr>
    </w:tbl>
    <w:p w14:paraId="24EA5755">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2008"/>
        <w:gridCol w:w="1627"/>
        <w:gridCol w:w="1350"/>
        <w:gridCol w:w="1292"/>
        <w:gridCol w:w="1423"/>
        <w:gridCol w:w="1424"/>
      </w:tblGrid>
      <w:tr w14:paraId="009F5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0393D55E">
            <w:pPr>
              <w:tabs>
                <w:tab w:val="left" w:pos="900"/>
              </w:tabs>
              <w:snapToGrid w:val="0"/>
              <w:ind w:right="-24" w:rightChars="0"/>
              <w:jc w:val="center"/>
              <w:rPr>
                <w:rFonts w:hint="eastAsia"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序号</w:t>
            </w:r>
          </w:p>
        </w:tc>
        <w:tc>
          <w:tcPr>
            <w:tcW w:w="2008" w:type="dxa"/>
            <w:vAlign w:val="center"/>
          </w:tcPr>
          <w:p w14:paraId="1157D017">
            <w:pPr>
              <w:tabs>
                <w:tab w:val="left" w:pos="900"/>
              </w:tabs>
              <w:snapToGrid w:val="0"/>
              <w:ind w:right="-24" w:rightChars="0"/>
              <w:jc w:val="center"/>
              <w:rPr>
                <w:rFonts w:hint="default" w:ascii="宋体" w:hAnsi="宋体" w:eastAsia="宋体" w:cs="Times New Roman"/>
                <w:color w:val="auto"/>
                <w:kern w:val="2"/>
                <w:sz w:val="21"/>
                <w:szCs w:val="22"/>
                <w:highlight w:val="none"/>
                <w:lang w:val="en-US" w:eastAsia="zh-CN" w:bidi="ar-SA"/>
              </w:rPr>
            </w:pPr>
            <w:r>
              <w:rPr>
                <w:rFonts w:hint="eastAsia" w:ascii="宋体" w:hAnsi="宋体"/>
                <w:color w:val="auto"/>
                <w:highlight w:val="none"/>
                <w:lang w:val="en-US" w:eastAsia="zh-CN"/>
              </w:rPr>
              <w:t>标的名称</w:t>
            </w:r>
          </w:p>
        </w:tc>
        <w:tc>
          <w:tcPr>
            <w:tcW w:w="1627" w:type="dxa"/>
            <w:vAlign w:val="center"/>
          </w:tcPr>
          <w:p w14:paraId="6BB7BF81">
            <w:pPr>
              <w:bidi w:val="0"/>
              <w:jc w:val="center"/>
              <w:rPr>
                <w:rFonts w:hint="eastAsia" w:ascii="Calibri" w:hAnsi="Calibri" w:eastAsia="宋体" w:cs="Times New Roman"/>
                <w:color w:val="auto"/>
                <w:kern w:val="2"/>
                <w:sz w:val="21"/>
                <w:szCs w:val="22"/>
                <w:lang w:val="en-US" w:eastAsia="zh-CN" w:bidi="ar-SA"/>
              </w:rPr>
            </w:pPr>
            <w:r>
              <w:rPr>
                <w:rFonts w:hint="eastAsia" w:ascii="宋体" w:hAnsi="宋体"/>
                <w:color w:val="auto"/>
                <w:highlight w:val="none"/>
                <w:lang w:val="en-US" w:eastAsia="zh-CN"/>
              </w:rPr>
              <w:t>标段划分区域</w:t>
            </w:r>
          </w:p>
        </w:tc>
        <w:tc>
          <w:tcPr>
            <w:tcW w:w="1350" w:type="dxa"/>
            <w:vAlign w:val="center"/>
          </w:tcPr>
          <w:p w14:paraId="21506549">
            <w:pPr>
              <w:tabs>
                <w:tab w:val="left" w:pos="900"/>
              </w:tabs>
              <w:snapToGrid w:val="0"/>
              <w:spacing w:before="120" w:after="120"/>
              <w:ind w:right="-24" w:rightChars="0"/>
              <w:jc w:val="center"/>
              <w:rPr>
                <w:rFonts w:hint="eastAsia"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预计</w:t>
            </w:r>
            <w:r>
              <w:rPr>
                <w:rFonts w:hint="eastAsia" w:ascii="宋体" w:hAnsi="宋体"/>
                <w:color w:val="auto"/>
                <w:highlight w:val="none"/>
                <w:lang w:eastAsia="zh-CN"/>
              </w:rPr>
              <w:t>发包价</w:t>
            </w:r>
            <w:r>
              <w:rPr>
                <w:rFonts w:hint="eastAsia" w:ascii="宋体" w:hAnsi="宋体"/>
                <w:color w:val="auto"/>
                <w:highlight w:val="none"/>
              </w:rPr>
              <w:t>(元)</w:t>
            </w:r>
          </w:p>
        </w:tc>
        <w:tc>
          <w:tcPr>
            <w:tcW w:w="1292" w:type="dxa"/>
            <w:vAlign w:val="center"/>
          </w:tcPr>
          <w:p w14:paraId="07A2E0B3">
            <w:pPr>
              <w:tabs>
                <w:tab w:val="left" w:pos="900"/>
              </w:tabs>
              <w:snapToGrid w:val="0"/>
              <w:spacing w:before="120" w:after="120"/>
              <w:ind w:right="-24" w:rightChars="0"/>
              <w:jc w:val="center"/>
              <w:rPr>
                <w:rFonts w:hint="eastAsia" w:ascii="宋体" w:hAnsi="宋体" w:eastAsia="宋体" w:cs="Times New Roman"/>
                <w:b/>
                <w:color w:val="auto"/>
                <w:kern w:val="2"/>
                <w:sz w:val="21"/>
                <w:szCs w:val="22"/>
                <w:highlight w:val="none"/>
                <w:lang w:val="en-US" w:eastAsia="zh-CN" w:bidi="ar-SA"/>
              </w:rPr>
            </w:pPr>
            <w:r>
              <w:rPr>
                <w:rFonts w:hint="eastAsia" w:ascii="宋体" w:hAnsi="宋体"/>
                <w:b/>
                <w:color w:val="auto"/>
                <w:highlight w:val="none"/>
              </w:rPr>
              <w:t>投标下浮率（%）</w:t>
            </w:r>
          </w:p>
        </w:tc>
        <w:tc>
          <w:tcPr>
            <w:tcW w:w="1423" w:type="dxa"/>
            <w:vAlign w:val="center"/>
          </w:tcPr>
          <w:p w14:paraId="28E30CA9">
            <w:pPr>
              <w:tabs>
                <w:tab w:val="left" w:pos="900"/>
              </w:tabs>
              <w:snapToGrid w:val="0"/>
              <w:spacing w:before="120" w:after="120"/>
              <w:ind w:right="-24"/>
              <w:jc w:val="center"/>
              <w:rPr>
                <w:rFonts w:hint="eastAsia" w:ascii="仿宋_GB2312" w:hAnsi="宋体"/>
                <w:color w:val="auto"/>
                <w:szCs w:val="32"/>
                <w:highlight w:val="none"/>
                <w:u w:val="none"/>
              </w:rPr>
            </w:pPr>
            <w:r>
              <w:rPr>
                <w:rFonts w:hint="eastAsia" w:ascii="仿宋_GB2312" w:hAnsi="宋体"/>
                <w:color w:val="auto"/>
                <w:szCs w:val="32"/>
                <w:highlight w:val="none"/>
                <w:u w:val="none"/>
              </w:rPr>
              <w:t>投标报价</w:t>
            </w:r>
          </w:p>
          <w:p w14:paraId="2636A21D">
            <w:pPr>
              <w:tabs>
                <w:tab w:val="left" w:pos="900"/>
              </w:tabs>
              <w:snapToGrid w:val="0"/>
              <w:spacing w:before="120" w:after="120"/>
              <w:ind w:right="-24" w:rightChars="0"/>
              <w:jc w:val="center"/>
              <w:rPr>
                <w:rFonts w:hint="eastAsia" w:ascii="宋体" w:hAnsi="宋体" w:eastAsia="宋体" w:cs="Times New Roman"/>
                <w:color w:val="auto"/>
                <w:kern w:val="2"/>
                <w:sz w:val="21"/>
                <w:szCs w:val="22"/>
                <w:highlight w:val="none"/>
                <w:lang w:val="en-US" w:eastAsia="zh-CN" w:bidi="ar-SA"/>
              </w:rPr>
            </w:pPr>
            <w:r>
              <w:rPr>
                <w:rFonts w:hint="eastAsia" w:ascii="仿宋_GB2312" w:hAnsi="宋体"/>
                <w:color w:val="auto"/>
                <w:szCs w:val="32"/>
                <w:highlight w:val="none"/>
                <w:u w:val="none"/>
              </w:rPr>
              <w:t>（元）</w:t>
            </w:r>
          </w:p>
        </w:tc>
        <w:tc>
          <w:tcPr>
            <w:tcW w:w="1424" w:type="dxa"/>
            <w:vAlign w:val="center"/>
          </w:tcPr>
          <w:p w14:paraId="6E82F0DA">
            <w:pPr>
              <w:tabs>
                <w:tab w:val="left" w:pos="900"/>
              </w:tabs>
              <w:snapToGrid w:val="0"/>
              <w:spacing w:before="120" w:after="120"/>
              <w:ind w:right="-24" w:rightChars="0"/>
              <w:jc w:val="center"/>
              <w:rPr>
                <w:rFonts w:hint="eastAsia"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备注</w:t>
            </w:r>
          </w:p>
        </w:tc>
      </w:tr>
      <w:tr w14:paraId="3E905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1E05C09C">
            <w:pPr>
              <w:tabs>
                <w:tab w:val="left" w:pos="900"/>
              </w:tabs>
              <w:snapToGrid w:val="0"/>
              <w:spacing w:before="60" w:after="120"/>
              <w:ind w:right="-24" w:rightChars="0"/>
              <w:jc w:val="center"/>
              <w:rPr>
                <w:rFonts w:hint="eastAsia" w:ascii="宋体" w:hAnsi="宋体" w:eastAsia="宋体" w:cs="Times New Roman"/>
                <w:color w:val="auto"/>
                <w:kern w:val="2"/>
                <w:sz w:val="21"/>
                <w:szCs w:val="22"/>
                <w:highlight w:val="none"/>
                <w:lang w:val="en-US" w:eastAsia="zh-CN" w:bidi="ar-SA"/>
              </w:rPr>
            </w:pPr>
            <w:r>
              <w:rPr>
                <w:rFonts w:hint="eastAsia" w:ascii="宋体" w:hAnsi="宋体"/>
                <w:color w:val="auto"/>
                <w:highlight w:val="none"/>
                <w:lang w:val="en-US" w:eastAsia="zh-CN"/>
              </w:rPr>
              <w:t>1</w:t>
            </w:r>
          </w:p>
        </w:tc>
        <w:tc>
          <w:tcPr>
            <w:tcW w:w="2008" w:type="dxa"/>
            <w:vAlign w:val="center"/>
          </w:tcPr>
          <w:p w14:paraId="65E68911">
            <w:pPr>
              <w:snapToGrid w:val="0"/>
              <w:spacing w:before="60" w:after="120"/>
              <w:ind w:right="-24" w:rightChars="0"/>
              <w:jc w:val="left"/>
              <w:rPr>
                <w:rFonts w:hint="eastAsia" w:asciiTheme="minorEastAsia" w:hAnsiTheme="minorEastAsia" w:eastAsiaTheme="minorEastAsia" w:cstheme="minorEastAsia"/>
                <w:snapToGrid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snapToGrid w:val="0"/>
                <w:color w:val="000000" w:themeColor="text1"/>
                <w:kern w:val="2"/>
                <w:sz w:val="21"/>
                <w:szCs w:val="21"/>
                <w:lang w:val="en-US" w:eastAsia="zh-CN" w:bidi="ar-SA"/>
                <w14:textFill>
                  <w14:solidFill>
                    <w14:schemeClr w14:val="tx1"/>
                  </w14:solidFill>
                </w14:textFill>
              </w:rPr>
              <w:t>标包2.广州供电局2026-2027年建设工程地质灾害危险性评估及压覆矿产资源调查、压覆矿产资源储量评估技术服务</w:t>
            </w:r>
            <w:bookmarkStart w:id="1" w:name="_GoBack"/>
            <w:bookmarkEnd w:id="1"/>
          </w:p>
        </w:tc>
        <w:tc>
          <w:tcPr>
            <w:tcW w:w="1627" w:type="dxa"/>
            <w:vAlign w:val="center"/>
          </w:tcPr>
          <w:p w14:paraId="37BC47AC">
            <w:pPr>
              <w:tabs>
                <w:tab w:val="left" w:pos="900"/>
              </w:tabs>
              <w:snapToGrid w:val="0"/>
              <w:spacing w:before="60" w:after="120"/>
              <w:ind w:right="-24" w:rightChars="0"/>
              <w:jc w:val="left"/>
              <w:rPr>
                <w:rFonts w:hint="eastAsia" w:asciiTheme="minorEastAsia" w:hAnsiTheme="minorEastAsia" w:eastAsiaTheme="minorEastAsia" w:cstheme="minorEastAsia"/>
                <w:snapToGrid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snapToGrid w:val="0"/>
                <w:color w:val="000000" w:themeColor="text1"/>
                <w:sz w:val="21"/>
                <w:szCs w:val="21"/>
                <w:lang w:val="en-US" w:eastAsia="zh-CN"/>
                <w14:textFill>
                  <w14:solidFill>
                    <w14:schemeClr w14:val="tx1"/>
                  </w14:solidFill>
                </w14:textFill>
              </w:rPr>
              <w:t>广州市</w:t>
            </w:r>
          </w:p>
        </w:tc>
        <w:tc>
          <w:tcPr>
            <w:tcW w:w="1350" w:type="dxa"/>
            <w:vAlign w:val="center"/>
          </w:tcPr>
          <w:p w14:paraId="3A917725">
            <w:pPr>
              <w:tabs>
                <w:tab w:val="left" w:pos="900"/>
              </w:tabs>
              <w:snapToGrid w:val="0"/>
              <w:spacing w:before="60" w:after="120"/>
              <w:ind w:right="-24" w:rightChars="0"/>
              <w:jc w:val="center"/>
              <w:rPr>
                <w:rFonts w:hint="default" w:asciiTheme="minorEastAsia" w:hAnsiTheme="minorEastAsia" w:eastAsiaTheme="minorEastAsia" w:cstheme="minorEastAsia"/>
                <w:snapToGrid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snapToGrid w:val="0"/>
                <w:color w:val="000000" w:themeColor="text1"/>
                <w:sz w:val="21"/>
                <w:szCs w:val="21"/>
                <w:lang w:val="en-US" w:eastAsia="zh-CN"/>
                <w14:textFill>
                  <w14:solidFill>
                    <w14:schemeClr w14:val="tx1"/>
                  </w14:solidFill>
                </w14:textFill>
              </w:rPr>
              <w:t>3500000</w:t>
            </w:r>
          </w:p>
        </w:tc>
        <w:tc>
          <w:tcPr>
            <w:tcW w:w="1292" w:type="dxa"/>
            <w:vAlign w:val="center"/>
          </w:tcPr>
          <w:p w14:paraId="2227047A">
            <w:pPr>
              <w:tabs>
                <w:tab w:val="left" w:pos="900"/>
              </w:tabs>
              <w:snapToGrid w:val="0"/>
              <w:spacing w:before="60" w:after="120"/>
              <w:ind w:right="-24" w:rightChars="0"/>
              <w:jc w:val="center"/>
              <w:rPr>
                <w:rFonts w:hint="eastAsia" w:ascii="宋体" w:hAnsi="宋体" w:eastAsia="宋体" w:cs="Times New Roman"/>
                <w:color w:val="000000" w:themeColor="text1"/>
                <w:kern w:val="2"/>
                <w:sz w:val="21"/>
                <w:szCs w:val="22"/>
                <w:highlight w:val="none"/>
                <w:lang w:val="en-US" w:eastAsia="zh-CN" w:bidi="ar-SA"/>
                <w14:textFill>
                  <w14:solidFill>
                    <w14:schemeClr w14:val="tx1"/>
                  </w14:solidFill>
                </w14:textFill>
              </w:rPr>
            </w:pPr>
          </w:p>
        </w:tc>
        <w:tc>
          <w:tcPr>
            <w:tcW w:w="1423" w:type="dxa"/>
            <w:vAlign w:val="top"/>
          </w:tcPr>
          <w:p w14:paraId="072B290F">
            <w:pPr>
              <w:tabs>
                <w:tab w:val="left" w:pos="900"/>
              </w:tabs>
              <w:snapToGrid w:val="0"/>
              <w:spacing w:before="60" w:after="120"/>
              <w:ind w:right="-24" w:rightChars="0"/>
              <w:jc w:val="center"/>
              <w:rPr>
                <w:rFonts w:hint="eastAsia" w:ascii="宋体" w:hAnsi="宋体" w:eastAsia="宋体" w:cs="Times New Roman"/>
                <w:color w:val="auto"/>
                <w:kern w:val="2"/>
                <w:sz w:val="21"/>
                <w:szCs w:val="22"/>
                <w:highlight w:val="none"/>
                <w:lang w:val="en-US" w:eastAsia="zh-CN" w:bidi="ar-SA"/>
              </w:rPr>
            </w:pPr>
          </w:p>
        </w:tc>
        <w:tc>
          <w:tcPr>
            <w:tcW w:w="1424" w:type="dxa"/>
            <w:vAlign w:val="center"/>
          </w:tcPr>
          <w:p w14:paraId="7918475E">
            <w:pPr>
              <w:tabs>
                <w:tab w:val="left" w:pos="900"/>
              </w:tabs>
              <w:snapToGrid w:val="0"/>
              <w:spacing w:before="60" w:after="120"/>
              <w:ind w:right="-24" w:rightChars="0"/>
              <w:jc w:val="center"/>
              <w:rPr>
                <w:rFonts w:hint="eastAsia" w:ascii="宋体" w:hAnsi="宋体" w:eastAsia="宋体" w:cs="Times New Roman"/>
                <w:color w:val="auto"/>
                <w:kern w:val="2"/>
                <w:sz w:val="21"/>
                <w:szCs w:val="22"/>
                <w:highlight w:val="none"/>
                <w:lang w:val="en-US" w:eastAsia="zh-CN" w:bidi="ar-SA"/>
              </w:rPr>
            </w:pPr>
          </w:p>
        </w:tc>
      </w:tr>
    </w:tbl>
    <w:p w14:paraId="020B6F42">
      <w:pPr>
        <w:pStyle w:val="2"/>
        <w:rPr>
          <w:rFonts w:hint="eastAsia"/>
          <w:lang w:val="en-US" w:eastAsia="zh-CN"/>
        </w:rPr>
      </w:pPr>
    </w:p>
    <w:p w14:paraId="2B635C10">
      <w:pPr>
        <w:pStyle w:val="7"/>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715BC1BE">
      <w:pPr>
        <w:pStyle w:val="8"/>
        <w:keepNext w:val="0"/>
        <w:keepLines w:val="0"/>
        <w:pageBreakBefore w:val="0"/>
        <w:numPr>
          <w:ilvl w:val="0"/>
          <w:numId w:val="2"/>
        </w:numPr>
        <w:kinsoku/>
        <w:wordWrap/>
        <w:overflowPunct/>
        <w:topLinePunct w:val="0"/>
        <w:autoSpaceDE/>
        <w:autoSpaceDN/>
        <w:bidi w:val="0"/>
        <w:adjustRightInd/>
        <w:snapToGrid/>
        <w:spacing w:line="360" w:lineRule="auto"/>
        <w:jc w:val="left"/>
        <w:textAlignment w:val="auto"/>
        <w:rPr>
          <w:rFonts w:ascii="宋体" w:hAnsi="宋体" w:eastAsia="宋体" w:cs="宋体"/>
          <w:b w:val="0"/>
          <w:bCs w:val="0"/>
          <w:color w:val="auto"/>
          <w:sz w:val="24"/>
          <w:szCs w:val="24"/>
          <w:highlight w:val="none"/>
          <w:u w:val="single"/>
        </w:rPr>
      </w:pPr>
      <w:r>
        <w:rPr>
          <w:rFonts w:ascii="宋体" w:hAnsi="宋体" w:eastAsia="宋体" w:cs="宋体"/>
          <w:b w:val="0"/>
          <w:bCs w:val="0"/>
          <w:color w:val="auto"/>
          <w:sz w:val="24"/>
          <w:szCs w:val="24"/>
          <w:highlight w:val="none"/>
          <w:u w:val="single"/>
        </w:rPr>
        <w:t>投标下浮率不低于0%为有效报价；当投标下浮率＞</w:t>
      </w:r>
      <w:r>
        <w:rPr>
          <w:rFonts w:hint="eastAsia" w:ascii="宋体" w:hAnsi="宋体" w:eastAsia="宋体" w:cs="宋体"/>
          <w:b w:val="0"/>
          <w:bCs w:val="0"/>
          <w:color w:val="auto"/>
          <w:sz w:val="24"/>
          <w:szCs w:val="24"/>
          <w:highlight w:val="none"/>
          <w:u w:val="single"/>
          <w:lang w:val="en-US" w:eastAsia="zh-CN"/>
        </w:rPr>
        <w:t xml:space="preserve"> </w:t>
      </w:r>
      <w:r>
        <w:rPr>
          <w:rFonts w:ascii="宋体" w:hAnsi="宋体" w:eastAsia="宋体" w:cs="宋体"/>
          <w:b w:val="0"/>
          <w:bCs w:val="0"/>
          <w:color w:val="auto"/>
          <w:sz w:val="24"/>
          <w:szCs w:val="24"/>
          <w:highlight w:val="none"/>
          <w:u w:val="single"/>
        </w:rPr>
        <w:t>15%</w:t>
      </w:r>
      <w:r>
        <w:rPr>
          <w:rFonts w:hint="eastAsia" w:ascii="宋体" w:hAnsi="宋体" w:eastAsia="宋体" w:cs="宋体"/>
          <w:b w:val="0"/>
          <w:bCs w:val="0"/>
          <w:color w:val="auto"/>
          <w:sz w:val="24"/>
          <w:szCs w:val="24"/>
          <w:highlight w:val="none"/>
          <w:u w:val="single"/>
          <w:lang w:val="en-US" w:eastAsia="zh-CN"/>
        </w:rPr>
        <w:t xml:space="preserve"> </w:t>
      </w:r>
      <w:r>
        <w:rPr>
          <w:rFonts w:ascii="宋体" w:hAnsi="宋体" w:eastAsia="宋体" w:cs="宋体"/>
          <w:b w:val="0"/>
          <w:bCs w:val="0"/>
          <w:color w:val="auto"/>
          <w:sz w:val="24"/>
          <w:szCs w:val="24"/>
          <w:highlight w:val="none"/>
          <w:u w:val="single"/>
        </w:rPr>
        <w:t>时应附成本分析报告，充分说明单价和费用的组成、降低成本的合理措施及在其他工程中应用过的经验等，经评审通过后方可视为有效报价。</w:t>
      </w:r>
    </w:p>
    <w:p w14:paraId="63CE4E33">
      <w:pPr>
        <w:pStyle w:val="8"/>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2. </w:t>
      </w:r>
      <w:r>
        <w:rPr>
          <w:rFonts w:hint="eastAsia" w:ascii="宋体" w:hAnsi="宋体" w:eastAsia="宋体" w:cs="宋体"/>
          <w:b w:val="0"/>
          <w:bCs w:val="0"/>
          <w:color w:val="auto"/>
          <w:kern w:val="2"/>
          <w:sz w:val="24"/>
          <w:szCs w:val="24"/>
          <w:u w:val="single"/>
          <w:lang w:val="en-US" w:eastAsia="zh-CN" w:bidi="ar-SA"/>
        </w:rPr>
        <w:t>按下浮率报价（保留两位小数，如8.88%），同时填报投标报价（投标报价=预计发包价*（1-投标下浮率），四舍五入保留两位小数）。当投标报价与投标下浮率计算结果不一致时，以投标下浮率为准，按上述公式修订投标报价。</w:t>
      </w:r>
      <w:r>
        <w:rPr>
          <w:rFonts w:hint="eastAsia" w:ascii="宋体" w:hAnsi="宋体" w:eastAsia="宋体" w:cs="宋体"/>
          <w:color w:val="auto"/>
          <w:kern w:val="2"/>
          <w:sz w:val="24"/>
          <w:szCs w:val="24"/>
          <w:highlight w:val="none"/>
          <w:u w:val="single"/>
          <w:lang w:val="en-US" w:eastAsia="zh-CN" w:bidi="ar-SA"/>
        </w:rPr>
        <w:t xml:space="preserve">                                   </w:t>
      </w:r>
    </w:p>
    <w:p w14:paraId="26FA8D52">
      <w:pPr>
        <w:pStyle w:val="8"/>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3. </w:t>
      </w:r>
      <w:r>
        <w:rPr>
          <w:rFonts w:hint="eastAsia" w:ascii="宋体" w:hAnsi="宋体" w:eastAsia="宋体" w:cs="宋体"/>
          <w:b w:val="0"/>
          <w:bCs w:val="0"/>
          <w:color w:val="auto"/>
          <w:kern w:val="2"/>
          <w:sz w:val="24"/>
          <w:szCs w:val="24"/>
          <w:u w:val="single"/>
          <w:lang w:val="en-US" w:eastAsia="zh-CN" w:bidi="ar-SA"/>
        </w:rPr>
        <w:t>价格分计算时，投标人评标价按（100-投标人填写的下浮数值）参与计算。如：下浮率为1.88％时，评标价按（100-1.88）参与计算。</w:t>
      </w:r>
    </w:p>
    <w:p w14:paraId="4F4D8DA6">
      <w:pPr>
        <w:numPr>
          <w:ilvl w:val="0"/>
          <w:numId w:val="0"/>
        </w:numPr>
        <w:ind w:left="240" w:leftChars="0"/>
        <w:rPr>
          <w:rFonts w:hint="default"/>
          <w:highlight w:val="none"/>
          <w:lang w:val="en-US" w:eastAsia="zh-CN"/>
        </w:rPr>
      </w:pPr>
    </w:p>
    <w:p w14:paraId="56272531">
      <w:pPr>
        <w:rPr>
          <w:rFonts w:hint="eastAsia"/>
          <w:highlight w:val="none"/>
          <w:lang w:val="en-US" w:eastAsia="zh-CN"/>
        </w:rPr>
      </w:pPr>
    </w:p>
    <w:p w14:paraId="6CB024E1">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6B1485FF">
      <w:pPr>
        <w:pStyle w:val="3"/>
        <w:keepNext w:val="0"/>
        <w:keepLines w:val="0"/>
        <w:pageBreakBefore w:val="0"/>
        <w:numPr>
          <w:ilvl w:val="0"/>
          <w:numId w:val="0"/>
        </w:numPr>
        <w:shd w:val="clear" w:color="auto" w:fill="auto"/>
        <w:kinsoku/>
        <w:wordWrap/>
        <w:overflowPunct/>
        <w:topLinePunct w:val="0"/>
        <w:bidi w:val="0"/>
        <w:snapToGrid/>
        <w:spacing w:beforeLines="0" w:afterLines="0" w:line="360" w:lineRule="auto"/>
        <w:ind w:firstLine="720" w:firstLineChars="300"/>
        <w:textAlignment w:val="auto"/>
        <w:outlineLvl w:val="0"/>
        <w:rPr>
          <w:rFonts w:hint="default"/>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bidi="ar-SA"/>
        </w:rPr>
        <w:t>按实结算。结算时依据审定工作量，套用限价表对应费用标准进行结算。中标单价=限价单价×（1-中标下浮率）。限价单价详见下表：</w:t>
      </w:r>
    </w:p>
    <w:p w14:paraId="2DA471C7">
      <w:pPr>
        <w:jc w:val="center"/>
        <w:rPr>
          <w:rFonts w:hint="default"/>
          <w:lang w:val="en-US" w:eastAsia="zh-CN"/>
        </w:rPr>
      </w:pPr>
      <w:r>
        <w:drawing>
          <wp:inline distT="0" distB="0" distL="114300" distR="114300">
            <wp:extent cx="5445760" cy="4723765"/>
            <wp:effectExtent l="0" t="0" r="254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a:stretch>
                      <a:fillRect/>
                    </a:stretch>
                  </pic:blipFill>
                  <pic:spPr>
                    <a:xfrm>
                      <a:off x="0" y="0"/>
                      <a:ext cx="5445760" cy="4723765"/>
                    </a:xfrm>
                    <a:prstGeom prst="rect">
                      <a:avLst/>
                    </a:prstGeom>
                    <a:noFill/>
                    <a:ln>
                      <a:noFill/>
                    </a:ln>
                  </pic:spPr>
                </pic:pic>
              </a:graphicData>
            </a:graphic>
          </wp:inline>
        </w:drawing>
      </w:r>
    </w:p>
    <w:p w14:paraId="6EEF93F1">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59C06544">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28DF1F34">
      <w:pPr>
        <w:pStyle w:val="10"/>
        <w:numPr>
          <w:ilvl w:val="0"/>
          <w:numId w:val="0"/>
        </w:numPr>
        <w:rPr>
          <w:rFonts w:hint="default"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14:paraId="70AF8F41">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6F0BCD93">
      <w:pPr>
        <w:pStyle w:val="2"/>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526AD100">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607541FE">
      <w:pPr>
        <w:pStyle w:val="2"/>
        <w:rPr>
          <w:rFonts w:hint="eastAsia" w:asciiTheme="minorEastAsia" w:hAnsiTheme="minorEastAsia" w:eastAsiaTheme="minorEastAsia" w:cstheme="minorEastAsia"/>
          <w:i w:val="0"/>
          <w:iCs/>
          <w:color w:val="auto"/>
          <w:sz w:val="24"/>
          <w:szCs w:val="24"/>
          <w:highlight w:val="none"/>
        </w:rPr>
      </w:pPr>
    </w:p>
    <w:p w14:paraId="381F87E3">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33AE1BFD">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05612277">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14:paraId="2740CBBE">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12846F37"/>
    <w:multiLevelType w:val="singleLevel"/>
    <w:tmpl w:val="12846F37"/>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lYzViOTg3MzA5ZmNlNTA4ZDdkNmFjYWRlNWJjNjYifQ=="/>
  </w:docVars>
  <w:rsids>
    <w:rsidRoot w:val="24F737D8"/>
    <w:rsid w:val="001270A5"/>
    <w:rsid w:val="007A4AD7"/>
    <w:rsid w:val="0490729E"/>
    <w:rsid w:val="04A24F71"/>
    <w:rsid w:val="076F3B3B"/>
    <w:rsid w:val="07CA37DF"/>
    <w:rsid w:val="0B4A6210"/>
    <w:rsid w:val="0BC07002"/>
    <w:rsid w:val="0CD8342D"/>
    <w:rsid w:val="0E2F4C02"/>
    <w:rsid w:val="0E3616E0"/>
    <w:rsid w:val="0E394169"/>
    <w:rsid w:val="0F81532F"/>
    <w:rsid w:val="107144D2"/>
    <w:rsid w:val="116419AD"/>
    <w:rsid w:val="11DF6CFE"/>
    <w:rsid w:val="13383335"/>
    <w:rsid w:val="14440D4B"/>
    <w:rsid w:val="14781EB9"/>
    <w:rsid w:val="14B666F3"/>
    <w:rsid w:val="15056A61"/>
    <w:rsid w:val="17722603"/>
    <w:rsid w:val="18E57496"/>
    <w:rsid w:val="1A386933"/>
    <w:rsid w:val="1A4F176B"/>
    <w:rsid w:val="1B663F82"/>
    <w:rsid w:val="1C2D4629"/>
    <w:rsid w:val="1C43636C"/>
    <w:rsid w:val="1C8618B6"/>
    <w:rsid w:val="1D904223"/>
    <w:rsid w:val="1F653C49"/>
    <w:rsid w:val="1FF914D4"/>
    <w:rsid w:val="20735046"/>
    <w:rsid w:val="20A9115E"/>
    <w:rsid w:val="216F4D5B"/>
    <w:rsid w:val="21C11DC8"/>
    <w:rsid w:val="21C95EF5"/>
    <w:rsid w:val="23B738BA"/>
    <w:rsid w:val="24E67795"/>
    <w:rsid w:val="24F737D8"/>
    <w:rsid w:val="2525523D"/>
    <w:rsid w:val="2682666E"/>
    <w:rsid w:val="26EB3B6A"/>
    <w:rsid w:val="291D5E51"/>
    <w:rsid w:val="2BE07E0A"/>
    <w:rsid w:val="2CA17C08"/>
    <w:rsid w:val="2D742DF9"/>
    <w:rsid w:val="2DDF66E3"/>
    <w:rsid w:val="2FF65FF8"/>
    <w:rsid w:val="300D195C"/>
    <w:rsid w:val="30BF37B5"/>
    <w:rsid w:val="313B0851"/>
    <w:rsid w:val="31A1649A"/>
    <w:rsid w:val="31C955A9"/>
    <w:rsid w:val="33B200AF"/>
    <w:rsid w:val="33C75702"/>
    <w:rsid w:val="33E61BE2"/>
    <w:rsid w:val="361736AD"/>
    <w:rsid w:val="36D200CF"/>
    <w:rsid w:val="379951F8"/>
    <w:rsid w:val="38382DC3"/>
    <w:rsid w:val="38DE045C"/>
    <w:rsid w:val="3987396D"/>
    <w:rsid w:val="3B595AEE"/>
    <w:rsid w:val="3BA45E69"/>
    <w:rsid w:val="3BF24D81"/>
    <w:rsid w:val="3BFE7BEA"/>
    <w:rsid w:val="3C4750A3"/>
    <w:rsid w:val="3C4A35F1"/>
    <w:rsid w:val="3D2F048D"/>
    <w:rsid w:val="3FFB6DCF"/>
    <w:rsid w:val="420455E6"/>
    <w:rsid w:val="42E73C50"/>
    <w:rsid w:val="44982260"/>
    <w:rsid w:val="44D414C9"/>
    <w:rsid w:val="46472D5E"/>
    <w:rsid w:val="485D3F87"/>
    <w:rsid w:val="496A657E"/>
    <w:rsid w:val="49843C09"/>
    <w:rsid w:val="4B3A1BDA"/>
    <w:rsid w:val="4BF83760"/>
    <w:rsid w:val="4C5B4768"/>
    <w:rsid w:val="4C8349B8"/>
    <w:rsid w:val="4E5944C4"/>
    <w:rsid w:val="504502A4"/>
    <w:rsid w:val="504766FD"/>
    <w:rsid w:val="552A0C96"/>
    <w:rsid w:val="55BB16B6"/>
    <w:rsid w:val="55C3156A"/>
    <w:rsid w:val="560A4CB8"/>
    <w:rsid w:val="5782183A"/>
    <w:rsid w:val="57BD355E"/>
    <w:rsid w:val="58235371"/>
    <w:rsid w:val="58D21C48"/>
    <w:rsid w:val="5A0C5C7C"/>
    <w:rsid w:val="5B0320E2"/>
    <w:rsid w:val="5B6D101A"/>
    <w:rsid w:val="5B8B11A7"/>
    <w:rsid w:val="5B9E2EC4"/>
    <w:rsid w:val="5CD10D7E"/>
    <w:rsid w:val="60002310"/>
    <w:rsid w:val="608606DE"/>
    <w:rsid w:val="610E324A"/>
    <w:rsid w:val="614168F7"/>
    <w:rsid w:val="61F31EFD"/>
    <w:rsid w:val="62610452"/>
    <w:rsid w:val="63066BC7"/>
    <w:rsid w:val="63D0487B"/>
    <w:rsid w:val="64672037"/>
    <w:rsid w:val="64911DA0"/>
    <w:rsid w:val="65945D8D"/>
    <w:rsid w:val="66C35559"/>
    <w:rsid w:val="673B0700"/>
    <w:rsid w:val="67D57489"/>
    <w:rsid w:val="68570F93"/>
    <w:rsid w:val="6A287B5E"/>
    <w:rsid w:val="6B303A1A"/>
    <w:rsid w:val="6C704794"/>
    <w:rsid w:val="6DAA2FDF"/>
    <w:rsid w:val="6DF95579"/>
    <w:rsid w:val="6E121228"/>
    <w:rsid w:val="6EE0215E"/>
    <w:rsid w:val="6F8447F5"/>
    <w:rsid w:val="70225C40"/>
    <w:rsid w:val="70705F50"/>
    <w:rsid w:val="70D1495F"/>
    <w:rsid w:val="70ED510D"/>
    <w:rsid w:val="712F63C0"/>
    <w:rsid w:val="72717CD1"/>
    <w:rsid w:val="743E1546"/>
    <w:rsid w:val="74614F7E"/>
    <w:rsid w:val="74695E39"/>
    <w:rsid w:val="754C6F3B"/>
    <w:rsid w:val="75B11AFF"/>
    <w:rsid w:val="75D32619"/>
    <w:rsid w:val="76307412"/>
    <w:rsid w:val="768D126A"/>
    <w:rsid w:val="780B6A75"/>
    <w:rsid w:val="797D2639"/>
    <w:rsid w:val="79AF12F6"/>
    <w:rsid w:val="79F83E18"/>
    <w:rsid w:val="7B435E53"/>
    <w:rsid w:val="7B7B0D01"/>
    <w:rsid w:val="7CED7DC5"/>
    <w:rsid w:val="7D0F76D8"/>
    <w:rsid w:val="7E3420E0"/>
    <w:rsid w:val="7F1B3618"/>
    <w:rsid w:val="7F3A0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 w:type="character" w:customStyle="1" w:styleId="17">
    <w:name w:val="font21"/>
    <w:basedOn w:val="13"/>
    <w:qFormat/>
    <w:uiPriority w:val="0"/>
    <w:rPr>
      <w:rFonts w:hint="eastAsia" w:ascii="宋体" w:hAnsi="宋体" w:eastAsia="宋体" w:cs="宋体"/>
      <w:strike/>
      <w:color w:val="FF0000"/>
      <w:sz w:val="20"/>
      <w:szCs w:val="20"/>
    </w:rPr>
  </w:style>
  <w:style w:type="character" w:customStyle="1" w:styleId="18">
    <w:name w:val="font71"/>
    <w:basedOn w:val="13"/>
    <w:qFormat/>
    <w:uiPriority w:val="0"/>
    <w:rPr>
      <w:rFonts w:ascii="仿宋_GB2312" w:eastAsia="仿宋_GB2312" w:cs="仿宋_GB2312"/>
      <w:color w:val="000000"/>
      <w:sz w:val="22"/>
      <w:szCs w:val="22"/>
      <w:u w:val="none"/>
    </w:rPr>
  </w:style>
  <w:style w:type="character" w:customStyle="1" w:styleId="19">
    <w:name w:val="font41"/>
    <w:basedOn w:val="13"/>
    <w:qFormat/>
    <w:uiPriority w:val="0"/>
    <w:rPr>
      <w:rFonts w:hint="eastAsia" w:ascii="宋体" w:hAnsi="宋体" w:eastAsia="宋体" w:cs="宋体"/>
      <w:color w:val="000000"/>
      <w:sz w:val="22"/>
      <w:szCs w:val="22"/>
      <w:u w:val="none"/>
    </w:rPr>
  </w:style>
  <w:style w:type="character" w:customStyle="1" w:styleId="20">
    <w:name w:val="font51"/>
    <w:basedOn w:val="13"/>
    <w:qFormat/>
    <w:uiPriority w:val="0"/>
    <w:rPr>
      <w:rFonts w:hint="eastAsia" w:ascii="宋体" w:hAnsi="宋体" w:eastAsia="宋体" w:cs="宋体"/>
      <w:b/>
      <w:bCs/>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1419</Words>
  <Characters>1552</Characters>
  <Lines>0</Lines>
  <Paragraphs>0</Paragraphs>
  <TotalTime>77</TotalTime>
  <ScaleCrop>false</ScaleCrop>
  <LinksUpToDate>false</LinksUpToDate>
  <CharactersWithSpaces>1596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cp:lastPrinted>2024-08-29T06:40:00Z</cp:lastPrinted>
  <dcterms:modified xsi:type="dcterms:W3CDTF">2026-02-11T02:34:41Z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4AA065EA103E49D3BC0E37A57402CED4</vt:lpwstr>
  </property>
  <property fmtid="{D5CDD505-2E9C-101B-9397-08002B2CF9AE}" pid="4" name="KSOTemplateDocerSaveRecord">
    <vt:lpwstr>eyJoZGlkIjoiYzBhNDRiMWEyNzgyMzNiNGQ2YWM5MGU3Mjg0NWEwNzIiLCJ1c2VySWQiOiI3MDM5OTYzMzMifQ==</vt:lpwstr>
  </property>
</Properties>
</file>