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line="360" w:lineRule="auto"/>
        <w:jc w:val="center"/>
        <w:textAlignment w:val="auto"/>
        <w:rPr>
          <w:rFonts w:hint="default" w:ascii="宋体" w:hAnsi="宋体" w:eastAsia="宋体" w:cs="宋体"/>
          <w:b/>
          <w:bCs/>
          <w:color w:val="000000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sz w:val="36"/>
          <w:szCs w:val="36"/>
          <w:highlight w:val="none"/>
          <w:lang w:eastAsia="zh-CN"/>
        </w:rPr>
        <w:t>云南送变电工程有限公司能源开发分公司2026年昆明市五华区光华街62号房</w:t>
      </w:r>
      <w:r>
        <w:rPr>
          <w:rFonts w:hint="eastAsia" w:ascii="宋体" w:hAnsi="宋体" w:cs="宋体"/>
          <w:b/>
          <w:bCs/>
          <w:color w:val="000000"/>
          <w:sz w:val="36"/>
          <w:szCs w:val="36"/>
          <w:highlight w:val="none"/>
          <w:lang w:val="en-US" w:eastAsia="zh-CN"/>
        </w:rPr>
        <w:t>产</w:t>
      </w:r>
      <w:r>
        <w:rPr>
          <w:rFonts w:hint="eastAsia" w:ascii="宋体" w:hAnsi="宋体" w:cs="宋体"/>
          <w:b/>
          <w:bCs/>
          <w:color w:val="000000"/>
          <w:sz w:val="36"/>
          <w:szCs w:val="36"/>
          <w:highlight w:val="none"/>
          <w:lang w:eastAsia="zh-CN"/>
        </w:rPr>
        <w:t>修缮工程项目</w:t>
      </w:r>
      <w:r>
        <w:rPr>
          <w:rFonts w:hint="eastAsia" w:ascii="宋体" w:hAnsi="宋体" w:cs="宋体"/>
          <w:b/>
          <w:bCs/>
          <w:color w:val="000000"/>
          <w:sz w:val="36"/>
          <w:szCs w:val="36"/>
          <w:highlight w:val="none"/>
          <w:lang w:val="en-US" w:eastAsia="zh-CN"/>
        </w:rPr>
        <w:t>可研</w:t>
      </w:r>
      <w:r>
        <w:rPr>
          <w:rFonts w:hint="eastAsia" w:ascii="宋体" w:hAnsi="宋体" w:cs="宋体"/>
          <w:b/>
          <w:bCs/>
          <w:color w:val="000000"/>
          <w:sz w:val="36"/>
          <w:szCs w:val="36"/>
          <w:highlight w:val="none"/>
          <w:lang w:eastAsia="zh-CN"/>
        </w:rPr>
        <w:t>服务类</w:t>
      </w:r>
      <w:r>
        <w:rPr>
          <w:rFonts w:hint="eastAsia" w:ascii="宋体" w:hAnsi="宋体" w:cs="宋体"/>
          <w:b/>
          <w:bCs/>
          <w:color w:val="000000"/>
          <w:sz w:val="36"/>
          <w:szCs w:val="36"/>
          <w:highlight w:val="none"/>
          <w:lang w:val="en-US" w:eastAsia="zh-CN"/>
        </w:rPr>
        <w:t>零星采购</w:t>
      </w:r>
    </w:p>
    <w:p>
      <w:pPr>
        <w:pStyle w:val="3"/>
        <w:bidi w:val="0"/>
        <w:jc w:val="center"/>
        <w:rPr>
          <w:rFonts w:hint="eastAsia"/>
          <w:lang w:val="en-US" w:eastAsia="zh-CN"/>
        </w:rPr>
      </w:pPr>
    </w:p>
    <w:p>
      <w:pPr>
        <w:pStyle w:val="3"/>
        <w:bidi w:val="0"/>
        <w:jc w:val="center"/>
        <w:rPr>
          <w:rFonts w:hint="eastAsia"/>
          <w:lang w:val="en-US" w:eastAsia="zh-CN"/>
        </w:rPr>
      </w:pPr>
    </w:p>
    <w:p>
      <w:pPr>
        <w:pStyle w:val="3"/>
        <w:bidi w:val="0"/>
        <w:jc w:val="center"/>
        <w:rPr>
          <w:rFonts w:hint="eastAsia"/>
          <w:lang w:val="en-US" w:eastAsia="zh-CN"/>
        </w:rPr>
      </w:pPr>
    </w:p>
    <w:p>
      <w:pPr>
        <w:pStyle w:val="3"/>
        <w:bidi w:val="0"/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技术规范书</w:t>
      </w:r>
    </w:p>
    <w:p>
      <w:pPr>
        <w:rPr>
          <w:rFonts w:hint="eastAsia"/>
          <w:sz w:val="36"/>
          <w:szCs w:val="36"/>
          <w:lang w:val="en-US" w:eastAsia="zh-CN"/>
        </w:rPr>
      </w:pPr>
    </w:p>
    <w:p>
      <w:pPr>
        <w:rPr>
          <w:rFonts w:hint="eastAsia"/>
          <w:sz w:val="36"/>
          <w:szCs w:val="36"/>
          <w:lang w:val="en-US" w:eastAsia="zh-CN"/>
        </w:rPr>
      </w:pPr>
    </w:p>
    <w:p>
      <w:pPr>
        <w:rPr>
          <w:rFonts w:hint="eastAsia"/>
          <w:sz w:val="36"/>
          <w:szCs w:val="36"/>
          <w:lang w:val="en-US" w:eastAsia="zh-CN"/>
        </w:rPr>
      </w:pPr>
    </w:p>
    <w:p>
      <w:pPr>
        <w:rPr>
          <w:rFonts w:hint="eastAsia"/>
          <w:sz w:val="36"/>
          <w:szCs w:val="36"/>
          <w:lang w:val="en-US" w:eastAsia="zh-CN"/>
        </w:rPr>
      </w:pPr>
    </w:p>
    <w:p>
      <w:pPr>
        <w:rPr>
          <w:rFonts w:hint="eastAsia"/>
          <w:sz w:val="36"/>
          <w:szCs w:val="36"/>
          <w:lang w:val="en-US" w:eastAsia="zh-CN"/>
        </w:rPr>
      </w:pPr>
    </w:p>
    <w:p>
      <w:pPr>
        <w:rPr>
          <w:rFonts w:hint="eastAsia"/>
          <w:sz w:val="36"/>
          <w:szCs w:val="36"/>
          <w:lang w:val="en-US" w:eastAsia="zh-CN"/>
        </w:rPr>
      </w:pPr>
    </w:p>
    <w:p>
      <w:pPr>
        <w:rPr>
          <w:rFonts w:hint="eastAsia"/>
          <w:sz w:val="36"/>
          <w:szCs w:val="36"/>
          <w:lang w:val="en-US" w:eastAsia="zh-CN"/>
        </w:rPr>
      </w:pPr>
    </w:p>
    <w:p>
      <w:pPr>
        <w:pStyle w:val="3"/>
        <w:bidi w:val="0"/>
        <w:jc w:val="center"/>
        <w:rPr>
          <w:rFonts w:hint="eastAsia" w:asciiTheme="minorEastAsia" w:hAnsiTheme="minorEastAsia" w:eastAsiaTheme="minorEastAsia" w:cstheme="minorEastAsia"/>
          <w:b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sz w:val="36"/>
          <w:szCs w:val="36"/>
          <w:lang w:val="en-US" w:eastAsia="zh-CN"/>
        </w:rPr>
        <w:t>2026年</w:t>
      </w:r>
      <w:r>
        <w:rPr>
          <w:rFonts w:hint="eastAsia" w:asciiTheme="minorEastAsia" w:hAnsiTheme="minorEastAsia" w:cstheme="minorEastAsia"/>
          <w:b/>
          <w:sz w:val="36"/>
          <w:szCs w:val="36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b/>
          <w:sz w:val="36"/>
          <w:szCs w:val="36"/>
          <w:lang w:val="en-US" w:eastAsia="zh-CN"/>
        </w:rPr>
        <w:t>月</w:t>
      </w:r>
      <w:r>
        <w:rPr>
          <w:rFonts w:hint="eastAsia" w:asciiTheme="minorEastAsia" w:hAnsiTheme="minorEastAsia" w:cstheme="minorEastAsia"/>
          <w:b/>
          <w:sz w:val="36"/>
          <w:szCs w:val="36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b/>
          <w:sz w:val="36"/>
          <w:szCs w:val="36"/>
          <w:lang w:val="en-US" w:eastAsia="zh-CN"/>
        </w:rPr>
        <w:t>日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>
      <w:pPr>
        <w:pStyle w:val="5"/>
        <w:numPr>
          <w:ilvl w:val="0"/>
          <w:numId w:val="0"/>
        </w:numPr>
        <w:bidi w:val="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一、项目概述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</w:t>
      </w:r>
      <w:r>
        <w:rPr>
          <w:rFonts w:ascii="宋体" w:hAnsi="宋体" w:eastAsia="宋体" w:cs="宋体"/>
          <w:sz w:val="28"/>
          <w:szCs w:val="28"/>
        </w:rPr>
        <w:t>项目名称：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云南送变电工程有限公司能源开发分公司2026年昆明市</w:t>
      </w:r>
      <w:r>
        <w:rPr>
          <w:rFonts w:hint="eastAsia" w:ascii="宋体" w:hAnsi="宋体" w:eastAsia="宋体" w:cs="宋体"/>
          <w:sz w:val="28"/>
          <w:szCs w:val="28"/>
        </w:rPr>
        <w:t>五华区光华街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62</w:t>
      </w:r>
      <w:r>
        <w:rPr>
          <w:rFonts w:hint="eastAsia" w:ascii="宋体" w:hAnsi="宋体" w:eastAsia="宋体" w:cs="宋体"/>
          <w:sz w:val="28"/>
          <w:szCs w:val="28"/>
        </w:rPr>
        <w:t>号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房产</w:t>
      </w:r>
      <w:r>
        <w:rPr>
          <w:rFonts w:hint="eastAsia" w:ascii="宋体" w:hAnsi="宋体" w:eastAsia="宋体" w:cs="宋体"/>
          <w:sz w:val="28"/>
          <w:szCs w:val="28"/>
        </w:rPr>
        <w:t>修缮工程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项目可研服务类零星采购。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</w:t>
      </w:r>
      <w:r>
        <w:rPr>
          <w:rFonts w:ascii="宋体" w:hAnsi="宋体" w:eastAsia="宋体" w:cs="宋体"/>
          <w:sz w:val="28"/>
          <w:szCs w:val="28"/>
        </w:rPr>
        <w:t>时代特征：上世纪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</w:t>
      </w:r>
      <w:r>
        <w:rPr>
          <w:rFonts w:ascii="宋体" w:hAnsi="宋体" w:eastAsia="宋体" w:cs="宋体"/>
          <w:sz w:val="28"/>
          <w:szCs w:val="28"/>
        </w:rPr>
        <w:t>0年代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</w:t>
      </w:r>
      <w:r>
        <w:rPr>
          <w:rFonts w:ascii="宋体" w:hAnsi="宋体" w:eastAsia="宋体" w:cs="宋体"/>
          <w:sz w:val="28"/>
          <w:szCs w:val="28"/>
        </w:rPr>
        <w:t>地理位置：位于昆明市五华区光华街核心区域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62号</w:t>
      </w:r>
      <w:r>
        <w:rPr>
          <w:rFonts w:ascii="宋体" w:hAnsi="宋体" w:eastAsia="宋体" w:cs="宋体"/>
          <w:sz w:val="28"/>
          <w:szCs w:val="28"/>
        </w:rPr>
        <w:t>，隶属昆明老街历史街区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4、房屋概述：</w:t>
      </w:r>
      <w:r>
        <w:rPr>
          <w:rFonts w:hint="eastAsia" w:ascii="宋体" w:hAnsi="宋体" w:eastAsia="宋体" w:cs="宋体"/>
          <w:sz w:val="28"/>
          <w:szCs w:val="28"/>
        </w:rPr>
        <w:t>该建筑占地面积133平方米，建筑面积311.25平方米，三层砖木结构。鉴于其位于历史街区，建筑年代久远，具有特定的时代风貌特征，修缮工作需兼顾结构安全与风貌保护。</w:t>
      </w:r>
    </w:p>
    <w:p>
      <w:pPr>
        <w:pStyle w:val="5"/>
        <w:numPr>
          <w:ilvl w:val="0"/>
          <w:numId w:val="0"/>
        </w:numPr>
        <w:bidi w:val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二、技术要求</w:t>
      </w:r>
    </w:p>
    <w:p>
      <w:pPr>
        <w:rPr>
          <w:rFonts w:hint="default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2.1 总体原则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实施单位必须遵循“不改变文物原状”及“最小干预”原则，可研深度需符合五华区人民政府及历史街区保护管理部门的规定，确保在提升建筑安全性与使用功能的同时，维护历史风貌的真实性与完整性。</w:t>
      </w:r>
    </w:p>
    <w:p>
      <w:pP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在编制可研报告前须完成以下基础工作，其成果作为可研报告的附件及依据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现状精准勘察与测绘：进行现场详细踏勘。由于原竣工图可能缺失，中标方需提供包含建筑、结构（含梁、柱、屋架）、给排水、电气等专业的现状实测图纸或复原文件，精度需满足修缮设计要求。</w:t>
      </w:r>
    </w:p>
    <w:p>
      <w:pPr>
        <w:ind w:firstLine="560" w:firstLineChars="200"/>
        <w:rPr>
          <w:rFonts w:hint="eastAsia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结构检测与鉴定：必须委托有资质的检测机构，按《既有建筑鉴定与加固通用规范》等标准进行全面的结构检测、监测和安全性鉴定，出具具有法律效力的鉴定报告，明确结构现状等级及存在的隐患。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3. 历史资料与工艺研究：收集历史资料、照片及历次维修记录，判别建筑原有的材料（如木材种类、砖瓦规格）、原工艺，为制定科学修缮方案提供依据。</w:t>
      </w:r>
    </w:p>
    <w:p>
      <w:pP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可研报告编制深度要求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根据《投资项目可行性研究报告编写通用大纲》及相关规定，报告需包含但不限于以下核心内容，且需针对历史建筑特性进行深化：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· 第1章 项目建设背景、需求分析及产出方案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 xml:space="preserve">  · 修缮必要性分析：结合结构鉴定报告，详细论证建筑在安全性、抗震性、防潮防腐等方面的紧迫性。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 xml:space="preserve">  · 公共安全与功能提升：说明项目对于消除周边公共安全隐患、完善现代化使用功能（如电气线路改造、消防设施增设）的必要性。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· 第2章 项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目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要素保障：分析地块与历史街区的协调性，明确水、电、路等市政配套接入条件。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· 第3章 项目建设方案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 xml:space="preserve">  · 工程规模与修缮范围：明确界定修缮边界，如：大木作（梁柱加固或更换）、小木作（门窗修复）、瓦作（屋面翻修）、墙体修缮、彩绘或装饰构件修复等。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 xml:space="preserve">  · 技术措施：提出针对性的修缮工艺，如木结构防腐防虫、墙体加固、屋面防水及恢复原貌等，需具备科学性与可操作性。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· 第4章 项目运营方案：提出修缮后的使用管理建议，确保长期维护。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· 第5章 项目财务方案：包含投资估算、资金筹措及财务分析。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· 第6章 项目影响效果分析：分析施工期间对周边老街居民、商户的影响及应对措施，评估对历史街区风貌的社会效益。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· 第7章 项目风险管控方案：识别历史建筑修缮中可能遇到的不确定因素及应对预案。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· 第8章 研究结论及建议：给出明确的可行性结论及后续实施建议。</w:t>
      </w:r>
    </w:p>
    <w:p>
      <w:p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三、资质要求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1. 企业资质：具备工程咨询单位乙级资信证书（建筑专业）或工程咨询单位甲级资信证书（建筑专业）或工程咨询单位综合甲级资信证书。</w:t>
      </w:r>
    </w:p>
    <w:p>
      <w:p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四、特殊要求与服务承诺</w:t>
      </w:r>
    </w:p>
    <w:p>
      <w:pPr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1 、响应与交付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鉴于本项目工期紧迫，中标方需承诺在取得中标通知书（或成交通知书）后 【10个日历日内】 提交完整的可行性研究报告（送审稿）。</w:t>
      </w:r>
    </w:p>
    <w:p>
      <w:pPr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2、无条件修改与配合机制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1. 全流程配合：在报告编制及评审期间，中标方需指派项目负责人常驻或随时响应，对接业主单位、五华区相关主管部门（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含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住建局、自然资源局、街道办）及评审专家。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2. 无条件修改：如因政策调整、评审意见或业主方需求变化导致报告内容需调整，中标方须在收到修改通知后 【24小时内】 启动修改工作，并在指定时限内完成，不得以任何理由推诿或增加费用。修改范围包括但不限于：文本表述、技术方案、投资估算及图纸调整。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3. 过程文件提交：在正式报告提交前，需按业主需求分阶段提交中间成果（如勘察报告、初步方案、估算初稿）以供审查，确保最终成果一次性通过评审。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4.质量兜底承诺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中标方需对可研报告的质量负责，确保：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1. 数据真实：现状测绘、结构检测数据必须真实准确，严禁编造。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2. 方案合规：提出的修缮技术方案必须符合国家及地方关于历史建筑保护、结构安全、消防等相关法律法规及技术标准。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3. 成果适用：可研报告的深度必须满足后续初步设计和施工图设计招标的要求。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4.4 知识产权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中标方提交的所有成果（包括文本、图纸、检测数据等）的知识产权归业主单位所有，中标方不得擅自用于其他项目或对外泄露。</w:t>
      </w:r>
    </w:p>
    <w:p>
      <w:pPr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253433"/>
    <w:rsid w:val="363E39F5"/>
    <w:rsid w:val="42D944B7"/>
    <w:rsid w:val="5A1029CA"/>
    <w:rsid w:val="5F8A70D1"/>
    <w:rsid w:val="678D2C9F"/>
    <w:rsid w:val="76DA7DD0"/>
    <w:rsid w:val="7CE40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1"/>
    </w:pPr>
    <w:rPr>
      <w:rFonts w:ascii="Arial" w:hAnsi="Arial" w:eastAsia="宋体"/>
      <w:sz w:val="36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  <w:rPr>
      <w:rFonts w:asci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2026-03-13T02:08:00Z</dcterms:created>
  <dc:creator>admin</dc:creator>
  <cp:lastModifiedBy>1A82AF80EE1B612DE05337050A0A5922</cp:lastModifiedBy>
  <dcterms:modified xsi:type="dcterms:W3CDTF">2026-04-08T03:04:49Z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KSOTemplateDocerSaveRecord">
    <vt:lpwstr>eyJoZGlkIjoiY2EwZjM4ZjRmOGM3YWIxOWY1Njc0OWJjZjhhYzhkZTgiLCJ1c2VySWQiOiI0NDAwOTgzOTkifQ==</vt:lpwstr>
  </property>
  <property fmtid="{D5CDD505-2E9C-101B-9397-08002B2CF9AE}" pid="4" name="ICV">
    <vt:lpwstr>4FD068E29B6946009CC875AA4585CFD6</vt:lpwstr>
  </property>
</Properties>
</file>