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63DBCC">
      <w:pPr>
        <w:adjustRightInd w:val="0"/>
        <w:spacing w:line="360" w:lineRule="auto"/>
        <w:jc w:val="center"/>
        <w:outlineLvl w:val="9"/>
        <w:rPr>
          <w:rFonts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lang w:val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</w:rPr>
        <w:t>（正安供电局202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</w:rPr>
        <w:t>年房屋租赁）技术要求</w:t>
      </w:r>
    </w:p>
    <w:p w14:paraId="44876622">
      <w:pPr>
        <w:tabs>
          <w:tab w:val="left" w:pos="570"/>
        </w:tabs>
        <w:autoSpaceDE w:val="0"/>
        <w:autoSpaceDN w:val="0"/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bCs/>
          <w:snapToGrid w:val="0"/>
          <w:color w:val="auto"/>
          <w:kern w:val="0"/>
          <w:sz w:val="24"/>
          <w:lang w:val="zh-CN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4"/>
          <w:lang w:val="zh-CN"/>
        </w:rPr>
        <w:t>1  项目概况</w:t>
      </w:r>
    </w:p>
    <w:p w14:paraId="76CC85BC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1.1  项目名称:正安供电局202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en-US" w:eastAsia="zh-CN"/>
        </w:rPr>
        <w:t>6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年房屋租赁（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en-US" w:eastAsia="zh-CN"/>
        </w:rPr>
        <w:t>第1套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）</w:t>
      </w:r>
    </w:p>
    <w:p w14:paraId="7FC00DC3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bCs/>
          <w:snapToGrid w:val="0"/>
          <w:color w:val="auto"/>
          <w:kern w:val="0"/>
          <w:sz w:val="24"/>
          <w:lang w:val="zh-CN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1.2  项目简述:租赁周转房住房一套（适宜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en-US" w:eastAsia="zh-CN"/>
        </w:rPr>
        <w:t>2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人入住）</w:t>
      </w:r>
    </w:p>
    <w:p w14:paraId="66CEA3F6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1.3  项目地点：贵州省遵义市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 w:eastAsia="zh-CN"/>
        </w:rPr>
        <w:t>正安县城区（解放街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en-US" w:eastAsia="zh-CN"/>
        </w:rPr>
        <w:t>周边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 w:eastAsia="zh-CN"/>
        </w:rPr>
        <w:t>）</w:t>
      </w:r>
    </w:p>
    <w:p w14:paraId="45A062DC"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4"/>
          <w:lang w:val="en-US" w:eastAsia="zh-CN"/>
        </w:rPr>
        <w:t>2</w: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4"/>
          <w:lang w:val="zh-CN"/>
        </w:rPr>
        <w:t xml:space="preserve">  对承包商的资质等级要求</w:t>
      </w:r>
    </w:p>
    <w:p w14:paraId="4892ABD3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outlineLvl w:val="9"/>
        <w:rPr>
          <w:rFonts w:hint="default" w:ascii="宋体" w:hAnsi="宋体" w:eastAsia="宋体" w:cs="宋体"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2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zh-CN"/>
        </w:rPr>
        <w:t xml:space="preserve">.1  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资质等级：房屋需有合法的权属证明（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 w:eastAsia="zh-CN"/>
        </w:rPr>
        <w:t>产权证书或者购房合同等能够证明权属的文件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）。</w:t>
      </w:r>
    </w:p>
    <w:p w14:paraId="397FFBB5"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val="en-US" w:eastAsia="zh-CN"/>
        </w:rPr>
        <w:t>3</w:t>
      </w: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  <w:t xml:space="preserve">  项目租赁期</w:t>
      </w:r>
    </w:p>
    <w:p w14:paraId="3A99A230">
      <w:pPr>
        <w:tabs>
          <w:tab w:val="left" w:pos="360"/>
        </w:tabs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3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.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1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 xml:space="preserve">  计划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租赁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日期：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自合同签订履行之日起（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计划于2026年3月31日前完成签订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），租赁12个月</w:t>
      </w:r>
    </w:p>
    <w:p w14:paraId="7880ABB5">
      <w:pPr>
        <w:adjustRightInd w:val="0"/>
        <w:snapToGrid w:val="0"/>
        <w:spacing w:line="360" w:lineRule="auto"/>
        <w:ind w:firstLine="482" w:firstLineChars="200"/>
        <w:outlineLvl w:val="9"/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eastAsia="zh-CN"/>
        </w:rPr>
      </w:pP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val="en-US" w:eastAsia="zh-CN"/>
        </w:rPr>
        <w:t>4</w:t>
      </w: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  <w:t xml:space="preserve">  </w:t>
      </w: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eastAsia="zh-CN"/>
        </w:rPr>
        <w:t>房屋租金支付及相关费用</w:t>
      </w:r>
    </w:p>
    <w:p w14:paraId="66DA2591"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4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.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1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 xml:space="preserve">  房租支付方式：转账，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按年度一次性支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付。</w:t>
      </w:r>
    </w:p>
    <w:p w14:paraId="3FCC03EF"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4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.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2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 xml:space="preserve">  房租支付时间：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自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租赁合同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签订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生效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之日起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60个工作日内。</w:t>
      </w:r>
    </w:p>
    <w:p w14:paraId="717E9A34">
      <w:pPr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4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.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3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 xml:space="preserve">  相关费用：租赁房屋的物业管理费、因装饰装修及房屋设施物品的维修费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、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发票税费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等费用应由供应商自行负担。</w:t>
      </w:r>
    </w:p>
    <w:p w14:paraId="539A5847"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  <w:lang w:val="en-US" w:eastAsia="zh-CN"/>
        </w:rPr>
        <w:t>5</w:t>
      </w:r>
      <w:r>
        <w:rPr>
          <w:rFonts w:hint="eastAsia" w:ascii="宋体" w:hAnsi="宋体" w:eastAsia="宋体" w:cs="宋体"/>
          <w:b/>
          <w:snapToGrid w:val="0"/>
          <w:kern w:val="0"/>
          <w:sz w:val="24"/>
        </w:rPr>
        <w:t xml:space="preserve">  </w:t>
      </w:r>
      <w:r>
        <w:rPr>
          <w:rFonts w:hint="eastAsia" w:ascii="宋体" w:hAnsi="宋体" w:eastAsia="宋体" w:cs="宋体"/>
          <w:b/>
          <w:snapToGrid w:val="0"/>
          <w:kern w:val="0"/>
          <w:sz w:val="24"/>
          <w:lang w:eastAsia="zh-CN"/>
        </w:rPr>
        <w:t>房屋配置标准</w:t>
      </w:r>
    </w:p>
    <w:tbl>
      <w:tblPr>
        <w:tblStyle w:val="6"/>
        <w:tblW w:w="8459" w:type="dxa"/>
        <w:tblInd w:w="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60"/>
        <w:gridCol w:w="877"/>
        <w:gridCol w:w="3688"/>
        <w:gridCol w:w="2034"/>
      </w:tblGrid>
      <w:tr w14:paraId="3F30A9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</w:trPr>
        <w:tc>
          <w:tcPr>
            <w:tcW w:w="27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1086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项目</w:t>
            </w:r>
          </w:p>
        </w:tc>
        <w:tc>
          <w:tcPr>
            <w:tcW w:w="57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D04B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员工周转房配置标准</w:t>
            </w:r>
          </w:p>
        </w:tc>
      </w:tr>
      <w:tr w14:paraId="561067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27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D1EC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单套房屋使用原则及户型</w:t>
            </w:r>
          </w:p>
        </w:tc>
        <w:tc>
          <w:tcPr>
            <w:tcW w:w="57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4935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两室一厅一卫一厨，确保卧室单人单间</w:t>
            </w:r>
          </w:p>
        </w:tc>
      </w:tr>
      <w:tr w14:paraId="5340CB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</w:trPr>
        <w:tc>
          <w:tcPr>
            <w:tcW w:w="27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F542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房屋建筑面积</w:t>
            </w:r>
          </w:p>
        </w:tc>
        <w:tc>
          <w:tcPr>
            <w:tcW w:w="57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3314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人均面积不超过50平方米</w:t>
            </w:r>
          </w:p>
        </w:tc>
      </w:tr>
      <w:tr w14:paraId="266637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27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958D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物业服务</w:t>
            </w:r>
          </w:p>
        </w:tc>
        <w:tc>
          <w:tcPr>
            <w:tcW w:w="57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7972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小区公共区域卫生、安保</w:t>
            </w:r>
          </w:p>
        </w:tc>
      </w:tr>
      <w:tr w14:paraId="265D38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845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FC31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房屋内基础物品配置标准</w:t>
            </w:r>
          </w:p>
        </w:tc>
      </w:tr>
      <w:tr w14:paraId="487AEF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exact"/>
          <w:tblHeader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12E0AF3F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</w:rPr>
              <w:t>序号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09EAD566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lang w:eastAsia="zh-CN"/>
              </w:rPr>
              <w:t>应配物品</w:t>
            </w:r>
          </w:p>
        </w:tc>
        <w:tc>
          <w:tcPr>
            <w:tcW w:w="2034" w:type="dxa"/>
            <w:shd w:val="clear" w:color="auto" w:fill="auto"/>
            <w:vAlign w:val="center"/>
          </w:tcPr>
          <w:p w14:paraId="3D3233BF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lang w:eastAsia="zh-CN"/>
              </w:rPr>
              <w:t>类型</w:t>
            </w:r>
          </w:p>
        </w:tc>
      </w:tr>
      <w:tr w14:paraId="1451AB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35C0452A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1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1D9B2186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床（含床垫）</w:t>
            </w:r>
          </w:p>
        </w:tc>
        <w:tc>
          <w:tcPr>
            <w:tcW w:w="2034" w:type="dxa"/>
            <w:vMerge w:val="restart"/>
            <w:shd w:val="clear" w:color="auto" w:fill="auto"/>
            <w:vAlign w:val="center"/>
          </w:tcPr>
          <w:p w14:paraId="014AD65C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  <w:t>家具</w:t>
            </w:r>
          </w:p>
        </w:tc>
      </w:tr>
      <w:tr w14:paraId="292144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4C2AA041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2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340BD43B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衣柜</w:t>
            </w:r>
          </w:p>
        </w:tc>
        <w:tc>
          <w:tcPr>
            <w:tcW w:w="2034" w:type="dxa"/>
            <w:vMerge w:val="continue"/>
            <w:shd w:val="clear" w:color="auto" w:fill="auto"/>
            <w:vAlign w:val="center"/>
          </w:tcPr>
          <w:p w14:paraId="23AC77D4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2BA809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7E1ED4EA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3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0C813216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桌（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  <w:t>书桌、餐桌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）</w:t>
            </w:r>
          </w:p>
        </w:tc>
        <w:tc>
          <w:tcPr>
            <w:tcW w:w="2034" w:type="dxa"/>
            <w:vMerge w:val="continue"/>
            <w:shd w:val="clear" w:color="auto" w:fill="auto"/>
            <w:vAlign w:val="center"/>
          </w:tcPr>
          <w:p w14:paraId="4F86D2D1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272BBE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68DB823B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4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1C2218DE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椅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  <w:t>子</w:t>
            </w:r>
          </w:p>
        </w:tc>
        <w:tc>
          <w:tcPr>
            <w:tcW w:w="2034" w:type="dxa"/>
            <w:vMerge w:val="continue"/>
            <w:shd w:val="clear" w:color="auto" w:fill="auto"/>
            <w:vAlign w:val="center"/>
          </w:tcPr>
          <w:p w14:paraId="0C1BCFA9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00DA86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21F25CB5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5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04070477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空调</w:t>
            </w:r>
          </w:p>
        </w:tc>
        <w:tc>
          <w:tcPr>
            <w:tcW w:w="2034" w:type="dxa"/>
            <w:vMerge w:val="restart"/>
            <w:shd w:val="clear" w:color="auto" w:fill="auto"/>
            <w:vAlign w:val="center"/>
          </w:tcPr>
          <w:p w14:paraId="39D9A6BD">
            <w:pPr>
              <w:spacing w:line="240" w:lineRule="exact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  <w:t>家电</w:t>
            </w:r>
          </w:p>
        </w:tc>
      </w:tr>
      <w:tr w14:paraId="43BA07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6753B524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6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51D13C24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洗衣机</w:t>
            </w:r>
          </w:p>
        </w:tc>
        <w:tc>
          <w:tcPr>
            <w:tcW w:w="2034" w:type="dxa"/>
            <w:vMerge w:val="continue"/>
            <w:shd w:val="clear" w:color="auto" w:fill="auto"/>
            <w:vAlign w:val="center"/>
          </w:tcPr>
          <w:p w14:paraId="3F4F9525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6BBC8F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7BE59618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7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1A487C04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热水器</w:t>
            </w:r>
          </w:p>
        </w:tc>
        <w:tc>
          <w:tcPr>
            <w:tcW w:w="2034" w:type="dxa"/>
            <w:vMerge w:val="continue"/>
            <w:shd w:val="clear" w:color="auto" w:fill="auto"/>
            <w:vAlign w:val="center"/>
          </w:tcPr>
          <w:p w14:paraId="0974240E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2B4572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</w:tblPrEx>
        <w:trPr>
          <w:trHeight w:val="492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0FB4381D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8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7A40BAB3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烧水壶</w:t>
            </w:r>
          </w:p>
        </w:tc>
        <w:tc>
          <w:tcPr>
            <w:tcW w:w="2034" w:type="dxa"/>
            <w:vMerge w:val="restart"/>
            <w:shd w:val="clear" w:color="auto" w:fill="auto"/>
            <w:vAlign w:val="center"/>
          </w:tcPr>
          <w:p w14:paraId="0C492C11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  <w:t>生活用品</w:t>
            </w:r>
          </w:p>
        </w:tc>
      </w:tr>
      <w:tr w14:paraId="3A97A7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3C31C7F8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9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16BA1FA5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窗帘</w:t>
            </w:r>
          </w:p>
        </w:tc>
        <w:tc>
          <w:tcPr>
            <w:tcW w:w="2034" w:type="dxa"/>
            <w:vMerge w:val="continue"/>
            <w:shd w:val="clear" w:color="auto" w:fill="auto"/>
            <w:vAlign w:val="center"/>
          </w:tcPr>
          <w:p w14:paraId="077D5C4D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2098E6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</w:tblPrEx>
        <w:trPr>
          <w:trHeight w:val="475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24BA8128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10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28694358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垃圾桶</w:t>
            </w:r>
          </w:p>
        </w:tc>
        <w:tc>
          <w:tcPr>
            <w:tcW w:w="2034" w:type="dxa"/>
            <w:vMerge w:val="continue"/>
            <w:shd w:val="clear" w:color="auto" w:fill="auto"/>
            <w:vAlign w:val="center"/>
          </w:tcPr>
          <w:p w14:paraId="6EB6799F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</w:tr>
    </w:tbl>
    <w:p w14:paraId="29BAF750">
      <w:pPr>
        <w:adjustRightInd w:val="0"/>
        <w:snapToGrid w:val="0"/>
        <w:spacing w:line="360" w:lineRule="auto"/>
        <w:ind w:firstLine="482" w:firstLineChars="200"/>
        <w:outlineLvl w:val="9"/>
        <w:rPr>
          <w:rFonts w:hint="eastAsia" w:ascii="宋体" w:hAnsi="宋体" w:eastAsia="宋体" w:cs="宋体"/>
          <w:b/>
          <w:snapToGrid w:val="0"/>
          <w:kern w:val="0"/>
          <w:sz w:val="24"/>
          <w:lang w:val="en-US" w:eastAsia="zh-CN"/>
        </w:rPr>
      </w:pPr>
    </w:p>
    <w:p w14:paraId="613A8D83"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  <w:lang w:val="en-US" w:eastAsia="zh-CN"/>
        </w:rPr>
        <w:t>6</w:t>
      </w:r>
      <w:r>
        <w:rPr>
          <w:rFonts w:hint="eastAsia" w:ascii="宋体" w:hAnsi="宋体" w:eastAsia="宋体" w:cs="宋体"/>
          <w:b/>
          <w:snapToGrid w:val="0"/>
          <w:kern w:val="0"/>
          <w:sz w:val="24"/>
        </w:rPr>
        <w:t xml:space="preserve">  踏勘现场</w:t>
      </w:r>
    </w:p>
    <w:p w14:paraId="3C329FB9">
      <w:pPr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snapToGrid w:val="0"/>
          <w:kern w:val="0"/>
          <w:sz w:val="24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6</w:t>
      </w:r>
      <w:r>
        <w:rPr>
          <w:rFonts w:hint="eastAsia" w:ascii="宋体" w:hAnsi="宋体" w:eastAsia="宋体" w:cs="宋体"/>
          <w:snapToGrid w:val="0"/>
          <w:kern w:val="0"/>
          <w:sz w:val="24"/>
        </w:rPr>
        <w:t>.1  踏勘现场：</w:t>
      </w: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合同签订前，正安</w:t>
      </w:r>
      <w:r>
        <w:rPr>
          <w:rFonts w:hint="eastAsia" w:ascii="宋体" w:hAnsi="宋体" w:eastAsia="宋体" w:cs="宋体"/>
          <w:snapToGrid w:val="0"/>
          <w:kern w:val="0"/>
          <w:sz w:val="24"/>
          <w:lang w:eastAsia="zh-CN"/>
        </w:rPr>
        <w:t>供电局工作人员现场查看房产证明及房屋配套实施等是否符合要求。</w:t>
      </w:r>
      <w:r>
        <w:rPr>
          <w:rFonts w:hint="eastAsia" w:eastAsia="宋体" w:cs="Calibri"/>
          <w:snapToGrid w:val="0"/>
          <w:kern w:val="0"/>
          <w:sz w:val="24"/>
          <w:lang w:eastAsia="zh-CN"/>
        </w:rPr>
        <w:t>双方核对水电气起始示度。</w:t>
      </w:r>
    </w:p>
    <w:p w14:paraId="78B4342C">
      <w:pPr>
        <w:adjustRightInd w:val="0"/>
        <w:snapToGrid w:val="0"/>
        <w:spacing w:line="360" w:lineRule="auto"/>
        <w:ind w:firstLine="482" w:firstLineChars="200"/>
        <w:outlineLvl w:val="9"/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val="en-US" w:eastAsia="zh-CN"/>
        </w:rPr>
        <w:t>7</w:t>
      </w: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  <w:t xml:space="preserve">  技术标准</w:t>
      </w:r>
    </w:p>
    <w:p w14:paraId="1EF44E70">
      <w:pPr>
        <w:adjustRightInd w:val="0"/>
        <w:snapToGrid w:val="0"/>
        <w:spacing w:line="360" w:lineRule="auto"/>
        <w:ind w:firstLine="480" w:firstLineChars="200"/>
        <w:outlineLvl w:val="9"/>
        <w:rPr>
          <w:rFonts w:hint="default" w:ascii="宋体" w:hAnsi="宋体" w:eastAsia="宋体" w:cs="宋体"/>
          <w:snapToGrid w:val="0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7</w:t>
      </w:r>
      <w:r>
        <w:rPr>
          <w:rFonts w:hint="eastAsia" w:ascii="宋体" w:hAnsi="宋体" w:eastAsia="宋体" w:cs="宋体"/>
          <w:snapToGrid w:val="0"/>
          <w:kern w:val="0"/>
          <w:sz w:val="24"/>
        </w:rPr>
        <w:t xml:space="preserve">.1  </w:t>
      </w: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房屋位置：贵州省遵义市正安县城区范围内，距离入住人工作地点（</w:t>
      </w:r>
      <w:r>
        <w:rPr>
          <w:rFonts w:hint="eastAsia" w:ascii="宋体" w:hAnsi="宋体" w:eastAsia="宋体" w:cs="宋体"/>
          <w:snapToGrid w:val="0"/>
          <w:kern w:val="0"/>
          <w:sz w:val="24"/>
          <w:u w:val="single"/>
          <w:lang w:val="en-US" w:eastAsia="zh-CN"/>
        </w:rPr>
        <w:t>解放街南门坡正安供电局办公楼</w:t>
      </w: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）步行不超过30分钟。</w:t>
      </w:r>
    </w:p>
    <w:p w14:paraId="7178523E">
      <w:pPr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snapToGrid w:val="0"/>
          <w:kern w:val="0"/>
          <w:sz w:val="24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7</w:t>
      </w:r>
      <w:r>
        <w:rPr>
          <w:rFonts w:hint="eastAsia" w:ascii="宋体" w:hAnsi="宋体" w:eastAsia="宋体" w:cs="宋体"/>
          <w:snapToGrid w:val="0"/>
          <w:kern w:val="0"/>
          <w:sz w:val="24"/>
        </w:rPr>
        <w:t xml:space="preserve">.2  </w:t>
      </w:r>
      <w:r>
        <w:rPr>
          <w:rFonts w:hint="eastAsia" w:ascii="宋体" w:hAnsi="宋体" w:eastAsia="宋体" w:cs="宋体"/>
          <w:snapToGrid w:val="0"/>
          <w:kern w:val="0"/>
          <w:sz w:val="24"/>
          <w:lang w:eastAsia="zh-CN"/>
        </w:rPr>
        <w:t>房屋</w:t>
      </w: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物业服务：具备完善的小区卫生、安保服务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 w14:paraId="74EF6395">
      <w:pPr>
        <w:pStyle w:val="2"/>
        <w:ind w:firstLine="480" w:firstLineChars="200"/>
        <w:rPr>
          <w:rFonts w:hint="eastAsia" w:ascii="宋体" w:hAnsi="宋体" w:eastAsia="宋体" w:cs="宋体"/>
          <w:b w:val="0"/>
          <w:bCs/>
          <w:snapToGrid w:val="0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napToGrid w:val="0"/>
          <w:kern w:val="0"/>
          <w:sz w:val="24"/>
          <w:lang w:val="en-US" w:eastAsia="zh-CN"/>
        </w:rPr>
        <w:t>7</w:t>
      </w:r>
      <w:r>
        <w:rPr>
          <w:rFonts w:hint="eastAsia" w:ascii="宋体" w:hAnsi="宋体" w:eastAsia="宋体" w:cs="宋体"/>
          <w:b w:val="0"/>
          <w:bCs/>
          <w:snapToGrid w:val="0"/>
          <w:kern w:val="0"/>
          <w:sz w:val="24"/>
        </w:rPr>
        <w:t>.3</w:t>
      </w:r>
      <w:r>
        <w:rPr>
          <w:rFonts w:hint="eastAsia" w:ascii="宋体" w:hAnsi="宋体" w:eastAsia="宋体" w:cs="宋体"/>
          <w:b w:val="0"/>
          <w:bCs/>
          <w:snapToGrid w:val="0"/>
          <w:kern w:val="0"/>
          <w:sz w:val="24"/>
          <w:lang w:val="en-US" w:eastAsia="zh-CN"/>
        </w:rPr>
        <w:t xml:space="preserve">  房屋面积：建筑面积不超过100㎡，每间卧室面积符合基本生活起居条件。</w:t>
      </w:r>
    </w:p>
    <w:p w14:paraId="5BED12FA">
      <w:pPr>
        <w:pStyle w:val="2"/>
        <w:ind w:firstLine="480" w:firstLineChars="200"/>
        <w:rPr>
          <w:color w:val="FF0000"/>
        </w:rPr>
      </w:pPr>
      <w:r>
        <w:rPr>
          <w:rFonts w:hint="eastAsia" w:ascii="宋体" w:hAnsi="宋体" w:eastAsia="宋体" w:cs="宋体"/>
          <w:b w:val="0"/>
          <w:snapToGrid w:val="0"/>
          <w:color w:val="auto"/>
          <w:kern w:val="0"/>
          <w:sz w:val="24"/>
          <w:szCs w:val="24"/>
          <w:lang w:val="en-US" w:eastAsia="zh-CN" w:bidi="ar-SA"/>
        </w:rPr>
        <w:t>7.4  供应商应确保所提供的房屋无产权争议等权利瑕疵，房屋结构设施安全，周边环境卫生良好，此外，供应商应向采购方开具增值税专票，有关税率符合国家规定。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EF6C9A"/>
    <w:rsid w:val="014506BE"/>
    <w:rsid w:val="017D31AE"/>
    <w:rsid w:val="01D34AB4"/>
    <w:rsid w:val="020025F1"/>
    <w:rsid w:val="021402C7"/>
    <w:rsid w:val="02F8266E"/>
    <w:rsid w:val="035C0F1F"/>
    <w:rsid w:val="04823734"/>
    <w:rsid w:val="05965F58"/>
    <w:rsid w:val="05D46B0E"/>
    <w:rsid w:val="066F6E3E"/>
    <w:rsid w:val="069B6FAD"/>
    <w:rsid w:val="06C23F67"/>
    <w:rsid w:val="07884FBE"/>
    <w:rsid w:val="07C42B04"/>
    <w:rsid w:val="07CD605A"/>
    <w:rsid w:val="07DE24CD"/>
    <w:rsid w:val="08BC6070"/>
    <w:rsid w:val="0A4F2D2D"/>
    <w:rsid w:val="0AC0235E"/>
    <w:rsid w:val="0AC30636"/>
    <w:rsid w:val="0B611233"/>
    <w:rsid w:val="0B6C26C4"/>
    <w:rsid w:val="0BC754EB"/>
    <w:rsid w:val="0C0B7EC0"/>
    <w:rsid w:val="0CAA0BCF"/>
    <w:rsid w:val="0CE75980"/>
    <w:rsid w:val="0D125F2B"/>
    <w:rsid w:val="0D8B6C53"/>
    <w:rsid w:val="0DD51C7C"/>
    <w:rsid w:val="0E5071E6"/>
    <w:rsid w:val="0EBB70C4"/>
    <w:rsid w:val="0F112EFD"/>
    <w:rsid w:val="0F362BEE"/>
    <w:rsid w:val="0F76748F"/>
    <w:rsid w:val="0F93489C"/>
    <w:rsid w:val="104E002B"/>
    <w:rsid w:val="10B56D77"/>
    <w:rsid w:val="111220DC"/>
    <w:rsid w:val="115064FD"/>
    <w:rsid w:val="117652FE"/>
    <w:rsid w:val="1240138C"/>
    <w:rsid w:val="12605A80"/>
    <w:rsid w:val="12782A3F"/>
    <w:rsid w:val="13092D9D"/>
    <w:rsid w:val="13B56007"/>
    <w:rsid w:val="13EF6C9A"/>
    <w:rsid w:val="140E1078"/>
    <w:rsid w:val="1441391C"/>
    <w:rsid w:val="146305B8"/>
    <w:rsid w:val="147C0084"/>
    <w:rsid w:val="148F61D7"/>
    <w:rsid w:val="14926B64"/>
    <w:rsid w:val="14A32FC1"/>
    <w:rsid w:val="150572EB"/>
    <w:rsid w:val="15154D22"/>
    <w:rsid w:val="15396C74"/>
    <w:rsid w:val="15872361"/>
    <w:rsid w:val="15D849FF"/>
    <w:rsid w:val="15DD2016"/>
    <w:rsid w:val="166149F5"/>
    <w:rsid w:val="16832381"/>
    <w:rsid w:val="17160280"/>
    <w:rsid w:val="175C05FE"/>
    <w:rsid w:val="182D2D36"/>
    <w:rsid w:val="18332C0E"/>
    <w:rsid w:val="186C304B"/>
    <w:rsid w:val="18CC46DD"/>
    <w:rsid w:val="194358A1"/>
    <w:rsid w:val="19783916"/>
    <w:rsid w:val="1A0F145C"/>
    <w:rsid w:val="1A905DA4"/>
    <w:rsid w:val="1AAC1E50"/>
    <w:rsid w:val="1AD67034"/>
    <w:rsid w:val="1AE649D0"/>
    <w:rsid w:val="1B0E7879"/>
    <w:rsid w:val="1C205E70"/>
    <w:rsid w:val="1C391D6E"/>
    <w:rsid w:val="1C6C6EC6"/>
    <w:rsid w:val="1C8431EB"/>
    <w:rsid w:val="1CC64FCE"/>
    <w:rsid w:val="1D3111EA"/>
    <w:rsid w:val="1D3B5982"/>
    <w:rsid w:val="1E6756F9"/>
    <w:rsid w:val="1ECC7721"/>
    <w:rsid w:val="1F1545CE"/>
    <w:rsid w:val="1F2159B8"/>
    <w:rsid w:val="1FD9384E"/>
    <w:rsid w:val="1FDB321D"/>
    <w:rsid w:val="20075B68"/>
    <w:rsid w:val="201E3773"/>
    <w:rsid w:val="207C3B0F"/>
    <w:rsid w:val="21850DA4"/>
    <w:rsid w:val="21FF1D90"/>
    <w:rsid w:val="220C0F2A"/>
    <w:rsid w:val="225C65A2"/>
    <w:rsid w:val="226E29B9"/>
    <w:rsid w:val="230327EB"/>
    <w:rsid w:val="232B2612"/>
    <w:rsid w:val="23BE39DC"/>
    <w:rsid w:val="23CE7431"/>
    <w:rsid w:val="24217E53"/>
    <w:rsid w:val="24816BA0"/>
    <w:rsid w:val="24950212"/>
    <w:rsid w:val="24C774F3"/>
    <w:rsid w:val="24CD1739"/>
    <w:rsid w:val="25247191"/>
    <w:rsid w:val="25333A00"/>
    <w:rsid w:val="2541759E"/>
    <w:rsid w:val="25733DFD"/>
    <w:rsid w:val="270F48B4"/>
    <w:rsid w:val="27507E22"/>
    <w:rsid w:val="276969B7"/>
    <w:rsid w:val="280D24E3"/>
    <w:rsid w:val="28373D5D"/>
    <w:rsid w:val="291D29FD"/>
    <w:rsid w:val="295E0530"/>
    <w:rsid w:val="2975284D"/>
    <w:rsid w:val="2A583806"/>
    <w:rsid w:val="2A81520E"/>
    <w:rsid w:val="2AB85B20"/>
    <w:rsid w:val="2BB976CD"/>
    <w:rsid w:val="2BD31E24"/>
    <w:rsid w:val="2C0559CB"/>
    <w:rsid w:val="2C6E3E20"/>
    <w:rsid w:val="2D3D6E32"/>
    <w:rsid w:val="2D7B08C0"/>
    <w:rsid w:val="2DB54CC0"/>
    <w:rsid w:val="2F181DB2"/>
    <w:rsid w:val="2F4C4206"/>
    <w:rsid w:val="2FB32CCE"/>
    <w:rsid w:val="305A4537"/>
    <w:rsid w:val="30A720EF"/>
    <w:rsid w:val="30E044D8"/>
    <w:rsid w:val="30E52042"/>
    <w:rsid w:val="31A87524"/>
    <w:rsid w:val="32832337"/>
    <w:rsid w:val="32BC46AF"/>
    <w:rsid w:val="32DB6438"/>
    <w:rsid w:val="3300592E"/>
    <w:rsid w:val="33C2127A"/>
    <w:rsid w:val="34A82B6D"/>
    <w:rsid w:val="362215E2"/>
    <w:rsid w:val="364F30D0"/>
    <w:rsid w:val="36C76FDA"/>
    <w:rsid w:val="372018AA"/>
    <w:rsid w:val="37D90437"/>
    <w:rsid w:val="3851071E"/>
    <w:rsid w:val="389B0F95"/>
    <w:rsid w:val="38BC72FE"/>
    <w:rsid w:val="394A2C6F"/>
    <w:rsid w:val="39F26CBE"/>
    <w:rsid w:val="3A625E21"/>
    <w:rsid w:val="3A856A0F"/>
    <w:rsid w:val="3A985A30"/>
    <w:rsid w:val="3B2C5B93"/>
    <w:rsid w:val="3C4E2C1F"/>
    <w:rsid w:val="3CA63156"/>
    <w:rsid w:val="3DBD7EB3"/>
    <w:rsid w:val="3EEE60E1"/>
    <w:rsid w:val="3F6076B7"/>
    <w:rsid w:val="3F7D500C"/>
    <w:rsid w:val="3FC3156D"/>
    <w:rsid w:val="3FD81FED"/>
    <w:rsid w:val="4047499E"/>
    <w:rsid w:val="40634F2B"/>
    <w:rsid w:val="40795053"/>
    <w:rsid w:val="41395AA3"/>
    <w:rsid w:val="42791A43"/>
    <w:rsid w:val="427935C3"/>
    <w:rsid w:val="43162BCD"/>
    <w:rsid w:val="43B63024"/>
    <w:rsid w:val="443B7D84"/>
    <w:rsid w:val="44782D86"/>
    <w:rsid w:val="44CF4395"/>
    <w:rsid w:val="45376685"/>
    <w:rsid w:val="459029F6"/>
    <w:rsid w:val="45D708D2"/>
    <w:rsid w:val="45D87F80"/>
    <w:rsid w:val="460744D3"/>
    <w:rsid w:val="46393225"/>
    <w:rsid w:val="467C4AB1"/>
    <w:rsid w:val="46B21FDA"/>
    <w:rsid w:val="46E62F8C"/>
    <w:rsid w:val="46FF1807"/>
    <w:rsid w:val="47187BBD"/>
    <w:rsid w:val="47613E2A"/>
    <w:rsid w:val="476D3469"/>
    <w:rsid w:val="478F628A"/>
    <w:rsid w:val="480F634D"/>
    <w:rsid w:val="488A4B91"/>
    <w:rsid w:val="48C31006"/>
    <w:rsid w:val="49EC7E2B"/>
    <w:rsid w:val="4A084BC2"/>
    <w:rsid w:val="4A7C2DC2"/>
    <w:rsid w:val="4AAB3275"/>
    <w:rsid w:val="4AC05B8B"/>
    <w:rsid w:val="4AC42881"/>
    <w:rsid w:val="4AD21AAC"/>
    <w:rsid w:val="4B2C18E1"/>
    <w:rsid w:val="4B555142"/>
    <w:rsid w:val="4B6E32AC"/>
    <w:rsid w:val="4BAB57EF"/>
    <w:rsid w:val="4C2F01CE"/>
    <w:rsid w:val="4CEA5AF5"/>
    <w:rsid w:val="4CF05BAE"/>
    <w:rsid w:val="4CF24856"/>
    <w:rsid w:val="4D1C14D9"/>
    <w:rsid w:val="4D6B76F0"/>
    <w:rsid w:val="4E3221F7"/>
    <w:rsid w:val="4EE2777A"/>
    <w:rsid w:val="4F035942"/>
    <w:rsid w:val="4F9359D3"/>
    <w:rsid w:val="502C7E1F"/>
    <w:rsid w:val="508F42FD"/>
    <w:rsid w:val="50CC119E"/>
    <w:rsid w:val="50D61560"/>
    <w:rsid w:val="50F75D12"/>
    <w:rsid w:val="51B1103D"/>
    <w:rsid w:val="51BC33A4"/>
    <w:rsid w:val="52422C1B"/>
    <w:rsid w:val="52D8651E"/>
    <w:rsid w:val="53727B97"/>
    <w:rsid w:val="537B1F4B"/>
    <w:rsid w:val="547036DB"/>
    <w:rsid w:val="55673B3A"/>
    <w:rsid w:val="55751BD1"/>
    <w:rsid w:val="55B61960"/>
    <w:rsid w:val="561A6073"/>
    <w:rsid w:val="56220DA3"/>
    <w:rsid w:val="56464A92"/>
    <w:rsid w:val="56607210"/>
    <w:rsid w:val="56CE4726"/>
    <w:rsid w:val="578F0174"/>
    <w:rsid w:val="582974E8"/>
    <w:rsid w:val="58AE2DC2"/>
    <w:rsid w:val="59057C26"/>
    <w:rsid w:val="592D6D59"/>
    <w:rsid w:val="59376914"/>
    <w:rsid w:val="597D37A2"/>
    <w:rsid w:val="59F3561D"/>
    <w:rsid w:val="59FC4403"/>
    <w:rsid w:val="5A886859"/>
    <w:rsid w:val="5A971076"/>
    <w:rsid w:val="5AE1122D"/>
    <w:rsid w:val="5AFA5E4B"/>
    <w:rsid w:val="5B322A66"/>
    <w:rsid w:val="5B6830E6"/>
    <w:rsid w:val="5CDD77D2"/>
    <w:rsid w:val="5CFF3959"/>
    <w:rsid w:val="5D036CEF"/>
    <w:rsid w:val="5D1E0517"/>
    <w:rsid w:val="5D597F2E"/>
    <w:rsid w:val="5D810CED"/>
    <w:rsid w:val="5F0652FB"/>
    <w:rsid w:val="5F3B5A4A"/>
    <w:rsid w:val="5FB65600"/>
    <w:rsid w:val="60BD7D68"/>
    <w:rsid w:val="60FD0443"/>
    <w:rsid w:val="613E3F16"/>
    <w:rsid w:val="61FC06FB"/>
    <w:rsid w:val="620B1C6F"/>
    <w:rsid w:val="62600C89"/>
    <w:rsid w:val="62770008"/>
    <w:rsid w:val="62974D45"/>
    <w:rsid w:val="62AE1806"/>
    <w:rsid w:val="632618FC"/>
    <w:rsid w:val="63303373"/>
    <w:rsid w:val="63D67991"/>
    <w:rsid w:val="649E05DF"/>
    <w:rsid w:val="64BC1E26"/>
    <w:rsid w:val="64C157E5"/>
    <w:rsid w:val="65A236C9"/>
    <w:rsid w:val="65E240AB"/>
    <w:rsid w:val="66180CDB"/>
    <w:rsid w:val="664A2F83"/>
    <w:rsid w:val="668B04BA"/>
    <w:rsid w:val="66B141AA"/>
    <w:rsid w:val="66BC21C0"/>
    <w:rsid w:val="671978A3"/>
    <w:rsid w:val="67430AB1"/>
    <w:rsid w:val="676743CE"/>
    <w:rsid w:val="67742983"/>
    <w:rsid w:val="67D51C9E"/>
    <w:rsid w:val="67D94EB2"/>
    <w:rsid w:val="681364CD"/>
    <w:rsid w:val="681D4E21"/>
    <w:rsid w:val="683055A2"/>
    <w:rsid w:val="68592584"/>
    <w:rsid w:val="68663822"/>
    <w:rsid w:val="686F0DE5"/>
    <w:rsid w:val="68D30BEE"/>
    <w:rsid w:val="68E87BDD"/>
    <w:rsid w:val="68E9328A"/>
    <w:rsid w:val="69163B88"/>
    <w:rsid w:val="69547629"/>
    <w:rsid w:val="69570731"/>
    <w:rsid w:val="6A694589"/>
    <w:rsid w:val="6B245322"/>
    <w:rsid w:val="6BD51472"/>
    <w:rsid w:val="6BFC4839"/>
    <w:rsid w:val="6C1A459F"/>
    <w:rsid w:val="6C471101"/>
    <w:rsid w:val="6D361A37"/>
    <w:rsid w:val="6D3B4EE3"/>
    <w:rsid w:val="6D3F2F95"/>
    <w:rsid w:val="6D610023"/>
    <w:rsid w:val="6D6261FE"/>
    <w:rsid w:val="6D714693"/>
    <w:rsid w:val="6DA7611E"/>
    <w:rsid w:val="6DE41798"/>
    <w:rsid w:val="6ECE50E0"/>
    <w:rsid w:val="6F284A88"/>
    <w:rsid w:val="6F8304B9"/>
    <w:rsid w:val="6F98148E"/>
    <w:rsid w:val="6F9B2BBD"/>
    <w:rsid w:val="70391B71"/>
    <w:rsid w:val="706C583F"/>
    <w:rsid w:val="706F2421"/>
    <w:rsid w:val="70824C88"/>
    <w:rsid w:val="70C32306"/>
    <w:rsid w:val="71055FB1"/>
    <w:rsid w:val="71D81C5A"/>
    <w:rsid w:val="71F873EA"/>
    <w:rsid w:val="721B37E0"/>
    <w:rsid w:val="72662355"/>
    <w:rsid w:val="726F4EC1"/>
    <w:rsid w:val="72D51F74"/>
    <w:rsid w:val="72F765F2"/>
    <w:rsid w:val="7310610B"/>
    <w:rsid w:val="73166260"/>
    <w:rsid w:val="733046A8"/>
    <w:rsid w:val="736D0D91"/>
    <w:rsid w:val="7382754A"/>
    <w:rsid w:val="73B23415"/>
    <w:rsid w:val="73C44DF0"/>
    <w:rsid w:val="73C6500C"/>
    <w:rsid w:val="7427277C"/>
    <w:rsid w:val="74722C9A"/>
    <w:rsid w:val="74A55EF5"/>
    <w:rsid w:val="74BD4012"/>
    <w:rsid w:val="74BE7A11"/>
    <w:rsid w:val="74DF6275"/>
    <w:rsid w:val="74E67714"/>
    <w:rsid w:val="7540682A"/>
    <w:rsid w:val="754522EE"/>
    <w:rsid w:val="75DA0060"/>
    <w:rsid w:val="75F40407"/>
    <w:rsid w:val="766B2E8E"/>
    <w:rsid w:val="76CF06B9"/>
    <w:rsid w:val="78E73BC7"/>
    <w:rsid w:val="794F29B1"/>
    <w:rsid w:val="79C53438"/>
    <w:rsid w:val="79DD6035"/>
    <w:rsid w:val="7A97500D"/>
    <w:rsid w:val="7ABF07F0"/>
    <w:rsid w:val="7AC4607A"/>
    <w:rsid w:val="7ACC2F0F"/>
    <w:rsid w:val="7B5C40A8"/>
    <w:rsid w:val="7B7913BB"/>
    <w:rsid w:val="7B7F6D37"/>
    <w:rsid w:val="7CB9602C"/>
    <w:rsid w:val="7D4F7B9B"/>
    <w:rsid w:val="7DD43D8E"/>
    <w:rsid w:val="7DF43264"/>
    <w:rsid w:val="7E0429B9"/>
    <w:rsid w:val="7E652153"/>
    <w:rsid w:val="7E955D07"/>
    <w:rsid w:val="7ED3411D"/>
    <w:rsid w:val="7F0F26CB"/>
    <w:rsid w:val="7FBC2001"/>
    <w:rsid w:val="7FD54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仿宋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jc w:val="left"/>
      <w:outlineLvl w:val="0"/>
    </w:pPr>
    <w:rPr>
      <w:rFonts w:eastAsia="黑体"/>
      <w:b/>
      <w:kern w:val="44"/>
      <w:sz w:val="28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4"/>
    <w:next w:val="4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4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8">
    <w:name w:val="三级内容"/>
    <w:qFormat/>
    <w:uiPriority w:val="0"/>
    <w:pPr>
      <w:tabs>
        <w:tab w:val="left" w:pos="0"/>
      </w:tabs>
      <w:outlineLvl w:val="2"/>
    </w:pPr>
    <w:rPr>
      <w:rFonts w:ascii="Times New Roman" w:hAnsi="Times New Roman" w:eastAsia="宋体" w:cs="Times New Roman"/>
      <w:kern w:val="44"/>
      <w:sz w:val="21"/>
      <w:lang w:val="en-US" w:eastAsia="zh-CN" w:bidi="ar-SA"/>
    </w:rPr>
  </w:style>
  <w:style w:type="paragraph" w:customStyle="1" w:styleId="9">
    <w:name w:val="附录标识"/>
    <w:basedOn w:val="1"/>
    <w:qFormat/>
    <w:uiPriority w:val="0"/>
    <w:pPr>
      <w:widowControl/>
      <w:shd w:val="clear" w:color="FFFFFF" w:fill="FFFFFF"/>
      <w:tabs>
        <w:tab w:val="left" w:pos="360"/>
        <w:tab w:val="left" w:pos="6405"/>
      </w:tabs>
      <w:spacing w:before="640" w:after="200"/>
      <w:jc w:val="center"/>
      <w:outlineLvl w:val="0"/>
    </w:pPr>
    <w:rPr>
      <w:rFonts w:ascii="黑体" w:eastAsia="黑体"/>
      <w:kern w:val="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697</Words>
  <Characters>741</Characters>
  <Lines>0</Lines>
  <Paragraphs>0</Paragraphs>
  <TotalTime>2</TotalTime>
  <ScaleCrop>false</ScaleCrop>
  <LinksUpToDate>false</LinksUpToDate>
  <CharactersWithSpaces>781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2024-01-24T08:21:00Z</dcterms:created>
  <dc:creator>纵瑞瑾</dc:creator>
  <cp:lastModifiedBy>余攀</cp:lastModifiedBy>
  <dcterms:modified xsi:type="dcterms:W3CDTF">2026-01-05T09:40:50Z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06C74C120E0942A9B165643B7209E020</vt:lpwstr>
  </property>
  <property fmtid="{D5CDD505-2E9C-101B-9397-08002B2CF9AE}" pid="4" name="KSOTemplateDocerSaveRecord">
    <vt:lpwstr>eyJoZGlkIjoiZGQyZWUxNTc5M2FlY2UwMzQ5YTAzYzAxY2NmN2M5OTEiLCJ1c2VySWQiOiIxMDU3MDI1NjQxIn0=</vt:lpwstr>
  </property>
</Properties>
</file>