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ascii="宋体" w:hAnsi="宋体" w:eastAsia="宋体" w:cs="宋体"/>
          <w:b/>
          <w:bCs/>
          <w:sz w:val="28"/>
          <w:szCs w:val="28"/>
        </w:rPr>
      </w:pPr>
      <w:r>
        <w:rPr>
          <w:rFonts w:hint="eastAsia" w:ascii="宋体" w:hAnsi="宋体" w:eastAsia="宋体" w:cs="宋体"/>
          <w:b/>
          <w:bCs/>
          <w:sz w:val="28"/>
          <w:szCs w:val="28"/>
        </w:rPr>
        <w:t>附件一：</w:t>
      </w:r>
      <w:bookmarkStart w:id="12" w:name="_GoBack"/>
      <w:bookmarkEnd w:id="12"/>
    </w:p>
    <w:tbl>
      <w:tblPr>
        <w:tblStyle w:val="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3"/>
        <w:gridCol w:w="7055"/>
        <w:gridCol w:w="2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3"/>
            <w:shd w:val="clear" w:color="auto" w:fill="FFFFFF"/>
            <w:vAlign w:val="center"/>
          </w:tcPr>
          <w:p>
            <w:pPr>
              <w:spacing w:line="360" w:lineRule="auto"/>
              <w:jc w:val="center"/>
            </w:pPr>
            <w:r>
              <w:rPr>
                <w:b/>
              </w:rPr>
              <w:t>专用资格要求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6" w:type="pct"/>
            <w:shd w:val="clear" w:color="auto" w:fill="FFFFFF"/>
            <w:vAlign w:val="center"/>
          </w:tcPr>
          <w:p>
            <w:pPr>
              <w:spacing w:line="360" w:lineRule="auto"/>
              <w:jc w:val="center"/>
            </w:pPr>
            <w:r>
              <w:rPr>
                <w:b/>
              </w:rPr>
              <w:t>序号</w:t>
            </w:r>
          </w:p>
        </w:tc>
        <w:tc>
          <w:tcPr>
            <w:tcW w:w="3583" w:type="pct"/>
            <w:shd w:val="clear" w:color="auto" w:fill="FFFFFF"/>
            <w:vAlign w:val="center"/>
          </w:tcPr>
          <w:p>
            <w:pPr>
              <w:spacing w:line="360" w:lineRule="auto"/>
              <w:jc w:val="center"/>
            </w:pPr>
            <w:r>
              <w:rPr>
                <w:b/>
              </w:rPr>
              <w:t>内容</w:t>
            </w:r>
          </w:p>
        </w:tc>
        <w:tc>
          <w:tcPr>
            <w:tcW w:w="1119" w:type="pct"/>
            <w:shd w:val="clear" w:color="auto" w:fill="FFFFFF"/>
            <w:vAlign w:val="center"/>
          </w:tcPr>
          <w:p>
            <w:pPr>
              <w:spacing w:line="360" w:lineRule="auto"/>
              <w:jc w:val="center"/>
            </w:pPr>
            <w:r>
              <w:rPr>
                <w:b/>
              </w:rPr>
              <w:t>关联标的/标包/标段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 w:type="pct"/>
            <w:shd w:val="clear" w:color="auto" w:fill="FFFFFF"/>
            <w:vAlign w:val="center"/>
          </w:tcPr>
          <w:p>
            <w:pPr>
              <w:spacing w:line="360" w:lineRule="auto"/>
              <w:jc w:val="center"/>
            </w:pPr>
            <w:r>
              <w:t>1</w:t>
            </w:r>
          </w:p>
        </w:tc>
        <w:tc>
          <w:tcPr>
            <w:tcW w:w="3583" w:type="pct"/>
            <w:shd w:val="clear" w:color="auto" w:fill="FFFFFF"/>
            <w:vAlign w:val="center"/>
          </w:tcPr>
          <w:p>
            <w:pPr>
              <w:spacing w:line="360" w:lineRule="auto"/>
            </w:pPr>
            <w:bookmarkStart w:id="0" w:name="OLE_LINK22"/>
            <w:r>
              <w:t>一、投标人须同时具备承接本项目所需的以下资质：</w:t>
            </w:r>
          </w:p>
          <w:p>
            <w:pPr>
              <w:spacing w:line="360" w:lineRule="auto"/>
              <w:jc w:val="left"/>
            </w:pPr>
            <w:r>
              <w:t>1、本次招标要求投标人同时具备工程设计综合资质，或者建筑行业（建筑工程专业）设计乙级或以上资质，或者建筑装饰工程设计专项乙级或以上资质和建筑工程施工总承包三级或以上资质（或者同时具备以下三项资质：①建筑装修装饰工程专业承包二级或以上资质②建筑机电安装工程专业承包乙级或以上资质③消防设施工程专业承包二级或以上资质）。须具有有效期内的《安全生产许可证》。投标人已录入</w:t>
            </w:r>
            <w:r>
              <w:rPr>
                <w:b/>
                <w:bCs/>
              </w:rPr>
              <w:t>全国建筑市场监管公共服务平台(四库一平台)</w:t>
            </w:r>
            <w:r>
              <w:rPr>
                <w:rFonts w:hint="eastAsia"/>
              </w:rPr>
              <w:t>或</w:t>
            </w:r>
            <w:r>
              <w:t>“桂建云”并处于有效状态。</w:t>
            </w:r>
          </w:p>
          <w:p>
            <w:pPr>
              <w:spacing w:line="360" w:lineRule="auto"/>
              <w:jc w:val="left"/>
            </w:pPr>
            <w:r>
              <w:t>2、主要</w:t>
            </w:r>
            <w:r>
              <w:rPr>
                <w:rFonts w:hint="eastAsia"/>
              </w:rPr>
              <w:t>项目负责人</w:t>
            </w:r>
            <w:r>
              <w:t>要求：</w:t>
            </w:r>
          </w:p>
          <w:p>
            <w:pPr>
              <w:spacing w:line="360" w:lineRule="auto"/>
              <w:jc w:val="left"/>
            </w:pPr>
            <w:r>
              <w:t>（1）</w:t>
            </w:r>
            <w:r>
              <w:rPr>
                <w:rFonts w:hint="eastAsia"/>
              </w:rPr>
              <w:t>项目经理</w:t>
            </w:r>
            <w:r>
              <w:t>：具备建筑工程专业二级或以上注册建造师资质，或者二级或以上注册建筑师资质，或者二级或以上注册结构工程师资质；担任过与拟建项目同类同规模的工程</w:t>
            </w:r>
            <w:r>
              <w:rPr>
                <w:rFonts w:hint="eastAsia"/>
              </w:rPr>
              <w:t>项目经理</w:t>
            </w:r>
            <w:r>
              <w:t>、项目设计负责人、项目施工负责人。人员信息已录入</w:t>
            </w:r>
            <w:r>
              <w:rPr>
                <w:b/>
                <w:bCs/>
              </w:rPr>
              <w:t>全国建筑市场监管公共服务平台(四库一平台)</w:t>
            </w:r>
            <w:r>
              <w:rPr>
                <w:rFonts w:hint="eastAsia"/>
              </w:rPr>
              <w:t>或</w:t>
            </w:r>
            <w:r>
              <w:t>“桂建云”平台并处于有效状态。不接受有在建、已中标未开工，或者已列为其他项目中标候选人第一名的项目施工负责人，或者工程</w:t>
            </w:r>
            <w:r>
              <w:rPr>
                <w:rFonts w:hint="eastAsia"/>
              </w:rPr>
              <w:t>项目经理</w:t>
            </w:r>
            <w:r>
              <w:t>，或者项目总监理工程师作为本项目的</w:t>
            </w:r>
            <w:r>
              <w:rPr>
                <w:rFonts w:hint="eastAsia"/>
              </w:rPr>
              <w:t>项目经理</w:t>
            </w:r>
            <w:r>
              <w:t>，（符合桂建管〔2016〕70号文规定的除外）。</w:t>
            </w:r>
          </w:p>
          <w:p>
            <w:pPr>
              <w:spacing w:line="360" w:lineRule="auto"/>
              <w:jc w:val="left"/>
            </w:pPr>
            <w:r>
              <w:t>（2）</w:t>
            </w:r>
            <w:bookmarkStart w:id="1" w:name="OLE_LINK21"/>
            <w:r>
              <w:t>项目设计负责人：具备二级或以上注册建筑师资质</w:t>
            </w:r>
            <w:bookmarkEnd w:id="1"/>
            <w:r>
              <w:t>。</w:t>
            </w:r>
            <w:r>
              <w:rPr>
                <w:rFonts w:hint="eastAsia"/>
              </w:rPr>
              <w:t>人员信息已录入</w:t>
            </w:r>
            <w:r>
              <w:rPr>
                <w:b/>
                <w:bCs/>
              </w:rPr>
              <w:t>全国建筑市场监管公共服务平台(四库一平台)</w:t>
            </w:r>
            <w:r>
              <w:rPr>
                <w:rFonts w:hint="eastAsia"/>
              </w:rPr>
              <w:t>或“桂建云”平台并处于有效状态。</w:t>
            </w:r>
          </w:p>
          <w:p>
            <w:pPr>
              <w:spacing w:line="360" w:lineRule="auto"/>
              <w:jc w:val="left"/>
            </w:pPr>
            <w:r>
              <w:t>（3）项目施工负责人：须同时具备建筑工程专业二级或以上注册建造师执业资格和有效的安全生产考核合格证书（B证）。人员信息已录入</w:t>
            </w:r>
            <w:r>
              <w:rPr>
                <w:b/>
                <w:bCs/>
              </w:rPr>
              <w:t>全国建筑市场监管公共服务平台(四库一平台)</w:t>
            </w:r>
            <w:r>
              <w:rPr>
                <w:rFonts w:hint="eastAsia"/>
              </w:rPr>
              <w:t>或</w:t>
            </w:r>
            <w:r>
              <w:t>“桂建云”并处于有效状态。</w:t>
            </w:r>
          </w:p>
          <w:bookmarkEnd w:id="0"/>
          <w:p>
            <w:pPr>
              <w:spacing w:line="360" w:lineRule="auto"/>
              <w:jc w:val="left"/>
            </w:pPr>
            <w:r>
              <w:t>注：（1）企业及人员的相关资质证书均需在有效期内。人员资质证书须在投标单位注册，且须提供相关人员在本单位投标截止日期前半年内连续3个月的社保证明。（2）同类同规模的工程总承包项目指公共建筑（办公楼、商业楼等）的装饰装修工程或房屋建筑工程，且项目规模不小于460万元的工程总承包项目。（3）若为联合体投标，</w:t>
            </w:r>
            <w:r>
              <w:rPr>
                <w:rFonts w:hint="eastAsia"/>
              </w:rPr>
              <w:t>项目经理</w:t>
            </w:r>
            <w:r>
              <w:t>由牵头方派出；项目设计负责人由设计单位派出；</w:t>
            </w:r>
            <w:r>
              <w:rPr>
                <w:rFonts w:hint="eastAsia"/>
              </w:rPr>
              <w:t>项目</w:t>
            </w:r>
            <w:r>
              <w:t>施工负责人由施工单位派出。</w:t>
            </w:r>
          </w:p>
        </w:tc>
        <w:tc>
          <w:tcPr>
            <w:tcW w:w="1119" w:type="pct"/>
            <w:shd w:val="clear" w:color="auto" w:fill="FFFFFF"/>
            <w:vAlign w:val="center"/>
          </w:tcPr>
          <w:p>
            <w:pPr>
              <w:spacing w:line="360" w:lineRule="auto"/>
              <w:jc w:val="center"/>
            </w:pPr>
            <w:r>
              <w:t>广西公司2026年五矿大厦技术业务用房新场地设计采购施工总承包[设计采购施工总承包]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 w:type="pct"/>
            <w:shd w:val="clear" w:color="auto" w:fill="FFFFFF"/>
            <w:vAlign w:val="center"/>
          </w:tcPr>
          <w:p>
            <w:pPr>
              <w:spacing w:line="360" w:lineRule="auto"/>
              <w:jc w:val="center"/>
            </w:pPr>
            <w:r>
              <w:t>2</w:t>
            </w:r>
          </w:p>
        </w:tc>
        <w:tc>
          <w:tcPr>
            <w:tcW w:w="3583" w:type="pct"/>
            <w:shd w:val="clear" w:color="auto" w:fill="FFFFFF"/>
            <w:vAlign w:val="center"/>
          </w:tcPr>
          <w:p>
            <w:pPr>
              <w:spacing w:line="360" w:lineRule="auto"/>
              <w:jc w:val="left"/>
            </w:pPr>
            <w:bookmarkStart w:id="2" w:name="OLE_LINK16"/>
            <w:r>
              <w:t>近三年内（2023年3月至今）投标人</w:t>
            </w:r>
            <w:r>
              <w:rPr>
                <w:rFonts w:hint="eastAsia"/>
                <w:b/>
                <w:bCs/>
              </w:rPr>
              <w:t>完成或在建</w:t>
            </w:r>
            <w:r>
              <w:t>至少1个同等规模（460万元）或以上场地改造或房屋建筑项目的EPC或DB项目业绩。须提供中标通知书或合同关键页或项目任务书（首页、服务内容页、盖章、签字页扫描件）或验收证书（应包含封面页、人员、服务内容页、盖章签字页等页面）等证明材料，框架合同的需提供订单结算金额证明。EPC：设计采购施工总承包或勘察设计施工总承包；DB：设计施工总承包。如为联合体，联合体任意一方的业绩均可。时间以合同签订时间为准。</w:t>
            </w:r>
            <w:bookmarkEnd w:id="2"/>
          </w:p>
        </w:tc>
        <w:tc>
          <w:tcPr>
            <w:tcW w:w="1119" w:type="pct"/>
            <w:shd w:val="clear" w:color="auto" w:fill="FFFFFF"/>
            <w:vAlign w:val="center"/>
          </w:tcPr>
          <w:p>
            <w:pPr>
              <w:spacing w:line="360" w:lineRule="auto"/>
              <w:jc w:val="center"/>
            </w:pPr>
            <w:r>
              <w:t>广西公司2026年五矿大厦技术业务用房新场地设计采购施工总承包[设计采购施工总承包]</w:t>
            </w:r>
          </w:p>
        </w:tc>
      </w:tr>
    </w:tbl>
    <w:p>
      <w:pPr>
        <w:spacing w:line="360" w:lineRule="auto"/>
        <w:jc w:val="left"/>
        <w:rPr>
          <w:rFonts w:ascii="宋体" w:hAnsi="宋体" w:eastAsia="宋体" w:cs="宋体"/>
          <w:sz w:val="28"/>
          <w:szCs w:val="28"/>
        </w:rPr>
      </w:pPr>
    </w:p>
    <w:p>
      <w:pPr>
        <w:spacing w:line="360" w:lineRule="auto"/>
        <w:jc w:val="left"/>
        <w:rPr>
          <w:rFonts w:ascii="宋体" w:hAnsi="宋体" w:eastAsia="宋体" w:cs="宋体"/>
          <w:sz w:val="28"/>
          <w:szCs w:val="28"/>
        </w:rPr>
      </w:pP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1"/>
        <w:gridCol w:w="626"/>
        <w:gridCol w:w="429"/>
        <w:gridCol w:w="885"/>
        <w:gridCol w:w="717"/>
        <w:gridCol w:w="5707"/>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90" w:type="dxa"/>
            <w:gridSpan w:val="7"/>
            <w:vAlign w:val="center"/>
          </w:tcPr>
          <w:p>
            <w:pPr>
              <w:spacing w:line="360" w:lineRule="auto"/>
            </w:pPr>
            <w:r>
              <w:t>下列评审标准适用的标段：广西公司2026年五矿大厦技术业务用房新场地设计采购施工总承包[设计采购施工总承包]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pPr>
              <w:spacing w:line="360" w:lineRule="auto"/>
              <w:jc w:val="center"/>
            </w:pPr>
            <w:r>
              <w:t>1（2）</w:t>
            </w:r>
          </w:p>
        </w:tc>
        <w:tc>
          <w:tcPr>
            <w:tcW w:w="0" w:type="auto"/>
            <w:vMerge w:val="restart"/>
            <w:vAlign w:val="center"/>
          </w:tcPr>
          <w:p>
            <w:pPr>
              <w:spacing w:line="360" w:lineRule="auto"/>
              <w:jc w:val="center"/>
            </w:pPr>
            <w:r>
              <w:t>技术评分 标准</w:t>
            </w:r>
          </w:p>
        </w:tc>
        <w:tc>
          <w:tcPr>
            <w:tcW w:w="0" w:type="auto"/>
            <w:vAlign w:val="center"/>
          </w:tcPr>
          <w:p>
            <w:pPr>
              <w:spacing w:line="360" w:lineRule="auto"/>
              <w:jc w:val="center"/>
            </w:pPr>
            <w:r>
              <w:t>1</w:t>
            </w:r>
            <w:r>
              <w:rPr>
                <w:rFonts w:hint="eastAsia"/>
              </w:rPr>
              <w:t>1</w:t>
            </w:r>
          </w:p>
        </w:tc>
        <w:tc>
          <w:tcPr>
            <w:tcW w:w="0" w:type="auto"/>
            <w:vAlign w:val="center"/>
          </w:tcPr>
          <w:p>
            <w:pPr>
              <w:spacing w:line="360" w:lineRule="auto"/>
              <w:jc w:val="center"/>
            </w:pPr>
            <w:r>
              <w:t>项目业绩</w:t>
            </w:r>
          </w:p>
        </w:tc>
        <w:tc>
          <w:tcPr>
            <w:tcW w:w="0" w:type="auto"/>
            <w:vAlign w:val="center"/>
          </w:tcPr>
          <w:p>
            <w:pPr>
              <w:spacing w:line="360" w:lineRule="auto"/>
              <w:jc w:val="center"/>
            </w:pPr>
            <w:r>
              <w:t>设计业绩</w:t>
            </w:r>
          </w:p>
        </w:tc>
        <w:tc>
          <w:tcPr>
            <w:tcW w:w="5706" w:type="dxa"/>
            <w:vAlign w:val="center"/>
          </w:tcPr>
          <w:p>
            <w:pPr>
              <w:spacing w:line="360" w:lineRule="auto"/>
              <w:jc w:val="left"/>
            </w:pPr>
            <w:bookmarkStart w:id="3" w:name="OLE_LINK18"/>
            <w:bookmarkStart w:id="4" w:name="OLE_LINK31"/>
            <w:r>
              <w:t>投标人（或联合体中的设计单位）近三年内</w:t>
            </w:r>
            <w:r>
              <w:rPr>
                <w:b/>
                <w:bCs/>
              </w:rPr>
              <w:t>完成或</w:t>
            </w:r>
            <w:r>
              <w:rPr>
                <w:rFonts w:hint="eastAsia"/>
                <w:b/>
                <w:bCs/>
              </w:rPr>
              <w:t>在建</w:t>
            </w:r>
            <w:r>
              <w:t>的</w:t>
            </w:r>
            <w:r>
              <w:rPr>
                <w:rFonts w:hint="eastAsia"/>
              </w:rPr>
              <w:t>同类项目</w:t>
            </w:r>
            <w:r>
              <w:t>设计</w:t>
            </w:r>
            <w:r>
              <w:rPr>
                <w:rFonts w:hint="eastAsia"/>
              </w:rPr>
              <w:t>业绩</w:t>
            </w:r>
            <w:r>
              <w:t>进行评判：</w:t>
            </w:r>
          </w:p>
          <w:bookmarkEnd w:id="3"/>
          <w:p>
            <w:pPr>
              <w:spacing w:line="360" w:lineRule="auto"/>
            </w:pPr>
          </w:p>
          <w:p>
            <w:pPr>
              <w:spacing w:line="360" w:lineRule="auto"/>
              <w:jc w:val="left"/>
            </w:pPr>
            <w:r>
              <w:t>1、合同金额≥45万元，每个案例得5分；</w:t>
            </w:r>
          </w:p>
          <w:p>
            <w:pPr>
              <w:spacing w:line="360" w:lineRule="auto"/>
              <w:jc w:val="left"/>
            </w:pPr>
            <w:r>
              <w:t>2、25万元≤合同金额＜45万元，每个案例得3分；</w:t>
            </w:r>
          </w:p>
          <w:p>
            <w:pPr>
              <w:spacing w:line="360" w:lineRule="auto"/>
              <w:jc w:val="left"/>
            </w:pPr>
            <w:r>
              <w:t>3、合同金额＜25万元，每个案例得1分。本</w:t>
            </w:r>
            <w:r>
              <w:rPr>
                <w:rFonts w:hint="eastAsia"/>
              </w:rPr>
              <w:t>小</w:t>
            </w:r>
            <w:r>
              <w:t>项最高得分不超5分。</w:t>
            </w:r>
          </w:p>
          <w:p>
            <w:pPr>
              <w:spacing w:line="360" w:lineRule="auto"/>
            </w:pPr>
            <w:r>
              <w:t>4.其他案例不得分。</w:t>
            </w:r>
          </w:p>
          <w:p>
            <w:pPr>
              <w:spacing w:line="360" w:lineRule="auto"/>
              <w:jc w:val="left"/>
            </w:pPr>
            <w:r>
              <w:t>注：1、要求提供中标（发包）通知书或工程合同关键页（首页、服务内容页、盖章签字页扫描件）等证明材料，框架合同需提供订单结算证明材料，每份订单算1个案例。相关信息以</w:t>
            </w:r>
            <w:r>
              <w:rPr>
                <w:b/>
                <w:bCs/>
              </w:rPr>
              <w:t>全国建筑市场监管公共服务平台(四库一平台)</w:t>
            </w:r>
            <w:r>
              <w:rPr>
                <w:rFonts w:hint="eastAsia"/>
              </w:rPr>
              <w:t>或</w:t>
            </w:r>
            <w:r>
              <w:t>“桂建云”信息为准，否则评审时不予承认。2、业绩有效时间为2023年3月至投标截止日期止，业绩的时间以签订合同日期或中标通知书为准。3、本项累计最高得10分。4、同类项目是指场地改造</w:t>
            </w:r>
            <w:r>
              <w:rPr>
                <w:rFonts w:hint="eastAsia"/>
              </w:rPr>
              <w:t>、房屋装饰装修或建筑工程</w:t>
            </w:r>
            <w:r>
              <w:t>等同类项目。</w:t>
            </w:r>
            <w:bookmarkStart w:id="5" w:name="OLE_LINK30"/>
            <w:r>
              <w:rPr>
                <w:rFonts w:hint="eastAsia"/>
              </w:rPr>
              <w:t>5、建筑工程类设计业绩累计最高得</w:t>
            </w:r>
            <w:r>
              <w:t>3</w:t>
            </w:r>
            <w:r>
              <w:rPr>
                <w:rFonts w:hint="eastAsia"/>
              </w:rPr>
              <w:t>分。</w:t>
            </w:r>
            <w:bookmarkEnd w:id="4"/>
            <w:bookmarkEnd w:id="5"/>
          </w:p>
        </w:tc>
        <w:tc>
          <w:tcPr>
            <w:tcW w:w="720" w:type="dxa"/>
            <w:vAlign w:val="center"/>
          </w:tcPr>
          <w:p>
            <w:pPr>
              <w:spacing w:line="360" w:lineRule="auto"/>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5" w:hRule="atLeast"/>
        </w:trPr>
        <w:tc>
          <w:tcPr>
            <w:tcW w:w="0" w:type="auto"/>
            <w:vMerge w:val="continue"/>
          </w:tcPr>
          <w:p>
            <w:pPr>
              <w:spacing w:line="360" w:lineRule="auto"/>
            </w:pPr>
          </w:p>
        </w:tc>
        <w:tc>
          <w:tcPr>
            <w:tcW w:w="0" w:type="auto"/>
            <w:vMerge w:val="continue"/>
          </w:tcPr>
          <w:p>
            <w:pPr>
              <w:spacing w:line="360" w:lineRule="auto"/>
            </w:pPr>
          </w:p>
        </w:tc>
        <w:tc>
          <w:tcPr>
            <w:tcW w:w="0" w:type="auto"/>
            <w:vAlign w:val="center"/>
          </w:tcPr>
          <w:p>
            <w:pPr>
              <w:spacing w:line="360" w:lineRule="auto"/>
              <w:jc w:val="center"/>
            </w:pPr>
            <w:r>
              <w:t>1</w:t>
            </w:r>
            <w:r>
              <w:rPr>
                <w:rFonts w:hint="eastAsia"/>
              </w:rPr>
              <w:t>2</w:t>
            </w:r>
          </w:p>
        </w:tc>
        <w:tc>
          <w:tcPr>
            <w:tcW w:w="0" w:type="auto"/>
            <w:vAlign w:val="center"/>
          </w:tcPr>
          <w:p>
            <w:pPr>
              <w:spacing w:line="360" w:lineRule="auto"/>
              <w:jc w:val="center"/>
            </w:pPr>
            <w:r>
              <w:t>项目业绩</w:t>
            </w:r>
          </w:p>
        </w:tc>
        <w:tc>
          <w:tcPr>
            <w:tcW w:w="0" w:type="auto"/>
            <w:vAlign w:val="center"/>
          </w:tcPr>
          <w:p>
            <w:pPr>
              <w:spacing w:line="360" w:lineRule="auto"/>
              <w:jc w:val="center"/>
            </w:pPr>
            <w:r>
              <w:t>施工业绩</w:t>
            </w:r>
          </w:p>
        </w:tc>
        <w:tc>
          <w:tcPr>
            <w:tcW w:w="5706" w:type="dxa"/>
            <w:vAlign w:val="center"/>
          </w:tcPr>
          <w:p>
            <w:pPr>
              <w:spacing w:line="360" w:lineRule="auto"/>
              <w:jc w:val="left"/>
            </w:pPr>
            <w:bookmarkStart w:id="6" w:name="OLE_LINK19"/>
            <w:r>
              <w:rPr>
                <w:rFonts w:hint="eastAsia"/>
              </w:rPr>
              <w:t>投标人（或联合体中的施工单位）近三年内</w:t>
            </w:r>
            <w:r>
              <w:rPr>
                <w:rFonts w:hint="eastAsia"/>
                <w:b/>
                <w:bCs/>
              </w:rPr>
              <w:t>完成或在建</w:t>
            </w:r>
            <w:r>
              <w:rPr>
                <w:rFonts w:hint="eastAsia"/>
              </w:rPr>
              <w:t>的同类项目施工业绩进行评判：</w:t>
            </w:r>
          </w:p>
          <w:bookmarkEnd w:id="6"/>
          <w:p>
            <w:pPr>
              <w:spacing w:line="360" w:lineRule="auto"/>
              <w:jc w:val="left"/>
            </w:pPr>
            <w:r>
              <w:rPr>
                <w:rFonts w:hint="eastAsia"/>
              </w:rPr>
              <w:t>一、施工业绩（总承包）：</w:t>
            </w:r>
          </w:p>
          <w:p>
            <w:pPr>
              <w:spacing w:line="360" w:lineRule="auto"/>
              <w:jc w:val="left"/>
            </w:pPr>
            <w:r>
              <w:rPr>
                <w:rFonts w:hint="eastAsia"/>
              </w:rPr>
              <w:t>1、合同金额≥450万元，每个案例得5分；</w:t>
            </w:r>
          </w:p>
          <w:p>
            <w:pPr>
              <w:spacing w:line="360" w:lineRule="auto"/>
              <w:jc w:val="left"/>
            </w:pPr>
            <w:r>
              <w:rPr>
                <w:rFonts w:hint="eastAsia"/>
              </w:rPr>
              <w:t>2、250万元≤合同金额＜450万元，每个案例得3分；</w:t>
            </w:r>
          </w:p>
          <w:p>
            <w:pPr>
              <w:spacing w:line="360" w:lineRule="auto"/>
              <w:jc w:val="left"/>
            </w:pPr>
            <w:r>
              <w:rPr>
                <w:rFonts w:hint="eastAsia"/>
              </w:rPr>
              <w:t>3、100万元≤合同金额＜250万元，每个案例得1分。本小项最高得分不超5分。</w:t>
            </w:r>
          </w:p>
          <w:p>
            <w:pPr>
              <w:spacing w:line="360" w:lineRule="auto"/>
              <w:jc w:val="left"/>
            </w:pPr>
            <w:r>
              <w:rPr>
                <w:rFonts w:hint="eastAsia"/>
              </w:rPr>
              <w:t>4.其他案例不得分。</w:t>
            </w:r>
          </w:p>
          <w:p>
            <w:pPr>
              <w:spacing w:line="360" w:lineRule="auto"/>
              <w:jc w:val="left"/>
            </w:pPr>
            <w:r>
              <w:rPr>
                <w:rFonts w:hint="eastAsia"/>
              </w:rPr>
              <w:t>二、施工业绩（非总承包）</w:t>
            </w:r>
          </w:p>
          <w:p>
            <w:pPr>
              <w:spacing w:line="360" w:lineRule="auto"/>
              <w:jc w:val="left"/>
            </w:pPr>
            <w:r>
              <w:rPr>
                <w:rFonts w:hint="eastAsia"/>
              </w:rPr>
              <w:t>1、合同金额≥400万元，每个案例得3分；</w:t>
            </w:r>
          </w:p>
          <w:p>
            <w:pPr>
              <w:spacing w:line="360" w:lineRule="auto"/>
              <w:jc w:val="left"/>
            </w:pPr>
            <w:r>
              <w:rPr>
                <w:rFonts w:hint="eastAsia"/>
              </w:rPr>
              <w:t>2、250万元≤合同金额＜400万元，每个案例得1分；</w:t>
            </w:r>
          </w:p>
          <w:p>
            <w:pPr>
              <w:spacing w:line="360" w:lineRule="auto"/>
              <w:jc w:val="left"/>
            </w:pPr>
            <w:r>
              <w:rPr>
                <w:rFonts w:hint="eastAsia"/>
              </w:rPr>
              <w:t>3、100万元≤合同金额＜250万元，每个案例得0.5分。本小项最高得分不超5分。</w:t>
            </w:r>
          </w:p>
          <w:p>
            <w:pPr>
              <w:spacing w:line="360" w:lineRule="auto"/>
              <w:jc w:val="left"/>
            </w:pPr>
            <w:r>
              <w:rPr>
                <w:rFonts w:hint="eastAsia"/>
              </w:rPr>
              <w:t>4.其他案例不得分。</w:t>
            </w:r>
          </w:p>
          <w:p>
            <w:pPr>
              <w:spacing w:line="360" w:lineRule="auto"/>
            </w:pPr>
            <w:r>
              <w:rPr>
                <w:rFonts w:hint="eastAsia"/>
              </w:rPr>
              <w:t>注：</w:t>
            </w:r>
            <w:bookmarkStart w:id="7" w:name="OLE_LINK24"/>
            <w:r>
              <w:rPr>
                <w:rFonts w:hint="eastAsia"/>
              </w:rPr>
              <w:t>1、要求提供中标（发包）通知书或工程合同关键页（首页、服务内容页、盖章签字页扫描件）等证明材料，框架合同需提供订单结算证明材料，每份订单算1个案例。</w:t>
            </w:r>
            <w:bookmarkStart w:id="8" w:name="OLE_LINK25"/>
            <w:r>
              <w:rPr>
                <w:rFonts w:hint="eastAsia"/>
              </w:rPr>
              <w:t>相关信息以</w:t>
            </w:r>
            <w:r>
              <w:rPr>
                <w:b/>
                <w:bCs/>
              </w:rPr>
              <w:t>全国建筑市场监管公共服务平台(四库一平台</w:t>
            </w:r>
            <w:r>
              <w:t>)</w:t>
            </w:r>
            <w:r>
              <w:rPr>
                <w:rFonts w:hint="eastAsia"/>
              </w:rPr>
              <w:t>或“桂建云”信息为准，否则评审时不予承认。</w:t>
            </w:r>
            <w:bookmarkEnd w:id="7"/>
            <w:bookmarkEnd w:id="8"/>
            <w:r>
              <w:rPr>
                <w:rFonts w:hint="eastAsia"/>
              </w:rPr>
              <w:t>2、业绩有效时间为2023年3月至投标截止日期止，业绩的时间以签订合同日期或中标通知书为准。3、</w:t>
            </w:r>
            <w:r>
              <w:t>本项累计最高得</w:t>
            </w:r>
            <w:r>
              <w:rPr>
                <w:rFonts w:hint="eastAsia"/>
              </w:rPr>
              <w:t>20分。4、同类项目是指场地改造或房屋装饰装修等同类项目。</w:t>
            </w:r>
          </w:p>
          <w:p>
            <w:pPr>
              <w:spacing w:line="360" w:lineRule="auto"/>
              <w:jc w:val="left"/>
            </w:pPr>
          </w:p>
        </w:tc>
        <w:tc>
          <w:tcPr>
            <w:tcW w:w="720" w:type="dxa"/>
            <w:vAlign w:val="center"/>
          </w:tcPr>
          <w:p>
            <w:pPr>
              <w:spacing w:line="360" w:lineRule="auto"/>
              <w:jc w:val="center"/>
            </w:pPr>
            <w:r>
              <w:rPr>
                <w:rFonts w:hint="eastAsia"/>
              </w:rPr>
              <w:t>2</w:t>
            </w:r>
            <w: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Pr>
          <w:p>
            <w:pPr>
              <w:spacing w:line="360" w:lineRule="auto"/>
            </w:pPr>
          </w:p>
        </w:tc>
        <w:tc>
          <w:tcPr>
            <w:tcW w:w="0" w:type="auto"/>
            <w:vMerge w:val="continue"/>
          </w:tcPr>
          <w:p>
            <w:pPr>
              <w:spacing w:line="360" w:lineRule="auto"/>
            </w:pPr>
          </w:p>
        </w:tc>
        <w:tc>
          <w:tcPr>
            <w:tcW w:w="0" w:type="auto"/>
            <w:vAlign w:val="center"/>
          </w:tcPr>
          <w:p>
            <w:pPr>
              <w:spacing w:line="360" w:lineRule="auto"/>
              <w:jc w:val="center"/>
            </w:pPr>
            <w:r>
              <w:t>1</w:t>
            </w:r>
            <w:r>
              <w:rPr>
                <w:rFonts w:hint="eastAsia"/>
              </w:rPr>
              <w:t>3</w:t>
            </w:r>
          </w:p>
        </w:tc>
        <w:tc>
          <w:tcPr>
            <w:tcW w:w="0" w:type="auto"/>
            <w:vAlign w:val="center"/>
          </w:tcPr>
          <w:p>
            <w:pPr>
              <w:spacing w:line="360" w:lineRule="auto"/>
              <w:jc w:val="center"/>
            </w:pPr>
            <w:r>
              <w:t>项目团队人员--项目负责人业绩</w:t>
            </w:r>
          </w:p>
        </w:tc>
        <w:tc>
          <w:tcPr>
            <w:tcW w:w="0" w:type="auto"/>
            <w:vAlign w:val="center"/>
          </w:tcPr>
          <w:p>
            <w:pPr>
              <w:spacing w:line="360" w:lineRule="auto"/>
              <w:jc w:val="center"/>
            </w:pPr>
            <w:r>
              <w:t>项目</w:t>
            </w:r>
            <w:r>
              <w:rPr>
                <w:rFonts w:hint="eastAsia"/>
              </w:rPr>
              <w:t>经理</w:t>
            </w:r>
            <w:r>
              <w:t>业绩</w:t>
            </w:r>
          </w:p>
        </w:tc>
        <w:tc>
          <w:tcPr>
            <w:tcW w:w="5706" w:type="dxa"/>
            <w:vAlign w:val="center"/>
          </w:tcPr>
          <w:p>
            <w:pPr>
              <w:spacing w:line="360" w:lineRule="auto"/>
              <w:jc w:val="left"/>
            </w:pPr>
            <w:r>
              <w:t>作为项目</w:t>
            </w:r>
            <w:r>
              <w:rPr>
                <w:rFonts w:hint="eastAsia"/>
              </w:rPr>
              <w:t>经理</w:t>
            </w:r>
            <w:r>
              <w:t xml:space="preserve">近三年（2023年3月以来）负责过1个同类同规模项目的得3分，每多负责或参与1个同类同规模项目加2分，本项累计最高得5分。 </w:t>
            </w:r>
          </w:p>
          <w:p>
            <w:pPr>
              <w:spacing w:line="360" w:lineRule="auto"/>
              <w:jc w:val="left"/>
            </w:pPr>
            <w:r>
              <w:t>注：同类项目是指场地改造、房屋装饰装修或建筑工程等同类项目，且项目规模不小于400万元的总承包或施工项目。须提供相关项目</w:t>
            </w:r>
            <w:r>
              <w:rPr>
                <w:rFonts w:hint="eastAsia"/>
              </w:rPr>
              <w:t>业绩的</w:t>
            </w:r>
            <w:r>
              <w:t>合同证明文件，未提供或提供不全不得分。</w:t>
            </w:r>
            <w:r>
              <w:rPr>
                <w:rFonts w:hint="eastAsia"/>
              </w:rPr>
              <w:t>相关信息以</w:t>
            </w:r>
            <w:r>
              <w:rPr>
                <w:b/>
                <w:bCs/>
              </w:rPr>
              <w:t>全国建筑市场监管公共服务平台(四库一平台)</w:t>
            </w:r>
            <w:r>
              <w:rPr>
                <w:rFonts w:hint="eastAsia"/>
              </w:rPr>
              <w:t>或“桂建云”信息为准，否则评审时不予承认。</w:t>
            </w:r>
          </w:p>
        </w:tc>
        <w:tc>
          <w:tcPr>
            <w:tcW w:w="720" w:type="dxa"/>
            <w:vAlign w:val="center"/>
          </w:tcPr>
          <w:p>
            <w:pPr>
              <w:spacing w:line="360" w:lineRule="auto"/>
              <w:jc w:val="center"/>
            </w:pPr>
            <w: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Pr>
          <w:p>
            <w:pPr>
              <w:spacing w:line="360" w:lineRule="auto"/>
            </w:pPr>
          </w:p>
        </w:tc>
        <w:tc>
          <w:tcPr>
            <w:tcW w:w="0" w:type="auto"/>
            <w:vMerge w:val="continue"/>
          </w:tcPr>
          <w:p>
            <w:pPr>
              <w:spacing w:line="360" w:lineRule="auto"/>
            </w:pPr>
          </w:p>
        </w:tc>
        <w:tc>
          <w:tcPr>
            <w:tcW w:w="0" w:type="auto"/>
            <w:vAlign w:val="center"/>
          </w:tcPr>
          <w:p>
            <w:pPr>
              <w:spacing w:line="360" w:lineRule="auto"/>
              <w:jc w:val="center"/>
            </w:pPr>
            <w:r>
              <w:t>1</w:t>
            </w:r>
            <w:r>
              <w:rPr>
                <w:rFonts w:hint="eastAsia"/>
              </w:rPr>
              <w:t>4</w:t>
            </w:r>
          </w:p>
        </w:tc>
        <w:tc>
          <w:tcPr>
            <w:tcW w:w="0" w:type="auto"/>
            <w:vAlign w:val="center"/>
          </w:tcPr>
          <w:p>
            <w:pPr>
              <w:spacing w:line="360" w:lineRule="auto"/>
              <w:jc w:val="center"/>
            </w:pPr>
            <w:r>
              <w:t>项目团队人员--项目负责人业绩</w:t>
            </w:r>
          </w:p>
        </w:tc>
        <w:tc>
          <w:tcPr>
            <w:tcW w:w="0" w:type="auto"/>
            <w:vAlign w:val="center"/>
          </w:tcPr>
          <w:p>
            <w:pPr>
              <w:spacing w:line="360" w:lineRule="auto"/>
              <w:jc w:val="center"/>
            </w:pPr>
            <w:r>
              <w:t>项目</w:t>
            </w:r>
            <w:r>
              <w:rPr>
                <w:rFonts w:hint="eastAsia"/>
              </w:rPr>
              <w:t>设计</w:t>
            </w:r>
            <w:r>
              <w:t>负责人业绩</w:t>
            </w:r>
          </w:p>
        </w:tc>
        <w:tc>
          <w:tcPr>
            <w:tcW w:w="5706" w:type="dxa"/>
            <w:vAlign w:val="center"/>
          </w:tcPr>
          <w:p>
            <w:pPr>
              <w:spacing w:line="360" w:lineRule="auto"/>
              <w:jc w:val="left"/>
            </w:pPr>
            <w:bookmarkStart w:id="9" w:name="OLE_LINK27"/>
            <w:r>
              <w:t>作为项目</w:t>
            </w:r>
            <w:r>
              <w:rPr>
                <w:rFonts w:hint="eastAsia"/>
              </w:rPr>
              <w:t>设计</w:t>
            </w:r>
            <w:r>
              <w:t xml:space="preserve">负责人近三年（2023年3月以来）负责过1个同类同规模项目的得2分，每多负责或参与1个同类同规模项目加1分，本项累计最高得5分。 </w:t>
            </w:r>
          </w:p>
          <w:p>
            <w:pPr>
              <w:spacing w:line="360" w:lineRule="auto"/>
              <w:jc w:val="left"/>
            </w:pPr>
            <w:r>
              <w:t>注：同类项目是指场地改造、房屋装饰装修或建筑工程等同类项目，且项目规模不小于45万元的设计项目。须提供相关项目</w:t>
            </w:r>
            <w:r>
              <w:rPr>
                <w:rFonts w:hint="eastAsia"/>
              </w:rPr>
              <w:t>业绩的</w:t>
            </w:r>
            <w:r>
              <w:t>合同证明文件，未提供或提供不全不得分。</w:t>
            </w:r>
            <w:bookmarkStart w:id="10" w:name="OLE_LINK23"/>
            <w:r>
              <w:rPr>
                <w:rFonts w:hint="eastAsia"/>
              </w:rPr>
              <w:t>相关信息以</w:t>
            </w:r>
            <w:r>
              <w:rPr>
                <w:b/>
                <w:bCs/>
              </w:rPr>
              <w:t>全国建筑市场监管公共服务平台(四库一平台)</w:t>
            </w:r>
            <w:r>
              <w:rPr>
                <w:rFonts w:hint="eastAsia"/>
              </w:rPr>
              <w:t>或“桂建云”信息为准，否则评审时不予承认。</w:t>
            </w:r>
            <w:bookmarkEnd w:id="9"/>
            <w:bookmarkEnd w:id="10"/>
          </w:p>
        </w:tc>
        <w:tc>
          <w:tcPr>
            <w:tcW w:w="720" w:type="dxa"/>
            <w:vAlign w:val="center"/>
          </w:tcPr>
          <w:p>
            <w:pPr>
              <w:spacing w:line="360" w:lineRule="auto"/>
              <w:jc w:val="center"/>
            </w:pPr>
            <w: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Pr>
          <w:p>
            <w:pPr>
              <w:spacing w:line="360" w:lineRule="auto"/>
            </w:pPr>
          </w:p>
        </w:tc>
        <w:tc>
          <w:tcPr>
            <w:tcW w:w="0" w:type="auto"/>
            <w:vMerge w:val="continue"/>
          </w:tcPr>
          <w:p>
            <w:pPr>
              <w:spacing w:line="360" w:lineRule="auto"/>
            </w:pPr>
          </w:p>
        </w:tc>
        <w:tc>
          <w:tcPr>
            <w:tcW w:w="0" w:type="auto"/>
            <w:vAlign w:val="center"/>
          </w:tcPr>
          <w:p>
            <w:pPr>
              <w:spacing w:line="360" w:lineRule="auto"/>
              <w:jc w:val="center"/>
            </w:pPr>
            <w:r>
              <w:t>1</w:t>
            </w:r>
            <w:r>
              <w:rPr>
                <w:rFonts w:hint="eastAsia"/>
              </w:rPr>
              <w:t>5</w:t>
            </w:r>
          </w:p>
        </w:tc>
        <w:tc>
          <w:tcPr>
            <w:tcW w:w="0" w:type="auto"/>
            <w:vAlign w:val="center"/>
          </w:tcPr>
          <w:p>
            <w:pPr>
              <w:spacing w:line="360" w:lineRule="auto"/>
              <w:jc w:val="center"/>
            </w:pPr>
            <w:r>
              <w:t>项目团队人员--项目负责人业绩</w:t>
            </w:r>
          </w:p>
        </w:tc>
        <w:tc>
          <w:tcPr>
            <w:tcW w:w="0" w:type="auto"/>
            <w:vAlign w:val="center"/>
          </w:tcPr>
          <w:p>
            <w:pPr>
              <w:spacing w:line="360" w:lineRule="auto"/>
              <w:jc w:val="center"/>
            </w:pPr>
            <w:r>
              <w:t>项目施工负责人业绩</w:t>
            </w:r>
          </w:p>
        </w:tc>
        <w:tc>
          <w:tcPr>
            <w:tcW w:w="5706" w:type="dxa"/>
            <w:vAlign w:val="center"/>
          </w:tcPr>
          <w:p>
            <w:pPr>
              <w:spacing w:line="360" w:lineRule="auto"/>
              <w:jc w:val="left"/>
            </w:pPr>
            <w:bookmarkStart w:id="11" w:name="OLE_LINK26"/>
            <w:r>
              <w:t>作为项目施工负责人近三年</w:t>
            </w:r>
            <w:bookmarkEnd w:id="11"/>
            <w:r>
              <w:t xml:space="preserve">（2023年3月以来）负责过1个同类同规模项目的得3分，每多负责或参与1个同类同规模项目加2分，本项累计最高得5分。 </w:t>
            </w:r>
          </w:p>
          <w:p>
            <w:pPr>
              <w:spacing w:line="360" w:lineRule="auto"/>
              <w:jc w:val="left"/>
            </w:pPr>
            <w:r>
              <w:t>注：同类项目是指场地改造、房屋装饰装修或建筑工程等同类项目，且项目规模不小于400万元的施工项目。须提供相关项目</w:t>
            </w:r>
            <w:r>
              <w:rPr>
                <w:rFonts w:hint="eastAsia"/>
              </w:rPr>
              <w:t>业绩的</w:t>
            </w:r>
            <w:r>
              <w:t>合同证明文件，未提供或提供不全不得分。</w:t>
            </w:r>
            <w:r>
              <w:rPr>
                <w:rFonts w:hint="eastAsia"/>
              </w:rPr>
              <w:t>相关信息以</w:t>
            </w:r>
            <w:r>
              <w:rPr>
                <w:b/>
                <w:bCs/>
              </w:rPr>
              <w:t>全国建筑市场监管公共服务平台(四库一平台)</w:t>
            </w:r>
            <w:r>
              <w:rPr>
                <w:rFonts w:hint="eastAsia"/>
              </w:rPr>
              <w:t>或“桂建云”信息为准，否则评审时不予承认。</w:t>
            </w:r>
          </w:p>
        </w:tc>
        <w:tc>
          <w:tcPr>
            <w:tcW w:w="720" w:type="dxa"/>
            <w:vAlign w:val="center"/>
          </w:tcPr>
          <w:p>
            <w:pPr>
              <w:spacing w:line="360" w:lineRule="auto"/>
              <w:jc w:val="center"/>
            </w:pPr>
            <w:r>
              <w:t>5.0</w:t>
            </w:r>
          </w:p>
        </w:tc>
      </w:tr>
    </w:tbl>
    <w:p>
      <w:pPr>
        <w:rPr>
          <w:rFonts w:ascii="宋体" w:hAnsi="宋体" w:eastAsia="宋体" w:cs="宋体"/>
          <w:b/>
          <w:bCs/>
          <w:sz w:val="24"/>
        </w:rPr>
      </w:pPr>
    </w:p>
    <w:p/>
    <w:p/>
    <w:p/>
    <w:p/>
    <w:p/>
    <w:p/>
    <w:p/>
    <w:p>
      <w:pPr>
        <w:spacing w:before="0" w:line="360" w:lineRule="auto"/>
        <w:ind w:right="0" w:firstLine="0" w:firstLineChars="0"/>
        <w:rPr>
          <w:rFonts w:hint="eastAsia" w:ascii="新宋体" w:hAnsi="新宋体" w:eastAsia="新宋体" w:cs="新宋体"/>
          <w:spacing w:val="10"/>
        </w:rPr>
      </w:pPr>
    </w:p>
    <w:p/>
    <w:p/>
    <w:sectPr>
      <w:pgSz w:w="11910" w:h="16845"/>
      <w:pgMar w:top="400" w:right="960" w:bottom="1226" w:left="1321" w:header="0" w:footer="1062" w:gutter="0"/>
      <w:cols w:space="720" w:num="1"/>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20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2026-04-08T07:56:19Z</dcterms:created>
  <dc:creator>lvyang.wz</dc:creator>
  <cp:lastModifiedBy>lvyang.wz</cp:lastModifiedBy>
  <dcterms:modified xsi:type="dcterms:W3CDTF">2026-04-08T07:56:28Z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CA22A45FF81749A2901FA1DCA77F3FE4</vt:lpwstr>
  </property>
</Properties>
</file>