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118386571"/>
      <w:r>
        <w:rPr>
          <w:b/>
          <w:bCs/>
          <w:highlight w:val="none"/>
        </w:rPr>
        <mc:AlternateContent>
          <mc:Choice Requires="wps">
            <w:drawing>
              <wp:anchor distT="45720" distB="45720" distL="114300" distR="114300" simplePos="0" relativeHeight="251660288" behindDoc="0" locked="0" layoutInCell="1" allowOverlap="1">
                <wp:simplePos x="0" y="0"/>
                <wp:positionH relativeFrom="column">
                  <wp:posOffset>-734695</wp:posOffset>
                </wp:positionH>
                <wp:positionV relativeFrom="paragraph">
                  <wp:posOffset>2705100</wp:posOffset>
                </wp:positionV>
                <wp:extent cx="6565265" cy="1347470"/>
                <wp:effectExtent l="0" t="0" r="0" b="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565265" cy="1347470"/>
                        </a:xfrm>
                        <a:prstGeom prst="rect">
                          <a:avLst/>
                        </a:prstGeom>
                        <a:noFill/>
                        <a:ln w="9525">
                          <a:noFill/>
                          <a:miter lim="800000"/>
                        </a:ln>
                      </wps:spPr>
                      <wps:txbx>
                        <w:txbxContent>
                          <w:p>
                            <w:pPr>
                              <w:spacing w:line="0" w:lineRule="atLeast"/>
                              <w:ind w:firstLine="520" w:firstLineChars="100"/>
                              <w:jc w:val="right"/>
                              <w:rPr>
                                <w:rFonts w:hint="eastAsia" w:ascii="思源宋体 Heavy" w:hAnsi="思源宋体 Heavy" w:eastAsia="思源宋体 Heavy"/>
                                <w:b w:val="0"/>
                                <w:bCs w:val="0"/>
                                <w:color w:val="003A74"/>
                                <w:sz w:val="52"/>
                                <w:szCs w:val="56"/>
                              </w:rPr>
                            </w:pPr>
                            <w:r>
                              <w:rPr>
                                <w:rFonts w:hint="eastAsia" w:ascii="思源宋体 Heavy" w:hAnsi="思源宋体 Heavy" w:eastAsia="思源宋体 Heavy"/>
                                <w:b w:val="0"/>
                                <w:bCs w:val="0"/>
                                <w:color w:val="003A74"/>
                                <w:sz w:val="52"/>
                                <w:szCs w:val="56"/>
                              </w:rPr>
                              <w:t>南方区域电力现货市场技术支持系统</w:t>
                            </w:r>
                          </w:p>
                          <w:p>
                            <w:pPr>
                              <w:spacing w:line="0" w:lineRule="atLeast"/>
                              <w:ind w:firstLine="520" w:firstLineChars="100"/>
                              <w:jc w:val="right"/>
                              <w:rPr>
                                <w:rFonts w:hint="default" w:ascii="思源宋体 Heavy" w:hAnsi="思源宋体 Heavy" w:eastAsia="思源宋体 Heavy"/>
                                <w:color w:val="003A74"/>
                                <w:sz w:val="52"/>
                                <w:szCs w:val="56"/>
                                <w:lang w:val="en-US" w:eastAsia="zh-CN"/>
                              </w:rPr>
                            </w:pPr>
                            <w:r>
                              <w:rPr>
                                <w:rFonts w:hint="eastAsia" w:ascii="思源宋体 Heavy" w:hAnsi="思源宋体 Heavy" w:eastAsia="思源宋体 Heavy"/>
                                <w:b w:val="0"/>
                                <w:bCs w:val="0"/>
                                <w:color w:val="003A74"/>
                                <w:sz w:val="52"/>
                                <w:szCs w:val="56"/>
                              </w:rPr>
                              <w:t>19项功能加装项目</w:t>
                            </w:r>
                            <w:r>
                              <w:rPr>
                                <w:rFonts w:hint="eastAsia" w:ascii="思源宋体 Heavy" w:hAnsi="思源宋体 Heavy" w:eastAsia="思源宋体 Heavy"/>
                                <w:b w:val="0"/>
                                <w:bCs w:val="0"/>
                                <w:color w:val="003A74"/>
                                <w:sz w:val="52"/>
                                <w:szCs w:val="56"/>
                                <w:lang w:val="en-US" w:eastAsia="zh-CN"/>
                              </w:rPr>
                              <w:t>-标包1</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57.85pt;margin-top:213pt;height:106.1pt;width:516.95pt;mso-wrap-distance-bottom:3.6pt;mso-wrap-distance-left:9pt;mso-wrap-distance-right:9pt;mso-wrap-distance-top:3.6pt;z-index:251660288;mso-width-relative:page;mso-height-relative:page;" filled="f" stroked="f" coordsize="21600,21600" o:gfxdata="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lEGRNkAAAAMAQAADwAAAAAAAAABACAAAAAiAAAAZHJzL2Rvd25yZXYueG1sUEsBAhQAFAAA&#10;AAgAh07iQAdgQYknAgAALAQAAA4AAAAAAAAAAQAgAAAAKAEAAGRycy9lMm9Eb2MueG1sUEsFBgAA&#10;AAAGAAYAWQEAAMEFAAAAAA==&#10;">
                <v:fill on="f" focussize="0,0"/>
                <v:stroke on="f" miterlimit="8" joinstyle="miter"/>
                <v:imagedata o:title=""/>
                <o:lock v:ext="edit" aspectratio="f"/>
                <v:textbox>
                  <w:txbxContent>
                    <w:p>
                      <w:pPr>
                        <w:spacing w:line="0" w:lineRule="atLeast"/>
                        <w:ind w:firstLine="520" w:firstLineChars="100"/>
                        <w:jc w:val="right"/>
                        <w:rPr>
                          <w:rFonts w:hint="eastAsia" w:ascii="思源宋体 Heavy" w:hAnsi="思源宋体 Heavy" w:eastAsia="思源宋体 Heavy"/>
                          <w:b w:val="0"/>
                          <w:bCs w:val="0"/>
                          <w:color w:val="003A74"/>
                          <w:sz w:val="52"/>
                          <w:szCs w:val="56"/>
                        </w:rPr>
                      </w:pPr>
                      <w:r>
                        <w:rPr>
                          <w:rFonts w:hint="eastAsia" w:ascii="思源宋体 Heavy" w:hAnsi="思源宋体 Heavy" w:eastAsia="思源宋体 Heavy"/>
                          <w:b w:val="0"/>
                          <w:bCs w:val="0"/>
                          <w:color w:val="003A74"/>
                          <w:sz w:val="52"/>
                          <w:szCs w:val="56"/>
                        </w:rPr>
                        <w:t>南方区域电力现货市场技术支持系统</w:t>
                      </w:r>
                    </w:p>
                    <w:p>
                      <w:pPr>
                        <w:spacing w:line="0" w:lineRule="atLeast"/>
                        <w:ind w:firstLine="520" w:firstLineChars="100"/>
                        <w:jc w:val="right"/>
                        <w:rPr>
                          <w:rFonts w:hint="default" w:ascii="思源宋体 Heavy" w:hAnsi="思源宋体 Heavy" w:eastAsia="思源宋体 Heavy"/>
                          <w:color w:val="003A74"/>
                          <w:sz w:val="52"/>
                          <w:szCs w:val="56"/>
                          <w:lang w:val="en-US" w:eastAsia="zh-CN"/>
                        </w:rPr>
                      </w:pPr>
                      <w:r>
                        <w:rPr>
                          <w:rFonts w:hint="eastAsia" w:ascii="思源宋体 Heavy" w:hAnsi="思源宋体 Heavy" w:eastAsia="思源宋体 Heavy"/>
                          <w:b w:val="0"/>
                          <w:bCs w:val="0"/>
                          <w:color w:val="003A74"/>
                          <w:sz w:val="52"/>
                          <w:szCs w:val="56"/>
                        </w:rPr>
                        <w:t>19项功能加装项目</w:t>
                      </w:r>
                      <w:r>
                        <w:rPr>
                          <w:rFonts w:hint="eastAsia" w:ascii="思源宋体 Heavy" w:hAnsi="思源宋体 Heavy" w:eastAsia="思源宋体 Heavy"/>
                          <w:b w:val="0"/>
                          <w:bCs w:val="0"/>
                          <w:color w:val="003A74"/>
                          <w:sz w:val="52"/>
                          <w:szCs w:val="56"/>
                          <w:lang w:val="en-US" w:eastAsia="zh-CN"/>
                        </w:rPr>
                        <w:t>-标包1</w:t>
                      </w:r>
                    </w:p>
                  </w:txbxContent>
                </v:textbox>
                <w10:wrap type="square"/>
              </v:shape>
            </w:pict>
          </mc:Fallback>
        </mc:AlternateContent>
      </w:r>
      <w:r>
        <w:rPr>
          <w:b/>
          <w:bCs/>
          <w:color w:val="003AA6"/>
          <w:highlight w:val="none"/>
        </w:rPr>
        <mc:AlternateContent>
          <mc:Choice Requires="wps">
            <w:drawing>
              <wp:anchor distT="0" distB="0" distL="114300" distR="114300" simplePos="0" relativeHeight="251662336" behindDoc="0" locked="0" layoutInCell="1" allowOverlap="1">
                <wp:simplePos x="0" y="0"/>
                <wp:positionH relativeFrom="column">
                  <wp:posOffset>866775</wp:posOffset>
                </wp:positionH>
                <wp:positionV relativeFrom="paragraph">
                  <wp:posOffset>3951605</wp:posOffset>
                </wp:positionV>
                <wp:extent cx="4855845"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4855845" cy="0"/>
                        </a:xfrm>
                        <a:prstGeom prst="line">
                          <a:avLst/>
                        </a:prstGeom>
                        <a:ln>
                          <a:solidFill>
                            <a:srgbClr val="003A74"/>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68.25pt;margin-top:311.15pt;height:0pt;width:382.35pt;z-index:251662336;mso-width-relative:page;mso-height-relative:page;" filled="f" stroked="t" coordsize="21600,21600" o:gfxdata="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1XI7&#10;RdcAAAALAQAADwAAAAAAAAABACAAAAAiAAAAZHJzL2Rvd25yZXYueG1sUEsBAhQAFAAAAAgAh07i&#10;QAQBT3fqAQAAsQMAAA4AAAAAAAAAAQAgAAAAJgEAAGRycy9lMm9Eb2MueG1sUEsFBgAAAAAGAAYA&#10;WQEAAIIFAAAAAA==&#10;">
                <v:fill on="f" focussize="0,0"/>
                <v:stroke weight="0.5pt" color="#003A74 [3204]" miterlimit="8" joinstyle="miter"/>
                <v:imagedata o:title=""/>
                <o:lock v:ext="edit" aspectratio="f"/>
              </v:line>
            </w:pict>
          </mc:Fallback>
        </mc:AlternateContent>
      </w:r>
      <w:r>
        <w:rPr>
          <w:b/>
          <w:bCs/>
          <w:highlight w:val="none"/>
        </w:rPr>
        <mc:AlternateContent>
          <mc:Choice Requires="wps">
            <w:drawing>
              <wp:anchor distT="45720" distB="45720" distL="114300" distR="114300" simplePos="0" relativeHeight="251661312" behindDoc="0" locked="0" layoutInCell="1" allowOverlap="1">
                <wp:simplePos x="0" y="0"/>
                <wp:positionH relativeFrom="column">
                  <wp:posOffset>180340</wp:posOffset>
                </wp:positionH>
                <wp:positionV relativeFrom="paragraph">
                  <wp:posOffset>4381500</wp:posOffset>
                </wp:positionV>
                <wp:extent cx="5488305" cy="1064895"/>
                <wp:effectExtent l="0" t="0" r="0" b="0"/>
                <wp:wrapSquare wrapText="bothSides"/>
                <wp:docPr id="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88305" cy="1064895"/>
                        </a:xfrm>
                        <a:prstGeom prst="rect">
                          <a:avLst/>
                        </a:prstGeom>
                        <a:noFill/>
                        <a:ln w="9525">
                          <a:noFill/>
                          <a:miter lim="800000"/>
                        </a:ln>
                      </wps:spPr>
                      <wps:txbx>
                        <w:txbxContent>
                          <w:p>
                            <w:pPr>
                              <w:spacing w:line="0" w:lineRule="atLeast"/>
                              <w:jc w:val="right"/>
                              <w:rPr>
                                <w:rFonts w:hint="default" w:ascii="思源黑体 HW Bold" w:hAnsi="思源黑体 HW Bold" w:eastAsia="思源黑体 HW Bold"/>
                                <w:b/>
                                <w:bCs/>
                                <w:color w:val="003A74"/>
                                <w:sz w:val="96"/>
                                <w:szCs w:val="144"/>
                                <w:lang w:val="en-US" w:eastAsia="zh-CN"/>
                              </w:rPr>
                            </w:pPr>
                            <w:r>
                              <w:rPr>
                                <w:rFonts w:hint="eastAsia" w:ascii="思源黑体 HW Bold" w:hAnsi="思源黑体 HW Bold" w:eastAsia="思源黑体 HW Bold"/>
                                <w:b/>
                                <w:bCs/>
                                <w:color w:val="003A74"/>
                                <w:sz w:val="80"/>
                                <w:szCs w:val="80"/>
                                <w:lang w:val="en-US" w:eastAsia="zh-CN"/>
                              </w:rPr>
                              <w:t>技术规范书</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4.2pt;margin-top:345pt;height:83.85pt;width:432.15pt;mso-wrap-distance-bottom:3.6pt;mso-wrap-distance-left:9pt;mso-wrap-distance-right:9pt;mso-wrap-distance-top:3.6pt;z-index:251661312;mso-width-relative:page;mso-height-relative:page;" filled="f" stroked="f" coordsize="21600,21600" o:gfxdata="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gQ&#10;KYbYAAAACgEAAA8AAAAAAAAAAQAgAAAAIgAAAGRycy9kb3ducmV2LnhtbFBLAQIUABQAAAAIAIdO&#10;4kCsL0DnIwIAACoEAAAOAAAAAAAAAAEAIAAAACcBAABkcnMvZTJvRG9jLnhtbFBLBQYAAAAABgAG&#10;AFkBAAC8BQAAAAA=&#10;">
                <v:fill on="f" focussize="0,0"/>
                <v:stroke on="f" miterlimit="8" joinstyle="miter"/>
                <v:imagedata o:title=""/>
                <o:lock v:ext="edit" aspectratio="f"/>
                <v:textbox>
                  <w:txbxContent>
                    <w:p>
                      <w:pPr>
                        <w:spacing w:line="0" w:lineRule="atLeast"/>
                        <w:jc w:val="right"/>
                        <w:rPr>
                          <w:rFonts w:hint="default" w:ascii="思源黑体 HW Bold" w:hAnsi="思源黑体 HW Bold" w:eastAsia="思源黑体 HW Bold"/>
                          <w:b/>
                          <w:bCs/>
                          <w:color w:val="003A74"/>
                          <w:sz w:val="96"/>
                          <w:szCs w:val="144"/>
                          <w:lang w:val="en-US" w:eastAsia="zh-CN"/>
                        </w:rPr>
                      </w:pPr>
                      <w:r>
                        <w:rPr>
                          <w:rFonts w:hint="eastAsia" w:ascii="思源黑体 HW Bold" w:hAnsi="思源黑体 HW Bold" w:eastAsia="思源黑体 HW Bold"/>
                          <w:b/>
                          <w:bCs/>
                          <w:color w:val="003A74"/>
                          <w:sz w:val="80"/>
                          <w:szCs w:val="80"/>
                          <w:lang w:val="en-US" w:eastAsia="zh-CN"/>
                        </w:rPr>
                        <w:t>技术规范书</w:t>
                      </w:r>
                    </w:p>
                  </w:txbxContent>
                </v:textbox>
                <w10:wrap type="square"/>
              </v:shape>
            </w:pict>
          </mc:Fallback>
        </mc:AlternateContent>
      </w:r>
      <w:bookmarkStart w:id="37" w:name="_GoBack"/>
      <w:r>
        <w:rPr>
          <w:rFonts w:hint="eastAsia" w:ascii="黑体" w:hAnsi="黑体" w:eastAsia="黑体" w:cs="黑体"/>
          <w:b w:val="0"/>
          <w:bCs w:val="0"/>
          <w:color w:val="auto"/>
          <w:sz w:val="32"/>
          <w:szCs w:val="32"/>
          <w:highlight w:val="none"/>
          <w:lang w:val="en-US" w:eastAsia="zh-CN"/>
        </w:rPr>
        <w:drawing>
          <wp:anchor distT="0" distB="0" distL="114300" distR="114300" simplePos="0" relativeHeight="251659264" behindDoc="1" locked="0" layoutInCell="1" allowOverlap="1">
            <wp:simplePos x="0" y="0"/>
            <wp:positionH relativeFrom="column">
              <wp:posOffset>-1163320</wp:posOffset>
            </wp:positionH>
            <wp:positionV relativeFrom="paragraph">
              <wp:posOffset>-997585</wp:posOffset>
            </wp:positionV>
            <wp:extent cx="7765415" cy="10979150"/>
            <wp:effectExtent l="0" t="0" r="6985" b="0"/>
            <wp:wrapNone/>
            <wp:docPr id="5" name="图片 3" descr="D:\2021文件夹\南方电网\20210531——南网VI完稿修改\中国南方电网2021版交接设计稿\应用文件AI\B办公事务系统\未标题-2_画板 1.png未标题-2_画板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D:\2021文件夹\南方电网\20210531——南网VI完稿修改\中国南方电网2021版交接设计稿\应用文件AI\B办公事务系统\未标题-2_画板 1.png未标题-2_画板 1"/>
                    <pic:cNvPicPr>
                      <a:picLocks noChangeAspect="1" noChangeArrowheads="1"/>
                    </pic:cNvPicPr>
                  </pic:nvPicPr>
                  <pic:blipFill>
                    <a:blip r:embed="rId7"/>
                    <a:srcRect/>
                    <a:stretch>
                      <a:fillRect/>
                    </a:stretch>
                  </pic:blipFill>
                  <pic:spPr>
                    <a:xfrm>
                      <a:off x="0" y="0"/>
                      <a:ext cx="7765415" cy="10979150"/>
                    </a:xfrm>
                    <a:prstGeom prst="rect">
                      <a:avLst/>
                    </a:prstGeom>
                    <a:noFill/>
                    <a:ln w="9525">
                      <a:noFill/>
                      <a:miter lim="800000"/>
                      <a:headEnd/>
                      <a:tailEnd/>
                    </a:ln>
                  </pic:spPr>
                </pic:pic>
              </a:graphicData>
            </a:graphic>
          </wp:anchor>
        </w:drawing>
      </w:r>
      <w:bookmarkEnd w:id="37"/>
      <w:r>
        <w:br w:type="page"/>
      </w:r>
    </w:p>
    <w:p>
      <w:pPr>
        <w:pStyle w:val="2"/>
      </w:pPr>
      <w:r>
        <w:t>总则</w:t>
      </w:r>
    </w:p>
    <w:p>
      <w:pPr>
        <w:pStyle w:val="3"/>
        <w:widowControl w:val="0"/>
        <w:rPr>
          <w:rFonts w:ascii="Times New Roman" w:hAnsi="Times New Roman"/>
          <w:szCs w:val="24"/>
        </w:rPr>
      </w:pPr>
      <w:bookmarkStart w:id="1" w:name="_Toc295832955"/>
      <w:bookmarkStart w:id="2" w:name="_Toc334776434"/>
      <w:bookmarkStart w:id="3" w:name="_Toc212105338"/>
      <w:bookmarkStart w:id="4" w:name="_Toc293491539"/>
      <w:bookmarkStart w:id="5" w:name="_Toc293491645"/>
      <w:bookmarkStart w:id="6" w:name="_Toc219085912"/>
      <w:r>
        <w:rPr>
          <w:rFonts w:ascii="Times New Roman" w:hAnsi="Times New Roman"/>
          <w:szCs w:val="24"/>
        </w:rPr>
        <w:t>概述</w:t>
      </w:r>
      <w:bookmarkEnd w:id="1"/>
      <w:bookmarkEnd w:id="2"/>
      <w:bookmarkEnd w:id="3"/>
      <w:bookmarkEnd w:id="4"/>
      <w:bookmarkEnd w:id="5"/>
      <w:bookmarkEnd w:id="6"/>
    </w:p>
    <w:p>
      <w:pPr>
        <w:tabs>
          <w:tab w:val="left" w:pos="0"/>
          <w:tab w:val="left" w:pos="960"/>
        </w:tabs>
        <w:adjustRightInd w:val="0"/>
        <w:snapToGrid w:val="0"/>
        <w:ind w:firstLine="480" w:firstLineChars="200"/>
      </w:pPr>
      <w:r>
        <w:rPr>
          <w:rFonts w:hint="eastAsia"/>
        </w:rPr>
        <w:t>（1）本项目的招标方是中国南方电网有限责任公司，最终用户是中国南方电力调度控制中心（以下简称南方总调）。</w:t>
      </w:r>
    </w:p>
    <w:p>
      <w:pPr>
        <w:ind w:firstLine="480" w:firstLineChars="200"/>
        <w:rPr>
          <w:rFonts w:hint="eastAsia" w:ascii="宋体" w:hAnsi="宋体" w:cs="宋体"/>
        </w:rPr>
      </w:pPr>
      <w:r>
        <w:rPr>
          <w:rFonts w:hint="eastAsia" w:ascii="宋体" w:hAnsi="宋体" w:cs="宋体"/>
        </w:rPr>
        <w:t>（2）</w:t>
      </w:r>
      <w:r>
        <w:t>本技术规范书为</w:t>
      </w:r>
      <w:r>
        <w:rPr>
          <w:rFonts w:hint="eastAsia"/>
        </w:rPr>
        <w:t>南方区域电力现货市场技术支持系统19项功能加装项目</w:t>
      </w:r>
      <w:r>
        <w:rPr>
          <w:rFonts w:hint="eastAsia" w:ascii="宋体" w:hAnsi="宋体" w:cs="宋体"/>
        </w:rPr>
        <w:t>提出技术的规范要求和说明，内容包括</w:t>
      </w:r>
      <w:r>
        <w:rPr>
          <w:rFonts w:hint="eastAsia"/>
          <w:color w:val="000000" w:themeColor="text1"/>
          <w:lang w:val="en-US" w:eastAsia="zh-CN"/>
          <w14:textFill>
            <w14:solidFill>
              <w14:schemeClr w14:val="tx1"/>
            </w14:solidFill>
          </w14:textFill>
        </w:rPr>
        <w:t>现货系统镜像测试功能加装、现货系统测试分析功能加装、现货系统可靠性机组组合分离平台功能加装、现货系统适应跨经营区交易平台功能加装</w:t>
      </w:r>
      <w:r>
        <w:rPr>
          <w:rFonts w:hint="eastAsia" w:ascii="宋体" w:hAnsi="宋体" w:cs="宋体"/>
        </w:rPr>
        <w:t>等14项软件开发和集成部署。投标方应仔细阅读包括本技术规范书在内的招标文件的所有条款，一旦应标，即表示认可本技术规范书的所有条款，其提供的技术方案应符合或优于本招标技术规范书所规定的所有要求。</w:t>
      </w:r>
    </w:p>
    <w:p>
      <w:pPr>
        <w:ind w:firstLine="480" w:firstLineChars="200"/>
        <w:rPr>
          <w:rFonts w:hint="eastAsia" w:ascii="宋体" w:hAnsi="宋体" w:cs="宋体"/>
        </w:rPr>
      </w:pPr>
      <w:r>
        <w:rPr>
          <w:rFonts w:hint="eastAsia" w:ascii="宋体" w:hAnsi="宋体" w:cs="宋体"/>
        </w:rPr>
        <w:t>（3）本技术规范书提出的要求是最低限度的技术要求，并未对一切技术细节做出规定，也未充分引述有关标准和规范的条文。投标者应提供符合国际和国内相关领域最新版本的标准和本规范书要求的技术方案。</w:t>
      </w:r>
    </w:p>
    <w:p>
      <w:pPr>
        <w:ind w:firstLine="480" w:firstLineChars="200"/>
        <w:rPr>
          <w:rFonts w:hint="eastAsia" w:ascii="宋体" w:hAnsi="宋体" w:cs="宋体"/>
        </w:rPr>
      </w:pPr>
      <w:r>
        <w:rPr>
          <w:rFonts w:hint="eastAsia" w:ascii="宋体" w:hAnsi="宋体" w:cs="宋体"/>
        </w:rPr>
        <w:t>（4）本技术规范书所使用的标准如与投标方所执行的标准不一致时，按高标准执行。如本技术规范书中在不同的地方对相同的软件模块提出了不同的指标要求，均以较高的要求为准。</w:t>
      </w:r>
    </w:p>
    <w:p>
      <w:pPr>
        <w:ind w:firstLine="480" w:firstLineChars="200"/>
        <w:rPr>
          <w:rFonts w:hint="eastAsia" w:ascii="宋体" w:hAnsi="宋体" w:cs="宋体"/>
        </w:rPr>
      </w:pPr>
      <w:r>
        <w:rPr>
          <w:rFonts w:hint="eastAsia" w:ascii="宋体" w:hAnsi="宋体" w:cs="宋体"/>
        </w:rPr>
        <w:t>（5）技术规范书经买卖双方确认后，作为合同的附件，与合同正文具有同等的法律效力。</w:t>
      </w:r>
    </w:p>
    <w:p>
      <w:pPr>
        <w:ind w:firstLine="480" w:firstLineChars="200"/>
        <w:rPr>
          <w:rFonts w:hint="eastAsia" w:ascii="宋体" w:hAnsi="宋体" w:cs="宋体"/>
        </w:rPr>
      </w:pPr>
      <w:r>
        <w:rPr>
          <w:rFonts w:hint="eastAsia" w:ascii="宋体" w:hAnsi="宋体" w:cs="宋体"/>
        </w:rPr>
        <w:t>（6）用户保留使用投标商投标软件单价采购其中部分软件的权利。</w:t>
      </w:r>
    </w:p>
    <w:p>
      <w:pPr>
        <w:ind w:firstLine="480" w:firstLineChars="200"/>
        <w:rPr>
          <w:rFonts w:hint="eastAsia" w:ascii="宋体" w:hAnsi="宋体" w:cs="宋体"/>
        </w:rPr>
      </w:pPr>
      <w:r>
        <w:rPr>
          <w:rFonts w:hint="eastAsia" w:ascii="宋体" w:hAnsi="宋体" w:cs="宋体"/>
        </w:rPr>
        <w:t>（</w:t>
      </w:r>
      <w:r>
        <w:rPr>
          <w:rFonts w:ascii="宋体" w:hAnsi="宋体" w:cs="宋体"/>
        </w:rPr>
        <w:t>7</w:t>
      </w:r>
      <w:r>
        <w:rPr>
          <w:rFonts w:hint="eastAsia" w:ascii="宋体" w:hAnsi="宋体" w:cs="宋体"/>
        </w:rPr>
        <w:t>）本技术规范书未尽事宜，由招标方和投标方在合同技术谈判时双方协商确定。投标者应保证对本次招标所有技术说明文件保密，在招标前和招标后不得向其他单位公布招标项目单位的有关材料。</w:t>
      </w:r>
    </w:p>
    <w:p>
      <w:pPr>
        <w:ind w:firstLine="480" w:firstLineChars="200"/>
        <w:rPr>
          <w:rFonts w:hint="eastAsia" w:ascii="宋体" w:hAnsi="宋体" w:cs="宋体"/>
        </w:rPr>
      </w:pPr>
      <w:r>
        <w:rPr>
          <w:rFonts w:hint="eastAsia" w:ascii="宋体" w:hAnsi="宋体" w:cs="宋体"/>
        </w:rPr>
        <w:t>（</w:t>
      </w:r>
      <w:r>
        <w:rPr>
          <w:rFonts w:ascii="宋体" w:hAnsi="宋体" w:cs="宋体"/>
        </w:rPr>
        <w:t>8</w:t>
      </w:r>
      <w:r>
        <w:rPr>
          <w:rFonts w:hint="eastAsia" w:ascii="宋体" w:hAnsi="宋体" w:cs="宋体"/>
        </w:rPr>
        <w:t>）在合同生效期间，下述文件与合同具有同等法律效力：双方确认的测试和验收文件；所有投标方对技术规范书的澄清并经招标方确认的文件。</w:t>
      </w:r>
    </w:p>
    <w:p>
      <w:pPr>
        <w:tabs>
          <w:tab w:val="left" w:pos="0"/>
          <w:tab w:val="left" w:pos="960"/>
        </w:tabs>
        <w:adjustRightInd w:val="0"/>
        <w:snapToGrid w:val="0"/>
        <w:ind w:firstLine="480" w:firstLineChars="200"/>
        <w:rPr>
          <w:rFonts w:hint="eastAsia" w:ascii="宋体" w:hAnsi="宋体" w:cs="宋体"/>
        </w:rPr>
      </w:pPr>
      <w:r>
        <w:rPr>
          <w:rFonts w:hint="eastAsia" w:ascii="宋体" w:hAnsi="宋体" w:cs="宋体"/>
        </w:rPr>
        <w:t>（</w:t>
      </w:r>
      <w:r>
        <w:rPr>
          <w:rFonts w:ascii="宋体" w:hAnsi="宋体" w:cs="宋体"/>
        </w:rPr>
        <w:t>9</w:t>
      </w:r>
      <w:r>
        <w:rPr>
          <w:rFonts w:hint="eastAsia" w:ascii="宋体" w:hAnsi="宋体" w:cs="宋体"/>
        </w:rPr>
        <w:t>）本项目为技改项目，为满足项目工程建设需求，投标方所提供的工程成果必须满足本招标文件的所有技术要求条款，并按要求提供相关证明文件。投标方若无法满足相应条款，则视为不具备本项目投标资格。若实际不满足仍然响应满足的，招标人将取消投标人的</w:t>
      </w:r>
      <w:r>
        <w:rPr>
          <w:rFonts w:hint="eastAsia" w:ascii="宋体" w:hAnsi="宋体" w:cs="宋体"/>
          <w:bCs/>
        </w:rPr>
        <w:t>投标</w:t>
      </w:r>
      <w:r>
        <w:rPr>
          <w:rFonts w:hint="eastAsia" w:ascii="宋体" w:hAnsi="宋体" w:cs="宋体"/>
        </w:rPr>
        <w:t>资格，并没收投标保证金，同时保留追究商业欺诈罪法律责任的权利。</w:t>
      </w:r>
    </w:p>
    <w:p>
      <w:pPr>
        <w:pStyle w:val="3"/>
        <w:widowControl w:val="0"/>
        <w:rPr>
          <w:rFonts w:ascii="Times New Roman" w:hAnsi="Times New Roman"/>
          <w:szCs w:val="24"/>
        </w:rPr>
      </w:pPr>
      <w:r>
        <w:rPr>
          <w:rFonts w:hint="eastAsia" w:ascii="Times New Roman" w:hAnsi="Times New Roman"/>
          <w:szCs w:val="24"/>
        </w:rPr>
        <w:t>投标须知</w:t>
      </w:r>
    </w:p>
    <w:p>
      <w:pPr>
        <w:tabs>
          <w:tab w:val="left" w:pos="0"/>
          <w:tab w:val="left" w:pos="960"/>
        </w:tabs>
        <w:adjustRightInd w:val="0"/>
        <w:snapToGrid w:val="0"/>
        <w:ind w:firstLine="480" w:firstLineChars="200"/>
      </w:pPr>
      <w:r>
        <w:rPr>
          <w:rFonts w:hint="eastAsia"/>
        </w:rPr>
        <w:t>a)本招标技术规范书中提出的仅为最低限度的技术要求，并未对一切技术细节作出规定，也未充分引述有关标准和规范的条文，投标方应提供符合相关标准和本技术规范的产品。本技术规范所使用的标准如与国家、行业、公司以及投标方所执行的标准不一致时，按要求较高的标准执行。</w:t>
      </w:r>
    </w:p>
    <w:p>
      <w:pPr>
        <w:tabs>
          <w:tab w:val="left" w:pos="0"/>
          <w:tab w:val="left" w:pos="960"/>
        </w:tabs>
        <w:adjustRightInd w:val="0"/>
        <w:snapToGrid w:val="0"/>
        <w:ind w:firstLine="480" w:firstLineChars="200"/>
      </w:pPr>
      <w:r>
        <w:rPr>
          <w:rFonts w:hint="eastAsia"/>
        </w:rPr>
        <w:t>b)投标方应仔细阅读包括本招标技术规范书在内的招标文件的所有条款，并根据招标技术规范书中的要求和范围进行技术方案的设计，其提供的系统技术方案应满足招标文件所规定的所有要求。投标方也可推荐能满足招标文件要求的类似的或更优的产品和方案，但投标方必须详细标明技术差异。未在技术差异表中说明的条款意味着投标方认可其所提供的产品及服务等的相应部分完全符合或高于本技术规范相应的要求，投标方中标后除非经过招标方书面同意，否则不得以任何理由提供低于本技术规范要求的相应的产品及服务等。</w:t>
      </w:r>
    </w:p>
    <w:p>
      <w:pPr>
        <w:tabs>
          <w:tab w:val="left" w:pos="0"/>
          <w:tab w:val="left" w:pos="960"/>
        </w:tabs>
        <w:adjustRightInd w:val="0"/>
        <w:snapToGrid w:val="0"/>
        <w:ind w:firstLine="480" w:firstLineChars="200"/>
      </w:pPr>
      <w:r>
        <w:rPr>
          <w:rFonts w:hint="eastAsia"/>
        </w:rPr>
        <w:t>c)对于本招标技术规范书未提出但应标系统已具有的功能及技术性能指标，投标方可在其技术建议书中加以补充说明，并提供相关技术资料。如果投标方认为本招标技术规范书所描述的功能、接口、性能等要求与目标系统要求有所不一致或部分要求不合理，可在响应原要求后给出建议方案。</w:t>
      </w:r>
    </w:p>
    <w:p>
      <w:pPr>
        <w:tabs>
          <w:tab w:val="left" w:pos="0"/>
          <w:tab w:val="left" w:pos="960"/>
        </w:tabs>
        <w:adjustRightInd w:val="0"/>
        <w:snapToGrid w:val="0"/>
        <w:ind w:firstLine="480" w:firstLineChars="200"/>
      </w:pPr>
      <w:r>
        <w:rPr>
          <w:rFonts w:hint="eastAsia"/>
        </w:rPr>
        <w:t>d)对于应标系统中尚不具备或未达到相关要求的功能或性能，投标方在应答时须针对该项如实说明。投标方认为相关要求不合理的，应给出充分理由及合理的建议。投标方认为相关要求需要在现有产品基础上进一步实现或完善的，应给出实现相关技术要求的方案和进度计划。</w:t>
      </w:r>
    </w:p>
    <w:p>
      <w:pPr>
        <w:tabs>
          <w:tab w:val="left" w:pos="0"/>
          <w:tab w:val="left" w:pos="960"/>
        </w:tabs>
        <w:adjustRightInd w:val="0"/>
        <w:snapToGrid w:val="0"/>
        <w:ind w:firstLine="480" w:firstLineChars="200"/>
      </w:pPr>
      <w:r>
        <w:rPr>
          <w:rFonts w:hint="eastAsia"/>
        </w:rPr>
        <w:t>e)投标方提供的技术应答内容至少应包括技术方案(包括功能实现方案、性能指标等)、软件配置(包括商用软件模块、应用软件模块等)、工程计划(包括工程进度计划、技术联络会、技术培训计划)等。</w:t>
      </w:r>
    </w:p>
    <w:p>
      <w:pPr>
        <w:tabs>
          <w:tab w:val="left" w:pos="0"/>
          <w:tab w:val="left" w:pos="960"/>
        </w:tabs>
        <w:adjustRightInd w:val="0"/>
        <w:snapToGrid w:val="0"/>
        <w:ind w:firstLine="480" w:firstLineChars="200"/>
      </w:pPr>
      <w:r>
        <w:rPr>
          <w:rFonts w:hint="eastAsia"/>
        </w:rPr>
        <w:t>f)投标方应在技术建议书中具体说明所建议的技术方案、软件系统配置符合的有关标准(包括国际、国内标准和专用标准)，并附上相应的说明和技术资料。对每个单项产品，投标方必须提供原厂商的正式技术指标说明材料。投标方认为需特殊说明的部分应附有详细的技术资料，否则由于评标理解的不同，产生的后果由投标方负责。</w:t>
      </w:r>
    </w:p>
    <w:p>
      <w:pPr>
        <w:tabs>
          <w:tab w:val="left" w:pos="0"/>
          <w:tab w:val="left" w:pos="960"/>
        </w:tabs>
        <w:adjustRightInd w:val="0"/>
        <w:snapToGrid w:val="0"/>
        <w:ind w:firstLine="480" w:firstLineChars="200"/>
      </w:pPr>
      <w:r>
        <w:rPr>
          <w:rFonts w:hint="eastAsia"/>
        </w:rPr>
        <w:t>g)投标方提供的软件必须是标准的，技术上是成熟的，所有软件应是全新的，具有先进结构，并能在中国境内安全使用(包括软件产品必须具有在中国境内的合法使用权)，符合环保要求。</w:t>
      </w:r>
    </w:p>
    <w:p>
      <w:pPr>
        <w:tabs>
          <w:tab w:val="left" w:pos="0"/>
          <w:tab w:val="left" w:pos="960"/>
        </w:tabs>
        <w:adjustRightInd w:val="0"/>
        <w:snapToGrid w:val="0"/>
        <w:ind w:firstLine="480" w:firstLineChars="200"/>
      </w:pPr>
      <w:r>
        <w:rPr>
          <w:rFonts w:hint="eastAsia"/>
        </w:rPr>
        <w:t>h)投标方应依据本技术规范的要求及推荐的技术方案提出详细的报价清单。</w:t>
      </w:r>
    </w:p>
    <w:p>
      <w:pPr>
        <w:tabs>
          <w:tab w:val="left" w:pos="0"/>
          <w:tab w:val="left" w:pos="960"/>
        </w:tabs>
        <w:adjustRightInd w:val="0"/>
        <w:snapToGrid w:val="0"/>
        <w:ind w:firstLine="480" w:firstLineChars="200"/>
      </w:pPr>
      <w:r>
        <w:rPr>
          <w:rFonts w:hint="eastAsia"/>
        </w:rPr>
        <w:t>i)投标方的报价清单内容应该包括本次招标范围内所要求的全部软件及服务等。除已经明确说明由招标方另行采购的硬件和在报价清单中明确采购的软件及服务外，其它在本项目建设中必须的但被遗漏的设备、材料及服务，投标方应予以补充，并包含在总报价中，以保证满足招标系统的技术要求并正常运行。</w:t>
      </w:r>
    </w:p>
    <w:p>
      <w:pPr>
        <w:tabs>
          <w:tab w:val="left" w:pos="0"/>
          <w:tab w:val="left" w:pos="960"/>
        </w:tabs>
        <w:adjustRightInd w:val="0"/>
        <w:snapToGrid w:val="0"/>
        <w:ind w:firstLine="480" w:firstLineChars="200"/>
      </w:pPr>
      <w:r>
        <w:rPr>
          <w:rFonts w:hint="eastAsia"/>
        </w:rPr>
        <w:t>j)投标方的投标文件应以中文简体编写(原厂商的资料可为英文)，所有的计算、说明和图纸等均应采用国际单位。投标方应保证对本次招标的所有技术说明文件保密，在招标前和招标后不得向其他单位公布招标项目单位的有关材料。</w:t>
      </w:r>
    </w:p>
    <w:p>
      <w:pPr>
        <w:tabs>
          <w:tab w:val="left" w:pos="0"/>
          <w:tab w:val="left" w:pos="960"/>
        </w:tabs>
        <w:adjustRightInd w:val="0"/>
        <w:snapToGrid w:val="0"/>
        <w:ind w:firstLine="480" w:firstLineChars="200"/>
      </w:pPr>
      <w:r>
        <w:rPr>
          <w:rFonts w:hint="eastAsia"/>
        </w:rPr>
        <w:t>k)本招标技术规范书的解释权属于招标方。未经招标方同意，任何个人和单位对招标技术规范书所作的任何修改均无效。在未经双方商定作为订货合同技术附件之前，招标方保留对招标技术规范书进行修改的权利，投标方可以提出变更的意见和建议。招投标双方签订合同之后，招标方有权提出和投标方有责任接受因国家、行业、上级主管单位等的规范、标准和规程等发生变化及与相关系统接口要求改变所产生的一些补充要求。具体事项由招投标双方共同商定。</w:t>
      </w:r>
    </w:p>
    <w:p>
      <w:pPr>
        <w:tabs>
          <w:tab w:val="left" w:pos="0"/>
          <w:tab w:val="left" w:pos="960"/>
        </w:tabs>
        <w:adjustRightInd w:val="0"/>
        <w:snapToGrid w:val="0"/>
        <w:ind w:firstLine="480" w:firstLineChars="200"/>
      </w:pPr>
      <w:r>
        <w:rPr>
          <w:rFonts w:hint="eastAsia"/>
        </w:rPr>
        <w:t>l)本招标技术规范书在内容或技术指标上如果存在错误(包括拼写、印刷错误)，投标方应及时提出并要求招标方澄清，经招标方确认后对错误内容进行修正。</w:t>
      </w:r>
    </w:p>
    <w:p>
      <w:pPr>
        <w:tabs>
          <w:tab w:val="left" w:pos="0"/>
          <w:tab w:val="left" w:pos="960"/>
        </w:tabs>
        <w:adjustRightInd w:val="0"/>
        <w:snapToGrid w:val="0"/>
        <w:ind w:firstLine="480" w:firstLineChars="200"/>
      </w:pPr>
      <w:r>
        <w:rPr>
          <w:rFonts w:hint="eastAsia"/>
        </w:rPr>
        <w:t>m)针对本次招标的一切有效的书面通知、修改及补充，都是招标文件不可分割的部分，与招标文件具有同等法律效力。</w:t>
      </w:r>
    </w:p>
    <w:p>
      <w:pPr>
        <w:ind w:firstLine="480" w:firstLineChars="200"/>
      </w:pPr>
      <w:r>
        <w:rPr>
          <w:rFonts w:hint="eastAsia"/>
        </w:rPr>
        <w:t>n)招标技术规范书经招投标双方确认后作为合同的附件，与合同正文具有同等的法律效力。本招标技术规范书的未尽事宜，由招投标双方在合同技术谈判时协商确定，或以其它形式补充。</w:t>
      </w:r>
    </w:p>
    <w:p>
      <w:pPr>
        <w:pStyle w:val="3"/>
        <w:widowControl w:val="0"/>
        <w:rPr>
          <w:rFonts w:ascii="Times New Roman" w:hAnsi="Times New Roman"/>
          <w:szCs w:val="24"/>
        </w:rPr>
      </w:pPr>
      <w:r>
        <w:rPr>
          <w:rFonts w:hint="eastAsia" w:ascii="Times New Roman" w:hAnsi="Times New Roman"/>
          <w:szCs w:val="24"/>
        </w:rPr>
        <w:t>项目实施要求</w:t>
      </w:r>
    </w:p>
    <w:p>
      <w:pPr>
        <w:tabs>
          <w:tab w:val="left" w:pos="0"/>
          <w:tab w:val="left" w:pos="960"/>
        </w:tabs>
        <w:adjustRightInd w:val="0"/>
        <w:snapToGrid w:val="0"/>
        <w:ind w:firstLine="480" w:firstLineChars="200"/>
      </w:pPr>
      <w:r>
        <w:rPr>
          <w:rFonts w:hint="eastAsia"/>
        </w:rPr>
        <w:t>投标书应针对如下项目实施要求逐项进行确认和应答。</w:t>
      </w:r>
    </w:p>
    <w:p>
      <w:pPr>
        <w:tabs>
          <w:tab w:val="left" w:pos="0"/>
          <w:tab w:val="left" w:pos="960"/>
        </w:tabs>
        <w:adjustRightInd w:val="0"/>
        <w:snapToGrid w:val="0"/>
        <w:ind w:firstLine="480" w:firstLineChars="200"/>
      </w:pPr>
      <w:r>
        <w:rPr>
          <w:rFonts w:hint="eastAsia"/>
        </w:rPr>
        <w:t>a）本项目编制的技术标准规范，应用相关的专利技术，定制开发，知识产权及源代码归南方电网所有。投标方在技术和应用上进行创新，并在工程中开发实现，形成新的知识产权归南方电网所有。</w:t>
      </w:r>
    </w:p>
    <w:p>
      <w:pPr>
        <w:tabs>
          <w:tab w:val="left" w:pos="0"/>
          <w:tab w:val="left" w:pos="960"/>
        </w:tabs>
        <w:adjustRightInd w:val="0"/>
        <w:snapToGrid w:val="0"/>
        <w:ind w:firstLine="480" w:firstLineChars="200"/>
      </w:pPr>
      <w:r>
        <w:rPr>
          <w:rFonts w:hint="eastAsia"/>
        </w:rPr>
        <w:t>请投标方确认并列出。</w:t>
      </w:r>
    </w:p>
    <w:p>
      <w:pPr>
        <w:tabs>
          <w:tab w:val="left" w:pos="0"/>
          <w:tab w:val="left" w:pos="960"/>
        </w:tabs>
        <w:adjustRightInd w:val="0"/>
        <w:snapToGrid w:val="0"/>
        <w:ind w:firstLine="480" w:firstLineChars="200"/>
      </w:pPr>
      <w:r>
        <w:rPr>
          <w:rFonts w:hint="eastAsia"/>
        </w:rPr>
        <w:t>b）投标方对于需提供具体设计或实现方案的应答，需要提供详细的功能架构图、功能细节、实现技术，应用功能均需给出软件实现的流程框图。</w:t>
      </w:r>
    </w:p>
    <w:p>
      <w:pPr>
        <w:tabs>
          <w:tab w:val="left" w:pos="0"/>
          <w:tab w:val="left" w:pos="960"/>
        </w:tabs>
        <w:adjustRightInd w:val="0"/>
        <w:snapToGrid w:val="0"/>
        <w:ind w:firstLine="480" w:firstLineChars="200"/>
      </w:pPr>
      <w:r>
        <w:rPr>
          <w:rFonts w:hint="eastAsia"/>
        </w:rPr>
        <w:t>请投标方确认,并在投标书中相应位置逐一阐述。</w:t>
      </w:r>
    </w:p>
    <w:p>
      <w:pPr>
        <w:tabs>
          <w:tab w:val="left" w:pos="0"/>
          <w:tab w:val="left" w:pos="960"/>
        </w:tabs>
        <w:adjustRightInd w:val="0"/>
        <w:snapToGrid w:val="0"/>
        <w:ind w:firstLine="480" w:firstLineChars="200"/>
      </w:pPr>
      <w:r>
        <w:rPr>
          <w:rFonts w:hint="eastAsia"/>
        </w:rPr>
        <w:t>c）项目开发过程中，管理的变更，对工程应用场景的进一步认识，项目可能会发生调整，这种调整在不违反项目建设整体原则的前提下，投标方需确认修改，并考虑项目变动成本。</w:t>
      </w:r>
    </w:p>
    <w:p>
      <w:pPr>
        <w:tabs>
          <w:tab w:val="left" w:pos="0"/>
          <w:tab w:val="left" w:pos="960"/>
        </w:tabs>
        <w:adjustRightInd w:val="0"/>
        <w:snapToGrid w:val="0"/>
        <w:ind w:firstLine="480" w:firstLineChars="200"/>
      </w:pPr>
      <w:r>
        <w:rPr>
          <w:rFonts w:hint="eastAsia"/>
        </w:rPr>
        <w:t>请投标方确认。</w:t>
      </w:r>
    </w:p>
    <w:p>
      <w:pPr>
        <w:tabs>
          <w:tab w:val="left" w:pos="0"/>
          <w:tab w:val="left" w:pos="960"/>
        </w:tabs>
        <w:adjustRightInd w:val="0"/>
        <w:snapToGrid w:val="0"/>
        <w:ind w:firstLine="480" w:firstLineChars="200"/>
      </w:pPr>
      <w:r>
        <w:rPr>
          <w:rFonts w:hint="eastAsia"/>
        </w:rPr>
        <w:t>d）投标方应给出完整的建设开发团队组织结构和人员配置。</w:t>
      </w:r>
    </w:p>
    <w:p>
      <w:pPr>
        <w:tabs>
          <w:tab w:val="left" w:pos="0"/>
          <w:tab w:val="left" w:pos="960"/>
        </w:tabs>
        <w:adjustRightInd w:val="0"/>
        <w:snapToGrid w:val="0"/>
        <w:ind w:firstLine="480" w:firstLineChars="200"/>
      </w:pPr>
      <w:r>
        <w:rPr>
          <w:rFonts w:hint="eastAsia"/>
        </w:rPr>
        <w:t>请投标方确认。</w:t>
      </w:r>
    </w:p>
    <w:p>
      <w:pPr>
        <w:pStyle w:val="3"/>
        <w:widowControl w:val="0"/>
        <w:rPr>
          <w:rFonts w:ascii="Times New Roman" w:hAnsi="Times New Roman"/>
          <w:szCs w:val="24"/>
        </w:rPr>
      </w:pPr>
      <w:r>
        <w:rPr>
          <w:rFonts w:hint="eastAsia" w:ascii="Times New Roman" w:hAnsi="Times New Roman"/>
          <w:szCs w:val="24"/>
        </w:rPr>
        <w:t>技术应答要求</w:t>
      </w:r>
    </w:p>
    <w:p>
      <w:pPr>
        <w:tabs>
          <w:tab w:val="left" w:pos="0"/>
          <w:tab w:val="left" w:pos="960"/>
        </w:tabs>
        <w:adjustRightInd w:val="0"/>
        <w:snapToGrid w:val="0"/>
        <w:ind w:firstLine="480" w:firstLineChars="200"/>
      </w:pPr>
      <w:r>
        <w:rPr>
          <w:rFonts w:hint="eastAsia"/>
        </w:rPr>
        <w:t>a)投标方提供的技术投标书必须包括技术应答书和技术建议书两部分作为应答。投标方注意：如果技术建议书内容较多，为了评标方便，应将技术建议书与技术应答书单独成册。</w:t>
      </w:r>
    </w:p>
    <w:p>
      <w:pPr>
        <w:tabs>
          <w:tab w:val="left" w:pos="0"/>
          <w:tab w:val="left" w:pos="960"/>
        </w:tabs>
        <w:adjustRightInd w:val="0"/>
        <w:snapToGrid w:val="0"/>
        <w:ind w:firstLine="480" w:firstLineChars="200"/>
      </w:pPr>
      <w:r>
        <w:t>b</w:t>
      </w:r>
      <w:r>
        <w:rPr>
          <w:rFonts w:hint="eastAsia"/>
        </w:rPr>
        <w:t>)投标方提供的技术应答书应对技术规范书进行逐项应答。为便于评标专家详细论证投标方的技术实力、投标产品的优越性，投标方应针对投标书提出的重点应答内容，逐项给出具体实现方案。</w:t>
      </w:r>
    </w:p>
    <w:p>
      <w:pPr>
        <w:tabs>
          <w:tab w:val="left" w:pos="0"/>
          <w:tab w:val="left" w:pos="960"/>
        </w:tabs>
        <w:adjustRightInd w:val="0"/>
        <w:snapToGrid w:val="0"/>
        <w:ind w:firstLine="480" w:firstLineChars="200"/>
      </w:pPr>
      <w:r>
        <w:rPr>
          <w:rFonts w:hint="eastAsia"/>
        </w:rPr>
        <w:t>请投标方给予整体确认，确认后表明投标方能够完全满足技术规范书的所有要求；存在差异的内容，必须按要求填写技术差异表。</w:t>
      </w:r>
    </w:p>
    <w:p>
      <w:pPr>
        <w:tabs>
          <w:tab w:val="left" w:pos="0"/>
          <w:tab w:val="left" w:pos="960"/>
        </w:tabs>
        <w:adjustRightInd w:val="0"/>
        <w:snapToGrid w:val="0"/>
        <w:ind w:firstLine="480" w:firstLineChars="200"/>
      </w:pPr>
      <w:r>
        <w:rPr>
          <w:rFonts w:hint="eastAsia"/>
        </w:rPr>
        <w:t>c)投标方提供的技术建议书不应是投标方投标产品的通用产品说明，应充分突出其满足或优于本招标书技术规范的详细技术方案。为便于评标专家准备论证投标产品的优越性，投标方应充分总结投标产品的技术特征及优于招标技术规范书的主要技术特点，填写表格。</w:t>
      </w:r>
    </w:p>
    <w:p>
      <w:pPr>
        <w:tabs>
          <w:tab w:val="left" w:pos="0"/>
          <w:tab w:val="left" w:pos="960"/>
        </w:tabs>
        <w:adjustRightInd w:val="0"/>
        <w:snapToGrid w:val="0"/>
        <w:ind w:firstLine="480" w:firstLineChars="200"/>
      </w:pPr>
      <w:r>
        <w:rPr>
          <w:rFonts w:hint="eastAsia"/>
        </w:rPr>
        <w:t>d)投标方在建议书中，按本招标书中所提的技术及工程要求，对涉及到的主要产品、技术及服务，提供详细的性能参数和技术说明。投标方亦可根据自己的产品技术性能具体情况，在建议书中提出建议，并附详细资料和说明。</w:t>
      </w:r>
    </w:p>
    <w:p>
      <w:pPr>
        <w:tabs>
          <w:tab w:val="left" w:pos="0"/>
          <w:tab w:val="left" w:pos="960"/>
        </w:tabs>
        <w:adjustRightInd w:val="0"/>
        <w:snapToGrid w:val="0"/>
        <w:ind w:firstLine="480" w:firstLineChars="200"/>
      </w:pPr>
      <w:r>
        <w:rPr>
          <w:rFonts w:hint="eastAsia"/>
        </w:rPr>
        <w:t>e)投标方应随其投标书一起提供足够详细和清晰的图纸和数据，以便能够与本招标文件中的技术条款进行完整和切实的比较。这些图纸和数据应简要说明系统的设计特点，同时对与招标书要求有异或偏差之处进行准确说明。除非经招标方同意，系统的最终设计应按照这些图纸和数据的所有详细说明进行。</w:t>
      </w:r>
    </w:p>
    <w:p>
      <w:pPr>
        <w:tabs>
          <w:tab w:val="left" w:pos="0"/>
          <w:tab w:val="left" w:pos="960"/>
        </w:tabs>
        <w:adjustRightInd w:val="0"/>
        <w:snapToGrid w:val="0"/>
        <w:ind w:firstLine="480" w:firstLineChars="200"/>
      </w:pPr>
      <w:r>
        <w:rPr>
          <w:rFonts w:hint="eastAsia"/>
        </w:rPr>
        <w:t>f)投标文件中若出现相互矛盾或不一致的内容，以有利于招标方的内容为准。</w:t>
      </w:r>
    </w:p>
    <w:p>
      <w:pPr>
        <w:tabs>
          <w:tab w:val="left" w:pos="0"/>
          <w:tab w:val="left" w:pos="960"/>
        </w:tabs>
        <w:adjustRightInd w:val="0"/>
        <w:snapToGrid w:val="0"/>
        <w:ind w:firstLine="480" w:firstLineChars="200"/>
      </w:pPr>
    </w:p>
    <w:p>
      <w:pPr>
        <w:pStyle w:val="3"/>
        <w:widowControl w:val="0"/>
        <w:rPr>
          <w:rFonts w:ascii="Times New Roman" w:hAnsi="Times New Roman"/>
          <w:szCs w:val="24"/>
        </w:rPr>
      </w:pPr>
      <w:r>
        <w:rPr>
          <w:rFonts w:hint="eastAsia" w:ascii="Times New Roman" w:hAnsi="Times New Roman"/>
          <w:szCs w:val="24"/>
        </w:rPr>
        <w:t>投标方职责</w:t>
      </w:r>
    </w:p>
    <w:p>
      <w:pPr>
        <w:tabs>
          <w:tab w:val="left" w:pos="0"/>
          <w:tab w:val="left" w:pos="960"/>
        </w:tabs>
        <w:adjustRightInd w:val="0"/>
        <w:snapToGrid w:val="0"/>
        <w:ind w:firstLine="480" w:firstLineChars="200"/>
      </w:pPr>
      <w:r>
        <w:rPr>
          <w:rFonts w:hint="eastAsia"/>
        </w:rPr>
        <w:t>投标方职责包括：</w:t>
      </w:r>
    </w:p>
    <w:p>
      <w:pPr>
        <w:pStyle w:val="56"/>
        <w:widowControl w:val="0"/>
        <w:numPr>
          <w:ilvl w:val="1"/>
          <w:numId w:val="6"/>
        </w:numPr>
        <w:tabs>
          <w:tab w:val="left" w:pos="0"/>
          <w:tab w:val="left" w:pos="960"/>
        </w:tabs>
        <w:adjustRightInd w:val="0"/>
        <w:snapToGrid w:val="0"/>
        <w:ind w:left="0" w:firstLine="480" w:firstLineChars="200"/>
      </w:pPr>
      <w:bookmarkStart w:id="7" w:name="_Hlk64538068"/>
      <w:r>
        <w:rPr>
          <w:rFonts w:hint="eastAsia"/>
        </w:rPr>
        <w:t>负责设计、开发生产并在现场安装调试一套符合要求的系统，并提供相应的技术服务，保证完全符合最终技术规范的要求。</w:t>
      </w:r>
      <w:bookmarkEnd w:id="7"/>
    </w:p>
    <w:p>
      <w:pPr>
        <w:pStyle w:val="56"/>
        <w:widowControl w:val="0"/>
        <w:numPr>
          <w:ilvl w:val="1"/>
          <w:numId w:val="6"/>
        </w:numPr>
        <w:tabs>
          <w:tab w:val="left" w:pos="0"/>
          <w:tab w:val="left" w:pos="960"/>
        </w:tabs>
        <w:adjustRightInd w:val="0"/>
        <w:snapToGrid w:val="0"/>
        <w:ind w:left="0" w:firstLine="480" w:firstLineChars="200"/>
      </w:pPr>
      <w:r>
        <w:rPr>
          <w:rFonts w:hint="eastAsia"/>
        </w:rPr>
        <w:t>提供系统运行所需的软件（不包括已经明确说明另外采购的软件），如系统软件、支撑软件和应用软件等。</w:t>
      </w:r>
    </w:p>
    <w:p>
      <w:pPr>
        <w:pStyle w:val="56"/>
        <w:widowControl w:val="0"/>
        <w:numPr>
          <w:ilvl w:val="1"/>
          <w:numId w:val="6"/>
        </w:numPr>
        <w:tabs>
          <w:tab w:val="left" w:pos="0"/>
          <w:tab w:val="left" w:pos="960"/>
        </w:tabs>
        <w:adjustRightInd w:val="0"/>
        <w:snapToGrid w:val="0"/>
        <w:ind w:left="0" w:firstLine="480" w:firstLineChars="200"/>
      </w:pPr>
      <w:r>
        <w:rPr>
          <w:rFonts w:hint="eastAsia"/>
        </w:rPr>
        <w:t>负责所有的合同谈判和技术联络会。</w:t>
      </w:r>
    </w:p>
    <w:p>
      <w:pPr>
        <w:pStyle w:val="56"/>
        <w:widowControl w:val="0"/>
        <w:numPr>
          <w:ilvl w:val="1"/>
          <w:numId w:val="6"/>
        </w:numPr>
        <w:tabs>
          <w:tab w:val="left" w:pos="0"/>
          <w:tab w:val="left" w:pos="960"/>
        </w:tabs>
        <w:adjustRightInd w:val="0"/>
        <w:snapToGrid w:val="0"/>
        <w:ind w:left="0" w:firstLine="480" w:firstLineChars="200"/>
      </w:pPr>
      <w:r>
        <w:rPr>
          <w:rFonts w:hint="eastAsia"/>
        </w:rPr>
        <w:t>负责系统出厂验收(FAT)、工厂验收测试及问题整改、参加系统试运行、现场验收(SAT)和项目验收。</w:t>
      </w:r>
    </w:p>
    <w:p>
      <w:pPr>
        <w:pStyle w:val="56"/>
        <w:widowControl w:val="0"/>
        <w:numPr>
          <w:ilvl w:val="1"/>
          <w:numId w:val="6"/>
        </w:numPr>
        <w:tabs>
          <w:tab w:val="left" w:pos="0"/>
          <w:tab w:val="left" w:pos="960"/>
        </w:tabs>
        <w:adjustRightInd w:val="0"/>
        <w:snapToGrid w:val="0"/>
        <w:ind w:left="0" w:firstLine="480" w:firstLineChars="200"/>
      </w:pPr>
      <w:r>
        <w:rPr>
          <w:rFonts w:hint="eastAsia"/>
        </w:rPr>
        <w:t>负责所有合同谈判、设联会和所有验收会议的会务费用及招标方人员相关费用。</w:t>
      </w:r>
    </w:p>
    <w:p>
      <w:pPr>
        <w:pStyle w:val="56"/>
        <w:widowControl w:val="0"/>
        <w:numPr>
          <w:ilvl w:val="1"/>
          <w:numId w:val="6"/>
        </w:numPr>
        <w:tabs>
          <w:tab w:val="left" w:pos="0"/>
          <w:tab w:val="left" w:pos="960"/>
        </w:tabs>
        <w:adjustRightInd w:val="0"/>
        <w:snapToGrid w:val="0"/>
        <w:ind w:left="0" w:firstLine="480" w:firstLineChars="200"/>
      </w:pPr>
      <w:r>
        <w:rPr>
          <w:rFonts w:hint="eastAsia"/>
        </w:rPr>
        <w:t>提供系统测试方法和测试数据。</w:t>
      </w:r>
    </w:p>
    <w:p>
      <w:pPr>
        <w:pStyle w:val="56"/>
        <w:widowControl w:val="0"/>
        <w:numPr>
          <w:ilvl w:val="1"/>
          <w:numId w:val="6"/>
        </w:numPr>
        <w:tabs>
          <w:tab w:val="left" w:pos="0"/>
          <w:tab w:val="left" w:pos="960"/>
        </w:tabs>
        <w:adjustRightInd w:val="0"/>
        <w:snapToGrid w:val="0"/>
        <w:ind w:left="0" w:firstLine="480" w:firstLineChars="200"/>
      </w:pPr>
      <w:r>
        <w:rPr>
          <w:rFonts w:hint="eastAsia"/>
        </w:rPr>
        <w:t>负责完成与招标方所有相关系统集成的工作(包括局域网互联、远程通信、与现有其它系统的接口等)。</w:t>
      </w:r>
    </w:p>
    <w:p>
      <w:pPr>
        <w:pStyle w:val="56"/>
        <w:widowControl w:val="0"/>
        <w:numPr>
          <w:ilvl w:val="1"/>
          <w:numId w:val="6"/>
        </w:numPr>
        <w:tabs>
          <w:tab w:val="left" w:pos="0"/>
          <w:tab w:val="left" w:pos="960"/>
        </w:tabs>
        <w:adjustRightInd w:val="0"/>
        <w:snapToGrid w:val="0"/>
        <w:ind w:left="0" w:firstLine="480" w:firstLineChars="200"/>
      </w:pPr>
      <w:r>
        <w:rPr>
          <w:rFonts w:hint="eastAsia"/>
        </w:rPr>
        <w:t>负责供货范围内软件的投运、验收测试、试运行和保修期内的故障排除。</w:t>
      </w:r>
    </w:p>
    <w:p>
      <w:pPr>
        <w:pStyle w:val="56"/>
        <w:widowControl w:val="0"/>
        <w:numPr>
          <w:ilvl w:val="1"/>
          <w:numId w:val="6"/>
        </w:numPr>
        <w:tabs>
          <w:tab w:val="left" w:pos="0"/>
          <w:tab w:val="left" w:pos="960"/>
        </w:tabs>
        <w:adjustRightInd w:val="0"/>
        <w:snapToGrid w:val="0"/>
        <w:ind w:left="0" w:firstLine="480" w:firstLineChars="200"/>
      </w:pPr>
      <w:r>
        <w:rPr>
          <w:rFonts w:hint="eastAsia"/>
        </w:rPr>
        <w:t>负责供货范围内所有设备（如有）的包装运输，并搬运至招标方指定的位置。</w:t>
      </w:r>
    </w:p>
    <w:p>
      <w:pPr>
        <w:pStyle w:val="56"/>
        <w:widowControl w:val="0"/>
        <w:numPr>
          <w:ilvl w:val="1"/>
          <w:numId w:val="6"/>
        </w:numPr>
        <w:tabs>
          <w:tab w:val="left" w:pos="0"/>
          <w:tab w:val="left" w:pos="960"/>
        </w:tabs>
        <w:adjustRightInd w:val="0"/>
        <w:snapToGrid w:val="0"/>
        <w:ind w:left="0" w:firstLine="480" w:firstLineChars="200"/>
      </w:pPr>
      <w:r>
        <w:rPr>
          <w:rFonts w:hint="eastAsia"/>
        </w:rPr>
        <w:t>由招标方提供的用于工厂集成的设备，投标方应妥善使用，保证设备完好，并在出厂时运输并搬运至招标方指定的位置。</w:t>
      </w:r>
    </w:p>
    <w:p>
      <w:pPr>
        <w:pStyle w:val="56"/>
        <w:widowControl w:val="0"/>
        <w:numPr>
          <w:ilvl w:val="1"/>
          <w:numId w:val="6"/>
        </w:numPr>
        <w:tabs>
          <w:tab w:val="left" w:pos="0"/>
          <w:tab w:val="left" w:pos="960"/>
        </w:tabs>
        <w:adjustRightInd w:val="0"/>
        <w:snapToGrid w:val="0"/>
        <w:ind w:left="0" w:firstLine="480" w:firstLineChars="200"/>
      </w:pPr>
      <w:r>
        <w:rPr>
          <w:rFonts w:hint="eastAsia"/>
        </w:rPr>
        <w:t>提供全面的技术培训，负责培训招标方的工程师，包括但不限于软件培训、系统操作、维护培训和应用软件开发培训等。</w:t>
      </w:r>
    </w:p>
    <w:p>
      <w:pPr>
        <w:pStyle w:val="56"/>
        <w:widowControl w:val="0"/>
        <w:numPr>
          <w:ilvl w:val="1"/>
          <w:numId w:val="6"/>
        </w:numPr>
        <w:tabs>
          <w:tab w:val="left" w:pos="0"/>
          <w:tab w:val="left" w:pos="960"/>
        </w:tabs>
        <w:adjustRightInd w:val="0"/>
        <w:snapToGrid w:val="0"/>
        <w:ind w:left="0" w:firstLine="480" w:firstLineChars="200"/>
      </w:pPr>
      <w:r>
        <w:rPr>
          <w:rFonts w:hint="eastAsia"/>
        </w:rPr>
        <w:t>提供系统投运后的技术支持和合同设备备品备件的供应。提供所有合同设备的备品备件、系统安装和维护所需的专门工具和试验仪器仪表(包括编程、调整、测试和校核)及材料。</w:t>
      </w:r>
    </w:p>
    <w:p>
      <w:pPr>
        <w:pStyle w:val="56"/>
        <w:widowControl w:val="0"/>
        <w:numPr>
          <w:ilvl w:val="1"/>
          <w:numId w:val="6"/>
        </w:numPr>
        <w:tabs>
          <w:tab w:val="left" w:pos="0"/>
          <w:tab w:val="left" w:pos="960"/>
        </w:tabs>
        <w:adjustRightInd w:val="0"/>
        <w:snapToGrid w:val="0"/>
        <w:ind w:left="0" w:firstLine="480" w:firstLineChars="200"/>
      </w:pPr>
      <w:r>
        <w:rPr>
          <w:rFonts w:hint="eastAsia"/>
        </w:rPr>
        <w:t>提供培训和开发时的支持(包括办公设备)，以及培训和开发用的硬件设备和必须的技术资料等。</w:t>
      </w:r>
    </w:p>
    <w:p>
      <w:pPr>
        <w:pStyle w:val="56"/>
        <w:widowControl w:val="0"/>
        <w:numPr>
          <w:ilvl w:val="1"/>
          <w:numId w:val="6"/>
        </w:numPr>
        <w:tabs>
          <w:tab w:val="left" w:pos="0"/>
          <w:tab w:val="left" w:pos="960"/>
        </w:tabs>
        <w:adjustRightInd w:val="0"/>
        <w:snapToGrid w:val="0"/>
        <w:ind w:left="0" w:firstLine="480" w:firstLineChars="200"/>
      </w:pPr>
      <w:r>
        <w:rPr>
          <w:rFonts w:hint="eastAsia"/>
        </w:rPr>
        <w:t>在质保期内提供免费保修服务，并在系统使用期内提供技术支持。</w:t>
      </w:r>
    </w:p>
    <w:p>
      <w:pPr>
        <w:pStyle w:val="56"/>
        <w:widowControl w:val="0"/>
        <w:numPr>
          <w:ilvl w:val="1"/>
          <w:numId w:val="6"/>
        </w:numPr>
        <w:tabs>
          <w:tab w:val="left" w:pos="0"/>
          <w:tab w:val="left" w:pos="960"/>
        </w:tabs>
        <w:adjustRightInd w:val="0"/>
        <w:snapToGrid w:val="0"/>
        <w:ind w:left="0" w:firstLine="480" w:firstLineChars="200"/>
      </w:pPr>
      <w:r>
        <w:rPr>
          <w:rFonts w:hint="eastAsia"/>
        </w:rPr>
        <w:t>及时向招标方通告有关软件的升级和更新，在质保期内应免费提供并负责安装和调试。</w:t>
      </w:r>
    </w:p>
    <w:p>
      <w:pPr>
        <w:pStyle w:val="56"/>
        <w:widowControl w:val="0"/>
        <w:numPr>
          <w:ilvl w:val="1"/>
          <w:numId w:val="6"/>
        </w:numPr>
        <w:tabs>
          <w:tab w:val="left" w:pos="0"/>
          <w:tab w:val="left" w:pos="960"/>
        </w:tabs>
        <w:adjustRightInd w:val="0"/>
        <w:snapToGrid w:val="0"/>
        <w:ind w:left="0" w:firstLine="480" w:firstLineChars="200"/>
      </w:pPr>
      <w:r>
        <w:rPr>
          <w:rFonts w:hint="eastAsia"/>
        </w:rPr>
        <w:t>提供必需的技术资料和文件，并对其正确性负责。主要技术资料如下：软件的技术说明书（需求规划说明书，软件功能设计文件、软件设计详细文档等）和使用说明书、产品型式试验和常规试验数据及试验报告、试验和验收标准、质量保证书和其它必需的资料。</w:t>
      </w:r>
    </w:p>
    <w:p>
      <w:pPr>
        <w:pStyle w:val="56"/>
        <w:widowControl w:val="0"/>
        <w:numPr>
          <w:ilvl w:val="1"/>
          <w:numId w:val="6"/>
        </w:numPr>
        <w:tabs>
          <w:tab w:val="left" w:pos="0"/>
          <w:tab w:val="left" w:pos="960"/>
        </w:tabs>
        <w:adjustRightInd w:val="0"/>
        <w:snapToGrid w:val="0"/>
        <w:ind w:left="0" w:firstLine="480" w:firstLineChars="200"/>
      </w:pPr>
      <w:r>
        <w:rPr>
          <w:rFonts w:hint="eastAsia"/>
        </w:rPr>
        <w:t>提供所有与现场运行一致的应用软件源码(可编译)及编译运行环境，以及相关的配置、编译说明文档。</w:t>
      </w:r>
    </w:p>
    <w:p>
      <w:pPr>
        <w:pStyle w:val="56"/>
        <w:widowControl w:val="0"/>
        <w:numPr>
          <w:ilvl w:val="1"/>
          <w:numId w:val="6"/>
        </w:numPr>
        <w:tabs>
          <w:tab w:val="left" w:pos="0"/>
          <w:tab w:val="left" w:pos="960"/>
        </w:tabs>
        <w:adjustRightInd w:val="0"/>
        <w:snapToGrid w:val="0"/>
        <w:ind w:left="0" w:firstLine="480" w:firstLineChars="200"/>
      </w:pPr>
      <w:r>
        <w:rPr>
          <w:rFonts w:hint="eastAsia"/>
        </w:rPr>
        <w:t>负责整个系统的集成，负责系统的现场安装、生成和调试，负责按照招标方的要求创建系统模型、图形、报表，进行参数的录入及历史数据的导入等。投标方技术专家在现场安装、系统功能调试和试运行期间，为招标方提供良好的建议和指导。</w:t>
      </w:r>
    </w:p>
    <w:p>
      <w:pPr>
        <w:pStyle w:val="56"/>
        <w:widowControl w:val="0"/>
        <w:numPr>
          <w:ilvl w:val="1"/>
          <w:numId w:val="6"/>
        </w:numPr>
        <w:tabs>
          <w:tab w:val="left" w:pos="0"/>
          <w:tab w:val="left" w:pos="960"/>
        </w:tabs>
        <w:adjustRightInd w:val="0"/>
        <w:snapToGrid w:val="0"/>
        <w:ind w:left="0" w:firstLine="480" w:firstLineChars="200"/>
      </w:pPr>
      <w:r>
        <w:rPr>
          <w:rFonts w:hint="eastAsia"/>
        </w:rPr>
        <w:t>投标方有责任对招标方所提供的电网技术参数资料以及有关资料进行保密。</w:t>
      </w:r>
    </w:p>
    <w:p>
      <w:pPr>
        <w:pStyle w:val="56"/>
        <w:widowControl w:val="0"/>
        <w:numPr>
          <w:ilvl w:val="1"/>
          <w:numId w:val="6"/>
        </w:numPr>
        <w:tabs>
          <w:tab w:val="left" w:pos="0"/>
          <w:tab w:val="left" w:pos="960"/>
        </w:tabs>
        <w:adjustRightInd w:val="0"/>
        <w:snapToGrid w:val="0"/>
        <w:ind w:left="0" w:firstLine="480" w:firstLineChars="200"/>
      </w:pPr>
      <w:r>
        <w:rPr>
          <w:rFonts w:hint="eastAsia"/>
        </w:rPr>
        <w:t>投标方提供的系统应当是一个开放的系统，投标方应配合招标方实现后续的系统功能建设，招标方或经招标方同意的任何第三方均可以在投标方提供的系统基础上进行二次开发、新系统集成和第三方软件接入，投标方应提供积极的响应，并完成相应的配合工作，不得以任何理由加以限制或制造障碍。</w:t>
      </w:r>
    </w:p>
    <w:p>
      <w:pPr>
        <w:pStyle w:val="56"/>
        <w:widowControl w:val="0"/>
        <w:numPr>
          <w:ilvl w:val="1"/>
          <w:numId w:val="6"/>
        </w:numPr>
        <w:tabs>
          <w:tab w:val="left" w:pos="0"/>
          <w:tab w:val="left" w:pos="960"/>
        </w:tabs>
        <w:adjustRightInd w:val="0"/>
        <w:snapToGrid w:val="0"/>
        <w:ind w:left="0" w:firstLine="480" w:firstLineChars="200"/>
      </w:pPr>
      <w:r>
        <w:rPr>
          <w:rFonts w:hint="eastAsia"/>
        </w:rPr>
        <w:t>其它双方约定的投标方职责。</w:t>
      </w:r>
    </w:p>
    <w:p>
      <w:pPr>
        <w:pStyle w:val="3"/>
        <w:widowControl w:val="0"/>
        <w:rPr>
          <w:rFonts w:ascii="Times New Roman" w:hAnsi="Times New Roman"/>
          <w:szCs w:val="24"/>
        </w:rPr>
      </w:pPr>
      <w:r>
        <w:rPr>
          <w:rFonts w:hint="eastAsia" w:ascii="Times New Roman" w:hAnsi="Times New Roman"/>
          <w:szCs w:val="24"/>
        </w:rPr>
        <w:t>招标方职责</w:t>
      </w:r>
    </w:p>
    <w:p>
      <w:pPr>
        <w:tabs>
          <w:tab w:val="left" w:pos="0"/>
          <w:tab w:val="left" w:pos="960"/>
        </w:tabs>
        <w:adjustRightInd w:val="0"/>
        <w:snapToGrid w:val="0"/>
        <w:ind w:firstLine="480" w:firstLineChars="200"/>
      </w:pPr>
      <w:r>
        <w:rPr>
          <w:rFonts w:hint="eastAsia"/>
        </w:rPr>
        <w:t>a)审查合同生效后投标方提供的技术文件和图纸，审议并确认工程进度、功能规范、技术联络会程序、培训内容和计划、验收测试大纲和计划等。</w:t>
      </w:r>
    </w:p>
    <w:p>
      <w:pPr>
        <w:tabs>
          <w:tab w:val="left" w:pos="0"/>
          <w:tab w:val="left" w:pos="960"/>
        </w:tabs>
        <w:adjustRightInd w:val="0"/>
        <w:snapToGrid w:val="0"/>
        <w:ind w:firstLine="480" w:firstLineChars="200"/>
      </w:pPr>
      <w:r>
        <w:rPr>
          <w:rFonts w:hint="eastAsia"/>
        </w:rPr>
        <w:t>d)提供满足合同设备运行条件的现场运行环境。</w:t>
      </w:r>
    </w:p>
    <w:p>
      <w:pPr>
        <w:tabs>
          <w:tab w:val="left" w:pos="0"/>
          <w:tab w:val="left" w:pos="960"/>
        </w:tabs>
        <w:adjustRightInd w:val="0"/>
        <w:snapToGrid w:val="0"/>
        <w:ind w:firstLine="480" w:firstLineChars="200"/>
      </w:pPr>
      <w:r>
        <w:rPr>
          <w:rFonts w:hint="eastAsia"/>
        </w:rPr>
        <w:t>e)提出现场的软件布置要求。</w:t>
      </w:r>
    </w:p>
    <w:p>
      <w:pPr>
        <w:tabs>
          <w:tab w:val="left" w:pos="0"/>
          <w:tab w:val="left" w:pos="960"/>
        </w:tabs>
        <w:adjustRightInd w:val="0"/>
        <w:snapToGrid w:val="0"/>
        <w:ind w:firstLine="480" w:firstLineChars="200"/>
      </w:pPr>
      <w:r>
        <w:rPr>
          <w:rFonts w:hint="eastAsia"/>
        </w:rPr>
        <w:t>f)参加合同谈判和技术联络会。</w:t>
      </w:r>
    </w:p>
    <w:p>
      <w:pPr>
        <w:tabs>
          <w:tab w:val="left" w:pos="0"/>
          <w:tab w:val="left" w:pos="960"/>
        </w:tabs>
        <w:adjustRightInd w:val="0"/>
        <w:snapToGrid w:val="0"/>
        <w:ind w:firstLine="480" w:firstLineChars="200"/>
      </w:pPr>
      <w:r>
        <w:rPr>
          <w:rFonts w:hint="eastAsia"/>
        </w:rPr>
        <w:t>g)参加系统培训及系统生成工作。</w:t>
      </w:r>
    </w:p>
    <w:p>
      <w:pPr>
        <w:tabs>
          <w:tab w:val="left" w:pos="0"/>
          <w:tab w:val="left" w:pos="960"/>
        </w:tabs>
        <w:adjustRightInd w:val="0"/>
        <w:snapToGrid w:val="0"/>
        <w:ind w:firstLine="480" w:firstLineChars="200"/>
      </w:pPr>
      <w:r>
        <w:rPr>
          <w:rFonts w:hint="eastAsia"/>
        </w:rPr>
        <w:t>h)参与系统模型创建、图形画面及各类统计报表模板的制作。</w:t>
      </w:r>
    </w:p>
    <w:p>
      <w:pPr>
        <w:tabs>
          <w:tab w:val="left" w:pos="0"/>
          <w:tab w:val="left" w:pos="960"/>
        </w:tabs>
        <w:adjustRightInd w:val="0"/>
        <w:snapToGrid w:val="0"/>
        <w:ind w:firstLine="480" w:firstLineChars="200"/>
      </w:pPr>
      <w:r>
        <w:rPr>
          <w:rFonts w:hint="eastAsia"/>
        </w:rPr>
        <w:t>i)在投标方指导和支持下参与系统现场的安装和调试。</w:t>
      </w:r>
    </w:p>
    <w:p>
      <w:pPr>
        <w:tabs>
          <w:tab w:val="left" w:pos="0"/>
          <w:tab w:val="left" w:pos="960"/>
        </w:tabs>
        <w:adjustRightInd w:val="0"/>
        <w:snapToGrid w:val="0"/>
        <w:ind w:firstLine="480" w:firstLineChars="200"/>
      </w:pPr>
      <w:r>
        <w:rPr>
          <w:rFonts w:hint="eastAsia"/>
        </w:rPr>
        <w:t>j)其它双方约定的招标方职责。</w:t>
      </w:r>
    </w:p>
    <w:p>
      <w:pPr>
        <w:pStyle w:val="3"/>
        <w:widowControl w:val="0"/>
        <w:rPr>
          <w:rFonts w:ascii="Times New Roman" w:hAnsi="Times New Roman"/>
          <w:szCs w:val="24"/>
        </w:rPr>
      </w:pPr>
      <w:bookmarkStart w:id="8" w:name="_Toc295832958"/>
      <w:bookmarkStart w:id="9" w:name="_Toc334776437"/>
      <w:bookmarkStart w:id="10" w:name="_Toc293491648"/>
      <w:bookmarkStart w:id="11" w:name="_Toc219085916"/>
      <w:bookmarkStart w:id="12" w:name="_Toc212105342"/>
      <w:bookmarkStart w:id="13" w:name="_Toc293491542"/>
      <w:r>
        <w:rPr>
          <w:rFonts w:hint="eastAsia" w:ascii="Times New Roman" w:hAnsi="Times New Roman"/>
          <w:szCs w:val="24"/>
        </w:rPr>
        <w:t>其他</w:t>
      </w:r>
      <w:bookmarkEnd w:id="8"/>
      <w:bookmarkEnd w:id="9"/>
      <w:bookmarkEnd w:id="10"/>
      <w:bookmarkEnd w:id="11"/>
      <w:bookmarkEnd w:id="12"/>
      <w:bookmarkEnd w:id="13"/>
    </w:p>
    <w:p>
      <w:pPr>
        <w:adjustRightInd w:val="0"/>
        <w:snapToGrid w:val="0"/>
        <w:ind w:firstLine="480" w:firstLineChars="200"/>
      </w:pPr>
      <w:r>
        <w:t>除非明确说明，本技术规范书中所有</w:t>
      </w:r>
      <w:r>
        <w:rPr>
          <w:rFonts w:hint="eastAsia"/>
        </w:rPr>
        <w:t>功能</w:t>
      </w:r>
      <w:r>
        <w:t>要求、技术服务即使未进行详细描述，均由投标方提供，并列入总价。</w:t>
      </w:r>
    </w:p>
    <w:p>
      <w:pPr>
        <w:ind w:firstLine="480" w:firstLineChars="200"/>
      </w:pPr>
      <w:r>
        <w:t>如本技术规范书中在不同的地方对相同的功能模块提出了不同的性能指标要求，均以较高的要求为准。</w:t>
      </w:r>
    </w:p>
    <w:p>
      <w:pPr>
        <w:pStyle w:val="2"/>
      </w:pPr>
      <w:bookmarkStart w:id="14" w:name="_Toc433727337"/>
      <w:r>
        <w:t>项目概况</w:t>
      </w:r>
      <w:bookmarkEnd w:id="14"/>
    </w:p>
    <w:p>
      <w:pPr>
        <w:pStyle w:val="3"/>
        <w:widowControl w:val="0"/>
        <w:rPr>
          <w:rFonts w:ascii="Times New Roman" w:hAnsi="Times New Roman"/>
          <w:szCs w:val="24"/>
        </w:rPr>
      </w:pPr>
      <w:r>
        <w:rPr>
          <w:rFonts w:hint="eastAsia" w:ascii="Times New Roman" w:hAnsi="Times New Roman"/>
          <w:szCs w:val="24"/>
        </w:rPr>
        <w:t>项目概述</w:t>
      </w:r>
    </w:p>
    <w:p>
      <w:pPr>
        <w:tabs>
          <w:tab w:val="left" w:pos="426"/>
        </w:tabs>
        <w:ind w:firstLine="48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南方区域电力市场启动试运行以来，分阶段、分批次实现了市场调电试运行、结算试运行等既定目标，在促进全区域、大范围资源优化配置等方面取得了良好示范效应。为推动南方区域电力市场建设进一步走深走实，为健全多层次全国统一电力市场体系提供了南网经验</w:t>
      </w:r>
      <w:r>
        <w:rPr>
          <w:rFonts w:hint="eastAsia" w:ascii="宋体" w:hAnsi="宋体"/>
          <w:color w:val="000000" w:themeColor="text1"/>
          <w:lang w:eastAsia="zh-CN"/>
          <w14:textFill>
            <w14:solidFill>
              <w14:schemeClr w14:val="tx1"/>
            </w14:solidFill>
          </w14:textFill>
        </w:rPr>
        <w:t>。</w:t>
      </w:r>
      <w:r>
        <w:rPr>
          <w:rFonts w:hint="eastAsia" w:ascii="宋体" w:hAnsi="宋体"/>
          <w:color w:val="000000" w:themeColor="text1"/>
          <w14:textFill>
            <w14:solidFill>
              <w14:schemeClr w14:val="tx1"/>
            </w14:solidFill>
          </w14:textFill>
        </w:rPr>
        <w:t>按照南方区域电力市场的建设工作部署，2024年年底前南方区域电力市场实现了长周期结算试运行，并在2025年6月进入了连续结算运行。南方区域电力市场将融入国家市场，作为全国统一电力市场体系的重要组成部分，到 2030 年，与国家市场加强耦合，有序衔接、联合运行。在上述背景下，南方区域电力市场规则一直在持续不断完善变化中。目前主要有</w:t>
      </w:r>
      <w:r>
        <w:rPr>
          <w:rFonts w:hint="eastAsia" w:ascii="宋体" w:hAnsi="宋体"/>
          <w:color w:val="000000" w:themeColor="text1"/>
          <w:lang w:val="en-US" w:eastAsia="zh-CN"/>
          <w14:textFill>
            <w14:solidFill>
              <w14:schemeClr w14:val="tx1"/>
            </w14:solidFill>
          </w14:textFill>
        </w:rPr>
        <w:t>三</w:t>
      </w:r>
      <w:r>
        <w:rPr>
          <w:rFonts w:hint="eastAsia" w:ascii="宋体" w:hAnsi="宋体"/>
          <w:color w:val="000000" w:themeColor="text1"/>
          <w14:textFill>
            <w14:solidFill>
              <w14:schemeClr w14:val="tx1"/>
            </w14:solidFill>
          </w14:textFill>
        </w:rPr>
        <w:t>大方面的变化需求：</w:t>
      </w:r>
    </w:p>
    <w:p>
      <w:pPr>
        <w:numPr>
          <w:ilvl w:val="0"/>
          <w:numId w:val="7"/>
        </w:numPr>
        <w:tabs>
          <w:tab w:val="left" w:pos="426"/>
        </w:tabs>
        <w:ind w:firstLine="48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是在136号文的指引下，新能源正在大规模入市，其波动性和随机性将对电力市场出清产生较大影响，为更好地</w:t>
      </w:r>
      <w:r>
        <w:rPr>
          <w:rFonts w:hint="eastAsia" w:ascii="宋体" w:hAnsi="宋体"/>
          <w:color w:val="000000" w:themeColor="text1"/>
          <w:lang w:val="en-US" w:eastAsia="zh-CN"/>
          <w14:textFill>
            <w14:solidFill>
              <w14:schemeClr w14:val="tx1"/>
            </w14:solidFill>
          </w14:textFill>
        </w:rPr>
        <w:t>贯彻</w:t>
      </w:r>
      <w:r>
        <w:rPr>
          <w:rFonts w:hint="eastAsia" w:ascii="宋体" w:hAnsi="宋体"/>
          <w:color w:val="000000" w:themeColor="text1"/>
          <w14:textFill>
            <w14:solidFill>
              <w14:schemeClr w14:val="tx1"/>
            </w14:solidFill>
          </w14:textFill>
        </w:rPr>
        <w:t>落实136号文关于新能源自愿参与日前市场的</w:t>
      </w:r>
      <w:r>
        <w:rPr>
          <w:rFonts w:hint="eastAsia" w:ascii="宋体" w:hAnsi="宋体"/>
          <w:color w:val="000000" w:themeColor="text1"/>
          <w:lang w:val="en-US" w:eastAsia="zh-CN"/>
          <w14:textFill>
            <w14:solidFill>
              <w14:schemeClr w14:val="tx1"/>
            </w14:solidFill>
          </w14:textFill>
        </w:rPr>
        <w:t>精神要求</w:t>
      </w:r>
      <w:r>
        <w:rPr>
          <w:rFonts w:hint="eastAsia" w:ascii="宋体" w:hAnsi="宋体"/>
          <w:color w:val="000000" w:themeColor="text1"/>
          <w14:textFill>
            <w14:solidFill>
              <w14:schemeClr w14:val="tx1"/>
            </w14:solidFill>
          </w14:textFill>
        </w:rPr>
        <w:t>，</w:t>
      </w:r>
      <w:r>
        <w:rPr>
          <w:rFonts w:hint="eastAsia" w:ascii="宋体" w:hAnsi="宋体"/>
          <w:color w:val="000000" w:themeColor="text1"/>
          <w:lang w:val="en-US" w:eastAsia="zh-CN"/>
          <w14:textFill>
            <w14:solidFill>
              <w14:schemeClr w14:val="tx1"/>
            </w14:solidFill>
          </w14:textFill>
        </w:rPr>
        <w:t>按照南方区域电力现货市场日前出清和可靠性机组组合分离的分别计算实施方案，自2026年1月1日起已开展分离的模拟性测试，针对在模拟测试期间发现的问题，</w:t>
      </w:r>
      <w:r>
        <w:rPr>
          <w:rFonts w:hint="eastAsia" w:ascii="宋体" w:hAnsi="宋体"/>
          <w:color w:val="000000" w:themeColor="text1"/>
          <w14:textFill>
            <w14:solidFill>
              <w14:schemeClr w14:val="tx1"/>
            </w14:solidFill>
          </w14:textFill>
        </w:rPr>
        <w:t>需</w:t>
      </w:r>
      <w:r>
        <w:rPr>
          <w:rFonts w:hint="eastAsia" w:ascii="宋体" w:hAnsi="宋体"/>
          <w:color w:val="000000" w:themeColor="text1"/>
          <w:lang w:val="en-US" w:eastAsia="zh-CN"/>
          <w14:textFill>
            <w14:solidFill>
              <w14:schemeClr w14:val="tx1"/>
            </w14:solidFill>
          </w14:textFill>
        </w:rPr>
        <w:t>对现货系统的平台及出清算法开展功能完善</w:t>
      </w:r>
      <w:r>
        <w:rPr>
          <w:rFonts w:hint="eastAsia" w:ascii="宋体" w:hAnsi="宋体"/>
          <w:color w:val="000000" w:themeColor="text1"/>
          <w14:textFill>
            <w14:solidFill>
              <w14:schemeClr w14:val="tx1"/>
            </w14:solidFill>
          </w14:textFill>
        </w:rPr>
        <w:t>。</w:t>
      </w:r>
    </w:p>
    <w:p>
      <w:pPr>
        <w:numPr>
          <w:ilvl w:val="0"/>
          <w:numId w:val="7"/>
        </w:numPr>
        <w:tabs>
          <w:tab w:val="left" w:pos="426"/>
        </w:tabs>
        <w:ind w:firstLine="48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为推动国网南网跨经营区现货交易，充分发挥电力现货市场平台作用，实现电力资源在全国范围内优化配置和余缺互济，</w:t>
      </w:r>
      <w:r>
        <w:rPr>
          <w:rFonts w:hint="eastAsia" w:ascii="宋体" w:hAnsi="宋体"/>
          <w:color w:val="000000" w:themeColor="text1"/>
          <w:lang w:val="en-US" w:eastAsia="zh-CN"/>
          <w14:textFill>
            <w14:solidFill>
              <w14:schemeClr w14:val="tx1"/>
            </w14:solidFill>
          </w14:textFill>
        </w:rPr>
        <w:t>两网共同编制形成的《国家电网、南方电网跨经营区交易常态化交易机制方案》已于2025年7月1日批复，并于10月13日首次达成跨电网经营区电力现货交易</w:t>
      </w:r>
      <w:r>
        <w:rPr>
          <w:rFonts w:hint="eastAsia" w:ascii="宋体" w:hAnsi="宋体"/>
          <w:color w:val="000000" w:themeColor="text1"/>
          <w14:textFill>
            <w14:solidFill>
              <w14:schemeClr w14:val="tx1"/>
            </w14:solidFill>
          </w14:textFill>
        </w:rPr>
        <w:t>，</w:t>
      </w:r>
      <w:r>
        <w:rPr>
          <w:rFonts w:hint="eastAsia" w:ascii="宋体" w:hAnsi="宋体"/>
          <w:color w:val="000000" w:themeColor="text1"/>
          <w:lang w:val="en-US" w:eastAsia="zh-CN"/>
          <w14:textFill>
            <w14:solidFill>
              <w14:schemeClr w14:val="tx1"/>
            </w14:solidFill>
          </w14:textFill>
        </w:rPr>
        <w:t>为进一步推动跨经营区交易的常态化开展，需进一步完善现货系统的平台及出清算法功能</w:t>
      </w:r>
      <w:r>
        <w:rPr>
          <w:rFonts w:hint="eastAsia" w:ascii="宋体" w:hAnsi="宋体"/>
          <w:color w:val="000000" w:themeColor="text1"/>
          <w14:textFill>
            <w14:solidFill>
              <w14:schemeClr w14:val="tx1"/>
            </w14:solidFill>
          </w14:textFill>
        </w:rPr>
        <w:t>。</w:t>
      </w:r>
    </w:p>
    <w:p>
      <w:pPr>
        <w:tabs>
          <w:tab w:val="left" w:pos="426"/>
        </w:tabs>
        <w:ind w:firstLine="48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第</w:t>
      </w:r>
      <w:r>
        <w:rPr>
          <w:rFonts w:hint="eastAsia" w:ascii="宋体" w:hAnsi="宋体"/>
          <w:color w:val="000000" w:themeColor="text1"/>
          <w:lang w:val="en-US" w:eastAsia="zh-CN"/>
          <w14:textFill>
            <w14:solidFill>
              <w14:schemeClr w14:val="tx1"/>
            </w14:solidFill>
          </w14:textFill>
        </w:rPr>
        <w:t>三</w:t>
      </w:r>
      <w:r>
        <w:rPr>
          <w:rFonts w:hint="eastAsia" w:ascii="宋体" w:hAnsi="宋体"/>
          <w:color w:val="000000" w:themeColor="text1"/>
          <w14:textFill>
            <w14:solidFill>
              <w14:schemeClr w14:val="tx1"/>
            </w14:solidFill>
          </w14:textFill>
        </w:rPr>
        <w:t>，现货市场系统的功能代码在不断高速迭代，不可避免地带来更新的代码中隐含的逻辑错误或冲突。若此类错误或冲突不断积累，可能会引发功能失灵，造成现货市场运转失常。南方区域电力现货市场技术支持系统</w:t>
      </w:r>
      <w:r>
        <w:rPr>
          <w:rFonts w:hint="eastAsia" w:ascii="宋体" w:hAnsi="宋体"/>
          <w:color w:val="000000" w:themeColor="text1"/>
          <w:lang w:val="en-US" w:eastAsia="zh-CN"/>
          <w14:textFill>
            <w14:solidFill>
              <w14:schemeClr w14:val="tx1"/>
            </w14:solidFill>
          </w14:textFill>
        </w:rPr>
        <w:t>现</w:t>
      </w:r>
      <w:r>
        <w:rPr>
          <w:rFonts w:hint="eastAsia" w:ascii="宋体" w:hAnsi="宋体"/>
          <w:color w:val="000000" w:themeColor="text1"/>
          <w14:textFill>
            <w14:solidFill>
              <w14:schemeClr w14:val="tx1"/>
            </w14:solidFill>
          </w14:textFill>
        </w:rPr>
        <w:t>已具备了简单的镜像测试能力，在代码提交到生产环境前可进行一些简单测试。然而，目前现货市场系统的镜像测试能力一是不能完整覆盖电能量+辅助服务市场全业务，二是没有与OCS系统实现联动，三是缺乏可视化、自动化、场景化的测试能力，对某些隐藏的较深的问题的感知能力不足，亟需进行能力上的提升。</w:t>
      </w:r>
    </w:p>
    <w:p>
      <w:pPr>
        <w:adjustRightInd w:val="0"/>
        <w:snapToGrid w:val="0"/>
        <w:ind w:firstLine="480" w:firstLineChars="200"/>
        <w:rPr>
          <w:rFonts w:ascii="宋体" w:hAnsi="宋体"/>
          <w:color w:val="000000" w:themeColor="text1"/>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综上，</w:t>
      </w:r>
      <w:r>
        <w:rPr>
          <w:rFonts w:hint="eastAsia" w:ascii="宋体" w:hAnsi="宋体"/>
          <w:color w:val="000000" w:themeColor="text1"/>
          <w14:textFill>
            <w14:solidFill>
              <w14:schemeClr w14:val="tx1"/>
            </w14:solidFill>
          </w14:textFill>
        </w:rPr>
        <w:t>为了促进新能源入市、推动国网南网跨经营区现货交易、保障现货市场系统在持续性升级的情况下的平稳安全运行，需通过本项目对南方区域电力现货市场技术支持系统做出适应性改造。</w:t>
      </w:r>
    </w:p>
    <w:p>
      <w:pPr>
        <w:adjustRightInd w:val="0"/>
        <w:snapToGrid w:val="0"/>
        <w:ind w:firstLine="480" w:firstLineChars="200"/>
      </w:pPr>
      <w:r>
        <w:t>本项目分为2个标包。标包1是平台功能加装及改造，标包2是出清算法功能加装及改造。标包划分具体如下：</w:t>
      </w:r>
    </w:p>
    <w:p>
      <w:pPr>
        <w:spacing w:line="360" w:lineRule="auto"/>
        <w:ind w:firstLine="480" w:firstLineChars="200"/>
        <w:outlineLvl w:val="9"/>
        <w:rPr>
          <w:highlight w:val="none"/>
        </w:rPr>
      </w:pPr>
      <w:r>
        <w:rPr>
          <w:highlight w:val="none"/>
        </w:rPr>
        <w:t>标包1（平台功能加装及改造）：</w:t>
      </w:r>
      <w:r>
        <w:rPr>
          <w:rFonts w:hint="eastAsia" w:ascii="Times New Roman" w:hAnsi="Times New Roman"/>
          <w:i w:val="0"/>
          <w:iCs w:val="0"/>
          <w:color w:val="000000"/>
          <w:sz w:val="24"/>
          <w:szCs w:val="28"/>
          <w:highlight w:val="none"/>
          <w:u w:val="none"/>
          <w:lang w:val="en-US" w:eastAsia="zh-CN"/>
        </w:rPr>
        <w:t>对</w:t>
      </w:r>
      <w:r>
        <w:rPr>
          <w:rFonts w:hint="eastAsia" w:ascii="Times New Roman" w:hAnsi="Times New Roman"/>
          <w:i w:val="0"/>
          <w:iCs w:val="0"/>
          <w:color w:val="000000"/>
          <w:sz w:val="24"/>
          <w:szCs w:val="28"/>
          <w:highlight w:val="none"/>
          <w:u w:val="none"/>
          <w:lang w:eastAsia="zh-CN"/>
        </w:rPr>
        <w:t>南方区域电力现货市场技术支持系统</w:t>
      </w:r>
      <w:r>
        <w:rPr>
          <w:rFonts w:hint="eastAsia" w:ascii="Times New Roman" w:hAnsi="Times New Roman"/>
          <w:i w:val="0"/>
          <w:iCs w:val="0"/>
          <w:color w:val="000000"/>
          <w:sz w:val="24"/>
          <w:szCs w:val="28"/>
          <w:highlight w:val="none"/>
          <w:u w:val="none"/>
          <w:lang w:val="en-US" w:eastAsia="zh-CN"/>
        </w:rPr>
        <w:t>的平台功能</w:t>
      </w:r>
      <w:r>
        <w:rPr>
          <w:rFonts w:hint="eastAsia" w:ascii="Times New Roman" w:hAnsi="Times New Roman"/>
          <w:i w:val="0"/>
          <w:iCs w:val="0"/>
          <w:color w:val="000000"/>
          <w:sz w:val="24"/>
          <w:szCs w:val="28"/>
          <w:highlight w:val="none"/>
          <w:u w:val="none"/>
          <w:lang w:eastAsia="zh-CN"/>
        </w:rPr>
        <w:t>进行加装和改造，</w:t>
      </w:r>
      <w:r>
        <w:rPr>
          <w:rFonts w:hint="eastAsia" w:ascii="Times New Roman" w:hAnsi="Times New Roman"/>
          <w:i w:val="0"/>
          <w:iCs w:val="0"/>
          <w:color w:val="000000"/>
          <w:sz w:val="24"/>
          <w:szCs w:val="28"/>
          <w:highlight w:val="none"/>
          <w:u w:val="none"/>
          <w:lang w:val="en-US" w:eastAsia="zh-CN"/>
        </w:rPr>
        <w:t>包括（1）加装现货系统镜像测试功能，改造相关</w:t>
      </w:r>
      <w:r>
        <w:rPr>
          <w:rFonts w:hint="eastAsia" w:ascii="Times New Roman" w:hAnsi="Times New Roman"/>
          <w:i w:val="0"/>
          <w:iCs w:val="0"/>
          <w:color w:val="000000"/>
          <w:sz w:val="24"/>
          <w:szCs w:val="28"/>
          <w:highlight w:val="none"/>
          <w:u w:val="none"/>
          <w:lang w:eastAsia="zh-CN"/>
        </w:rPr>
        <w:t>数据</w:t>
      </w:r>
      <w:r>
        <w:rPr>
          <w:rFonts w:hint="eastAsia" w:ascii="Times New Roman" w:hAnsi="Times New Roman"/>
          <w:i w:val="0"/>
          <w:iCs w:val="0"/>
          <w:color w:val="000000"/>
          <w:sz w:val="24"/>
          <w:szCs w:val="28"/>
          <w:highlight w:val="none"/>
          <w:u w:val="none"/>
          <w:lang w:val="en-US" w:eastAsia="zh-CN"/>
        </w:rPr>
        <w:t>接口、加装测试案例管理及可视化</w:t>
      </w:r>
      <w:r>
        <w:rPr>
          <w:rFonts w:hint="eastAsia" w:ascii="Times New Roman" w:hAnsi="Times New Roman"/>
          <w:i w:val="0"/>
          <w:iCs w:val="0"/>
          <w:color w:val="000000"/>
          <w:sz w:val="24"/>
          <w:szCs w:val="28"/>
          <w:highlight w:val="none"/>
          <w:u w:val="none"/>
          <w:lang w:eastAsia="zh-CN"/>
        </w:rPr>
        <w:t>测试</w:t>
      </w:r>
      <w:r>
        <w:rPr>
          <w:rFonts w:hint="eastAsia" w:ascii="Times New Roman" w:hAnsi="Times New Roman"/>
          <w:i w:val="0"/>
          <w:iCs w:val="0"/>
          <w:color w:val="000000"/>
          <w:sz w:val="24"/>
          <w:szCs w:val="28"/>
          <w:highlight w:val="none"/>
          <w:u w:val="none"/>
          <w:lang w:val="en-US" w:eastAsia="zh-CN"/>
        </w:rPr>
        <w:t>等模块；</w:t>
      </w:r>
      <w:r>
        <w:rPr>
          <w:rFonts w:hint="eastAsia" w:ascii="Times New Roman" w:hAnsi="Times New Roman"/>
          <w:i w:val="0"/>
          <w:iCs w:val="0"/>
          <w:color w:val="000000"/>
          <w:sz w:val="24"/>
          <w:szCs w:val="28"/>
          <w:highlight w:val="none"/>
          <w:u w:val="none"/>
          <w:lang w:eastAsia="zh-CN"/>
        </w:rPr>
        <w:t>（</w:t>
      </w:r>
      <w:r>
        <w:rPr>
          <w:rFonts w:hint="eastAsia" w:ascii="Times New Roman" w:hAnsi="Times New Roman"/>
          <w:i w:val="0"/>
          <w:iCs w:val="0"/>
          <w:color w:val="000000"/>
          <w:sz w:val="24"/>
          <w:szCs w:val="28"/>
          <w:highlight w:val="none"/>
          <w:u w:val="none"/>
          <w:lang w:val="en-US" w:eastAsia="zh-CN"/>
        </w:rPr>
        <w:t>2</w:t>
      </w:r>
      <w:r>
        <w:rPr>
          <w:rFonts w:hint="eastAsia" w:ascii="Times New Roman" w:hAnsi="Times New Roman"/>
          <w:i w:val="0"/>
          <w:iCs w:val="0"/>
          <w:color w:val="000000"/>
          <w:sz w:val="24"/>
          <w:szCs w:val="28"/>
          <w:highlight w:val="none"/>
          <w:u w:val="none"/>
          <w:lang w:eastAsia="zh-CN"/>
        </w:rPr>
        <w:t>）</w:t>
      </w:r>
      <w:r>
        <w:rPr>
          <w:rFonts w:hint="eastAsia" w:ascii="Times New Roman" w:hAnsi="Times New Roman"/>
          <w:i w:val="0"/>
          <w:iCs w:val="0"/>
          <w:color w:val="000000"/>
          <w:sz w:val="24"/>
          <w:szCs w:val="28"/>
          <w:highlight w:val="none"/>
          <w:u w:val="none"/>
          <w:lang w:val="en-US" w:eastAsia="zh-CN"/>
        </w:rPr>
        <w:t>改造平台</w:t>
      </w:r>
      <w:r>
        <w:rPr>
          <w:rFonts w:hint="eastAsia" w:ascii="Times New Roman" w:hAnsi="Times New Roman"/>
          <w:i w:val="0"/>
          <w:iCs w:val="0"/>
          <w:color w:val="000000"/>
          <w:sz w:val="24"/>
          <w:szCs w:val="28"/>
          <w:highlight w:val="none"/>
          <w:u w:val="none"/>
          <w:lang w:eastAsia="zh-CN"/>
        </w:rPr>
        <w:t>交易组织流程相关功能，针对日前市场和可靠性机组组合分离模拟测试过程中的问题</w:t>
      </w:r>
      <w:r>
        <w:rPr>
          <w:rFonts w:hint="eastAsia" w:ascii="Times New Roman" w:hAnsi="Times New Roman"/>
          <w:i w:val="0"/>
          <w:iCs w:val="0"/>
          <w:color w:val="000000"/>
          <w:sz w:val="24"/>
          <w:szCs w:val="28"/>
          <w:highlight w:val="none"/>
          <w:u w:val="none"/>
          <w:lang w:val="en-US" w:eastAsia="zh-CN"/>
        </w:rPr>
        <w:t>进行功能完善</w:t>
      </w:r>
      <w:r>
        <w:rPr>
          <w:rFonts w:hint="eastAsia" w:ascii="Times New Roman" w:hAnsi="Times New Roman"/>
          <w:i w:val="0"/>
          <w:iCs w:val="0"/>
          <w:color w:val="000000"/>
          <w:sz w:val="24"/>
          <w:szCs w:val="28"/>
          <w:highlight w:val="none"/>
          <w:u w:val="none"/>
          <w:lang w:eastAsia="zh-CN"/>
        </w:rPr>
        <w:t>；（</w:t>
      </w:r>
      <w:r>
        <w:rPr>
          <w:rFonts w:hint="eastAsia" w:ascii="Times New Roman" w:hAnsi="Times New Roman"/>
          <w:i w:val="0"/>
          <w:iCs w:val="0"/>
          <w:color w:val="000000"/>
          <w:sz w:val="24"/>
          <w:szCs w:val="28"/>
          <w:highlight w:val="none"/>
          <w:u w:val="none"/>
          <w:lang w:val="en-US" w:eastAsia="zh-CN"/>
        </w:rPr>
        <w:t>3</w:t>
      </w:r>
      <w:r>
        <w:rPr>
          <w:rFonts w:hint="eastAsia" w:ascii="Times New Roman" w:hAnsi="Times New Roman"/>
          <w:i w:val="0"/>
          <w:iCs w:val="0"/>
          <w:color w:val="000000"/>
          <w:sz w:val="24"/>
          <w:szCs w:val="28"/>
          <w:highlight w:val="none"/>
          <w:u w:val="none"/>
          <w:lang w:eastAsia="zh-CN"/>
        </w:rPr>
        <w:t>）加装</w:t>
      </w:r>
      <w:r>
        <w:rPr>
          <w:rFonts w:hint="eastAsia" w:ascii="Times New Roman" w:hAnsi="Times New Roman"/>
          <w:i w:val="0"/>
          <w:iCs w:val="0"/>
          <w:color w:val="000000"/>
          <w:sz w:val="24"/>
          <w:szCs w:val="28"/>
          <w:highlight w:val="none"/>
          <w:u w:val="none"/>
          <w:lang w:val="en-US" w:eastAsia="zh-CN"/>
        </w:rPr>
        <w:t>改造</w:t>
      </w:r>
      <w:r>
        <w:rPr>
          <w:rFonts w:hint="eastAsia" w:ascii="Times New Roman" w:hAnsi="Times New Roman"/>
          <w:i w:val="0"/>
          <w:iCs w:val="0"/>
          <w:color w:val="000000"/>
          <w:sz w:val="24"/>
          <w:szCs w:val="28"/>
          <w:highlight w:val="none"/>
          <w:u w:val="none"/>
          <w:lang w:eastAsia="zh-CN"/>
        </w:rPr>
        <w:t>系统</w:t>
      </w:r>
      <w:r>
        <w:rPr>
          <w:rFonts w:hint="eastAsia" w:ascii="Times New Roman" w:hAnsi="Times New Roman"/>
          <w:i w:val="0"/>
          <w:iCs w:val="0"/>
          <w:color w:val="000000"/>
          <w:sz w:val="24"/>
          <w:szCs w:val="28"/>
          <w:highlight w:val="none"/>
          <w:u w:val="none"/>
          <w:lang w:val="en-US" w:eastAsia="zh-CN"/>
        </w:rPr>
        <w:t>数据交互、校验及相关功能界面，支撑</w:t>
      </w:r>
      <w:r>
        <w:rPr>
          <w:rFonts w:hint="eastAsia" w:ascii="Times New Roman" w:hAnsi="Times New Roman"/>
          <w:i w:val="0"/>
          <w:iCs w:val="0"/>
          <w:color w:val="000000"/>
          <w:sz w:val="24"/>
          <w:szCs w:val="28"/>
          <w:highlight w:val="none"/>
          <w:u w:val="none"/>
          <w:lang w:eastAsia="zh-CN"/>
        </w:rPr>
        <w:t>跨经营区现货交易</w:t>
      </w:r>
      <w:r>
        <w:rPr>
          <w:rFonts w:hint="eastAsia" w:ascii="Times New Roman" w:hAnsi="Times New Roman"/>
          <w:i w:val="0"/>
          <w:iCs w:val="0"/>
          <w:color w:val="000000"/>
          <w:sz w:val="24"/>
          <w:szCs w:val="28"/>
          <w:highlight w:val="none"/>
          <w:u w:val="none"/>
          <w:lang w:val="en-US" w:eastAsia="zh-CN"/>
        </w:rPr>
        <w:t>的平台功能完善</w:t>
      </w:r>
      <w:r>
        <w:rPr>
          <w:rFonts w:hint="eastAsia" w:ascii="Times New Roman" w:hAnsi="Times New Roman"/>
          <w:i w:val="0"/>
          <w:iCs w:val="0"/>
          <w:color w:val="000000"/>
          <w:sz w:val="24"/>
          <w:szCs w:val="28"/>
          <w:highlight w:val="none"/>
          <w:u w:val="none"/>
          <w:lang w:eastAsia="zh-CN"/>
        </w:rPr>
        <w:t>。</w:t>
      </w:r>
    </w:p>
    <w:p>
      <w:pPr>
        <w:spacing w:line="360" w:lineRule="auto"/>
        <w:ind w:firstLine="480" w:firstLineChars="200"/>
        <w:outlineLvl w:val="9"/>
        <w:rPr>
          <w:highlight w:val="none"/>
        </w:rPr>
      </w:pPr>
      <w:r>
        <w:rPr>
          <w:highlight w:val="none"/>
        </w:rPr>
        <w:t>标包2（出清算法功能加装及改造）：</w:t>
      </w:r>
      <w:r>
        <w:rPr>
          <w:rFonts w:hint="eastAsia" w:ascii="Times New Roman" w:hAnsi="Times New Roman"/>
          <w:i w:val="0"/>
          <w:iCs w:val="0"/>
          <w:color w:val="000000"/>
          <w:sz w:val="24"/>
          <w:szCs w:val="28"/>
          <w:highlight w:val="none"/>
          <w:u w:val="none"/>
          <w:lang w:eastAsia="zh-CN"/>
        </w:rPr>
        <w:t>对</w:t>
      </w:r>
      <w:r>
        <w:rPr>
          <w:rFonts w:hint="eastAsia" w:ascii="Times New Roman" w:hAnsi="Times New Roman"/>
          <w:i w:val="0"/>
          <w:iCs w:val="0"/>
          <w:color w:val="000000"/>
          <w:sz w:val="24"/>
          <w:szCs w:val="28"/>
          <w:highlight w:val="none"/>
          <w:u w:val="none"/>
          <w:lang w:val="en-US" w:eastAsia="zh-CN"/>
        </w:rPr>
        <w:t>南方区域电力现货市场技术支持系统</w:t>
      </w:r>
      <w:r>
        <w:rPr>
          <w:rFonts w:hint="eastAsia" w:ascii="Times New Roman" w:hAnsi="Times New Roman"/>
          <w:i w:val="0"/>
          <w:iCs w:val="0"/>
          <w:color w:val="000000"/>
          <w:sz w:val="24"/>
          <w:szCs w:val="28"/>
          <w:highlight w:val="none"/>
          <w:u w:val="none"/>
          <w:lang w:eastAsia="zh-CN"/>
        </w:rPr>
        <w:t>日前、日内和实时市场的机组组合、经济调度等算法功能进行加装及改造，</w:t>
      </w:r>
      <w:r>
        <w:rPr>
          <w:rFonts w:hint="eastAsia" w:ascii="Times New Roman" w:hAnsi="Times New Roman"/>
          <w:i w:val="0"/>
          <w:iCs w:val="0"/>
          <w:color w:val="000000"/>
          <w:sz w:val="24"/>
          <w:szCs w:val="28"/>
          <w:highlight w:val="none"/>
          <w:u w:val="none"/>
          <w:lang w:val="en-US" w:eastAsia="zh-CN"/>
        </w:rPr>
        <w:t>包括（1）</w:t>
      </w:r>
      <w:r>
        <w:rPr>
          <w:rFonts w:hint="eastAsia" w:ascii="Times New Roman" w:hAnsi="Times New Roman"/>
          <w:i w:val="0"/>
          <w:iCs w:val="0"/>
          <w:color w:val="000000"/>
          <w:sz w:val="24"/>
          <w:szCs w:val="28"/>
          <w:highlight w:val="none"/>
          <w:u w:val="none"/>
          <w:lang w:eastAsia="zh-CN"/>
        </w:rPr>
        <w:t>支持测试验证日前、日内和实时市场出清算法的</w:t>
      </w:r>
      <w:r>
        <w:rPr>
          <w:rFonts w:hint="eastAsia" w:ascii="Times New Roman" w:hAnsi="Times New Roman"/>
          <w:i w:val="0"/>
          <w:iCs w:val="0"/>
          <w:color w:val="000000"/>
          <w:sz w:val="24"/>
          <w:szCs w:val="28"/>
          <w:highlight w:val="none"/>
          <w:u w:val="none"/>
          <w:lang w:val="en-US" w:eastAsia="zh-CN"/>
        </w:rPr>
        <w:t>各类</w:t>
      </w:r>
      <w:r>
        <w:rPr>
          <w:rFonts w:hint="eastAsia" w:ascii="Times New Roman" w:hAnsi="Times New Roman"/>
          <w:i w:val="0"/>
          <w:iCs w:val="0"/>
          <w:color w:val="000000"/>
          <w:sz w:val="24"/>
          <w:szCs w:val="28"/>
          <w:highlight w:val="none"/>
          <w:u w:val="none"/>
          <w:lang w:eastAsia="zh-CN"/>
        </w:rPr>
        <w:t>出清计算功能；（</w:t>
      </w:r>
      <w:r>
        <w:rPr>
          <w:rFonts w:hint="eastAsia" w:ascii="Times New Roman" w:hAnsi="Times New Roman"/>
          <w:i w:val="0"/>
          <w:iCs w:val="0"/>
          <w:color w:val="000000"/>
          <w:sz w:val="24"/>
          <w:szCs w:val="28"/>
          <w:highlight w:val="none"/>
          <w:u w:val="none"/>
          <w:lang w:val="en-US" w:eastAsia="zh-CN"/>
        </w:rPr>
        <w:t>2</w:t>
      </w:r>
      <w:r>
        <w:rPr>
          <w:rFonts w:hint="eastAsia" w:ascii="Times New Roman" w:hAnsi="Times New Roman"/>
          <w:i w:val="0"/>
          <w:iCs w:val="0"/>
          <w:color w:val="000000"/>
          <w:sz w:val="24"/>
          <w:szCs w:val="28"/>
          <w:highlight w:val="none"/>
          <w:u w:val="none"/>
          <w:lang w:eastAsia="zh-CN"/>
        </w:rPr>
        <w:t>）</w:t>
      </w:r>
      <w:r>
        <w:rPr>
          <w:rFonts w:hint="eastAsia" w:ascii="Times New Roman" w:hAnsi="Times New Roman"/>
          <w:i w:val="0"/>
          <w:iCs w:val="0"/>
          <w:color w:val="000000"/>
          <w:sz w:val="24"/>
          <w:szCs w:val="28"/>
          <w:highlight w:val="none"/>
          <w:u w:val="none"/>
          <w:lang w:val="en-US" w:eastAsia="zh-CN"/>
        </w:rPr>
        <w:t>改造</w:t>
      </w:r>
      <w:r>
        <w:rPr>
          <w:rFonts w:hint="eastAsia" w:ascii="Times New Roman" w:hAnsi="Times New Roman"/>
          <w:i w:val="0"/>
          <w:iCs w:val="0"/>
          <w:color w:val="000000"/>
          <w:sz w:val="24"/>
          <w:szCs w:val="28"/>
          <w:highlight w:val="none"/>
          <w:u w:val="none"/>
          <w:lang w:eastAsia="zh-CN"/>
        </w:rPr>
        <w:t>可靠性机组组合优化计算功能，支持可靠性机组组合与日前市场出清的并行、串行等计算架构，针对日前市场和可靠性机组组合分离模拟测试过程中的问题</w:t>
      </w:r>
      <w:r>
        <w:rPr>
          <w:rFonts w:hint="eastAsia" w:ascii="Times New Roman" w:hAnsi="Times New Roman"/>
          <w:i w:val="0"/>
          <w:iCs w:val="0"/>
          <w:color w:val="000000"/>
          <w:sz w:val="24"/>
          <w:szCs w:val="28"/>
          <w:highlight w:val="none"/>
          <w:u w:val="none"/>
          <w:lang w:val="en-US" w:eastAsia="zh-CN"/>
        </w:rPr>
        <w:t>进行功能完善</w:t>
      </w:r>
      <w:r>
        <w:rPr>
          <w:rFonts w:hint="eastAsia" w:ascii="Times New Roman" w:hAnsi="Times New Roman"/>
          <w:i w:val="0"/>
          <w:iCs w:val="0"/>
          <w:color w:val="000000"/>
          <w:sz w:val="24"/>
          <w:szCs w:val="28"/>
          <w:highlight w:val="none"/>
          <w:u w:val="none"/>
          <w:lang w:eastAsia="zh-CN"/>
        </w:rPr>
        <w:t>；（</w:t>
      </w:r>
      <w:r>
        <w:rPr>
          <w:rFonts w:hint="eastAsia" w:ascii="Times New Roman" w:hAnsi="Times New Roman"/>
          <w:i w:val="0"/>
          <w:iCs w:val="0"/>
          <w:color w:val="000000"/>
          <w:sz w:val="24"/>
          <w:szCs w:val="28"/>
          <w:highlight w:val="none"/>
          <w:u w:val="none"/>
          <w:lang w:val="en-US" w:eastAsia="zh-CN"/>
        </w:rPr>
        <w:t>3</w:t>
      </w:r>
      <w:r>
        <w:rPr>
          <w:rFonts w:hint="eastAsia" w:ascii="Times New Roman" w:hAnsi="Times New Roman"/>
          <w:i w:val="0"/>
          <w:iCs w:val="0"/>
          <w:color w:val="000000"/>
          <w:sz w:val="24"/>
          <w:szCs w:val="28"/>
          <w:highlight w:val="none"/>
          <w:u w:val="none"/>
          <w:lang w:eastAsia="zh-CN"/>
        </w:rPr>
        <w:t>）</w:t>
      </w:r>
      <w:r>
        <w:rPr>
          <w:rFonts w:hint="eastAsia" w:ascii="Times New Roman" w:hAnsi="Times New Roman"/>
          <w:i w:val="0"/>
          <w:iCs w:val="0"/>
          <w:color w:val="000000"/>
          <w:sz w:val="24"/>
          <w:szCs w:val="28"/>
          <w:highlight w:val="none"/>
          <w:u w:val="none"/>
          <w:lang w:val="en-US" w:eastAsia="zh-CN"/>
        </w:rPr>
        <w:t>加装</w:t>
      </w:r>
      <w:r>
        <w:rPr>
          <w:rFonts w:hint="eastAsia" w:ascii="Times New Roman" w:hAnsi="Times New Roman"/>
          <w:i w:val="0"/>
          <w:iCs w:val="0"/>
          <w:color w:val="000000"/>
          <w:sz w:val="24"/>
          <w:szCs w:val="28"/>
          <w:highlight w:val="none"/>
          <w:u w:val="none"/>
          <w:lang w:eastAsia="zh-CN"/>
        </w:rPr>
        <w:t>国网省间现货纳入南方区域电力市场的出清计算模型</w:t>
      </w:r>
      <w:r>
        <w:rPr>
          <w:rFonts w:hint="eastAsia" w:ascii="Times New Roman" w:hAnsi="Times New Roman"/>
          <w:i w:val="0"/>
          <w:iCs w:val="0"/>
          <w:color w:val="000000"/>
          <w:sz w:val="24"/>
          <w:szCs w:val="28"/>
          <w:highlight w:val="none"/>
          <w:u w:val="none"/>
          <w:lang w:val="en-US" w:eastAsia="zh-CN"/>
        </w:rPr>
        <w:t>及电价计算模块，支撑</w:t>
      </w:r>
      <w:r>
        <w:rPr>
          <w:rFonts w:hint="eastAsia" w:ascii="Times New Roman" w:hAnsi="Times New Roman"/>
          <w:i w:val="0"/>
          <w:iCs w:val="0"/>
          <w:color w:val="000000"/>
          <w:sz w:val="24"/>
          <w:szCs w:val="28"/>
          <w:highlight w:val="none"/>
          <w:u w:val="none"/>
          <w:lang w:eastAsia="zh-CN"/>
        </w:rPr>
        <w:t>跨经营区现货交易</w:t>
      </w:r>
      <w:r>
        <w:rPr>
          <w:rFonts w:hint="eastAsia" w:ascii="Times New Roman" w:hAnsi="Times New Roman"/>
          <w:i w:val="0"/>
          <w:iCs w:val="0"/>
          <w:color w:val="000000"/>
          <w:sz w:val="24"/>
          <w:szCs w:val="28"/>
          <w:highlight w:val="none"/>
          <w:u w:val="none"/>
          <w:lang w:val="en-US" w:eastAsia="zh-CN"/>
        </w:rPr>
        <w:t>的平台功能完善</w:t>
      </w:r>
      <w:r>
        <w:rPr>
          <w:rFonts w:hint="eastAsia" w:ascii="Times New Roman" w:hAnsi="Times New Roman"/>
          <w:i w:val="0"/>
          <w:iCs w:val="0"/>
          <w:color w:val="000000"/>
          <w:sz w:val="24"/>
          <w:szCs w:val="28"/>
          <w:highlight w:val="none"/>
          <w:u w:val="none"/>
          <w:lang w:eastAsia="zh-CN"/>
        </w:rPr>
        <w:t>。</w:t>
      </w:r>
    </w:p>
    <w:p>
      <w:pPr>
        <w:pStyle w:val="16"/>
        <w:rPr>
          <w:rFonts w:hint="eastAsia"/>
        </w:rPr>
      </w:pPr>
    </w:p>
    <w:p>
      <w:pPr>
        <w:pStyle w:val="3"/>
        <w:widowControl w:val="0"/>
        <w:rPr>
          <w:rFonts w:ascii="Times New Roman" w:hAnsi="Times New Roman"/>
          <w:szCs w:val="24"/>
        </w:rPr>
      </w:pPr>
      <w:r>
        <w:rPr>
          <w:rFonts w:hint="eastAsia" w:ascii="Times New Roman" w:hAnsi="Times New Roman"/>
          <w:szCs w:val="24"/>
        </w:rPr>
        <w:t>项目</w:t>
      </w:r>
      <w:r>
        <w:rPr>
          <w:rFonts w:ascii="Times New Roman" w:hAnsi="Times New Roman"/>
          <w:szCs w:val="24"/>
        </w:rPr>
        <w:t>范围</w:t>
      </w:r>
    </w:p>
    <w:p>
      <w:pPr>
        <w:pStyle w:val="4"/>
        <w:widowControl w:val="0"/>
        <w:rPr>
          <w:szCs w:val="24"/>
        </w:rPr>
      </w:pPr>
      <w:r>
        <w:rPr>
          <w:szCs w:val="24"/>
        </w:rPr>
        <w:t>供货范围</w:t>
      </w:r>
    </w:p>
    <w:p>
      <w:pPr>
        <w:adjustRightInd w:val="0"/>
        <w:snapToGrid w:val="0"/>
        <w:ind w:firstLine="480" w:firstLineChars="200"/>
      </w:pPr>
      <w:r>
        <w:t>本部分为</w:t>
      </w:r>
      <w:r>
        <w:rPr>
          <w:b/>
        </w:rPr>
        <w:t>标包</w:t>
      </w:r>
      <w:r>
        <w:rPr>
          <w:rFonts w:hint="eastAsia"/>
          <w:b/>
          <w:lang w:val="en-US" w:eastAsia="zh-CN"/>
        </w:rPr>
        <w:t>1</w:t>
      </w:r>
      <w:r>
        <w:t>，主要采购内容包括：</w:t>
      </w:r>
    </w:p>
    <w:p>
      <w:pPr>
        <w:widowControl w:val="0"/>
        <w:numPr>
          <w:ilvl w:val="0"/>
          <w:numId w:val="8"/>
        </w:numPr>
        <w:snapToGrid w:val="0"/>
        <w:ind w:left="0" w:firstLine="480" w:firstLineChars="200"/>
      </w:pPr>
      <w:r>
        <w:t>南方区域电力现货市场技术支持系统19项功能加装项目平台功能加装及改造，1套</w:t>
      </w:r>
      <w:r>
        <w:rPr>
          <w:bCs/>
        </w:rPr>
        <w:t>；含以下内容：</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685"/>
        <w:gridCol w:w="2793"/>
        <w:gridCol w:w="415"/>
        <w:gridCol w:w="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blHeader/>
        </w:trPr>
        <w:tc>
          <w:tcPr>
            <w:tcW w:w="988" w:type="dxa"/>
            <w:noWrap/>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序号</w:t>
            </w:r>
          </w:p>
        </w:tc>
        <w:tc>
          <w:tcPr>
            <w:tcW w:w="368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一级功能</w:t>
            </w:r>
          </w:p>
        </w:tc>
        <w:tc>
          <w:tcPr>
            <w:tcW w:w="2793" w:type="dxa"/>
            <w:noWrap/>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二级功能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数量</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一</w:t>
            </w:r>
          </w:p>
        </w:tc>
        <w:tc>
          <w:tcPr>
            <w:tcW w:w="3685" w:type="dxa"/>
            <w:vAlign w:val="center"/>
          </w:tcPr>
          <w:p>
            <w:pPr>
              <w:jc w:val="center"/>
              <w:rPr>
                <w:rFonts w:hint="eastAsia" w:ascii="宋体" w:hAnsi="宋体" w:cs="宋体"/>
                <w:b/>
                <w:bCs/>
                <w:color w:val="1D1B10"/>
                <w:kern w:val="0"/>
                <w:sz w:val="21"/>
                <w:szCs w:val="21"/>
              </w:rPr>
            </w:pPr>
            <w:r>
              <w:rPr>
                <w:rFonts w:ascii="宋体" w:hAnsi="宋体" w:cs="宋体"/>
                <w:b/>
                <w:bCs/>
                <w:color w:val="1D1B10"/>
                <w:kern w:val="0"/>
                <w:sz w:val="21"/>
                <w:szCs w:val="21"/>
              </w:rPr>
              <w:t>软件模块加装</w:t>
            </w:r>
          </w:p>
        </w:tc>
        <w:tc>
          <w:tcPr>
            <w:tcW w:w="2793" w:type="dxa"/>
            <w:noWrap/>
            <w:vAlign w:val="center"/>
          </w:tcPr>
          <w:p>
            <w:pPr>
              <w:jc w:val="center"/>
              <w:rPr>
                <w:rFonts w:hint="eastAsia" w:ascii="宋体" w:hAnsi="宋体" w:cs="宋体"/>
                <w:b/>
                <w:bCs/>
                <w:color w:val="1D1B10"/>
                <w:kern w:val="0"/>
                <w:sz w:val="21"/>
                <w:szCs w:val="21"/>
              </w:rPr>
            </w:pPr>
          </w:p>
        </w:tc>
        <w:tc>
          <w:tcPr>
            <w:tcW w:w="415" w:type="dxa"/>
            <w:vAlign w:val="center"/>
          </w:tcPr>
          <w:p>
            <w:pPr>
              <w:jc w:val="center"/>
              <w:rPr>
                <w:rFonts w:hint="eastAsia" w:ascii="宋体" w:hAnsi="宋体"/>
                <w:kern w:val="0"/>
                <w:sz w:val="21"/>
                <w:szCs w:val="21"/>
              </w:rPr>
            </w:pPr>
          </w:p>
        </w:tc>
        <w:tc>
          <w:tcPr>
            <w:tcW w:w="415" w:type="dxa"/>
            <w:vAlign w:val="center"/>
          </w:tcPr>
          <w:p>
            <w:pPr>
              <w:jc w:val="center"/>
              <w:rPr>
                <w:rFonts w:hint="eastAsia" w:ascii="宋体" w:hAnsi="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数据导入及校验功能加装</w:t>
            </w:r>
          </w:p>
        </w:tc>
        <w:tc>
          <w:tcPr>
            <w:tcW w:w="2793" w:type="dxa"/>
            <w:noWrap/>
            <w:vAlign w:val="center"/>
          </w:tcPr>
          <w:p>
            <w:pPr>
              <w:jc w:val="center"/>
              <w:rPr>
                <w:rFonts w:hint="eastAsia" w:ascii="宋体" w:hAnsi="宋体" w:cs="宋体"/>
                <w:color w:val="000000"/>
                <w:kern w:val="0"/>
                <w:sz w:val="21"/>
                <w:szCs w:val="21"/>
                <w:lang w:bidi="ar"/>
              </w:rPr>
            </w:pPr>
            <w:r>
              <w:rPr>
                <w:rFonts w:ascii="宋体" w:hAnsi="宋体" w:cs="宋体"/>
                <w:color w:val="000000"/>
                <w:kern w:val="0"/>
                <w:sz w:val="21"/>
                <w:szCs w:val="21"/>
                <w:lang w:bidi="ar"/>
              </w:rPr>
              <w:t>市场模型</w:t>
            </w:r>
            <w:r>
              <w:rPr>
                <w:rFonts w:hint="eastAsia" w:ascii="宋体" w:hAnsi="宋体" w:cs="宋体"/>
                <w:color w:val="000000"/>
                <w:kern w:val="0"/>
                <w:sz w:val="21"/>
                <w:szCs w:val="21"/>
                <w:lang w:bidi="ar"/>
              </w:rPr>
              <w:t>导入与校验</w:t>
            </w:r>
            <w:r>
              <w:rPr>
                <w:rFonts w:ascii="宋体" w:hAnsi="宋体" w:cs="宋体"/>
                <w:color w:val="000000"/>
                <w:kern w:val="0"/>
                <w:sz w:val="21"/>
                <w:szCs w:val="21"/>
                <w:lang w:bidi="ar"/>
              </w:rPr>
              <w:t>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ascii="宋体" w:hAnsi="宋体" w:cs="宋体"/>
                <w:color w:val="000000"/>
                <w:kern w:val="0"/>
                <w:sz w:val="21"/>
                <w:szCs w:val="21"/>
                <w:lang w:bidi="ar"/>
              </w:rPr>
              <w:t>关键参数</w:t>
            </w:r>
            <w:r>
              <w:rPr>
                <w:rFonts w:hint="eastAsia" w:ascii="宋体" w:hAnsi="宋体" w:cs="宋体"/>
                <w:color w:val="000000"/>
                <w:kern w:val="0"/>
                <w:sz w:val="21"/>
                <w:szCs w:val="21"/>
                <w:lang w:bidi="ar"/>
              </w:rPr>
              <w:t>导入</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ascii="宋体" w:hAnsi="宋体" w:cs="宋体"/>
                <w:color w:val="000000"/>
                <w:kern w:val="0"/>
                <w:sz w:val="21"/>
                <w:szCs w:val="21"/>
                <w:lang w:bidi="ar"/>
              </w:rPr>
              <w:t>边界数据导入</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电能量市场平台测试验证功能加装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市场模型维护功能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信息披露功能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发布功能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智能告警功能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发布前校验功能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ascii="宋体" w:hAnsi="宋体" w:cs="宋体"/>
                <w:color w:val="000000"/>
                <w:kern w:val="0"/>
                <w:sz w:val="21"/>
                <w:szCs w:val="21"/>
                <w:lang w:bidi="ar"/>
              </w:rPr>
              <w:t>市场分析功能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ascii="宋体" w:hAnsi="宋体" w:cs="宋体"/>
                <w:color w:val="000000"/>
                <w:kern w:val="0"/>
                <w:sz w:val="21"/>
                <w:szCs w:val="21"/>
                <w:lang w:bidi="ar"/>
              </w:rPr>
            </w:pPr>
            <w:r>
              <w:rPr>
                <w:rFonts w:hint="eastAsia" w:ascii="宋体" w:hAnsi="宋体" w:cs="宋体"/>
                <w:color w:val="000000"/>
                <w:kern w:val="0"/>
                <w:sz w:val="21"/>
                <w:szCs w:val="21"/>
                <w:lang w:bidi="ar"/>
              </w:rPr>
              <w:t>案例备份还原功能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ascii="宋体" w:hAnsi="宋体" w:cs="宋体"/>
                <w:color w:val="000000"/>
                <w:kern w:val="0"/>
                <w:sz w:val="21"/>
                <w:szCs w:val="21"/>
                <w:lang w:bidi="ar"/>
              </w:rPr>
              <w:t>案例反演功能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调频市场测试验证功能加装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出清结果发布功能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人工操作自动同步功能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调频需求计算功能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预出清功能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正式出清功能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调频里程补偿计算功能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人工操作功能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备用市场测试验证功能加装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出清结果发布功能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人工操作自动同步功能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备用需求同步功能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备用可交易容量同步</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正式出清功能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日内调整功能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人工操作功能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调频与备用市场申报测试功能加装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发电单元参数设置</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申报信息填报</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申报信息校验</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restart"/>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市场与控制协同测试功能加装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模拟计划值获取</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数据输出</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restart"/>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容灾场景测试功能加装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响应数据源切换测试</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响应OCS切换测试</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响应网络异常测试</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restart"/>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自动化测试模块功能加装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响应数据源切换测试</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响应OCS切换测试</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响应网络异常测试</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restart"/>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测试结果可视化功能加装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关键运行指标展示</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案例信息展示</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图表输出</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离线导入功能加装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离线导入功能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测试案例与缺陷管理功能加装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测试案例与缺陷管理功能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可靠性机组组合数据维护功能加装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市场模型管理功能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申报数据管理功能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计划数据管理功能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边界数据接入并汇总</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异常数据防误功能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边界数据统计功能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市场参数管理功能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案例数据校验功能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边界数据更新功能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初始状态准备功能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约束条件管理功能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日前市场与可靠性机组组合案例校验功能改造</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可靠性机组组合市场流程控制功能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可靠性机组组合安全校核结果统计功能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可靠性机组组合未来方式地理潮流图展示功能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可靠性机组组合灵敏度存储及界面化展示功能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日前市场流程控制功能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日前市场安全校核结果统计功能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日前市场未来方式地理潮流图展示功能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日前市场不同时段灵敏度存储及界面化展示功能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跨经营区现货平台功能加装</w:t>
            </w: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数据交互功能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交易分量数据管理功能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交易模型维护功能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交易分量数据校验功能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出清结果导入及界面展示功能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关口电价计算功能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9"/>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市场流程控制功能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二</w:t>
            </w:r>
          </w:p>
        </w:tc>
        <w:tc>
          <w:tcPr>
            <w:tcW w:w="368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其它</w:t>
            </w:r>
          </w:p>
        </w:tc>
        <w:tc>
          <w:tcPr>
            <w:tcW w:w="2793" w:type="dxa"/>
            <w:vAlign w:val="center"/>
          </w:tcPr>
          <w:p>
            <w:pPr>
              <w:jc w:val="center"/>
              <w:rPr>
                <w:rFonts w:hint="eastAsia" w:ascii="宋体" w:hAnsi="宋体" w:cs="宋体"/>
                <w:b/>
                <w:bCs/>
                <w:color w:val="1D1B10"/>
                <w:kern w:val="0"/>
                <w:sz w:val="21"/>
                <w:szCs w:val="21"/>
              </w:rPr>
            </w:pPr>
          </w:p>
        </w:tc>
        <w:tc>
          <w:tcPr>
            <w:tcW w:w="415" w:type="dxa"/>
            <w:vAlign w:val="center"/>
          </w:tcPr>
          <w:p>
            <w:pPr>
              <w:jc w:val="left"/>
              <w:rPr>
                <w:rFonts w:hint="eastAsia" w:ascii="宋体" w:hAnsi="宋体"/>
                <w:kern w:val="0"/>
                <w:sz w:val="21"/>
                <w:szCs w:val="21"/>
              </w:rPr>
            </w:pPr>
          </w:p>
        </w:tc>
        <w:tc>
          <w:tcPr>
            <w:tcW w:w="415" w:type="dxa"/>
            <w:vAlign w:val="center"/>
          </w:tcPr>
          <w:p>
            <w:pPr>
              <w:jc w:val="center"/>
              <w:rPr>
                <w:rFonts w:hint="eastAsia" w:ascii="宋体" w:hAnsi="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jc w:val="center"/>
              <w:rPr>
                <w:rFonts w:hint="eastAsia" w:ascii="宋体" w:hAnsi="宋体" w:cs="宋体"/>
                <w:color w:val="1D1B10"/>
                <w:kern w:val="0"/>
                <w:sz w:val="21"/>
                <w:szCs w:val="21"/>
              </w:rPr>
            </w:pPr>
            <w:r>
              <w:rPr>
                <w:rFonts w:hint="eastAsia" w:ascii="宋体" w:hAnsi="宋体" w:cs="宋体"/>
                <w:color w:val="1D1B10"/>
                <w:kern w:val="0"/>
                <w:sz w:val="21"/>
                <w:szCs w:val="21"/>
              </w:rPr>
              <w:t>1</w:t>
            </w:r>
          </w:p>
        </w:tc>
        <w:tc>
          <w:tcPr>
            <w:tcW w:w="3685" w:type="dxa"/>
            <w:vAlign w:val="center"/>
          </w:tcPr>
          <w:p>
            <w:pPr>
              <w:jc w:val="center"/>
              <w:rPr>
                <w:rFonts w:hint="eastAsia" w:ascii="宋体" w:hAnsi="宋体" w:cs="宋体"/>
                <w:color w:val="1D1B10"/>
                <w:kern w:val="0"/>
                <w:sz w:val="21"/>
                <w:szCs w:val="21"/>
              </w:rPr>
            </w:pPr>
            <w:r>
              <w:rPr>
                <w:rFonts w:hint="eastAsia" w:ascii="宋体" w:hAnsi="宋体" w:cs="宋体"/>
                <w:color w:val="1D1B10"/>
                <w:kern w:val="0"/>
                <w:sz w:val="21"/>
                <w:szCs w:val="21"/>
              </w:rPr>
              <w:t>系统实施</w:t>
            </w:r>
          </w:p>
        </w:tc>
        <w:tc>
          <w:tcPr>
            <w:tcW w:w="2793" w:type="dxa"/>
            <w:vAlign w:val="center"/>
          </w:tcPr>
          <w:p>
            <w:pPr>
              <w:jc w:val="center"/>
              <w:rPr>
                <w:rFonts w:hint="eastAsia" w:ascii="宋体" w:hAnsi="宋体" w:cs="宋体"/>
                <w:color w:val="1D1B10"/>
                <w:kern w:val="0"/>
                <w:sz w:val="21"/>
                <w:szCs w:val="21"/>
              </w:rPr>
            </w:pPr>
            <w:r>
              <w:rPr>
                <w:rFonts w:hint="eastAsia" w:ascii="宋体" w:hAnsi="宋体" w:cs="宋体"/>
                <w:color w:val="1D1B10"/>
                <w:kern w:val="0"/>
                <w:sz w:val="21"/>
                <w:szCs w:val="21"/>
              </w:rPr>
              <w:t>包括项目管理、项目启动、环境准备、初始化、调试、培训、上线切换等工作</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项</w:t>
            </w:r>
          </w:p>
        </w:tc>
      </w:tr>
    </w:tbl>
    <w:p/>
    <w:p>
      <w:pPr>
        <w:widowControl w:val="0"/>
        <w:numPr>
          <w:ilvl w:val="0"/>
          <w:numId w:val="8"/>
        </w:numPr>
        <w:snapToGrid w:val="0"/>
        <w:ind w:left="0" w:firstLine="480" w:firstLineChars="200"/>
      </w:pPr>
      <w:r>
        <w:rPr>
          <w:rFonts w:hint="eastAsia"/>
        </w:rPr>
        <w:t>南方区域电力现货市场技术支持系统19项功能加装项目</w:t>
      </w:r>
      <w:r>
        <w:t>平台功能加装及改造</w:t>
      </w:r>
      <w:r>
        <w:rPr>
          <w:rFonts w:hint="eastAsia"/>
        </w:rPr>
        <w:t>相关文档材料，含以下内容：</w:t>
      </w:r>
    </w:p>
    <w:p>
      <w:pPr>
        <w:widowControl w:val="0"/>
        <w:numPr>
          <w:ilvl w:val="0"/>
          <w:numId w:val="10"/>
        </w:numPr>
        <w:snapToGrid w:val="0"/>
        <w:ind w:left="0" w:firstLine="480" w:firstLineChars="200"/>
        <w:rPr>
          <w:bCs/>
        </w:rPr>
      </w:pPr>
      <w:r>
        <w:rPr>
          <w:rFonts w:hint="eastAsia"/>
          <w:bCs/>
        </w:rPr>
        <w:t>项目验收工作总结报告，1份；</w:t>
      </w:r>
    </w:p>
    <w:p>
      <w:pPr>
        <w:widowControl w:val="0"/>
        <w:numPr>
          <w:ilvl w:val="0"/>
          <w:numId w:val="10"/>
        </w:numPr>
        <w:snapToGrid w:val="0"/>
        <w:ind w:left="0" w:firstLine="480" w:firstLineChars="200"/>
        <w:rPr>
          <w:bCs/>
        </w:rPr>
      </w:pPr>
      <w:r>
        <w:rPr>
          <w:rFonts w:hint="eastAsia"/>
          <w:bCs/>
        </w:rPr>
        <w:t>项目验收技术总结报告，1份；</w:t>
      </w:r>
    </w:p>
    <w:p>
      <w:pPr>
        <w:widowControl w:val="0"/>
        <w:numPr>
          <w:ilvl w:val="0"/>
          <w:numId w:val="10"/>
        </w:numPr>
        <w:snapToGrid w:val="0"/>
        <w:ind w:left="0" w:firstLine="480" w:firstLineChars="200"/>
        <w:rPr>
          <w:bCs/>
        </w:rPr>
      </w:pPr>
      <w:r>
        <w:rPr>
          <w:rFonts w:hint="eastAsia"/>
          <w:bCs/>
        </w:rPr>
        <w:t>软件一书三册（功能说明书、安装手册、运维手册、检验手册），1套；</w:t>
      </w:r>
    </w:p>
    <w:p>
      <w:pPr>
        <w:widowControl w:val="0"/>
        <w:numPr>
          <w:ilvl w:val="0"/>
          <w:numId w:val="10"/>
        </w:numPr>
        <w:snapToGrid w:val="0"/>
        <w:ind w:left="0" w:firstLine="480" w:firstLineChars="200"/>
        <w:rPr>
          <w:bCs/>
        </w:rPr>
      </w:pPr>
      <w:r>
        <w:rPr>
          <w:rFonts w:hint="eastAsia"/>
          <w:bCs/>
        </w:rPr>
        <w:t>项目相关培训材料，1份；</w:t>
      </w:r>
    </w:p>
    <w:p>
      <w:pPr>
        <w:pStyle w:val="4"/>
        <w:widowControl w:val="0"/>
        <w:rPr>
          <w:szCs w:val="24"/>
        </w:rPr>
      </w:pPr>
      <w:r>
        <w:rPr>
          <w:szCs w:val="24"/>
        </w:rPr>
        <w:t>工作范围</w:t>
      </w:r>
    </w:p>
    <w:p>
      <w:pPr>
        <w:adjustRightInd w:val="0"/>
        <w:snapToGrid w:val="0"/>
        <w:ind w:firstLine="480" w:firstLineChars="200"/>
      </w:pPr>
      <w:r>
        <w:rPr>
          <w:rFonts w:hint="eastAsia"/>
        </w:rPr>
        <w:t>投标方</w:t>
      </w:r>
      <w:r>
        <w:t>除应提供供货范围内规定的</w:t>
      </w:r>
      <w:r>
        <w:rPr>
          <w:rFonts w:hint="eastAsia"/>
        </w:rPr>
        <w:t>功能开发工作</w:t>
      </w:r>
      <w:r>
        <w:t>外，</w:t>
      </w:r>
      <w:r>
        <w:rPr>
          <w:rFonts w:hint="eastAsia"/>
        </w:rPr>
        <w:t>同时</w:t>
      </w:r>
      <w:r>
        <w:t>提供必要的技术支持服务，这些工作包括：</w:t>
      </w:r>
    </w:p>
    <w:p>
      <w:pPr>
        <w:widowControl w:val="0"/>
        <w:numPr>
          <w:ilvl w:val="0"/>
          <w:numId w:val="11"/>
        </w:numPr>
        <w:tabs>
          <w:tab w:val="left" w:pos="0"/>
          <w:tab w:val="left" w:pos="1134"/>
          <w:tab w:val="clear" w:pos="1400"/>
        </w:tabs>
        <w:adjustRightInd w:val="0"/>
        <w:snapToGrid w:val="0"/>
        <w:ind w:left="0" w:firstLine="480" w:firstLineChars="200"/>
      </w:pPr>
      <w:r>
        <w:rPr>
          <w:rFonts w:hint="eastAsia"/>
        </w:rPr>
        <w:t>负责项目</w:t>
      </w:r>
      <w:r>
        <w:t>期内、外的技术支持和服务</w:t>
      </w:r>
      <w:r>
        <w:rPr>
          <w:rFonts w:hint="eastAsia"/>
        </w:rPr>
        <w:t>，系统实施、集成、测试和调试</w:t>
      </w:r>
      <w:r>
        <w:t>。</w:t>
      </w:r>
    </w:p>
    <w:p>
      <w:pPr>
        <w:widowControl w:val="0"/>
        <w:numPr>
          <w:ilvl w:val="0"/>
          <w:numId w:val="11"/>
        </w:numPr>
        <w:tabs>
          <w:tab w:val="left" w:pos="0"/>
          <w:tab w:val="left" w:pos="1134"/>
          <w:tab w:val="clear" w:pos="1400"/>
        </w:tabs>
        <w:adjustRightInd w:val="0"/>
        <w:snapToGrid w:val="0"/>
        <w:ind w:left="0" w:firstLine="480" w:firstLineChars="200"/>
      </w:pPr>
      <w:r>
        <w:rPr>
          <w:rFonts w:hint="eastAsia"/>
        </w:rPr>
        <w:t>负责</w:t>
      </w:r>
      <w:r>
        <w:t>为用户提供培训。</w:t>
      </w:r>
    </w:p>
    <w:p>
      <w:pPr>
        <w:widowControl w:val="0"/>
        <w:numPr>
          <w:ilvl w:val="0"/>
          <w:numId w:val="11"/>
        </w:numPr>
        <w:tabs>
          <w:tab w:val="left" w:pos="0"/>
          <w:tab w:val="left" w:pos="1134"/>
          <w:tab w:val="clear" w:pos="1400"/>
        </w:tabs>
        <w:adjustRightInd w:val="0"/>
        <w:snapToGrid w:val="0"/>
        <w:ind w:left="0" w:firstLine="480" w:firstLineChars="200"/>
      </w:pPr>
      <w:r>
        <w:rPr>
          <w:rFonts w:hint="eastAsia"/>
        </w:rPr>
        <w:t>在项目实施过程中如发现内容遗漏，由投标方免费补齐。</w:t>
      </w:r>
    </w:p>
    <w:p>
      <w:pPr>
        <w:pStyle w:val="2"/>
      </w:pPr>
      <w:bookmarkStart w:id="15" w:name="_Toc433727338"/>
      <w:r>
        <w:t>技术要求</w:t>
      </w:r>
      <w:bookmarkEnd w:id="15"/>
    </w:p>
    <w:p>
      <w:pPr>
        <w:pStyle w:val="3"/>
        <w:widowControl w:val="0"/>
        <w:rPr>
          <w:rFonts w:ascii="Times New Roman" w:hAnsi="Times New Roman"/>
          <w:szCs w:val="24"/>
        </w:rPr>
      </w:pPr>
      <w:r>
        <w:rPr>
          <w:rFonts w:ascii="Times New Roman" w:hAnsi="Times New Roman"/>
          <w:szCs w:val="24"/>
        </w:rPr>
        <w:t>遵循的标准</w:t>
      </w:r>
    </w:p>
    <w:p>
      <w:pPr>
        <w:adjustRightInd w:val="0"/>
        <w:snapToGrid w:val="0"/>
        <w:ind w:firstLine="480" w:firstLineChars="200"/>
      </w:pPr>
      <w:r>
        <w:rPr>
          <w:rFonts w:hint="eastAsia"/>
        </w:rPr>
        <w:t>投标方</w:t>
      </w:r>
      <w:r>
        <w:t>按下列机构、协会和组织的标准和规程的相应条款进行合同设备的设计、制造和试验。</w:t>
      </w:r>
      <w:r>
        <w:rPr>
          <w:rFonts w:hint="eastAsia"/>
        </w:rPr>
        <w:t>投标方</w:t>
      </w:r>
      <w:r>
        <w:t>应将与本合同设备直接有关的标准和规程的适用部分提供给招标方。</w:t>
      </w:r>
    </w:p>
    <w:p>
      <w:pPr>
        <w:widowControl w:val="0"/>
        <w:numPr>
          <w:ilvl w:val="0"/>
          <w:numId w:val="12"/>
        </w:numPr>
      </w:pPr>
      <w:r>
        <w:t>《中华人民共和国国家安全法》（2015年7月1日）</w:t>
      </w:r>
    </w:p>
    <w:p>
      <w:pPr>
        <w:widowControl w:val="0"/>
        <w:numPr>
          <w:ilvl w:val="0"/>
          <w:numId w:val="12"/>
        </w:numPr>
      </w:pPr>
      <w:r>
        <w:t>《中华人民共和国网络安全法》（2017年6月1日）</w:t>
      </w:r>
    </w:p>
    <w:p>
      <w:pPr>
        <w:widowControl w:val="0"/>
        <w:numPr>
          <w:ilvl w:val="0"/>
          <w:numId w:val="12"/>
        </w:numPr>
      </w:pPr>
      <w:r>
        <w:t>《电力监控系统安全防护技术规范》（Q/CSG120499-2021）</w:t>
      </w:r>
    </w:p>
    <w:p>
      <w:pPr>
        <w:widowControl w:val="0"/>
        <w:numPr>
          <w:ilvl w:val="0"/>
          <w:numId w:val="12"/>
        </w:numPr>
      </w:pPr>
      <w:r>
        <w:t>《中国南方电网电力监控系统安全防护管理办法》（Q/CSG212001-2015）</w:t>
      </w:r>
    </w:p>
    <w:p>
      <w:pPr>
        <w:widowControl w:val="0"/>
        <w:numPr>
          <w:ilvl w:val="0"/>
          <w:numId w:val="12"/>
        </w:numPr>
      </w:pPr>
      <w:r>
        <w:t>《南方电网电力监控系统网络安全全域防御与纵深防御体系建设工作方案》（南方电网总调〔2020〕4号）</w:t>
      </w:r>
    </w:p>
    <w:p>
      <w:pPr>
        <w:widowControl w:val="0"/>
        <w:numPr>
          <w:ilvl w:val="0"/>
          <w:numId w:val="12"/>
        </w:numPr>
      </w:pPr>
      <w:r>
        <w:t>《电力系统调度自动化设计技术规定》DL/T 5003-2005</w:t>
      </w:r>
    </w:p>
    <w:p>
      <w:pPr>
        <w:widowControl w:val="0"/>
        <w:numPr>
          <w:ilvl w:val="0"/>
          <w:numId w:val="12"/>
        </w:numPr>
      </w:pPr>
      <w:r>
        <w:t>《电力系统调度自动化工程可行性研究报告内容深度规定》DLT 5446-2012</w:t>
      </w:r>
    </w:p>
    <w:p>
      <w:pPr>
        <w:widowControl w:val="0"/>
        <w:numPr>
          <w:ilvl w:val="0"/>
          <w:numId w:val="12"/>
        </w:numPr>
      </w:pPr>
      <w:r>
        <w:t>《中国南方电网电力调度管理规程》（Q/CS212045-2011）</w:t>
      </w:r>
    </w:p>
    <w:p>
      <w:pPr>
        <w:widowControl w:val="0"/>
        <w:numPr>
          <w:ilvl w:val="0"/>
          <w:numId w:val="12"/>
        </w:numPr>
      </w:pPr>
      <w:r>
        <w:t>《南方电网公司信息化项目预算编制与计算方法》（2020年修订版）</w:t>
      </w:r>
    </w:p>
    <w:p>
      <w:pPr>
        <w:pStyle w:val="143"/>
        <w:numPr>
          <w:ilvl w:val="0"/>
          <w:numId w:val="12"/>
        </w:numPr>
        <w:spacing w:line="360" w:lineRule="auto"/>
        <w:ind w:firstLineChars="0"/>
        <w:rPr>
          <w:rFonts w:cs="Times New Roman"/>
          <w:szCs w:val="24"/>
        </w:rPr>
      </w:pPr>
      <w:r>
        <w:rPr>
          <w:rFonts w:cs="Times New Roman"/>
          <w:szCs w:val="24"/>
        </w:rPr>
        <w:t>《南方电网公司生产项目准入及预算标准》（2022年版）</w:t>
      </w:r>
    </w:p>
    <w:p>
      <w:pPr>
        <w:widowControl w:val="0"/>
        <w:numPr>
          <w:ilvl w:val="0"/>
          <w:numId w:val="12"/>
        </w:numPr>
      </w:pPr>
      <w:bookmarkStart w:id="16" w:name="_Hlk34769601"/>
      <w:r>
        <w:t>Q/CSG 1204050-2019《南方区域电力现货市场技术支持示范系统技术规范》</w:t>
      </w:r>
    </w:p>
    <w:p>
      <w:pPr>
        <w:widowControl w:val="0"/>
        <w:numPr>
          <w:ilvl w:val="0"/>
          <w:numId w:val="12"/>
        </w:numPr>
      </w:pPr>
      <w:r>
        <w:t>《南方区域电力现货市场技术支持示范系统数据交互规范》</w:t>
      </w:r>
    </w:p>
    <w:bookmarkEnd w:id="16"/>
    <w:p>
      <w:pPr>
        <w:widowControl w:val="0"/>
        <w:numPr>
          <w:ilvl w:val="0"/>
          <w:numId w:val="12"/>
        </w:numPr>
      </w:pPr>
      <w:r>
        <w:t>（国家能源局南方监管局）《南方区域统一调频辅助服务市场建设方案》</w:t>
      </w:r>
    </w:p>
    <w:p>
      <w:pPr>
        <w:widowControl w:val="0"/>
        <w:numPr>
          <w:ilvl w:val="0"/>
          <w:numId w:val="12"/>
        </w:numPr>
      </w:pPr>
      <w:r>
        <w:t>（国家发改委、国家能源局）《关于加快建设全国统一电力市场体系的指导意见》（发改体改〔2022〕118号）</w:t>
      </w:r>
    </w:p>
    <w:p>
      <w:pPr>
        <w:widowControl w:val="0"/>
        <w:numPr>
          <w:ilvl w:val="0"/>
          <w:numId w:val="12"/>
        </w:numPr>
      </w:pPr>
      <w:r>
        <w:t>（国家发改委、国家能源局）《电力现货市场基本规则（试行）》（发改能源规〔2023〕1217号）</w:t>
      </w:r>
    </w:p>
    <w:p>
      <w:pPr>
        <w:widowControl w:val="0"/>
        <w:numPr>
          <w:ilvl w:val="0"/>
          <w:numId w:val="12"/>
        </w:numPr>
      </w:pPr>
      <w:r>
        <w:t>《电力监控系统安全防护规定》（国家发展和改革委员会令第27号）</w:t>
      </w:r>
    </w:p>
    <w:p>
      <w:pPr>
        <w:widowControl w:val="0"/>
        <w:numPr>
          <w:ilvl w:val="0"/>
          <w:numId w:val="12"/>
        </w:numPr>
      </w:pPr>
      <w:r>
        <w:t>《国家能源局关于印发电力监控系统安全防护总体方案等安全防护方案和评估规范的通知》（国能安全〔2015〕36号）</w:t>
      </w:r>
    </w:p>
    <w:p>
      <w:pPr>
        <w:widowControl w:val="0"/>
        <w:numPr>
          <w:ilvl w:val="0"/>
          <w:numId w:val="12"/>
        </w:numPr>
      </w:pPr>
      <w:r>
        <w:t>《中国南方电网电力监控系统网络安全技术规范》（Q/CSG 120499-2021）</w:t>
      </w:r>
    </w:p>
    <w:p>
      <w:pPr>
        <w:widowControl w:val="0"/>
        <w:numPr>
          <w:ilvl w:val="0"/>
          <w:numId w:val="12"/>
        </w:numPr>
      </w:pPr>
      <w:r>
        <w:t>《关于印发南方电网电力监控系统网络安全全域防御与纵深防御体系建设工作方案的通知》（南方电网总调〔2020〕4号）</w:t>
      </w:r>
    </w:p>
    <w:p>
      <w:pPr>
        <w:widowControl w:val="0"/>
        <w:numPr>
          <w:ilvl w:val="0"/>
          <w:numId w:val="12"/>
        </w:numPr>
      </w:pPr>
      <w:r>
        <w:t>关于印发主动融入全国统一电力市场体系加快推进南方区域电力市场建设方案的通知（南方电网市场〔2024〕9 号）</w:t>
      </w:r>
    </w:p>
    <w:p>
      <w:pPr>
        <w:widowControl w:val="0"/>
        <w:numPr>
          <w:ilvl w:val="0"/>
          <w:numId w:val="12"/>
        </w:numPr>
      </w:pPr>
      <w:r>
        <w:t>《国家发展改革委 国家能源局关于建立健全电力辅助服务市场价格机制的通知》（发改价格〔2024〕196号）</w:t>
      </w:r>
    </w:p>
    <w:p>
      <w:pPr>
        <w:widowControl w:val="0"/>
        <w:numPr>
          <w:ilvl w:val="0"/>
          <w:numId w:val="12"/>
        </w:numPr>
      </w:pPr>
      <w:r>
        <w:t>《关于深化新能源上网电价市场化改革 促进新能源高质量发展的通知》(发改价格〔2025〕136号)</w:t>
      </w:r>
    </w:p>
    <w:p>
      <w:pPr>
        <w:widowControl w:val="0"/>
        <w:numPr>
          <w:ilvl w:val="0"/>
          <w:numId w:val="12"/>
        </w:numPr>
      </w:pPr>
      <w:r>
        <w:t>《关于加快建设全国统一电力市场体系的指导意见》（发改体改〔2022〕118号）</w:t>
      </w:r>
    </w:p>
    <w:p>
      <w:pPr>
        <w:widowControl w:val="0"/>
        <w:numPr>
          <w:ilvl w:val="0"/>
          <w:numId w:val="12"/>
        </w:numPr>
      </w:pPr>
      <w:r>
        <w:t>《全国统一电力市场发展规划蓝皮书》（中国电力企业联合会）</w:t>
      </w:r>
    </w:p>
    <w:p>
      <w:pPr>
        <w:widowControl w:val="0"/>
        <w:numPr>
          <w:ilvl w:val="0"/>
          <w:numId w:val="12"/>
        </w:numPr>
      </w:pPr>
      <w:r>
        <w:t>输配电联系单〔2024〕25号附件3：《管制业务固定资产生产技改投资策略》</w:t>
      </w:r>
    </w:p>
    <w:p>
      <w:pPr>
        <w:widowControl w:val="0"/>
        <w:numPr>
          <w:ilvl w:val="0"/>
          <w:numId w:val="12"/>
        </w:numPr>
      </w:pPr>
      <w:r>
        <w:t>南方电网定额〔2024 〕10号附件：《南方电网公司信息化项目预算编制与计算方法（2024年修订版）》</w:t>
      </w:r>
    </w:p>
    <w:p>
      <w:pPr>
        <w:widowControl w:val="0"/>
        <w:numPr>
          <w:ilvl w:val="0"/>
          <w:numId w:val="12"/>
        </w:numPr>
      </w:pPr>
      <w:r>
        <w:t>《关于印发南方电网调度云上业务系统及公共服务技术管控工作指引（2022年版）的通知》（办总调〔2022〕10号）</w:t>
      </w:r>
    </w:p>
    <w:p>
      <w:pPr>
        <w:widowControl w:val="0"/>
        <w:rPr>
          <w:rFonts w:hint="eastAsia" w:ascii="宋体" w:hAnsi="宋体"/>
        </w:rPr>
      </w:pPr>
    </w:p>
    <w:p>
      <w:pPr>
        <w:pStyle w:val="56"/>
        <w:keepNext/>
        <w:keepLines/>
        <w:widowControl w:val="0"/>
        <w:numPr>
          <w:ilvl w:val="0"/>
          <w:numId w:val="13"/>
        </w:numPr>
        <w:spacing w:before="260" w:after="260" w:line="416" w:lineRule="auto"/>
        <w:outlineLvl w:val="1"/>
        <w:rPr>
          <w:rFonts w:hint="eastAsia" w:ascii="宋体" w:hAnsi="宋体"/>
          <w:b/>
          <w:bCs/>
          <w:vanish/>
        </w:rPr>
      </w:pPr>
      <w:bookmarkStart w:id="17" w:name="_Toc133092927"/>
    </w:p>
    <w:p>
      <w:pPr>
        <w:pStyle w:val="56"/>
        <w:keepNext/>
        <w:keepLines/>
        <w:widowControl w:val="0"/>
        <w:numPr>
          <w:ilvl w:val="0"/>
          <w:numId w:val="13"/>
        </w:numPr>
        <w:spacing w:before="260" w:after="260" w:line="416" w:lineRule="auto"/>
        <w:outlineLvl w:val="1"/>
        <w:rPr>
          <w:rFonts w:hint="eastAsia" w:ascii="宋体" w:hAnsi="宋体"/>
          <w:b/>
          <w:bCs/>
          <w:vanish/>
        </w:rPr>
      </w:pPr>
    </w:p>
    <w:p>
      <w:pPr>
        <w:pStyle w:val="56"/>
        <w:keepNext/>
        <w:keepLines/>
        <w:widowControl w:val="0"/>
        <w:numPr>
          <w:ilvl w:val="0"/>
          <w:numId w:val="13"/>
        </w:numPr>
        <w:spacing w:before="260" w:after="260" w:line="416" w:lineRule="auto"/>
        <w:outlineLvl w:val="1"/>
        <w:rPr>
          <w:rFonts w:hint="eastAsia" w:ascii="宋体" w:hAnsi="宋体"/>
          <w:b/>
          <w:bCs/>
          <w:vanish/>
        </w:rPr>
      </w:pPr>
    </w:p>
    <w:p>
      <w:pPr>
        <w:pStyle w:val="56"/>
        <w:keepNext/>
        <w:keepLines/>
        <w:numPr>
          <w:ilvl w:val="1"/>
          <w:numId w:val="1"/>
        </w:numPr>
        <w:tabs>
          <w:tab w:val="left" w:pos="720"/>
        </w:tabs>
        <w:outlineLvl w:val="1"/>
        <w:rPr>
          <w:rFonts w:ascii="Arial" w:hAnsi="Arial"/>
          <w:b/>
          <w:bCs/>
          <w:vanish/>
          <w:szCs w:val="32"/>
        </w:rPr>
      </w:pPr>
    </w:p>
    <w:p>
      <w:pPr>
        <w:pStyle w:val="3"/>
      </w:pPr>
      <w:r>
        <w:rPr>
          <w:rFonts w:hint="eastAsia"/>
        </w:rPr>
        <w:t>功能建设</w:t>
      </w:r>
      <w:bookmarkEnd w:id="17"/>
    </w:p>
    <w:p>
      <w:pPr>
        <w:pStyle w:val="4"/>
        <w:widowControl w:val="0"/>
        <w:rPr>
          <w:szCs w:val="24"/>
          <w:highlight w:val="none"/>
        </w:rPr>
      </w:pPr>
      <w:r>
        <w:rPr>
          <w:rFonts w:hint="eastAsia"/>
          <w:color w:val="000000" w:themeColor="text1"/>
          <w:highlight w:val="none"/>
          <w:lang w:val="en-US" w:eastAsia="zh-CN"/>
          <w14:textFill>
            <w14:solidFill>
              <w14:schemeClr w14:val="tx1"/>
            </w14:solidFill>
          </w14:textFill>
        </w:rPr>
        <w:t>现货系统镜像测试功能</w:t>
      </w:r>
      <w:r>
        <w:rPr>
          <w:color w:val="000000" w:themeColor="text1"/>
          <w:highlight w:val="none"/>
          <w14:textFill>
            <w14:solidFill>
              <w14:schemeClr w14:val="tx1"/>
            </w14:solidFill>
          </w14:textFill>
        </w:rPr>
        <w:t>加装</w:t>
      </w:r>
    </w:p>
    <w:p>
      <w:pPr>
        <w:pStyle w:val="5"/>
        <w:rPr>
          <w:lang w:val="zh-CN"/>
        </w:rPr>
      </w:pPr>
      <w:bookmarkStart w:id="18" w:name="_Toc19667"/>
      <w:r>
        <w:rPr>
          <w:rFonts w:hint="eastAsia"/>
          <w:lang w:val="zh-CN"/>
        </w:rPr>
        <w:t>数据导入及校验功能加装</w:t>
      </w:r>
    </w:p>
    <w:p>
      <w:pPr>
        <w:adjustRightInd w:val="0"/>
        <w:snapToGrid w:val="0"/>
        <w:ind w:firstLine="480" w:firstLineChars="200"/>
        <w:rPr>
          <w:rFonts w:ascii="宋体"/>
          <w:color w:val="000000" w:themeColor="text1"/>
          <w14:textFill>
            <w14:solidFill>
              <w14:schemeClr w14:val="tx1"/>
            </w14:solidFill>
          </w14:textFill>
        </w:rPr>
      </w:pPr>
      <w:r>
        <w:rPr>
          <w:rFonts w:ascii="宋体"/>
          <w:color w:val="000000" w:themeColor="text1"/>
          <w14:textFill>
            <w14:solidFill>
              <w14:schemeClr w14:val="tx1"/>
            </w14:solidFill>
          </w14:textFill>
        </w:rPr>
        <w:t>开发从电能量市场运行系统、调频和备用辅助服务市场运行系统到市场镜像测试环境的模型、关键参数和边界数据导入与校验功能，保障测试系统与正式系统模型、关键参数和数据的一致性</w:t>
      </w:r>
      <w:r>
        <w:rPr>
          <w:rFonts w:hint="eastAsia" w:ascii="宋体"/>
          <w:color w:val="000000" w:themeColor="text1"/>
          <w14:textFill>
            <w14:solidFill>
              <w14:schemeClr w14:val="tx1"/>
            </w14:solidFill>
          </w14:textFill>
        </w:rPr>
        <w:t>。</w:t>
      </w:r>
    </w:p>
    <w:p>
      <w:pPr>
        <w:pStyle w:val="6"/>
        <w:rPr>
          <w:szCs w:val="24"/>
        </w:rPr>
      </w:pPr>
      <w:r>
        <w:rPr>
          <w:rFonts w:hint="eastAsia"/>
          <w:szCs w:val="24"/>
        </w:rPr>
        <w:t>功能要求</w:t>
      </w:r>
    </w:p>
    <w:p>
      <w:pPr>
        <w:widowControl w:val="0"/>
        <w:numPr>
          <w:ilvl w:val="0"/>
          <w:numId w:val="14"/>
        </w:numPr>
        <w:spacing w:after="0"/>
        <w:ind w:firstLine="424" w:firstLineChars="177"/>
        <w:rPr>
          <w:color w:val="000000" w:themeColor="text1"/>
          <w:szCs w:val="32"/>
          <w14:textFill>
            <w14:solidFill>
              <w14:schemeClr w14:val="tx1"/>
            </w14:solidFill>
          </w14:textFill>
        </w:rPr>
      </w:pPr>
      <w:r>
        <w:rPr>
          <w:color w:val="000000" w:themeColor="text1"/>
          <w:szCs w:val="32"/>
          <w14:textFill>
            <w14:solidFill>
              <w14:schemeClr w14:val="tx1"/>
            </w14:solidFill>
          </w14:textFill>
        </w:rPr>
        <w:t>加装市场模型</w:t>
      </w:r>
      <w:r>
        <w:rPr>
          <w:rFonts w:hint="eastAsia"/>
          <w:color w:val="000000" w:themeColor="text1"/>
          <w:szCs w:val="32"/>
          <w14:textFill>
            <w14:solidFill>
              <w14:schemeClr w14:val="tx1"/>
            </w14:solidFill>
          </w14:textFill>
        </w:rPr>
        <w:t>导入与校验</w:t>
      </w:r>
      <w:r>
        <w:rPr>
          <w:color w:val="000000" w:themeColor="text1"/>
          <w:szCs w:val="32"/>
          <w14:textFill>
            <w14:solidFill>
              <w14:schemeClr w14:val="tx1"/>
            </w14:solidFill>
          </w14:textFill>
        </w:rPr>
        <w:t>功能：支持从</w:t>
      </w:r>
      <w:r>
        <w:rPr>
          <w:rFonts w:hint="eastAsia"/>
          <w:color w:val="000000" w:themeColor="text1"/>
          <w:szCs w:val="32"/>
          <w14:textFill>
            <w14:solidFill>
              <w14:schemeClr w14:val="tx1"/>
            </w14:solidFill>
          </w14:textFill>
        </w:rPr>
        <w:t>电能量市场运行系统、调频和备用辅助服务市场运行系统</w:t>
      </w:r>
      <w:r>
        <w:rPr>
          <w:color w:val="000000" w:themeColor="text1"/>
          <w:szCs w:val="32"/>
          <w14:textFill>
            <w14:solidFill>
              <w14:schemeClr w14:val="tx1"/>
            </w14:solidFill>
          </w14:textFill>
        </w:rPr>
        <w:t>同步市场模型至</w:t>
      </w:r>
      <w:r>
        <w:rPr>
          <w:rFonts w:hint="eastAsia"/>
          <w:color w:val="000000" w:themeColor="text1"/>
          <w:szCs w:val="32"/>
          <w14:textFill>
            <w14:solidFill>
              <w14:schemeClr w14:val="tx1"/>
            </w14:solidFill>
          </w14:textFill>
        </w:rPr>
        <w:t>市场镜像测试环境</w:t>
      </w:r>
      <w:r>
        <w:rPr>
          <w:color w:val="000000" w:themeColor="text1"/>
          <w:szCs w:val="32"/>
          <w14:textFill>
            <w14:solidFill>
              <w14:schemeClr w14:val="tx1"/>
            </w14:solidFill>
          </w14:textFill>
        </w:rPr>
        <w:t>，包括电厂、机组、母线、负荷、联络线、跨省交易计划、电压等级、套机、机组群、流域、市场区域、调度机构、用户、用户组等。</w:t>
      </w:r>
    </w:p>
    <w:p>
      <w:pPr>
        <w:widowControl w:val="0"/>
        <w:numPr>
          <w:ilvl w:val="0"/>
          <w:numId w:val="14"/>
        </w:numPr>
        <w:spacing w:after="0"/>
        <w:ind w:firstLine="424" w:firstLineChars="177"/>
        <w:rPr>
          <w:color w:val="000000" w:themeColor="text1"/>
          <w:szCs w:val="32"/>
          <w14:textFill>
            <w14:solidFill>
              <w14:schemeClr w14:val="tx1"/>
            </w14:solidFill>
          </w14:textFill>
        </w:rPr>
      </w:pPr>
      <w:r>
        <w:rPr>
          <w:color w:val="000000" w:themeColor="text1"/>
          <w:szCs w:val="32"/>
          <w14:textFill>
            <w14:solidFill>
              <w14:schemeClr w14:val="tx1"/>
            </w14:solidFill>
          </w14:textFill>
        </w:rPr>
        <w:t>加装市场关键参数</w:t>
      </w:r>
      <w:r>
        <w:rPr>
          <w:rFonts w:hint="eastAsia"/>
          <w:color w:val="000000" w:themeColor="text1"/>
          <w:szCs w:val="32"/>
          <w14:textFill>
            <w14:solidFill>
              <w14:schemeClr w14:val="tx1"/>
            </w14:solidFill>
          </w14:textFill>
        </w:rPr>
        <w:t>导入与校验</w:t>
      </w:r>
      <w:r>
        <w:rPr>
          <w:color w:val="000000" w:themeColor="text1"/>
          <w:szCs w:val="32"/>
          <w14:textFill>
            <w14:solidFill>
              <w14:schemeClr w14:val="tx1"/>
            </w14:solidFill>
          </w14:textFill>
        </w:rPr>
        <w:t>功能：支持从</w:t>
      </w:r>
      <w:r>
        <w:rPr>
          <w:rFonts w:hint="eastAsia"/>
          <w:color w:val="000000" w:themeColor="text1"/>
          <w:szCs w:val="32"/>
          <w14:textFill>
            <w14:solidFill>
              <w14:schemeClr w14:val="tx1"/>
            </w14:solidFill>
          </w14:textFill>
        </w:rPr>
        <w:t>电能量市场运行系统、调频和备用辅助服务市场运行系统</w:t>
      </w:r>
      <w:r>
        <w:rPr>
          <w:color w:val="000000" w:themeColor="text1"/>
          <w:szCs w:val="32"/>
          <w14:textFill>
            <w14:solidFill>
              <w14:schemeClr w14:val="tx1"/>
            </w14:solidFill>
          </w14:textFill>
        </w:rPr>
        <w:t>同步市场关键参数至</w:t>
      </w:r>
      <w:r>
        <w:rPr>
          <w:rFonts w:hint="eastAsia"/>
          <w:color w:val="000000" w:themeColor="text1"/>
          <w:szCs w:val="32"/>
          <w14:textFill>
            <w14:solidFill>
              <w14:schemeClr w14:val="tx1"/>
            </w14:solidFill>
          </w14:textFill>
        </w:rPr>
        <w:t>市场镜像测试环境</w:t>
      </w:r>
      <w:r>
        <w:rPr>
          <w:color w:val="000000" w:themeColor="text1"/>
          <w:szCs w:val="32"/>
          <w14:textFill>
            <w14:solidFill>
              <w14:schemeClr w14:val="tx1"/>
            </w14:solidFill>
          </w14:textFill>
        </w:rPr>
        <w:t>，包括日前/日内/实时案例优化参数、电厂/机组/跨省交易分量优化参数、发布前校验配置参数、信息披露及发布功能配置参数、跨省交易计划结算路径参数、省区固定参数、稳定断面优化参数等。</w:t>
      </w:r>
    </w:p>
    <w:p>
      <w:pPr>
        <w:widowControl w:val="0"/>
        <w:numPr>
          <w:ilvl w:val="0"/>
          <w:numId w:val="14"/>
        </w:numPr>
        <w:spacing w:after="0"/>
        <w:ind w:firstLine="424" w:firstLineChars="177"/>
        <w:rPr>
          <w:color w:val="000000" w:themeColor="text1"/>
          <w:szCs w:val="32"/>
          <w14:textFill>
            <w14:solidFill>
              <w14:schemeClr w14:val="tx1"/>
            </w14:solidFill>
          </w14:textFill>
        </w:rPr>
      </w:pPr>
      <w:r>
        <w:rPr>
          <w:color w:val="000000" w:themeColor="text1"/>
          <w:szCs w:val="32"/>
          <w14:textFill>
            <w14:solidFill>
              <w14:schemeClr w14:val="tx1"/>
            </w14:solidFill>
          </w14:textFill>
        </w:rPr>
        <w:t>加装关键边界数据</w:t>
      </w:r>
      <w:r>
        <w:rPr>
          <w:rFonts w:hint="eastAsia"/>
          <w:color w:val="000000" w:themeColor="text1"/>
          <w:szCs w:val="32"/>
          <w14:textFill>
            <w14:solidFill>
              <w14:schemeClr w14:val="tx1"/>
            </w14:solidFill>
          </w14:textFill>
        </w:rPr>
        <w:t>导入与校验</w:t>
      </w:r>
      <w:r>
        <w:rPr>
          <w:color w:val="000000" w:themeColor="text1"/>
          <w:szCs w:val="32"/>
          <w14:textFill>
            <w14:solidFill>
              <w14:schemeClr w14:val="tx1"/>
            </w14:solidFill>
          </w14:textFill>
        </w:rPr>
        <w:t>功能：支持从</w:t>
      </w:r>
      <w:r>
        <w:rPr>
          <w:rFonts w:hint="eastAsia"/>
          <w:color w:val="000000" w:themeColor="text1"/>
          <w:szCs w:val="32"/>
          <w14:textFill>
            <w14:solidFill>
              <w14:schemeClr w14:val="tx1"/>
            </w14:solidFill>
          </w14:textFill>
        </w:rPr>
        <w:t>电能量市场运行系统、调频和备用辅助服务市场运行系统</w:t>
      </w:r>
      <w:r>
        <w:rPr>
          <w:color w:val="000000" w:themeColor="text1"/>
          <w:szCs w:val="32"/>
          <w14:textFill>
            <w14:solidFill>
              <w14:schemeClr w14:val="tx1"/>
            </w14:solidFill>
          </w14:textFill>
        </w:rPr>
        <w:t>同步市场关键边界数据至</w:t>
      </w:r>
      <w:r>
        <w:rPr>
          <w:rFonts w:hint="eastAsia"/>
          <w:color w:val="000000" w:themeColor="text1"/>
          <w:szCs w:val="32"/>
          <w14:textFill>
            <w14:solidFill>
              <w14:schemeClr w14:val="tx1"/>
            </w14:solidFill>
          </w14:textFill>
        </w:rPr>
        <w:t>市场镜像测试环境</w:t>
      </w:r>
      <w:r>
        <w:rPr>
          <w:color w:val="000000" w:themeColor="text1"/>
          <w:szCs w:val="32"/>
          <w14:textFill>
            <w14:solidFill>
              <w14:schemeClr w14:val="tx1"/>
            </w14:solidFill>
          </w14:textFill>
        </w:rPr>
        <w:t>，包括系统负荷预测数据、母线负荷预测数据、地方电数据、电厂机组日前/实时计划数据、电厂机组调试计划数据、机组群运行限值数据、水电厂运行约束数据、平衡机数据、小机组挂接关系数据等。</w:t>
      </w:r>
    </w:p>
    <w:p>
      <w:pPr>
        <w:widowControl w:val="0"/>
        <w:numPr>
          <w:ilvl w:val="0"/>
          <w:numId w:val="14"/>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数据导入应支持自动重试、任务失败告警等能力。</w:t>
      </w:r>
    </w:p>
    <w:p>
      <w:pPr>
        <w:widowControl w:val="0"/>
        <w:numPr>
          <w:ilvl w:val="0"/>
          <w:numId w:val="14"/>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应支持人工对错误数据进行修正。</w:t>
      </w:r>
    </w:p>
    <w:p>
      <w:pPr>
        <w:widowControl w:val="0"/>
        <w:numPr>
          <w:ilvl w:val="0"/>
          <w:numId w:val="14"/>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数据校验应支持数据的完整性与正确性校验，支持与生产系统数据的比对，若比对发现问题，应能在界面上给出清晰的问题定位与相关信息，方便测试与运维人员排查问题。</w:t>
      </w:r>
    </w:p>
    <w:p>
      <w:pPr>
        <w:pStyle w:val="6"/>
        <w:rPr>
          <w:szCs w:val="24"/>
        </w:rPr>
      </w:pPr>
      <w:r>
        <w:rPr>
          <w:rFonts w:hint="eastAsia"/>
          <w:szCs w:val="24"/>
        </w:rPr>
        <w:t>界面要求</w:t>
      </w:r>
    </w:p>
    <w:p>
      <w:pPr>
        <w:widowControl w:val="0"/>
        <w:numPr>
          <w:ilvl w:val="0"/>
          <w:numId w:val="15"/>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提供可视化的数据导入和校验的界面</w:t>
      </w:r>
    </w:p>
    <w:p>
      <w:pPr>
        <w:widowControl w:val="0"/>
        <w:numPr>
          <w:ilvl w:val="0"/>
          <w:numId w:val="15"/>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应按用户需求提供数据校验的相关分析图表和告警界面</w:t>
      </w:r>
    </w:p>
    <w:p>
      <w:pPr>
        <w:widowControl w:val="0"/>
        <w:numPr>
          <w:ilvl w:val="0"/>
          <w:numId w:val="15"/>
        </w:numPr>
        <w:spacing w:after="0"/>
        <w:ind w:firstLine="424" w:firstLineChars="177"/>
        <w:rPr>
          <w:rFonts w:hint="eastAsia"/>
        </w:rPr>
      </w:pPr>
      <w:r>
        <w:rPr>
          <w:rFonts w:hint="eastAsia"/>
          <w:color w:val="000000" w:themeColor="text1"/>
          <w:szCs w:val="32"/>
          <w14:textFill>
            <w14:solidFill>
              <w14:schemeClr w14:val="tx1"/>
            </w14:solidFill>
          </w14:textFill>
        </w:rPr>
        <w:t>应能够对人工修正后的数据进行特殊标识（颜色、下划线等）</w:t>
      </w:r>
    </w:p>
    <w:p>
      <w:pPr>
        <w:pStyle w:val="5"/>
        <w:rPr>
          <w:lang w:val="zh-CN"/>
        </w:rPr>
      </w:pPr>
      <w:r>
        <w:rPr>
          <w:rFonts w:hint="eastAsia"/>
          <w:lang w:val="zh-CN"/>
        </w:rPr>
        <w:t>电能量市场平台测试验证功能加装</w:t>
      </w:r>
    </w:p>
    <w:p>
      <w:pPr>
        <w:adjustRightInd w:val="0"/>
        <w:snapToGrid w:val="0"/>
        <w:ind w:firstLine="480" w:firstLineChars="200"/>
        <w:rPr>
          <w:rFonts w:ascii="宋体"/>
          <w:color w:val="000000" w:themeColor="text1"/>
          <w14:textFill>
            <w14:solidFill>
              <w14:schemeClr w14:val="tx1"/>
            </w14:solidFill>
          </w14:textFill>
        </w:rPr>
      </w:pPr>
      <w:r>
        <w:rPr>
          <w:rFonts w:ascii="宋体"/>
          <w:color w:val="000000" w:themeColor="text1"/>
          <w14:textFill>
            <w14:solidFill>
              <w14:schemeClr w14:val="tx1"/>
            </w14:solidFill>
          </w14:textFill>
        </w:rPr>
        <w:t>对现有现货市场系统电能量市场镜像测试环境平台部分进行功能加装和完善，使测试系统涵盖市场模型维护、数据管理、信息披露、市场发布、系统告警等完整功能模块，支撑电能量市场全部业务的在线测试</w:t>
      </w:r>
      <w:r>
        <w:rPr>
          <w:rFonts w:hint="eastAsia" w:ascii="宋体"/>
          <w:color w:val="000000" w:themeColor="text1"/>
          <w14:textFill>
            <w14:solidFill>
              <w14:schemeClr w14:val="tx1"/>
            </w14:solidFill>
          </w14:textFill>
        </w:rPr>
        <w:t>。</w:t>
      </w:r>
    </w:p>
    <w:p>
      <w:pPr>
        <w:pStyle w:val="6"/>
        <w:rPr>
          <w:szCs w:val="24"/>
        </w:rPr>
      </w:pPr>
      <w:r>
        <w:rPr>
          <w:rFonts w:hint="eastAsia"/>
          <w:szCs w:val="24"/>
        </w:rPr>
        <w:t>功能要求</w:t>
      </w:r>
    </w:p>
    <w:p>
      <w:pPr>
        <w:widowControl w:val="0"/>
        <w:numPr>
          <w:ilvl w:val="0"/>
          <w:numId w:val="16"/>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电能量市场测试市场模型维护功能：实现OCS镜像区发布的电网模型、稳定断面、电网量测等边界数据的维护，支持手动修改错漏数据，支持对接入的边界数据按照日期时间等维度进行版本管理，支持根据边界数据生成镜像测试所需的市场模型，支持市场模型的版本管理、新增和删改。</w:t>
      </w:r>
    </w:p>
    <w:p>
      <w:pPr>
        <w:widowControl w:val="0"/>
        <w:numPr>
          <w:ilvl w:val="0"/>
          <w:numId w:val="16"/>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电能量市场测试信息披露功能：能够根据指定的市场信息披露规则，从电能量市场镜像测试环境的相关边界数据、出清结果和运行信息等数据中，生成镜像测试环境下的市场信息披露文件。具备自动或手动生成指定日期、指定类型的待披露文件功能，并具备可视化交互界面。</w:t>
      </w:r>
    </w:p>
    <w:p>
      <w:pPr>
        <w:widowControl w:val="0"/>
        <w:numPr>
          <w:ilvl w:val="0"/>
          <w:numId w:val="16"/>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电能量市场测试发布功能：在电能量市场镜像测试环境日内、实时市场模拟出清完毕后，根据出清结果发布的规则，将出清结果按要求打包为文件，实现自动发布。开发出清结果手动发送的功能，具备实时市场出清文件分时、分省区补发的能力。</w:t>
      </w:r>
    </w:p>
    <w:p>
      <w:pPr>
        <w:widowControl w:val="0"/>
        <w:numPr>
          <w:ilvl w:val="0"/>
          <w:numId w:val="16"/>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电能量市场测试智能告警功能：①能够配置告警项，包括边界数据异常告警、出清计算过程异常告警、出清结算结果生成异常告警、出清计算安全校核结果异常告警、模拟出清市场信息披露异常告警、平台运行异常告警等。②具备告警内容展示功能，能够展示出具体的告警ID、告警时间、告警类型、告警的具体内容等，能够以弹窗、高亮等多种形式展示告警。③能够查询历史告警数据，支持根据日期、ID、类型、内容等对历史告警进行查询④具备可视化交互界面。</w:t>
      </w:r>
    </w:p>
    <w:p>
      <w:pPr>
        <w:widowControl w:val="0"/>
        <w:numPr>
          <w:ilvl w:val="0"/>
          <w:numId w:val="16"/>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电能量市场测试发布前校验功能：能够根据信息披露、出清结果发布等规则，自动校验镜像测试市场的信息披露文件和实时市场出清结果发布文件，检查其内容、字段、数据是否有缺漏，格式是否正确，是否有明显错误的结果等。同时具备校验失败后的告警提示功能，通过电能量市场测试智能告警功能发出告警。</w:t>
      </w:r>
    </w:p>
    <w:p>
      <w:pPr>
        <w:widowControl w:val="0"/>
        <w:numPr>
          <w:ilvl w:val="0"/>
          <w:numId w:val="16"/>
        </w:numPr>
        <w:spacing w:after="0"/>
        <w:ind w:firstLine="484" w:firstLineChars="202"/>
        <w:rPr>
          <w:color w:val="000000" w:themeColor="text1"/>
          <w:szCs w:val="32"/>
          <w14:textFill>
            <w14:solidFill>
              <w14:schemeClr w14:val="tx1"/>
            </w14:solidFill>
          </w14:textFill>
        </w:rPr>
      </w:pPr>
      <w:r>
        <w:rPr>
          <w:color w:val="000000" w:themeColor="text1"/>
          <w:szCs w:val="32"/>
          <w14:textFill>
            <w14:solidFill>
              <w14:schemeClr w14:val="tx1"/>
            </w14:solidFill>
          </w14:textFill>
        </w:rPr>
        <w:t>加装电能量市场测试市场分析功能</w:t>
      </w:r>
      <w:r>
        <w:rPr>
          <w:rFonts w:hint="eastAsia"/>
          <w:color w:val="000000" w:themeColor="text1"/>
          <w:szCs w:val="32"/>
          <w14:textFill>
            <w14:solidFill>
              <w14:schemeClr w14:val="tx1"/>
            </w14:solidFill>
          </w14:textFill>
        </w:rPr>
        <w:t>：从出清结果中提取市场平衡信息、市场出清价格信息、优化约束舍弃信息、交易单元中标信息、发电出清结果信息，并实现统计分析功能，支持按照时段、省区、市场主体、机组等维度对相关数据进行分析统计，同时具备可视化展示页面。</w:t>
      </w:r>
    </w:p>
    <w:p>
      <w:pPr>
        <w:widowControl w:val="0"/>
        <w:numPr>
          <w:ilvl w:val="0"/>
          <w:numId w:val="16"/>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电能量市场测试案例备份还原功能：①可指定日前、日内、实时历史案例，并将案例相关的边界数据、市场模型、出清计算配置参数、出清计算结果、市场信息披露文件等数据和文件，进行打包备份。②支持对备份的案例进行命名和重命名，支持对备份的案例加标签tag，支持记录备份的时间和案例的时间。③具备已备份案例的还原功能，可以根据标签tag、备份时间、案例时间等进行搜索，并进行还原，加载到系统中。</w:t>
      </w:r>
    </w:p>
    <w:p>
      <w:pPr>
        <w:widowControl w:val="0"/>
        <w:numPr>
          <w:ilvl w:val="0"/>
          <w:numId w:val="16"/>
        </w:numPr>
        <w:spacing w:after="0"/>
        <w:ind w:firstLine="484" w:firstLineChars="202"/>
        <w:rPr>
          <w:color w:val="000000" w:themeColor="text1"/>
          <w:szCs w:val="32"/>
          <w14:textFill>
            <w14:solidFill>
              <w14:schemeClr w14:val="tx1"/>
            </w14:solidFill>
          </w14:textFill>
        </w:rPr>
      </w:pPr>
      <w:r>
        <w:rPr>
          <w:color w:val="000000" w:themeColor="text1"/>
          <w:szCs w:val="32"/>
          <w14:textFill>
            <w14:solidFill>
              <w14:schemeClr w14:val="tx1"/>
            </w14:solidFill>
          </w14:textFill>
        </w:rPr>
        <w:t>加装电能量市场测试案例反演功能</w:t>
      </w:r>
      <w:r>
        <w:rPr>
          <w:rFonts w:hint="eastAsia"/>
          <w:color w:val="000000" w:themeColor="text1"/>
          <w:szCs w:val="32"/>
          <w14:textFill>
            <w14:solidFill>
              <w14:schemeClr w14:val="tx1"/>
            </w14:solidFill>
          </w14:textFill>
        </w:rPr>
        <w:t>：具备日内、实时案例新建另存、方案生成、数据校验、边界生成、优化计算、安全校核、结果发布全流程在线反演复盘测试能力和可视化交互界面，具备历史案例优化参数和运行边界调整功能。</w:t>
      </w:r>
    </w:p>
    <w:p>
      <w:pPr>
        <w:pStyle w:val="6"/>
        <w:rPr>
          <w:szCs w:val="24"/>
        </w:rPr>
      </w:pPr>
      <w:r>
        <w:rPr>
          <w:rFonts w:hint="eastAsia"/>
          <w:szCs w:val="24"/>
        </w:rPr>
        <w:t>界面要求</w:t>
      </w:r>
    </w:p>
    <w:p>
      <w:pPr>
        <w:ind w:firstLine="480" w:firstLineChars="20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提供可视化的测试功能界面，可以在界面上实现测试任务的配置和各项测试参数、边界条件的调整。</w:t>
      </w:r>
    </w:p>
    <w:p>
      <w:pPr>
        <w:pStyle w:val="5"/>
        <w:rPr>
          <w:lang w:val="zh-CN"/>
        </w:rPr>
      </w:pPr>
      <w:r>
        <w:rPr>
          <w:rFonts w:hint="eastAsia"/>
          <w:lang w:val="zh-CN"/>
        </w:rPr>
        <w:t>调频市场测试验证功能加装</w:t>
      </w:r>
    </w:p>
    <w:p>
      <w:pPr>
        <w:adjustRightInd w:val="0"/>
        <w:snapToGrid w:val="0"/>
        <w:ind w:firstLine="480" w:firstLineChars="200"/>
        <w:rPr>
          <w:rFonts w:ascii="宋体"/>
          <w:color w:val="000000" w:themeColor="text1"/>
          <w14:textFill>
            <w14:solidFill>
              <w14:schemeClr w14:val="tx1"/>
            </w14:solidFill>
          </w14:textFill>
        </w:rPr>
      </w:pPr>
      <w:r>
        <w:rPr>
          <w:rFonts w:ascii="宋体"/>
          <w:color w:val="000000" w:themeColor="text1"/>
          <w14:textFill>
            <w14:solidFill>
              <w14:schemeClr w14:val="tx1"/>
            </w14:solidFill>
          </w14:textFill>
        </w:rPr>
        <w:t>对现有现货市场镜像测试环境调频辅助市场测试验证部分进行功能加装，使测试系统涵盖正式系统完整业务流程，并支撑电能量与调频辅助服务市场联合在线测试</w:t>
      </w:r>
      <w:r>
        <w:rPr>
          <w:rFonts w:hint="eastAsia" w:ascii="宋体"/>
          <w:color w:val="000000" w:themeColor="text1"/>
          <w14:textFill>
            <w14:solidFill>
              <w14:schemeClr w14:val="tx1"/>
            </w14:solidFill>
          </w14:textFill>
        </w:rPr>
        <w:t>。</w:t>
      </w:r>
    </w:p>
    <w:p>
      <w:pPr>
        <w:pStyle w:val="6"/>
        <w:rPr>
          <w:szCs w:val="24"/>
        </w:rPr>
      </w:pPr>
      <w:r>
        <w:rPr>
          <w:rFonts w:hint="eastAsia"/>
          <w:szCs w:val="24"/>
        </w:rPr>
        <w:t>功能要求</w:t>
      </w:r>
    </w:p>
    <w:p>
      <w:pPr>
        <w:widowControl w:val="0"/>
        <w:numPr>
          <w:ilvl w:val="0"/>
          <w:numId w:val="17"/>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调频市场测试出清结果发布功能，在市场镜像测试环境内，实现将将调频市场测试的正式出清结果发布至OCS镜像系统和电能量市场镜像系统的功能，要求能够将调频市场出清结果中需要发布的信息，按照与OCS镜像系统和电能量市场镜像系统的交互规则要求，整理相关数据，并生成E文件，实现定时或者手动发送。支持发送失败给出告警，支持补发。</w:t>
      </w:r>
    </w:p>
    <w:p>
      <w:pPr>
        <w:widowControl w:val="0"/>
        <w:numPr>
          <w:ilvl w:val="0"/>
          <w:numId w:val="17"/>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调频市场测试人工操作自动同步功能：获取并记录用户在生产环境系统的参数修改、调频需求修改、发电单元剔除等操作，实现将操作数据发送到镜像测试系统，测试系统同步执行相关操作，保障生产系统配置参数与镜像测试系统的一致性。要求提供界面，支持设置哪些类型操作需要进行同步、启动同步或停止同步。若同步失败，需要给出告警。</w:t>
      </w:r>
    </w:p>
    <w:p>
      <w:pPr>
        <w:widowControl w:val="0"/>
        <w:numPr>
          <w:ilvl w:val="0"/>
          <w:numId w:val="17"/>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调频市场测试调频需求计算功能：在镜像测试环境中，加装调频需求计算的功能，调频需求计算主需考虑负荷变化分量、新能源出力分量、联络线计划分量及机组计划分量。以及各个分量的预测偏差。宜基于调度云的流式计算功能，实现流式计算模式下的调频需求计算。</w:t>
      </w:r>
    </w:p>
    <w:p>
      <w:pPr>
        <w:widowControl w:val="0"/>
        <w:numPr>
          <w:ilvl w:val="0"/>
          <w:numId w:val="17"/>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调频市场测试预出清功能：在镜像测试环境中，加装调频需求预出清功能，应能够计算调频辅助服务市场的预出清结果，修改相应机组的出力上下限。其计算规则和边界条件与正式出清基本一致，但预出清结果不作为结算依据，仅作为披露的信息。</w:t>
      </w:r>
    </w:p>
    <w:p>
      <w:pPr>
        <w:widowControl w:val="0"/>
        <w:numPr>
          <w:ilvl w:val="0"/>
          <w:numId w:val="17"/>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调频市场测试正式出清功能：根据各发电单元的调频里程排序价格，从低到高依次进行正式出清，直至中标发电单元调频容量总和满足调频容量需求值及安全校核要求。当发电单元调频里程排序价格相同时，优先出清综合调频性能指标大的发电单元。正式出清时，满足以发电计划曲线为基准，中标发电单元上调调频容量和下调调频容量均不小于出清的调频容量。</w:t>
      </w:r>
    </w:p>
    <w:p>
      <w:pPr>
        <w:widowControl w:val="0"/>
        <w:numPr>
          <w:ilvl w:val="0"/>
          <w:numId w:val="17"/>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调频市场测试调频里程补偿计算功能：按照调频市场结算规则，记录结算周期内调频市场总的交易周期数、以及发电单元在交易周期内提供的调频里程、交易周期内的调频里程结算价格、发电单元在交易周期内的综合调频性能指标平均值，计算调频里程补偿。</w:t>
      </w:r>
    </w:p>
    <w:p>
      <w:pPr>
        <w:widowControl w:val="0"/>
        <w:numPr>
          <w:ilvl w:val="0"/>
          <w:numId w:val="17"/>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加装调频市场测试人工操作功能：基于市场镜像测试环境，加装发电单元剔除、参数修改、调频需求修改、手动启动出清等人工操作类的功能。</w:t>
      </w:r>
    </w:p>
    <w:p>
      <w:pPr>
        <w:pStyle w:val="6"/>
        <w:rPr>
          <w:szCs w:val="24"/>
        </w:rPr>
      </w:pPr>
      <w:r>
        <w:rPr>
          <w:rFonts w:hint="eastAsia"/>
          <w:szCs w:val="24"/>
        </w:rPr>
        <w:t>界面要求</w:t>
      </w:r>
    </w:p>
    <w:p>
      <w:pPr>
        <w:widowControl w:val="0"/>
        <w:numPr>
          <w:ilvl w:val="0"/>
          <w:numId w:val="18"/>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提供可视化的测试功能界面，可以在界面上实现测试任务的配置和各项测试参数、边界条件的调整。</w:t>
      </w:r>
    </w:p>
    <w:p>
      <w:pPr>
        <w:widowControl w:val="0"/>
        <w:numPr>
          <w:ilvl w:val="0"/>
          <w:numId w:val="18"/>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应能够对人工修正后的数据进行特殊标识（颜色、下划线等）</w:t>
      </w:r>
    </w:p>
    <w:p>
      <w:pPr>
        <w:pStyle w:val="5"/>
        <w:rPr>
          <w:lang w:val="zh-CN"/>
        </w:rPr>
      </w:pPr>
      <w:r>
        <w:rPr>
          <w:rFonts w:hint="eastAsia"/>
          <w:lang w:val="zh-CN"/>
        </w:rPr>
        <w:t>备用市场测试验证功能加装</w:t>
      </w:r>
    </w:p>
    <w:p>
      <w:pPr>
        <w:adjustRightInd w:val="0"/>
        <w:snapToGrid w:val="0"/>
        <w:ind w:firstLine="480" w:firstLineChars="200"/>
        <w:rPr>
          <w:rFonts w:ascii="宋体"/>
          <w:color w:val="000000" w:themeColor="text1"/>
          <w14:textFill>
            <w14:solidFill>
              <w14:schemeClr w14:val="tx1"/>
            </w14:solidFill>
          </w14:textFill>
        </w:rPr>
      </w:pPr>
      <w:r>
        <w:rPr>
          <w:rFonts w:ascii="宋体"/>
          <w:color w:val="000000" w:themeColor="text1"/>
          <w14:textFill>
            <w14:solidFill>
              <w14:schemeClr w14:val="tx1"/>
            </w14:solidFill>
          </w14:textFill>
        </w:rPr>
        <w:t>对现有现货市场镜像测试环境备用市场测试验证部分进行功能加装，使测试系统涵盖正式系统完整业务流程，并支撑电能量与备用辅助服务市场联合在线测试。</w:t>
      </w:r>
    </w:p>
    <w:p>
      <w:pPr>
        <w:pStyle w:val="6"/>
        <w:rPr>
          <w:szCs w:val="24"/>
        </w:rPr>
      </w:pPr>
      <w:r>
        <w:rPr>
          <w:rFonts w:hint="eastAsia"/>
          <w:szCs w:val="24"/>
        </w:rPr>
        <w:t>功能要求</w:t>
      </w:r>
    </w:p>
    <w:p>
      <w:pPr>
        <w:widowControl w:val="0"/>
        <w:numPr>
          <w:ilvl w:val="0"/>
          <w:numId w:val="19"/>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备用市场测试出清结果发布功能：在市场镜像测试环境内，实现将将备用市场测试的正式出清结果发布至OCS镜像系统和电能量市场镜像系统的功能，要求能够将备用市场出清结果中需要发布的信息，按照与OCS镜像系统和电能量市场镜像系统的交互规则要求，整理相关数据，并生成E文件，实现定时或者手动发送。支持发送失败给出告警，支持补发。</w:t>
      </w:r>
    </w:p>
    <w:p>
      <w:pPr>
        <w:widowControl w:val="0"/>
        <w:numPr>
          <w:ilvl w:val="0"/>
          <w:numId w:val="19"/>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备用市场测试人工操作自动同步功能：获取并记录用户在生产环境系统的参数修改、备用需求修改、发电单元剔除等操作，实现将操作数据发送到镜像测试系统，测试系统同步执行相关操作，保障生产系统配置参数与镜像测试系统的一致性。要求提供界面，支持设置哪些类型操作需要进行同步、启动同步或停止同步。若同步失败，需要给出告警。</w:t>
      </w:r>
    </w:p>
    <w:p>
      <w:pPr>
        <w:widowControl w:val="0"/>
        <w:numPr>
          <w:ilvl w:val="0"/>
          <w:numId w:val="19"/>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加装备用市场测试备用需求同步功能：加装备用需求自动同步功能，支持从生产环境系统导出备用容量需求，自动发送到测试系统，在测试系统侧，可手动或自动同步导入备用需求。若同步失败，需要给出告警。</w:t>
      </w:r>
    </w:p>
    <w:p>
      <w:pPr>
        <w:widowControl w:val="0"/>
        <w:numPr>
          <w:ilvl w:val="0"/>
          <w:numId w:val="19"/>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备用市场测试备用可交易容量同步：加装可交易容量自动同步功能，支持从生产环境系统导出可交易容量数据，自动发送到测试系统，在测试系统侧，可手动或自动同步导入可交易容量。若同步失败，需要给出告警。</w:t>
      </w:r>
    </w:p>
    <w:p>
      <w:pPr>
        <w:widowControl w:val="0"/>
        <w:numPr>
          <w:ilvl w:val="0"/>
          <w:numId w:val="19"/>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备用市场测试正式出清功能：基于市场镜像测试环境加装备用市场出清功能及相关界面。备用市场原则上采用基于中标容量和时间的单一制价格机制。备用容量需求由电力调度机构根据系统安全经济要求与实际情况确定，各机组按规则申报备用容量及价格，通过市场竞争确定出清价格、中标容量和时间。备用费用根据出清价格、中标容量、中标时间三者乘积计算，实际备用容量低于中标容量的，按实际备用容量结算。</w:t>
      </w:r>
    </w:p>
    <w:p>
      <w:pPr>
        <w:widowControl w:val="0"/>
        <w:numPr>
          <w:ilvl w:val="0"/>
          <w:numId w:val="19"/>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备用市场测试日内调整功能：基于市场镜像测试环境加装备用出清结果日内调整功能及相关界面。在日前跨省备用交易结果的基础上，根据买卖双方省（区）日内电力平衡和备用容量情况，开展跨省备用容量调整，</w:t>
      </w:r>
    </w:p>
    <w:p>
      <w:pPr>
        <w:widowControl w:val="0"/>
        <w:numPr>
          <w:ilvl w:val="0"/>
          <w:numId w:val="19"/>
        </w:numPr>
        <w:spacing w:after="0"/>
        <w:ind w:firstLine="484" w:firstLineChars="202"/>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加装备用市场测试人工操作：基于市场镜像测试环境加装备用市场发电单元剔除、参数修改、手动启动出清等人工操作类的功能。</w:t>
      </w:r>
    </w:p>
    <w:p>
      <w:pPr>
        <w:pStyle w:val="6"/>
        <w:rPr>
          <w:szCs w:val="24"/>
        </w:rPr>
      </w:pPr>
      <w:r>
        <w:rPr>
          <w:rFonts w:hint="eastAsia"/>
          <w:szCs w:val="24"/>
        </w:rPr>
        <w:t>界面要求</w:t>
      </w:r>
    </w:p>
    <w:p>
      <w:pPr>
        <w:widowControl w:val="0"/>
        <w:numPr>
          <w:ilvl w:val="0"/>
          <w:numId w:val="20"/>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提供可视化的测试功能界面，可以在界面上实现测试任务的配置和各项测试参数、边界条件的调整。</w:t>
      </w:r>
    </w:p>
    <w:p>
      <w:pPr>
        <w:widowControl w:val="0"/>
        <w:numPr>
          <w:ilvl w:val="0"/>
          <w:numId w:val="20"/>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应能够对人工修正后的数据进行特殊标识（颜色、下划线等）</w:t>
      </w:r>
    </w:p>
    <w:p>
      <w:pPr>
        <w:pStyle w:val="5"/>
        <w:rPr>
          <w:lang w:val="zh-CN"/>
        </w:rPr>
      </w:pPr>
      <w:r>
        <w:rPr>
          <w:rFonts w:hint="eastAsia"/>
          <w:lang w:val="zh-CN"/>
        </w:rPr>
        <w:t>调频与备用市场申报测试功能加装</w:t>
      </w:r>
    </w:p>
    <w:p>
      <w:pPr>
        <w:adjustRightInd w:val="0"/>
        <w:snapToGrid w:val="0"/>
        <w:ind w:firstLine="480" w:firstLineChars="200"/>
        <w:rPr>
          <w:rFonts w:ascii="宋体"/>
          <w:color w:val="000000" w:themeColor="text1"/>
          <w14:textFill>
            <w14:solidFill>
              <w14:schemeClr w14:val="tx1"/>
            </w14:solidFill>
          </w14:textFill>
        </w:rPr>
      </w:pPr>
      <w:r>
        <w:rPr>
          <w:rFonts w:ascii="宋体"/>
          <w:color w:val="000000" w:themeColor="text1"/>
          <w14:textFill>
            <w14:solidFill>
              <w14:schemeClr w14:val="tx1"/>
            </w14:solidFill>
          </w14:textFill>
        </w:rPr>
        <w:t>支持在系统上模拟发电企业，对模拟的发电单元进行调频、备用市场报量报价，并按照与生产系统一致的交互方式，将模拟申报信息同步给调频、备用验证测试功能。</w:t>
      </w:r>
    </w:p>
    <w:p>
      <w:pPr>
        <w:pStyle w:val="6"/>
        <w:rPr>
          <w:szCs w:val="24"/>
        </w:rPr>
      </w:pPr>
      <w:r>
        <w:rPr>
          <w:rFonts w:hint="eastAsia"/>
          <w:szCs w:val="24"/>
        </w:rPr>
        <w:t>功能要求</w:t>
      </w:r>
    </w:p>
    <w:p>
      <w:pPr>
        <w:widowControl w:val="0"/>
        <w:numPr>
          <w:ilvl w:val="0"/>
          <w:numId w:val="21"/>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支持手工或批量设定各发电单元的参数信息，字段要求与生产环境保持一致。</w:t>
      </w:r>
    </w:p>
    <w:p>
      <w:pPr>
        <w:widowControl w:val="0"/>
        <w:numPr>
          <w:ilvl w:val="0"/>
          <w:numId w:val="21"/>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支持手工或批量申报调频容量、调频容量价格、调频里程价格、备用容量、备用容量价格等信息。</w:t>
      </w:r>
    </w:p>
    <w:p>
      <w:pPr>
        <w:widowControl w:val="0"/>
        <w:numPr>
          <w:ilvl w:val="0"/>
          <w:numId w:val="21"/>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支持按照电力市场申报规则，对所填信息实现校验，对不合理或不合法的信息给出提示。</w:t>
      </w:r>
    </w:p>
    <w:p>
      <w:pPr>
        <w:widowControl w:val="0"/>
        <w:numPr>
          <w:ilvl w:val="0"/>
          <w:numId w:val="21"/>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支持对设定的参数、容量、价格给出建议参考值范围。</w:t>
      </w:r>
    </w:p>
    <w:p>
      <w:pPr>
        <w:widowControl w:val="0"/>
        <w:numPr>
          <w:ilvl w:val="0"/>
          <w:numId w:val="21"/>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支持从文件导入相关参数、容量、价格信息。</w:t>
      </w:r>
    </w:p>
    <w:p>
      <w:pPr>
        <w:pStyle w:val="6"/>
        <w:rPr>
          <w:szCs w:val="24"/>
        </w:rPr>
      </w:pPr>
      <w:r>
        <w:rPr>
          <w:rFonts w:hint="eastAsia"/>
          <w:szCs w:val="24"/>
        </w:rPr>
        <w:t>界面要求</w:t>
      </w:r>
    </w:p>
    <w:p>
      <w:pPr>
        <w:widowControl w:val="0"/>
        <w:numPr>
          <w:ilvl w:val="0"/>
          <w:numId w:val="22"/>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提供可视化的测试功能界面，可以在界面上实现测试任务的配置和各项测试参数、边界条件的调整。</w:t>
      </w:r>
    </w:p>
    <w:p>
      <w:pPr>
        <w:widowControl w:val="0"/>
        <w:numPr>
          <w:ilvl w:val="0"/>
          <w:numId w:val="22"/>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应能够对人工修正后的数据进行特殊标识（颜色、下划线等）</w:t>
      </w:r>
    </w:p>
    <w:p>
      <w:pPr>
        <w:pStyle w:val="5"/>
        <w:rPr>
          <w:lang w:val="zh-CN"/>
        </w:rPr>
      </w:pPr>
      <w:r>
        <w:rPr>
          <w:rFonts w:hint="eastAsia"/>
          <w:lang w:val="zh-CN"/>
        </w:rPr>
        <w:t>市场与控制协同测试功能加装</w:t>
      </w:r>
    </w:p>
    <w:p>
      <w:pPr>
        <w:adjustRightInd w:val="0"/>
        <w:snapToGrid w:val="0"/>
        <w:ind w:firstLine="480" w:firstLineChars="200"/>
        <w:rPr>
          <w:rFonts w:ascii="宋体"/>
          <w:color w:val="000000" w:themeColor="text1"/>
          <w14:textFill>
            <w14:solidFill>
              <w14:schemeClr w14:val="tx1"/>
            </w14:solidFill>
          </w14:textFill>
        </w:rPr>
      </w:pPr>
      <w:r>
        <w:rPr>
          <w:rFonts w:hint="eastAsia"/>
          <w:color w:val="000000" w:themeColor="text1"/>
          <w:szCs w:val="32"/>
          <w14:textFill>
            <w14:solidFill>
              <w14:schemeClr w14:val="tx1"/>
            </w14:solidFill>
          </w14:textFill>
        </w:rPr>
        <w:t>参照《南方区域电力现货市场技术支持系统数据交互技术规范》，完成市场镜像测试环境与总调、各中调OCS镜像测试系统在线数据交互，支撑市场系统与总调、各中调OCS的联调测试</w:t>
      </w:r>
      <w:r>
        <w:rPr>
          <w:rFonts w:ascii="宋体"/>
          <w:color w:val="000000" w:themeColor="text1"/>
          <w14:textFill>
            <w14:solidFill>
              <w14:schemeClr w14:val="tx1"/>
            </w14:solidFill>
          </w14:textFill>
        </w:rPr>
        <w:t>。</w:t>
      </w:r>
    </w:p>
    <w:p>
      <w:pPr>
        <w:pStyle w:val="6"/>
        <w:rPr>
          <w:szCs w:val="24"/>
        </w:rPr>
      </w:pPr>
      <w:r>
        <w:rPr>
          <w:rFonts w:hint="eastAsia"/>
          <w:szCs w:val="24"/>
        </w:rPr>
        <w:t>功能要求</w:t>
      </w:r>
    </w:p>
    <w:p>
      <w:pPr>
        <w:widowControl w:val="0"/>
        <w:numPr>
          <w:ilvl w:val="0"/>
          <w:numId w:val="23"/>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输出的数据包括：中长期交易分解曲线、日前市场模拟出清结果、日内市场模拟出清结果、实时市场模拟出清结果、调频市场模拟预出清结果、调频市场模拟正式出清结果、备用市场模拟出清结果、备用市场模拟正式出清结果、必开必停机组信息等。</w:t>
      </w:r>
    </w:p>
    <w:p>
      <w:pPr>
        <w:widowControl w:val="0"/>
        <w:numPr>
          <w:ilvl w:val="0"/>
          <w:numId w:val="23"/>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支持从OCS镜像测试系统侧获取模拟的计划值生成与安全校核结果。</w:t>
      </w:r>
    </w:p>
    <w:p>
      <w:pPr>
        <w:pStyle w:val="6"/>
        <w:rPr>
          <w:szCs w:val="24"/>
        </w:rPr>
      </w:pPr>
      <w:r>
        <w:rPr>
          <w:rFonts w:hint="eastAsia"/>
          <w:szCs w:val="24"/>
        </w:rPr>
        <w:t>界面要求</w:t>
      </w:r>
    </w:p>
    <w:p>
      <w:pPr>
        <w:widowControl w:val="0"/>
        <w:numPr>
          <w:ilvl w:val="0"/>
          <w:numId w:val="24"/>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提供可视化的测试功能界面，可以在界面上实现测试任务的配置和各项测试参数、边界条件的调整。</w:t>
      </w:r>
    </w:p>
    <w:p>
      <w:pPr>
        <w:pStyle w:val="5"/>
        <w:rPr>
          <w:lang w:val="zh-CN"/>
        </w:rPr>
      </w:pPr>
      <w:r>
        <w:rPr>
          <w:rFonts w:hint="eastAsia"/>
          <w:lang w:val="zh-CN"/>
        </w:rPr>
        <w:t>容灾场景测试功能加装</w:t>
      </w:r>
    </w:p>
    <w:p>
      <w:pPr>
        <w:adjustRightInd w:val="0"/>
        <w:snapToGrid w:val="0"/>
        <w:ind w:firstLine="480" w:firstLineChars="200"/>
        <w:rPr>
          <w:rFonts w:ascii="宋体"/>
          <w:color w:val="000000" w:themeColor="text1"/>
          <w14:textFill>
            <w14:solidFill>
              <w14:schemeClr w14:val="tx1"/>
            </w14:solidFill>
          </w14:textFill>
        </w:rPr>
      </w:pPr>
      <w:r>
        <w:rPr>
          <w:rFonts w:hint="eastAsia"/>
          <w:color w:val="000000" w:themeColor="text1"/>
          <w:szCs w:val="32"/>
          <w14:textFill>
            <w14:solidFill>
              <w14:schemeClr w14:val="tx1"/>
            </w14:solidFill>
          </w14:textFill>
        </w:rPr>
        <w:t>模拟对侧主备系统切换、网络中断等故障场景，验证市场系统在容灾场景下的高可用性及数据恢复能力</w:t>
      </w:r>
      <w:r>
        <w:rPr>
          <w:rFonts w:ascii="宋体"/>
          <w:color w:val="000000" w:themeColor="text1"/>
          <w14:textFill>
            <w14:solidFill>
              <w14:schemeClr w14:val="tx1"/>
            </w14:solidFill>
          </w14:textFill>
        </w:rPr>
        <w:t>。</w:t>
      </w:r>
    </w:p>
    <w:p>
      <w:pPr>
        <w:pStyle w:val="6"/>
        <w:rPr>
          <w:szCs w:val="24"/>
        </w:rPr>
      </w:pPr>
      <w:r>
        <w:rPr>
          <w:rFonts w:hint="eastAsia"/>
          <w:szCs w:val="24"/>
        </w:rPr>
        <w:t>功能要求</w:t>
      </w:r>
    </w:p>
    <w:p>
      <w:pPr>
        <w:widowControl w:val="0"/>
        <w:numPr>
          <w:ilvl w:val="0"/>
          <w:numId w:val="25"/>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能够模拟OMS、节调、气象等网省相关数据源系统主备切换过程，验证现货市场系统是否能正常响应数据源切换。</w:t>
      </w:r>
    </w:p>
    <w:p>
      <w:pPr>
        <w:widowControl w:val="0"/>
        <w:numPr>
          <w:ilvl w:val="0"/>
          <w:numId w:val="25"/>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能够模拟网省OCS系统主备切换过程，验证现货市场系统是否能及时获取OCS上送的数据，以及是否能正确发送出清结果。</w:t>
      </w:r>
    </w:p>
    <w:p>
      <w:pPr>
        <w:widowControl w:val="0"/>
        <w:numPr>
          <w:ilvl w:val="0"/>
          <w:numId w:val="25"/>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能够模拟数据源系统互联网络的中断、闪断、抖动、拥塞等故障场景，验证现货市场系统是否能正确给出告警提示，是否能在网络恢复后及时正确获取数据，以及在网络长时间未恢复情况下是否能正确触发处置策略。</w:t>
      </w:r>
    </w:p>
    <w:p>
      <w:pPr>
        <w:widowControl w:val="0"/>
        <w:numPr>
          <w:ilvl w:val="0"/>
          <w:numId w:val="25"/>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能够模拟网省OCS系统互联网络的中断、闪断、抖动、拥塞等故障场景，验证现货市场系统是否能正确给出告警提示，是否能在网络恢复后及时正确发送数据，以及在网络长时间未恢复情况下是否能正确触发处置策略。</w:t>
      </w:r>
    </w:p>
    <w:p>
      <w:pPr>
        <w:pStyle w:val="6"/>
        <w:rPr>
          <w:szCs w:val="24"/>
        </w:rPr>
      </w:pPr>
      <w:r>
        <w:rPr>
          <w:rFonts w:hint="eastAsia"/>
          <w:szCs w:val="24"/>
        </w:rPr>
        <w:t>界面要求</w:t>
      </w:r>
    </w:p>
    <w:p>
      <w:pPr>
        <w:widowControl w:val="0"/>
        <w:numPr>
          <w:ilvl w:val="0"/>
          <w:numId w:val="26"/>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提供可视化的测试功能界面，可以在界面上实现测试任务的配置和各项测试参数、边界条件的调整。</w:t>
      </w:r>
    </w:p>
    <w:p>
      <w:pPr>
        <w:pStyle w:val="4"/>
        <w:widowControl w:val="0"/>
        <w:rPr>
          <w:highlight w:val="none"/>
          <w:lang w:val="zh-CN"/>
        </w:rPr>
      </w:pPr>
      <w:r>
        <w:rPr>
          <w:rFonts w:hint="eastAsia"/>
          <w:color w:val="000000" w:themeColor="text1"/>
          <w:highlight w:val="none"/>
          <w:lang w:val="en-US" w:eastAsia="zh-CN"/>
          <w14:textFill>
            <w14:solidFill>
              <w14:schemeClr w14:val="tx1"/>
            </w14:solidFill>
          </w14:textFill>
        </w:rPr>
        <w:t>现货系统测试分析功能</w:t>
      </w:r>
      <w:r>
        <w:rPr>
          <w:color w:val="000000" w:themeColor="text1"/>
          <w:highlight w:val="none"/>
          <w14:textFill>
            <w14:solidFill>
              <w14:schemeClr w14:val="tx1"/>
            </w14:solidFill>
          </w14:textFill>
        </w:rPr>
        <w:t>加装</w:t>
      </w:r>
    </w:p>
    <w:p>
      <w:pPr>
        <w:pStyle w:val="5"/>
        <w:rPr>
          <w:lang w:val="zh-CN"/>
        </w:rPr>
      </w:pPr>
      <w:r>
        <w:rPr>
          <w:rFonts w:hint="eastAsia"/>
          <w:lang w:val="zh-CN"/>
        </w:rPr>
        <w:t>自动化测试模块功能加装</w:t>
      </w:r>
    </w:p>
    <w:p>
      <w:pPr>
        <w:adjustRightInd w:val="0"/>
        <w:snapToGrid w:val="0"/>
        <w:ind w:firstLine="480" w:firstLineChars="200"/>
        <w:rPr>
          <w:rFonts w:ascii="宋体"/>
          <w:color w:val="000000" w:themeColor="text1"/>
          <w14:textFill>
            <w14:solidFill>
              <w14:schemeClr w14:val="tx1"/>
            </w14:solidFill>
          </w14:textFill>
        </w:rPr>
      </w:pPr>
      <w:r>
        <w:rPr>
          <w:rFonts w:hint="eastAsia"/>
          <w:color w:val="000000" w:themeColor="text1"/>
          <w:szCs w:val="32"/>
          <w14:textFill>
            <w14:solidFill>
              <w14:schemeClr w14:val="tx1"/>
            </w14:solidFill>
          </w14:textFill>
        </w:rPr>
        <w:t>模拟对侧主备系统切换、网络中断等故障场景，验证市场系统在容灾场景下的高可用性及数据恢复能力</w:t>
      </w:r>
      <w:r>
        <w:rPr>
          <w:rFonts w:ascii="宋体"/>
          <w:color w:val="000000" w:themeColor="text1"/>
          <w14:textFill>
            <w14:solidFill>
              <w14:schemeClr w14:val="tx1"/>
            </w14:solidFill>
          </w14:textFill>
        </w:rPr>
        <w:t>。</w:t>
      </w:r>
    </w:p>
    <w:p>
      <w:pPr>
        <w:pStyle w:val="6"/>
        <w:rPr>
          <w:szCs w:val="24"/>
        </w:rPr>
      </w:pPr>
      <w:r>
        <w:rPr>
          <w:rFonts w:hint="eastAsia"/>
          <w:szCs w:val="24"/>
        </w:rPr>
        <w:t>功能要求</w:t>
      </w:r>
    </w:p>
    <w:p>
      <w:pPr>
        <w:widowControl w:val="0"/>
        <w:numPr>
          <w:ilvl w:val="0"/>
          <w:numId w:val="27"/>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能够模拟OMS、节调、气象等网省相关数据源系统主备切换过程，验证现货市场系统是否能正常响应数据源切换。</w:t>
      </w:r>
    </w:p>
    <w:p>
      <w:pPr>
        <w:widowControl w:val="0"/>
        <w:numPr>
          <w:ilvl w:val="0"/>
          <w:numId w:val="27"/>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能够模拟网省OCS系统主备切换过程，验证现货市场系统是否能及时获取OCS上送的数据，以及是否能正确发送出清结果。</w:t>
      </w:r>
    </w:p>
    <w:p>
      <w:pPr>
        <w:widowControl w:val="0"/>
        <w:numPr>
          <w:ilvl w:val="0"/>
          <w:numId w:val="27"/>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能够模拟数据源系统互联网络的中断、闪断、抖动、拥塞等故障场景，验证现货市场系统是否能正确给出告警提示，是否能在网络恢复后及时正确获取数据，以及在网络长时间未恢复情况下是否能正确触发处置策略。</w:t>
      </w:r>
    </w:p>
    <w:p>
      <w:pPr>
        <w:widowControl w:val="0"/>
        <w:numPr>
          <w:ilvl w:val="0"/>
          <w:numId w:val="27"/>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能够模拟网省OCS系统互联网络的中断、闪断、抖动、拥塞等故障场景，验证现货市场系统是否能正确给出告警提示，是否能在网络恢复后及时正确发送数据，以及在网络长时间未恢复情况下是否能正确触发处置策略。</w:t>
      </w:r>
    </w:p>
    <w:p>
      <w:pPr>
        <w:pStyle w:val="6"/>
        <w:rPr>
          <w:szCs w:val="24"/>
        </w:rPr>
      </w:pPr>
      <w:r>
        <w:rPr>
          <w:rFonts w:hint="eastAsia"/>
          <w:szCs w:val="24"/>
        </w:rPr>
        <w:t>界面要求</w:t>
      </w:r>
    </w:p>
    <w:p>
      <w:pPr>
        <w:widowControl w:val="0"/>
        <w:numPr>
          <w:ilvl w:val="0"/>
          <w:numId w:val="28"/>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提供可视化的测试功能界面，可以在界面上实现测试任务的配置和各项测试参数、边界条件的调整。</w:t>
      </w:r>
    </w:p>
    <w:p>
      <w:pPr>
        <w:pStyle w:val="5"/>
        <w:rPr>
          <w:lang w:val="zh-CN"/>
        </w:rPr>
      </w:pPr>
      <w:r>
        <w:rPr>
          <w:rFonts w:hint="eastAsia"/>
          <w:lang w:val="zh-CN"/>
        </w:rPr>
        <w:t>测试结果可视化功能加装</w:t>
      </w:r>
    </w:p>
    <w:p>
      <w:pPr>
        <w:adjustRightInd w:val="0"/>
        <w:snapToGrid w:val="0"/>
        <w:ind w:firstLine="480" w:firstLineChars="200"/>
        <w:rPr>
          <w:rFonts w:ascii="宋体"/>
          <w:color w:val="000000" w:themeColor="text1"/>
          <w14:textFill>
            <w14:solidFill>
              <w14:schemeClr w14:val="tx1"/>
            </w14:solidFill>
          </w14:textFill>
        </w:rPr>
      </w:pPr>
      <w:r>
        <w:rPr>
          <w:rFonts w:hint="eastAsia"/>
          <w:color w:val="000000" w:themeColor="text1"/>
          <w:szCs w:val="32"/>
          <w14:textFill>
            <w14:solidFill>
              <w14:schemeClr w14:val="tx1"/>
            </w14:solidFill>
          </w14:textFill>
        </w:rPr>
        <w:t>提取测试日志中的关键运行指标，在测试系统上形成可视化的图表和面板，以直观的形式展示测试结果。</w:t>
      </w:r>
    </w:p>
    <w:p>
      <w:pPr>
        <w:pStyle w:val="6"/>
        <w:rPr>
          <w:szCs w:val="24"/>
        </w:rPr>
      </w:pPr>
      <w:r>
        <w:rPr>
          <w:rFonts w:hint="eastAsia"/>
          <w:szCs w:val="24"/>
        </w:rPr>
        <w:t>功能要求</w:t>
      </w:r>
    </w:p>
    <w:p>
      <w:pPr>
        <w:widowControl w:val="0"/>
        <w:numPr>
          <w:ilvl w:val="0"/>
          <w:numId w:val="29"/>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展示内容包括且不限于：测试案例基本信息、发电单元申报信息、数据预处理时间、出清计算时间、出清计算GAP、出清价格、关键发电单元启停安排和出力安排等。</w:t>
      </w:r>
    </w:p>
    <w:p>
      <w:pPr>
        <w:widowControl w:val="0"/>
        <w:numPr>
          <w:ilvl w:val="0"/>
          <w:numId w:val="29"/>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可根据用户需要，在界面上配置展示的具体内容。</w:t>
      </w:r>
    </w:p>
    <w:p>
      <w:pPr>
        <w:widowControl w:val="0"/>
        <w:numPr>
          <w:ilvl w:val="0"/>
          <w:numId w:val="29"/>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支持多个案例之间的对比展示。</w:t>
      </w:r>
    </w:p>
    <w:p>
      <w:pPr>
        <w:widowControl w:val="0"/>
        <w:numPr>
          <w:ilvl w:val="0"/>
          <w:numId w:val="29"/>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支持以表格、直方图、饼图、折线图等形式展示。</w:t>
      </w:r>
    </w:p>
    <w:p>
      <w:pPr>
        <w:widowControl w:val="0"/>
        <w:numPr>
          <w:ilvl w:val="0"/>
          <w:numId w:val="27"/>
        </w:numPr>
        <w:tabs>
          <w:tab w:val="clear" w:pos="425"/>
        </w:tabs>
        <w:spacing w:after="0"/>
        <w:ind w:left="5" w:firstLine="41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支持将图表输出到测试报告中。</w:t>
      </w:r>
    </w:p>
    <w:p>
      <w:pPr>
        <w:pStyle w:val="6"/>
        <w:rPr>
          <w:szCs w:val="24"/>
        </w:rPr>
      </w:pPr>
      <w:r>
        <w:rPr>
          <w:rFonts w:hint="eastAsia"/>
          <w:szCs w:val="24"/>
        </w:rPr>
        <w:t>界面要求</w:t>
      </w:r>
    </w:p>
    <w:p>
      <w:pPr>
        <w:widowControl w:val="0"/>
        <w:numPr>
          <w:ilvl w:val="0"/>
          <w:numId w:val="30"/>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无。</w:t>
      </w:r>
    </w:p>
    <w:p>
      <w:pPr>
        <w:pStyle w:val="5"/>
        <w:rPr>
          <w:lang w:val="zh-CN"/>
        </w:rPr>
      </w:pPr>
      <w:r>
        <w:rPr>
          <w:rFonts w:hint="eastAsia"/>
          <w:lang w:val="zh-CN"/>
        </w:rPr>
        <w:t>离线导入功能加装</w:t>
      </w:r>
    </w:p>
    <w:p>
      <w:pPr>
        <w:adjustRightInd w:val="0"/>
        <w:snapToGrid w:val="0"/>
        <w:ind w:firstLine="480" w:firstLineChars="200"/>
        <w:rPr>
          <w:rFonts w:ascii="宋体"/>
          <w:color w:val="000000" w:themeColor="text1"/>
          <w14:textFill>
            <w14:solidFill>
              <w14:schemeClr w14:val="tx1"/>
            </w14:solidFill>
          </w14:textFill>
        </w:rPr>
      </w:pPr>
      <w:r>
        <w:rPr>
          <w:rFonts w:hint="eastAsia"/>
          <w:color w:val="000000" w:themeColor="text1"/>
          <w:szCs w:val="32"/>
          <w14:textFill>
            <w14:solidFill>
              <w14:schemeClr w14:val="tx1"/>
            </w14:solidFill>
          </w14:textFill>
        </w:rPr>
        <w:t>模拟现货系统对外数据交互通道发生中断并且短时间无法恢复时，能够通过人工应急离线拷贝边界文件到现货系统，现货系统在边界完整后人工启动出清，实现离线出清功能。</w:t>
      </w:r>
    </w:p>
    <w:p>
      <w:pPr>
        <w:pStyle w:val="6"/>
        <w:rPr>
          <w:szCs w:val="24"/>
        </w:rPr>
      </w:pPr>
      <w:r>
        <w:rPr>
          <w:rFonts w:hint="eastAsia"/>
          <w:szCs w:val="24"/>
        </w:rPr>
        <w:t>功能要求</w:t>
      </w:r>
    </w:p>
    <w:p>
      <w:pPr>
        <w:widowControl w:val="0"/>
        <w:numPr>
          <w:ilvl w:val="0"/>
          <w:numId w:val="31"/>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能够自动识别文件的内容，并导入所需的边界数据，与文件名无关。</w:t>
      </w:r>
    </w:p>
    <w:p>
      <w:pPr>
        <w:widowControl w:val="0"/>
        <w:numPr>
          <w:ilvl w:val="0"/>
          <w:numId w:val="31"/>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在读取失败或数据不足时能给出告警提示。</w:t>
      </w:r>
    </w:p>
    <w:p>
      <w:pPr>
        <w:pStyle w:val="6"/>
        <w:rPr>
          <w:szCs w:val="24"/>
        </w:rPr>
      </w:pPr>
      <w:r>
        <w:rPr>
          <w:rFonts w:hint="eastAsia"/>
          <w:szCs w:val="24"/>
        </w:rPr>
        <w:t>界面要求</w:t>
      </w:r>
    </w:p>
    <w:p>
      <w:pPr>
        <w:widowControl w:val="0"/>
        <w:numPr>
          <w:ilvl w:val="0"/>
          <w:numId w:val="32"/>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应能给出可视化的离线导入配置界面。</w:t>
      </w:r>
    </w:p>
    <w:p>
      <w:pPr>
        <w:widowControl w:val="0"/>
        <w:numPr>
          <w:ilvl w:val="0"/>
          <w:numId w:val="32"/>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应在界面上给出，需要哪些类型的数据，数据源对应系统等提示信息。</w:t>
      </w:r>
    </w:p>
    <w:p>
      <w:pPr>
        <w:pStyle w:val="5"/>
        <w:rPr>
          <w:lang w:val="zh-CN"/>
        </w:rPr>
      </w:pPr>
      <w:r>
        <w:rPr>
          <w:rFonts w:hint="eastAsia"/>
          <w:lang w:val="zh-CN"/>
        </w:rPr>
        <w:t>测试案例与缺陷管理功能加装</w:t>
      </w:r>
    </w:p>
    <w:p>
      <w:pPr>
        <w:adjustRightInd w:val="0"/>
        <w:snapToGrid w:val="0"/>
        <w:ind w:firstLine="480" w:firstLineChars="200"/>
        <w:rPr>
          <w:rFonts w:ascii="宋体"/>
          <w:color w:val="000000" w:themeColor="text1"/>
          <w14:textFill>
            <w14:solidFill>
              <w14:schemeClr w14:val="tx1"/>
            </w14:solidFill>
          </w14:textFill>
        </w:rPr>
      </w:pPr>
      <w:r>
        <w:rPr>
          <w:rFonts w:hint="eastAsia"/>
          <w:color w:val="000000" w:themeColor="text1"/>
          <w:szCs w:val="32"/>
          <w14:textFill>
            <w14:solidFill>
              <w14:schemeClr w14:val="tx1"/>
            </w14:solidFill>
          </w14:textFill>
        </w:rPr>
        <w:t>建立标准化技术系统测试案例库与缺陷库，通过案例复用机制减少重复性测试工作。</w:t>
      </w:r>
    </w:p>
    <w:p>
      <w:pPr>
        <w:pStyle w:val="6"/>
        <w:rPr>
          <w:szCs w:val="24"/>
        </w:rPr>
      </w:pPr>
      <w:r>
        <w:rPr>
          <w:rFonts w:hint="eastAsia"/>
          <w:szCs w:val="24"/>
        </w:rPr>
        <w:t>功能要求</w:t>
      </w:r>
    </w:p>
    <w:p>
      <w:pPr>
        <w:widowControl w:val="0"/>
        <w:numPr>
          <w:ilvl w:val="0"/>
          <w:numId w:val="33"/>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能够保存当前正在执行的案例。</w:t>
      </w:r>
    </w:p>
    <w:p>
      <w:pPr>
        <w:widowControl w:val="0"/>
        <w:numPr>
          <w:ilvl w:val="0"/>
          <w:numId w:val="33"/>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能够手工导入、复制、导出案例及关联数据。</w:t>
      </w:r>
    </w:p>
    <w:p>
      <w:pPr>
        <w:widowControl w:val="0"/>
        <w:numPr>
          <w:ilvl w:val="0"/>
          <w:numId w:val="33"/>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能够在界面上编辑案例中的配置参数。</w:t>
      </w:r>
    </w:p>
    <w:p>
      <w:pPr>
        <w:widowControl w:val="0"/>
        <w:numPr>
          <w:ilvl w:val="0"/>
          <w:numId w:val="33"/>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能够为创建的案例自动命名、编号，支持用户重命名。</w:t>
      </w:r>
    </w:p>
    <w:p>
      <w:pPr>
        <w:widowControl w:val="0"/>
        <w:numPr>
          <w:ilvl w:val="0"/>
          <w:numId w:val="33"/>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支持为案例设置标签。</w:t>
      </w:r>
    </w:p>
    <w:p>
      <w:pPr>
        <w:widowControl w:val="0"/>
        <w:numPr>
          <w:ilvl w:val="0"/>
          <w:numId w:val="33"/>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支持案例的收藏。</w:t>
      </w:r>
    </w:p>
    <w:p>
      <w:pPr>
        <w:widowControl w:val="0"/>
        <w:numPr>
          <w:ilvl w:val="0"/>
          <w:numId w:val="33"/>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支持案例的克隆，以及克隆后的案例再编辑。</w:t>
      </w:r>
    </w:p>
    <w:p>
      <w:pPr>
        <w:widowControl w:val="0"/>
        <w:numPr>
          <w:ilvl w:val="0"/>
          <w:numId w:val="33"/>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支持按照标签、创建时间等筛选/排序案例。</w:t>
      </w:r>
    </w:p>
    <w:p>
      <w:pPr>
        <w:widowControl w:val="0"/>
        <w:numPr>
          <w:ilvl w:val="0"/>
          <w:numId w:val="33"/>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支持记录或导入缺陷信息。</w:t>
      </w:r>
    </w:p>
    <w:p>
      <w:pPr>
        <w:widowControl w:val="0"/>
        <w:numPr>
          <w:ilvl w:val="0"/>
          <w:numId w:val="33"/>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支持缺陷信息与具体案例、功能版本的关联。</w:t>
      </w:r>
    </w:p>
    <w:p>
      <w:pPr>
        <w:pStyle w:val="6"/>
        <w:rPr>
          <w:szCs w:val="24"/>
        </w:rPr>
      </w:pPr>
      <w:r>
        <w:rPr>
          <w:rFonts w:hint="eastAsia"/>
          <w:szCs w:val="24"/>
        </w:rPr>
        <w:t>界面要求</w:t>
      </w:r>
    </w:p>
    <w:p>
      <w:pPr>
        <w:widowControl w:val="0"/>
        <w:numPr>
          <w:ilvl w:val="0"/>
          <w:numId w:val="34"/>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应能给出可视化的案例和缺陷管理界面。</w:t>
      </w:r>
    </w:p>
    <w:p>
      <w:pPr>
        <w:widowControl w:val="0"/>
        <w:numPr>
          <w:ilvl w:val="0"/>
          <w:numId w:val="34"/>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应能够对人工修正后的数据进行特殊标识（颜色、下划线等）。</w:t>
      </w:r>
    </w:p>
    <w:p>
      <w:pPr>
        <w:pStyle w:val="4"/>
        <w:widowControl w:val="0"/>
        <w:rPr>
          <w:highlight w:val="none"/>
          <w:lang w:val="zh-CN"/>
        </w:rPr>
      </w:pPr>
      <w:r>
        <w:rPr>
          <w:rFonts w:hint="eastAsia"/>
          <w:color w:val="000000" w:themeColor="text1"/>
          <w:highlight w:val="none"/>
          <w:lang w:val="en-US" w:eastAsia="zh-CN"/>
          <w14:textFill>
            <w14:solidFill>
              <w14:schemeClr w14:val="tx1"/>
            </w14:solidFill>
          </w14:textFill>
        </w:rPr>
        <w:t>现货系统可靠性机组组合分离平台功能</w:t>
      </w:r>
      <w:r>
        <w:rPr>
          <w:color w:val="000000" w:themeColor="text1"/>
          <w:highlight w:val="none"/>
          <w14:textFill>
            <w14:solidFill>
              <w14:schemeClr w14:val="tx1"/>
            </w14:solidFill>
          </w14:textFill>
        </w:rPr>
        <w:t>加装</w:t>
      </w:r>
    </w:p>
    <w:p>
      <w:pPr>
        <w:pStyle w:val="5"/>
        <w:rPr>
          <w:lang w:val="zh-CN"/>
        </w:rPr>
      </w:pPr>
      <w:r>
        <w:rPr>
          <w:rFonts w:hint="eastAsia"/>
          <w:lang w:val="zh-CN"/>
        </w:rPr>
        <w:t>可靠性机组组合数据维护功能加装</w:t>
      </w:r>
    </w:p>
    <w:p>
      <w:pPr>
        <w:adjustRightInd w:val="0"/>
        <w:snapToGrid w:val="0"/>
        <w:ind w:firstLine="480" w:firstLineChars="200"/>
        <w:rPr>
          <w:rFonts w:ascii="宋体"/>
          <w:color w:val="000000" w:themeColor="text1"/>
          <w14:textFill>
            <w14:solidFill>
              <w14:schemeClr w14:val="tx1"/>
            </w14:solidFill>
          </w14:textFill>
        </w:rPr>
      </w:pPr>
      <w:r>
        <w:rPr>
          <w:rFonts w:hint="eastAsia"/>
          <w:color w:val="000000" w:themeColor="text1"/>
          <w:szCs w:val="32"/>
          <w14:textFill>
            <w14:solidFill>
              <w14:schemeClr w14:val="tx1"/>
            </w14:solidFill>
          </w14:textFill>
        </w:rPr>
        <w:t>针对可靠性机组组合出清所用的边界数据，开发数据维护功能，支持可靠性机组组合数据文件汇总和完整性校核，边界的合理性、准确性校验和修正。</w:t>
      </w:r>
    </w:p>
    <w:p>
      <w:pPr>
        <w:pStyle w:val="6"/>
        <w:rPr>
          <w:szCs w:val="24"/>
        </w:rPr>
      </w:pPr>
      <w:r>
        <w:rPr>
          <w:rFonts w:hint="eastAsia"/>
          <w:szCs w:val="24"/>
        </w:rPr>
        <w:t>功能要求</w:t>
      </w:r>
    </w:p>
    <w:p>
      <w:pPr>
        <w:widowControl w:val="0"/>
        <w:numPr>
          <w:ilvl w:val="0"/>
          <w:numId w:val="35"/>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支持可靠性机组组合所用市场模型管理功能，包括：发电机组、电厂、交易单元、母线负荷、联络线、机组群、交易分量、稳定断面等主要模型的生成、维护、参数设置等功能；</w:t>
      </w:r>
    </w:p>
    <w:p>
      <w:pPr>
        <w:widowControl w:val="0"/>
        <w:numPr>
          <w:ilvl w:val="0"/>
          <w:numId w:val="35"/>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支持可靠性机组组合所用申报数据管理功能，支持从交易中心接入发电申报及用户申报等数据；</w:t>
      </w:r>
    </w:p>
    <w:p>
      <w:pPr>
        <w:widowControl w:val="0"/>
        <w:numPr>
          <w:ilvl w:val="0"/>
          <w:numId w:val="35"/>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支持可靠性机组组合所用计划数据管理功能，支持从外部系统接入优先交易计划、调试计划、非市场机组/电厂计划、机组限值计划、固定联络线计划等数据；</w:t>
      </w:r>
    </w:p>
    <w:p>
      <w:pPr>
        <w:widowControl w:val="0"/>
        <w:numPr>
          <w:ilvl w:val="0"/>
          <w:numId w:val="35"/>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支持可靠性机组组合边界数据接入并汇总展示，直观查看边界数据的完整性；</w:t>
      </w:r>
    </w:p>
    <w:p>
      <w:pPr>
        <w:widowControl w:val="0"/>
        <w:numPr>
          <w:ilvl w:val="0"/>
          <w:numId w:val="35"/>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边界数据接入时具备异常数据防误功能，对数据的合理性进行校验，对异常数据不导入；</w:t>
      </w:r>
    </w:p>
    <w:p>
      <w:pPr>
        <w:widowControl w:val="0"/>
        <w:numPr>
          <w:ilvl w:val="0"/>
          <w:numId w:val="35"/>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支持边界数据统计功能，对所需要的边界数据进行统计，支持按照数据类型或数据发送单位进行统计；</w:t>
      </w:r>
    </w:p>
    <w:p>
      <w:pPr>
        <w:widowControl w:val="0"/>
        <w:numPr>
          <w:ilvl w:val="0"/>
          <w:numId w:val="35"/>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支持市场参数管理功能，可以设置可靠性机组组合的默认参数，案例参数可由默认参数自动生成，同时案例参数也支持独立设置，只对本案例生效；</w:t>
      </w:r>
    </w:p>
    <w:p>
      <w:pPr>
        <w:widowControl w:val="0"/>
        <w:numPr>
          <w:ilvl w:val="0"/>
          <w:numId w:val="35"/>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支持案例数据校验功能，对可靠性机组组合出清计算需要的边界数据进行校验，包括完整性校验、合理性校验等，支持对不合理数据进行修正，使其满足出清计算要求；</w:t>
      </w:r>
    </w:p>
    <w:p>
      <w:pPr>
        <w:widowControl w:val="0"/>
        <w:numPr>
          <w:ilvl w:val="0"/>
          <w:numId w:val="35"/>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开发在线更新边界数据功能，如果边界数据不完整导致校验不通过，支持在线更新边界以获取最新边界数据；</w:t>
      </w:r>
    </w:p>
    <w:p>
      <w:pPr>
        <w:widowControl w:val="0"/>
        <w:numPr>
          <w:ilvl w:val="0"/>
          <w:numId w:val="35"/>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支持案例数据机组初始状态、联络线初始状态、电厂初始状态等初始数据自动生成功能，以满足可靠性机组组合计算要求；</w:t>
      </w:r>
    </w:p>
    <w:p>
      <w:pPr>
        <w:widowControl w:val="0"/>
        <w:numPr>
          <w:ilvl w:val="0"/>
          <w:numId w:val="35"/>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支持按各类约束数据进行集中展示功能，支持数据按权限进行编辑，支持数据导出、图片导出等功能。</w:t>
      </w:r>
    </w:p>
    <w:p>
      <w:pPr>
        <w:pStyle w:val="6"/>
        <w:rPr>
          <w:szCs w:val="24"/>
        </w:rPr>
      </w:pPr>
      <w:r>
        <w:rPr>
          <w:rFonts w:hint="eastAsia"/>
          <w:szCs w:val="24"/>
        </w:rPr>
        <w:t>界面要求</w:t>
      </w:r>
    </w:p>
    <w:p>
      <w:pPr>
        <w:widowControl w:val="0"/>
        <w:numPr>
          <w:ilvl w:val="0"/>
          <w:numId w:val="36"/>
        </w:numPr>
        <w:spacing w:after="0"/>
        <w:ind w:left="0"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支持可视化的数据维护；</w:t>
      </w:r>
    </w:p>
    <w:p>
      <w:pPr>
        <w:pStyle w:val="5"/>
        <w:rPr>
          <w:lang w:val="zh-CN"/>
        </w:rPr>
      </w:pPr>
      <w:r>
        <w:rPr>
          <w:rFonts w:hint="eastAsia"/>
          <w:lang w:val="zh-CN"/>
        </w:rPr>
        <w:t>日前市场与可靠性机组组合案例校验功能改造</w:t>
      </w:r>
    </w:p>
    <w:p>
      <w:pPr>
        <w:adjustRightInd w:val="0"/>
        <w:snapToGrid w:val="0"/>
        <w:ind w:firstLine="480" w:firstLineChars="200"/>
        <w:rPr>
          <w:rFonts w:ascii="宋体"/>
          <w:color w:val="000000" w:themeColor="text1"/>
          <w14:textFill>
            <w14:solidFill>
              <w14:schemeClr w14:val="tx1"/>
            </w14:solidFill>
          </w14:textFill>
        </w:rPr>
      </w:pPr>
      <w:r>
        <w:rPr>
          <w:rFonts w:hint="eastAsia"/>
          <w:color w:val="000000" w:themeColor="text1"/>
          <w:szCs w:val="32"/>
          <w14:textFill>
            <w14:solidFill>
              <w14:schemeClr w14:val="tx1"/>
            </w14:solidFill>
          </w14:textFill>
        </w:rPr>
        <w:t>改造现货系统安全校核功能，支持对日前市场与可靠性机组组合结果的双重安全校核。</w:t>
      </w:r>
    </w:p>
    <w:p>
      <w:pPr>
        <w:pStyle w:val="6"/>
        <w:rPr>
          <w:szCs w:val="24"/>
        </w:rPr>
      </w:pPr>
      <w:r>
        <w:rPr>
          <w:rFonts w:hint="eastAsia"/>
          <w:szCs w:val="24"/>
        </w:rPr>
        <w:t>功能要求</w:t>
      </w:r>
    </w:p>
    <w:p>
      <w:pPr>
        <w:widowControl w:val="0"/>
        <w:numPr>
          <w:ilvl w:val="0"/>
          <w:numId w:val="37"/>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可靠性机组组合市场流程控制功能，支持可靠性机组组合出清结果与安全校核形成迭代，使可靠性机组组合的最终结果为考虑了安全校核之后的结果，对安全校核功能进行改造，使其具备：母线负荷预测及检修计划等边界数据获取、未来方式生成、出清结果获取、灵敏度计算、基态安全校核、N-1校核、预想故障校核等功能；</w:t>
      </w:r>
    </w:p>
    <w:p>
      <w:pPr>
        <w:widowControl w:val="0"/>
        <w:numPr>
          <w:ilvl w:val="0"/>
          <w:numId w:val="37"/>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支持可靠性机组组合安全校核结果统计功能，包括：越限/重载断面统计、越限/重载线路统计、N-1越限线路统计、越限/重载变压器统计、N-1越限变压器统计、交直流潮流对比等功能；</w:t>
      </w:r>
    </w:p>
    <w:p>
      <w:pPr>
        <w:widowControl w:val="0"/>
        <w:numPr>
          <w:ilvl w:val="0"/>
          <w:numId w:val="37"/>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支持可靠性机组组合未来方式地理潮流图展示功能，直观展示不同时段的交流潮流计算结果；</w:t>
      </w:r>
    </w:p>
    <w:p>
      <w:pPr>
        <w:widowControl w:val="0"/>
        <w:numPr>
          <w:ilvl w:val="0"/>
          <w:numId w:val="37"/>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支持可靠性机组组合不同时段灵敏度存储及界面化展示功能，可根据越限断面查看相关灵敏度；</w:t>
      </w:r>
    </w:p>
    <w:p>
      <w:pPr>
        <w:widowControl w:val="0"/>
        <w:numPr>
          <w:ilvl w:val="0"/>
          <w:numId w:val="37"/>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日前市场流程控制功能，支持日前市场考虑可靠性机组组合的机组启停状态后进行出清，支持日前市场出清结果与安全校核形成迭代，使日前市场的最终结果为考虑了安全校核之后的结果，对安全校核功能进行改造，使其具备：母线负荷预测及检修计划等边界数据获取、未来方式生成、出清结果获取、灵敏度计算、基态安全校核、N-1校核、预想故障校核等功能；</w:t>
      </w:r>
    </w:p>
    <w:p>
      <w:pPr>
        <w:widowControl w:val="0"/>
        <w:numPr>
          <w:ilvl w:val="0"/>
          <w:numId w:val="37"/>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支持日前市场安全校核结果统计功能，包括：越限/重载断面统计、越限/重载线路统计、N-1越限线路统计、越限/重载变压器统计、N-1越限变压器统计、交直流潮流对比等功能；</w:t>
      </w:r>
    </w:p>
    <w:p>
      <w:pPr>
        <w:widowControl w:val="0"/>
        <w:numPr>
          <w:ilvl w:val="0"/>
          <w:numId w:val="37"/>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支持日前市场未来方式地理潮流图展示功能，直观展示不同时段的交流潮流计算结果；</w:t>
      </w:r>
    </w:p>
    <w:p>
      <w:pPr>
        <w:widowControl w:val="0"/>
        <w:numPr>
          <w:ilvl w:val="0"/>
          <w:numId w:val="37"/>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支持日前市场不同时段灵敏度存储及界面化展示功能，可根据越限断面查看相关灵敏度。</w:t>
      </w:r>
    </w:p>
    <w:p>
      <w:pPr>
        <w:pStyle w:val="6"/>
        <w:rPr>
          <w:szCs w:val="24"/>
        </w:rPr>
      </w:pPr>
      <w:r>
        <w:rPr>
          <w:rFonts w:hint="eastAsia"/>
          <w:szCs w:val="24"/>
        </w:rPr>
        <w:t>界面要求</w:t>
      </w:r>
    </w:p>
    <w:p>
      <w:pPr>
        <w:widowControl w:val="0"/>
        <w:numPr>
          <w:ilvl w:val="0"/>
          <w:numId w:val="38"/>
        </w:numPr>
        <w:spacing w:after="0"/>
        <w:ind w:left="0" w:firstLine="42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支持安全校核结果的界面提示或告警。</w:t>
      </w:r>
    </w:p>
    <w:p>
      <w:pPr>
        <w:pStyle w:val="4"/>
        <w:widowControl w:val="0"/>
        <w:rPr>
          <w:highlight w:val="none"/>
          <w:lang w:val="zh-CN"/>
        </w:rPr>
      </w:pPr>
      <w:r>
        <w:rPr>
          <w:rFonts w:hint="eastAsia"/>
          <w:color w:val="000000" w:themeColor="text1"/>
          <w:highlight w:val="none"/>
          <w:lang w:val="en-US" w:eastAsia="zh-CN"/>
          <w14:textFill>
            <w14:solidFill>
              <w14:schemeClr w14:val="tx1"/>
            </w14:solidFill>
          </w14:textFill>
        </w:rPr>
        <w:t>现货系统适应跨经营区交易平台功能</w:t>
      </w:r>
      <w:r>
        <w:rPr>
          <w:color w:val="000000" w:themeColor="text1"/>
          <w:highlight w:val="none"/>
          <w14:textFill>
            <w14:solidFill>
              <w14:schemeClr w14:val="tx1"/>
            </w14:solidFill>
          </w14:textFill>
        </w:rPr>
        <w:t>加装</w:t>
      </w:r>
    </w:p>
    <w:p>
      <w:pPr>
        <w:pStyle w:val="5"/>
        <w:rPr>
          <w:lang w:val="zh-CN"/>
        </w:rPr>
      </w:pPr>
      <w:r>
        <w:rPr>
          <w:rFonts w:hint="eastAsia"/>
          <w:lang w:val="zh-CN"/>
        </w:rPr>
        <w:t>跨经营区现货平台功能加装</w:t>
      </w:r>
    </w:p>
    <w:p>
      <w:pPr>
        <w:adjustRightInd w:val="0"/>
        <w:snapToGrid w:val="0"/>
        <w:ind w:firstLine="480" w:firstLineChars="200"/>
        <w:rPr>
          <w:rFonts w:ascii="宋体"/>
          <w:color w:val="000000" w:themeColor="text1"/>
          <w14:textFill>
            <w14:solidFill>
              <w14:schemeClr w14:val="tx1"/>
            </w14:solidFill>
          </w14:textFill>
        </w:rPr>
      </w:pPr>
      <w:r>
        <w:rPr>
          <w:rFonts w:hint="eastAsia"/>
          <w:color w:val="000000" w:themeColor="text1"/>
          <w:szCs w:val="32"/>
          <w14:textFill>
            <w14:solidFill>
              <w14:schemeClr w14:val="tx1"/>
            </w14:solidFill>
          </w14:textFill>
        </w:rPr>
        <w:t>开发跨经营区现货平台功能，支持南方区域现货与国网省间现货开展跨经营区出清的的双向-交互功能。</w:t>
      </w:r>
    </w:p>
    <w:p>
      <w:pPr>
        <w:pStyle w:val="6"/>
        <w:rPr>
          <w:szCs w:val="24"/>
        </w:rPr>
      </w:pPr>
      <w:r>
        <w:rPr>
          <w:rFonts w:hint="eastAsia"/>
          <w:szCs w:val="24"/>
        </w:rPr>
        <w:t>功能要求</w:t>
      </w:r>
    </w:p>
    <w:p>
      <w:pPr>
        <w:widowControl w:val="0"/>
        <w:numPr>
          <w:ilvl w:val="0"/>
          <w:numId w:val="39"/>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开发南方区域现货参与国网省间现货数据交互功能，支持将南方区域现货的省间交易分量边界数据发送至国网省间现货，支持接收国网省间现货省间交易分量市场出清结果文件，并导入区域现货数据库；</w:t>
      </w:r>
    </w:p>
    <w:p>
      <w:pPr>
        <w:widowControl w:val="0"/>
        <w:numPr>
          <w:ilvl w:val="0"/>
          <w:numId w:val="39"/>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开发国网省间现货参与南方区域现货数据交互功能，支持接收国网省间现货的申报量价信息作为区域现货出清的省间量价数据，在区域现货出清后，支持将省间交易分量出清结果发送到国网省间现货；</w:t>
      </w:r>
    </w:p>
    <w:p>
      <w:pPr>
        <w:widowControl w:val="0"/>
        <w:numPr>
          <w:ilvl w:val="0"/>
          <w:numId w:val="39"/>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开发跨经营区省间交易分量数据管理功能，支持数据分类展示及报表功能。</w:t>
      </w:r>
    </w:p>
    <w:p>
      <w:pPr>
        <w:widowControl w:val="0"/>
        <w:numPr>
          <w:ilvl w:val="0"/>
          <w:numId w:val="39"/>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开发区域现货跨经营区出清相关交易模型维护功能，包括：省间交易关口、交易分量维护功能，支持设置相关约束及交易物理匹配关系；</w:t>
      </w:r>
    </w:p>
    <w:p>
      <w:pPr>
        <w:widowControl w:val="0"/>
        <w:numPr>
          <w:ilvl w:val="0"/>
          <w:numId w:val="39"/>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开发区域现货跨经营区交易分量数据校验功能，支持跨经营区出清相关边界数据完整性、合理性校验，在出清计算前提前发现问题，校验结果通过界面直观展示；</w:t>
      </w:r>
    </w:p>
    <w:p>
      <w:pPr>
        <w:widowControl w:val="0"/>
        <w:numPr>
          <w:ilvl w:val="0"/>
          <w:numId w:val="39"/>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开发区域现货跨经营区出清结果导入及界面展示功能，包括：交易分量出清结果、关口计划结果不同市场的案例结果展示及滚动结果展示；</w:t>
      </w:r>
    </w:p>
    <w:p>
      <w:pPr>
        <w:widowControl w:val="0"/>
        <w:numPr>
          <w:ilvl w:val="0"/>
          <w:numId w:val="39"/>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开发区域现货跨经营区关口电价计算功能，根据市场规则及关口结算路径定义计算省间关口电价，并提供界面展示功能；</w:t>
      </w:r>
    </w:p>
    <w:p>
      <w:pPr>
        <w:widowControl w:val="0"/>
        <w:numPr>
          <w:ilvl w:val="0"/>
          <w:numId w:val="39"/>
        </w:numPr>
        <w:spacing w:after="0"/>
        <w:ind w:firstLine="424" w:firstLineChars="177"/>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开发区域现货跨经营区市场流程控制功能，将跨经营区交易模型及边界纳入市场出清流程，支持流程监视和管理功能。</w:t>
      </w:r>
    </w:p>
    <w:p>
      <w:pPr>
        <w:pStyle w:val="6"/>
        <w:rPr>
          <w:szCs w:val="24"/>
        </w:rPr>
      </w:pPr>
      <w:r>
        <w:rPr>
          <w:rFonts w:hint="eastAsia"/>
          <w:szCs w:val="24"/>
        </w:rPr>
        <w:t>界面要求</w:t>
      </w:r>
    </w:p>
    <w:p>
      <w:pPr>
        <w:widowControl w:val="0"/>
        <w:numPr>
          <w:ilvl w:val="0"/>
          <w:numId w:val="40"/>
        </w:numPr>
        <w:adjustRightInd w:val="0"/>
        <w:snapToGrid w:val="0"/>
        <w:spacing w:after="0"/>
        <w:contextualSpacing/>
      </w:pPr>
      <w:r>
        <w:rPr>
          <w:rFonts w:hint="eastAsia"/>
          <w:color w:val="000000" w:themeColor="text1"/>
          <w:szCs w:val="32"/>
          <w14:textFill>
            <w14:solidFill>
              <w14:schemeClr w14:val="tx1"/>
            </w14:solidFill>
          </w14:textFill>
        </w:rPr>
        <w:t>在数据交互出现异常时，给出告警提示。</w:t>
      </w:r>
      <w:bookmarkEnd w:id="18"/>
    </w:p>
    <w:p>
      <w:pPr>
        <w:pStyle w:val="4"/>
        <w:widowControl w:val="0"/>
        <w:rPr>
          <w:color w:val="000000" w:themeColor="text1"/>
          <w14:textFill>
            <w14:solidFill>
              <w14:schemeClr w14:val="tx1"/>
            </w14:solidFill>
          </w14:textFill>
        </w:rPr>
      </w:pPr>
      <w:bookmarkStart w:id="19" w:name="_Toc23421"/>
      <w:r>
        <w:rPr>
          <w:rFonts w:hint="eastAsia"/>
          <w:color w:val="000000" w:themeColor="text1"/>
          <w14:textFill>
            <w14:solidFill>
              <w14:schemeClr w14:val="tx1"/>
            </w14:solidFill>
          </w14:textFill>
        </w:rPr>
        <w:t>非功能指标要求</w:t>
      </w:r>
      <w:bookmarkEnd w:id="19"/>
    </w:p>
    <w:p>
      <w:pPr>
        <w:numPr>
          <w:ilvl w:val="255"/>
          <w:numId w:val="0"/>
        </w:numPr>
        <w:ind w:firstLine="420" w:firstLineChars="175"/>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（1）平台年可用率≥99.999%。</w:t>
      </w:r>
    </w:p>
    <w:p>
      <w:pPr>
        <w:numPr>
          <w:ilvl w:val="255"/>
          <w:numId w:val="0"/>
        </w:numPr>
        <w:ind w:firstLine="420" w:firstLineChars="175"/>
        <w:rPr>
          <w:rFonts w:hint="eastAsia"/>
        </w:rPr>
      </w:pPr>
      <w:r>
        <w:rPr>
          <w:rFonts w:hint="eastAsia"/>
          <w:color w:val="000000" w:themeColor="text1"/>
          <w:szCs w:val="32"/>
          <w14:textFill>
            <w14:solidFill>
              <w14:schemeClr w14:val="tx1"/>
            </w14:solidFill>
          </w14:textFill>
        </w:rPr>
        <w:t>（2）与平台有关的日前、实时市场出清异常事件年平均＜3次。</w:t>
      </w:r>
    </w:p>
    <w:bookmarkEnd w:id="0"/>
    <w:p>
      <w:pPr>
        <w:pStyle w:val="2"/>
      </w:pPr>
      <w:bookmarkStart w:id="20" w:name="_Toc433727339"/>
      <w:r>
        <w:rPr>
          <w:rFonts w:hint="eastAsia"/>
        </w:rPr>
        <w:t>项目成果</w:t>
      </w:r>
      <w:bookmarkEnd w:id="20"/>
    </w:p>
    <w:p>
      <w:pPr>
        <w:snapToGrid w:val="0"/>
        <w:ind w:firstLine="480" w:firstLineChars="200"/>
        <w:rPr>
          <w:rFonts w:ascii="Arial" w:hAnsi="Arial" w:cs="Arial"/>
        </w:rPr>
      </w:pPr>
      <w:r>
        <w:rPr>
          <w:rFonts w:hint="eastAsia" w:ascii="Arial" w:hAnsi="Arial" w:cs="Arial"/>
        </w:rPr>
        <w:t>（一）</w:t>
      </w:r>
      <w:r>
        <w:rPr>
          <w:rFonts w:ascii="Arial" w:hAnsi="Arial" w:cs="Arial"/>
        </w:rPr>
        <w:t>成果(级别、数量)</w:t>
      </w:r>
    </w:p>
    <w:p>
      <w:pPr>
        <w:widowControl w:val="0"/>
        <w:numPr>
          <w:ilvl w:val="0"/>
          <w:numId w:val="41"/>
        </w:numPr>
        <w:snapToGrid w:val="0"/>
        <w:ind w:left="0" w:firstLine="480" w:firstLineChars="200"/>
      </w:pPr>
      <w:r>
        <w:rPr>
          <w:rFonts w:hint="eastAsia"/>
        </w:rPr>
        <w:t>软件详细设计文件，1份。</w:t>
      </w:r>
    </w:p>
    <w:p>
      <w:pPr>
        <w:widowControl w:val="0"/>
        <w:numPr>
          <w:ilvl w:val="0"/>
          <w:numId w:val="41"/>
        </w:numPr>
        <w:snapToGrid w:val="0"/>
        <w:ind w:left="0" w:firstLine="480" w:firstLineChars="200"/>
      </w:pPr>
      <w:r>
        <w:rPr>
          <w:rFonts w:hint="eastAsia"/>
        </w:rPr>
        <w:t>南方区域电力现货市场技术支持系统19项功能加装项目</w:t>
      </w:r>
      <w:r>
        <w:t>平台功能加装及改造，</w:t>
      </w:r>
      <w:r>
        <w:rPr>
          <w:rFonts w:hint="eastAsia"/>
        </w:rPr>
        <w:t>1套；包括以下内容：</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685"/>
        <w:gridCol w:w="2793"/>
        <w:gridCol w:w="415"/>
        <w:gridCol w:w="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blHeader/>
        </w:trPr>
        <w:tc>
          <w:tcPr>
            <w:tcW w:w="988" w:type="dxa"/>
            <w:noWrap/>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序号</w:t>
            </w:r>
          </w:p>
        </w:tc>
        <w:tc>
          <w:tcPr>
            <w:tcW w:w="368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一级功能</w:t>
            </w:r>
          </w:p>
        </w:tc>
        <w:tc>
          <w:tcPr>
            <w:tcW w:w="2793" w:type="dxa"/>
            <w:noWrap/>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二级功能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数量</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一</w:t>
            </w:r>
          </w:p>
        </w:tc>
        <w:tc>
          <w:tcPr>
            <w:tcW w:w="3685" w:type="dxa"/>
            <w:vAlign w:val="center"/>
          </w:tcPr>
          <w:p>
            <w:pPr>
              <w:jc w:val="center"/>
              <w:rPr>
                <w:rFonts w:hint="eastAsia" w:ascii="宋体" w:hAnsi="宋体" w:cs="宋体"/>
                <w:b/>
                <w:bCs/>
                <w:color w:val="1D1B10"/>
                <w:kern w:val="0"/>
                <w:sz w:val="21"/>
                <w:szCs w:val="21"/>
              </w:rPr>
            </w:pPr>
            <w:r>
              <w:rPr>
                <w:rFonts w:ascii="宋体" w:hAnsi="宋体" w:cs="宋体"/>
                <w:b/>
                <w:bCs/>
                <w:color w:val="1D1B10"/>
                <w:kern w:val="0"/>
                <w:sz w:val="21"/>
                <w:szCs w:val="21"/>
              </w:rPr>
              <w:t>软件模块加装</w:t>
            </w:r>
          </w:p>
        </w:tc>
        <w:tc>
          <w:tcPr>
            <w:tcW w:w="2793" w:type="dxa"/>
            <w:noWrap/>
            <w:vAlign w:val="center"/>
          </w:tcPr>
          <w:p>
            <w:pPr>
              <w:jc w:val="center"/>
              <w:rPr>
                <w:rFonts w:hint="eastAsia" w:ascii="宋体" w:hAnsi="宋体" w:cs="宋体"/>
                <w:b/>
                <w:bCs/>
                <w:color w:val="1D1B10"/>
                <w:kern w:val="0"/>
                <w:sz w:val="21"/>
                <w:szCs w:val="21"/>
              </w:rPr>
            </w:pPr>
          </w:p>
        </w:tc>
        <w:tc>
          <w:tcPr>
            <w:tcW w:w="415" w:type="dxa"/>
            <w:vAlign w:val="center"/>
          </w:tcPr>
          <w:p>
            <w:pPr>
              <w:jc w:val="center"/>
              <w:rPr>
                <w:rFonts w:hint="eastAsia" w:ascii="宋体" w:hAnsi="宋体"/>
                <w:kern w:val="0"/>
                <w:sz w:val="21"/>
                <w:szCs w:val="21"/>
              </w:rPr>
            </w:pPr>
          </w:p>
        </w:tc>
        <w:tc>
          <w:tcPr>
            <w:tcW w:w="415" w:type="dxa"/>
            <w:vAlign w:val="center"/>
          </w:tcPr>
          <w:p>
            <w:pPr>
              <w:jc w:val="center"/>
              <w:rPr>
                <w:rFonts w:hint="eastAsia" w:ascii="宋体" w:hAnsi="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数据导入及校验功能加装</w:t>
            </w:r>
          </w:p>
        </w:tc>
        <w:tc>
          <w:tcPr>
            <w:tcW w:w="2793" w:type="dxa"/>
            <w:noWrap/>
            <w:vAlign w:val="center"/>
          </w:tcPr>
          <w:p>
            <w:pPr>
              <w:jc w:val="center"/>
              <w:rPr>
                <w:rFonts w:hint="eastAsia" w:ascii="宋体" w:hAnsi="宋体" w:cs="宋体"/>
                <w:color w:val="000000"/>
                <w:kern w:val="0"/>
                <w:sz w:val="21"/>
                <w:szCs w:val="21"/>
                <w:lang w:bidi="ar"/>
              </w:rPr>
            </w:pPr>
            <w:r>
              <w:rPr>
                <w:rFonts w:ascii="宋体" w:hAnsi="宋体" w:cs="宋体"/>
                <w:color w:val="000000"/>
                <w:kern w:val="0"/>
                <w:sz w:val="21"/>
                <w:szCs w:val="21"/>
                <w:lang w:bidi="ar"/>
              </w:rPr>
              <w:t>市场模型</w:t>
            </w:r>
            <w:r>
              <w:rPr>
                <w:rFonts w:hint="eastAsia" w:ascii="宋体" w:hAnsi="宋体" w:cs="宋体"/>
                <w:color w:val="000000"/>
                <w:kern w:val="0"/>
                <w:sz w:val="21"/>
                <w:szCs w:val="21"/>
                <w:lang w:bidi="ar"/>
              </w:rPr>
              <w:t>导入与校验</w:t>
            </w:r>
            <w:r>
              <w:rPr>
                <w:rFonts w:ascii="宋体" w:hAnsi="宋体" w:cs="宋体"/>
                <w:color w:val="000000"/>
                <w:kern w:val="0"/>
                <w:sz w:val="21"/>
                <w:szCs w:val="21"/>
                <w:lang w:bidi="ar"/>
              </w:rPr>
              <w:t>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ascii="宋体" w:hAnsi="宋体" w:cs="宋体"/>
                <w:color w:val="000000"/>
                <w:kern w:val="0"/>
                <w:sz w:val="21"/>
                <w:szCs w:val="21"/>
                <w:lang w:bidi="ar"/>
              </w:rPr>
              <w:t>关键参数</w:t>
            </w:r>
            <w:r>
              <w:rPr>
                <w:rFonts w:hint="eastAsia" w:ascii="宋体" w:hAnsi="宋体" w:cs="宋体"/>
                <w:color w:val="000000"/>
                <w:kern w:val="0"/>
                <w:sz w:val="21"/>
                <w:szCs w:val="21"/>
                <w:lang w:bidi="ar"/>
              </w:rPr>
              <w:t>导入</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ascii="宋体" w:hAnsi="宋体" w:cs="宋体"/>
                <w:color w:val="000000"/>
                <w:kern w:val="0"/>
                <w:sz w:val="21"/>
                <w:szCs w:val="21"/>
                <w:lang w:bidi="ar"/>
              </w:rPr>
              <w:t>边界数据导入</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电能量市场平台测试验证功能加装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市场模型维护功能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信息披露功能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发布功能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智能告警功能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发布前校验功能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ascii="宋体" w:hAnsi="宋体" w:cs="宋体"/>
                <w:color w:val="000000"/>
                <w:kern w:val="0"/>
                <w:sz w:val="21"/>
                <w:szCs w:val="21"/>
                <w:lang w:bidi="ar"/>
              </w:rPr>
              <w:t>市场分析功能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ascii="宋体" w:hAnsi="宋体" w:cs="宋体"/>
                <w:color w:val="000000"/>
                <w:kern w:val="0"/>
                <w:sz w:val="21"/>
                <w:szCs w:val="21"/>
                <w:lang w:bidi="ar"/>
              </w:rPr>
            </w:pPr>
            <w:r>
              <w:rPr>
                <w:rFonts w:hint="eastAsia" w:ascii="宋体" w:hAnsi="宋体" w:cs="宋体"/>
                <w:color w:val="000000"/>
                <w:kern w:val="0"/>
                <w:sz w:val="21"/>
                <w:szCs w:val="21"/>
                <w:lang w:bidi="ar"/>
              </w:rPr>
              <w:t>案例备份还原功能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ascii="宋体" w:hAnsi="宋体" w:cs="宋体"/>
                <w:color w:val="000000"/>
                <w:kern w:val="0"/>
                <w:sz w:val="21"/>
                <w:szCs w:val="21"/>
                <w:lang w:bidi="ar"/>
              </w:rPr>
              <w:t>案例反演功能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调频市场测试验证功能加装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出清结果发布功能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人工操作自动同步功能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调频需求计算功能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预出清功能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正式出清功能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调频里程补偿计算功能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人工操作功能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备用市场测试验证功能加装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出清结果发布功能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人工操作自动同步功能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备用需求同步功能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备用可交易容量同步</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正式出清功能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日内调整功能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人工操作功能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调频与备用市场申报测试功能加装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发电单元参数设置</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申报信息填报</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申报信息校验</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restart"/>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市场与控制协同测试功能加装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模拟计划值获取</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数据输出</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restart"/>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容灾场景测试功能加装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响应数据源切换测试</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响应OCS切换测试</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响应网络异常测试</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restart"/>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自动化测试模块功能加装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响应数据源切换测试</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响应OCS切换测试</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响应网络异常测试</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restart"/>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测试结果可视化功能加装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关键运行指标展示</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案例信息展示</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noWrap/>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图表输出</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离线导入功能加装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离线导入功能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测试案例与缺陷管理功能加装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测试案例与缺陷管理功能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可靠性机组组合数据维护功能加装</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市场模型管理功能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申报数据管理功能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计划数据管理功能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边界数据接入并汇总</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异常数据防误功能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边界数据统计功能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市场参数管理功能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案例数据校验功能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边界数据更新功能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初始状态准备功能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约束条件管理功能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日前市场与可靠性机组组合案例校验功能改造</w:t>
            </w: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可靠性机组组合市场流程控制功能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可靠性机组组合安全校核结果统计功能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可靠性机组组合未来方式地理潮流图展示功能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可靠性机组组合灵敏度存储及界面化展示功能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日前市场流程控制功能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日前市场安全校核结果统计功能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日前市场未来方式地理潮流图展示功能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noWrap/>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日前市场不同时段灵敏度存储及界面化展示功能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restart"/>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跨经营区现货平台功能加装</w:t>
            </w: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数据交互功能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交易分量数据管理功能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交易模型维护功能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交易分量数据校验功能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出清结果导入及界面展示功能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关口电价计算功能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88" w:type="dxa"/>
            <w:noWrap/>
            <w:vAlign w:val="center"/>
          </w:tcPr>
          <w:p>
            <w:pPr>
              <w:pStyle w:val="56"/>
              <w:numPr>
                <w:ilvl w:val="0"/>
                <w:numId w:val="42"/>
              </w:numPr>
              <w:jc w:val="center"/>
              <w:rPr>
                <w:rFonts w:hint="eastAsia" w:ascii="宋体" w:hAnsi="宋体" w:cs="宋体"/>
                <w:color w:val="1D1B10"/>
                <w:kern w:val="0"/>
                <w:sz w:val="21"/>
                <w:szCs w:val="21"/>
              </w:rPr>
            </w:pPr>
          </w:p>
        </w:tc>
        <w:tc>
          <w:tcPr>
            <w:tcW w:w="3685" w:type="dxa"/>
            <w:vMerge w:val="continue"/>
            <w:vAlign w:val="center"/>
          </w:tcPr>
          <w:p>
            <w:pPr>
              <w:jc w:val="center"/>
              <w:rPr>
                <w:rFonts w:hint="eastAsia" w:ascii="宋体" w:hAnsi="宋体" w:cs="宋体"/>
                <w:color w:val="000000"/>
                <w:kern w:val="0"/>
                <w:sz w:val="21"/>
                <w:szCs w:val="21"/>
                <w:lang w:bidi="ar"/>
              </w:rPr>
            </w:pPr>
          </w:p>
        </w:tc>
        <w:tc>
          <w:tcPr>
            <w:tcW w:w="2793" w:type="dxa"/>
            <w:vAlign w:val="center"/>
          </w:tcPr>
          <w:p>
            <w:pPr>
              <w:jc w:val="center"/>
              <w:rPr>
                <w:rFonts w:hint="eastAsia" w:ascii="宋体" w:hAnsi="宋体" w:cs="宋体"/>
                <w:color w:val="000000"/>
                <w:kern w:val="0"/>
                <w:sz w:val="21"/>
                <w:szCs w:val="21"/>
                <w:lang w:bidi="ar"/>
              </w:rPr>
            </w:pPr>
            <w:r>
              <w:rPr>
                <w:rFonts w:hint="eastAsia" w:ascii="宋体" w:hAnsi="宋体" w:cs="宋体"/>
                <w:color w:val="000000"/>
                <w:kern w:val="0"/>
                <w:sz w:val="21"/>
                <w:szCs w:val="21"/>
                <w:lang w:bidi="ar"/>
              </w:rPr>
              <w:t>市场流程控制功能</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二</w:t>
            </w:r>
          </w:p>
        </w:tc>
        <w:tc>
          <w:tcPr>
            <w:tcW w:w="368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其它</w:t>
            </w:r>
          </w:p>
        </w:tc>
        <w:tc>
          <w:tcPr>
            <w:tcW w:w="2793" w:type="dxa"/>
            <w:vAlign w:val="center"/>
          </w:tcPr>
          <w:p>
            <w:pPr>
              <w:jc w:val="center"/>
              <w:rPr>
                <w:rFonts w:hint="eastAsia" w:ascii="宋体" w:hAnsi="宋体" w:cs="宋体"/>
                <w:b/>
                <w:bCs/>
                <w:color w:val="1D1B10"/>
                <w:kern w:val="0"/>
                <w:sz w:val="21"/>
                <w:szCs w:val="21"/>
              </w:rPr>
            </w:pPr>
          </w:p>
        </w:tc>
        <w:tc>
          <w:tcPr>
            <w:tcW w:w="415" w:type="dxa"/>
            <w:vAlign w:val="center"/>
          </w:tcPr>
          <w:p>
            <w:pPr>
              <w:jc w:val="left"/>
              <w:rPr>
                <w:rFonts w:hint="eastAsia" w:ascii="宋体" w:hAnsi="宋体"/>
                <w:kern w:val="0"/>
                <w:sz w:val="21"/>
                <w:szCs w:val="21"/>
              </w:rPr>
            </w:pPr>
          </w:p>
        </w:tc>
        <w:tc>
          <w:tcPr>
            <w:tcW w:w="415" w:type="dxa"/>
            <w:vAlign w:val="center"/>
          </w:tcPr>
          <w:p>
            <w:pPr>
              <w:jc w:val="center"/>
              <w:rPr>
                <w:rFonts w:hint="eastAsia" w:ascii="宋体" w:hAnsi="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vAlign w:val="center"/>
          </w:tcPr>
          <w:p>
            <w:pPr>
              <w:jc w:val="center"/>
              <w:rPr>
                <w:rFonts w:hint="eastAsia" w:ascii="宋体" w:hAnsi="宋体" w:cs="宋体"/>
                <w:color w:val="1D1B10"/>
                <w:kern w:val="0"/>
                <w:sz w:val="21"/>
                <w:szCs w:val="21"/>
              </w:rPr>
            </w:pPr>
            <w:r>
              <w:rPr>
                <w:rFonts w:hint="eastAsia" w:ascii="宋体" w:hAnsi="宋体" w:cs="宋体"/>
                <w:color w:val="1D1B10"/>
                <w:kern w:val="0"/>
                <w:sz w:val="21"/>
                <w:szCs w:val="21"/>
              </w:rPr>
              <w:t>1</w:t>
            </w:r>
          </w:p>
        </w:tc>
        <w:tc>
          <w:tcPr>
            <w:tcW w:w="3685" w:type="dxa"/>
            <w:vAlign w:val="center"/>
          </w:tcPr>
          <w:p>
            <w:pPr>
              <w:jc w:val="center"/>
              <w:rPr>
                <w:rFonts w:hint="eastAsia" w:ascii="宋体" w:hAnsi="宋体" w:cs="宋体"/>
                <w:color w:val="1D1B10"/>
                <w:kern w:val="0"/>
                <w:sz w:val="21"/>
                <w:szCs w:val="21"/>
              </w:rPr>
            </w:pPr>
            <w:r>
              <w:rPr>
                <w:rFonts w:hint="eastAsia" w:ascii="宋体" w:hAnsi="宋体" w:cs="宋体"/>
                <w:color w:val="1D1B10"/>
                <w:kern w:val="0"/>
                <w:sz w:val="21"/>
                <w:szCs w:val="21"/>
              </w:rPr>
              <w:t>系统实施</w:t>
            </w:r>
          </w:p>
        </w:tc>
        <w:tc>
          <w:tcPr>
            <w:tcW w:w="2793" w:type="dxa"/>
            <w:vAlign w:val="center"/>
          </w:tcPr>
          <w:p>
            <w:pPr>
              <w:jc w:val="center"/>
              <w:rPr>
                <w:rFonts w:hint="eastAsia" w:ascii="宋体" w:hAnsi="宋体" w:cs="宋体"/>
                <w:color w:val="1D1B10"/>
                <w:kern w:val="0"/>
                <w:sz w:val="21"/>
                <w:szCs w:val="21"/>
              </w:rPr>
            </w:pPr>
            <w:r>
              <w:rPr>
                <w:rFonts w:hint="eastAsia" w:ascii="宋体" w:hAnsi="宋体" w:cs="宋体"/>
                <w:color w:val="1D1B10"/>
                <w:kern w:val="0"/>
                <w:sz w:val="21"/>
                <w:szCs w:val="21"/>
              </w:rPr>
              <w:t>包括项目管理、项目启动、环境准备、初始化、调试、培训、上线切换等工作</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1</w:t>
            </w:r>
          </w:p>
        </w:tc>
        <w:tc>
          <w:tcPr>
            <w:tcW w:w="415" w:type="dxa"/>
            <w:vAlign w:val="center"/>
          </w:tcPr>
          <w:p>
            <w:pPr>
              <w:jc w:val="center"/>
              <w:rPr>
                <w:rFonts w:hint="eastAsia" w:ascii="宋体" w:hAnsi="宋体" w:cs="宋体"/>
                <w:b/>
                <w:bCs/>
                <w:color w:val="1D1B10"/>
                <w:kern w:val="0"/>
                <w:sz w:val="21"/>
                <w:szCs w:val="21"/>
              </w:rPr>
            </w:pPr>
            <w:r>
              <w:rPr>
                <w:rFonts w:hint="eastAsia" w:ascii="宋体" w:hAnsi="宋体" w:cs="宋体"/>
                <w:b/>
                <w:bCs/>
                <w:color w:val="1D1B10"/>
                <w:kern w:val="0"/>
                <w:sz w:val="21"/>
                <w:szCs w:val="21"/>
              </w:rPr>
              <w:t>项</w:t>
            </w:r>
          </w:p>
        </w:tc>
      </w:tr>
    </w:tbl>
    <w:p>
      <w:pPr>
        <w:pStyle w:val="16"/>
        <w:rPr>
          <w:rFonts w:hint="eastAsia"/>
        </w:rPr>
      </w:pPr>
    </w:p>
    <w:p>
      <w:pPr>
        <w:widowControl w:val="0"/>
        <w:numPr>
          <w:ilvl w:val="0"/>
          <w:numId w:val="41"/>
        </w:numPr>
        <w:snapToGrid w:val="0"/>
        <w:ind w:left="0" w:firstLine="480" w:firstLineChars="200"/>
        <w:rPr>
          <w:bCs/>
        </w:rPr>
      </w:pPr>
      <w:r>
        <w:rPr>
          <w:rFonts w:hint="eastAsia"/>
          <w:bCs/>
        </w:rPr>
        <w:t>项目验收工作总结报告，1份；</w:t>
      </w:r>
    </w:p>
    <w:p>
      <w:pPr>
        <w:widowControl w:val="0"/>
        <w:numPr>
          <w:ilvl w:val="0"/>
          <w:numId w:val="41"/>
        </w:numPr>
        <w:snapToGrid w:val="0"/>
        <w:ind w:left="0" w:firstLine="480" w:firstLineChars="200"/>
        <w:rPr>
          <w:bCs/>
        </w:rPr>
      </w:pPr>
      <w:r>
        <w:rPr>
          <w:rFonts w:hint="eastAsia"/>
          <w:bCs/>
        </w:rPr>
        <w:t>项目验收技术总结报告，1份；</w:t>
      </w:r>
    </w:p>
    <w:p>
      <w:pPr>
        <w:widowControl w:val="0"/>
        <w:numPr>
          <w:ilvl w:val="0"/>
          <w:numId w:val="41"/>
        </w:numPr>
        <w:snapToGrid w:val="0"/>
        <w:ind w:left="0" w:firstLine="480" w:firstLineChars="200"/>
        <w:rPr>
          <w:bCs/>
        </w:rPr>
      </w:pPr>
      <w:r>
        <w:rPr>
          <w:rFonts w:hint="eastAsia"/>
          <w:bCs/>
        </w:rPr>
        <w:t>软件一书三册（功能说明书、安装手册、运维手册、检验手册），1套；</w:t>
      </w:r>
    </w:p>
    <w:p>
      <w:pPr>
        <w:widowControl w:val="0"/>
        <w:numPr>
          <w:ilvl w:val="0"/>
          <w:numId w:val="41"/>
        </w:numPr>
        <w:snapToGrid w:val="0"/>
        <w:ind w:left="0" w:firstLine="480" w:firstLineChars="200"/>
        <w:rPr>
          <w:bCs/>
        </w:rPr>
      </w:pPr>
      <w:r>
        <w:t>源代码审计报告</w:t>
      </w:r>
      <w:r>
        <w:rPr>
          <w:rFonts w:hint="eastAsia"/>
          <w:bCs/>
        </w:rPr>
        <w:t>，1份；</w:t>
      </w:r>
    </w:p>
    <w:p>
      <w:pPr>
        <w:widowControl w:val="0"/>
        <w:numPr>
          <w:ilvl w:val="0"/>
          <w:numId w:val="41"/>
        </w:numPr>
        <w:snapToGrid w:val="0"/>
        <w:ind w:left="0" w:firstLine="480" w:firstLineChars="200"/>
        <w:rPr>
          <w:bCs/>
        </w:rPr>
      </w:pPr>
      <w:r>
        <w:rPr>
          <w:rFonts w:hint="eastAsia"/>
          <w:bCs/>
        </w:rPr>
        <w:t>入网安全评测</w:t>
      </w:r>
      <w:r>
        <w:rPr>
          <w:rFonts w:hint="eastAsia"/>
          <w:bCs/>
          <w:lang w:val="en-US" w:eastAsia="zh-CN"/>
        </w:rPr>
        <w:t>报告</w:t>
      </w:r>
      <w:r>
        <w:rPr>
          <w:rFonts w:hint="eastAsia"/>
          <w:bCs/>
        </w:rPr>
        <w:t>，1份；</w:t>
      </w:r>
    </w:p>
    <w:p>
      <w:pPr>
        <w:widowControl w:val="0"/>
        <w:numPr>
          <w:ilvl w:val="0"/>
          <w:numId w:val="41"/>
        </w:numPr>
        <w:snapToGrid w:val="0"/>
        <w:ind w:left="0" w:firstLine="480" w:firstLineChars="200"/>
        <w:rPr>
          <w:rFonts w:hint="eastAsia"/>
        </w:rPr>
      </w:pPr>
      <w:r>
        <w:rPr>
          <w:rFonts w:hint="eastAsia"/>
        </w:rPr>
        <w:t>第三方测试</w:t>
      </w:r>
      <w:r>
        <w:t>报告</w:t>
      </w:r>
      <w:r>
        <w:rPr>
          <w:rFonts w:hint="eastAsia"/>
          <w:bCs/>
        </w:rPr>
        <w:t>，1份</w:t>
      </w:r>
      <w:r>
        <w:rPr>
          <w:rFonts w:hint="eastAsia"/>
          <w:bCs/>
          <w:lang w:eastAsia="zh-CN"/>
        </w:rPr>
        <w:t>；</w:t>
      </w:r>
    </w:p>
    <w:p>
      <w:pPr>
        <w:widowControl w:val="0"/>
        <w:numPr>
          <w:ilvl w:val="0"/>
          <w:numId w:val="41"/>
        </w:numPr>
        <w:snapToGrid w:val="0"/>
        <w:ind w:left="0" w:firstLine="480" w:firstLineChars="200"/>
        <w:rPr>
          <w:rFonts w:hint="eastAsia"/>
        </w:rPr>
      </w:pPr>
      <w:r>
        <w:rPr>
          <w:rFonts w:hint="eastAsia"/>
          <w:bCs/>
          <w:lang w:val="en-US" w:eastAsia="zh-CN"/>
        </w:rPr>
        <w:t>项目相关培训材料，1份</w:t>
      </w:r>
      <w:r>
        <w:rPr>
          <w:rFonts w:hint="eastAsia"/>
          <w:bCs/>
          <w:lang w:eastAsia="zh-CN"/>
        </w:rPr>
        <w:t>。</w:t>
      </w:r>
    </w:p>
    <w:p>
      <w:pPr>
        <w:pStyle w:val="16"/>
        <w:rPr>
          <w:rFonts w:hint="eastAsia"/>
        </w:rPr>
      </w:pPr>
    </w:p>
    <w:p>
      <w:pPr>
        <w:pStyle w:val="2"/>
      </w:pPr>
      <w:r>
        <w:rPr>
          <w:rFonts w:hint="eastAsia"/>
        </w:rPr>
        <w:t>项目工程</w:t>
      </w:r>
      <w:r>
        <w:t>要求</w:t>
      </w:r>
    </w:p>
    <w:p>
      <w:pPr>
        <w:pStyle w:val="3"/>
        <w:widowControl w:val="0"/>
        <w:rPr>
          <w:rFonts w:ascii="Times New Roman" w:hAnsi="Times New Roman"/>
          <w:szCs w:val="24"/>
        </w:rPr>
      </w:pPr>
      <w:r>
        <w:rPr>
          <w:rFonts w:hint="eastAsia" w:ascii="Times New Roman" w:hAnsi="Times New Roman"/>
          <w:szCs w:val="24"/>
        </w:rPr>
        <w:t>会议要求</w:t>
      </w:r>
    </w:p>
    <w:p>
      <w:pPr>
        <w:pStyle w:val="4"/>
        <w:widowControl w:val="0"/>
        <w:rPr>
          <w:szCs w:val="24"/>
        </w:rPr>
      </w:pPr>
      <w:r>
        <w:rPr>
          <w:rFonts w:hint="eastAsia"/>
          <w:szCs w:val="24"/>
        </w:rPr>
        <w:t>合同谈判</w:t>
      </w:r>
    </w:p>
    <w:p>
      <w:pPr>
        <w:pStyle w:val="56"/>
        <w:widowControl w:val="0"/>
        <w:numPr>
          <w:ilvl w:val="0"/>
          <w:numId w:val="43"/>
        </w:numPr>
        <w:adjustRightInd w:val="0"/>
        <w:snapToGrid w:val="0"/>
        <w:ind w:left="0" w:firstLine="480" w:firstLineChars="200"/>
      </w:pPr>
      <w:r>
        <w:rPr>
          <w:rFonts w:hint="eastAsia"/>
        </w:rPr>
        <w:t>为了项目采购工作的尽快开展及实施方案的确定，投标方与招标方应举行合同谈判。</w:t>
      </w:r>
    </w:p>
    <w:p>
      <w:pPr>
        <w:pStyle w:val="56"/>
        <w:widowControl w:val="0"/>
        <w:numPr>
          <w:ilvl w:val="0"/>
          <w:numId w:val="43"/>
        </w:numPr>
        <w:adjustRightInd w:val="0"/>
        <w:snapToGrid w:val="0"/>
        <w:ind w:left="0" w:firstLine="480" w:firstLineChars="200"/>
      </w:pPr>
      <w:r>
        <w:rPr>
          <w:rFonts w:hint="eastAsia"/>
        </w:rPr>
        <w:t>合同谈判招投标</w:t>
      </w:r>
      <w:r>
        <w:t>双方均签署会议纪要，纪要将视为合同的组成部分</w:t>
      </w:r>
      <w:r>
        <w:rPr>
          <w:rFonts w:hint="eastAsia"/>
        </w:rPr>
        <w:t>。</w:t>
      </w:r>
    </w:p>
    <w:p>
      <w:pPr>
        <w:pStyle w:val="56"/>
        <w:widowControl w:val="0"/>
        <w:numPr>
          <w:ilvl w:val="0"/>
          <w:numId w:val="43"/>
        </w:numPr>
        <w:adjustRightInd w:val="0"/>
        <w:snapToGrid w:val="0"/>
        <w:ind w:left="0" w:firstLine="480" w:firstLineChars="200"/>
      </w:pPr>
      <w:r>
        <w:rPr>
          <w:rFonts w:hint="eastAsia"/>
        </w:rPr>
        <w:t>在确定投标方后的两个自然周之内</w:t>
      </w:r>
      <w:r>
        <w:t>，</w:t>
      </w:r>
      <w:r>
        <w:rPr>
          <w:rFonts w:hint="eastAsia"/>
        </w:rPr>
        <w:t>招标方</w:t>
      </w:r>
      <w:r>
        <w:t>收到</w:t>
      </w:r>
      <w:r>
        <w:rPr>
          <w:rFonts w:hint="eastAsia"/>
        </w:rPr>
        <w:t>投标方</w:t>
      </w:r>
      <w:r>
        <w:t>发送的有关标准、技术规范，</w:t>
      </w:r>
      <w:r>
        <w:rPr>
          <w:rFonts w:hint="eastAsia"/>
        </w:rPr>
        <w:t>项目组织安排等，谈判主要内容是确认投标方提出的有关标准及规范、讨论并澄清招标规范中的技术条款及相应的技术方案，讨论确定系统设计方案，讨论/确定项目组织安排、工程计划、项目管理方案，</w:t>
      </w:r>
      <w:r>
        <w:t>讨论/确定培训计划(包括课程安排、教材、进度)</w:t>
      </w:r>
      <w:r>
        <w:rPr>
          <w:rFonts w:hint="eastAsia"/>
        </w:rPr>
        <w:t>，招标方提出相关工作需求等内容。</w:t>
      </w:r>
    </w:p>
    <w:p>
      <w:pPr>
        <w:pStyle w:val="56"/>
        <w:widowControl w:val="0"/>
        <w:numPr>
          <w:ilvl w:val="0"/>
          <w:numId w:val="43"/>
        </w:numPr>
        <w:adjustRightInd w:val="0"/>
        <w:snapToGrid w:val="0"/>
        <w:ind w:left="0" w:firstLine="480" w:firstLineChars="200"/>
      </w:pPr>
      <w:r>
        <w:rPr>
          <w:rFonts w:hint="eastAsia"/>
        </w:rPr>
        <w:t>合同谈判举办地点、形式由招标方、投标方根据需求商议确定。</w:t>
      </w:r>
    </w:p>
    <w:p>
      <w:pPr>
        <w:pStyle w:val="4"/>
        <w:widowControl w:val="0"/>
        <w:rPr>
          <w:szCs w:val="24"/>
        </w:rPr>
      </w:pPr>
      <w:r>
        <w:rPr>
          <w:rFonts w:hint="eastAsia"/>
          <w:szCs w:val="24"/>
        </w:rPr>
        <w:t>技术联络会</w:t>
      </w:r>
    </w:p>
    <w:p>
      <w:pPr>
        <w:pStyle w:val="56"/>
        <w:widowControl w:val="0"/>
        <w:numPr>
          <w:ilvl w:val="0"/>
          <w:numId w:val="44"/>
        </w:numPr>
        <w:adjustRightInd w:val="0"/>
        <w:snapToGrid w:val="0"/>
        <w:ind w:left="0" w:firstLine="480" w:firstLineChars="200"/>
      </w:pPr>
      <w:r>
        <w:t>为便于合同的执行、审查和系统</w:t>
      </w:r>
      <w:r>
        <w:rPr>
          <w:rFonts w:hint="eastAsia"/>
        </w:rPr>
        <w:t>详细</w:t>
      </w:r>
      <w:r>
        <w:t>设计方案的确定，</w:t>
      </w:r>
      <w:r>
        <w:rPr>
          <w:rFonts w:hint="eastAsia"/>
        </w:rPr>
        <w:t>投标方</w:t>
      </w:r>
      <w:r>
        <w:t>与</w:t>
      </w:r>
      <w:r>
        <w:rPr>
          <w:rFonts w:hint="eastAsia"/>
        </w:rPr>
        <w:t>招标方</w:t>
      </w:r>
      <w:r>
        <w:t>根据需要举行技术联络会，除按合同规定举行的技术联络会外，双方可以根据需要约定对方举行额外的技术联络会</w:t>
      </w:r>
      <w:r>
        <w:rPr>
          <w:rFonts w:hint="eastAsia"/>
        </w:rPr>
        <w:t>。</w:t>
      </w:r>
    </w:p>
    <w:p>
      <w:pPr>
        <w:pStyle w:val="56"/>
        <w:widowControl w:val="0"/>
        <w:numPr>
          <w:ilvl w:val="0"/>
          <w:numId w:val="44"/>
        </w:numPr>
        <w:adjustRightInd w:val="0"/>
        <w:snapToGrid w:val="0"/>
        <w:ind w:left="0" w:firstLine="480" w:firstLineChars="200"/>
      </w:pPr>
      <w:r>
        <w:t>如果由于</w:t>
      </w:r>
      <w:r>
        <w:rPr>
          <w:rFonts w:hint="eastAsia"/>
        </w:rPr>
        <w:t>投标方</w:t>
      </w:r>
      <w:r>
        <w:t>的原因需要举行额外的技术联络会，</w:t>
      </w:r>
      <w:r>
        <w:rPr>
          <w:rFonts w:hint="eastAsia"/>
        </w:rPr>
        <w:t>投标方</w:t>
      </w:r>
      <w:r>
        <w:t>免费提供参加该技术联络会的招标方人员</w:t>
      </w:r>
      <w:r>
        <w:rPr>
          <w:rFonts w:hint="eastAsia"/>
        </w:rPr>
        <w:t>会议相关</w:t>
      </w:r>
      <w:r>
        <w:t>等</w:t>
      </w:r>
      <w:r>
        <w:rPr>
          <w:rFonts w:hint="eastAsia"/>
        </w:rPr>
        <w:t>费用</w:t>
      </w:r>
      <w:r>
        <w:t>。</w:t>
      </w:r>
    </w:p>
    <w:p>
      <w:pPr>
        <w:pStyle w:val="56"/>
        <w:widowControl w:val="0"/>
        <w:numPr>
          <w:ilvl w:val="0"/>
          <w:numId w:val="44"/>
        </w:numPr>
        <w:adjustRightInd w:val="0"/>
        <w:snapToGrid w:val="0"/>
        <w:ind w:left="0" w:firstLine="480" w:firstLineChars="200"/>
      </w:pPr>
      <w:r>
        <w:t>每次技术联络会</w:t>
      </w:r>
      <w:r>
        <w:rPr>
          <w:rFonts w:hint="eastAsia"/>
        </w:rPr>
        <w:t>招投标</w:t>
      </w:r>
      <w:r>
        <w:t>双方均签署会议纪要，纪要将视为合同的组成部分</w:t>
      </w:r>
      <w:r>
        <w:rPr>
          <w:rFonts w:hint="eastAsia"/>
        </w:rPr>
        <w:t>。</w:t>
      </w:r>
    </w:p>
    <w:p>
      <w:pPr>
        <w:pStyle w:val="56"/>
        <w:widowControl w:val="0"/>
        <w:numPr>
          <w:ilvl w:val="0"/>
          <w:numId w:val="44"/>
        </w:numPr>
        <w:adjustRightInd w:val="0"/>
        <w:snapToGrid w:val="0"/>
        <w:ind w:left="0" w:firstLine="480" w:firstLineChars="200"/>
      </w:pPr>
      <w:r>
        <w:rPr>
          <w:rFonts w:hint="eastAsia"/>
        </w:rPr>
        <w:t>技术联络会举办地点、形式由招标方、投标方根据需求商议确定。</w:t>
      </w:r>
    </w:p>
    <w:p>
      <w:pPr>
        <w:pStyle w:val="4"/>
        <w:widowControl w:val="0"/>
        <w:rPr>
          <w:szCs w:val="24"/>
        </w:rPr>
      </w:pPr>
      <w:bookmarkStart w:id="21" w:name="_Toc376108248"/>
      <w:r>
        <w:rPr>
          <w:rFonts w:hint="eastAsia"/>
          <w:szCs w:val="24"/>
        </w:rPr>
        <w:t>月度协调会</w:t>
      </w:r>
      <w:bookmarkEnd w:id="21"/>
    </w:p>
    <w:p>
      <w:pPr>
        <w:pStyle w:val="56"/>
        <w:widowControl w:val="0"/>
        <w:numPr>
          <w:ilvl w:val="0"/>
          <w:numId w:val="45"/>
        </w:numPr>
        <w:adjustRightInd w:val="0"/>
        <w:snapToGrid w:val="0"/>
        <w:ind w:left="0" w:firstLine="480" w:firstLineChars="200"/>
      </w:pPr>
      <w:r>
        <w:rPr>
          <w:rFonts w:hint="eastAsia"/>
        </w:rPr>
        <w:t>为了加强进度管理，协调系统开发过程中遇到的问题，招标方与投标方应按月举行月度协调会。</w:t>
      </w:r>
    </w:p>
    <w:p>
      <w:pPr>
        <w:pStyle w:val="56"/>
        <w:widowControl w:val="0"/>
        <w:numPr>
          <w:ilvl w:val="0"/>
          <w:numId w:val="45"/>
        </w:numPr>
        <w:adjustRightInd w:val="0"/>
        <w:snapToGrid w:val="0"/>
        <w:ind w:left="0" w:firstLine="480" w:firstLineChars="200"/>
      </w:pPr>
      <w:r>
        <w:rPr>
          <w:rFonts w:hint="eastAsia"/>
        </w:rPr>
        <w:t>工厂集成期间每月召开一次月度协调会，举办地点、形式由招标方、投标方根据需求商议确定。</w:t>
      </w:r>
    </w:p>
    <w:p>
      <w:pPr>
        <w:pStyle w:val="3"/>
        <w:widowControl w:val="0"/>
        <w:rPr>
          <w:rFonts w:ascii="Times New Roman" w:hAnsi="Times New Roman"/>
          <w:szCs w:val="24"/>
        </w:rPr>
      </w:pPr>
      <w:bookmarkStart w:id="22" w:name="_Toc373104167"/>
      <w:bookmarkEnd w:id="22"/>
      <w:r>
        <w:rPr>
          <w:rFonts w:hint="eastAsia" w:ascii="Times New Roman" w:hAnsi="Times New Roman"/>
          <w:szCs w:val="24"/>
        </w:rPr>
        <w:t>培训要求</w:t>
      </w:r>
    </w:p>
    <w:p>
      <w:pPr>
        <w:adjustRightInd w:val="0"/>
        <w:snapToGrid w:val="0"/>
        <w:spacing w:before="120" w:after="120"/>
        <w:ind w:firstLine="480" w:firstLineChars="200"/>
      </w:pPr>
      <w:r>
        <w:rPr>
          <w:rFonts w:hint="eastAsia"/>
        </w:rPr>
        <w:t>为了确保招标方更好的履行相关职责，投标方需为招标方提供设备和系统维护的工具与培训。</w:t>
      </w:r>
    </w:p>
    <w:p>
      <w:pPr>
        <w:adjustRightInd w:val="0"/>
        <w:snapToGrid w:val="0"/>
        <w:spacing w:before="120" w:after="120"/>
        <w:ind w:firstLine="480" w:firstLineChars="200"/>
      </w:pPr>
      <w:r>
        <w:rPr>
          <w:rFonts w:hint="eastAsia"/>
        </w:rPr>
        <w:t>a)培训班的教员具备：（1）教学经验（2）教学课程的专长（3）熟悉本系统。</w:t>
      </w:r>
    </w:p>
    <w:p>
      <w:pPr>
        <w:adjustRightInd w:val="0"/>
        <w:snapToGrid w:val="0"/>
        <w:spacing w:before="120" w:after="120"/>
        <w:ind w:firstLine="480" w:firstLineChars="200"/>
      </w:pPr>
      <w:r>
        <w:rPr>
          <w:rFonts w:hint="eastAsia"/>
        </w:rPr>
        <w:t>b)有关数据库、画面显示、报表生成的用户培训必须使用中文在招标方授课。</w:t>
      </w:r>
    </w:p>
    <w:p>
      <w:pPr>
        <w:adjustRightInd w:val="0"/>
        <w:snapToGrid w:val="0"/>
        <w:spacing w:before="120" w:after="120"/>
        <w:ind w:firstLine="480" w:firstLineChars="200"/>
      </w:pPr>
      <w:r>
        <w:rPr>
          <w:rFonts w:hint="eastAsia"/>
        </w:rPr>
        <w:t>c)投标方提供所有培训资料。</w:t>
      </w:r>
    </w:p>
    <w:p>
      <w:pPr>
        <w:adjustRightInd w:val="0"/>
        <w:snapToGrid w:val="0"/>
        <w:spacing w:before="120" w:after="120"/>
        <w:ind w:firstLine="480" w:firstLineChars="200"/>
      </w:pPr>
      <w:r>
        <w:rPr>
          <w:rFonts w:hint="eastAsia"/>
        </w:rPr>
        <w:t>d)培训课件，投标方在培训前，必须从招标方的角度出发，准备适用于招标方不同级别培训的课件（课件形式不限于PPT），在培训开始前的一个月发招标方审核，招标方具有选择拷贝电子课件的权利。</w:t>
      </w:r>
    </w:p>
    <w:p>
      <w:pPr>
        <w:adjustRightInd w:val="0"/>
        <w:snapToGrid w:val="0"/>
        <w:spacing w:before="120" w:after="120"/>
        <w:ind w:firstLine="480" w:firstLineChars="200"/>
      </w:pPr>
      <w:r>
        <w:rPr>
          <w:rFonts w:hint="eastAsia"/>
        </w:rPr>
        <w:t>e)学员人手一份技术手册和相关文件。学员在培训课程开始前一个月收到教学资料。投标方的手册与文档的电子文件同时提供给招标方。</w:t>
      </w:r>
    </w:p>
    <w:p>
      <w:pPr>
        <w:adjustRightInd w:val="0"/>
        <w:snapToGrid w:val="0"/>
        <w:spacing w:before="120" w:after="120"/>
        <w:ind w:firstLine="480" w:firstLineChars="200"/>
      </w:pPr>
      <w:r>
        <w:rPr>
          <w:rFonts w:hint="eastAsia"/>
        </w:rPr>
        <w:t>f)课堂资料，包括开课前发放的文档和课堂资料归招标方所有，招标方有权拷贝这些资料供内部培训使用。</w:t>
      </w:r>
    </w:p>
    <w:p>
      <w:pPr>
        <w:adjustRightInd w:val="0"/>
        <w:snapToGrid w:val="0"/>
        <w:spacing w:before="120" w:after="120"/>
        <w:ind w:firstLine="480" w:firstLineChars="200"/>
      </w:pPr>
      <w:r>
        <w:rPr>
          <w:rFonts w:hint="eastAsia"/>
        </w:rPr>
        <w:t>g)培训内容，包括培训中使用的电子文档提交给招标方供其内部使用。</w:t>
      </w:r>
    </w:p>
    <w:p>
      <w:pPr>
        <w:adjustRightInd w:val="0"/>
        <w:snapToGrid w:val="0"/>
        <w:spacing w:before="120" w:after="120"/>
        <w:ind w:firstLine="480" w:firstLineChars="200"/>
      </w:pPr>
      <w:r>
        <w:rPr>
          <w:rFonts w:hint="eastAsia"/>
        </w:rPr>
        <w:t>h)培训的课堂讲授与上机实践要适当平衡，确保学员对课程的充分理解消化。</w:t>
      </w:r>
    </w:p>
    <w:p>
      <w:pPr>
        <w:adjustRightInd w:val="0"/>
        <w:snapToGrid w:val="0"/>
        <w:spacing w:before="120" w:after="120"/>
        <w:ind w:firstLine="480" w:firstLineChars="200"/>
      </w:pPr>
      <w:r>
        <w:rPr>
          <w:rFonts w:hint="eastAsia"/>
        </w:rPr>
        <w:t>i)投标方提供充足的培训设备，避免出现学员共用一套培训设备的情况。</w:t>
      </w:r>
    </w:p>
    <w:p>
      <w:pPr>
        <w:adjustRightInd w:val="0"/>
        <w:snapToGrid w:val="0"/>
        <w:spacing w:before="120" w:after="120"/>
        <w:ind w:firstLine="480" w:firstLineChars="200"/>
      </w:pPr>
      <w:r>
        <w:rPr>
          <w:rFonts w:hint="eastAsia"/>
        </w:rPr>
        <w:t>j)对于涉及系统所采用的第三方产品或技术的培训，要求由集成商联系原厂商或由其官方正式授权的培训服务机构提供培训，不能仅由集成商或代理机构提供相关培训，其它要求同上述第a条到第i条。</w:t>
      </w:r>
    </w:p>
    <w:p>
      <w:pPr>
        <w:adjustRightInd w:val="0"/>
        <w:snapToGrid w:val="0"/>
        <w:spacing w:before="120" w:after="120"/>
        <w:ind w:firstLine="480" w:firstLineChars="200"/>
      </w:pPr>
      <w:r>
        <w:rPr>
          <w:rFonts w:hint="eastAsia"/>
        </w:rPr>
        <w:t>k)必须保证培训质量。培训质量由参加培训人员打分评价，如果评价结果为不合格，则培训提供方需重新安排培训教员免费重新培训，直到培训合格为止。</w:t>
      </w:r>
    </w:p>
    <w:p>
      <w:pPr>
        <w:adjustRightInd w:val="0"/>
        <w:snapToGrid w:val="0"/>
        <w:spacing w:before="120" w:after="120"/>
        <w:ind w:firstLine="480" w:firstLineChars="200"/>
      </w:pPr>
      <w:r>
        <w:rPr>
          <w:rFonts w:hint="eastAsia"/>
        </w:rPr>
        <w:t>l)投标方在对招标方进行培训时，负责录制各次培训视频，提供主要运维操作flash动画演示，主要包括系统概述介绍、画面维护、模型维护运行综合展示等内容。</w:t>
      </w:r>
    </w:p>
    <w:p>
      <w:pPr>
        <w:pStyle w:val="4"/>
        <w:widowControl w:val="0"/>
        <w:rPr>
          <w:szCs w:val="24"/>
        </w:rPr>
      </w:pPr>
      <w:r>
        <w:rPr>
          <w:rFonts w:hint="eastAsia"/>
          <w:szCs w:val="24"/>
        </w:rPr>
        <w:t>培训内容</w:t>
      </w:r>
    </w:p>
    <w:p>
      <w:pPr>
        <w:adjustRightInd w:val="0"/>
        <w:snapToGrid w:val="0"/>
        <w:spacing w:before="120" w:after="120"/>
        <w:ind w:firstLine="480" w:firstLineChars="200"/>
      </w:pPr>
      <w:r>
        <w:rPr>
          <w:rFonts w:hint="eastAsia"/>
        </w:rPr>
        <w:t>投标方应负责对招标方进行差异化、针对性的培训，培训主要分为四大类培训：系统概述性培训、系统管理员级培训、维护工程师培训、操作人员培训。</w:t>
      </w:r>
    </w:p>
    <w:p>
      <w:pPr>
        <w:adjustRightInd w:val="0"/>
        <w:snapToGrid w:val="0"/>
        <w:spacing w:before="120" w:after="120"/>
        <w:ind w:firstLine="480" w:firstLineChars="200"/>
      </w:pPr>
      <w:r>
        <w:rPr>
          <w:rFonts w:hint="eastAsia"/>
        </w:rPr>
        <w:t>a)系统概述培训</w:t>
      </w:r>
    </w:p>
    <w:p>
      <w:pPr>
        <w:adjustRightInd w:val="0"/>
        <w:snapToGrid w:val="0"/>
        <w:spacing w:before="120" w:after="120"/>
        <w:ind w:firstLine="480" w:firstLineChars="200"/>
      </w:pPr>
      <w:r>
        <w:rPr>
          <w:rFonts w:hint="eastAsia"/>
        </w:rPr>
        <w:t>1)系统入门级培训，从宏观方面介绍整个系统的架构设计原理及原因；</w:t>
      </w:r>
    </w:p>
    <w:p>
      <w:pPr>
        <w:adjustRightInd w:val="0"/>
        <w:snapToGrid w:val="0"/>
        <w:spacing w:before="120" w:after="120"/>
        <w:ind w:firstLine="480" w:firstLineChars="200"/>
      </w:pPr>
      <w:r>
        <w:rPr>
          <w:rFonts w:hint="eastAsia"/>
        </w:rPr>
        <w:t>2)对系统各功能模块做概要性的介绍；</w:t>
      </w:r>
    </w:p>
    <w:p>
      <w:pPr>
        <w:adjustRightInd w:val="0"/>
        <w:snapToGrid w:val="0"/>
        <w:spacing w:before="120" w:after="120"/>
        <w:ind w:firstLine="480" w:firstLineChars="200"/>
      </w:pPr>
      <w:r>
        <w:rPr>
          <w:rFonts w:hint="eastAsia"/>
        </w:rPr>
        <w:t>3)通过系统概述性的培训对系统各功能模块的实现机理有初步认识。</w:t>
      </w:r>
    </w:p>
    <w:p>
      <w:pPr>
        <w:adjustRightInd w:val="0"/>
        <w:snapToGrid w:val="0"/>
        <w:spacing w:before="120" w:after="120"/>
        <w:ind w:firstLine="480" w:firstLineChars="200"/>
      </w:pPr>
      <w:r>
        <w:rPr>
          <w:rFonts w:hint="eastAsia"/>
        </w:rPr>
        <w:t>b)系统管理员培训：</w:t>
      </w:r>
    </w:p>
    <w:p>
      <w:pPr>
        <w:adjustRightInd w:val="0"/>
        <w:snapToGrid w:val="0"/>
        <w:spacing w:before="120" w:after="120"/>
        <w:ind w:firstLine="480" w:firstLineChars="200"/>
      </w:pPr>
      <w:r>
        <w:rPr>
          <w:rFonts w:hint="eastAsia"/>
        </w:rPr>
        <w:t>1)平台接口及通讯方法；</w:t>
      </w:r>
    </w:p>
    <w:p>
      <w:pPr>
        <w:adjustRightInd w:val="0"/>
        <w:snapToGrid w:val="0"/>
        <w:spacing w:before="120" w:after="120"/>
        <w:ind w:firstLine="480" w:firstLineChars="200"/>
      </w:pPr>
      <w:r>
        <w:rPr>
          <w:rFonts w:hint="eastAsia"/>
        </w:rPr>
        <w:t>2)操作系统安装、使用、维护；</w:t>
      </w:r>
    </w:p>
    <w:p>
      <w:pPr>
        <w:adjustRightInd w:val="0"/>
        <w:snapToGrid w:val="0"/>
        <w:spacing w:before="120" w:after="120"/>
        <w:ind w:firstLine="480" w:firstLineChars="200"/>
      </w:pPr>
      <w:r>
        <w:rPr>
          <w:rFonts w:hint="eastAsia"/>
        </w:rPr>
        <w:t>3)数据库（实时库、商用库、时序库）安装、使用、维护等；</w:t>
      </w:r>
    </w:p>
    <w:p>
      <w:pPr>
        <w:adjustRightInd w:val="0"/>
        <w:snapToGrid w:val="0"/>
        <w:spacing w:before="120" w:after="120"/>
        <w:ind w:firstLine="480" w:firstLineChars="200"/>
      </w:pPr>
      <w:r>
        <w:rPr>
          <w:rFonts w:hint="eastAsia"/>
        </w:rPr>
        <w:t>4)网络通信管理及维护；</w:t>
      </w:r>
    </w:p>
    <w:p>
      <w:pPr>
        <w:adjustRightInd w:val="0"/>
        <w:snapToGrid w:val="0"/>
        <w:spacing w:before="120" w:after="120"/>
        <w:ind w:firstLine="480" w:firstLineChars="200"/>
      </w:pPr>
      <w:r>
        <w:rPr>
          <w:rFonts w:hint="eastAsia"/>
        </w:rPr>
        <w:t>5)系统支撑软件及应用软件的安装、使用、维护，包括系统的生成、配置、调整和诊断等；</w:t>
      </w:r>
    </w:p>
    <w:p>
      <w:pPr>
        <w:adjustRightInd w:val="0"/>
        <w:snapToGrid w:val="0"/>
        <w:spacing w:before="120" w:after="120"/>
        <w:ind w:firstLine="480" w:firstLineChars="200"/>
      </w:pPr>
      <w:r>
        <w:rPr>
          <w:rFonts w:hint="eastAsia"/>
        </w:rPr>
        <w:t>6)演示构建完整系统软件和局部系统的创建方法，包括系统的生成、配置、调整和诊断；</w:t>
      </w:r>
    </w:p>
    <w:p>
      <w:pPr>
        <w:adjustRightInd w:val="0"/>
        <w:snapToGrid w:val="0"/>
        <w:spacing w:before="120" w:after="120"/>
        <w:ind w:firstLine="480" w:firstLineChars="200"/>
      </w:pPr>
      <w:r>
        <w:rPr>
          <w:rFonts w:hint="eastAsia"/>
        </w:rPr>
        <w:t>7)介绍源程序到应用程序的生成、性能设置以及应用函数的参数设置等；</w:t>
      </w:r>
    </w:p>
    <w:p>
      <w:pPr>
        <w:adjustRightInd w:val="0"/>
        <w:snapToGrid w:val="0"/>
        <w:spacing w:before="120" w:after="120"/>
        <w:ind w:firstLine="480" w:firstLineChars="200"/>
      </w:pPr>
      <w:r>
        <w:rPr>
          <w:rFonts w:hint="eastAsia"/>
        </w:rPr>
        <w:t>c)维护工程师培训：</w:t>
      </w:r>
    </w:p>
    <w:p>
      <w:pPr>
        <w:adjustRightInd w:val="0"/>
        <w:snapToGrid w:val="0"/>
        <w:spacing w:before="120" w:after="120"/>
        <w:ind w:firstLine="480" w:firstLineChars="200"/>
      </w:pPr>
      <w:r>
        <w:rPr>
          <w:rFonts w:hint="eastAsia"/>
        </w:rPr>
        <w:t>1)各功能模块介绍；</w:t>
      </w:r>
    </w:p>
    <w:p>
      <w:pPr>
        <w:adjustRightInd w:val="0"/>
        <w:snapToGrid w:val="0"/>
        <w:spacing w:before="120" w:after="120"/>
        <w:ind w:firstLine="480" w:firstLineChars="200"/>
      </w:pPr>
      <w:r>
        <w:rPr>
          <w:rFonts w:hint="eastAsia"/>
        </w:rPr>
        <w:t>2)系统平台的一般使用方式；</w:t>
      </w:r>
    </w:p>
    <w:p>
      <w:pPr>
        <w:adjustRightInd w:val="0"/>
        <w:snapToGrid w:val="0"/>
        <w:spacing w:before="120" w:after="120"/>
        <w:ind w:firstLine="480" w:firstLineChars="200"/>
      </w:pPr>
      <w:r>
        <w:rPr>
          <w:rFonts w:hint="eastAsia"/>
        </w:rPr>
        <w:t>3)实时数据库安装、生成、维护；</w:t>
      </w:r>
    </w:p>
    <w:p>
      <w:pPr>
        <w:adjustRightInd w:val="0"/>
        <w:snapToGrid w:val="0"/>
        <w:spacing w:before="120" w:after="120"/>
        <w:ind w:firstLine="480" w:firstLineChars="200"/>
      </w:pPr>
      <w:r>
        <w:rPr>
          <w:rFonts w:hint="eastAsia"/>
        </w:rPr>
        <w:t>4)图形、报表、安全系统等工具的使用方法；</w:t>
      </w:r>
    </w:p>
    <w:p>
      <w:pPr>
        <w:adjustRightInd w:val="0"/>
        <w:snapToGrid w:val="0"/>
        <w:spacing w:before="120" w:after="120"/>
        <w:ind w:firstLine="480" w:firstLineChars="200"/>
      </w:pPr>
      <w:r>
        <w:rPr>
          <w:rFonts w:hint="eastAsia"/>
        </w:rPr>
        <w:t>5)应用软件与数据流的结构，设计标准和程序节点规范，函数的功能、设计与主要算法，日常维护方法；</w:t>
      </w:r>
    </w:p>
    <w:p>
      <w:pPr>
        <w:adjustRightInd w:val="0"/>
        <w:snapToGrid w:val="0"/>
        <w:spacing w:before="120" w:after="120"/>
        <w:ind w:firstLine="480" w:firstLineChars="200"/>
      </w:pPr>
      <w:r>
        <w:rPr>
          <w:rFonts w:hint="eastAsia"/>
        </w:rPr>
        <w:t>d)操作人员培训</w:t>
      </w:r>
    </w:p>
    <w:p>
      <w:pPr>
        <w:adjustRightInd w:val="0"/>
        <w:snapToGrid w:val="0"/>
        <w:spacing w:before="120" w:after="120"/>
        <w:ind w:firstLine="480" w:firstLineChars="200"/>
      </w:pPr>
      <w:r>
        <w:rPr>
          <w:rFonts w:hint="eastAsia"/>
        </w:rPr>
        <w:t>该课程适合与没有编程经验的学员，主要进行系统数据库、人机界面、报表以及各项功能的使用，使学员熟练掌握各类操作工具并能熟练使用各项功能，培训对象如下：</w:t>
      </w:r>
    </w:p>
    <w:p>
      <w:pPr>
        <w:adjustRightInd w:val="0"/>
        <w:snapToGrid w:val="0"/>
        <w:spacing w:before="120" w:after="120"/>
        <w:ind w:firstLine="480" w:firstLineChars="200"/>
      </w:pPr>
      <w:r>
        <w:rPr>
          <w:rFonts w:hint="eastAsia"/>
        </w:rPr>
        <w:t>1)调度处人员使用培训；</w:t>
      </w:r>
    </w:p>
    <w:p>
      <w:pPr>
        <w:adjustRightInd w:val="0"/>
        <w:snapToGrid w:val="0"/>
        <w:spacing w:before="120" w:after="120"/>
        <w:ind w:firstLine="480" w:firstLineChars="200"/>
      </w:pPr>
      <w:r>
        <w:rPr>
          <w:rFonts w:hint="eastAsia"/>
        </w:rPr>
        <w:t>2)运行方式处人员使用培训；</w:t>
      </w:r>
    </w:p>
    <w:p>
      <w:pPr>
        <w:adjustRightInd w:val="0"/>
        <w:snapToGrid w:val="0"/>
        <w:spacing w:before="120" w:after="120"/>
        <w:ind w:firstLine="480" w:firstLineChars="200"/>
      </w:pPr>
      <w:r>
        <w:t>3</w:t>
      </w:r>
      <w:r>
        <w:rPr>
          <w:rFonts w:hint="eastAsia"/>
        </w:rPr>
        <w:t>)自动化处人员使用培训。</w:t>
      </w:r>
    </w:p>
    <w:p>
      <w:pPr>
        <w:pStyle w:val="3"/>
        <w:widowControl w:val="0"/>
        <w:rPr>
          <w:rFonts w:ascii="Times New Roman" w:hAnsi="Times New Roman"/>
          <w:szCs w:val="24"/>
        </w:rPr>
      </w:pPr>
      <w:bookmarkStart w:id="23" w:name="_Toc376108251"/>
      <w:r>
        <w:rPr>
          <w:rFonts w:ascii="Times New Roman" w:hAnsi="Times New Roman"/>
          <w:szCs w:val="24"/>
        </w:rPr>
        <w:t>二次开发及支持要求</w:t>
      </w:r>
      <w:bookmarkEnd w:id="23"/>
    </w:p>
    <w:p>
      <w:pPr>
        <w:pStyle w:val="4"/>
        <w:widowControl w:val="0"/>
        <w:rPr>
          <w:szCs w:val="24"/>
        </w:rPr>
      </w:pPr>
      <w:bookmarkStart w:id="24" w:name="_Toc354067281"/>
      <w:bookmarkStart w:id="25" w:name="_Toc281359858"/>
      <w:bookmarkStart w:id="26" w:name="_Toc374301878"/>
      <w:bookmarkStart w:id="27" w:name="_Toc351991179"/>
      <w:bookmarkStart w:id="28" w:name="_Toc376108252"/>
      <w:r>
        <w:rPr>
          <w:rFonts w:hint="eastAsia"/>
          <w:szCs w:val="24"/>
        </w:rPr>
        <w:t>二次开发标准化要求</w:t>
      </w:r>
      <w:bookmarkEnd w:id="24"/>
      <w:bookmarkEnd w:id="25"/>
      <w:bookmarkEnd w:id="26"/>
      <w:bookmarkEnd w:id="27"/>
      <w:bookmarkEnd w:id="28"/>
    </w:p>
    <w:p>
      <w:pPr>
        <w:pStyle w:val="13"/>
        <w:spacing w:line="360" w:lineRule="auto"/>
        <w:ind w:firstLine="480"/>
        <w:rPr>
          <w:sz w:val="24"/>
        </w:rPr>
      </w:pPr>
      <w:r>
        <w:rPr>
          <w:sz w:val="24"/>
        </w:rPr>
        <w:t>系统平台提供完备的</w:t>
      </w:r>
      <w:r>
        <w:rPr>
          <w:rFonts w:hint="eastAsia"/>
          <w:sz w:val="24"/>
        </w:rPr>
        <w:t>招标方</w:t>
      </w:r>
      <w:r>
        <w:rPr>
          <w:sz w:val="24"/>
        </w:rPr>
        <w:t>二次开发功能。招标方可以根据系统提供的招标方二次开发接口，在无须对原来系统的运行程序进行更改情况下，方便的实现二次开发功能</w:t>
      </w:r>
      <w:r>
        <w:rPr>
          <w:rFonts w:hint="eastAsia"/>
          <w:sz w:val="24"/>
        </w:rPr>
        <w:t>。</w:t>
      </w:r>
      <w:r>
        <w:rPr>
          <w:sz w:val="24"/>
        </w:rPr>
        <w:t>系统提供的招标方二次开发接口功能及相关资料包括但不限于以下主要内容：</w:t>
      </w:r>
    </w:p>
    <w:p>
      <w:pPr>
        <w:pStyle w:val="13"/>
        <w:numPr>
          <w:ilvl w:val="0"/>
          <w:numId w:val="46"/>
        </w:numPr>
        <w:spacing w:line="360" w:lineRule="auto"/>
        <w:ind w:left="0" w:firstLine="480"/>
        <w:rPr>
          <w:sz w:val="24"/>
        </w:rPr>
      </w:pPr>
      <w:r>
        <w:rPr>
          <w:sz w:val="24"/>
        </w:rPr>
        <w:t>提供数据字典、二次开发接口说明、开发样例等文件，以便招标方或招标方指定的第三方在此基础上进行二次开发</w:t>
      </w:r>
      <w:r>
        <w:rPr>
          <w:rFonts w:hint="eastAsia"/>
          <w:sz w:val="24"/>
        </w:rPr>
        <w:t>。</w:t>
      </w:r>
    </w:p>
    <w:p>
      <w:pPr>
        <w:pStyle w:val="13"/>
        <w:numPr>
          <w:ilvl w:val="0"/>
          <w:numId w:val="46"/>
        </w:numPr>
        <w:spacing w:line="360" w:lineRule="auto"/>
        <w:ind w:left="0" w:firstLine="480"/>
        <w:rPr>
          <w:sz w:val="24"/>
        </w:rPr>
      </w:pPr>
      <w:r>
        <w:rPr>
          <w:sz w:val="24"/>
        </w:rPr>
        <w:t>提供二次开发所必须的引用文件、库文件等</w:t>
      </w:r>
      <w:r>
        <w:rPr>
          <w:rFonts w:hint="eastAsia"/>
          <w:sz w:val="24"/>
        </w:rPr>
        <w:t>。</w:t>
      </w:r>
    </w:p>
    <w:p>
      <w:pPr>
        <w:pStyle w:val="13"/>
        <w:numPr>
          <w:ilvl w:val="0"/>
          <w:numId w:val="46"/>
        </w:numPr>
        <w:spacing w:line="360" w:lineRule="auto"/>
        <w:ind w:left="0" w:firstLine="480"/>
        <w:rPr>
          <w:sz w:val="24"/>
        </w:rPr>
      </w:pPr>
      <w:r>
        <w:rPr>
          <w:sz w:val="24"/>
        </w:rPr>
        <w:t>实时数据接口功能：能够通过二次开发接口方便的实现实时数据的读取和写入</w:t>
      </w:r>
      <w:r>
        <w:rPr>
          <w:rFonts w:hint="eastAsia"/>
          <w:sz w:val="24"/>
        </w:rPr>
        <w:t>。</w:t>
      </w:r>
    </w:p>
    <w:p>
      <w:pPr>
        <w:pStyle w:val="13"/>
        <w:numPr>
          <w:ilvl w:val="0"/>
          <w:numId w:val="46"/>
        </w:numPr>
        <w:spacing w:line="360" w:lineRule="auto"/>
        <w:ind w:left="0" w:firstLine="480"/>
        <w:rPr>
          <w:sz w:val="24"/>
        </w:rPr>
      </w:pPr>
      <w:r>
        <w:rPr>
          <w:sz w:val="24"/>
        </w:rPr>
        <w:t>历史数据接口功能：能够通过二次开发接口方便的实现历史数据的读取和写入</w:t>
      </w:r>
      <w:r>
        <w:rPr>
          <w:rFonts w:hint="eastAsia"/>
          <w:sz w:val="24"/>
        </w:rPr>
        <w:t>。</w:t>
      </w:r>
    </w:p>
    <w:p>
      <w:pPr>
        <w:pStyle w:val="13"/>
        <w:numPr>
          <w:ilvl w:val="0"/>
          <w:numId w:val="46"/>
        </w:numPr>
        <w:spacing w:line="360" w:lineRule="auto"/>
        <w:ind w:left="0" w:firstLine="480"/>
        <w:rPr>
          <w:sz w:val="24"/>
        </w:rPr>
      </w:pPr>
      <w:r>
        <w:rPr>
          <w:sz w:val="24"/>
        </w:rPr>
        <w:t>事项接口管理功能：能够通过二次开发接口方便的实现系统事项的读取和写入</w:t>
      </w:r>
      <w:r>
        <w:rPr>
          <w:rFonts w:hint="eastAsia"/>
          <w:sz w:val="24"/>
        </w:rPr>
        <w:t>。</w:t>
      </w:r>
    </w:p>
    <w:p>
      <w:pPr>
        <w:pStyle w:val="13"/>
        <w:numPr>
          <w:ilvl w:val="0"/>
          <w:numId w:val="46"/>
        </w:numPr>
        <w:spacing w:line="360" w:lineRule="auto"/>
        <w:ind w:left="0" w:firstLine="480"/>
        <w:rPr>
          <w:sz w:val="24"/>
        </w:rPr>
      </w:pPr>
      <w:r>
        <w:rPr>
          <w:sz w:val="24"/>
        </w:rPr>
        <w:t>系统管理功能：能够通过二次开发接口方便的实现对于系统中各个运行模块信息的管理</w:t>
      </w:r>
      <w:r>
        <w:rPr>
          <w:rFonts w:hint="eastAsia"/>
          <w:sz w:val="24"/>
        </w:rPr>
        <w:t>。</w:t>
      </w:r>
    </w:p>
    <w:p>
      <w:pPr>
        <w:pStyle w:val="13"/>
        <w:numPr>
          <w:ilvl w:val="0"/>
          <w:numId w:val="46"/>
        </w:numPr>
        <w:spacing w:line="360" w:lineRule="auto"/>
        <w:ind w:left="0" w:firstLine="480"/>
        <w:rPr>
          <w:sz w:val="24"/>
        </w:rPr>
      </w:pPr>
      <w:r>
        <w:rPr>
          <w:sz w:val="24"/>
        </w:rPr>
        <w:t>计算、逻辑判断接口：能够通过二次开发接口方便的实现系统中各种数据的计算、逻辑判断等招标方二次开发工作</w:t>
      </w:r>
      <w:r>
        <w:rPr>
          <w:rFonts w:hint="eastAsia"/>
          <w:sz w:val="24"/>
        </w:rPr>
        <w:t>。</w:t>
      </w:r>
    </w:p>
    <w:p>
      <w:pPr>
        <w:pStyle w:val="13"/>
        <w:numPr>
          <w:ilvl w:val="0"/>
          <w:numId w:val="46"/>
        </w:numPr>
        <w:spacing w:line="360" w:lineRule="auto"/>
        <w:ind w:left="0" w:firstLine="480"/>
        <w:rPr>
          <w:sz w:val="24"/>
        </w:rPr>
      </w:pPr>
      <w:r>
        <w:rPr>
          <w:sz w:val="24"/>
        </w:rPr>
        <w:t>招标方界面开发接口：系统提供招标方界面的二次开发接口，通过此开发接口可以方便</w:t>
      </w:r>
      <w:r>
        <w:rPr>
          <w:rFonts w:hint="eastAsia"/>
          <w:sz w:val="24"/>
        </w:rPr>
        <w:t>的</w:t>
      </w:r>
      <w:r>
        <w:rPr>
          <w:sz w:val="24"/>
        </w:rPr>
        <w:t>实现招标方界面的二次开发</w:t>
      </w:r>
      <w:r>
        <w:rPr>
          <w:rFonts w:hint="eastAsia"/>
          <w:sz w:val="24"/>
        </w:rPr>
        <w:t>。</w:t>
      </w:r>
    </w:p>
    <w:p>
      <w:pPr>
        <w:pStyle w:val="13"/>
        <w:numPr>
          <w:ilvl w:val="0"/>
          <w:numId w:val="46"/>
        </w:numPr>
        <w:spacing w:line="360" w:lineRule="auto"/>
        <w:ind w:left="0" w:firstLine="480"/>
        <w:rPr>
          <w:sz w:val="24"/>
        </w:rPr>
      </w:pPr>
      <w:r>
        <w:rPr>
          <w:sz w:val="24"/>
        </w:rPr>
        <w:t>服务调用接口：能够通过二次开发接口方便地调用系统提供的所有分析、计算服务，可为相应服务指定输入及输出</w:t>
      </w:r>
      <w:r>
        <w:rPr>
          <w:rFonts w:hint="eastAsia"/>
          <w:sz w:val="24"/>
        </w:rPr>
        <w:t>。</w:t>
      </w:r>
    </w:p>
    <w:p>
      <w:pPr>
        <w:pStyle w:val="13"/>
        <w:numPr>
          <w:ilvl w:val="0"/>
          <w:numId w:val="46"/>
        </w:numPr>
        <w:spacing w:line="360" w:lineRule="auto"/>
        <w:ind w:left="0" w:firstLine="480"/>
        <w:rPr>
          <w:sz w:val="24"/>
        </w:rPr>
      </w:pPr>
      <w:r>
        <w:rPr>
          <w:sz w:val="24"/>
        </w:rPr>
        <w:t>其他必须的二次开发接口：系统必须提供其他必须的二次开发功能，以满足招标方二次开发的接口需要。</w:t>
      </w:r>
    </w:p>
    <w:p>
      <w:pPr>
        <w:pStyle w:val="4"/>
        <w:widowControl w:val="0"/>
      </w:pPr>
      <w:bookmarkStart w:id="29" w:name="_Toc354067282"/>
      <w:bookmarkStart w:id="30" w:name="_Toc376108253"/>
      <w:bookmarkStart w:id="31" w:name="_Toc351991180"/>
      <w:bookmarkStart w:id="32" w:name="_Toc374301879"/>
      <w:r>
        <w:rPr>
          <w:rFonts w:hint="eastAsia"/>
          <w:szCs w:val="24"/>
        </w:rPr>
        <w:t>二次开发的后续支持要求</w:t>
      </w:r>
      <w:bookmarkEnd w:id="29"/>
      <w:bookmarkEnd w:id="30"/>
      <w:bookmarkEnd w:id="31"/>
      <w:bookmarkEnd w:id="32"/>
    </w:p>
    <w:p>
      <w:pPr>
        <w:pStyle w:val="13"/>
        <w:spacing w:line="360" w:lineRule="auto"/>
        <w:ind w:firstLine="480"/>
        <w:rPr>
          <w:sz w:val="24"/>
        </w:rPr>
      </w:pPr>
      <w:r>
        <w:rPr>
          <w:rFonts w:hint="eastAsia"/>
          <w:sz w:val="24"/>
        </w:rPr>
        <w:t>投标方提供的系统是一个开放的系统，招标方或经招标方同意的任何第三方均可在投标方所提供系统的基础上进行新系统集成、新功能开发和第三方的软件集成，投标方应积极的响应和协助配合相关工作，不得以任何理由加以限制或制造障碍。</w:t>
      </w:r>
    </w:p>
    <w:p>
      <w:pPr>
        <w:pStyle w:val="13"/>
        <w:spacing w:line="360" w:lineRule="auto"/>
        <w:ind w:firstLine="480"/>
        <w:rPr>
          <w:sz w:val="24"/>
        </w:rPr>
      </w:pPr>
      <w:r>
        <w:rPr>
          <w:rFonts w:hint="eastAsia"/>
          <w:sz w:val="24"/>
        </w:rPr>
        <w:t>在本项目的实施过程中，需要在支撑平台的基础上，进一步开展部分功能的建设工作，投标方必须提供在系统生命周期内的后续功能建设的技术服务支持。</w:t>
      </w:r>
    </w:p>
    <w:p>
      <w:pPr>
        <w:pStyle w:val="2"/>
      </w:pPr>
      <w:bookmarkStart w:id="33" w:name="_Toc433727341"/>
      <w:r>
        <w:t>文档要求</w:t>
      </w:r>
      <w:bookmarkEnd w:id="33"/>
    </w:p>
    <w:p>
      <w:pPr>
        <w:adjustRightInd w:val="0"/>
        <w:snapToGrid w:val="0"/>
        <w:ind w:firstLine="480" w:firstLineChars="200"/>
      </w:pPr>
      <w:r>
        <w:rPr>
          <w:rFonts w:ascii="Arial" w:hAnsi="Arial" w:cs="Arial"/>
        </w:rPr>
        <w:t>为确保</w:t>
      </w:r>
      <w:r>
        <w:rPr>
          <w:rFonts w:hint="eastAsia" w:ascii="Arial" w:hAnsi="Arial" w:cs="Arial"/>
        </w:rPr>
        <w:t>南</w:t>
      </w:r>
      <w:r>
        <w:rPr>
          <w:rFonts w:hint="eastAsia"/>
        </w:rPr>
        <w:t>方</w:t>
      </w:r>
      <w:r>
        <w:rPr>
          <w:rFonts w:hint="eastAsia" w:ascii="Arial" w:hAnsi="Arial" w:cs="Arial"/>
        </w:rPr>
        <w:t>总调</w:t>
      </w:r>
      <w:r>
        <w:rPr>
          <w:rFonts w:hint="eastAsia" w:ascii="宋体"/>
          <w:color w:val="000000" w:themeColor="text1"/>
          <w14:textFill>
            <w14:solidFill>
              <w14:schemeClr w14:val="tx1"/>
            </w14:solidFill>
          </w14:textFill>
        </w:rPr>
        <w:t>南方区域电力现货市场多级调度协同全链路测试技术系统数据导入及校验</w:t>
      </w:r>
      <w:r>
        <w:rPr>
          <w:rFonts w:hint="eastAsia"/>
        </w:rPr>
        <w:t>等14项功能加装</w:t>
      </w:r>
      <w:r>
        <w:rPr>
          <w:rFonts w:hint="eastAsia" w:ascii="Arial" w:hAnsi="Arial" w:cs="Arial"/>
        </w:rPr>
        <w:t>项目</w:t>
      </w:r>
      <w:r>
        <w:rPr>
          <w:rFonts w:ascii="Arial" w:hAnsi="Arial" w:cs="Arial"/>
        </w:rPr>
        <w:t>的验收、安装、投产、运行和维护，</w:t>
      </w:r>
      <w:r>
        <w:rPr>
          <w:rFonts w:hint="eastAsia" w:ascii="Arial" w:hAnsi="Arial" w:cs="Arial"/>
        </w:rPr>
        <w:t>投标方</w:t>
      </w:r>
      <w:r>
        <w:rPr>
          <w:rFonts w:ascii="Arial" w:hAnsi="Arial" w:cs="Arial"/>
        </w:rPr>
        <w:t>提供系统所有设备</w:t>
      </w:r>
      <w:r>
        <w:t>设计、制造的图纸、文件和</w:t>
      </w:r>
      <w:r>
        <w:rPr>
          <w:rFonts w:hint="eastAsia"/>
        </w:rPr>
        <w:t>提产品说明书、安装手册、调试手册和维护手册（一书三册），满足南方电网应用要求</w:t>
      </w:r>
      <w:r>
        <w:t>，并对其所提供的全部技术资料的准确性负责。卖方提供的文件和资料应能满足买方进行系统维护和进一步开发的需要。</w:t>
      </w:r>
    </w:p>
    <w:p>
      <w:pPr>
        <w:pStyle w:val="3"/>
        <w:widowControl w:val="0"/>
        <w:rPr>
          <w:rFonts w:ascii="Times New Roman" w:hAnsi="Times New Roman"/>
          <w:szCs w:val="24"/>
        </w:rPr>
      </w:pPr>
      <w:r>
        <w:rPr>
          <w:rFonts w:ascii="Times New Roman" w:hAnsi="Times New Roman"/>
          <w:szCs w:val="24"/>
        </w:rPr>
        <w:t>文档提交要求</w:t>
      </w:r>
    </w:p>
    <w:p>
      <w:pPr>
        <w:pStyle w:val="4"/>
        <w:widowControl w:val="0"/>
        <w:rPr>
          <w:szCs w:val="24"/>
        </w:rPr>
      </w:pPr>
      <w:r>
        <w:rPr>
          <w:szCs w:val="24"/>
        </w:rPr>
        <w:t>文档类型</w:t>
      </w:r>
    </w:p>
    <w:p>
      <w:pPr>
        <w:adjustRightInd w:val="0"/>
        <w:snapToGrid w:val="0"/>
        <w:ind w:firstLine="480" w:firstLineChars="200"/>
      </w:pPr>
      <w:r>
        <w:t>合同要求的文档类型包括：</w:t>
      </w:r>
    </w:p>
    <w:p>
      <w:pPr>
        <w:pStyle w:val="56"/>
        <w:widowControl w:val="0"/>
        <w:numPr>
          <w:ilvl w:val="0"/>
          <w:numId w:val="47"/>
        </w:numPr>
        <w:adjustRightInd w:val="0"/>
        <w:snapToGrid w:val="0"/>
        <w:rPr>
          <w:rFonts w:ascii="Arial" w:hAnsi="Arial" w:cs="Arial"/>
        </w:rPr>
      </w:pPr>
      <w:r>
        <w:rPr>
          <w:rFonts w:hint="eastAsia" w:ascii="Arial" w:hAnsi="Arial" w:cs="Arial"/>
        </w:rPr>
        <w:t>系统需求规格说明书、软件功能设计、软件详细设计文件。</w:t>
      </w:r>
    </w:p>
    <w:p>
      <w:pPr>
        <w:pStyle w:val="56"/>
        <w:widowControl w:val="0"/>
        <w:numPr>
          <w:ilvl w:val="0"/>
          <w:numId w:val="47"/>
        </w:numPr>
        <w:adjustRightInd w:val="0"/>
        <w:snapToGrid w:val="0"/>
        <w:rPr>
          <w:rFonts w:ascii="Arial" w:hAnsi="Arial" w:cs="Arial"/>
        </w:rPr>
      </w:pPr>
      <w:r>
        <w:rPr>
          <w:rFonts w:hint="eastAsia" w:ascii="Arial" w:hAnsi="Arial" w:cs="Arial"/>
        </w:rPr>
        <w:t>项目详细设计方案；</w:t>
      </w:r>
    </w:p>
    <w:p>
      <w:pPr>
        <w:pStyle w:val="56"/>
        <w:widowControl w:val="0"/>
        <w:numPr>
          <w:ilvl w:val="0"/>
          <w:numId w:val="47"/>
        </w:numPr>
        <w:adjustRightInd w:val="0"/>
        <w:snapToGrid w:val="0"/>
        <w:rPr>
          <w:rFonts w:ascii="Arial" w:hAnsi="Arial" w:cs="Arial"/>
        </w:rPr>
      </w:pPr>
      <w:r>
        <w:rPr>
          <w:rFonts w:hint="eastAsia" w:ascii="Arial" w:hAnsi="Arial" w:cs="Arial"/>
        </w:rPr>
        <w:t>系统使用操作说明书及手册；</w:t>
      </w:r>
    </w:p>
    <w:p>
      <w:pPr>
        <w:pStyle w:val="56"/>
        <w:widowControl w:val="0"/>
        <w:numPr>
          <w:ilvl w:val="0"/>
          <w:numId w:val="47"/>
        </w:numPr>
        <w:adjustRightInd w:val="0"/>
        <w:snapToGrid w:val="0"/>
        <w:rPr>
          <w:rFonts w:ascii="Arial" w:hAnsi="Arial" w:cs="Arial"/>
        </w:rPr>
      </w:pPr>
      <w:r>
        <w:rPr>
          <w:rFonts w:hint="eastAsia" w:ascii="Arial" w:hAnsi="Arial" w:cs="Arial"/>
        </w:rPr>
        <w:t>项目结题验收工作总结报告；</w:t>
      </w:r>
    </w:p>
    <w:p>
      <w:pPr>
        <w:pStyle w:val="56"/>
        <w:widowControl w:val="0"/>
        <w:numPr>
          <w:ilvl w:val="0"/>
          <w:numId w:val="47"/>
        </w:numPr>
        <w:adjustRightInd w:val="0"/>
        <w:snapToGrid w:val="0"/>
        <w:rPr>
          <w:rFonts w:ascii="Arial" w:hAnsi="Arial" w:cs="Arial"/>
        </w:rPr>
      </w:pPr>
      <w:r>
        <w:rPr>
          <w:rFonts w:hint="eastAsia" w:ascii="Arial" w:hAnsi="Arial" w:cs="Arial"/>
        </w:rPr>
        <w:t>项目结题验收技术总结报告；</w:t>
      </w:r>
    </w:p>
    <w:p>
      <w:pPr>
        <w:pStyle w:val="56"/>
        <w:widowControl w:val="0"/>
        <w:numPr>
          <w:ilvl w:val="0"/>
          <w:numId w:val="47"/>
        </w:numPr>
        <w:adjustRightInd w:val="0"/>
        <w:snapToGrid w:val="0"/>
        <w:rPr>
          <w:rFonts w:ascii="Arial" w:hAnsi="Arial" w:cs="Arial"/>
        </w:rPr>
      </w:pPr>
      <w:r>
        <w:rPr>
          <w:rFonts w:hint="eastAsia" w:ascii="Arial" w:hAnsi="Arial" w:cs="Arial"/>
        </w:rPr>
        <w:t>系统管理员手册；</w:t>
      </w:r>
    </w:p>
    <w:p>
      <w:pPr>
        <w:pStyle w:val="56"/>
        <w:widowControl w:val="0"/>
        <w:numPr>
          <w:ilvl w:val="0"/>
          <w:numId w:val="47"/>
        </w:numPr>
        <w:adjustRightInd w:val="0"/>
        <w:snapToGrid w:val="0"/>
        <w:rPr>
          <w:rFonts w:ascii="Arial" w:hAnsi="Arial" w:cs="Arial"/>
        </w:rPr>
      </w:pPr>
      <w:r>
        <w:rPr>
          <w:rFonts w:hint="eastAsia" w:ascii="Arial" w:hAnsi="Arial" w:cs="Arial"/>
        </w:rPr>
        <w:t>程序员手册以及二次开发支持文件，包括全部所购源代码说明，用于进一步开发或扩展的API接口，公用程序和函数的调用方法，数据字典等；</w:t>
      </w:r>
    </w:p>
    <w:p>
      <w:pPr>
        <w:pStyle w:val="56"/>
        <w:widowControl w:val="0"/>
        <w:numPr>
          <w:ilvl w:val="0"/>
          <w:numId w:val="47"/>
        </w:numPr>
        <w:adjustRightInd w:val="0"/>
        <w:snapToGrid w:val="0"/>
        <w:rPr>
          <w:rFonts w:ascii="Arial" w:hAnsi="Arial" w:cs="Arial"/>
        </w:rPr>
      </w:pPr>
      <w:r>
        <w:rPr>
          <w:rFonts w:hint="eastAsia" w:ascii="Arial" w:hAnsi="Arial" w:cs="Arial"/>
        </w:rPr>
        <w:t>维护和检修手册、维护和检修指南，包括故障诊断指南、故障应急预案；</w:t>
      </w:r>
    </w:p>
    <w:p>
      <w:pPr>
        <w:pStyle w:val="56"/>
        <w:widowControl w:val="0"/>
        <w:numPr>
          <w:ilvl w:val="0"/>
          <w:numId w:val="47"/>
        </w:numPr>
        <w:adjustRightInd w:val="0"/>
        <w:snapToGrid w:val="0"/>
        <w:rPr>
          <w:rFonts w:ascii="Arial" w:hAnsi="Arial" w:cs="Arial"/>
        </w:rPr>
      </w:pPr>
      <w:r>
        <w:rPr>
          <w:rFonts w:hint="eastAsia" w:ascii="Arial" w:hAnsi="Arial" w:cs="Arial"/>
        </w:rPr>
        <w:t>测试和调试说明书（包括方法、数量、调试操作步骤等），验收测试细则和验收测试报告等；</w:t>
      </w:r>
    </w:p>
    <w:p>
      <w:pPr>
        <w:pStyle w:val="56"/>
        <w:widowControl w:val="0"/>
        <w:numPr>
          <w:ilvl w:val="0"/>
          <w:numId w:val="47"/>
        </w:numPr>
        <w:adjustRightInd w:val="0"/>
        <w:snapToGrid w:val="0"/>
        <w:rPr>
          <w:rFonts w:ascii="Arial" w:hAnsi="Arial" w:cs="Arial"/>
        </w:rPr>
      </w:pPr>
      <w:r>
        <w:rPr>
          <w:rFonts w:hint="eastAsia" w:ascii="Arial" w:hAnsi="Arial" w:cs="Arial"/>
        </w:rPr>
        <w:t>操作系统、数据库结构文本手册、数据库维护手册、应用软件等原本软件及说明书；</w:t>
      </w:r>
    </w:p>
    <w:p>
      <w:pPr>
        <w:pStyle w:val="56"/>
        <w:widowControl w:val="0"/>
        <w:numPr>
          <w:ilvl w:val="0"/>
          <w:numId w:val="47"/>
        </w:numPr>
        <w:adjustRightInd w:val="0"/>
        <w:snapToGrid w:val="0"/>
        <w:rPr>
          <w:rFonts w:ascii="Arial" w:hAnsi="Arial" w:cs="Arial"/>
        </w:rPr>
      </w:pPr>
      <w:r>
        <w:rPr>
          <w:rFonts w:hint="eastAsia" w:ascii="Arial" w:hAnsi="Arial" w:cs="Arial"/>
        </w:rPr>
        <w:t>合同谈判、历次联络会、工程实施方案讨论会会议纪要；</w:t>
      </w:r>
    </w:p>
    <w:p>
      <w:pPr>
        <w:pStyle w:val="56"/>
        <w:widowControl w:val="0"/>
        <w:numPr>
          <w:ilvl w:val="0"/>
          <w:numId w:val="47"/>
        </w:numPr>
        <w:adjustRightInd w:val="0"/>
        <w:snapToGrid w:val="0"/>
        <w:rPr>
          <w:rFonts w:ascii="Arial" w:hAnsi="Arial" w:cs="Arial"/>
        </w:rPr>
      </w:pPr>
      <w:r>
        <w:rPr>
          <w:rFonts w:hint="eastAsia" w:ascii="Arial" w:hAnsi="Arial" w:cs="Arial"/>
        </w:rPr>
        <w:t>每次系统或功能维护（包括硬件及软件）的维护报告及技术文档；</w:t>
      </w:r>
    </w:p>
    <w:p>
      <w:pPr>
        <w:pStyle w:val="56"/>
        <w:widowControl w:val="0"/>
        <w:numPr>
          <w:ilvl w:val="0"/>
          <w:numId w:val="47"/>
        </w:numPr>
        <w:adjustRightInd w:val="0"/>
        <w:snapToGrid w:val="0"/>
        <w:rPr>
          <w:rFonts w:ascii="Arial" w:hAnsi="Arial" w:cs="Arial"/>
        </w:rPr>
      </w:pPr>
      <w:r>
        <w:rPr>
          <w:rFonts w:hint="eastAsia" w:ascii="Arial" w:hAnsi="Arial" w:cs="Arial"/>
        </w:rPr>
        <w:t>投标方采购供货的第三方设备的软件的技术手册及相关资料。</w:t>
      </w:r>
    </w:p>
    <w:p>
      <w:pPr>
        <w:pStyle w:val="4"/>
        <w:widowControl w:val="0"/>
      </w:pPr>
      <w:r>
        <w:rPr>
          <w:szCs w:val="24"/>
        </w:rPr>
        <w:t>文档计划和目录</w:t>
      </w:r>
    </w:p>
    <w:p>
      <w:pPr>
        <w:adjustRightInd w:val="0"/>
        <w:snapToGrid w:val="0"/>
        <w:ind w:firstLine="480" w:firstLineChars="200"/>
      </w:pPr>
      <w:r>
        <w:t>在整个项目实施过程中应根据项目计划随时更新文档计划。为便于用户审阅，文档提交的顺序和时间应充分考虑并满足用户对相关信息的使用需求。为了便于用户在承诺的时间内进行审阅，文档应分批提交。</w:t>
      </w:r>
    </w:p>
    <w:p>
      <w:pPr>
        <w:adjustRightInd w:val="0"/>
        <w:snapToGrid w:val="0"/>
        <w:ind w:firstLine="480" w:firstLineChars="200"/>
      </w:pPr>
      <w:r>
        <w:t>文档计划应包含所有将要提交的文档目录，并按子系统或其它逻辑顺序分类。部分文档如软件功能设计或设计详细资料可能包含大量的文件，每个文件应在目录中写明。因此目录应包含每个文件的：</w:t>
      </w:r>
    </w:p>
    <w:p>
      <w:pPr>
        <w:adjustRightInd w:val="0"/>
        <w:snapToGrid w:val="0"/>
        <w:ind w:firstLine="480" w:firstLineChars="200"/>
      </w:pPr>
      <w:r>
        <w:t>（1）文件名；</w:t>
      </w:r>
    </w:p>
    <w:p>
      <w:pPr>
        <w:adjustRightInd w:val="0"/>
        <w:snapToGrid w:val="0"/>
        <w:ind w:firstLine="480" w:firstLineChars="200"/>
      </w:pPr>
      <w:r>
        <w:t>（2）文件编号；</w:t>
      </w:r>
    </w:p>
    <w:p>
      <w:pPr>
        <w:adjustRightInd w:val="0"/>
        <w:snapToGrid w:val="0"/>
        <w:ind w:firstLine="480" w:firstLineChars="200"/>
      </w:pPr>
      <w:r>
        <w:t>（3）文件所属的子系统；</w:t>
      </w:r>
    </w:p>
    <w:p>
      <w:pPr>
        <w:adjustRightInd w:val="0"/>
        <w:snapToGrid w:val="0"/>
        <w:ind w:firstLine="480" w:firstLineChars="200"/>
      </w:pPr>
      <w:r>
        <w:t>（4）文件分类（例如，功能设计、详细设计、测试过程等）；</w:t>
      </w:r>
    </w:p>
    <w:p>
      <w:pPr>
        <w:adjustRightInd w:val="0"/>
        <w:snapToGrid w:val="0"/>
        <w:ind w:firstLine="480" w:firstLineChars="200"/>
      </w:pPr>
      <w:r>
        <w:t>（5）计划提交日期和原版本的实际提交日期；</w:t>
      </w:r>
    </w:p>
    <w:p>
      <w:pPr>
        <w:adjustRightInd w:val="0"/>
        <w:snapToGrid w:val="0"/>
        <w:ind w:firstLine="480" w:firstLineChars="200"/>
      </w:pPr>
      <w:r>
        <w:t>（6）当前修改版本和文件状态（待定、南</w:t>
      </w:r>
      <w:r>
        <w:rPr>
          <w:rFonts w:hint="eastAsia"/>
        </w:rPr>
        <w:t>方</w:t>
      </w:r>
      <w:r>
        <w:t>总调已审、已批准等），下一步骤的备注（提交日期待定的修改版本，查看到期日，批准日期等）。</w:t>
      </w:r>
    </w:p>
    <w:p>
      <w:pPr>
        <w:adjustRightInd w:val="0"/>
        <w:snapToGrid w:val="0"/>
        <w:ind w:firstLine="480" w:firstLineChars="200"/>
      </w:pPr>
      <w:r>
        <w:t>文档计划是贯穿整个项目进程的清单，投标方应按每个项目的进度报告对相应的文档进行修改并提交。在工程最终移交用户之前，投标方应修改文档计划，删除无关信息。</w:t>
      </w:r>
    </w:p>
    <w:p>
      <w:pPr>
        <w:pStyle w:val="3"/>
        <w:widowControl w:val="0"/>
        <w:rPr>
          <w:b w:val="0"/>
        </w:rPr>
      </w:pPr>
      <w:r>
        <w:rPr>
          <w:b w:val="0"/>
        </w:rPr>
        <w:t>文档编制</w:t>
      </w:r>
    </w:p>
    <w:p>
      <w:pPr>
        <w:pStyle w:val="4"/>
        <w:widowControl w:val="0"/>
        <w:rPr>
          <w:szCs w:val="24"/>
        </w:rPr>
      </w:pPr>
      <w:r>
        <w:rPr>
          <w:szCs w:val="24"/>
        </w:rPr>
        <w:t>语言</w:t>
      </w:r>
    </w:p>
    <w:p>
      <w:pPr>
        <w:adjustRightInd w:val="0"/>
        <w:snapToGrid w:val="0"/>
        <w:ind w:firstLine="480" w:firstLineChars="200"/>
      </w:pPr>
      <w:r>
        <w:t>除用户同意外，投标方提交的所有文档应用中文编制。至少以下文档必须采用中文：</w:t>
      </w:r>
    </w:p>
    <w:p>
      <w:pPr>
        <w:adjustRightInd w:val="0"/>
        <w:snapToGrid w:val="0"/>
        <w:ind w:firstLine="480" w:firstLineChars="200"/>
      </w:pPr>
      <w:r>
        <w:t>（1）文件名；</w:t>
      </w:r>
    </w:p>
    <w:p>
      <w:pPr>
        <w:adjustRightInd w:val="0"/>
        <w:snapToGrid w:val="0"/>
        <w:ind w:firstLine="480" w:firstLineChars="200"/>
      </w:pPr>
      <w:r>
        <w:t>（2）系统和子系统简介文档；</w:t>
      </w:r>
    </w:p>
    <w:p>
      <w:pPr>
        <w:adjustRightInd w:val="0"/>
        <w:snapToGrid w:val="0"/>
        <w:ind w:firstLine="480" w:firstLineChars="200"/>
      </w:pPr>
      <w:r>
        <w:t>（3）功能设计文件</w:t>
      </w:r>
      <w:r>
        <w:rPr>
          <w:rFonts w:hint="eastAsia"/>
        </w:rPr>
        <w:t>。</w:t>
      </w:r>
    </w:p>
    <w:p>
      <w:pPr>
        <w:pStyle w:val="4"/>
        <w:widowControl w:val="0"/>
      </w:pPr>
      <w:r>
        <w:rPr>
          <w:szCs w:val="24"/>
        </w:rPr>
        <w:t>纸质文本和电子文本</w:t>
      </w:r>
    </w:p>
    <w:p>
      <w:pPr>
        <w:adjustRightInd w:val="0"/>
        <w:snapToGrid w:val="0"/>
        <w:ind w:firstLine="480" w:firstLineChars="200"/>
      </w:pPr>
      <w:r>
        <w:t>投标方所有文档，包括提交的中文版本，必须采用office 2000或以上版本的Word（或Excel，视情况而定）编制。提交给用户的文档审阅版和最终版本必须以纸质和电子两种文本提交。电子格式应包括图片、数学公式、备注和修订，不接受手写文本。所有文档原则上按A4格式编制和打印（复杂的设计图、施工图如果采用A4幅面明显不合适，可以采用A3），除非有充分的理由，不得包含过大的文件或折叠插页。业务流程图等要求用标准的UML图元表示，全部用VISIO绘画。</w:t>
      </w:r>
    </w:p>
    <w:p>
      <w:pPr>
        <w:pStyle w:val="4"/>
        <w:widowControl w:val="0"/>
        <w:rPr>
          <w:szCs w:val="24"/>
        </w:rPr>
      </w:pPr>
      <w:r>
        <w:rPr>
          <w:szCs w:val="24"/>
        </w:rPr>
        <w:t>文档交付</w:t>
      </w:r>
    </w:p>
    <w:p>
      <w:pPr>
        <w:adjustRightInd w:val="0"/>
        <w:snapToGrid w:val="0"/>
        <w:ind w:firstLine="480" w:firstLineChars="200"/>
      </w:pPr>
      <w:r>
        <w:t>除用户另有规定外，投标方必须向用户提供电子文本，投标方可以通过Email发送给买家指定的人员，或通过光盘或其他媒体交付，但必须得到买家的确认。投标方提交给用户的所有文档必须附有一封转送函。每份文件上必须注明文档编号、图纸编号、修改或发送编号、发布或修改日期等。</w:t>
      </w:r>
    </w:p>
    <w:p>
      <w:pPr>
        <w:pStyle w:val="4"/>
        <w:widowControl w:val="0"/>
        <w:rPr>
          <w:szCs w:val="24"/>
        </w:rPr>
      </w:pPr>
      <w:r>
        <w:rPr>
          <w:szCs w:val="24"/>
        </w:rPr>
        <w:t>文档装订</w:t>
      </w:r>
    </w:p>
    <w:p>
      <w:pPr>
        <w:adjustRightInd w:val="0"/>
        <w:snapToGrid w:val="0"/>
        <w:ind w:firstLine="480" w:firstLineChars="200"/>
      </w:pPr>
      <w:r>
        <w:t>投标方提供的手册和其它书面文档必须用活页装订，在活页的书脊上标明卷数和卷名。每份文件应有完整的目录表，该目录应包括章节编号、对应章节的起始页码。产品清单应列在目录表后面。内容相关的多册文件应在每一卷前提供完整的目录。每套文件都应提供一个缩写字母。</w:t>
      </w:r>
    </w:p>
    <w:p>
      <w:pPr>
        <w:pStyle w:val="4"/>
        <w:widowControl w:val="0"/>
        <w:rPr>
          <w:szCs w:val="24"/>
        </w:rPr>
      </w:pPr>
      <w:r>
        <w:rPr>
          <w:szCs w:val="24"/>
        </w:rPr>
        <w:t>文档审阅和批准</w:t>
      </w:r>
    </w:p>
    <w:p>
      <w:pPr>
        <w:adjustRightInd w:val="0"/>
        <w:snapToGrid w:val="0"/>
        <w:ind w:firstLine="480" w:firstLineChars="200"/>
      </w:pPr>
      <w:r>
        <w:t>投标方必须及时移交所有文档，文档必须按照批准后的文档计划中的日程表提交。用户将于30个工作日内完成文件的审阅，但如果文档全部或部分需要翻译为中文，则可能延长审阅的时间。对于未按时提交的文档用户将无法及时完成文档的审阅。</w:t>
      </w:r>
    </w:p>
    <w:p>
      <w:pPr>
        <w:pStyle w:val="4"/>
        <w:widowControl w:val="0"/>
        <w:rPr>
          <w:szCs w:val="24"/>
        </w:rPr>
      </w:pPr>
      <w:r>
        <w:rPr>
          <w:szCs w:val="24"/>
        </w:rPr>
        <w:t>审批要求</w:t>
      </w:r>
    </w:p>
    <w:p>
      <w:pPr>
        <w:adjustRightInd w:val="0"/>
        <w:snapToGrid w:val="0"/>
        <w:ind w:firstLine="480" w:firstLineChars="200"/>
      </w:pPr>
      <w:r>
        <w:t>以下定义两种供审阅和批准的文件：</w:t>
      </w:r>
    </w:p>
    <w:p>
      <w:pPr>
        <w:adjustRightInd w:val="0"/>
        <w:snapToGrid w:val="0"/>
        <w:ind w:firstLine="480" w:firstLineChars="200"/>
      </w:pPr>
      <w:r>
        <w:t>（1）标准文件：第三方供货商文件，投标方于中标前编制和使用的无需修改即能适用于</w:t>
      </w:r>
      <w:r>
        <w:rPr>
          <w:rFonts w:hint="eastAsia"/>
        </w:rPr>
        <w:t>项目采购</w:t>
      </w:r>
      <w:r>
        <w:t>的文件。所有投标方制作的标准文件必须完全适用于</w:t>
      </w:r>
      <w:r>
        <w:rPr>
          <w:rFonts w:hint="eastAsia"/>
        </w:rPr>
        <w:t>项目采购</w:t>
      </w:r>
      <w:r>
        <w:t>。如果先前制作的文档不完全适用，或不准确、不完善、或需要修改部分内容等，则应进行相应的完善和修订，该文档将被视为自定义文件。</w:t>
      </w:r>
    </w:p>
    <w:p>
      <w:pPr>
        <w:adjustRightInd w:val="0"/>
        <w:snapToGrid w:val="0"/>
        <w:ind w:firstLine="480" w:firstLineChars="200"/>
      </w:pPr>
      <w:r>
        <w:t>（2）自定义文件：所有其它文件，特别是专为南</w:t>
      </w:r>
      <w:r>
        <w:rPr>
          <w:rFonts w:hint="eastAsia"/>
        </w:rPr>
        <w:t>方</w:t>
      </w:r>
      <w:r>
        <w:t>总调准备、定制或修改的功能文件和硬件方面的文件。用户享有审阅和批准所有标准文件的权力，并重点关注文件的完整性、准确性、清晰性和适用性。自定义文件，包括专为南</w:t>
      </w:r>
      <w:r>
        <w:rPr>
          <w:rFonts w:hint="eastAsia"/>
        </w:rPr>
        <w:t>方</w:t>
      </w:r>
      <w:r>
        <w:t>总调修改的标准文件，用户享有完全的审批权，包括审阅和批准文件内容的权利。用户保留驳回任何不完整、不准确、不清晰、与主题不相关、不符合标准的文件（标准文件或自定义文件）的权力。任何因为以上理由被驳回的文件应进行修订并在30个工作日内重新提交用户审阅和批准。</w:t>
      </w:r>
    </w:p>
    <w:p>
      <w:pPr>
        <w:adjustRightInd w:val="0"/>
        <w:snapToGrid w:val="0"/>
      </w:pPr>
      <w:r>
        <w:rPr>
          <w:rFonts w:hint="eastAsia"/>
        </w:rPr>
        <w:t>7</w:t>
      </w:r>
      <w:r>
        <w:t>.2.7 投标方的责任</w:t>
      </w:r>
    </w:p>
    <w:p>
      <w:pPr>
        <w:adjustRightInd w:val="0"/>
        <w:snapToGrid w:val="0"/>
        <w:ind w:firstLine="480" w:firstLineChars="200"/>
      </w:pPr>
      <w:r>
        <w:t>投标方提交的文档或图纸在经用户批准后仍不得免除投标方保证文档正确性以及遵守合同各项规定的责任。投标方不得以为遵守合同条款需要修订文档而造成耽搁为由收取额外费用和要求延期。如果投标方被告知文件中存在错误、遗漏或前后不一致，无论在批准前或批准后，投标方都必须立即修订该不足，并在发出通知之日起30日内重新提交给用户。</w:t>
      </w:r>
    </w:p>
    <w:p>
      <w:pPr>
        <w:pStyle w:val="3"/>
        <w:widowControl w:val="0"/>
        <w:rPr>
          <w:rFonts w:ascii="Times New Roman" w:hAnsi="Times New Roman"/>
          <w:szCs w:val="24"/>
        </w:rPr>
      </w:pPr>
      <w:r>
        <w:rPr>
          <w:rFonts w:ascii="Times New Roman" w:hAnsi="Times New Roman"/>
          <w:szCs w:val="24"/>
        </w:rPr>
        <w:t>文档内容</w:t>
      </w:r>
    </w:p>
    <w:p>
      <w:pPr>
        <w:adjustRightInd w:val="0"/>
        <w:snapToGrid w:val="0"/>
        <w:ind w:firstLine="480" w:firstLineChars="200"/>
      </w:pPr>
      <w:r>
        <w:rPr>
          <w:rFonts w:hint="eastAsia"/>
        </w:rPr>
        <w:t>部分</w:t>
      </w:r>
      <w:r>
        <w:t>文档的内容简要说明如下：</w:t>
      </w:r>
    </w:p>
    <w:p>
      <w:pPr>
        <w:adjustRightInd w:val="0"/>
        <w:snapToGrid w:val="0"/>
        <w:ind w:firstLine="480" w:firstLineChars="200"/>
      </w:pPr>
      <w:r>
        <w:rPr>
          <w:rFonts w:hint="eastAsia"/>
        </w:rPr>
        <w:t>（1）</w:t>
      </w:r>
      <w:r>
        <w:rPr>
          <w:rFonts w:hint="eastAsia" w:ascii="Arial" w:hAnsi="Arial" w:cs="Arial"/>
        </w:rPr>
        <w:t>项目详细设计方案；</w:t>
      </w:r>
    </w:p>
    <w:p>
      <w:pPr>
        <w:adjustRightInd w:val="0"/>
        <w:snapToGrid w:val="0"/>
        <w:ind w:firstLine="480" w:firstLineChars="200"/>
        <w:rPr>
          <w:rFonts w:ascii="Arial" w:hAnsi="Arial" w:cs="Arial"/>
        </w:rPr>
      </w:pPr>
      <w:r>
        <w:rPr>
          <w:rFonts w:hint="eastAsia"/>
        </w:rPr>
        <w:t>应具备详细的系统设计方案。</w:t>
      </w:r>
    </w:p>
    <w:p>
      <w:pPr>
        <w:adjustRightInd w:val="0"/>
        <w:snapToGrid w:val="0"/>
        <w:ind w:firstLine="480" w:firstLineChars="200"/>
      </w:pPr>
      <w:r>
        <w:rPr>
          <w:rFonts w:hint="eastAsia" w:ascii="Arial" w:hAnsi="Arial" w:cs="Arial"/>
        </w:rPr>
        <w:t>（</w:t>
      </w:r>
      <w:r>
        <w:rPr>
          <w:rFonts w:hint="eastAsia"/>
        </w:rPr>
        <w:t>2</w:t>
      </w:r>
      <w:r>
        <w:rPr>
          <w:rFonts w:hint="eastAsia" w:ascii="Arial" w:hAnsi="Arial" w:cs="Arial"/>
        </w:rPr>
        <w:t>）软件模块说明</w:t>
      </w:r>
      <w:r>
        <w:rPr>
          <w:rFonts w:ascii="Arial" w:hAnsi="Arial" w:cs="Arial"/>
        </w:rPr>
        <w:t>手册</w:t>
      </w:r>
      <w:r>
        <w:rPr>
          <w:rFonts w:hint="eastAsia" w:ascii="Arial" w:hAnsi="Arial" w:cs="Arial"/>
        </w:rPr>
        <w:t>；</w:t>
      </w:r>
    </w:p>
    <w:p>
      <w:pPr>
        <w:adjustRightInd w:val="0"/>
        <w:snapToGrid w:val="0"/>
        <w:ind w:firstLine="480" w:firstLineChars="200"/>
        <w:rPr>
          <w:rFonts w:ascii="Arial" w:hAnsi="Arial" w:cs="Arial"/>
        </w:rPr>
      </w:pPr>
      <w:r>
        <w:rPr>
          <w:rFonts w:hint="eastAsia"/>
        </w:rPr>
        <w:t>应具备详细的软件功能说明、软件安装及配置操作细则。</w:t>
      </w:r>
    </w:p>
    <w:p>
      <w:pPr>
        <w:adjustRightInd w:val="0"/>
        <w:snapToGrid w:val="0"/>
        <w:ind w:firstLine="480" w:firstLineChars="200"/>
      </w:pPr>
      <w:r>
        <w:rPr>
          <w:rFonts w:hint="eastAsia"/>
        </w:rPr>
        <w:t>（3）项目验收工作总结报告；</w:t>
      </w:r>
    </w:p>
    <w:p>
      <w:pPr>
        <w:adjustRightInd w:val="0"/>
        <w:snapToGrid w:val="0"/>
        <w:ind w:firstLine="480" w:firstLineChars="200"/>
      </w:pPr>
      <w:r>
        <w:rPr>
          <w:rFonts w:hint="eastAsia"/>
        </w:rPr>
        <w:t>（4）项目验收技术总结报告。</w:t>
      </w:r>
    </w:p>
    <w:p>
      <w:pPr>
        <w:pStyle w:val="2"/>
      </w:pPr>
      <w:bookmarkStart w:id="34" w:name="_Toc433727342"/>
      <w:r>
        <w:t>现场服务</w:t>
      </w:r>
      <w:bookmarkEnd w:id="34"/>
    </w:p>
    <w:p>
      <w:pPr>
        <w:adjustRightInd w:val="0"/>
        <w:snapToGrid w:val="0"/>
        <w:ind w:firstLine="480" w:firstLineChars="200"/>
      </w:pPr>
      <w:r>
        <w:t>投标方技术人员代表投标方，完成合同规定有关设备的技术服务，安装、调试和验收试验。</w:t>
      </w:r>
    </w:p>
    <w:p>
      <w:pPr>
        <w:adjustRightInd w:val="0"/>
        <w:snapToGrid w:val="0"/>
        <w:ind w:firstLine="480" w:firstLineChars="200"/>
      </w:pPr>
      <w:r>
        <w:t>投标方应对买方人员详细地解释技术文件、图纸、运行和维护手册、设备特性、分析方法和有关的注意事项等，解答和解决买方在合同范围内提出的技术问题。</w:t>
      </w:r>
    </w:p>
    <w:p>
      <w:pPr>
        <w:adjustRightInd w:val="0"/>
        <w:snapToGrid w:val="0"/>
        <w:ind w:firstLine="480" w:firstLineChars="200"/>
      </w:pPr>
      <w:r>
        <w:t>投标方安装程序模型为应该正确的，如因错误安装而引起设备和材料的损坏，投标方应负责修复、更换和（或）补充，其费用由投标方承担，该费用还包括进行修补期间所发生的服务费。</w:t>
      </w:r>
    </w:p>
    <w:p>
      <w:pPr>
        <w:adjustRightInd w:val="0"/>
        <w:snapToGrid w:val="0"/>
        <w:ind w:firstLine="480" w:firstLineChars="200"/>
      </w:pPr>
      <w:r>
        <w:t>投标方代表应充分理解买方对安装、调试工作提出的技术和质量方面的意见和建议，使设备的安装、调试达到双方都满意的质量。如因投标方原因造成安装或试验工作拖期，买方有权要求投标方人员继续留在现场服务，且费用由投标方自理。</w:t>
      </w:r>
    </w:p>
    <w:p>
      <w:pPr>
        <w:pStyle w:val="2"/>
      </w:pPr>
      <w:bookmarkStart w:id="35" w:name="_Toc433727343"/>
      <w:r>
        <w:rPr>
          <w:rFonts w:hint="eastAsia"/>
        </w:rPr>
        <w:t>测试与</w:t>
      </w:r>
      <w:r>
        <w:t>验收</w:t>
      </w:r>
      <w:bookmarkEnd w:id="35"/>
    </w:p>
    <w:p>
      <w:pPr>
        <w:pStyle w:val="3"/>
        <w:widowControl w:val="0"/>
        <w:rPr>
          <w:rFonts w:ascii="Times New Roman" w:hAnsi="Times New Roman"/>
          <w:szCs w:val="24"/>
        </w:rPr>
      </w:pPr>
      <w:r>
        <w:rPr>
          <w:rFonts w:hint="eastAsia" w:ascii="Times New Roman" w:hAnsi="Times New Roman"/>
          <w:szCs w:val="24"/>
        </w:rPr>
        <w:t>总体要求</w:t>
      </w:r>
    </w:p>
    <w:p>
      <w:pPr>
        <w:adjustRightInd w:val="0"/>
        <w:snapToGrid w:val="0"/>
        <w:ind w:firstLine="480" w:firstLineChars="200"/>
      </w:pPr>
      <w:r>
        <w:rPr>
          <w:rFonts w:hint="eastAsia"/>
        </w:rPr>
        <w:t>a)投标方按照技术规范要求编制详细的测试验收大纲，并经招标方、测试单位、监理方审查确认后作为正式的测试验收依据，共同遵守。</w:t>
      </w:r>
    </w:p>
    <w:p>
      <w:pPr>
        <w:adjustRightInd w:val="0"/>
        <w:snapToGrid w:val="0"/>
        <w:ind w:firstLine="480" w:firstLineChars="200"/>
      </w:pPr>
      <w:r>
        <w:rPr>
          <w:rFonts w:hint="eastAsia"/>
        </w:rPr>
        <w:t>b)投标方和第三方负责工厂测试验收。所提供的系统必须经过工厂测试验收，并且其结果都已经过招标方的签字认可后才可从投标方出厂发运。</w:t>
      </w:r>
    </w:p>
    <w:p>
      <w:pPr>
        <w:adjustRightInd w:val="0"/>
        <w:snapToGrid w:val="0"/>
        <w:ind w:firstLine="480" w:firstLineChars="200"/>
      </w:pPr>
      <w:r>
        <w:rPr>
          <w:rFonts w:hint="eastAsia"/>
        </w:rPr>
        <w:t>c)投标方配合招标方进行现场测试验收，并完成测试大纲、测试报告的编制工作。</w:t>
      </w:r>
    </w:p>
    <w:p>
      <w:pPr>
        <w:adjustRightInd w:val="0"/>
        <w:snapToGrid w:val="0"/>
        <w:ind w:firstLine="480" w:firstLineChars="200"/>
      </w:pPr>
      <w:r>
        <w:rPr>
          <w:rFonts w:hint="eastAsia"/>
        </w:rPr>
        <w:t>d)如采购的是第三方软件，需出具第三方厂商提供的确认函。</w:t>
      </w:r>
    </w:p>
    <w:p>
      <w:pPr>
        <w:adjustRightInd w:val="0"/>
        <w:snapToGrid w:val="0"/>
        <w:ind w:firstLine="480" w:firstLineChars="200"/>
      </w:pPr>
      <w:r>
        <w:rPr>
          <w:rFonts w:hint="eastAsia"/>
        </w:rPr>
        <w:t>e)系统测试与验收划分为三个阶段即系统出厂验收、系统试运行、现场验收。</w:t>
      </w:r>
    </w:p>
    <w:p>
      <w:pPr>
        <w:pStyle w:val="3"/>
        <w:widowControl w:val="0"/>
        <w:rPr>
          <w:rFonts w:ascii="Times New Roman" w:hAnsi="Times New Roman"/>
          <w:szCs w:val="24"/>
        </w:rPr>
      </w:pPr>
      <w:r>
        <w:rPr>
          <w:rFonts w:hint="eastAsia" w:ascii="Times New Roman" w:hAnsi="Times New Roman"/>
          <w:szCs w:val="24"/>
        </w:rPr>
        <w:t>测试环境</w:t>
      </w:r>
    </w:p>
    <w:p>
      <w:pPr>
        <w:pStyle w:val="4"/>
        <w:widowControl w:val="0"/>
        <w:rPr>
          <w:szCs w:val="24"/>
        </w:rPr>
      </w:pPr>
      <w:r>
        <w:rPr>
          <w:rFonts w:hint="eastAsia"/>
          <w:szCs w:val="24"/>
        </w:rPr>
        <w:t>测试环境的搭建</w:t>
      </w:r>
    </w:p>
    <w:p>
      <w:pPr>
        <w:adjustRightInd w:val="0"/>
        <w:snapToGrid w:val="0"/>
        <w:ind w:firstLine="480" w:firstLineChars="200"/>
      </w:pPr>
      <w:r>
        <w:rPr>
          <w:rFonts w:hint="eastAsia"/>
        </w:rPr>
        <w:t>系统测试由投标方负责搭建满足测试需要的测试环境，测试环境的搭建至少包含以下几个部分：</w:t>
      </w:r>
    </w:p>
    <w:p>
      <w:pPr>
        <w:adjustRightInd w:val="0"/>
        <w:snapToGrid w:val="0"/>
        <w:ind w:firstLine="480" w:firstLineChars="200"/>
      </w:pPr>
      <w:r>
        <w:rPr>
          <w:rFonts w:hint="eastAsia"/>
        </w:rPr>
        <w:t>a)正常条件下的运行环境：按照设计容量要求搭建系统运行环境，电网规模及数据容量按照系统投运时的实际容量进行配置，按照电网正常运行情况，模拟各厂站数据的采集、处理及各种正常的系统操作。</w:t>
      </w:r>
    </w:p>
    <w:p>
      <w:pPr>
        <w:adjustRightInd w:val="0"/>
        <w:snapToGrid w:val="0"/>
        <w:ind w:firstLine="480" w:firstLineChars="200"/>
      </w:pPr>
      <w:r>
        <w:rPr>
          <w:rFonts w:hint="eastAsia"/>
        </w:rPr>
        <w:t xml:space="preserve">b)异常雪崩运行环境：在正常运行环境下，模拟出现大量集中访问情况下，大量系统资源被占用时出现的运行环境。 </w:t>
      </w:r>
    </w:p>
    <w:p>
      <w:pPr>
        <w:adjustRightInd w:val="0"/>
        <w:snapToGrid w:val="0"/>
        <w:ind w:firstLine="480" w:firstLineChars="200"/>
      </w:pPr>
      <w:r>
        <w:rPr>
          <w:rFonts w:hint="eastAsia"/>
        </w:rPr>
        <w:t>c)大容量运行环境：按照设计最终容量的电网规模和数据库容量，搭建系统大容量运行环境，按照系统正常运行和异常雪崩运行条件进行测试。</w:t>
      </w:r>
    </w:p>
    <w:p>
      <w:pPr>
        <w:pStyle w:val="4"/>
        <w:widowControl w:val="0"/>
        <w:rPr>
          <w:szCs w:val="24"/>
        </w:rPr>
      </w:pPr>
      <w:r>
        <w:rPr>
          <w:rFonts w:hint="eastAsia"/>
          <w:szCs w:val="24"/>
        </w:rPr>
        <w:t>测试工具的条件</w:t>
      </w:r>
    </w:p>
    <w:p>
      <w:pPr>
        <w:adjustRightInd w:val="0"/>
        <w:snapToGrid w:val="0"/>
        <w:ind w:firstLine="480" w:firstLineChars="200"/>
      </w:pPr>
      <w:r>
        <w:rPr>
          <w:rFonts w:hint="eastAsia"/>
        </w:rPr>
        <w:t>为了保证测试的公正性，系统将采用第三方和投标方提供的专业测试软件对相应的内容进行测试。</w:t>
      </w:r>
    </w:p>
    <w:p>
      <w:pPr>
        <w:adjustRightInd w:val="0"/>
        <w:snapToGrid w:val="0"/>
        <w:ind w:firstLine="480" w:firstLineChars="200"/>
      </w:pPr>
      <w:r>
        <w:rPr>
          <w:rFonts w:hint="eastAsia"/>
        </w:rPr>
        <w:t>投标方具备的测试工具至少包括系统基础硬件平台资源测试工具：采用专业的软件或硬件测试工具，对系统平台中的各类硬件设备</w:t>
      </w:r>
      <w:r>
        <w:rPr>
          <w:rFonts w:hint="eastAsia" w:ascii="宋体" w:hAnsi="宋体"/>
        </w:rPr>
        <w:t>测试在各类测试条件环境下的系统指标。</w:t>
      </w:r>
    </w:p>
    <w:p>
      <w:pPr>
        <w:pStyle w:val="3"/>
        <w:widowControl w:val="0"/>
        <w:rPr>
          <w:rFonts w:ascii="Times New Roman" w:hAnsi="Times New Roman"/>
          <w:szCs w:val="24"/>
        </w:rPr>
      </w:pPr>
      <w:r>
        <w:rPr>
          <w:rFonts w:hint="eastAsia" w:ascii="Times New Roman" w:hAnsi="Times New Roman"/>
          <w:szCs w:val="24"/>
        </w:rPr>
        <w:t>系统出厂验收（FAT）</w:t>
      </w:r>
    </w:p>
    <w:p>
      <w:pPr>
        <w:pStyle w:val="4"/>
        <w:widowControl w:val="0"/>
        <w:rPr>
          <w:szCs w:val="24"/>
        </w:rPr>
      </w:pPr>
      <w:r>
        <w:rPr>
          <w:rFonts w:hint="eastAsia"/>
          <w:szCs w:val="24"/>
        </w:rPr>
        <w:t>系统出厂验收内容</w:t>
      </w:r>
    </w:p>
    <w:p>
      <w:pPr>
        <w:adjustRightInd w:val="0"/>
        <w:snapToGrid w:val="0"/>
        <w:ind w:firstLine="480" w:firstLineChars="200"/>
      </w:pPr>
      <w:r>
        <w:rPr>
          <w:rFonts w:hint="eastAsia"/>
        </w:rPr>
        <w:t>系统出厂验收内容严格按照技术规范进行，内容包括：</w:t>
      </w:r>
    </w:p>
    <w:p>
      <w:pPr>
        <w:adjustRightInd w:val="0"/>
        <w:snapToGrid w:val="0"/>
        <w:ind w:firstLine="480" w:firstLineChars="200"/>
      </w:pPr>
      <w:r>
        <w:rPr>
          <w:rFonts w:hint="eastAsia"/>
        </w:rPr>
        <w:t>a)功能测试：针对技术规范中所要求的各项功能进行逐项验证测试，测试方案中提出正常输入条件或常见错误输入条件下的测例，密切相关的多项功能可组合在一组测例中进行测试。</w:t>
      </w:r>
    </w:p>
    <w:p>
      <w:pPr>
        <w:adjustRightInd w:val="0"/>
        <w:snapToGrid w:val="0"/>
        <w:ind w:firstLine="480" w:firstLineChars="200"/>
      </w:pPr>
      <w:r>
        <w:rPr>
          <w:rFonts w:hint="eastAsia"/>
        </w:rPr>
        <w:t>b)容量测试：按系统设计的远景规模和容量要求配置测试环境，测试方案详细给出建立该环境的方法和验证方法。</w:t>
      </w:r>
    </w:p>
    <w:p>
      <w:pPr>
        <w:adjustRightInd w:val="0"/>
        <w:snapToGrid w:val="0"/>
        <w:ind w:firstLine="480" w:firstLineChars="200"/>
      </w:pPr>
      <w:r>
        <w:rPr>
          <w:rFonts w:hint="eastAsia"/>
        </w:rPr>
        <w:t>c)性能测试：在系统最大规划配置条件下，针对技术规范中所要求的各项性能指标进行逐项验证测试，测试方案考虑系统正常运行状态和极端运行状态下的性能测例，密切相关的性能指标测试可合并在一组测例中进行。</w:t>
      </w:r>
    </w:p>
    <w:p>
      <w:pPr>
        <w:adjustRightInd w:val="0"/>
        <w:snapToGrid w:val="0"/>
        <w:ind w:firstLine="480" w:firstLineChars="200"/>
      </w:pPr>
      <w:r>
        <w:rPr>
          <w:rFonts w:hint="eastAsia"/>
        </w:rPr>
        <w:t>d)稳定性测试：在前述测试通过后，在模拟系统日常运行方式和运行环境的情况下，对系统的整体稳定性进行测试。测试方案详细给出模拟系统日常运行方式和运行环境的方法，并给出稳定性判据。</w:t>
      </w:r>
    </w:p>
    <w:p>
      <w:pPr>
        <w:pStyle w:val="4"/>
        <w:widowControl w:val="0"/>
        <w:rPr>
          <w:szCs w:val="24"/>
        </w:rPr>
      </w:pPr>
      <w:r>
        <w:rPr>
          <w:rFonts w:hint="eastAsia"/>
          <w:szCs w:val="24"/>
        </w:rPr>
        <w:t>验收人员</w:t>
      </w:r>
    </w:p>
    <w:p>
      <w:pPr>
        <w:adjustRightInd w:val="0"/>
        <w:snapToGrid w:val="0"/>
        <w:ind w:firstLine="480" w:firstLineChars="200"/>
      </w:pPr>
      <w:r>
        <w:rPr>
          <w:rFonts w:hint="eastAsia"/>
        </w:rPr>
        <w:t>招标方将派出有经验的工程师参加FAT。投标方提供必要的测试仪器、办公场地和通信设施等。</w:t>
      </w:r>
    </w:p>
    <w:p>
      <w:pPr>
        <w:pStyle w:val="4"/>
        <w:widowControl w:val="0"/>
        <w:rPr>
          <w:szCs w:val="24"/>
        </w:rPr>
      </w:pPr>
      <w:r>
        <w:rPr>
          <w:rFonts w:hint="eastAsia"/>
          <w:szCs w:val="24"/>
        </w:rPr>
        <w:t>验收责任</w:t>
      </w:r>
    </w:p>
    <w:p>
      <w:pPr>
        <w:adjustRightInd w:val="0"/>
        <w:snapToGrid w:val="0"/>
        <w:ind w:firstLine="480" w:firstLineChars="200"/>
      </w:pPr>
      <w:r>
        <w:rPr>
          <w:rFonts w:hint="eastAsia"/>
        </w:rPr>
        <w:t>a)招标方的工程师将在工厂进行系统出厂验收。如果在双方同意的期限内，FAT不能满足技术要求，则认为FAT是失败的；</w:t>
      </w:r>
    </w:p>
    <w:p>
      <w:pPr>
        <w:adjustRightInd w:val="0"/>
        <w:snapToGrid w:val="0"/>
        <w:ind w:firstLine="480" w:firstLineChars="200"/>
      </w:pPr>
      <w:r>
        <w:rPr>
          <w:rFonts w:hint="eastAsia"/>
        </w:rPr>
        <w:t>b)如果由于投标方的责任使得FAT在规定的期限内不能完成，则由此引起的一切开销由投标方承担。</w:t>
      </w:r>
    </w:p>
    <w:p>
      <w:pPr>
        <w:pStyle w:val="3"/>
        <w:widowControl w:val="0"/>
        <w:rPr>
          <w:rFonts w:ascii="Times New Roman" w:hAnsi="Times New Roman"/>
          <w:szCs w:val="24"/>
        </w:rPr>
      </w:pPr>
      <w:r>
        <w:rPr>
          <w:rFonts w:hint="eastAsia" w:ascii="Times New Roman" w:hAnsi="Times New Roman"/>
          <w:szCs w:val="24"/>
        </w:rPr>
        <w:t>系统试运行</w:t>
      </w:r>
    </w:p>
    <w:p>
      <w:pPr>
        <w:pStyle w:val="4"/>
        <w:widowControl w:val="0"/>
      </w:pPr>
      <w:r>
        <w:rPr>
          <w:rFonts w:hint="eastAsia"/>
          <w:szCs w:val="24"/>
        </w:rPr>
        <w:t>系统试运行前的测试内容</w:t>
      </w:r>
    </w:p>
    <w:p>
      <w:pPr>
        <w:adjustRightInd w:val="0"/>
        <w:snapToGrid w:val="0"/>
        <w:ind w:firstLine="480" w:firstLineChars="200"/>
      </w:pPr>
      <w:r>
        <w:rPr>
          <w:rFonts w:hint="eastAsia"/>
        </w:rPr>
        <w:t>系统试运行前应进行测试，测试内容严格按照技术规范进行，在系统试运行前，应已解决前面发现的问题，核查是否有系统搬移到现场出现的配置有误等问题，测试内容包括系统出厂验收的内容。</w:t>
      </w:r>
    </w:p>
    <w:p>
      <w:pPr>
        <w:pStyle w:val="4"/>
        <w:widowControl w:val="0"/>
        <w:rPr>
          <w:szCs w:val="24"/>
        </w:rPr>
      </w:pPr>
      <w:r>
        <w:rPr>
          <w:rFonts w:hint="eastAsia"/>
          <w:szCs w:val="24"/>
        </w:rPr>
        <w:t>系统试运行内容</w:t>
      </w:r>
    </w:p>
    <w:p>
      <w:pPr>
        <w:adjustRightInd w:val="0"/>
        <w:snapToGrid w:val="0"/>
        <w:ind w:firstLine="480" w:firstLineChars="200"/>
      </w:pPr>
      <w:r>
        <w:rPr>
          <w:rFonts w:hint="eastAsia"/>
        </w:rPr>
        <w:t>系统试运行内容严格按照技术规范进行，系统需连续3个月稳定运行。</w:t>
      </w:r>
    </w:p>
    <w:p>
      <w:pPr>
        <w:pStyle w:val="4"/>
        <w:widowControl w:val="0"/>
        <w:rPr>
          <w:szCs w:val="24"/>
        </w:rPr>
      </w:pPr>
      <w:r>
        <w:rPr>
          <w:rFonts w:hint="eastAsia"/>
          <w:szCs w:val="24"/>
        </w:rPr>
        <w:t>测试人员</w:t>
      </w:r>
    </w:p>
    <w:p>
      <w:pPr>
        <w:adjustRightInd w:val="0"/>
        <w:snapToGrid w:val="0"/>
        <w:ind w:firstLine="480" w:firstLineChars="200"/>
      </w:pPr>
      <w:r>
        <w:rPr>
          <w:rFonts w:hint="eastAsia"/>
        </w:rPr>
        <w:t>试运行前测试：投标方应派出有经验的工程师参加系统现场部署和试运行前测试。</w:t>
      </w:r>
    </w:p>
    <w:p>
      <w:pPr>
        <w:adjustRightInd w:val="0"/>
        <w:snapToGrid w:val="0"/>
        <w:ind w:firstLine="480" w:firstLineChars="200"/>
      </w:pPr>
      <w:r>
        <w:rPr>
          <w:rFonts w:hint="eastAsia"/>
        </w:rPr>
        <w:t>试运行：投标方应派出有经验的工程师参加系统试运行，协助招标方开展系统试运行的相关测试工作，时间不少于3个月。</w:t>
      </w:r>
    </w:p>
    <w:p>
      <w:pPr>
        <w:pStyle w:val="4"/>
        <w:widowControl w:val="0"/>
        <w:rPr>
          <w:szCs w:val="24"/>
        </w:rPr>
      </w:pPr>
      <w:r>
        <w:rPr>
          <w:rFonts w:hint="eastAsia"/>
          <w:szCs w:val="24"/>
        </w:rPr>
        <w:t>测试责任</w:t>
      </w:r>
    </w:p>
    <w:p>
      <w:pPr>
        <w:adjustRightInd w:val="0"/>
        <w:snapToGrid w:val="0"/>
        <w:ind w:firstLine="480" w:firstLineChars="200"/>
      </w:pPr>
      <w:r>
        <w:rPr>
          <w:rFonts w:hint="eastAsia"/>
        </w:rPr>
        <w:t>投标方负责系统搭建和系统调试，招标方工程师负责配合并提供现场部署要求。</w:t>
      </w:r>
    </w:p>
    <w:p>
      <w:pPr>
        <w:adjustRightInd w:val="0"/>
        <w:snapToGrid w:val="0"/>
        <w:ind w:firstLine="480" w:firstLineChars="200"/>
      </w:pPr>
      <w:r>
        <w:rPr>
          <w:rFonts w:hint="eastAsia"/>
        </w:rPr>
        <w:t>招标方负责组织试运行前测试和试运行，投标方必须积极配合进行相关的工作。</w:t>
      </w:r>
    </w:p>
    <w:p>
      <w:pPr>
        <w:pStyle w:val="3"/>
        <w:widowControl w:val="0"/>
        <w:rPr>
          <w:rFonts w:ascii="Times New Roman" w:hAnsi="Times New Roman"/>
          <w:szCs w:val="24"/>
        </w:rPr>
      </w:pPr>
      <w:r>
        <w:rPr>
          <w:rFonts w:hint="eastAsia" w:ascii="Times New Roman" w:hAnsi="Times New Roman"/>
          <w:szCs w:val="24"/>
        </w:rPr>
        <w:t>现场验收（SAT）</w:t>
      </w:r>
    </w:p>
    <w:p>
      <w:pPr>
        <w:pStyle w:val="4"/>
        <w:widowControl w:val="0"/>
        <w:rPr>
          <w:szCs w:val="24"/>
        </w:rPr>
      </w:pPr>
      <w:r>
        <w:rPr>
          <w:rFonts w:hint="eastAsia"/>
          <w:szCs w:val="24"/>
        </w:rPr>
        <w:t>系统现场验收内容</w:t>
      </w:r>
    </w:p>
    <w:p>
      <w:pPr>
        <w:adjustRightInd w:val="0"/>
        <w:snapToGrid w:val="0"/>
        <w:ind w:firstLine="480" w:firstLineChars="200"/>
      </w:pPr>
      <w:r>
        <w:rPr>
          <w:rFonts w:hint="eastAsia"/>
        </w:rPr>
        <w:t>现场验收内容严格按照技术规范进行。现场验收(SAT)必须在试运行消缺完成后进行。</w:t>
      </w:r>
    </w:p>
    <w:p>
      <w:pPr>
        <w:pStyle w:val="4"/>
        <w:widowControl w:val="0"/>
        <w:rPr>
          <w:szCs w:val="24"/>
        </w:rPr>
      </w:pPr>
      <w:r>
        <w:rPr>
          <w:rFonts w:hint="eastAsia"/>
          <w:szCs w:val="24"/>
        </w:rPr>
        <w:t>验收人员</w:t>
      </w:r>
    </w:p>
    <w:p>
      <w:pPr>
        <w:adjustRightInd w:val="0"/>
        <w:snapToGrid w:val="0"/>
        <w:ind w:firstLine="480" w:firstLineChars="200"/>
      </w:pPr>
      <w:r>
        <w:rPr>
          <w:rFonts w:hint="eastAsia"/>
        </w:rPr>
        <w:t>投标方应派出有经验的工程师参加SAT。</w:t>
      </w:r>
    </w:p>
    <w:p>
      <w:pPr>
        <w:pStyle w:val="4"/>
        <w:widowControl w:val="0"/>
        <w:rPr>
          <w:szCs w:val="24"/>
        </w:rPr>
      </w:pPr>
      <w:r>
        <w:rPr>
          <w:rFonts w:hint="eastAsia"/>
          <w:szCs w:val="24"/>
        </w:rPr>
        <w:t>验收责任</w:t>
      </w:r>
    </w:p>
    <w:p>
      <w:pPr>
        <w:adjustRightInd w:val="0"/>
        <w:snapToGrid w:val="0"/>
        <w:ind w:firstLine="480" w:firstLineChars="200"/>
      </w:pPr>
      <w:r>
        <w:rPr>
          <w:rFonts w:hint="eastAsia"/>
        </w:rPr>
        <w:t>a)投标方协助进行现场测试验收，提供测试验收需要的条件及工程实施文档。</w:t>
      </w:r>
    </w:p>
    <w:p>
      <w:pPr>
        <w:adjustRightInd w:val="0"/>
        <w:snapToGrid w:val="0"/>
        <w:ind w:firstLine="480" w:firstLineChars="200"/>
      </w:pPr>
      <w:r>
        <w:rPr>
          <w:rFonts w:hint="eastAsia"/>
        </w:rPr>
        <w:t>b)在进行SAT时，系统的所有测试是在实时数据和实际的系统上进行的。在SAT完成后5天内，双方的代表将签署SAT验收报告。</w:t>
      </w:r>
    </w:p>
    <w:p>
      <w:pPr>
        <w:adjustRightInd w:val="0"/>
        <w:snapToGrid w:val="0"/>
        <w:ind w:firstLine="480" w:firstLineChars="200"/>
      </w:pPr>
      <w:r>
        <w:rPr>
          <w:rFonts w:hint="eastAsia"/>
        </w:rPr>
        <w:t>c)如果在SAT开始后2周内，系统不能正常运行，则认为SAT不通过。</w:t>
      </w:r>
    </w:p>
    <w:p>
      <w:pPr>
        <w:adjustRightInd w:val="0"/>
        <w:snapToGrid w:val="0"/>
        <w:ind w:firstLine="480" w:firstLineChars="200"/>
      </w:pPr>
      <w:r>
        <w:rPr>
          <w:rFonts w:hint="eastAsia"/>
        </w:rPr>
        <w:t>d)SAT的测试验收大纲由投标方按照招标方要求编制准备，并在系统发运前交给招标方审查同意。SAT的测试条件中，包括：</w:t>
      </w:r>
    </w:p>
    <w:p>
      <w:pPr>
        <w:adjustRightInd w:val="0"/>
        <w:snapToGrid w:val="0"/>
        <w:ind w:firstLine="480" w:firstLineChars="200"/>
      </w:pPr>
      <w:r>
        <w:rPr>
          <w:rFonts w:hint="eastAsia"/>
        </w:rPr>
        <w:t>1)系统完成所有已经运行厂站端设备通信。</w:t>
      </w:r>
    </w:p>
    <w:p>
      <w:pPr>
        <w:adjustRightInd w:val="0"/>
        <w:snapToGrid w:val="0"/>
        <w:ind w:firstLine="480" w:firstLineChars="200"/>
      </w:pPr>
      <w:r>
        <w:rPr>
          <w:rFonts w:hint="eastAsia"/>
        </w:rPr>
        <w:t>2)最终的SAT项目内容将在技术联络会上讨论确定。</w:t>
      </w:r>
    </w:p>
    <w:p>
      <w:pPr>
        <w:adjustRightInd w:val="0"/>
        <w:snapToGrid w:val="0"/>
        <w:ind w:firstLine="480" w:firstLineChars="200"/>
      </w:pPr>
      <w:r>
        <w:rPr>
          <w:rFonts w:hint="eastAsia"/>
        </w:rPr>
        <w:t>e)为有利于系统的安装、联调、测试和验收，投标方应派出有经验的专家提供技术服务。</w:t>
      </w:r>
    </w:p>
    <w:p>
      <w:pPr>
        <w:adjustRightInd w:val="0"/>
        <w:snapToGrid w:val="0"/>
        <w:ind w:firstLine="480" w:firstLineChars="200"/>
      </w:pPr>
      <w:r>
        <w:rPr>
          <w:rFonts w:hint="eastAsia"/>
        </w:rPr>
        <w:t>f)在现场安装、联调、测试和验收过程中，投标方对损坏的设备负责，除非设备的损坏是由于招标方在未经投标方工程师事先同意的情况下误操作而引起。</w:t>
      </w:r>
    </w:p>
    <w:p>
      <w:pPr>
        <w:pStyle w:val="3"/>
        <w:widowControl w:val="0"/>
        <w:rPr>
          <w:rFonts w:ascii="Times New Roman" w:hAnsi="Times New Roman"/>
          <w:szCs w:val="24"/>
        </w:rPr>
      </w:pPr>
      <w:r>
        <w:rPr>
          <w:rFonts w:hint="eastAsia" w:ascii="Times New Roman" w:hAnsi="Times New Roman"/>
          <w:szCs w:val="24"/>
        </w:rPr>
        <w:t>测试及验收费用</w:t>
      </w:r>
    </w:p>
    <w:p>
      <w:pPr>
        <w:adjustRightInd w:val="0"/>
        <w:snapToGrid w:val="0"/>
        <w:spacing w:before="120" w:after="120"/>
        <w:ind w:firstLine="480" w:firstLineChars="200"/>
      </w:pPr>
      <w:r>
        <w:rPr>
          <w:rFonts w:hint="eastAsia"/>
        </w:rPr>
        <w:t>a) 各项测试及验收阶段发生的费用，包括招标方人员有关费用、外部专家评审费、</w:t>
      </w:r>
      <w:r>
        <w:rPr>
          <w:rFonts w:hint="eastAsia"/>
          <w:bCs/>
        </w:rPr>
        <w:t>等保测评与安全评估费</w:t>
      </w:r>
      <w:r>
        <w:rPr>
          <w:rFonts w:hint="eastAsia"/>
        </w:rPr>
        <w:t>、源代码审计费等，由投标方负责。投标方应将相关费用作为总报价的一部分，不单独报价。</w:t>
      </w:r>
    </w:p>
    <w:p>
      <w:pPr>
        <w:pStyle w:val="2"/>
        <w:rPr>
          <w:rFonts w:hint="eastAsia" w:ascii="黑体" w:hAnsi="黑体" w:eastAsia="黑体"/>
          <w:sz w:val="28"/>
          <w:szCs w:val="28"/>
        </w:rPr>
      </w:pPr>
      <w:bookmarkStart w:id="36" w:name="_Toc433727344"/>
      <w:r>
        <w:t>项目管理与技术维护支持</w:t>
      </w:r>
      <w:bookmarkEnd w:id="36"/>
    </w:p>
    <w:p>
      <w:pPr>
        <w:pStyle w:val="3"/>
        <w:widowControl w:val="0"/>
        <w:rPr>
          <w:rFonts w:ascii="Times New Roman" w:hAnsi="Times New Roman"/>
          <w:szCs w:val="24"/>
        </w:rPr>
      </w:pPr>
      <w:r>
        <w:rPr>
          <w:rFonts w:ascii="Times New Roman" w:hAnsi="Times New Roman"/>
          <w:szCs w:val="24"/>
        </w:rPr>
        <w:t>项目责任</w:t>
      </w:r>
    </w:p>
    <w:p>
      <w:pPr>
        <w:pStyle w:val="4"/>
        <w:widowControl w:val="0"/>
        <w:rPr>
          <w:szCs w:val="24"/>
        </w:rPr>
      </w:pPr>
      <w:r>
        <w:rPr>
          <w:szCs w:val="24"/>
        </w:rPr>
        <w:t>投标方责任</w:t>
      </w:r>
    </w:p>
    <w:p>
      <w:pPr>
        <w:adjustRightInd w:val="0"/>
        <w:snapToGrid w:val="0"/>
        <w:ind w:firstLine="480" w:firstLineChars="200"/>
      </w:pPr>
      <w:r>
        <w:t>除特别指明属于招标方的职责外，投标方应履行系统的设计、装配、开发、集成、运输，以及安装、试运行、完整运行性能等所有责任。投标方的责任包括但不限于此：</w:t>
      </w:r>
    </w:p>
    <w:p>
      <w:pPr>
        <w:adjustRightInd w:val="0"/>
        <w:snapToGrid w:val="0"/>
        <w:ind w:firstLine="480" w:firstLineChars="200"/>
      </w:pPr>
      <w:r>
        <w:t>（1）负责提供完全符合本技术规范书要求的</w:t>
      </w:r>
      <w:r>
        <w:rPr>
          <w:rFonts w:hint="eastAsia"/>
        </w:rPr>
        <w:t>南方总调</w:t>
      </w:r>
      <w:r>
        <w:rPr>
          <w:rFonts w:hint="eastAsia" w:ascii="宋体"/>
          <w:color w:val="000000" w:themeColor="text1"/>
          <w14:textFill>
            <w14:solidFill>
              <w14:schemeClr w14:val="tx1"/>
            </w14:solidFill>
          </w14:textFill>
        </w:rPr>
        <w:t>南方区域电力现货市场多级调度协同全链路测试技术系统数据导入及校验</w:t>
      </w:r>
      <w:r>
        <w:rPr>
          <w:rFonts w:hint="eastAsia"/>
        </w:rPr>
        <w:t>等14项功能加装项目开发的安全防护方案、关键防护技术成果</w:t>
      </w:r>
      <w:r>
        <w:t>。</w:t>
      </w:r>
    </w:p>
    <w:p>
      <w:pPr>
        <w:adjustRightInd w:val="0"/>
        <w:snapToGrid w:val="0"/>
        <w:ind w:firstLine="480" w:firstLineChars="200"/>
      </w:pPr>
      <w:r>
        <w:t>（2）负责提供满足招标方要求的</w:t>
      </w:r>
      <w:r>
        <w:rPr>
          <w:rFonts w:hint="eastAsia"/>
        </w:rPr>
        <w:t>技术咨询和相关技术服务</w:t>
      </w:r>
      <w:r>
        <w:t>。</w:t>
      </w:r>
    </w:p>
    <w:p>
      <w:pPr>
        <w:adjustRightInd w:val="0"/>
        <w:snapToGrid w:val="0"/>
        <w:ind w:firstLine="480" w:firstLineChars="200"/>
      </w:pPr>
      <w:r>
        <w:t>（</w:t>
      </w:r>
      <w:r>
        <w:rPr>
          <w:rFonts w:hint="eastAsia"/>
        </w:rPr>
        <w:t>3</w:t>
      </w:r>
      <w:r>
        <w:t>）提供必需的技术资料和文件，并对其正确性负责。包括所有设备的技术说明书和制造说明、型式试验和常规试验数据及试验报告、试验和验收标准、质量保证书，以及技术规范书规定的各类图纸和其它资料。</w:t>
      </w:r>
    </w:p>
    <w:p>
      <w:pPr>
        <w:adjustRightInd w:val="0"/>
        <w:snapToGrid w:val="0"/>
        <w:ind w:firstLine="480" w:firstLineChars="200"/>
      </w:pPr>
      <w:r>
        <w:t>（</w:t>
      </w:r>
      <w:r>
        <w:rPr>
          <w:rFonts w:hint="eastAsia"/>
        </w:rPr>
        <w:t>4</w:t>
      </w:r>
      <w:r>
        <w:t>）负责所有供货</w:t>
      </w:r>
      <w:r>
        <w:rPr>
          <w:rFonts w:hint="eastAsia"/>
        </w:rPr>
        <w:t>软件</w:t>
      </w:r>
      <w:r>
        <w:t>在招标方现场的安装和调试。</w:t>
      </w:r>
    </w:p>
    <w:p>
      <w:pPr>
        <w:adjustRightInd w:val="0"/>
        <w:snapToGrid w:val="0"/>
        <w:ind w:firstLine="480" w:firstLineChars="200"/>
      </w:pPr>
      <w:r>
        <w:t>（</w:t>
      </w:r>
      <w:r>
        <w:rPr>
          <w:rFonts w:hint="eastAsia"/>
        </w:rPr>
        <w:t>5</w:t>
      </w:r>
      <w:r>
        <w:t>）投标方有责任对招标方所提供的资料进行保密。</w:t>
      </w:r>
    </w:p>
    <w:p>
      <w:pPr>
        <w:adjustRightInd w:val="0"/>
        <w:snapToGrid w:val="0"/>
        <w:ind w:firstLine="480" w:firstLineChars="200"/>
      </w:pPr>
      <w:r>
        <w:t>（</w:t>
      </w:r>
      <w:r>
        <w:rPr>
          <w:rFonts w:hint="eastAsia"/>
        </w:rPr>
        <w:t>6</w:t>
      </w:r>
      <w:r>
        <w:t>）投标方应按合同规定时间交货，交货时间及项目工期如有延误，投标方应及时将延误交货的原因、后果及采取的补救措施等向招标方说明，并按商务条款进行赔偿。</w:t>
      </w:r>
    </w:p>
    <w:p>
      <w:pPr>
        <w:adjustRightInd w:val="0"/>
        <w:snapToGrid w:val="0"/>
        <w:ind w:firstLine="480" w:firstLineChars="200"/>
      </w:pPr>
      <w:r>
        <w:t>（</w:t>
      </w:r>
      <w:r>
        <w:rPr>
          <w:rFonts w:hint="eastAsia"/>
        </w:rPr>
        <w:t>7</w:t>
      </w:r>
      <w:r>
        <w:t>）其它双方约定的投标方职责。</w:t>
      </w:r>
    </w:p>
    <w:p>
      <w:pPr>
        <w:pStyle w:val="4"/>
        <w:widowControl w:val="0"/>
        <w:rPr>
          <w:szCs w:val="24"/>
        </w:rPr>
      </w:pPr>
      <w:r>
        <w:rPr>
          <w:szCs w:val="24"/>
        </w:rPr>
        <w:t>招标方责任</w:t>
      </w:r>
    </w:p>
    <w:p>
      <w:pPr>
        <w:adjustRightInd w:val="0"/>
        <w:snapToGrid w:val="0"/>
        <w:ind w:firstLine="480" w:firstLineChars="200"/>
      </w:pPr>
      <w:r>
        <w:t>（1）审查合同生效后投标方提供的技术文件和图纸，审核并确认工程进度、培训内容和计划、到货验收试验计划等。</w:t>
      </w:r>
    </w:p>
    <w:p>
      <w:pPr>
        <w:adjustRightInd w:val="0"/>
        <w:snapToGrid w:val="0"/>
        <w:ind w:firstLine="480" w:firstLineChars="200"/>
      </w:pPr>
      <w:r>
        <w:t>（2）提供合同设备的现场安装环境。</w:t>
      </w:r>
    </w:p>
    <w:p>
      <w:pPr>
        <w:adjustRightInd w:val="0"/>
        <w:snapToGrid w:val="0"/>
        <w:ind w:firstLine="480" w:firstLineChars="200"/>
      </w:pPr>
      <w:r>
        <w:t>（3）主持并参加到货验收试验和现场验收试验。</w:t>
      </w:r>
    </w:p>
    <w:p>
      <w:pPr>
        <w:adjustRightInd w:val="0"/>
        <w:snapToGrid w:val="0"/>
        <w:ind w:firstLine="480" w:firstLineChars="200"/>
      </w:pPr>
      <w:r>
        <w:t>（4）参加设备的现场安装和调试。</w:t>
      </w:r>
    </w:p>
    <w:p>
      <w:pPr>
        <w:adjustRightInd w:val="0"/>
        <w:snapToGrid w:val="0"/>
        <w:ind w:firstLine="480" w:firstLineChars="200"/>
      </w:pPr>
      <w:r>
        <w:t>（5）其它双方约定的招标方职责。</w:t>
      </w:r>
    </w:p>
    <w:p>
      <w:pPr>
        <w:pStyle w:val="3"/>
        <w:widowControl w:val="0"/>
        <w:rPr>
          <w:rFonts w:ascii="Times New Roman" w:hAnsi="Times New Roman"/>
          <w:szCs w:val="24"/>
        </w:rPr>
      </w:pPr>
      <w:r>
        <w:rPr>
          <w:rFonts w:ascii="Times New Roman" w:hAnsi="Times New Roman"/>
          <w:szCs w:val="24"/>
        </w:rPr>
        <w:t>项目组织机构</w:t>
      </w:r>
    </w:p>
    <w:p>
      <w:pPr>
        <w:adjustRightInd w:val="0"/>
        <w:snapToGrid w:val="0"/>
        <w:ind w:firstLine="480" w:firstLineChars="200"/>
      </w:pPr>
      <w:r>
        <w:rPr>
          <w:rFonts w:hint="eastAsia"/>
        </w:rPr>
        <w:t>投标方</w:t>
      </w:r>
      <w:r>
        <w:t>应提出本项目实施的组织机构、人员组成、名单及与工程类似的工作履历。</w:t>
      </w:r>
    </w:p>
    <w:p>
      <w:pPr>
        <w:pStyle w:val="4"/>
        <w:widowControl w:val="0"/>
        <w:rPr>
          <w:szCs w:val="24"/>
        </w:rPr>
      </w:pPr>
      <w:r>
        <w:rPr>
          <w:szCs w:val="24"/>
        </w:rPr>
        <w:t>招标方项目经理</w:t>
      </w:r>
    </w:p>
    <w:p>
      <w:pPr>
        <w:adjustRightInd w:val="0"/>
        <w:snapToGrid w:val="0"/>
        <w:ind w:firstLine="480" w:firstLineChars="200"/>
      </w:pPr>
      <w:r>
        <w:t>招标方所有的项目联系与协调，都由招标方指定的项目经理进行。所有的信函应发至项目经理处。对文档的审核与批准、招标方参与的项目工作、培训与系统测试、以及其它事项都应由该项目经理负责协调。</w:t>
      </w:r>
    </w:p>
    <w:p>
      <w:pPr>
        <w:pStyle w:val="4"/>
        <w:widowControl w:val="0"/>
        <w:rPr>
          <w:szCs w:val="24"/>
        </w:rPr>
      </w:pPr>
      <w:r>
        <w:rPr>
          <w:szCs w:val="24"/>
        </w:rPr>
        <w:t>投标方项目经理</w:t>
      </w:r>
    </w:p>
    <w:p>
      <w:pPr>
        <w:adjustRightInd w:val="0"/>
        <w:snapToGrid w:val="0"/>
        <w:ind w:firstLine="480" w:firstLineChars="200"/>
      </w:pPr>
      <w:r>
        <w:t>投标方指定一个项目经理。招标方对项目经理的选择有批准的权利。未经</w:t>
      </w:r>
      <w:r>
        <w:rPr>
          <w:rFonts w:hint="eastAsia"/>
        </w:rPr>
        <w:t>招标方</w:t>
      </w:r>
      <w:r>
        <w:t>项目经理书面同意，</w:t>
      </w:r>
      <w:r>
        <w:rPr>
          <w:rFonts w:hint="eastAsia"/>
        </w:rPr>
        <w:t>投标方</w:t>
      </w:r>
      <w:r>
        <w:t>项目经理不得更换。若招标方认为项目经理不符合用户的要求，则投标方需提供候选者的履历，供招标方选择新的项目经理。投标方项目经理的职责包括：</w:t>
      </w:r>
    </w:p>
    <w:p>
      <w:pPr>
        <w:adjustRightInd w:val="0"/>
        <w:snapToGrid w:val="0"/>
        <w:ind w:firstLine="480" w:firstLineChars="200"/>
      </w:pPr>
      <w:r>
        <w:t>（1）专门负责所有项目协调工作；</w:t>
      </w:r>
    </w:p>
    <w:p>
      <w:pPr>
        <w:adjustRightInd w:val="0"/>
        <w:snapToGrid w:val="0"/>
        <w:ind w:firstLine="480" w:firstLineChars="200"/>
      </w:pPr>
      <w:r>
        <w:t>（2）所有正式联络工作；</w:t>
      </w:r>
    </w:p>
    <w:p>
      <w:pPr>
        <w:adjustRightInd w:val="0"/>
        <w:snapToGrid w:val="0"/>
        <w:ind w:firstLine="480" w:firstLineChars="200"/>
      </w:pPr>
      <w:r>
        <w:t>（3）组织投标方技术人员解决硬件运行中发现的问题；</w:t>
      </w:r>
    </w:p>
    <w:p>
      <w:pPr>
        <w:adjustRightInd w:val="0"/>
        <w:snapToGrid w:val="0"/>
        <w:ind w:firstLine="480" w:firstLineChars="200"/>
      </w:pPr>
      <w:r>
        <w:t>（4）组织硬件生产、运输、安装等事项，确保各阶段工期</w:t>
      </w:r>
      <w:r>
        <w:rPr>
          <w:rFonts w:hint="eastAsia"/>
        </w:rPr>
        <w:t>。</w:t>
      </w:r>
    </w:p>
    <w:p>
      <w:pPr>
        <w:pStyle w:val="3"/>
        <w:widowControl w:val="0"/>
        <w:rPr>
          <w:rFonts w:ascii="Times New Roman" w:hAnsi="Times New Roman"/>
          <w:szCs w:val="24"/>
        </w:rPr>
      </w:pPr>
      <w:r>
        <w:rPr>
          <w:rFonts w:ascii="Times New Roman" w:hAnsi="Times New Roman"/>
          <w:szCs w:val="24"/>
        </w:rPr>
        <w:t>招标方对系统的认可</w:t>
      </w:r>
    </w:p>
    <w:p>
      <w:pPr>
        <w:adjustRightInd w:val="0"/>
        <w:snapToGrid w:val="0"/>
        <w:ind w:firstLine="480" w:firstLineChars="200"/>
      </w:pPr>
      <w:r>
        <w:t>在招标方认可系统前，必须满足但不限于以下条件：</w:t>
      </w:r>
    </w:p>
    <w:p>
      <w:pPr>
        <w:adjustRightInd w:val="0"/>
        <w:snapToGrid w:val="0"/>
        <w:ind w:firstLine="480" w:firstLineChars="200"/>
      </w:pPr>
      <w:r>
        <w:t>（1）完成合同规定的系统所有</w:t>
      </w:r>
      <w:r>
        <w:rPr>
          <w:rFonts w:hint="eastAsia"/>
        </w:rPr>
        <w:t>软件</w:t>
      </w:r>
      <w:r>
        <w:t>设计、制造、安装、集成与试运行等，满足所有合同规定的功能与性能要求。</w:t>
      </w:r>
    </w:p>
    <w:p>
      <w:pPr>
        <w:adjustRightInd w:val="0"/>
        <w:snapToGrid w:val="0"/>
        <w:ind w:firstLine="480" w:firstLineChars="200"/>
      </w:pPr>
      <w:r>
        <w:t>（2）成功完成工程验收测试与现场验收测试，结果由用户签字认可。</w:t>
      </w:r>
    </w:p>
    <w:p>
      <w:pPr>
        <w:adjustRightInd w:val="0"/>
        <w:snapToGrid w:val="0"/>
        <w:ind w:firstLine="480" w:firstLineChars="200"/>
      </w:pPr>
      <w:r>
        <w:t>（3）系统成功通过所有可用性测试。</w:t>
      </w:r>
    </w:p>
    <w:p>
      <w:pPr>
        <w:adjustRightInd w:val="0"/>
        <w:snapToGrid w:val="0"/>
        <w:ind w:firstLine="480" w:firstLineChars="200"/>
      </w:pPr>
      <w:r>
        <w:t>（4）文档在修订后由用户接收并确认。</w:t>
      </w:r>
    </w:p>
    <w:p>
      <w:pPr>
        <w:adjustRightInd w:val="0"/>
        <w:snapToGrid w:val="0"/>
        <w:ind w:firstLine="480" w:firstLineChars="200"/>
      </w:pPr>
      <w:r>
        <w:t>（5）用户已收到所有合同</w:t>
      </w:r>
      <w:r>
        <w:rPr>
          <w:rFonts w:hint="eastAsia"/>
        </w:rPr>
        <w:t>软件</w:t>
      </w:r>
      <w:r>
        <w:t>和备件。</w:t>
      </w:r>
    </w:p>
    <w:p>
      <w:pPr>
        <w:adjustRightInd w:val="0"/>
        <w:snapToGrid w:val="0"/>
        <w:ind w:firstLine="480" w:firstLineChars="200"/>
      </w:pPr>
      <w:r>
        <w:t>（6）按合同要求安排技术维护。</w:t>
      </w:r>
    </w:p>
    <w:p>
      <w:pPr>
        <w:adjustRightInd w:val="0"/>
        <w:snapToGrid w:val="0"/>
        <w:ind w:firstLine="480" w:firstLineChars="200"/>
      </w:pPr>
      <w:r>
        <w:t>（7）投标方根据技术规范的要求完成了对用户的培训。</w:t>
      </w:r>
    </w:p>
    <w:p>
      <w:pPr>
        <w:pStyle w:val="3"/>
        <w:widowControl w:val="0"/>
        <w:rPr>
          <w:rFonts w:ascii="Times New Roman" w:hAnsi="Times New Roman"/>
          <w:szCs w:val="24"/>
        </w:rPr>
      </w:pPr>
      <w:r>
        <w:rPr>
          <w:rFonts w:hint="eastAsia" w:ascii="Times New Roman" w:hAnsi="Times New Roman"/>
          <w:szCs w:val="24"/>
        </w:rPr>
        <w:t>售后服务</w:t>
      </w:r>
    </w:p>
    <w:p>
      <w:pPr>
        <w:adjustRightInd w:val="0"/>
        <w:snapToGrid w:val="0"/>
        <w:ind w:firstLine="480" w:firstLineChars="200"/>
      </w:pPr>
      <w:r>
        <w:t>系统通过验收后，进入系统质保期。</w:t>
      </w:r>
      <w:r>
        <w:rPr>
          <w:rFonts w:hint="eastAsia"/>
          <w:b/>
        </w:rPr>
        <w:t>本项目质保期三年</w:t>
      </w:r>
      <w:r>
        <w:rPr>
          <w:rFonts w:hint="eastAsia"/>
        </w:rPr>
        <w:t>。</w:t>
      </w:r>
      <w:r>
        <w:t>投标方提供质保期内所有的技术维护支持，并协助用户方与为本系统提供设备和软件的第三方达成长期技术维护支持协议。</w:t>
      </w:r>
    </w:p>
    <w:p>
      <w:pPr>
        <w:pStyle w:val="4"/>
        <w:widowControl w:val="0"/>
        <w:rPr>
          <w:szCs w:val="24"/>
        </w:rPr>
      </w:pPr>
      <w:r>
        <w:rPr>
          <w:rFonts w:hint="eastAsia"/>
          <w:szCs w:val="24"/>
        </w:rPr>
        <w:t>售后</w:t>
      </w:r>
      <w:r>
        <w:rPr>
          <w:szCs w:val="24"/>
        </w:rPr>
        <w:t>服务</w:t>
      </w:r>
    </w:p>
    <w:p>
      <w:pPr>
        <w:adjustRightInd w:val="0"/>
        <w:snapToGrid w:val="0"/>
        <w:ind w:firstLine="480" w:firstLineChars="200"/>
      </w:pPr>
      <w:r>
        <w:t>技术支持人员在质保期内应随时待命协助用户方人员维护本系统。技术支持所在地应在广州或相邻珠三角城市。技术支持服务应使用中文，且应满足下列要求：</w:t>
      </w:r>
    </w:p>
    <w:p>
      <w:pPr>
        <w:adjustRightInd w:val="0"/>
        <w:snapToGrid w:val="0"/>
        <w:ind w:firstLine="480" w:firstLineChars="200"/>
      </w:pPr>
      <w:r>
        <w:t>（1）技术支持的范围涵盖系统所有的软硬件。</w:t>
      </w:r>
    </w:p>
    <w:p>
      <w:pPr>
        <w:adjustRightInd w:val="0"/>
        <w:snapToGrid w:val="0"/>
        <w:ind w:firstLine="480" w:firstLineChars="200"/>
      </w:pPr>
      <w:r>
        <w:t>（2）紧急技术支持包括提供3年7x24 小时服务。紧急技术支持可采用远程拨号上网在线诊断的方式。投标方或其他设备供应商应指导用户方人员诊断故障，对于硬件问题，更换发生故障的面板或模块。</w:t>
      </w:r>
    </w:p>
    <w:p>
      <w:pPr>
        <w:adjustRightInd w:val="0"/>
        <w:snapToGrid w:val="0"/>
        <w:ind w:firstLine="480" w:firstLineChars="200"/>
      </w:pPr>
      <w:r>
        <w:t>（4）若用户方人员无法解决故障，或设备发生故障，投标方应派维护人员到现场处理。紧急情况下，服务人员必须在24 小时内到达。</w:t>
      </w:r>
    </w:p>
    <w:p>
      <w:pPr>
        <w:adjustRightInd w:val="0"/>
        <w:snapToGrid w:val="0"/>
        <w:ind w:firstLine="480" w:firstLineChars="200"/>
      </w:pPr>
      <w:r>
        <w:t>（5）投标方应在质保期内提供定期设备维护服务，定期更换设备易损耗材（如滤网）。</w:t>
      </w:r>
    </w:p>
    <w:p>
      <w:pPr>
        <w:adjustRightInd w:val="0"/>
        <w:snapToGrid w:val="0"/>
        <w:ind w:firstLine="480" w:firstLineChars="200"/>
      </w:pPr>
      <w:r>
        <w:t>（6）在质保期内设备发生非人为故障，应免费提供设备更换。</w:t>
      </w:r>
    </w:p>
    <w:p>
      <w:pPr>
        <w:adjustRightInd w:val="0"/>
        <w:snapToGrid w:val="0"/>
        <w:ind w:firstLine="480" w:firstLineChars="200"/>
      </w:pPr>
      <w:r>
        <w:t>（7）对于紧急递送的请求，用以更换的部件应在24小时内送达。</w:t>
      </w:r>
    </w:p>
    <w:p>
      <w:pPr>
        <w:adjustRightInd w:val="0"/>
        <w:snapToGrid w:val="0"/>
        <w:ind w:firstLine="480" w:firstLineChars="200"/>
      </w:pPr>
      <w:r>
        <w:t>技术维护支持应在力求不影响或少影响系统运行的同时合理安排。投标方提供的技术维护服务不得免除投标方所负的质量保证责任。</w:t>
      </w:r>
    </w:p>
    <w:p>
      <w:pPr>
        <w:pStyle w:val="4"/>
        <w:widowControl w:val="0"/>
        <w:rPr>
          <w:szCs w:val="24"/>
        </w:rPr>
      </w:pPr>
      <w:r>
        <w:rPr>
          <w:szCs w:val="24"/>
        </w:rPr>
        <w:t>维护工具</w:t>
      </w:r>
    </w:p>
    <w:p>
      <w:pPr>
        <w:adjustRightInd w:val="0"/>
        <w:snapToGrid w:val="0"/>
        <w:ind w:firstLine="480" w:firstLineChars="200"/>
      </w:pPr>
      <w:r>
        <w:t>投标方应推荐适用于系统的测试设备与专用工具，用户购买后用以维护内部使用的硬件。投标方或其它供货商推荐的测试设备与工具的列表应提交给用户方，并附目录和采购信息。</w:t>
      </w:r>
    </w:p>
    <w:p>
      <w:pPr>
        <w:pStyle w:val="4"/>
        <w:widowControl w:val="0"/>
        <w:rPr>
          <w:szCs w:val="24"/>
        </w:rPr>
      </w:pPr>
      <w:r>
        <w:rPr>
          <w:szCs w:val="24"/>
        </w:rPr>
        <w:t>备品备件</w:t>
      </w:r>
    </w:p>
    <w:p>
      <w:pPr>
        <w:adjustRightInd w:val="0"/>
        <w:snapToGrid w:val="0"/>
        <w:ind w:firstLine="480" w:firstLineChars="200"/>
      </w:pPr>
      <w:r>
        <w:t>为实现系统可用性，投标方应提供充足的备件。备件将包括：推荐的维修部件和初始提供的运行耗材等。</w:t>
      </w:r>
    </w:p>
    <w:p>
      <w:pPr>
        <w:pStyle w:val="4"/>
        <w:widowControl w:val="0"/>
        <w:rPr>
          <w:szCs w:val="24"/>
        </w:rPr>
      </w:pPr>
      <w:r>
        <w:rPr>
          <w:szCs w:val="24"/>
        </w:rPr>
        <w:t>技术支持人员要求</w:t>
      </w:r>
    </w:p>
    <w:p>
      <w:pPr>
        <w:adjustRightInd w:val="0"/>
        <w:snapToGrid w:val="0"/>
        <w:ind w:firstLine="480" w:firstLineChars="200"/>
      </w:pPr>
      <w:r>
        <w:t>投标方必须</w:t>
      </w:r>
      <w:r>
        <w:rPr>
          <w:rFonts w:hint="eastAsia"/>
        </w:rPr>
        <w:t>建立</w:t>
      </w:r>
      <w:r>
        <w:t>技术保障、故障处理和服务响应支持</w:t>
      </w:r>
      <w:r>
        <w:rPr>
          <w:rFonts w:hint="eastAsia"/>
        </w:rPr>
        <w:t>团队</w:t>
      </w:r>
      <w:r>
        <w:t>。</w:t>
      </w:r>
      <w:r>
        <w:rPr>
          <w:rFonts w:hint="eastAsia"/>
        </w:rPr>
        <w:t>支持团队</w:t>
      </w:r>
      <w:r>
        <w:t>组成人员要求如下：</w:t>
      </w:r>
    </w:p>
    <w:p>
      <w:pPr>
        <w:adjustRightInd w:val="0"/>
        <w:snapToGrid w:val="0"/>
        <w:ind w:firstLine="480" w:firstLineChars="200"/>
      </w:pPr>
      <w:r>
        <w:t>（1）投标方必须提交质保期内技术支持服务流程图。</w:t>
      </w:r>
    </w:p>
    <w:p>
      <w:pPr>
        <w:adjustRightInd w:val="0"/>
        <w:snapToGrid w:val="0"/>
        <w:ind w:firstLine="480" w:firstLineChars="200"/>
      </w:pPr>
      <w:r>
        <w:t>（2）</w:t>
      </w:r>
      <w:r>
        <w:rPr>
          <w:rFonts w:hint="eastAsia"/>
        </w:rPr>
        <w:t>支持</w:t>
      </w:r>
      <w:r>
        <w:t>团队必须设置</w:t>
      </w:r>
      <w:r>
        <w:rPr>
          <w:rFonts w:hint="eastAsia"/>
        </w:rPr>
        <w:t>支持</w:t>
      </w:r>
      <w:r>
        <w:t>服务总体负责人，总体负责人专门负责质保期内所有技术支持的协调工作、投标方与用户的所有正式联络等工作。</w:t>
      </w:r>
    </w:p>
    <w:p>
      <w:pPr>
        <w:adjustRightInd w:val="0"/>
        <w:snapToGrid w:val="0"/>
        <w:ind w:firstLine="480" w:firstLineChars="200"/>
      </w:pPr>
      <w:r>
        <w:t>（3）投标方提交保修团队人员名单和相关资料，所有人员必须经用户选择和认可。如无特殊原因并经用户许可该人员名单在合同执行过程中不允许更改。</w:t>
      </w:r>
    </w:p>
    <w:p>
      <w:pPr>
        <w:adjustRightInd w:val="0"/>
        <w:snapToGrid w:val="0"/>
        <w:ind w:firstLine="480" w:firstLineChars="200"/>
      </w:pPr>
      <w:r>
        <w:t>（4）所有技术支持人员应具有较强的</w:t>
      </w:r>
      <w:r>
        <w:rPr>
          <w:rFonts w:hint="eastAsia"/>
        </w:rPr>
        <w:t>需求分析</w:t>
      </w:r>
      <w:r>
        <w:t>和</w:t>
      </w:r>
      <w:r>
        <w:rPr>
          <w:rFonts w:hint="eastAsia"/>
        </w:rPr>
        <w:t>咨询服务</w:t>
      </w:r>
      <w:r>
        <w:t>能力，并具备丰富的</w:t>
      </w:r>
      <w:r>
        <w:rPr>
          <w:rFonts w:hint="eastAsia"/>
        </w:rPr>
        <w:t>二次安全防护</w:t>
      </w:r>
      <w:r>
        <w:t>经验。</w:t>
      </w:r>
    </w:p>
    <w:p>
      <w:pPr>
        <w:pStyle w:val="4"/>
        <w:widowControl w:val="0"/>
        <w:rPr>
          <w:szCs w:val="24"/>
        </w:rPr>
      </w:pPr>
      <w:r>
        <w:rPr>
          <w:szCs w:val="24"/>
        </w:rPr>
        <w:t>后续服务</w:t>
      </w:r>
    </w:p>
    <w:p>
      <w:pPr>
        <w:adjustRightInd w:val="0"/>
        <w:snapToGrid w:val="0"/>
        <w:ind w:firstLine="480" w:firstLineChars="200"/>
      </w:pPr>
      <w:r>
        <w:rPr>
          <w:rFonts w:hint="eastAsia"/>
        </w:rPr>
        <w:t>卖方需明确在系统质保期后能否继续提供系统保修服务，以及其服务的内容与报价。</w:t>
      </w:r>
    </w:p>
    <w:p>
      <w:pPr>
        <w:pStyle w:val="3"/>
        <w:widowControl w:val="0"/>
        <w:rPr>
          <w:rFonts w:ascii="Times New Roman" w:hAnsi="Times New Roman"/>
          <w:szCs w:val="24"/>
        </w:rPr>
      </w:pPr>
      <w:r>
        <w:rPr>
          <w:rFonts w:hint="eastAsia" w:ascii="Times New Roman" w:hAnsi="Times New Roman"/>
          <w:szCs w:val="24"/>
        </w:rPr>
        <w:t>项目成果要求</w:t>
      </w:r>
    </w:p>
    <w:p>
      <w:pPr>
        <w:pStyle w:val="4"/>
        <w:widowControl w:val="0"/>
        <w:rPr>
          <w:szCs w:val="24"/>
        </w:rPr>
      </w:pPr>
      <w:r>
        <w:rPr>
          <w:rFonts w:hint="eastAsia"/>
          <w:szCs w:val="24"/>
        </w:rPr>
        <w:t>定制开发</w:t>
      </w:r>
    </w:p>
    <w:p>
      <w:pPr>
        <w:adjustRightInd w:val="0"/>
        <w:snapToGrid w:val="0"/>
        <w:ind w:firstLine="480" w:firstLineChars="200"/>
      </w:pPr>
      <w:r>
        <w:rPr>
          <w:rFonts w:hint="eastAsia"/>
        </w:rPr>
        <w:t>a)本项目为定制开发项目，项目相关的专利技术，定制开发，知识产权及源代码归南方电网所有。投标方应在技术和应用上进行创新，并在工程中开发实现，形成新的知识产权归南方电网所有，投标方应将项目成果申报费用包含在报价中。</w:t>
      </w:r>
    </w:p>
    <w:p>
      <w:pPr>
        <w:adjustRightInd w:val="0"/>
        <w:snapToGrid w:val="0"/>
        <w:ind w:firstLine="480" w:firstLineChars="200"/>
      </w:pPr>
      <w:r>
        <w:rPr>
          <w:rFonts w:hint="eastAsia"/>
        </w:rPr>
        <w:t>b)在合同谈判上，讨论确定项目开发过程存在的创新点、成果数量等内容，并列入会议纪要。</w:t>
      </w:r>
    </w:p>
    <w:p>
      <w:pPr>
        <w:adjustRightInd w:val="0"/>
        <w:snapToGrid w:val="0"/>
        <w:ind w:firstLine="480" w:firstLineChars="200"/>
      </w:pPr>
      <w:r>
        <w:rPr>
          <w:rFonts w:hint="eastAsia"/>
        </w:rPr>
        <w:t>c)申报相应等级的专利和项目奖励，投标方应将所需费用作为总标价的一部分计入。</w:t>
      </w:r>
    </w:p>
    <w:p>
      <w:pPr>
        <w:pStyle w:val="4"/>
        <w:widowControl w:val="0"/>
        <w:rPr>
          <w:szCs w:val="24"/>
        </w:rPr>
      </w:pPr>
      <w:r>
        <w:rPr>
          <w:rFonts w:hint="eastAsia"/>
          <w:szCs w:val="24"/>
        </w:rPr>
        <w:t>双方责任</w:t>
      </w:r>
    </w:p>
    <w:p>
      <w:pPr>
        <w:adjustRightInd w:val="0"/>
        <w:snapToGrid w:val="0"/>
        <w:ind w:firstLine="480" w:firstLineChars="200"/>
      </w:pPr>
      <w:r>
        <w:rPr>
          <w:rFonts w:hint="eastAsia"/>
        </w:rPr>
        <w:t>a)招标方应按投标方所提需求，及时提供系统建设所需数据、技术条件咨询等。</w:t>
      </w:r>
    </w:p>
    <w:p>
      <w:pPr>
        <w:adjustRightInd w:val="0"/>
        <w:snapToGrid w:val="0"/>
        <w:ind w:firstLine="480" w:firstLineChars="200"/>
      </w:pPr>
      <w:r>
        <w:rPr>
          <w:rFonts w:hint="eastAsia"/>
        </w:rPr>
        <w:t>b)在系统建设过程中所产生的成果，未经双方认可，不可单方面发表或申请与成果相关的论文和专利、软件著作权等，如果投标方在合同执行期间未按时按量完成，招标方可认定投标方违约，并按相关合同违约办法处理。</w:t>
      </w:r>
    </w:p>
    <w:p>
      <w:pPr>
        <w:adjustRightInd w:val="0"/>
        <w:snapToGrid w:val="0"/>
        <w:ind w:firstLine="480" w:firstLineChars="200"/>
      </w:pPr>
      <w:r>
        <w:rPr>
          <w:rFonts w:hint="eastAsia"/>
        </w:rPr>
        <w:t>c)投标方应对招标方所提供的用于项目开发的测试数据、技术文档和其说明资料进行保密，并签署保密协定。</w:t>
      </w:r>
    </w:p>
    <w:p>
      <w:pPr>
        <w:adjustRightInd w:val="0"/>
        <w:snapToGrid w:val="0"/>
        <w:ind w:firstLine="480" w:firstLineChars="200"/>
      </w:pPr>
      <w:r>
        <w:rPr>
          <w:rFonts w:hint="eastAsia"/>
        </w:rPr>
        <w:t>d)投标方应负责准备项目相关科技成果鉴定的材料，并协助招标方开展相关的科技成果鉴定申报、审批、会务安排等相关工作并负责相关费用。</w:t>
      </w:r>
    </w:p>
    <w:p>
      <w:pPr>
        <w:pStyle w:val="4"/>
        <w:widowControl w:val="0"/>
        <w:rPr>
          <w:szCs w:val="24"/>
        </w:rPr>
      </w:pPr>
      <w:r>
        <w:rPr>
          <w:rFonts w:hint="eastAsia"/>
          <w:szCs w:val="24"/>
        </w:rPr>
        <w:t>质量保证</w:t>
      </w:r>
    </w:p>
    <w:p>
      <w:pPr>
        <w:adjustRightInd w:val="0"/>
        <w:snapToGrid w:val="0"/>
        <w:ind w:firstLine="480" w:firstLineChars="200"/>
      </w:pPr>
      <w:r>
        <w:rPr>
          <w:rFonts w:hint="eastAsia"/>
        </w:rPr>
        <w:t>a)投标方充分评估并规划出本项目可能产生的技术成果，并给出成果的具体数量（文章、专利、软件著作权等）。</w:t>
      </w:r>
    </w:p>
    <w:p>
      <w:pPr>
        <w:adjustRightInd w:val="0"/>
        <w:snapToGrid w:val="0"/>
        <w:ind w:firstLine="480" w:firstLineChars="200"/>
      </w:pPr>
      <w:r>
        <w:rPr>
          <w:rFonts w:hint="eastAsia"/>
        </w:rPr>
        <w:t>b)投标方结合项目的建设周期，制定申请或发布项目建设成果阶段性实施计划和关键时间节点。</w:t>
      </w:r>
    </w:p>
    <w:p>
      <w:pPr>
        <w:adjustRightInd w:val="0"/>
        <w:snapToGrid w:val="0"/>
        <w:ind w:firstLine="480" w:firstLineChars="200"/>
      </w:pPr>
    </w:p>
    <w:p>
      <w:pPr>
        <w:adjustRightInd w:val="0"/>
        <w:snapToGrid w:val="0"/>
        <w:ind w:firstLine="480" w:firstLineChars="200"/>
      </w:pPr>
    </w:p>
    <w:p/>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思源宋体 Heavy">
    <w:altName w:val="宋体"/>
    <w:panose1 w:val="02020900000000000000"/>
    <w:charset w:val="86"/>
    <w:family w:val="auto"/>
    <w:pitch w:val="default"/>
    <w:sig w:usb0="00000000" w:usb1="00000000" w:usb2="00000016" w:usb3="00000000" w:csb0="002E0107" w:csb1="00000000"/>
  </w:font>
  <w:font w:name="思源黑体 HW Bold">
    <w:altName w:val="黑体"/>
    <w:panose1 w:val="020B0800000000000000"/>
    <w:charset w:val="86"/>
    <w:family w:val="auto"/>
    <w:pitch w:val="default"/>
    <w:sig w:usb0="00000000" w:usb1="00000000" w:usb2="00000016" w:usb3="00000000" w:csb0="0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23"/>
          <w:jc w:val="center"/>
        </w:pPr>
        <w:r>
          <w:fldChar w:fldCharType="begin"/>
        </w:r>
        <w:r>
          <w:instrText xml:space="preserve">PAGE   \* MERGEFORMAT</w:instrText>
        </w:r>
        <w:r>
          <w:fldChar w:fldCharType="separate"/>
        </w:r>
        <w:r>
          <w:rPr>
            <w:lang w:val="zh-CN"/>
          </w:rPr>
          <w:t>36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A9474"/>
    <w:multiLevelType w:val="singleLevel"/>
    <w:tmpl w:val="83BA9474"/>
    <w:lvl w:ilvl="0" w:tentative="0">
      <w:start w:val="1"/>
      <w:numFmt w:val="decimal"/>
      <w:lvlText w:val="%1)"/>
      <w:lvlJc w:val="left"/>
      <w:pPr>
        <w:tabs>
          <w:tab w:val="left" w:pos="425"/>
        </w:tabs>
        <w:ind w:left="425" w:hanging="425"/>
      </w:pPr>
      <w:rPr>
        <w:rFonts w:hint="default"/>
      </w:rPr>
    </w:lvl>
  </w:abstractNum>
  <w:abstractNum w:abstractNumId="1">
    <w:nsid w:val="911132E9"/>
    <w:multiLevelType w:val="singleLevel"/>
    <w:tmpl w:val="911132E9"/>
    <w:lvl w:ilvl="0" w:tentative="0">
      <w:start w:val="1"/>
      <w:numFmt w:val="decimal"/>
      <w:suff w:val="nothing"/>
      <w:lvlText w:val="%1）"/>
      <w:lvlJc w:val="left"/>
    </w:lvl>
  </w:abstractNum>
  <w:abstractNum w:abstractNumId="2">
    <w:nsid w:val="9133B060"/>
    <w:multiLevelType w:val="singleLevel"/>
    <w:tmpl w:val="9133B060"/>
    <w:lvl w:ilvl="0" w:tentative="0">
      <w:start w:val="1"/>
      <w:numFmt w:val="decimal"/>
      <w:lvlText w:val="%1)"/>
      <w:lvlJc w:val="left"/>
      <w:pPr>
        <w:ind w:left="425" w:hanging="425"/>
      </w:pPr>
      <w:rPr>
        <w:rFonts w:hint="default"/>
      </w:rPr>
    </w:lvl>
  </w:abstractNum>
  <w:abstractNum w:abstractNumId="3">
    <w:nsid w:val="96AEBE50"/>
    <w:multiLevelType w:val="singleLevel"/>
    <w:tmpl w:val="96AEBE50"/>
    <w:lvl w:ilvl="0" w:tentative="0">
      <w:start w:val="1"/>
      <w:numFmt w:val="decimal"/>
      <w:lvlText w:val="%1)"/>
      <w:lvlJc w:val="left"/>
      <w:pPr>
        <w:tabs>
          <w:tab w:val="left" w:pos="425"/>
        </w:tabs>
        <w:ind w:left="425" w:hanging="425"/>
      </w:pPr>
      <w:rPr>
        <w:rFonts w:hint="default"/>
      </w:rPr>
    </w:lvl>
  </w:abstractNum>
  <w:abstractNum w:abstractNumId="4">
    <w:nsid w:val="97A8DA43"/>
    <w:multiLevelType w:val="singleLevel"/>
    <w:tmpl w:val="97A8DA43"/>
    <w:lvl w:ilvl="0" w:tentative="0">
      <w:start w:val="1"/>
      <w:numFmt w:val="decimal"/>
      <w:suff w:val="nothing"/>
      <w:lvlText w:val="%1）"/>
      <w:lvlJc w:val="left"/>
    </w:lvl>
  </w:abstractNum>
  <w:abstractNum w:abstractNumId="5">
    <w:nsid w:val="A05E6D74"/>
    <w:multiLevelType w:val="singleLevel"/>
    <w:tmpl w:val="A05E6D74"/>
    <w:lvl w:ilvl="0" w:tentative="0">
      <w:start w:val="1"/>
      <w:numFmt w:val="decimal"/>
      <w:lvlText w:val="%1)"/>
      <w:lvlJc w:val="left"/>
      <w:pPr>
        <w:ind w:left="425" w:hanging="425"/>
      </w:pPr>
      <w:rPr>
        <w:rFonts w:hint="default"/>
      </w:rPr>
    </w:lvl>
  </w:abstractNum>
  <w:abstractNum w:abstractNumId="6">
    <w:nsid w:val="B94D8FC8"/>
    <w:multiLevelType w:val="singleLevel"/>
    <w:tmpl w:val="B94D8FC8"/>
    <w:lvl w:ilvl="0" w:tentative="0">
      <w:start w:val="1"/>
      <w:numFmt w:val="decimal"/>
      <w:lvlText w:val="%1)"/>
      <w:lvlJc w:val="left"/>
      <w:pPr>
        <w:ind w:left="425" w:hanging="425"/>
      </w:pPr>
      <w:rPr>
        <w:rFonts w:hint="default"/>
      </w:rPr>
    </w:lvl>
  </w:abstractNum>
  <w:abstractNum w:abstractNumId="7">
    <w:nsid w:val="BD3125E2"/>
    <w:multiLevelType w:val="singleLevel"/>
    <w:tmpl w:val="BD3125E2"/>
    <w:lvl w:ilvl="0" w:tentative="0">
      <w:start w:val="1"/>
      <w:numFmt w:val="decimal"/>
      <w:lvlText w:val="%1)"/>
      <w:lvlJc w:val="left"/>
      <w:pPr>
        <w:ind w:left="425" w:hanging="425"/>
      </w:pPr>
      <w:rPr>
        <w:rFonts w:hint="default"/>
      </w:rPr>
    </w:lvl>
  </w:abstractNum>
  <w:abstractNum w:abstractNumId="8">
    <w:nsid w:val="BE772C26"/>
    <w:multiLevelType w:val="singleLevel"/>
    <w:tmpl w:val="BE772C26"/>
    <w:lvl w:ilvl="0" w:tentative="0">
      <w:start w:val="1"/>
      <w:numFmt w:val="chineseCounting"/>
      <w:suff w:val="nothing"/>
      <w:lvlText w:val="第%1，"/>
      <w:lvlJc w:val="left"/>
      <w:rPr>
        <w:rFonts w:hint="eastAsia"/>
      </w:rPr>
    </w:lvl>
  </w:abstractNum>
  <w:abstractNum w:abstractNumId="9">
    <w:nsid w:val="D9047B90"/>
    <w:multiLevelType w:val="singleLevel"/>
    <w:tmpl w:val="D9047B90"/>
    <w:lvl w:ilvl="0" w:tentative="0">
      <w:start w:val="1"/>
      <w:numFmt w:val="decimal"/>
      <w:lvlText w:val="%1)"/>
      <w:lvlJc w:val="left"/>
      <w:pPr>
        <w:ind w:left="425" w:hanging="425"/>
      </w:pPr>
      <w:rPr>
        <w:rFonts w:hint="default"/>
      </w:rPr>
    </w:lvl>
  </w:abstractNum>
  <w:abstractNum w:abstractNumId="10">
    <w:nsid w:val="DF8ECB6E"/>
    <w:multiLevelType w:val="singleLevel"/>
    <w:tmpl w:val="DF8ECB6E"/>
    <w:lvl w:ilvl="0" w:tentative="0">
      <w:start w:val="1"/>
      <w:numFmt w:val="decimal"/>
      <w:lvlText w:val="%1)"/>
      <w:lvlJc w:val="left"/>
      <w:pPr>
        <w:ind w:left="425" w:hanging="425"/>
      </w:pPr>
      <w:rPr>
        <w:rFonts w:hint="default"/>
      </w:rPr>
    </w:lvl>
  </w:abstractNum>
  <w:abstractNum w:abstractNumId="11">
    <w:nsid w:val="E513588C"/>
    <w:multiLevelType w:val="singleLevel"/>
    <w:tmpl w:val="E513588C"/>
    <w:lvl w:ilvl="0" w:tentative="0">
      <w:start w:val="1"/>
      <w:numFmt w:val="decimal"/>
      <w:lvlText w:val="%1)"/>
      <w:lvlJc w:val="left"/>
      <w:pPr>
        <w:ind w:left="425" w:hanging="425"/>
      </w:pPr>
      <w:rPr>
        <w:rFonts w:hint="default"/>
      </w:rPr>
    </w:lvl>
  </w:abstractNum>
  <w:abstractNum w:abstractNumId="12">
    <w:nsid w:val="F5E91D33"/>
    <w:multiLevelType w:val="singleLevel"/>
    <w:tmpl w:val="F5E91D33"/>
    <w:lvl w:ilvl="0" w:tentative="0">
      <w:start w:val="1"/>
      <w:numFmt w:val="decimal"/>
      <w:suff w:val="nothing"/>
      <w:lvlText w:val="%1）"/>
      <w:lvlJc w:val="left"/>
    </w:lvl>
  </w:abstractNum>
  <w:abstractNum w:abstractNumId="13">
    <w:nsid w:val="F7DB452D"/>
    <w:multiLevelType w:val="singleLevel"/>
    <w:tmpl w:val="F7DB452D"/>
    <w:lvl w:ilvl="0" w:tentative="0">
      <w:start w:val="1"/>
      <w:numFmt w:val="decimal"/>
      <w:suff w:val="nothing"/>
      <w:lvlText w:val="%1）"/>
      <w:lvlJc w:val="left"/>
    </w:lvl>
  </w:abstractNum>
  <w:abstractNum w:abstractNumId="14">
    <w:nsid w:val="F8B40CF5"/>
    <w:multiLevelType w:val="singleLevel"/>
    <w:tmpl w:val="F8B40CF5"/>
    <w:lvl w:ilvl="0" w:tentative="0">
      <w:start w:val="1"/>
      <w:numFmt w:val="decimal"/>
      <w:suff w:val="nothing"/>
      <w:lvlText w:val="%1）"/>
      <w:lvlJc w:val="left"/>
    </w:lvl>
  </w:abstractNum>
  <w:abstractNum w:abstractNumId="15">
    <w:nsid w:val="FFFFFFFB"/>
    <w:multiLevelType w:val="multilevel"/>
    <w:tmpl w:val="FFFFFFFB"/>
    <w:lvl w:ilvl="0" w:tentative="0">
      <w:start w:val="1"/>
      <w:numFmt w:val="decimal"/>
      <w:lvlText w:val="%1"/>
      <w:lvlJc w:val="left"/>
      <w:pPr>
        <w:ind w:left="432" w:hanging="432"/>
      </w:pPr>
    </w:lvl>
    <w:lvl w:ilvl="1" w:tentative="0">
      <w:start w:val="1"/>
      <w:numFmt w:val="decimal"/>
      <w:lvlText w:val="%1.%2"/>
      <w:lvlJc w:val="left"/>
      <w:pPr>
        <w:ind w:left="576" w:hanging="576"/>
      </w:pPr>
      <w:rPr>
        <w:b/>
      </w:rPr>
    </w:lvl>
    <w:lvl w:ilvl="2" w:tentative="0">
      <w:start w:val="1"/>
      <w:numFmt w:val="decimal"/>
      <w:lvlText w:val="%1.%2.%3"/>
      <w:lvlJc w:val="left"/>
      <w:pPr>
        <w:ind w:left="720" w:hanging="720"/>
      </w:pPr>
      <w:rPr>
        <w:rFonts w:hint="default"/>
        <w:b w:val="0"/>
        <w:i w:val="0"/>
        <w:sz w:val="28"/>
        <w:szCs w:val="28"/>
      </w:rPr>
    </w:lvl>
    <w:lvl w:ilvl="3" w:tentative="0">
      <w:start w:val="1"/>
      <w:numFmt w:val="decimal"/>
      <w:lvlText w:val="%1.%2.%3.%4"/>
      <w:lvlJc w:val="left"/>
      <w:pPr>
        <w:ind w:left="864" w:hanging="864"/>
      </w:pPr>
      <w:rPr>
        <w:b w:val="0"/>
        <w:i w:val="0"/>
      </w:r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6">
    <w:nsid w:val="00000002"/>
    <w:multiLevelType w:val="multilevel"/>
    <w:tmpl w:val="00000002"/>
    <w:lvl w:ilvl="0" w:tentative="0">
      <w:start w:val="1"/>
      <w:numFmt w:val="decimal"/>
      <w:lvlText w:val="（%1）"/>
      <w:lvlJc w:val="left"/>
      <w:pPr>
        <w:tabs>
          <w:tab w:val="left" w:pos="1400"/>
        </w:tabs>
        <w:ind w:left="1400" w:hanging="420"/>
      </w:pPr>
      <w:rPr>
        <w:rFonts w:hint="eastAsia"/>
        <w:b w:val="0"/>
        <w:i w:val="0"/>
        <w:sz w:val="24"/>
        <w:szCs w:val="24"/>
        <w:lang w:val="en-US"/>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17">
    <w:nsid w:val="06EA4EE9"/>
    <w:multiLevelType w:val="singleLevel"/>
    <w:tmpl w:val="06EA4EE9"/>
    <w:lvl w:ilvl="0" w:tentative="0">
      <w:start w:val="1"/>
      <w:numFmt w:val="decimal"/>
      <w:suff w:val="nothing"/>
      <w:lvlText w:val="%1）"/>
      <w:lvlJc w:val="left"/>
    </w:lvl>
  </w:abstractNum>
  <w:abstractNum w:abstractNumId="18">
    <w:nsid w:val="076EC4D2"/>
    <w:multiLevelType w:val="multilevel"/>
    <w:tmpl w:val="076EC4D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092A2EE1"/>
    <w:multiLevelType w:val="multilevel"/>
    <w:tmpl w:val="092A2EE1"/>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20">
    <w:nsid w:val="097D57CE"/>
    <w:multiLevelType w:val="singleLevel"/>
    <w:tmpl w:val="097D57CE"/>
    <w:lvl w:ilvl="0" w:tentative="0">
      <w:start w:val="1"/>
      <w:numFmt w:val="decimal"/>
      <w:lvlText w:val="%1)"/>
      <w:lvlJc w:val="left"/>
      <w:pPr>
        <w:ind w:left="425" w:hanging="425"/>
      </w:pPr>
      <w:rPr>
        <w:rFonts w:hint="default"/>
      </w:rPr>
    </w:lvl>
  </w:abstractNum>
  <w:abstractNum w:abstractNumId="21">
    <w:nsid w:val="238271D3"/>
    <w:multiLevelType w:val="multilevel"/>
    <w:tmpl w:val="238271D3"/>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2">
    <w:nsid w:val="262371B9"/>
    <w:multiLevelType w:val="singleLevel"/>
    <w:tmpl w:val="262371B9"/>
    <w:lvl w:ilvl="0" w:tentative="0">
      <w:start w:val="1"/>
      <w:numFmt w:val="decimal"/>
      <w:suff w:val="nothing"/>
      <w:lvlText w:val="%1）"/>
      <w:lvlJc w:val="left"/>
    </w:lvl>
  </w:abstractNum>
  <w:abstractNum w:abstractNumId="23">
    <w:nsid w:val="2C9EB8F2"/>
    <w:multiLevelType w:val="singleLevel"/>
    <w:tmpl w:val="2C9EB8F2"/>
    <w:lvl w:ilvl="0" w:tentative="0">
      <w:start w:val="1"/>
      <w:numFmt w:val="decimal"/>
      <w:suff w:val="nothing"/>
      <w:lvlText w:val="%1）"/>
      <w:lvlJc w:val="left"/>
    </w:lvl>
  </w:abstractNum>
  <w:abstractNum w:abstractNumId="24">
    <w:nsid w:val="36EB779E"/>
    <w:multiLevelType w:val="singleLevel"/>
    <w:tmpl w:val="36EB779E"/>
    <w:lvl w:ilvl="0" w:tentative="0">
      <w:start w:val="1"/>
      <w:numFmt w:val="decimal"/>
      <w:suff w:val="nothing"/>
      <w:lvlText w:val="%1）"/>
      <w:lvlJc w:val="left"/>
    </w:lvl>
  </w:abstractNum>
  <w:abstractNum w:abstractNumId="25">
    <w:nsid w:val="3A588825"/>
    <w:multiLevelType w:val="multilevel"/>
    <w:tmpl w:val="3A588825"/>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61"/>
      <w:lvlText w:val="%1%2"/>
      <w:lvlJc w:val="left"/>
      <w:pPr>
        <w:tabs>
          <w:tab w:val="left" w:pos="360"/>
        </w:tabs>
        <w:ind w:left="0" w:firstLine="0"/>
      </w:pPr>
      <w:rPr>
        <w:rFonts w:hint="eastAsia" w:ascii="黑体" w:hAnsi="Times New Roman" w:eastAsia="黑体"/>
        <w:b w:val="0"/>
        <w:bCs w:val="0"/>
        <w:i w:val="0"/>
        <w:sz w:val="21"/>
        <w:szCs w:val="21"/>
      </w:rPr>
    </w:lvl>
    <w:lvl w:ilvl="2" w:tentative="0">
      <w:start w:val="1"/>
      <w:numFmt w:val="decimal"/>
      <w:pStyle w:val="62"/>
      <w:lvlText w:val="%1%2.%3"/>
      <w:lvlJc w:val="left"/>
      <w:pPr>
        <w:tabs>
          <w:tab w:val="left" w:pos="0"/>
        </w:tabs>
        <w:ind w:left="0" w:firstLine="0"/>
      </w:pPr>
      <w:rPr>
        <w:rFonts w:hint="default" w:ascii="黑体" w:hAnsi="Times New Roman" w:eastAsia="黑体"/>
        <w:b w:val="0"/>
        <w:bCs w:val="0"/>
        <w:i w:val="0"/>
        <w:sz w:val="21"/>
      </w:rPr>
    </w:lvl>
    <w:lvl w:ilvl="3" w:tentative="0">
      <w:start w:val="1"/>
      <w:numFmt w:val="decimal"/>
      <w:pStyle w:val="63"/>
      <w:suff w:val="nothing"/>
      <w:lvlText w:val="%1%2.%3.%4"/>
      <w:lvlJc w:val="left"/>
      <w:pPr>
        <w:ind w:left="0" w:firstLine="0"/>
      </w:pPr>
      <w:rPr>
        <w:rFonts w:hint="default" w:ascii="黑体" w:hAnsi="Times New Roman" w:eastAsia="黑体"/>
        <w:b w:val="0"/>
        <w:bCs w:val="0"/>
        <w:i w:val="0"/>
        <w:sz w:val="21"/>
      </w:rPr>
    </w:lvl>
    <w:lvl w:ilvl="4" w:tentative="0">
      <w:start w:val="1"/>
      <w:numFmt w:val="decimal"/>
      <w:pStyle w:val="64"/>
      <w:lvlText w:val="%2.%3.%4.%5"/>
      <w:lvlJc w:val="left"/>
      <w:pPr>
        <w:tabs>
          <w:tab w:val="left" w:pos="1080"/>
        </w:tabs>
        <w:ind w:left="0" w:firstLine="0"/>
      </w:pPr>
      <w:rPr>
        <w:rFonts w:hint="eastAsia" w:ascii="黑体" w:hAnsi="Times New Roman" w:eastAsia="黑体"/>
        <w:b w:val="0"/>
        <w:bCs w:val="0"/>
        <w:i w:val="0"/>
        <w:sz w:val="21"/>
      </w:rPr>
    </w:lvl>
    <w:lvl w:ilvl="5" w:tentative="0">
      <w:start w:val="1"/>
      <w:numFmt w:val="decimal"/>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26">
    <w:nsid w:val="3F6A0791"/>
    <w:multiLevelType w:val="multilevel"/>
    <w:tmpl w:val="3F6A0791"/>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7">
    <w:nsid w:val="40930531"/>
    <w:multiLevelType w:val="multilevel"/>
    <w:tmpl w:val="4093053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4356775F"/>
    <w:multiLevelType w:val="singleLevel"/>
    <w:tmpl w:val="4356775F"/>
    <w:lvl w:ilvl="0" w:tentative="0">
      <w:start w:val="1"/>
      <w:numFmt w:val="decimal"/>
      <w:lvlText w:val="%1)"/>
      <w:lvlJc w:val="left"/>
      <w:pPr>
        <w:ind w:left="425" w:hanging="425"/>
      </w:pPr>
      <w:rPr>
        <w:rFonts w:hint="default"/>
      </w:rPr>
    </w:lvl>
  </w:abstractNum>
  <w:abstractNum w:abstractNumId="29">
    <w:nsid w:val="455173A2"/>
    <w:multiLevelType w:val="multilevel"/>
    <w:tmpl w:val="455173A2"/>
    <w:lvl w:ilvl="0" w:tentative="0">
      <w:start w:val="1"/>
      <w:numFmt w:val="lowerLetter"/>
      <w:pStyle w:val="132"/>
      <w:lvlText w:val="%1)"/>
      <w:lvlJc w:val="left"/>
      <w:pPr>
        <w:tabs>
          <w:tab w:val="left" w:pos="900"/>
        </w:tabs>
        <w:ind w:left="900" w:hanging="420"/>
      </w:pPr>
      <w:rPr>
        <w:rFonts w:hint="default" w:ascii="Times New Roman" w:hAnsi="Times New Roman" w:cs="Times New Roman"/>
      </w:rPr>
    </w:lvl>
    <w:lvl w:ilvl="1" w:tentative="0">
      <w:start w:val="1"/>
      <w:numFmt w:val="lowerLetter"/>
      <w:pStyle w:val="129"/>
      <w:lvlText w:val="%2)"/>
      <w:lvlJc w:val="left"/>
      <w:pPr>
        <w:tabs>
          <w:tab w:val="left" w:pos="1320"/>
        </w:tabs>
        <w:ind w:left="1320" w:hanging="420"/>
      </w:pPr>
      <w:rPr>
        <w:rFonts w:hint="default" w:ascii="Times New Roman" w:hAnsi="Times New Roman" w:cs="Times New Roman"/>
      </w:rPr>
    </w:lvl>
    <w:lvl w:ilvl="2" w:tentative="0">
      <w:start w:val="1"/>
      <w:numFmt w:val="lowerRoman"/>
      <w:pStyle w:val="128"/>
      <w:lvlText w:val="%3."/>
      <w:lvlJc w:val="right"/>
      <w:pPr>
        <w:tabs>
          <w:tab w:val="left" w:pos="1740"/>
        </w:tabs>
        <w:ind w:left="1740" w:hanging="420"/>
      </w:pPr>
      <w:rPr>
        <w:rFonts w:hint="default" w:ascii="Times New Roman" w:hAnsi="Times New Roman" w:cs="Times New Roman"/>
      </w:rPr>
    </w:lvl>
    <w:lvl w:ilvl="3" w:tentative="0">
      <w:start w:val="1"/>
      <w:numFmt w:val="decimal"/>
      <w:lvlText w:val="%4."/>
      <w:lvlJc w:val="left"/>
      <w:pPr>
        <w:tabs>
          <w:tab w:val="left" w:pos="2160"/>
        </w:tabs>
        <w:ind w:left="2160" w:hanging="420"/>
      </w:pPr>
      <w:rPr>
        <w:rFonts w:hint="default" w:ascii="Times New Roman" w:hAnsi="Times New Roman" w:cs="Times New Roman"/>
      </w:rPr>
    </w:lvl>
    <w:lvl w:ilvl="4" w:tentative="0">
      <w:start w:val="1"/>
      <w:numFmt w:val="lowerLetter"/>
      <w:lvlText w:val="%5)"/>
      <w:lvlJc w:val="left"/>
      <w:pPr>
        <w:tabs>
          <w:tab w:val="left" w:pos="2580"/>
        </w:tabs>
        <w:ind w:left="2580" w:hanging="420"/>
      </w:pPr>
      <w:rPr>
        <w:rFonts w:hint="default" w:ascii="Times New Roman" w:hAnsi="Times New Roman" w:cs="Times New Roman"/>
      </w:rPr>
    </w:lvl>
    <w:lvl w:ilvl="5" w:tentative="0">
      <w:start w:val="1"/>
      <w:numFmt w:val="lowerRoman"/>
      <w:lvlText w:val="%6."/>
      <w:lvlJc w:val="right"/>
      <w:pPr>
        <w:tabs>
          <w:tab w:val="left" w:pos="3000"/>
        </w:tabs>
        <w:ind w:left="3000" w:hanging="420"/>
      </w:pPr>
      <w:rPr>
        <w:rFonts w:hint="default" w:ascii="Times New Roman" w:hAnsi="Times New Roman" w:cs="Times New Roman"/>
      </w:rPr>
    </w:lvl>
    <w:lvl w:ilvl="6" w:tentative="0">
      <w:start w:val="1"/>
      <w:numFmt w:val="decimal"/>
      <w:lvlText w:val="%7."/>
      <w:lvlJc w:val="left"/>
      <w:pPr>
        <w:tabs>
          <w:tab w:val="left" w:pos="3420"/>
        </w:tabs>
        <w:ind w:left="3420" w:hanging="420"/>
      </w:pPr>
      <w:rPr>
        <w:rFonts w:hint="default" w:ascii="Times New Roman" w:hAnsi="Times New Roman" w:cs="Times New Roman"/>
      </w:rPr>
    </w:lvl>
    <w:lvl w:ilvl="7" w:tentative="0">
      <w:start w:val="1"/>
      <w:numFmt w:val="lowerLetter"/>
      <w:lvlText w:val="%8)"/>
      <w:lvlJc w:val="left"/>
      <w:pPr>
        <w:tabs>
          <w:tab w:val="left" w:pos="3840"/>
        </w:tabs>
        <w:ind w:left="3840" w:hanging="420"/>
      </w:pPr>
      <w:rPr>
        <w:rFonts w:hint="default" w:ascii="Times New Roman" w:hAnsi="Times New Roman" w:cs="Times New Roman"/>
      </w:rPr>
    </w:lvl>
    <w:lvl w:ilvl="8" w:tentative="0">
      <w:start w:val="1"/>
      <w:numFmt w:val="lowerRoman"/>
      <w:lvlText w:val="%9."/>
      <w:lvlJc w:val="right"/>
      <w:pPr>
        <w:tabs>
          <w:tab w:val="left" w:pos="4260"/>
        </w:tabs>
        <w:ind w:left="4260" w:hanging="420"/>
      </w:pPr>
      <w:rPr>
        <w:rFonts w:hint="default" w:ascii="Times New Roman" w:hAnsi="Times New Roman" w:cs="Times New Roman"/>
      </w:rPr>
    </w:lvl>
  </w:abstractNum>
  <w:abstractNum w:abstractNumId="30">
    <w:nsid w:val="45BB2DC6"/>
    <w:multiLevelType w:val="singleLevel"/>
    <w:tmpl w:val="45BB2DC6"/>
    <w:lvl w:ilvl="0" w:tentative="0">
      <w:start w:val="1"/>
      <w:numFmt w:val="decimal"/>
      <w:lvlText w:val="%1)"/>
      <w:lvlJc w:val="left"/>
      <w:pPr>
        <w:ind w:left="425" w:hanging="425"/>
      </w:pPr>
      <w:rPr>
        <w:rFonts w:hint="default"/>
      </w:rPr>
    </w:lvl>
  </w:abstractNum>
  <w:abstractNum w:abstractNumId="31">
    <w:nsid w:val="47873DB9"/>
    <w:multiLevelType w:val="multilevel"/>
    <w:tmpl w:val="47873DB9"/>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2">
    <w:nsid w:val="4C718DD9"/>
    <w:multiLevelType w:val="singleLevel"/>
    <w:tmpl w:val="4C718DD9"/>
    <w:lvl w:ilvl="0" w:tentative="0">
      <w:start w:val="1"/>
      <w:numFmt w:val="decimal"/>
      <w:suff w:val="nothing"/>
      <w:lvlText w:val="%1）"/>
      <w:lvlJc w:val="left"/>
    </w:lvl>
  </w:abstractNum>
  <w:abstractNum w:abstractNumId="33">
    <w:nsid w:val="4E843715"/>
    <w:multiLevelType w:val="singleLevel"/>
    <w:tmpl w:val="4E843715"/>
    <w:lvl w:ilvl="0" w:tentative="0">
      <w:start w:val="1"/>
      <w:numFmt w:val="decimal"/>
      <w:lvlText w:val="%1)"/>
      <w:lvlJc w:val="left"/>
      <w:pPr>
        <w:tabs>
          <w:tab w:val="left" w:pos="425"/>
        </w:tabs>
        <w:ind w:left="425" w:hanging="425"/>
      </w:pPr>
      <w:rPr>
        <w:rFonts w:hint="default"/>
      </w:rPr>
    </w:lvl>
  </w:abstractNum>
  <w:abstractNum w:abstractNumId="34">
    <w:nsid w:val="5A01AF45"/>
    <w:multiLevelType w:val="singleLevel"/>
    <w:tmpl w:val="5A01AF45"/>
    <w:lvl w:ilvl="0" w:tentative="0">
      <w:start w:val="1"/>
      <w:numFmt w:val="decimal"/>
      <w:lvlText w:val="%1)"/>
      <w:lvlJc w:val="left"/>
      <w:pPr>
        <w:ind w:left="425" w:hanging="425"/>
      </w:pPr>
      <w:rPr>
        <w:rFonts w:hint="default"/>
      </w:rPr>
    </w:lvl>
  </w:abstractNum>
  <w:abstractNum w:abstractNumId="35">
    <w:nsid w:val="5C1EB513"/>
    <w:multiLevelType w:val="singleLevel"/>
    <w:tmpl w:val="5C1EB513"/>
    <w:lvl w:ilvl="0" w:tentative="0">
      <w:start w:val="1"/>
      <w:numFmt w:val="decimal"/>
      <w:suff w:val="nothing"/>
      <w:lvlText w:val="%1）"/>
      <w:lvlJc w:val="left"/>
    </w:lvl>
  </w:abstractNum>
  <w:abstractNum w:abstractNumId="36">
    <w:nsid w:val="5F700AFE"/>
    <w:multiLevelType w:val="singleLevel"/>
    <w:tmpl w:val="5F700AFE"/>
    <w:lvl w:ilvl="0" w:tentative="0">
      <w:start w:val="1"/>
      <w:numFmt w:val="decimal"/>
      <w:lvlText w:val="%1)"/>
      <w:lvlJc w:val="left"/>
      <w:pPr>
        <w:ind w:left="425" w:hanging="425"/>
      </w:pPr>
      <w:rPr>
        <w:rFonts w:hint="default"/>
      </w:rPr>
    </w:lvl>
  </w:abstractNum>
  <w:abstractNum w:abstractNumId="37">
    <w:nsid w:val="65DC6A27"/>
    <w:multiLevelType w:val="multilevel"/>
    <w:tmpl w:val="65DC6A27"/>
    <w:lvl w:ilvl="0" w:tentative="0">
      <w:start w:val="1"/>
      <w:numFmt w:val="decimal"/>
      <w:suff w:val="nothing"/>
      <w:lvlText w:val="%1"/>
      <w:lvlJc w:val="center"/>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8">
    <w:nsid w:val="69077F34"/>
    <w:multiLevelType w:val="singleLevel"/>
    <w:tmpl w:val="69077F34"/>
    <w:lvl w:ilvl="0" w:tentative="0">
      <w:start w:val="1"/>
      <w:numFmt w:val="decimal"/>
      <w:lvlText w:val="%1)"/>
      <w:lvlJc w:val="left"/>
      <w:pPr>
        <w:ind w:left="425" w:hanging="425"/>
      </w:pPr>
      <w:rPr>
        <w:rFonts w:hint="default"/>
      </w:rPr>
    </w:lvl>
  </w:abstractNum>
  <w:abstractNum w:abstractNumId="39">
    <w:nsid w:val="6AB736F4"/>
    <w:multiLevelType w:val="multilevel"/>
    <w:tmpl w:val="6AB736F4"/>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0">
    <w:nsid w:val="6C9F46CC"/>
    <w:multiLevelType w:val="singleLevel"/>
    <w:tmpl w:val="6C9F46CC"/>
    <w:lvl w:ilvl="0" w:tentative="0">
      <w:start w:val="1"/>
      <w:numFmt w:val="decimal"/>
      <w:lvlText w:val="%1)"/>
      <w:lvlJc w:val="left"/>
      <w:pPr>
        <w:tabs>
          <w:tab w:val="left" w:pos="425"/>
        </w:tabs>
        <w:ind w:left="425" w:hanging="425"/>
      </w:pPr>
      <w:rPr>
        <w:rFonts w:hint="default"/>
      </w:rPr>
    </w:lvl>
  </w:abstractNum>
  <w:abstractNum w:abstractNumId="41">
    <w:nsid w:val="6CB11212"/>
    <w:multiLevelType w:val="multilevel"/>
    <w:tmpl w:val="6CB11212"/>
    <w:lvl w:ilvl="0" w:tentative="0">
      <w:start w:val="1"/>
      <w:numFmt w:val="decimal"/>
      <w:pStyle w:val="12"/>
      <w:lvlText w:val="%1"/>
      <w:lvlJc w:val="left"/>
      <w:pPr>
        <w:tabs>
          <w:tab w:val="left" w:pos="425"/>
        </w:tabs>
        <w:ind w:left="425" w:hanging="425"/>
      </w:pPr>
      <w:rPr>
        <w:rFonts w:hint="default" w:ascii="Times New Roman" w:hAnsi="Times New Roman"/>
        <w:b/>
        <w:i w:val="0"/>
        <w:sz w:val="28"/>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2">
    <w:nsid w:val="6CB360DB"/>
    <w:multiLevelType w:val="multilevel"/>
    <w:tmpl w:val="6CB360DB"/>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3">
    <w:nsid w:val="6CEA2025"/>
    <w:multiLevelType w:val="multilevel"/>
    <w:tmpl w:val="6CEA2025"/>
    <w:lvl w:ilvl="0" w:tentative="0">
      <w:start w:val="1"/>
      <w:numFmt w:val="none"/>
      <w:pStyle w:val="89"/>
      <w:suff w:val="nothing"/>
      <w:lvlText w:val="%1"/>
      <w:lvlJc w:val="left"/>
      <w:pPr>
        <w:ind w:left="0" w:firstLine="0"/>
      </w:pPr>
      <w:rPr>
        <w:rFonts w:hint="eastAsia"/>
      </w:rPr>
    </w:lvl>
    <w:lvl w:ilvl="1" w:tentative="0">
      <w:start w:val="1"/>
      <w:numFmt w:val="decimal"/>
      <w:pStyle w:val="87"/>
      <w:suff w:val="nothing"/>
      <w:lvlText w:val="%1%2　"/>
      <w:lvlJc w:val="left"/>
      <w:pPr>
        <w:ind w:left="851" w:firstLine="0"/>
      </w:pPr>
      <w:rPr>
        <w:rFonts w:hint="eastAsia" w:ascii="黑体" w:eastAsia="黑体"/>
        <w:b w:val="0"/>
        <w:i w:val="0"/>
        <w:sz w:val="21"/>
      </w:rPr>
    </w:lvl>
    <w:lvl w:ilvl="2" w:tentative="0">
      <w:start w:val="1"/>
      <w:numFmt w:val="decimal"/>
      <w:pStyle w:val="88"/>
      <w:suff w:val="nothing"/>
      <w:lvlText w:val="%1%2.%3　"/>
      <w:lvlJc w:val="left"/>
      <w:pPr>
        <w:ind w:left="99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708" w:firstLine="0"/>
      </w:pPr>
      <w:rPr>
        <w:rFonts w:hint="eastAsia" w:ascii="黑体" w:eastAsia="黑体"/>
        <w:b w:val="0"/>
        <w:i w:val="0"/>
        <w:sz w:val="21"/>
      </w:rPr>
    </w:lvl>
    <w:lvl w:ilvl="6" w:tentative="0">
      <w:start w:val="1"/>
      <w:numFmt w:val="decimal"/>
      <w:pStyle w:val="8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4">
    <w:nsid w:val="6E28316A"/>
    <w:multiLevelType w:val="multilevel"/>
    <w:tmpl w:val="6E28316A"/>
    <w:lvl w:ilvl="0" w:tentative="0">
      <w:start w:val="1"/>
      <w:numFmt w:val="decimal"/>
      <w:suff w:val="nothing"/>
      <w:lvlText w:val="%1"/>
      <w:lvlJc w:val="center"/>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5">
    <w:nsid w:val="7AED1F44"/>
    <w:multiLevelType w:val="multilevel"/>
    <w:tmpl w:val="7AED1F44"/>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6">
    <w:nsid w:val="7C7569D1"/>
    <w:multiLevelType w:val="multilevel"/>
    <w:tmpl w:val="7C7569D1"/>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9"/>
  </w:num>
  <w:num w:numId="2">
    <w:abstractNumId w:val="41"/>
  </w:num>
  <w:num w:numId="3">
    <w:abstractNumId w:val="25"/>
  </w:num>
  <w:num w:numId="4">
    <w:abstractNumId w:val="4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8"/>
  </w:num>
  <w:num w:numId="8">
    <w:abstractNumId w:val="6"/>
  </w:num>
  <w:num w:numId="9">
    <w:abstractNumId w:val="44"/>
  </w:num>
  <w:num w:numId="10">
    <w:abstractNumId w:val="27"/>
  </w:num>
  <w:num w:numId="11">
    <w:abstractNumId w:val="16"/>
  </w:num>
  <w:num w:numId="12">
    <w:abstractNumId w:val="45"/>
  </w:num>
  <w:num w:numId="13">
    <w:abstractNumId w:val="15"/>
  </w:num>
  <w:num w:numId="14">
    <w:abstractNumId w:val="12"/>
  </w:num>
  <w:num w:numId="15">
    <w:abstractNumId w:val="14"/>
  </w:num>
  <w:num w:numId="16">
    <w:abstractNumId w:val="13"/>
  </w:num>
  <w:num w:numId="17">
    <w:abstractNumId w:val="22"/>
  </w:num>
  <w:num w:numId="18">
    <w:abstractNumId w:val="38"/>
  </w:num>
  <w:num w:numId="19">
    <w:abstractNumId w:val="24"/>
  </w:num>
  <w:num w:numId="20">
    <w:abstractNumId w:val="5"/>
  </w:num>
  <w:num w:numId="21">
    <w:abstractNumId w:val="3"/>
  </w:num>
  <w:num w:numId="22">
    <w:abstractNumId w:val="2"/>
  </w:num>
  <w:num w:numId="23">
    <w:abstractNumId w:val="0"/>
  </w:num>
  <w:num w:numId="24">
    <w:abstractNumId w:val="7"/>
  </w:num>
  <w:num w:numId="25">
    <w:abstractNumId w:val="33"/>
  </w:num>
  <w:num w:numId="26">
    <w:abstractNumId w:val="9"/>
  </w:num>
  <w:num w:numId="27">
    <w:abstractNumId w:val="40"/>
  </w:num>
  <w:num w:numId="28">
    <w:abstractNumId w:val="20"/>
  </w:num>
  <w:num w:numId="29">
    <w:abstractNumId w:val="32"/>
  </w:num>
  <w:num w:numId="30">
    <w:abstractNumId w:val="10"/>
  </w:num>
  <w:num w:numId="31">
    <w:abstractNumId w:val="35"/>
  </w:num>
  <w:num w:numId="32">
    <w:abstractNumId w:val="11"/>
  </w:num>
  <w:num w:numId="33">
    <w:abstractNumId w:val="17"/>
  </w:num>
  <w:num w:numId="34">
    <w:abstractNumId w:val="30"/>
  </w:num>
  <w:num w:numId="35">
    <w:abstractNumId w:val="23"/>
  </w:num>
  <w:num w:numId="36">
    <w:abstractNumId w:val="34"/>
  </w:num>
  <w:num w:numId="37">
    <w:abstractNumId w:val="1"/>
  </w:num>
  <w:num w:numId="38">
    <w:abstractNumId w:val="36"/>
  </w:num>
  <w:num w:numId="39">
    <w:abstractNumId w:val="4"/>
  </w:num>
  <w:num w:numId="40">
    <w:abstractNumId w:val="18"/>
  </w:num>
  <w:num w:numId="41">
    <w:abstractNumId w:val="28"/>
  </w:num>
  <w:num w:numId="42">
    <w:abstractNumId w:val="37"/>
  </w:num>
  <w:num w:numId="43">
    <w:abstractNumId w:val="46"/>
  </w:num>
  <w:num w:numId="44">
    <w:abstractNumId w:val="26"/>
  </w:num>
  <w:num w:numId="45">
    <w:abstractNumId w:val="39"/>
  </w:num>
  <w:num w:numId="46">
    <w:abstractNumId w:val="21"/>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AyMzU5NjUxNDA0MzhkY2VjNDU4YzkxYTUwYjM3Y2QifQ=="/>
  </w:docVars>
  <w:rsids>
    <w:rsidRoot w:val="003E24C5"/>
    <w:rsid w:val="00001C8C"/>
    <w:rsid w:val="00002E87"/>
    <w:rsid w:val="00002F77"/>
    <w:rsid w:val="000037BB"/>
    <w:rsid w:val="000046DE"/>
    <w:rsid w:val="00005F87"/>
    <w:rsid w:val="000064EE"/>
    <w:rsid w:val="0000662C"/>
    <w:rsid w:val="00011C3A"/>
    <w:rsid w:val="00012178"/>
    <w:rsid w:val="00012B23"/>
    <w:rsid w:val="00013745"/>
    <w:rsid w:val="00014B58"/>
    <w:rsid w:val="00015038"/>
    <w:rsid w:val="0001533B"/>
    <w:rsid w:val="00016ABB"/>
    <w:rsid w:val="00016C13"/>
    <w:rsid w:val="00017043"/>
    <w:rsid w:val="00021E51"/>
    <w:rsid w:val="000253DB"/>
    <w:rsid w:val="00025588"/>
    <w:rsid w:val="000263E2"/>
    <w:rsid w:val="00026928"/>
    <w:rsid w:val="000271AF"/>
    <w:rsid w:val="0002735B"/>
    <w:rsid w:val="000277D3"/>
    <w:rsid w:val="00027EE8"/>
    <w:rsid w:val="000305EE"/>
    <w:rsid w:val="00031B0D"/>
    <w:rsid w:val="000324AF"/>
    <w:rsid w:val="000325F4"/>
    <w:rsid w:val="00034D90"/>
    <w:rsid w:val="00034EFD"/>
    <w:rsid w:val="000351F9"/>
    <w:rsid w:val="000362FA"/>
    <w:rsid w:val="0003630F"/>
    <w:rsid w:val="00036AF2"/>
    <w:rsid w:val="00036E38"/>
    <w:rsid w:val="00040D1B"/>
    <w:rsid w:val="000419CA"/>
    <w:rsid w:val="00042D81"/>
    <w:rsid w:val="000438E5"/>
    <w:rsid w:val="000448D5"/>
    <w:rsid w:val="00044A3F"/>
    <w:rsid w:val="00044D91"/>
    <w:rsid w:val="00044EB7"/>
    <w:rsid w:val="0004552B"/>
    <w:rsid w:val="00045ECA"/>
    <w:rsid w:val="00046760"/>
    <w:rsid w:val="00046F48"/>
    <w:rsid w:val="00047272"/>
    <w:rsid w:val="0004782E"/>
    <w:rsid w:val="00047EE5"/>
    <w:rsid w:val="000502FF"/>
    <w:rsid w:val="000515ED"/>
    <w:rsid w:val="0005239E"/>
    <w:rsid w:val="00052856"/>
    <w:rsid w:val="00052E82"/>
    <w:rsid w:val="00053488"/>
    <w:rsid w:val="000535AD"/>
    <w:rsid w:val="0005376B"/>
    <w:rsid w:val="00053EF1"/>
    <w:rsid w:val="00054159"/>
    <w:rsid w:val="00054575"/>
    <w:rsid w:val="000547A0"/>
    <w:rsid w:val="00054C70"/>
    <w:rsid w:val="00055250"/>
    <w:rsid w:val="000556DD"/>
    <w:rsid w:val="00056710"/>
    <w:rsid w:val="0005673C"/>
    <w:rsid w:val="00056B1D"/>
    <w:rsid w:val="00056CA1"/>
    <w:rsid w:val="0006086B"/>
    <w:rsid w:val="00061CC3"/>
    <w:rsid w:val="00062C32"/>
    <w:rsid w:val="00064528"/>
    <w:rsid w:val="000658F9"/>
    <w:rsid w:val="00065E43"/>
    <w:rsid w:val="00066378"/>
    <w:rsid w:val="00066CBB"/>
    <w:rsid w:val="000670AE"/>
    <w:rsid w:val="00067431"/>
    <w:rsid w:val="00067EE8"/>
    <w:rsid w:val="00070143"/>
    <w:rsid w:val="000717B8"/>
    <w:rsid w:val="00071968"/>
    <w:rsid w:val="00071E97"/>
    <w:rsid w:val="00072708"/>
    <w:rsid w:val="00072A26"/>
    <w:rsid w:val="00072DB2"/>
    <w:rsid w:val="00072E34"/>
    <w:rsid w:val="000731E8"/>
    <w:rsid w:val="00076899"/>
    <w:rsid w:val="00077744"/>
    <w:rsid w:val="00077EC9"/>
    <w:rsid w:val="00084BB1"/>
    <w:rsid w:val="00084F7F"/>
    <w:rsid w:val="000854E8"/>
    <w:rsid w:val="000863B6"/>
    <w:rsid w:val="0008684D"/>
    <w:rsid w:val="00086850"/>
    <w:rsid w:val="00086C42"/>
    <w:rsid w:val="00086C89"/>
    <w:rsid w:val="00087480"/>
    <w:rsid w:val="00090A52"/>
    <w:rsid w:val="0009118E"/>
    <w:rsid w:val="00091AC5"/>
    <w:rsid w:val="00091F09"/>
    <w:rsid w:val="0009258B"/>
    <w:rsid w:val="00092A8D"/>
    <w:rsid w:val="00092D82"/>
    <w:rsid w:val="00092E8A"/>
    <w:rsid w:val="00093A79"/>
    <w:rsid w:val="0009487D"/>
    <w:rsid w:val="000952D2"/>
    <w:rsid w:val="000956AE"/>
    <w:rsid w:val="000962F9"/>
    <w:rsid w:val="00097057"/>
    <w:rsid w:val="000974C9"/>
    <w:rsid w:val="000A36D2"/>
    <w:rsid w:val="000A3B72"/>
    <w:rsid w:val="000A3E9F"/>
    <w:rsid w:val="000A48B6"/>
    <w:rsid w:val="000A5A33"/>
    <w:rsid w:val="000A6325"/>
    <w:rsid w:val="000A64D2"/>
    <w:rsid w:val="000A7013"/>
    <w:rsid w:val="000B19C7"/>
    <w:rsid w:val="000B23E8"/>
    <w:rsid w:val="000B2851"/>
    <w:rsid w:val="000B2F05"/>
    <w:rsid w:val="000B31B9"/>
    <w:rsid w:val="000B3449"/>
    <w:rsid w:val="000B3F21"/>
    <w:rsid w:val="000B441A"/>
    <w:rsid w:val="000B5969"/>
    <w:rsid w:val="000B6070"/>
    <w:rsid w:val="000B6778"/>
    <w:rsid w:val="000B7BFC"/>
    <w:rsid w:val="000B7C50"/>
    <w:rsid w:val="000C1BBE"/>
    <w:rsid w:val="000C53C0"/>
    <w:rsid w:val="000C593E"/>
    <w:rsid w:val="000C64A9"/>
    <w:rsid w:val="000C71A6"/>
    <w:rsid w:val="000C77C8"/>
    <w:rsid w:val="000D001D"/>
    <w:rsid w:val="000D0BD5"/>
    <w:rsid w:val="000D242B"/>
    <w:rsid w:val="000D3342"/>
    <w:rsid w:val="000D37A4"/>
    <w:rsid w:val="000D437E"/>
    <w:rsid w:val="000D4C42"/>
    <w:rsid w:val="000D5EEC"/>
    <w:rsid w:val="000D7F55"/>
    <w:rsid w:val="000E0045"/>
    <w:rsid w:val="000E07A9"/>
    <w:rsid w:val="000E0B97"/>
    <w:rsid w:val="000E0FBC"/>
    <w:rsid w:val="000E21F9"/>
    <w:rsid w:val="000E2760"/>
    <w:rsid w:val="000E34D3"/>
    <w:rsid w:val="000E3772"/>
    <w:rsid w:val="000E4B35"/>
    <w:rsid w:val="000E4C87"/>
    <w:rsid w:val="000E585C"/>
    <w:rsid w:val="000E5A79"/>
    <w:rsid w:val="000E5BD7"/>
    <w:rsid w:val="000E5C47"/>
    <w:rsid w:val="000E6809"/>
    <w:rsid w:val="000E6C0C"/>
    <w:rsid w:val="000E6F33"/>
    <w:rsid w:val="000E7159"/>
    <w:rsid w:val="000F0AA3"/>
    <w:rsid w:val="000F10FF"/>
    <w:rsid w:val="000F17FF"/>
    <w:rsid w:val="000F18A5"/>
    <w:rsid w:val="000F1B3A"/>
    <w:rsid w:val="000F3316"/>
    <w:rsid w:val="000F3C07"/>
    <w:rsid w:val="000F4245"/>
    <w:rsid w:val="000F432B"/>
    <w:rsid w:val="000F6AC2"/>
    <w:rsid w:val="000F79C8"/>
    <w:rsid w:val="001012E7"/>
    <w:rsid w:val="00101AA5"/>
    <w:rsid w:val="00101EB5"/>
    <w:rsid w:val="001022B2"/>
    <w:rsid w:val="00102B6A"/>
    <w:rsid w:val="00102E83"/>
    <w:rsid w:val="00104B98"/>
    <w:rsid w:val="001055F4"/>
    <w:rsid w:val="0010724A"/>
    <w:rsid w:val="00107400"/>
    <w:rsid w:val="00107824"/>
    <w:rsid w:val="00110B9C"/>
    <w:rsid w:val="001117E9"/>
    <w:rsid w:val="00113243"/>
    <w:rsid w:val="00113267"/>
    <w:rsid w:val="00113747"/>
    <w:rsid w:val="00114C95"/>
    <w:rsid w:val="00116B39"/>
    <w:rsid w:val="00117308"/>
    <w:rsid w:val="001174F1"/>
    <w:rsid w:val="00117A0A"/>
    <w:rsid w:val="00117C06"/>
    <w:rsid w:val="0012079F"/>
    <w:rsid w:val="00120D61"/>
    <w:rsid w:val="00120EB6"/>
    <w:rsid w:val="001217B7"/>
    <w:rsid w:val="001225E0"/>
    <w:rsid w:val="001232C3"/>
    <w:rsid w:val="001237F6"/>
    <w:rsid w:val="001241C6"/>
    <w:rsid w:val="0012437B"/>
    <w:rsid w:val="001244B3"/>
    <w:rsid w:val="00124837"/>
    <w:rsid w:val="00125791"/>
    <w:rsid w:val="0012668F"/>
    <w:rsid w:val="00126E09"/>
    <w:rsid w:val="0012769C"/>
    <w:rsid w:val="00132146"/>
    <w:rsid w:val="001321B9"/>
    <w:rsid w:val="00132BC5"/>
    <w:rsid w:val="00133767"/>
    <w:rsid w:val="00133912"/>
    <w:rsid w:val="00133F01"/>
    <w:rsid w:val="0013439D"/>
    <w:rsid w:val="00135A3D"/>
    <w:rsid w:val="001372BC"/>
    <w:rsid w:val="0013730D"/>
    <w:rsid w:val="00137567"/>
    <w:rsid w:val="00137B0F"/>
    <w:rsid w:val="0014324C"/>
    <w:rsid w:val="00143488"/>
    <w:rsid w:val="00143750"/>
    <w:rsid w:val="00143D35"/>
    <w:rsid w:val="001454F1"/>
    <w:rsid w:val="00145776"/>
    <w:rsid w:val="00145EBF"/>
    <w:rsid w:val="00146C34"/>
    <w:rsid w:val="0014723A"/>
    <w:rsid w:val="0014738D"/>
    <w:rsid w:val="00147760"/>
    <w:rsid w:val="00150663"/>
    <w:rsid w:val="00151DA3"/>
    <w:rsid w:val="001525AF"/>
    <w:rsid w:val="00152DE4"/>
    <w:rsid w:val="001534DF"/>
    <w:rsid w:val="0015429D"/>
    <w:rsid w:val="001544AD"/>
    <w:rsid w:val="0015463A"/>
    <w:rsid w:val="0015640F"/>
    <w:rsid w:val="00156608"/>
    <w:rsid w:val="001567DE"/>
    <w:rsid w:val="001579E1"/>
    <w:rsid w:val="0016005A"/>
    <w:rsid w:val="00161785"/>
    <w:rsid w:val="0016255A"/>
    <w:rsid w:val="001626D2"/>
    <w:rsid w:val="00162F5D"/>
    <w:rsid w:val="001638ED"/>
    <w:rsid w:val="001640E0"/>
    <w:rsid w:val="001679CF"/>
    <w:rsid w:val="001701DA"/>
    <w:rsid w:val="00170B09"/>
    <w:rsid w:val="00170F11"/>
    <w:rsid w:val="001720A3"/>
    <w:rsid w:val="001720EC"/>
    <w:rsid w:val="00172592"/>
    <w:rsid w:val="00172753"/>
    <w:rsid w:val="00172D7E"/>
    <w:rsid w:val="00173E0E"/>
    <w:rsid w:val="00174ABE"/>
    <w:rsid w:val="0017500B"/>
    <w:rsid w:val="00175573"/>
    <w:rsid w:val="00180405"/>
    <w:rsid w:val="0018154A"/>
    <w:rsid w:val="00182929"/>
    <w:rsid w:val="00182BB5"/>
    <w:rsid w:val="00184740"/>
    <w:rsid w:val="00185AD4"/>
    <w:rsid w:val="001864F8"/>
    <w:rsid w:val="001865A0"/>
    <w:rsid w:val="001865A7"/>
    <w:rsid w:val="00186954"/>
    <w:rsid w:val="00186F3E"/>
    <w:rsid w:val="0018729A"/>
    <w:rsid w:val="00187480"/>
    <w:rsid w:val="0018791E"/>
    <w:rsid w:val="001908E5"/>
    <w:rsid w:val="001911AC"/>
    <w:rsid w:val="0019181F"/>
    <w:rsid w:val="00191BC5"/>
    <w:rsid w:val="00192D73"/>
    <w:rsid w:val="00192DCA"/>
    <w:rsid w:val="001933DA"/>
    <w:rsid w:val="0019367A"/>
    <w:rsid w:val="00193F90"/>
    <w:rsid w:val="001949D2"/>
    <w:rsid w:val="00195FE9"/>
    <w:rsid w:val="00196EB7"/>
    <w:rsid w:val="00197285"/>
    <w:rsid w:val="00197906"/>
    <w:rsid w:val="001A0772"/>
    <w:rsid w:val="001A1140"/>
    <w:rsid w:val="001A4F49"/>
    <w:rsid w:val="001B27BB"/>
    <w:rsid w:val="001B4222"/>
    <w:rsid w:val="001C1181"/>
    <w:rsid w:val="001C1754"/>
    <w:rsid w:val="001C25F9"/>
    <w:rsid w:val="001C4AEC"/>
    <w:rsid w:val="001C5035"/>
    <w:rsid w:val="001C588B"/>
    <w:rsid w:val="001C6674"/>
    <w:rsid w:val="001C71D3"/>
    <w:rsid w:val="001C71F9"/>
    <w:rsid w:val="001D1833"/>
    <w:rsid w:val="001D3245"/>
    <w:rsid w:val="001D4D1F"/>
    <w:rsid w:val="001D53B0"/>
    <w:rsid w:val="001D77F6"/>
    <w:rsid w:val="001D78F8"/>
    <w:rsid w:val="001D7D00"/>
    <w:rsid w:val="001E156D"/>
    <w:rsid w:val="001E15F2"/>
    <w:rsid w:val="001E1AB4"/>
    <w:rsid w:val="001E1B1D"/>
    <w:rsid w:val="001E24A1"/>
    <w:rsid w:val="001E28E5"/>
    <w:rsid w:val="001E31F7"/>
    <w:rsid w:val="001E49D3"/>
    <w:rsid w:val="001E4BD6"/>
    <w:rsid w:val="001E7C27"/>
    <w:rsid w:val="001F05D6"/>
    <w:rsid w:val="001F07A5"/>
    <w:rsid w:val="001F1441"/>
    <w:rsid w:val="001F2C6F"/>
    <w:rsid w:val="001F33F2"/>
    <w:rsid w:val="001F3B1B"/>
    <w:rsid w:val="001F4718"/>
    <w:rsid w:val="001F520A"/>
    <w:rsid w:val="001F6240"/>
    <w:rsid w:val="001F6860"/>
    <w:rsid w:val="001F7165"/>
    <w:rsid w:val="001F7F61"/>
    <w:rsid w:val="00200CF5"/>
    <w:rsid w:val="00201A0D"/>
    <w:rsid w:val="002023D5"/>
    <w:rsid w:val="002025C1"/>
    <w:rsid w:val="00202EB9"/>
    <w:rsid w:val="00202F39"/>
    <w:rsid w:val="00203772"/>
    <w:rsid w:val="002045BC"/>
    <w:rsid w:val="002057CB"/>
    <w:rsid w:val="002060A2"/>
    <w:rsid w:val="00210575"/>
    <w:rsid w:val="00210D1A"/>
    <w:rsid w:val="0021110F"/>
    <w:rsid w:val="002117C3"/>
    <w:rsid w:val="0021253D"/>
    <w:rsid w:val="00212ADC"/>
    <w:rsid w:val="00213C90"/>
    <w:rsid w:val="00214D06"/>
    <w:rsid w:val="00215041"/>
    <w:rsid w:val="0021591F"/>
    <w:rsid w:val="00216431"/>
    <w:rsid w:val="00216D42"/>
    <w:rsid w:val="0021713C"/>
    <w:rsid w:val="00217479"/>
    <w:rsid w:val="00217700"/>
    <w:rsid w:val="00217AF6"/>
    <w:rsid w:val="00221A2C"/>
    <w:rsid w:val="00222E59"/>
    <w:rsid w:val="00223706"/>
    <w:rsid w:val="0022381D"/>
    <w:rsid w:val="00223D24"/>
    <w:rsid w:val="002241A3"/>
    <w:rsid w:val="0022613F"/>
    <w:rsid w:val="0022640A"/>
    <w:rsid w:val="002320C0"/>
    <w:rsid w:val="00233410"/>
    <w:rsid w:val="00234D16"/>
    <w:rsid w:val="00236644"/>
    <w:rsid w:val="00237C5B"/>
    <w:rsid w:val="00240405"/>
    <w:rsid w:val="00240744"/>
    <w:rsid w:val="00240AC9"/>
    <w:rsid w:val="00240BE3"/>
    <w:rsid w:val="00240F20"/>
    <w:rsid w:val="0024338E"/>
    <w:rsid w:val="00243A92"/>
    <w:rsid w:val="00243D10"/>
    <w:rsid w:val="002443BE"/>
    <w:rsid w:val="002449FE"/>
    <w:rsid w:val="00244CBE"/>
    <w:rsid w:val="00245260"/>
    <w:rsid w:val="00245919"/>
    <w:rsid w:val="00245B6B"/>
    <w:rsid w:val="00246F84"/>
    <w:rsid w:val="002502AA"/>
    <w:rsid w:val="00250410"/>
    <w:rsid w:val="00250D3D"/>
    <w:rsid w:val="0025320A"/>
    <w:rsid w:val="00253411"/>
    <w:rsid w:val="002546CE"/>
    <w:rsid w:val="00254BF7"/>
    <w:rsid w:val="00254DF9"/>
    <w:rsid w:val="00256899"/>
    <w:rsid w:val="0025775E"/>
    <w:rsid w:val="00260EC8"/>
    <w:rsid w:val="002619A8"/>
    <w:rsid w:val="00261B42"/>
    <w:rsid w:val="00263405"/>
    <w:rsid w:val="00263C62"/>
    <w:rsid w:val="00264742"/>
    <w:rsid w:val="00264B55"/>
    <w:rsid w:val="0026518F"/>
    <w:rsid w:val="00266D67"/>
    <w:rsid w:val="00267CFA"/>
    <w:rsid w:val="00267D29"/>
    <w:rsid w:val="00270495"/>
    <w:rsid w:val="0027095D"/>
    <w:rsid w:val="0027100C"/>
    <w:rsid w:val="002715C0"/>
    <w:rsid w:val="00271877"/>
    <w:rsid w:val="00272E0B"/>
    <w:rsid w:val="00273EAC"/>
    <w:rsid w:val="002742BF"/>
    <w:rsid w:val="00274BE8"/>
    <w:rsid w:val="00277956"/>
    <w:rsid w:val="0028010E"/>
    <w:rsid w:val="00280322"/>
    <w:rsid w:val="00280505"/>
    <w:rsid w:val="002815FC"/>
    <w:rsid w:val="00281C10"/>
    <w:rsid w:val="0028257F"/>
    <w:rsid w:val="0028326B"/>
    <w:rsid w:val="002846E0"/>
    <w:rsid w:val="002848D4"/>
    <w:rsid w:val="00284C4F"/>
    <w:rsid w:val="00286076"/>
    <w:rsid w:val="0028653E"/>
    <w:rsid w:val="00290560"/>
    <w:rsid w:val="002A0147"/>
    <w:rsid w:val="002A16BD"/>
    <w:rsid w:val="002A19B6"/>
    <w:rsid w:val="002A4FEE"/>
    <w:rsid w:val="002A50B0"/>
    <w:rsid w:val="002A532D"/>
    <w:rsid w:val="002A69D5"/>
    <w:rsid w:val="002A7AAD"/>
    <w:rsid w:val="002B05D5"/>
    <w:rsid w:val="002B0B14"/>
    <w:rsid w:val="002B45CE"/>
    <w:rsid w:val="002B5EAA"/>
    <w:rsid w:val="002B617D"/>
    <w:rsid w:val="002B6999"/>
    <w:rsid w:val="002B6CC5"/>
    <w:rsid w:val="002B724A"/>
    <w:rsid w:val="002B7881"/>
    <w:rsid w:val="002B7C7F"/>
    <w:rsid w:val="002C0721"/>
    <w:rsid w:val="002C0D37"/>
    <w:rsid w:val="002C1F90"/>
    <w:rsid w:val="002C2E5B"/>
    <w:rsid w:val="002C3162"/>
    <w:rsid w:val="002C3711"/>
    <w:rsid w:val="002C46C9"/>
    <w:rsid w:val="002C4D54"/>
    <w:rsid w:val="002C626F"/>
    <w:rsid w:val="002C6A0E"/>
    <w:rsid w:val="002C6B2C"/>
    <w:rsid w:val="002C744A"/>
    <w:rsid w:val="002C7896"/>
    <w:rsid w:val="002C7F6A"/>
    <w:rsid w:val="002D06F5"/>
    <w:rsid w:val="002D0B37"/>
    <w:rsid w:val="002D118B"/>
    <w:rsid w:val="002D1E23"/>
    <w:rsid w:val="002D2708"/>
    <w:rsid w:val="002D2962"/>
    <w:rsid w:val="002D2E94"/>
    <w:rsid w:val="002D345D"/>
    <w:rsid w:val="002D49BA"/>
    <w:rsid w:val="002D4A7D"/>
    <w:rsid w:val="002D58FE"/>
    <w:rsid w:val="002D5DE7"/>
    <w:rsid w:val="002D63D7"/>
    <w:rsid w:val="002D6B01"/>
    <w:rsid w:val="002D7995"/>
    <w:rsid w:val="002D7B8B"/>
    <w:rsid w:val="002E0846"/>
    <w:rsid w:val="002E0B25"/>
    <w:rsid w:val="002E0C74"/>
    <w:rsid w:val="002E1AEC"/>
    <w:rsid w:val="002E1AFA"/>
    <w:rsid w:val="002E22EE"/>
    <w:rsid w:val="002E5B4A"/>
    <w:rsid w:val="002E670A"/>
    <w:rsid w:val="002E7016"/>
    <w:rsid w:val="002E7B17"/>
    <w:rsid w:val="002E7B5D"/>
    <w:rsid w:val="002F061C"/>
    <w:rsid w:val="002F0630"/>
    <w:rsid w:val="002F1BBC"/>
    <w:rsid w:val="002F21D8"/>
    <w:rsid w:val="002F4E69"/>
    <w:rsid w:val="002F652B"/>
    <w:rsid w:val="002F7342"/>
    <w:rsid w:val="002F77B0"/>
    <w:rsid w:val="00300E72"/>
    <w:rsid w:val="00301934"/>
    <w:rsid w:val="00302B44"/>
    <w:rsid w:val="00302B5B"/>
    <w:rsid w:val="003035D7"/>
    <w:rsid w:val="003049D7"/>
    <w:rsid w:val="003060DB"/>
    <w:rsid w:val="003071F4"/>
    <w:rsid w:val="00310947"/>
    <w:rsid w:val="00310FCA"/>
    <w:rsid w:val="00311617"/>
    <w:rsid w:val="003116C8"/>
    <w:rsid w:val="00313249"/>
    <w:rsid w:val="003137CB"/>
    <w:rsid w:val="00314B7C"/>
    <w:rsid w:val="00316082"/>
    <w:rsid w:val="0031615A"/>
    <w:rsid w:val="0031683B"/>
    <w:rsid w:val="00320067"/>
    <w:rsid w:val="003202D5"/>
    <w:rsid w:val="00320B29"/>
    <w:rsid w:val="00321A4B"/>
    <w:rsid w:val="00323541"/>
    <w:rsid w:val="00324766"/>
    <w:rsid w:val="003250E8"/>
    <w:rsid w:val="00327476"/>
    <w:rsid w:val="003319CA"/>
    <w:rsid w:val="00331BEE"/>
    <w:rsid w:val="003321F6"/>
    <w:rsid w:val="00332786"/>
    <w:rsid w:val="00333716"/>
    <w:rsid w:val="003338CD"/>
    <w:rsid w:val="00333B4E"/>
    <w:rsid w:val="003341A0"/>
    <w:rsid w:val="00334495"/>
    <w:rsid w:val="0033499F"/>
    <w:rsid w:val="00335B17"/>
    <w:rsid w:val="00335CCC"/>
    <w:rsid w:val="0033649E"/>
    <w:rsid w:val="003407A4"/>
    <w:rsid w:val="00340C21"/>
    <w:rsid w:val="0034162D"/>
    <w:rsid w:val="00341944"/>
    <w:rsid w:val="00341A19"/>
    <w:rsid w:val="003425B8"/>
    <w:rsid w:val="0034295A"/>
    <w:rsid w:val="00342CD5"/>
    <w:rsid w:val="0034389E"/>
    <w:rsid w:val="00343D58"/>
    <w:rsid w:val="003445B5"/>
    <w:rsid w:val="00344EA5"/>
    <w:rsid w:val="00345C5E"/>
    <w:rsid w:val="0034641B"/>
    <w:rsid w:val="003469F5"/>
    <w:rsid w:val="00346FE0"/>
    <w:rsid w:val="00347323"/>
    <w:rsid w:val="003479BE"/>
    <w:rsid w:val="003509E5"/>
    <w:rsid w:val="00351D41"/>
    <w:rsid w:val="0035274A"/>
    <w:rsid w:val="003530A4"/>
    <w:rsid w:val="003531B4"/>
    <w:rsid w:val="003532E7"/>
    <w:rsid w:val="00353590"/>
    <w:rsid w:val="003540D8"/>
    <w:rsid w:val="0035455C"/>
    <w:rsid w:val="00354638"/>
    <w:rsid w:val="00354764"/>
    <w:rsid w:val="0035500D"/>
    <w:rsid w:val="00355A51"/>
    <w:rsid w:val="00356684"/>
    <w:rsid w:val="003602A5"/>
    <w:rsid w:val="003602DF"/>
    <w:rsid w:val="00363A46"/>
    <w:rsid w:val="003640F1"/>
    <w:rsid w:val="003644AC"/>
    <w:rsid w:val="0036535D"/>
    <w:rsid w:val="003663EF"/>
    <w:rsid w:val="00366854"/>
    <w:rsid w:val="0037030C"/>
    <w:rsid w:val="003709D3"/>
    <w:rsid w:val="00370A28"/>
    <w:rsid w:val="00370D65"/>
    <w:rsid w:val="00371195"/>
    <w:rsid w:val="003711C2"/>
    <w:rsid w:val="00371B3F"/>
    <w:rsid w:val="00371CB0"/>
    <w:rsid w:val="003725C7"/>
    <w:rsid w:val="0037284B"/>
    <w:rsid w:val="00372936"/>
    <w:rsid w:val="00372AD8"/>
    <w:rsid w:val="0037376D"/>
    <w:rsid w:val="00373AC5"/>
    <w:rsid w:val="00375EFA"/>
    <w:rsid w:val="00377E44"/>
    <w:rsid w:val="003806B2"/>
    <w:rsid w:val="00382791"/>
    <w:rsid w:val="003828C6"/>
    <w:rsid w:val="003829DA"/>
    <w:rsid w:val="00383070"/>
    <w:rsid w:val="003848F7"/>
    <w:rsid w:val="0038502B"/>
    <w:rsid w:val="00386C27"/>
    <w:rsid w:val="003903F0"/>
    <w:rsid w:val="00390807"/>
    <w:rsid w:val="00390A79"/>
    <w:rsid w:val="003912E1"/>
    <w:rsid w:val="0039184B"/>
    <w:rsid w:val="00394BCB"/>
    <w:rsid w:val="00395428"/>
    <w:rsid w:val="003967EB"/>
    <w:rsid w:val="003968F6"/>
    <w:rsid w:val="00396B62"/>
    <w:rsid w:val="00396D79"/>
    <w:rsid w:val="003A1316"/>
    <w:rsid w:val="003A1699"/>
    <w:rsid w:val="003A1CDD"/>
    <w:rsid w:val="003A201C"/>
    <w:rsid w:val="003A3B60"/>
    <w:rsid w:val="003A4E03"/>
    <w:rsid w:val="003A5134"/>
    <w:rsid w:val="003A5BA7"/>
    <w:rsid w:val="003A60DE"/>
    <w:rsid w:val="003A6C61"/>
    <w:rsid w:val="003A6D0B"/>
    <w:rsid w:val="003A6E99"/>
    <w:rsid w:val="003A701C"/>
    <w:rsid w:val="003A77FA"/>
    <w:rsid w:val="003A7831"/>
    <w:rsid w:val="003A7B75"/>
    <w:rsid w:val="003A7D75"/>
    <w:rsid w:val="003B0705"/>
    <w:rsid w:val="003B1057"/>
    <w:rsid w:val="003B144A"/>
    <w:rsid w:val="003B1482"/>
    <w:rsid w:val="003B150E"/>
    <w:rsid w:val="003B18D1"/>
    <w:rsid w:val="003B3D29"/>
    <w:rsid w:val="003B3F93"/>
    <w:rsid w:val="003B5238"/>
    <w:rsid w:val="003B622F"/>
    <w:rsid w:val="003B6519"/>
    <w:rsid w:val="003B664E"/>
    <w:rsid w:val="003B7198"/>
    <w:rsid w:val="003B745C"/>
    <w:rsid w:val="003C048D"/>
    <w:rsid w:val="003C0A79"/>
    <w:rsid w:val="003C1B98"/>
    <w:rsid w:val="003C1CF6"/>
    <w:rsid w:val="003C1E8D"/>
    <w:rsid w:val="003C2E85"/>
    <w:rsid w:val="003C3332"/>
    <w:rsid w:val="003C33FD"/>
    <w:rsid w:val="003C44D4"/>
    <w:rsid w:val="003C4B54"/>
    <w:rsid w:val="003C664A"/>
    <w:rsid w:val="003C68CF"/>
    <w:rsid w:val="003C7CA8"/>
    <w:rsid w:val="003D0436"/>
    <w:rsid w:val="003D2CD5"/>
    <w:rsid w:val="003D377E"/>
    <w:rsid w:val="003D4095"/>
    <w:rsid w:val="003D5397"/>
    <w:rsid w:val="003D626A"/>
    <w:rsid w:val="003E0179"/>
    <w:rsid w:val="003E03BF"/>
    <w:rsid w:val="003E0A76"/>
    <w:rsid w:val="003E1438"/>
    <w:rsid w:val="003E1CF3"/>
    <w:rsid w:val="003E24C5"/>
    <w:rsid w:val="003E3E51"/>
    <w:rsid w:val="003E444F"/>
    <w:rsid w:val="003E44E2"/>
    <w:rsid w:val="003E5588"/>
    <w:rsid w:val="003E64E4"/>
    <w:rsid w:val="003E6EA5"/>
    <w:rsid w:val="003F11DD"/>
    <w:rsid w:val="003F1871"/>
    <w:rsid w:val="003F3DA7"/>
    <w:rsid w:val="003F5F4C"/>
    <w:rsid w:val="003F6923"/>
    <w:rsid w:val="00400648"/>
    <w:rsid w:val="00400BF2"/>
    <w:rsid w:val="004016A9"/>
    <w:rsid w:val="00402362"/>
    <w:rsid w:val="004028ED"/>
    <w:rsid w:val="00402A62"/>
    <w:rsid w:val="0040312E"/>
    <w:rsid w:val="0040473F"/>
    <w:rsid w:val="00405ACD"/>
    <w:rsid w:val="00405D27"/>
    <w:rsid w:val="00405FB3"/>
    <w:rsid w:val="00406D16"/>
    <w:rsid w:val="00406F40"/>
    <w:rsid w:val="00407764"/>
    <w:rsid w:val="00407C67"/>
    <w:rsid w:val="00410E94"/>
    <w:rsid w:val="004114EC"/>
    <w:rsid w:val="004115D3"/>
    <w:rsid w:val="00411601"/>
    <w:rsid w:val="004117F4"/>
    <w:rsid w:val="0041254E"/>
    <w:rsid w:val="0041284C"/>
    <w:rsid w:val="00412D7E"/>
    <w:rsid w:val="004166A0"/>
    <w:rsid w:val="0041717B"/>
    <w:rsid w:val="0042069D"/>
    <w:rsid w:val="0042126C"/>
    <w:rsid w:val="004230E6"/>
    <w:rsid w:val="004279A6"/>
    <w:rsid w:val="004306F1"/>
    <w:rsid w:val="0043073B"/>
    <w:rsid w:val="00430EBF"/>
    <w:rsid w:val="00432B83"/>
    <w:rsid w:val="00432E5B"/>
    <w:rsid w:val="00433BC8"/>
    <w:rsid w:val="00434005"/>
    <w:rsid w:val="004353E7"/>
    <w:rsid w:val="0043557C"/>
    <w:rsid w:val="00436EBC"/>
    <w:rsid w:val="00437A75"/>
    <w:rsid w:val="0044057E"/>
    <w:rsid w:val="00440B81"/>
    <w:rsid w:val="00441672"/>
    <w:rsid w:val="00441EDF"/>
    <w:rsid w:val="00443A30"/>
    <w:rsid w:val="004444DB"/>
    <w:rsid w:val="00445E77"/>
    <w:rsid w:val="004460D5"/>
    <w:rsid w:val="0044755E"/>
    <w:rsid w:val="004476A1"/>
    <w:rsid w:val="00447857"/>
    <w:rsid w:val="0045018E"/>
    <w:rsid w:val="00451B3D"/>
    <w:rsid w:val="00451D2D"/>
    <w:rsid w:val="004520B7"/>
    <w:rsid w:val="00452E59"/>
    <w:rsid w:val="00454608"/>
    <w:rsid w:val="00454A02"/>
    <w:rsid w:val="00455503"/>
    <w:rsid w:val="0045553F"/>
    <w:rsid w:val="004560D3"/>
    <w:rsid w:val="00457391"/>
    <w:rsid w:val="00460E52"/>
    <w:rsid w:val="00460F1E"/>
    <w:rsid w:val="004614D6"/>
    <w:rsid w:val="00462DE7"/>
    <w:rsid w:val="00463A80"/>
    <w:rsid w:val="00463E97"/>
    <w:rsid w:val="0046403B"/>
    <w:rsid w:val="00464771"/>
    <w:rsid w:val="00464BE7"/>
    <w:rsid w:val="0046642D"/>
    <w:rsid w:val="0046679E"/>
    <w:rsid w:val="00466AC4"/>
    <w:rsid w:val="00467012"/>
    <w:rsid w:val="0046766A"/>
    <w:rsid w:val="00467781"/>
    <w:rsid w:val="00470258"/>
    <w:rsid w:val="0047067A"/>
    <w:rsid w:val="00470C5F"/>
    <w:rsid w:val="004711A4"/>
    <w:rsid w:val="00471604"/>
    <w:rsid w:val="00472CBB"/>
    <w:rsid w:val="00473039"/>
    <w:rsid w:val="0047370D"/>
    <w:rsid w:val="00473CF5"/>
    <w:rsid w:val="004745EA"/>
    <w:rsid w:val="00476A6E"/>
    <w:rsid w:val="00476CAE"/>
    <w:rsid w:val="0047766A"/>
    <w:rsid w:val="00481FA1"/>
    <w:rsid w:val="00482FBC"/>
    <w:rsid w:val="00483544"/>
    <w:rsid w:val="0048362B"/>
    <w:rsid w:val="00484336"/>
    <w:rsid w:val="004859D9"/>
    <w:rsid w:val="00486368"/>
    <w:rsid w:val="00486856"/>
    <w:rsid w:val="00486E0E"/>
    <w:rsid w:val="00487537"/>
    <w:rsid w:val="0048780B"/>
    <w:rsid w:val="00490D41"/>
    <w:rsid w:val="00491BBE"/>
    <w:rsid w:val="004922B1"/>
    <w:rsid w:val="0049269B"/>
    <w:rsid w:val="00496659"/>
    <w:rsid w:val="00496DE9"/>
    <w:rsid w:val="004A0CE8"/>
    <w:rsid w:val="004A0E8D"/>
    <w:rsid w:val="004A1BE9"/>
    <w:rsid w:val="004A2206"/>
    <w:rsid w:val="004A373F"/>
    <w:rsid w:val="004A3905"/>
    <w:rsid w:val="004A4B57"/>
    <w:rsid w:val="004A5150"/>
    <w:rsid w:val="004A5934"/>
    <w:rsid w:val="004A609C"/>
    <w:rsid w:val="004A6B00"/>
    <w:rsid w:val="004A6FC6"/>
    <w:rsid w:val="004B0033"/>
    <w:rsid w:val="004B0BCD"/>
    <w:rsid w:val="004B1886"/>
    <w:rsid w:val="004B24B3"/>
    <w:rsid w:val="004B57E1"/>
    <w:rsid w:val="004B5D26"/>
    <w:rsid w:val="004B65AB"/>
    <w:rsid w:val="004B670F"/>
    <w:rsid w:val="004C0935"/>
    <w:rsid w:val="004C178A"/>
    <w:rsid w:val="004C17D3"/>
    <w:rsid w:val="004C18A2"/>
    <w:rsid w:val="004C1D4C"/>
    <w:rsid w:val="004C1FF9"/>
    <w:rsid w:val="004C2D41"/>
    <w:rsid w:val="004C401D"/>
    <w:rsid w:val="004C43AA"/>
    <w:rsid w:val="004C629F"/>
    <w:rsid w:val="004D0981"/>
    <w:rsid w:val="004D1DE4"/>
    <w:rsid w:val="004D358B"/>
    <w:rsid w:val="004D486C"/>
    <w:rsid w:val="004D488C"/>
    <w:rsid w:val="004D4947"/>
    <w:rsid w:val="004D4D4A"/>
    <w:rsid w:val="004D6A48"/>
    <w:rsid w:val="004E02D3"/>
    <w:rsid w:val="004E0F6C"/>
    <w:rsid w:val="004E356B"/>
    <w:rsid w:val="004E3F24"/>
    <w:rsid w:val="004E3FF7"/>
    <w:rsid w:val="004E45DE"/>
    <w:rsid w:val="004E4C43"/>
    <w:rsid w:val="004E4DE2"/>
    <w:rsid w:val="004E554E"/>
    <w:rsid w:val="004E60CA"/>
    <w:rsid w:val="004E6C25"/>
    <w:rsid w:val="004E7658"/>
    <w:rsid w:val="004F0B81"/>
    <w:rsid w:val="004F23ED"/>
    <w:rsid w:val="004F4D50"/>
    <w:rsid w:val="004F6797"/>
    <w:rsid w:val="004F7362"/>
    <w:rsid w:val="004F784D"/>
    <w:rsid w:val="004F7BF5"/>
    <w:rsid w:val="005031F2"/>
    <w:rsid w:val="00505297"/>
    <w:rsid w:val="0050547C"/>
    <w:rsid w:val="0050601D"/>
    <w:rsid w:val="005062E7"/>
    <w:rsid w:val="00507ADC"/>
    <w:rsid w:val="00510068"/>
    <w:rsid w:val="00510D0A"/>
    <w:rsid w:val="00511593"/>
    <w:rsid w:val="00512857"/>
    <w:rsid w:val="0051383F"/>
    <w:rsid w:val="00514B8F"/>
    <w:rsid w:val="00516E6D"/>
    <w:rsid w:val="00521689"/>
    <w:rsid w:val="005219A6"/>
    <w:rsid w:val="00522C5D"/>
    <w:rsid w:val="00523DA3"/>
    <w:rsid w:val="005248A9"/>
    <w:rsid w:val="00525185"/>
    <w:rsid w:val="00525461"/>
    <w:rsid w:val="00531EB0"/>
    <w:rsid w:val="00532751"/>
    <w:rsid w:val="00532756"/>
    <w:rsid w:val="005327BA"/>
    <w:rsid w:val="005333D4"/>
    <w:rsid w:val="00533872"/>
    <w:rsid w:val="00534905"/>
    <w:rsid w:val="005349F8"/>
    <w:rsid w:val="00535720"/>
    <w:rsid w:val="00535E57"/>
    <w:rsid w:val="00540980"/>
    <w:rsid w:val="00541311"/>
    <w:rsid w:val="005417C4"/>
    <w:rsid w:val="00541E5D"/>
    <w:rsid w:val="00544B76"/>
    <w:rsid w:val="005450F8"/>
    <w:rsid w:val="00545519"/>
    <w:rsid w:val="0054612D"/>
    <w:rsid w:val="00546D40"/>
    <w:rsid w:val="005477AD"/>
    <w:rsid w:val="00547852"/>
    <w:rsid w:val="00550472"/>
    <w:rsid w:val="005508F0"/>
    <w:rsid w:val="00551AD8"/>
    <w:rsid w:val="00551C65"/>
    <w:rsid w:val="00551E1D"/>
    <w:rsid w:val="005525E2"/>
    <w:rsid w:val="005537A9"/>
    <w:rsid w:val="0055407A"/>
    <w:rsid w:val="005544D5"/>
    <w:rsid w:val="00554CE8"/>
    <w:rsid w:val="005565CE"/>
    <w:rsid w:val="00556E40"/>
    <w:rsid w:val="005606B0"/>
    <w:rsid w:val="005606CB"/>
    <w:rsid w:val="00561185"/>
    <w:rsid w:val="00561FEF"/>
    <w:rsid w:val="00562703"/>
    <w:rsid w:val="00562901"/>
    <w:rsid w:val="00562FE8"/>
    <w:rsid w:val="005642A3"/>
    <w:rsid w:val="005648A5"/>
    <w:rsid w:val="0056753A"/>
    <w:rsid w:val="0057014A"/>
    <w:rsid w:val="00571376"/>
    <w:rsid w:val="00571448"/>
    <w:rsid w:val="0057261F"/>
    <w:rsid w:val="00573102"/>
    <w:rsid w:val="005733AB"/>
    <w:rsid w:val="005738C3"/>
    <w:rsid w:val="00574804"/>
    <w:rsid w:val="005758ED"/>
    <w:rsid w:val="00582256"/>
    <w:rsid w:val="0058288E"/>
    <w:rsid w:val="00582A8A"/>
    <w:rsid w:val="0058302C"/>
    <w:rsid w:val="00583D3D"/>
    <w:rsid w:val="005859F2"/>
    <w:rsid w:val="0058763F"/>
    <w:rsid w:val="00587745"/>
    <w:rsid w:val="0059157E"/>
    <w:rsid w:val="005915A2"/>
    <w:rsid w:val="00591620"/>
    <w:rsid w:val="005925BD"/>
    <w:rsid w:val="005937D4"/>
    <w:rsid w:val="00593CA5"/>
    <w:rsid w:val="00594227"/>
    <w:rsid w:val="00594E3D"/>
    <w:rsid w:val="005955DB"/>
    <w:rsid w:val="00595865"/>
    <w:rsid w:val="00595D90"/>
    <w:rsid w:val="005973AC"/>
    <w:rsid w:val="005A015B"/>
    <w:rsid w:val="005A0588"/>
    <w:rsid w:val="005A079A"/>
    <w:rsid w:val="005A0D68"/>
    <w:rsid w:val="005A157A"/>
    <w:rsid w:val="005A1F31"/>
    <w:rsid w:val="005A274C"/>
    <w:rsid w:val="005A2BDC"/>
    <w:rsid w:val="005A32C7"/>
    <w:rsid w:val="005A3447"/>
    <w:rsid w:val="005A3479"/>
    <w:rsid w:val="005A4C04"/>
    <w:rsid w:val="005A5F8A"/>
    <w:rsid w:val="005A67F9"/>
    <w:rsid w:val="005A7423"/>
    <w:rsid w:val="005A778C"/>
    <w:rsid w:val="005A7A35"/>
    <w:rsid w:val="005B0059"/>
    <w:rsid w:val="005B036E"/>
    <w:rsid w:val="005B0C31"/>
    <w:rsid w:val="005B13F6"/>
    <w:rsid w:val="005B21B7"/>
    <w:rsid w:val="005B2282"/>
    <w:rsid w:val="005B236F"/>
    <w:rsid w:val="005B2658"/>
    <w:rsid w:val="005B2869"/>
    <w:rsid w:val="005B36AD"/>
    <w:rsid w:val="005B37E2"/>
    <w:rsid w:val="005B3A63"/>
    <w:rsid w:val="005B5F8F"/>
    <w:rsid w:val="005B6589"/>
    <w:rsid w:val="005B7763"/>
    <w:rsid w:val="005C02C6"/>
    <w:rsid w:val="005C0F56"/>
    <w:rsid w:val="005C1584"/>
    <w:rsid w:val="005C3018"/>
    <w:rsid w:val="005C308A"/>
    <w:rsid w:val="005C3DA5"/>
    <w:rsid w:val="005C3DE9"/>
    <w:rsid w:val="005C4790"/>
    <w:rsid w:val="005C4980"/>
    <w:rsid w:val="005C559F"/>
    <w:rsid w:val="005C779B"/>
    <w:rsid w:val="005D013C"/>
    <w:rsid w:val="005D12B8"/>
    <w:rsid w:val="005D1549"/>
    <w:rsid w:val="005D278A"/>
    <w:rsid w:val="005D4483"/>
    <w:rsid w:val="005D4831"/>
    <w:rsid w:val="005D506C"/>
    <w:rsid w:val="005D6313"/>
    <w:rsid w:val="005D6A17"/>
    <w:rsid w:val="005D6CB9"/>
    <w:rsid w:val="005D6E3D"/>
    <w:rsid w:val="005D6E9F"/>
    <w:rsid w:val="005D7123"/>
    <w:rsid w:val="005D7636"/>
    <w:rsid w:val="005E1EF3"/>
    <w:rsid w:val="005E1F16"/>
    <w:rsid w:val="005E3B73"/>
    <w:rsid w:val="005E41DE"/>
    <w:rsid w:val="005E526F"/>
    <w:rsid w:val="005E6AF5"/>
    <w:rsid w:val="005E72D3"/>
    <w:rsid w:val="005E7F17"/>
    <w:rsid w:val="005F0184"/>
    <w:rsid w:val="005F01DC"/>
    <w:rsid w:val="005F0278"/>
    <w:rsid w:val="005F07A7"/>
    <w:rsid w:val="005F07D4"/>
    <w:rsid w:val="005F093A"/>
    <w:rsid w:val="005F23DD"/>
    <w:rsid w:val="005F2825"/>
    <w:rsid w:val="005F34DD"/>
    <w:rsid w:val="005F3591"/>
    <w:rsid w:val="005F3AF9"/>
    <w:rsid w:val="005F48F8"/>
    <w:rsid w:val="005F5317"/>
    <w:rsid w:val="005F5DFB"/>
    <w:rsid w:val="005F64F4"/>
    <w:rsid w:val="005F6A67"/>
    <w:rsid w:val="005F7301"/>
    <w:rsid w:val="0060144D"/>
    <w:rsid w:val="00601DEB"/>
    <w:rsid w:val="006024BE"/>
    <w:rsid w:val="00602A59"/>
    <w:rsid w:val="00602C4A"/>
    <w:rsid w:val="00602C89"/>
    <w:rsid w:val="0060372A"/>
    <w:rsid w:val="00603B6C"/>
    <w:rsid w:val="00604293"/>
    <w:rsid w:val="00604BC2"/>
    <w:rsid w:val="00605AF6"/>
    <w:rsid w:val="00606514"/>
    <w:rsid w:val="00606E76"/>
    <w:rsid w:val="006071F4"/>
    <w:rsid w:val="0061164C"/>
    <w:rsid w:val="00612DCE"/>
    <w:rsid w:val="00612F64"/>
    <w:rsid w:val="006130DC"/>
    <w:rsid w:val="00614F9B"/>
    <w:rsid w:val="00615BC6"/>
    <w:rsid w:val="006161B1"/>
    <w:rsid w:val="00616C75"/>
    <w:rsid w:val="00616E02"/>
    <w:rsid w:val="00616F9C"/>
    <w:rsid w:val="006203D3"/>
    <w:rsid w:val="00620404"/>
    <w:rsid w:val="00621B46"/>
    <w:rsid w:val="00621D60"/>
    <w:rsid w:val="00621F2F"/>
    <w:rsid w:val="00621F78"/>
    <w:rsid w:val="00622071"/>
    <w:rsid w:val="00622F9C"/>
    <w:rsid w:val="00623814"/>
    <w:rsid w:val="00623B81"/>
    <w:rsid w:val="00623FD3"/>
    <w:rsid w:val="00624B08"/>
    <w:rsid w:val="00624C27"/>
    <w:rsid w:val="00624CB1"/>
    <w:rsid w:val="006252E2"/>
    <w:rsid w:val="00625468"/>
    <w:rsid w:val="00625954"/>
    <w:rsid w:val="00625B43"/>
    <w:rsid w:val="00625DEE"/>
    <w:rsid w:val="00625FA1"/>
    <w:rsid w:val="00626CC7"/>
    <w:rsid w:val="00626D06"/>
    <w:rsid w:val="006324AC"/>
    <w:rsid w:val="00633E03"/>
    <w:rsid w:val="006347DC"/>
    <w:rsid w:val="00635185"/>
    <w:rsid w:val="006353A2"/>
    <w:rsid w:val="00635CA6"/>
    <w:rsid w:val="006405CF"/>
    <w:rsid w:val="00640B81"/>
    <w:rsid w:val="0064118A"/>
    <w:rsid w:val="00643BC4"/>
    <w:rsid w:val="00643BEC"/>
    <w:rsid w:val="00643DF4"/>
    <w:rsid w:val="006456FC"/>
    <w:rsid w:val="00646286"/>
    <w:rsid w:val="00646297"/>
    <w:rsid w:val="006468F4"/>
    <w:rsid w:val="00646B77"/>
    <w:rsid w:val="00650138"/>
    <w:rsid w:val="00650349"/>
    <w:rsid w:val="006514AE"/>
    <w:rsid w:val="0065164A"/>
    <w:rsid w:val="0065276C"/>
    <w:rsid w:val="006534D7"/>
    <w:rsid w:val="006536A6"/>
    <w:rsid w:val="00653FAC"/>
    <w:rsid w:val="0065564B"/>
    <w:rsid w:val="006564FB"/>
    <w:rsid w:val="00656A95"/>
    <w:rsid w:val="00660856"/>
    <w:rsid w:val="00660FBE"/>
    <w:rsid w:val="00661C39"/>
    <w:rsid w:val="0066234D"/>
    <w:rsid w:val="00663223"/>
    <w:rsid w:val="0066535D"/>
    <w:rsid w:val="006664D5"/>
    <w:rsid w:val="00670D32"/>
    <w:rsid w:val="00670F06"/>
    <w:rsid w:val="00671258"/>
    <w:rsid w:val="0067133A"/>
    <w:rsid w:val="0067279A"/>
    <w:rsid w:val="00675EB7"/>
    <w:rsid w:val="00676367"/>
    <w:rsid w:val="00676B86"/>
    <w:rsid w:val="00676E76"/>
    <w:rsid w:val="00677D70"/>
    <w:rsid w:val="00677DF0"/>
    <w:rsid w:val="00681816"/>
    <w:rsid w:val="00681D37"/>
    <w:rsid w:val="00684E82"/>
    <w:rsid w:val="006868B3"/>
    <w:rsid w:val="00686F7C"/>
    <w:rsid w:val="006875E0"/>
    <w:rsid w:val="00691A41"/>
    <w:rsid w:val="00691CCA"/>
    <w:rsid w:val="0069307E"/>
    <w:rsid w:val="00693422"/>
    <w:rsid w:val="006938C9"/>
    <w:rsid w:val="00693A6A"/>
    <w:rsid w:val="00693C5A"/>
    <w:rsid w:val="0069413E"/>
    <w:rsid w:val="00696183"/>
    <w:rsid w:val="006975AB"/>
    <w:rsid w:val="006A06BC"/>
    <w:rsid w:val="006A1320"/>
    <w:rsid w:val="006A2309"/>
    <w:rsid w:val="006A298C"/>
    <w:rsid w:val="006A3396"/>
    <w:rsid w:val="006A3AB5"/>
    <w:rsid w:val="006A5EAD"/>
    <w:rsid w:val="006A5FDA"/>
    <w:rsid w:val="006A781D"/>
    <w:rsid w:val="006B0260"/>
    <w:rsid w:val="006B123C"/>
    <w:rsid w:val="006B14D0"/>
    <w:rsid w:val="006B1C21"/>
    <w:rsid w:val="006B25DA"/>
    <w:rsid w:val="006B29D2"/>
    <w:rsid w:val="006B3EAF"/>
    <w:rsid w:val="006B45FC"/>
    <w:rsid w:val="006B5021"/>
    <w:rsid w:val="006B5370"/>
    <w:rsid w:val="006B5E43"/>
    <w:rsid w:val="006B665F"/>
    <w:rsid w:val="006B6A24"/>
    <w:rsid w:val="006B79DE"/>
    <w:rsid w:val="006B7BAF"/>
    <w:rsid w:val="006B7BB5"/>
    <w:rsid w:val="006B7BD8"/>
    <w:rsid w:val="006C14AB"/>
    <w:rsid w:val="006C1686"/>
    <w:rsid w:val="006C1823"/>
    <w:rsid w:val="006C206C"/>
    <w:rsid w:val="006C2D8A"/>
    <w:rsid w:val="006C2FB0"/>
    <w:rsid w:val="006C32AB"/>
    <w:rsid w:val="006C34EF"/>
    <w:rsid w:val="006C3905"/>
    <w:rsid w:val="006C3CE2"/>
    <w:rsid w:val="006C419B"/>
    <w:rsid w:val="006C46A4"/>
    <w:rsid w:val="006C4BF1"/>
    <w:rsid w:val="006C4E81"/>
    <w:rsid w:val="006C50E7"/>
    <w:rsid w:val="006C54C9"/>
    <w:rsid w:val="006C62BB"/>
    <w:rsid w:val="006C6838"/>
    <w:rsid w:val="006D2599"/>
    <w:rsid w:val="006D2D75"/>
    <w:rsid w:val="006D305E"/>
    <w:rsid w:val="006D3B0E"/>
    <w:rsid w:val="006D5C37"/>
    <w:rsid w:val="006D5F84"/>
    <w:rsid w:val="006D6146"/>
    <w:rsid w:val="006D66EC"/>
    <w:rsid w:val="006D6C55"/>
    <w:rsid w:val="006D7A9A"/>
    <w:rsid w:val="006E0A6D"/>
    <w:rsid w:val="006E0C24"/>
    <w:rsid w:val="006E1160"/>
    <w:rsid w:val="006E1A17"/>
    <w:rsid w:val="006E1CE4"/>
    <w:rsid w:val="006E1DCC"/>
    <w:rsid w:val="006E3C7D"/>
    <w:rsid w:val="006E3FC5"/>
    <w:rsid w:val="006E482A"/>
    <w:rsid w:val="006E4F32"/>
    <w:rsid w:val="006E7E50"/>
    <w:rsid w:val="006F087A"/>
    <w:rsid w:val="006F28C4"/>
    <w:rsid w:val="006F3B81"/>
    <w:rsid w:val="006F3EB6"/>
    <w:rsid w:val="006F48DC"/>
    <w:rsid w:val="006F5C26"/>
    <w:rsid w:val="006F622B"/>
    <w:rsid w:val="006F6741"/>
    <w:rsid w:val="006F6D38"/>
    <w:rsid w:val="00700588"/>
    <w:rsid w:val="0070136F"/>
    <w:rsid w:val="00701FEB"/>
    <w:rsid w:val="00702531"/>
    <w:rsid w:val="00703119"/>
    <w:rsid w:val="00704F10"/>
    <w:rsid w:val="007078D0"/>
    <w:rsid w:val="00707B41"/>
    <w:rsid w:val="00710088"/>
    <w:rsid w:val="00711D3A"/>
    <w:rsid w:val="00712B48"/>
    <w:rsid w:val="00712B9C"/>
    <w:rsid w:val="00713B8F"/>
    <w:rsid w:val="00713E5B"/>
    <w:rsid w:val="007141D5"/>
    <w:rsid w:val="00714D72"/>
    <w:rsid w:val="00715082"/>
    <w:rsid w:val="00715847"/>
    <w:rsid w:val="00715BD7"/>
    <w:rsid w:val="0071661B"/>
    <w:rsid w:val="007173E3"/>
    <w:rsid w:val="007175E0"/>
    <w:rsid w:val="00717B4F"/>
    <w:rsid w:val="007204E3"/>
    <w:rsid w:val="007207E7"/>
    <w:rsid w:val="00720860"/>
    <w:rsid w:val="0072094C"/>
    <w:rsid w:val="00720AD1"/>
    <w:rsid w:val="00722A58"/>
    <w:rsid w:val="00723608"/>
    <w:rsid w:val="00726A66"/>
    <w:rsid w:val="00727019"/>
    <w:rsid w:val="0073052E"/>
    <w:rsid w:val="00730C8A"/>
    <w:rsid w:val="00731A25"/>
    <w:rsid w:val="00732266"/>
    <w:rsid w:val="00733415"/>
    <w:rsid w:val="00733A40"/>
    <w:rsid w:val="00733DCF"/>
    <w:rsid w:val="00736614"/>
    <w:rsid w:val="00736D3D"/>
    <w:rsid w:val="007370AF"/>
    <w:rsid w:val="007376C9"/>
    <w:rsid w:val="0073780D"/>
    <w:rsid w:val="00737A07"/>
    <w:rsid w:val="00740265"/>
    <w:rsid w:val="007402B3"/>
    <w:rsid w:val="00740721"/>
    <w:rsid w:val="00740BBB"/>
    <w:rsid w:val="00741792"/>
    <w:rsid w:val="00741AA4"/>
    <w:rsid w:val="007428E9"/>
    <w:rsid w:val="00743C14"/>
    <w:rsid w:val="007447F9"/>
    <w:rsid w:val="0074573F"/>
    <w:rsid w:val="00746015"/>
    <w:rsid w:val="00746B1A"/>
    <w:rsid w:val="00746D05"/>
    <w:rsid w:val="00750404"/>
    <w:rsid w:val="007515AF"/>
    <w:rsid w:val="00751BE8"/>
    <w:rsid w:val="0075291B"/>
    <w:rsid w:val="00753595"/>
    <w:rsid w:val="007541E8"/>
    <w:rsid w:val="0075637D"/>
    <w:rsid w:val="00760203"/>
    <w:rsid w:val="00761256"/>
    <w:rsid w:val="00763F7C"/>
    <w:rsid w:val="00765DE0"/>
    <w:rsid w:val="007662C3"/>
    <w:rsid w:val="007665C8"/>
    <w:rsid w:val="00766C13"/>
    <w:rsid w:val="0076741A"/>
    <w:rsid w:val="00767CF6"/>
    <w:rsid w:val="00771AB9"/>
    <w:rsid w:val="007723A3"/>
    <w:rsid w:val="00772970"/>
    <w:rsid w:val="00772A53"/>
    <w:rsid w:val="007733DF"/>
    <w:rsid w:val="00773BE2"/>
    <w:rsid w:val="00774B51"/>
    <w:rsid w:val="00775610"/>
    <w:rsid w:val="00775EB2"/>
    <w:rsid w:val="0077607C"/>
    <w:rsid w:val="0077631B"/>
    <w:rsid w:val="007778E5"/>
    <w:rsid w:val="007807B5"/>
    <w:rsid w:val="00781092"/>
    <w:rsid w:val="0078182F"/>
    <w:rsid w:val="00781CAB"/>
    <w:rsid w:val="00781FEE"/>
    <w:rsid w:val="0078278F"/>
    <w:rsid w:val="0078360B"/>
    <w:rsid w:val="007841D7"/>
    <w:rsid w:val="00785CEC"/>
    <w:rsid w:val="007876E2"/>
    <w:rsid w:val="00790045"/>
    <w:rsid w:val="0079188B"/>
    <w:rsid w:val="00794486"/>
    <w:rsid w:val="007945BA"/>
    <w:rsid w:val="00795E5E"/>
    <w:rsid w:val="00796410"/>
    <w:rsid w:val="00797F6D"/>
    <w:rsid w:val="007A1A6A"/>
    <w:rsid w:val="007A1A74"/>
    <w:rsid w:val="007A3437"/>
    <w:rsid w:val="007A3716"/>
    <w:rsid w:val="007A3973"/>
    <w:rsid w:val="007A3B53"/>
    <w:rsid w:val="007A4EB6"/>
    <w:rsid w:val="007A6974"/>
    <w:rsid w:val="007A6E20"/>
    <w:rsid w:val="007A737F"/>
    <w:rsid w:val="007B04AF"/>
    <w:rsid w:val="007B06E9"/>
    <w:rsid w:val="007B2F04"/>
    <w:rsid w:val="007B33DF"/>
    <w:rsid w:val="007B3B7C"/>
    <w:rsid w:val="007B44F2"/>
    <w:rsid w:val="007B4BE0"/>
    <w:rsid w:val="007B517A"/>
    <w:rsid w:val="007B59F2"/>
    <w:rsid w:val="007B7D56"/>
    <w:rsid w:val="007B7E18"/>
    <w:rsid w:val="007C13B6"/>
    <w:rsid w:val="007C1BE3"/>
    <w:rsid w:val="007C2CEB"/>
    <w:rsid w:val="007C2E9A"/>
    <w:rsid w:val="007C39C4"/>
    <w:rsid w:val="007C4680"/>
    <w:rsid w:val="007C4BBC"/>
    <w:rsid w:val="007C661D"/>
    <w:rsid w:val="007C6A1E"/>
    <w:rsid w:val="007C6EB3"/>
    <w:rsid w:val="007C75ED"/>
    <w:rsid w:val="007D05B7"/>
    <w:rsid w:val="007D10CE"/>
    <w:rsid w:val="007D1396"/>
    <w:rsid w:val="007D1BFB"/>
    <w:rsid w:val="007D1E6B"/>
    <w:rsid w:val="007D1FC7"/>
    <w:rsid w:val="007D2257"/>
    <w:rsid w:val="007D32E2"/>
    <w:rsid w:val="007D3D5A"/>
    <w:rsid w:val="007D47B2"/>
    <w:rsid w:val="007D5B19"/>
    <w:rsid w:val="007D62BD"/>
    <w:rsid w:val="007D6624"/>
    <w:rsid w:val="007D6D78"/>
    <w:rsid w:val="007E0351"/>
    <w:rsid w:val="007E0607"/>
    <w:rsid w:val="007E099A"/>
    <w:rsid w:val="007E0D6D"/>
    <w:rsid w:val="007E1184"/>
    <w:rsid w:val="007E2038"/>
    <w:rsid w:val="007E2B29"/>
    <w:rsid w:val="007E4856"/>
    <w:rsid w:val="007E4CD4"/>
    <w:rsid w:val="007E538B"/>
    <w:rsid w:val="007E7852"/>
    <w:rsid w:val="007E79CD"/>
    <w:rsid w:val="007F042D"/>
    <w:rsid w:val="007F1266"/>
    <w:rsid w:val="007F1422"/>
    <w:rsid w:val="007F18C0"/>
    <w:rsid w:val="007F2333"/>
    <w:rsid w:val="007F24D2"/>
    <w:rsid w:val="007F2590"/>
    <w:rsid w:val="007F2B1B"/>
    <w:rsid w:val="007F3164"/>
    <w:rsid w:val="007F380E"/>
    <w:rsid w:val="007F3C96"/>
    <w:rsid w:val="007F41E6"/>
    <w:rsid w:val="007F58D1"/>
    <w:rsid w:val="007F7023"/>
    <w:rsid w:val="007F7E27"/>
    <w:rsid w:val="008021FD"/>
    <w:rsid w:val="00802677"/>
    <w:rsid w:val="0080283F"/>
    <w:rsid w:val="00802FE5"/>
    <w:rsid w:val="008039CD"/>
    <w:rsid w:val="00806F2E"/>
    <w:rsid w:val="00807C33"/>
    <w:rsid w:val="00807FAA"/>
    <w:rsid w:val="00811E0D"/>
    <w:rsid w:val="00813506"/>
    <w:rsid w:val="00813C61"/>
    <w:rsid w:val="0081485A"/>
    <w:rsid w:val="00814891"/>
    <w:rsid w:val="0081568B"/>
    <w:rsid w:val="0081763F"/>
    <w:rsid w:val="008178FC"/>
    <w:rsid w:val="00821BEC"/>
    <w:rsid w:val="008232EF"/>
    <w:rsid w:val="008246FC"/>
    <w:rsid w:val="00824903"/>
    <w:rsid w:val="00824A8F"/>
    <w:rsid w:val="0082595C"/>
    <w:rsid w:val="00826341"/>
    <w:rsid w:val="0082762F"/>
    <w:rsid w:val="00827685"/>
    <w:rsid w:val="008277EA"/>
    <w:rsid w:val="0082793D"/>
    <w:rsid w:val="0083030C"/>
    <w:rsid w:val="008304B9"/>
    <w:rsid w:val="00833666"/>
    <w:rsid w:val="0083391B"/>
    <w:rsid w:val="008345AC"/>
    <w:rsid w:val="008345C2"/>
    <w:rsid w:val="00834D10"/>
    <w:rsid w:val="00835B3D"/>
    <w:rsid w:val="00837344"/>
    <w:rsid w:val="00840497"/>
    <w:rsid w:val="008405A7"/>
    <w:rsid w:val="00841143"/>
    <w:rsid w:val="008426F4"/>
    <w:rsid w:val="008428D6"/>
    <w:rsid w:val="00843D3F"/>
    <w:rsid w:val="00844D16"/>
    <w:rsid w:val="00845A8B"/>
    <w:rsid w:val="00846585"/>
    <w:rsid w:val="00846DFE"/>
    <w:rsid w:val="0084707F"/>
    <w:rsid w:val="0084791E"/>
    <w:rsid w:val="008507DB"/>
    <w:rsid w:val="00851311"/>
    <w:rsid w:val="00851DF0"/>
    <w:rsid w:val="008522AC"/>
    <w:rsid w:val="00852577"/>
    <w:rsid w:val="00854BF0"/>
    <w:rsid w:val="00854E86"/>
    <w:rsid w:val="0085740B"/>
    <w:rsid w:val="00857F1E"/>
    <w:rsid w:val="008606D7"/>
    <w:rsid w:val="0086146B"/>
    <w:rsid w:val="00861999"/>
    <w:rsid w:val="008619DD"/>
    <w:rsid w:val="00862EFB"/>
    <w:rsid w:val="0086342B"/>
    <w:rsid w:val="00863462"/>
    <w:rsid w:val="00863BF1"/>
    <w:rsid w:val="00863C2B"/>
    <w:rsid w:val="00864F7B"/>
    <w:rsid w:val="0086653B"/>
    <w:rsid w:val="0086679D"/>
    <w:rsid w:val="00867D8C"/>
    <w:rsid w:val="00870260"/>
    <w:rsid w:val="00870792"/>
    <w:rsid w:val="00871A14"/>
    <w:rsid w:val="0087272F"/>
    <w:rsid w:val="0087278F"/>
    <w:rsid w:val="008728FC"/>
    <w:rsid w:val="00872C21"/>
    <w:rsid w:val="00873727"/>
    <w:rsid w:val="00874651"/>
    <w:rsid w:val="00875314"/>
    <w:rsid w:val="008764C0"/>
    <w:rsid w:val="008767DF"/>
    <w:rsid w:val="008769C5"/>
    <w:rsid w:val="008813F2"/>
    <w:rsid w:val="008848EF"/>
    <w:rsid w:val="00884CC0"/>
    <w:rsid w:val="00884FD7"/>
    <w:rsid w:val="00885541"/>
    <w:rsid w:val="0088554D"/>
    <w:rsid w:val="008855FD"/>
    <w:rsid w:val="0088570D"/>
    <w:rsid w:val="00885982"/>
    <w:rsid w:val="00885FE5"/>
    <w:rsid w:val="0088759F"/>
    <w:rsid w:val="00890706"/>
    <w:rsid w:val="0089192F"/>
    <w:rsid w:val="00894058"/>
    <w:rsid w:val="00895C46"/>
    <w:rsid w:val="0089610E"/>
    <w:rsid w:val="008974EF"/>
    <w:rsid w:val="008975CC"/>
    <w:rsid w:val="008A036C"/>
    <w:rsid w:val="008A0704"/>
    <w:rsid w:val="008A1AE2"/>
    <w:rsid w:val="008A1DA8"/>
    <w:rsid w:val="008A28BD"/>
    <w:rsid w:val="008A2A3B"/>
    <w:rsid w:val="008A35AE"/>
    <w:rsid w:val="008A6B06"/>
    <w:rsid w:val="008A7E48"/>
    <w:rsid w:val="008B0934"/>
    <w:rsid w:val="008B0EA7"/>
    <w:rsid w:val="008B0EDE"/>
    <w:rsid w:val="008B1F5F"/>
    <w:rsid w:val="008B2459"/>
    <w:rsid w:val="008B2C29"/>
    <w:rsid w:val="008B644A"/>
    <w:rsid w:val="008B7355"/>
    <w:rsid w:val="008B7CA0"/>
    <w:rsid w:val="008C0D99"/>
    <w:rsid w:val="008C25E4"/>
    <w:rsid w:val="008C2BF3"/>
    <w:rsid w:val="008C3B62"/>
    <w:rsid w:val="008C42B8"/>
    <w:rsid w:val="008C64F3"/>
    <w:rsid w:val="008C6DAA"/>
    <w:rsid w:val="008C6F11"/>
    <w:rsid w:val="008C7163"/>
    <w:rsid w:val="008C78DE"/>
    <w:rsid w:val="008C7B63"/>
    <w:rsid w:val="008D0B41"/>
    <w:rsid w:val="008D0D0D"/>
    <w:rsid w:val="008D2966"/>
    <w:rsid w:val="008D39A6"/>
    <w:rsid w:val="008D4845"/>
    <w:rsid w:val="008D5A87"/>
    <w:rsid w:val="008D5E7C"/>
    <w:rsid w:val="008D60C5"/>
    <w:rsid w:val="008D6802"/>
    <w:rsid w:val="008D757D"/>
    <w:rsid w:val="008D7BBF"/>
    <w:rsid w:val="008E08D2"/>
    <w:rsid w:val="008E0A07"/>
    <w:rsid w:val="008E0B8E"/>
    <w:rsid w:val="008E178C"/>
    <w:rsid w:val="008E1BC3"/>
    <w:rsid w:val="008E3179"/>
    <w:rsid w:val="008E44A0"/>
    <w:rsid w:val="008E4A2B"/>
    <w:rsid w:val="008E50F5"/>
    <w:rsid w:val="008E561A"/>
    <w:rsid w:val="008E5FB2"/>
    <w:rsid w:val="008E6978"/>
    <w:rsid w:val="008E6CC9"/>
    <w:rsid w:val="008E7083"/>
    <w:rsid w:val="008E7287"/>
    <w:rsid w:val="008E7702"/>
    <w:rsid w:val="008E79D6"/>
    <w:rsid w:val="008E7AE8"/>
    <w:rsid w:val="008E7B6D"/>
    <w:rsid w:val="008E7E53"/>
    <w:rsid w:val="008F0AE4"/>
    <w:rsid w:val="008F1532"/>
    <w:rsid w:val="008F1C06"/>
    <w:rsid w:val="008F2547"/>
    <w:rsid w:val="008F2BB1"/>
    <w:rsid w:val="008F2D46"/>
    <w:rsid w:val="008F3552"/>
    <w:rsid w:val="008F3D59"/>
    <w:rsid w:val="008F487C"/>
    <w:rsid w:val="008F48FA"/>
    <w:rsid w:val="008F4A92"/>
    <w:rsid w:val="008F51D6"/>
    <w:rsid w:val="008F54C9"/>
    <w:rsid w:val="008F57DD"/>
    <w:rsid w:val="008F5ECC"/>
    <w:rsid w:val="008F6432"/>
    <w:rsid w:val="008F7015"/>
    <w:rsid w:val="008F753E"/>
    <w:rsid w:val="00900240"/>
    <w:rsid w:val="00900662"/>
    <w:rsid w:val="00900962"/>
    <w:rsid w:val="00900A8F"/>
    <w:rsid w:val="00900B81"/>
    <w:rsid w:val="00901621"/>
    <w:rsid w:val="00901A0F"/>
    <w:rsid w:val="00901CE5"/>
    <w:rsid w:val="009022D5"/>
    <w:rsid w:val="009027B1"/>
    <w:rsid w:val="00903433"/>
    <w:rsid w:val="00903F52"/>
    <w:rsid w:val="00904808"/>
    <w:rsid w:val="00904FF8"/>
    <w:rsid w:val="00905202"/>
    <w:rsid w:val="00905293"/>
    <w:rsid w:val="00905387"/>
    <w:rsid w:val="009066F5"/>
    <w:rsid w:val="0090704D"/>
    <w:rsid w:val="0090729C"/>
    <w:rsid w:val="00913D06"/>
    <w:rsid w:val="0091436E"/>
    <w:rsid w:val="009148FC"/>
    <w:rsid w:val="00914CE0"/>
    <w:rsid w:val="00914D36"/>
    <w:rsid w:val="00915A5E"/>
    <w:rsid w:val="00916616"/>
    <w:rsid w:val="00921E96"/>
    <w:rsid w:val="00921FEF"/>
    <w:rsid w:val="009224D2"/>
    <w:rsid w:val="0092254F"/>
    <w:rsid w:val="00924427"/>
    <w:rsid w:val="00927153"/>
    <w:rsid w:val="0092785F"/>
    <w:rsid w:val="0093113E"/>
    <w:rsid w:val="00931FC6"/>
    <w:rsid w:val="009321A1"/>
    <w:rsid w:val="00932DC6"/>
    <w:rsid w:val="00932F41"/>
    <w:rsid w:val="0093359C"/>
    <w:rsid w:val="00933BE9"/>
    <w:rsid w:val="00933D2A"/>
    <w:rsid w:val="009340A1"/>
    <w:rsid w:val="009344F0"/>
    <w:rsid w:val="0093666D"/>
    <w:rsid w:val="00937E7F"/>
    <w:rsid w:val="009402BF"/>
    <w:rsid w:val="00940A9F"/>
    <w:rsid w:val="0094118B"/>
    <w:rsid w:val="009431F2"/>
    <w:rsid w:val="009448A5"/>
    <w:rsid w:val="0094563B"/>
    <w:rsid w:val="009456FB"/>
    <w:rsid w:val="009460D0"/>
    <w:rsid w:val="00946158"/>
    <w:rsid w:val="009461D4"/>
    <w:rsid w:val="00951D76"/>
    <w:rsid w:val="0095649B"/>
    <w:rsid w:val="00956C1B"/>
    <w:rsid w:val="00956CE8"/>
    <w:rsid w:val="00957205"/>
    <w:rsid w:val="009578A5"/>
    <w:rsid w:val="009625DD"/>
    <w:rsid w:val="00962C83"/>
    <w:rsid w:val="00962FD4"/>
    <w:rsid w:val="00963516"/>
    <w:rsid w:val="00963EE1"/>
    <w:rsid w:val="009644D5"/>
    <w:rsid w:val="009654D4"/>
    <w:rsid w:val="00966369"/>
    <w:rsid w:val="0096679E"/>
    <w:rsid w:val="00966D76"/>
    <w:rsid w:val="009671BF"/>
    <w:rsid w:val="00967D71"/>
    <w:rsid w:val="00967DDF"/>
    <w:rsid w:val="00970E67"/>
    <w:rsid w:val="009710BA"/>
    <w:rsid w:val="00972671"/>
    <w:rsid w:val="009741DE"/>
    <w:rsid w:val="00974B2F"/>
    <w:rsid w:val="00975734"/>
    <w:rsid w:val="009758FF"/>
    <w:rsid w:val="00976141"/>
    <w:rsid w:val="00977D0F"/>
    <w:rsid w:val="0098101E"/>
    <w:rsid w:val="00981138"/>
    <w:rsid w:val="00981514"/>
    <w:rsid w:val="00982FE1"/>
    <w:rsid w:val="00983F22"/>
    <w:rsid w:val="009849EB"/>
    <w:rsid w:val="00984EC0"/>
    <w:rsid w:val="00986DA1"/>
    <w:rsid w:val="00987F3D"/>
    <w:rsid w:val="00991392"/>
    <w:rsid w:val="009923F0"/>
    <w:rsid w:val="00992B8D"/>
    <w:rsid w:val="00993737"/>
    <w:rsid w:val="00995911"/>
    <w:rsid w:val="00995F27"/>
    <w:rsid w:val="009961B2"/>
    <w:rsid w:val="00997128"/>
    <w:rsid w:val="009971D0"/>
    <w:rsid w:val="00997DDD"/>
    <w:rsid w:val="009A06DA"/>
    <w:rsid w:val="009A0E1B"/>
    <w:rsid w:val="009A172D"/>
    <w:rsid w:val="009A1DA5"/>
    <w:rsid w:val="009A25CD"/>
    <w:rsid w:val="009A2883"/>
    <w:rsid w:val="009A35F1"/>
    <w:rsid w:val="009A4F2A"/>
    <w:rsid w:val="009A66A2"/>
    <w:rsid w:val="009B09EB"/>
    <w:rsid w:val="009B1894"/>
    <w:rsid w:val="009B1B51"/>
    <w:rsid w:val="009B2A8C"/>
    <w:rsid w:val="009B2BF1"/>
    <w:rsid w:val="009B330E"/>
    <w:rsid w:val="009B3FBD"/>
    <w:rsid w:val="009C058A"/>
    <w:rsid w:val="009C1D67"/>
    <w:rsid w:val="009C2435"/>
    <w:rsid w:val="009C2E0F"/>
    <w:rsid w:val="009C4DE3"/>
    <w:rsid w:val="009C4E84"/>
    <w:rsid w:val="009C4F9F"/>
    <w:rsid w:val="009C4FA8"/>
    <w:rsid w:val="009C58A6"/>
    <w:rsid w:val="009C6290"/>
    <w:rsid w:val="009C63C0"/>
    <w:rsid w:val="009C6859"/>
    <w:rsid w:val="009C7302"/>
    <w:rsid w:val="009C7F16"/>
    <w:rsid w:val="009D0C3D"/>
    <w:rsid w:val="009D1B99"/>
    <w:rsid w:val="009D1E39"/>
    <w:rsid w:val="009D2100"/>
    <w:rsid w:val="009D2D5E"/>
    <w:rsid w:val="009D4143"/>
    <w:rsid w:val="009D4651"/>
    <w:rsid w:val="009D51F1"/>
    <w:rsid w:val="009D72BF"/>
    <w:rsid w:val="009E22AD"/>
    <w:rsid w:val="009E2A5A"/>
    <w:rsid w:val="009E4883"/>
    <w:rsid w:val="009E488C"/>
    <w:rsid w:val="009E548B"/>
    <w:rsid w:val="009E5668"/>
    <w:rsid w:val="009E5A17"/>
    <w:rsid w:val="009E706A"/>
    <w:rsid w:val="009E78B9"/>
    <w:rsid w:val="009F01ED"/>
    <w:rsid w:val="009F0282"/>
    <w:rsid w:val="009F105E"/>
    <w:rsid w:val="009F1AF0"/>
    <w:rsid w:val="009F1B58"/>
    <w:rsid w:val="009F2D91"/>
    <w:rsid w:val="009F2FE7"/>
    <w:rsid w:val="009F3E3C"/>
    <w:rsid w:val="009F44A3"/>
    <w:rsid w:val="009F619E"/>
    <w:rsid w:val="009F7230"/>
    <w:rsid w:val="00A00726"/>
    <w:rsid w:val="00A00C3D"/>
    <w:rsid w:val="00A01064"/>
    <w:rsid w:val="00A027B7"/>
    <w:rsid w:val="00A02C0B"/>
    <w:rsid w:val="00A0346A"/>
    <w:rsid w:val="00A051FB"/>
    <w:rsid w:val="00A05430"/>
    <w:rsid w:val="00A05DBB"/>
    <w:rsid w:val="00A063A4"/>
    <w:rsid w:val="00A06CA3"/>
    <w:rsid w:val="00A075E1"/>
    <w:rsid w:val="00A07AD8"/>
    <w:rsid w:val="00A1213B"/>
    <w:rsid w:val="00A126DF"/>
    <w:rsid w:val="00A12C6E"/>
    <w:rsid w:val="00A12FA4"/>
    <w:rsid w:val="00A13A1C"/>
    <w:rsid w:val="00A13AB0"/>
    <w:rsid w:val="00A147E0"/>
    <w:rsid w:val="00A150EF"/>
    <w:rsid w:val="00A160C2"/>
    <w:rsid w:val="00A16DBE"/>
    <w:rsid w:val="00A178D5"/>
    <w:rsid w:val="00A17EEA"/>
    <w:rsid w:val="00A2052A"/>
    <w:rsid w:val="00A211CD"/>
    <w:rsid w:val="00A215AB"/>
    <w:rsid w:val="00A217CE"/>
    <w:rsid w:val="00A21C43"/>
    <w:rsid w:val="00A22482"/>
    <w:rsid w:val="00A225E3"/>
    <w:rsid w:val="00A22E11"/>
    <w:rsid w:val="00A231FD"/>
    <w:rsid w:val="00A23615"/>
    <w:rsid w:val="00A25353"/>
    <w:rsid w:val="00A26766"/>
    <w:rsid w:val="00A27404"/>
    <w:rsid w:val="00A27714"/>
    <w:rsid w:val="00A30776"/>
    <w:rsid w:val="00A3295D"/>
    <w:rsid w:val="00A32CD2"/>
    <w:rsid w:val="00A33689"/>
    <w:rsid w:val="00A337AC"/>
    <w:rsid w:val="00A33F50"/>
    <w:rsid w:val="00A34927"/>
    <w:rsid w:val="00A35833"/>
    <w:rsid w:val="00A3679E"/>
    <w:rsid w:val="00A371C6"/>
    <w:rsid w:val="00A3733D"/>
    <w:rsid w:val="00A37AE5"/>
    <w:rsid w:val="00A37B2C"/>
    <w:rsid w:val="00A37C82"/>
    <w:rsid w:val="00A407DE"/>
    <w:rsid w:val="00A40BB9"/>
    <w:rsid w:val="00A414E5"/>
    <w:rsid w:val="00A41B5C"/>
    <w:rsid w:val="00A4387E"/>
    <w:rsid w:val="00A44060"/>
    <w:rsid w:val="00A46AE8"/>
    <w:rsid w:val="00A4782A"/>
    <w:rsid w:val="00A5022A"/>
    <w:rsid w:val="00A50F2F"/>
    <w:rsid w:val="00A51692"/>
    <w:rsid w:val="00A53383"/>
    <w:rsid w:val="00A5435E"/>
    <w:rsid w:val="00A55906"/>
    <w:rsid w:val="00A573C2"/>
    <w:rsid w:val="00A57631"/>
    <w:rsid w:val="00A60313"/>
    <w:rsid w:val="00A60648"/>
    <w:rsid w:val="00A60D07"/>
    <w:rsid w:val="00A60D7C"/>
    <w:rsid w:val="00A61DE4"/>
    <w:rsid w:val="00A61E8C"/>
    <w:rsid w:val="00A62CCA"/>
    <w:rsid w:val="00A631F4"/>
    <w:rsid w:val="00A64DB6"/>
    <w:rsid w:val="00A65680"/>
    <w:rsid w:val="00A70CF3"/>
    <w:rsid w:val="00A71AFC"/>
    <w:rsid w:val="00A71B05"/>
    <w:rsid w:val="00A71CDD"/>
    <w:rsid w:val="00A72E90"/>
    <w:rsid w:val="00A72F86"/>
    <w:rsid w:val="00A74E2C"/>
    <w:rsid w:val="00A75F23"/>
    <w:rsid w:val="00A76870"/>
    <w:rsid w:val="00A81CD7"/>
    <w:rsid w:val="00A82A8E"/>
    <w:rsid w:val="00A82F8F"/>
    <w:rsid w:val="00A83845"/>
    <w:rsid w:val="00A83BE3"/>
    <w:rsid w:val="00A8520D"/>
    <w:rsid w:val="00A86401"/>
    <w:rsid w:val="00A86C84"/>
    <w:rsid w:val="00A87978"/>
    <w:rsid w:val="00A87E20"/>
    <w:rsid w:val="00A9035A"/>
    <w:rsid w:val="00A905F4"/>
    <w:rsid w:val="00A90FB3"/>
    <w:rsid w:val="00A911CF"/>
    <w:rsid w:val="00A915A5"/>
    <w:rsid w:val="00A91ABD"/>
    <w:rsid w:val="00A91F82"/>
    <w:rsid w:val="00A926FC"/>
    <w:rsid w:val="00A932CF"/>
    <w:rsid w:val="00A93AFE"/>
    <w:rsid w:val="00A93BC2"/>
    <w:rsid w:val="00A95785"/>
    <w:rsid w:val="00A96374"/>
    <w:rsid w:val="00A97579"/>
    <w:rsid w:val="00AA1309"/>
    <w:rsid w:val="00AA1D11"/>
    <w:rsid w:val="00AA1F10"/>
    <w:rsid w:val="00AA263E"/>
    <w:rsid w:val="00AA27DC"/>
    <w:rsid w:val="00AA300D"/>
    <w:rsid w:val="00AA3A66"/>
    <w:rsid w:val="00AA3D07"/>
    <w:rsid w:val="00AA425F"/>
    <w:rsid w:val="00AA4983"/>
    <w:rsid w:val="00AA4CC6"/>
    <w:rsid w:val="00AA4E6E"/>
    <w:rsid w:val="00AA517B"/>
    <w:rsid w:val="00AA7626"/>
    <w:rsid w:val="00AB05DA"/>
    <w:rsid w:val="00AB1BED"/>
    <w:rsid w:val="00AB1DB8"/>
    <w:rsid w:val="00AB2830"/>
    <w:rsid w:val="00AB2BE2"/>
    <w:rsid w:val="00AB3F06"/>
    <w:rsid w:val="00AB4C13"/>
    <w:rsid w:val="00AB5300"/>
    <w:rsid w:val="00AB7407"/>
    <w:rsid w:val="00AB74E4"/>
    <w:rsid w:val="00AB7D01"/>
    <w:rsid w:val="00AC00D6"/>
    <w:rsid w:val="00AC029D"/>
    <w:rsid w:val="00AC1C29"/>
    <w:rsid w:val="00AC2350"/>
    <w:rsid w:val="00AC2AB4"/>
    <w:rsid w:val="00AC2C3D"/>
    <w:rsid w:val="00AC2D68"/>
    <w:rsid w:val="00AC37F6"/>
    <w:rsid w:val="00AC39AC"/>
    <w:rsid w:val="00AC3BB7"/>
    <w:rsid w:val="00AC68AA"/>
    <w:rsid w:val="00AC7B8D"/>
    <w:rsid w:val="00AD1748"/>
    <w:rsid w:val="00AD2007"/>
    <w:rsid w:val="00AD223A"/>
    <w:rsid w:val="00AD2EC3"/>
    <w:rsid w:val="00AD37E1"/>
    <w:rsid w:val="00AD4241"/>
    <w:rsid w:val="00AD4BB3"/>
    <w:rsid w:val="00AD67B3"/>
    <w:rsid w:val="00AD6805"/>
    <w:rsid w:val="00AD7648"/>
    <w:rsid w:val="00AD7ADD"/>
    <w:rsid w:val="00AE00AC"/>
    <w:rsid w:val="00AE05A7"/>
    <w:rsid w:val="00AE0A06"/>
    <w:rsid w:val="00AE0D64"/>
    <w:rsid w:val="00AE0F4F"/>
    <w:rsid w:val="00AE1DC4"/>
    <w:rsid w:val="00AE2EA4"/>
    <w:rsid w:val="00AE2FC2"/>
    <w:rsid w:val="00AE3B1E"/>
    <w:rsid w:val="00AE4118"/>
    <w:rsid w:val="00AE4E13"/>
    <w:rsid w:val="00AE5B66"/>
    <w:rsid w:val="00AE5E4A"/>
    <w:rsid w:val="00AE6DAB"/>
    <w:rsid w:val="00AE7985"/>
    <w:rsid w:val="00AE7A3E"/>
    <w:rsid w:val="00AE7AC7"/>
    <w:rsid w:val="00AE7DC1"/>
    <w:rsid w:val="00AF00BF"/>
    <w:rsid w:val="00AF0DEE"/>
    <w:rsid w:val="00AF251F"/>
    <w:rsid w:val="00AF32EF"/>
    <w:rsid w:val="00AF34FE"/>
    <w:rsid w:val="00AF53DA"/>
    <w:rsid w:val="00AF54B6"/>
    <w:rsid w:val="00AF56F4"/>
    <w:rsid w:val="00AF5ACF"/>
    <w:rsid w:val="00AF645B"/>
    <w:rsid w:val="00AF65FF"/>
    <w:rsid w:val="00AF6E8E"/>
    <w:rsid w:val="00AF7098"/>
    <w:rsid w:val="00AF7C04"/>
    <w:rsid w:val="00AF7DC5"/>
    <w:rsid w:val="00B0016B"/>
    <w:rsid w:val="00B00351"/>
    <w:rsid w:val="00B00B5F"/>
    <w:rsid w:val="00B01504"/>
    <w:rsid w:val="00B0251C"/>
    <w:rsid w:val="00B04CF0"/>
    <w:rsid w:val="00B06E0F"/>
    <w:rsid w:val="00B074A6"/>
    <w:rsid w:val="00B07A12"/>
    <w:rsid w:val="00B07A21"/>
    <w:rsid w:val="00B07F19"/>
    <w:rsid w:val="00B10346"/>
    <w:rsid w:val="00B108C7"/>
    <w:rsid w:val="00B11D87"/>
    <w:rsid w:val="00B12512"/>
    <w:rsid w:val="00B1362E"/>
    <w:rsid w:val="00B1415E"/>
    <w:rsid w:val="00B14C64"/>
    <w:rsid w:val="00B14ED5"/>
    <w:rsid w:val="00B159B9"/>
    <w:rsid w:val="00B16080"/>
    <w:rsid w:val="00B17698"/>
    <w:rsid w:val="00B17D9D"/>
    <w:rsid w:val="00B22C25"/>
    <w:rsid w:val="00B243EE"/>
    <w:rsid w:val="00B25156"/>
    <w:rsid w:val="00B258A6"/>
    <w:rsid w:val="00B25F5F"/>
    <w:rsid w:val="00B263A6"/>
    <w:rsid w:val="00B264AC"/>
    <w:rsid w:val="00B26F6E"/>
    <w:rsid w:val="00B2730F"/>
    <w:rsid w:val="00B30CF2"/>
    <w:rsid w:val="00B314DC"/>
    <w:rsid w:val="00B31744"/>
    <w:rsid w:val="00B31AC6"/>
    <w:rsid w:val="00B32526"/>
    <w:rsid w:val="00B32667"/>
    <w:rsid w:val="00B33C67"/>
    <w:rsid w:val="00B3423F"/>
    <w:rsid w:val="00B3582B"/>
    <w:rsid w:val="00B360F4"/>
    <w:rsid w:val="00B40BDE"/>
    <w:rsid w:val="00B41452"/>
    <w:rsid w:val="00B43CB8"/>
    <w:rsid w:val="00B4418C"/>
    <w:rsid w:val="00B444FA"/>
    <w:rsid w:val="00B448C9"/>
    <w:rsid w:val="00B455FF"/>
    <w:rsid w:val="00B46C50"/>
    <w:rsid w:val="00B47A4E"/>
    <w:rsid w:val="00B524C4"/>
    <w:rsid w:val="00B528F0"/>
    <w:rsid w:val="00B56F56"/>
    <w:rsid w:val="00B61B09"/>
    <w:rsid w:val="00B63391"/>
    <w:rsid w:val="00B63850"/>
    <w:rsid w:val="00B640F9"/>
    <w:rsid w:val="00B64CD0"/>
    <w:rsid w:val="00B66014"/>
    <w:rsid w:val="00B66BB9"/>
    <w:rsid w:val="00B6790F"/>
    <w:rsid w:val="00B67FE2"/>
    <w:rsid w:val="00B67FF6"/>
    <w:rsid w:val="00B70078"/>
    <w:rsid w:val="00B701C1"/>
    <w:rsid w:val="00B728E8"/>
    <w:rsid w:val="00B7319C"/>
    <w:rsid w:val="00B75147"/>
    <w:rsid w:val="00B76C17"/>
    <w:rsid w:val="00B77C7B"/>
    <w:rsid w:val="00B81086"/>
    <w:rsid w:val="00B81B43"/>
    <w:rsid w:val="00B820A1"/>
    <w:rsid w:val="00B82206"/>
    <w:rsid w:val="00B828BE"/>
    <w:rsid w:val="00B82AFB"/>
    <w:rsid w:val="00B82EE9"/>
    <w:rsid w:val="00B83554"/>
    <w:rsid w:val="00B8439D"/>
    <w:rsid w:val="00B9108A"/>
    <w:rsid w:val="00B93679"/>
    <w:rsid w:val="00B945C5"/>
    <w:rsid w:val="00B95BAE"/>
    <w:rsid w:val="00B96401"/>
    <w:rsid w:val="00B96862"/>
    <w:rsid w:val="00BA0023"/>
    <w:rsid w:val="00BA0F3A"/>
    <w:rsid w:val="00BA27AC"/>
    <w:rsid w:val="00BA2AA1"/>
    <w:rsid w:val="00BA2AA4"/>
    <w:rsid w:val="00BA3105"/>
    <w:rsid w:val="00BA3200"/>
    <w:rsid w:val="00BA3402"/>
    <w:rsid w:val="00BA45DA"/>
    <w:rsid w:val="00BA506D"/>
    <w:rsid w:val="00BA5210"/>
    <w:rsid w:val="00BA5B04"/>
    <w:rsid w:val="00BA750E"/>
    <w:rsid w:val="00BA7512"/>
    <w:rsid w:val="00BA777E"/>
    <w:rsid w:val="00BB00C4"/>
    <w:rsid w:val="00BB171A"/>
    <w:rsid w:val="00BB1914"/>
    <w:rsid w:val="00BB2F31"/>
    <w:rsid w:val="00BB41D6"/>
    <w:rsid w:val="00BB4649"/>
    <w:rsid w:val="00BB46F5"/>
    <w:rsid w:val="00BB5755"/>
    <w:rsid w:val="00BB5FF9"/>
    <w:rsid w:val="00BB6446"/>
    <w:rsid w:val="00BB7059"/>
    <w:rsid w:val="00BB7294"/>
    <w:rsid w:val="00BB76FE"/>
    <w:rsid w:val="00BB7BF4"/>
    <w:rsid w:val="00BB7EFE"/>
    <w:rsid w:val="00BC1529"/>
    <w:rsid w:val="00BC1AD1"/>
    <w:rsid w:val="00BC241A"/>
    <w:rsid w:val="00BC27CD"/>
    <w:rsid w:val="00BC31C3"/>
    <w:rsid w:val="00BC345F"/>
    <w:rsid w:val="00BD038F"/>
    <w:rsid w:val="00BD0554"/>
    <w:rsid w:val="00BD5DC5"/>
    <w:rsid w:val="00BD6A09"/>
    <w:rsid w:val="00BD7B07"/>
    <w:rsid w:val="00BD7EB4"/>
    <w:rsid w:val="00BD7FEF"/>
    <w:rsid w:val="00BE056C"/>
    <w:rsid w:val="00BE069E"/>
    <w:rsid w:val="00BE1528"/>
    <w:rsid w:val="00BE29B6"/>
    <w:rsid w:val="00BE411C"/>
    <w:rsid w:val="00BE4AEB"/>
    <w:rsid w:val="00BE51C7"/>
    <w:rsid w:val="00BE57AD"/>
    <w:rsid w:val="00BE5A2D"/>
    <w:rsid w:val="00BE7413"/>
    <w:rsid w:val="00BE77CA"/>
    <w:rsid w:val="00BF0FD4"/>
    <w:rsid w:val="00BF1583"/>
    <w:rsid w:val="00BF19DE"/>
    <w:rsid w:val="00BF2B98"/>
    <w:rsid w:val="00BF2D3D"/>
    <w:rsid w:val="00BF3306"/>
    <w:rsid w:val="00BF3CC6"/>
    <w:rsid w:val="00BF4330"/>
    <w:rsid w:val="00BF4D50"/>
    <w:rsid w:val="00BF5A87"/>
    <w:rsid w:val="00BF63AA"/>
    <w:rsid w:val="00BF6648"/>
    <w:rsid w:val="00BF6952"/>
    <w:rsid w:val="00C005E8"/>
    <w:rsid w:val="00C0082A"/>
    <w:rsid w:val="00C0091F"/>
    <w:rsid w:val="00C02457"/>
    <w:rsid w:val="00C0258E"/>
    <w:rsid w:val="00C02F36"/>
    <w:rsid w:val="00C03792"/>
    <w:rsid w:val="00C04B16"/>
    <w:rsid w:val="00C04D3B"/>
    <w:rsid w:val="00C05FFD"/>
    <w:rsid w:val="00C065AA"/>
    <w:rsid w:val="00C10A14"/>
    <w:rsid w:val="00C126BF"/>
    <w:rsid w:val="00C1351F"/>
    <w:rsid w:val="00C14239"/>
    <w:rsid w:val="00C14463"/>
    <w:rsid w:val="00C14E79"/>
    <w:rsid w:val="00C1748D"/>
    <w:rsid w:val="00C2021B"/>
    <w:rsid w:val="00C211C6"/>
    <w:rsid w:val="00C22706"/>
    <w:rsid w:val="00C2382A"/>
    <w:rsid w:val="00C2570A"/>
    <w:rsid w:val="00C260F0"/>
    <w:rsid w:val="00C269DE"/>
    <w:rsid w:val="00C31456"/>
    <w:rsid w:val="00C31E4F"/>
    <w:rsid w:val="00C323F0"/>
    <w:rsid w:val="00C3440E"/>
    <w:rsid w:val="00C35873"/>
    <w:rsid w:val="00C35D67"/>
    <w:rsid w:val="00C360F7"/>
    <w:rsid w:val="00C36253"/>
    <w:rsid w:val="00C36AE3"/>
    <w:rsid w:val="00C36CE2"/>
    <w:rsid w:val="00C37442"/>
    <w:rsid w:val="00C37AAB"/>
    <w:rsid w:val="00C40A9E"/>
    <w:rsid w:val="00C4107B"/>
    <w:rsid w:val="00C42332"/>
    <w:rsid w:val="00C428D6"/>
    <w:rsid w:val="00C440FA"/>
    <w:rsid w:val="00C44AD8"/>
    <w:rsid w:val="00C44EB8"/>
    <w:rsid w:val="00C4557C"/>
    <w:rsid w:val="00C502AA"/>
    <w:rsid w:val="00C50358"/>
    <w:rsid w:val="00C50528"/>
    <w:rsid w:val="00C50533"/>
    <w:rsid w:val="00C506EB"/>
    <w:rsid w:val="00C50987"/>
    <w:rsid w:val="00C50B3E"/>
    <w:rsid w:val="00C50E16"/>
    <w:rsid w:val="00C5109E"/>
    <w:rsid w:val="00C52104"/>
    <w:rsid w:val="00C524FC"/>
    <w:rsid w:val="00C532AA"/>
    <w:rsid w:val="00C54E72"/>
    <w:rsid w:val="00C54EDE"/>
    <w:rsid w:val="00C55872"/>
    <w:rsid w:val="00C55EB9"/>
    <w:rsid w:val="00C576D6"/>
    <w:rsid w:val="00C6198A"/>
    <w:rsid w:val="00C62B2A"/>
    <w:rsid w:val="00C63A33"/>
    <w:rsid w:val="00C6493A"/>
    <w:rsid w:val="00C64D26"/>
    <w:rsid w:val="00C65113"/>
    <w:rsid w:val="00C658D2"/>
    <w:rsid w:val="00C65DCA"/>
    <w:rsid w:val="00C67B98"/>
    <w:rsid w:val="00C70413"/>
    <w:rsid w:val="00C7046A"/>
    <w:rsid w:val="00C70747"/>
    <w:rsid w:val="00C71665"/>
    <w:rsid w:val="00C716BF"/>
    <w:rsid w:val="00C72F83"/>
    <w:rsid w:val="00C739AC"/>
    <w:rsid w:val="00C74780"/>
    <w:rsid w:val="00C74D50"/>
    <w:rsid w:val="00C761D5"/>
    <w:rsid w:val="00C76D16"/>
    <w:rsid w:val="00C8038E"/>
    <w:rsid w:val="00C8154D"/>
    <w:rsid w:val="00C81DAF"/>
    <w:rsid w:val="00C8285E"/>
    <w:rsid w:val="00C83A98"/>
    <w:rsid w:val="00C83BDF"/>
    <w:rsid w:val="00C83C02"/>
    <w:rsid w:val="00C87595"/>
    <w:rsid w:val="00C90289"/>
    <w:rsid w:val="00C90C0B"/>
    <w:rsid w:val="00C90E4C"/>
    <w:rsid w:val="00C90FFF"/>
    <w:rsid w:val="00C910E7"/>
    <w:rsid w:val="00C91838"/>
    <w:rsid w:val="00C91F68"/>
    <w:rsid w:val="00C92613"/>
    <w:rsid w:val="00C926FB"/>
    <w:rsid w:val="00C94F65"/>
    <w:rsid w:val="00C95209"/>
    <w:rsid w:val="00C95924"/>
    <w:rsid w:val="00C96ED0"/>
    <w:rsid w:val="00CA0619"/>
    <w:rsid w:val="00CA0D17"/>
    <w:rsid w:val="00CA1828"/>
    <w:rsid w:val="00CA3251"/>
    <w:rsid w:val="00CA34DC"/>
    <w:rsid w:val="00CA3A94"/>
    <w:rsid w:val="00CA3D09"/>
    <w:rsid w:val="00CA4CCC"/>
    <w:rsid w:val="00CA5A5C"/>
    <w:rsid w:val="00CA5E2D"/>
    <w:rsid w:val="00CA66F8"/>
    <w:rsid w:val="00CA719A"/>
    <w:rsid w:val="00CA77C2"/>
    <w:rsid w:val="00CA79FE"/>
    <w:rsid w:val="00CA7F9D"/>
    <w:rsid w:val="00CB0893"/>
    <w:rsid w:val="00CB0B52"/>
    <w:rsid w:val="00CB1B66"/>
    <w:rsid w:val="00CB1C63"/>
    <w:rsid w:val="00CB2278"/>
    <w:rsid w:val="00CB2587"/>
    <w:rsid w:val="00CB2EEB"/>
    <w:rsid w:val="00CB3551"/>
    <w:rsid w:val="00CB3F60"/>
    <w:rsid w:val="00CB4030"/>
    <w:rsid w:val="00CB4BE3"/>
    <w:rsid w:val="00CB5F52"/>
    <w:rsid w:val="00CB697F"/>
    <w:rsid w:val="00CC12C2"/>
    <w:rsid w:val="00CC1469"/>
    <w:rsid w:val="00CC2361"/>
    <w:rsid w:val="00CC2458"/>
    <w:rsid w:val="00CC2E38"/>
    <w:rsid w:val="00CC30AD"/>
    <w:rsid w:val="00CC3887"/>
    <w:rsid w:val="00CC404A"/>
    <w:rsid w:val="00CC431A"/>
    <w:rsid w:val="00CC4B95"/>
    <w:rsid w:val="00CC5C4C"/>
    <w:rsid w:val="00CC74A6"/>
    <w:rsid w:val="00CC7F9A"/>
    <w:rsid w:val="00CD00A3"/>
    <w:rsid w:val="00CD0984"/>
    <w:rsid w:val="00CD0B95"/>
    <w:rsid w:val="00CD0CD0"/>
    <w:rsid w:val="00CD14D7"/>
    <w:rsid w:val="00CD2C26"/>
    <w:rsid w:val="00CD3A33"/>
    <w:rsid w:val="00CD3BD3"/>
    <w:rsid w:val="00CD6354"/>
    <w:rsid w:val="00CD6563"/>
    <w:rsid w:val="00CD69DE"/>
    <w:rsid w:val="00CD75C1"/>
    <w:rsid w:val="00CD7603"/>
    <w:rsid w:val="00CD7EFE"/>
    <w:rsid w:val="00CE0424"/>
    <w:rsid w:val="00CE0792"/>
    <w:rsid w:val="00CE4210"/>
    <w:rsid w:val="00CE4D30"/>
    <w:rsid w:val="00CE643D"/>
    <w:rsid w:val="00CE6C1F"/>
    <w:rsid w:val="00CE72D4"/>
    <w:rsid w:val="00CE7864"/>
    <w:rsid w:val="00CF08E1"/>
    <w:rsid w:val="00CF23F8"/>
    <w:rsid w:val="00CF365A"/>
    <w:rsid w:val="00CF3999"/>
    <w:rsid w:val="00CF449F"/>
    <w:rsid w:val="00CF5327"/>
    <w:rsid w:val="00CF6279"/>
    <w:rsid w:val="00CF6F18"/>
    <w:rsid w:val="00CF7343"/>
    <w:rsid w:val="00CF7594"/>
    <w:rsid w:val="00CF7B4A"/>
    <w:rsid w:val="00D007D8"/>
    <w:rsid w:val="00D00F4B"/>
    <w:rsid w:val="00D04EF1"/>
    <w:rsid w:val="00D0613E"/>
    <w:rsid w:val="00D070FB"/>
    <w:rsid w:val="00D074F3"/>
    <w:rsid w:val="00D07FFB"/>
    <w:rsid w:val="00D10DFE"/>
    <w:rsid w:val="00D119B9"/>
    <w:rsid w:val="00D11C6A"/>
    <w:rsid w:val="00D12C85"/>
    <w:rsid w:val="00D12E22"/>
    <w:rsid w:val="00D139C8"/>
    <w:rsid w:val="00D142BC"/>
    <w:rsid w:val="00D14BE9"/>
    <w:rsid w:val="00D16506"/>
    <w:rsid w:val="00D171FB"/>
    <w:rsid w:val="00D1735A"/>
    <w:rsid w:val="00D2090C"/>
    <w:rsid w:val="00D20A00"/>
    <w:rsid w:val="00D217B9"/>
    <w:rsid w:val="00D22D1D"/>
    <w:rsid w:val="00D23239"/>
    <w:rsid w:val="00D24F99"/>
    <w:rsid w:val="00D26953"/>
    <w:rsid w:val="00D26CB3"/>
    <w:rsid w:val="00D272FA"/>
    <w:rsid w:val="00D27FCF"/>
    <w:rsid w:val="00D30833"/>
    <w:rsid w:val="00D30E0C"/>
    <w:rsid w:val="00D32A9D"/>
    <w:rsid w:val="00D32C81"/>
    <w:rsid w:val="00D34F06"/>
    <w:rsid w:val="00D357DB"/>
    <w:rsid w:val="00D35982"/>
    <w:rsid w:val="00D370E8"/>
    <w:rsid w:val="00D41253"/>
    <w:rsid w:val="00D4154B"/>
    <w:rsid w:val="00D4172A"/>
    <w:rsid w:val="00D42751"/>
    <w:rsid w:val="00D42E6D"/>
    <w:rsid w:val="00D4326E"/>
    <w:rsid w:val="00D444C0"/>
    <w:rsid w:val="00D44EDB"/>
    <w:rsid w:val="00D45B40"/>
    <w:rsid w:val="00D46F1F"/>
    <w:rsid w:val="00D46F47"/>
    <w:rsid w:val="00D50920"/>
    <w:rsid w:val="00D50947"/>
    <w:rsid w:val="00D50C98"/>
    <w:rsid w:val="00D51BE6"/>
    <w:rsid w:val="00D51E52"/>
    <w:rsid w:val="00D52AA1"/>
    <w:rsid w:val="00D5489B"/>
    <w:rsid w:val="00D5576A"/>
    <w:rsid w:val="00D568B8"/>
    <w:rsid w:val="00D576A3"/>
    <w:rsid w:val="00D57C21"/>
    <w:rsid w:val="00D60CE2"/>
    <w:rsid w:val="00D60D2E"/>
    <w:rsid w:val="00D6116B"/>
    <w:rsid w:val="00D613C6"/>
    <w:rsid w:val="00D61650"/>
    <w:rsid w:val="00D6430D"/>
    <w:rsid w:val="00D653A7"/>
    <w:rsid w:val="00D66062"/>
    <w:rsid w:val="00D66668"/>
    <w:rsid w:val="00D67699"/>
    <w:rsid w:val="00D678AE"/>
    <w:rsid w:val="00D70307"/>
    <w:rsid w:val="00D704AC"/>
    <w:rsid w:val="00D71C8F"/>
    <w:rsid w:val="00D71D72"/>
    <w:rsid w:val="00D73F72"/>
    <w:rsid w:val="00D74078"/>
    <w:rsid w:val="00D76E33"/>
    <w:rsid w:val="00D770C5"/>
    <w:rsid w:val="00D7723E"/>
    <w:rsid w:val="00D80A61"/>
    <w:rsid w:val="00D81733"/>
    <w:rsid w:val="00D82E7D"/>
    <w:rsid w:val="00D83B8A"/>
    <w:rsid w:val="00D857AC"/>
    <w:rsid w:val="00D863E6"/>
    <w:rsid w:val="00D87468"/>
    <w:rsid w:val="00D91C90"/>
    <w:rsid w:val="00D9270F"/>
    <w:rsid w:val="00D92C5F"/>
    <w:rsid w:val="00D92D51"/>
    <w:rsid w:val="00D937B0"/>
    <w:rsid w:val="00D9500C"/>
    <w:rsid w:val="00D96524"/>
    <w:rsid w:val="00D96CAB"/>
    <w:rsid w:val="00D97950"/>
    <w:rsid w:val="00D97C28"/>
    <w:rsid w:val="00DA0229"/>
    <w:rsid w:val="00DA02A3"/>
    <w:rsid w:val="00DA10CE"/>
    <w:rsid w:val="00DA151D"/>
    <w:rsid w:val="00DA1776"/>
    <w:rsid w:val="00DA19FE"/>
    <w:rsid w:val="00DA1BC1"/>
    <w:rsid w:val="00DA50AB"/>
    <w:rsid w:val="00DA70FB"/>
    <w:rsid w:val="00DA7637"/>
    <w:rsid w:val="00DA7754"/>
    <w:rsid w:val="00DA7825"/>
    <w:rsid w:val="00DB0B03"/>
    <w:rsid w:val="00DB0FCA"/>
    <w:rsid w:val="00DB1076"/>
    <w:rsid w:val="00DB112D"/>
    <w:rsid w:val="00DB13D1"/>
    <w:rsid w:val="00DB217F"/>
    <w:rsid w:val="00DB281C"/>
    <w:rsid w:val="00DB31D5"/>
    <w:rsid w:val="00DB32FD"/>
    <w:rsid w:val="00DB3C00"/>
    <w:rsid w:val="00DB72C3"/>
    <w:rsid w:val="00DB7C8D"/>
    <w:rsid w:val="00DB7E16"/>
    <w:rsid w:val="00DC0743"/>
    <w:rsid w:val="00DC2EFF"/>
    <w:rsid w:val="00DC41E6"/>
    <w:rsid w:val="00DC4350"/>
    <w:rsid w:val="00DC45EC"/>
    <w:rsid w:val="00DC4D7E"/>
    <w:rsid w:val="00DC51C7"/>
    <w:rsid w:val="00DC5981"/>
    <w:rsid w:val="00DC6E03"/>
    <w:rsid w:val="00DC6FC2"/>
    <w:rsid w:val="00DD273A"/>
    <w:rsid w:val="00DD2A4D"/>
    <w:rsid w:val="00DD3806"/>
    <w:rsid w:val="00DD384C"/>
    <w:rsid w:val="00DD39A5"/>
    <w:rsid w:val="00DD48F7"/>
    <w:rsid w:val="00DD5006"/>
    <w:rsid w:val="00DD55B8"/>
    <w:rsid w:val="00DD587A"/>
    <w:rsid w:val="00DD5A27"/>
    <w:rsid w:val="00DD5CB8"/>
    <w:rsid w:val="00DD6B58"/>
    <w:rsid w:val="00DE0578"/>
    <w:rsid w:val="00DE200D"/>
    <w:rsid w:val="00DE2D00"/>
    <w:rsid w:val="00DE36AB"/>
    <w:rsid w:val="00DE41C1"/>
    <w:rsid w:val="00DE4B14"/>
    <w:rsid w:val="00DE4FD8"/>
    <w:rsid w:val="00DE6FC2"/>
    <w:rsid w:val="00DF0E06"/>
    <w:rsid w:val="00DF1E6D"/>
    <w:rsid w:val="00DF39E4"/>
    <w:rsid w:val="00DF4025"/>
    <w:rsid w:val="00DF4A05"/>
    <w:rsid w:val="00DF5F52"/>
    <w:rsid w:val="00DF69EE"/>
    <w:rsid w:val="00DF7D53"/>
    <w:rsid w:val="00DF7D87"/>
    <w:rsid w:val="00E00357"/>
    <w:rsid w:val="00E00C1D"/>
    <w:rsid w:val="00E01D5A"/>
    <w:rsid w:val="00E020A5"/>
    <w:rsid w:val="00E0265F"/>
    <w:rsid w:val="00E02D84"/>
    <w:rsid w:val="00E050F1"/>
    <w:rsid w:val="00E06E90"/>
    <w:rsid w:val="00E07344"/>
    <w:rsid w:val="00E0741D"/>
    <w:rsid w:val="00E0796B"/>
    <w:rsid w:val="00E131E9"/>
    <w:rsid w:val="00E13ACF"/>
    <w:rsid w:val="00E14739"/>
    <w:rsid w:val="00E1526C"/>
    <w:rsid w:val="00E1548A"/>
    <w:rsid w:val="00E155FF"/>
    <w:rsid w:val="00E15F58"/>
    <w:rsid w:val="00E16314"/>
    <w:rsid w:val="00E1737C"/>
    <w:rsid w:val="00E173AE"/>
    <w:rsid w:val="00E2042F"/>
    <w:rsid w:val="00E20BB2"/>
    <w:rsid w:val="00E21ADB"/>
    <w:rsid w:val="00E23CD6"/>
    <w:rsid w:val="00E24A64"/>
    <w:rsid w:val="00E255EF"/>
    <w:rsid w:val="00E260B8"/>
    <w:rsid w:val="00E2732F"/>
    <w:rsid w:val="00E276B9"/>
    <w:rsid w:val="00E27A65"/>
    <w:rsid w:val="00E27C04"/>
    <w:rsid w:val="00E27FF8"/>
    <w:rsid w:val="00E30C47"/>
    <w:rsid w:val="00E3210B"/>
    <w:rsid w:val="00E33053"/>
    <w:rsid w:val="00E331ED"/>
    <w:rsid w:val="00E33863"/>
    <w:rsid w:val="00E3399A"/>
    <w:rsid w:val="00E33E74"/>
    <w:rsid w:val="00E35456"/>
    <w:rsid w:val="00E355FD"/>
    <w:rsid w:val="00E35F8B"/>
    <w:rsid w:val="00E36068"/>
    <w:rsid w:val="00E3772C"/>
    <w:rsid w:val="00E40837"/>
    <w:rsid w:val="00E40E74"/>
    <w:rsid w:val="00E411E4"/>
    <w:rsid w:val="00E4170A"/>
    <w:rsid w:val="00E41C4C"/>
    <w:rsid w:val="00E44664"/>
    <w:rsid w:val="00E46C02"/>
    <w:rsid w:val="00E53A5D"/>
    <w:rsid w:val="00E53A73"/>
    <w:rsid w:val="00E53B79"/>
    <w:rsid w:val="00E5581E"/>
    <w:rsid w:val="00E56180"/>
    <w:rsid w:val="00E571B2"/>
    <w:rsid w:val="00E62475"/>
    <w:rsid w:val="00E62A88"/>
    <w:rsid w:val="00E62C95"/>
    <w:rsid w:val="00E62FA4"/>
    <w:rsid w:val="00E65A95"/>
    <w:rsid w:val="00E6618E"/>
    <w:rsid w:val="00E6701B"/>
    <w:rsid w:val="00E6778D"/>
    <w:rsid w:val="00E702E4"/>
    <w:rsid w:val="00E71770"/>
    <w:rsid w:val="00E71A2C"/>
    <w:rsid w:val="00E71A5A"/>
    <w:rsid w:val="00E72300"/>
    <w:rsid w:val="00E7385A"/>
    <w:rsid w:val="00E73E6E"/>
    <w:rsid w:val="00E75733"/>
    <w:rsid w:val="00E7641F"/>
    <w:rsid w:val="00E8028A"/>
    <w:rsid w:val="00E82194"/>
    <w:rsid w:val="00E8233F"/>
    <w:rsid w:val="00E82C51"/>
    <w:rsid w:val="00E82F9B"/>
    <w:rsid w:val="00E834EF"/>
    <w:rsid w:val="00E83FA6"/>
    <w:rsid w:val="00E843A5"/>
    <w:rsid w:val="00E85829"/>
    <w:rsid w:val="00E85D39"/>
    <w:rsid w:val="00E86533"/>
    <w:rsid w:val="00E869B1"/>
    <w:rsid w:val="00E86F7A"/>
    <w:rsid w:val="00E87062"/>
    <w:rsid w:val="00E87788"/>
    <w:rsid w:val="00E911BC"/>
    <w:rsid w:val="00E941BF"/>
    <w:rsid w:val="00E9455C"/>
    <w:rsid w:val="00E95260"/>
    <w:rsid w:val="00E95734"/>
    <w:rsid w:val="00E9589B"/>
    <w:rsid w:val="00E964CD"/>
    <w:rsid w:val="00E96D98"/>
    <w:rsid w:val="00E972F0"/>
    <w:rsid w:val="00E9754B"/>
    <w:rsid w:val="00E97A7F"/>
    <w:rsid w:val="00E97F33"/>
    <w:rsid w:val="00EA09F8"/>
    <w:rsid w:val="00EA104B"/>
    <w:rsid w:val="00EA116E"/>
    <w:rsid w:val="00EA23A7"/>
    <w:rsid w:val="00EA25CD"/>
    <w:rsid w:val="00EA2E54"/>
    <w:rsid w:val="00EA31B4"/>
    <w:rsid w:val="00EA39D3"/>
    <w:rsid w:val="00EA414B"/>
    <w:rsid w:val="00EA4634"/>
    <w:rsid w:val="00EA48E7"/>
    <w:rsid w:val="00EA563C"/>
    <w:rsid w:val="00EA759F"/>
    <w:rsid w:val="00EB038B"/>
    <w:rsid w:val="00EB03D8"/>
    <w:rsid w:val="00EB0715"/>
    <w:rsid w:val="00EB07C2"/>
    <w:rsid w:val="00EB17D9"/>
    <w:rsid w:val="00EB1913"/>
    <w:rsid w:val="00EB1C7E"/>
    <w:rsid w:val="00EB3F12"/>
    <w:rsid w:val="00EB4EE3"/>
    <w:rsid w:val="00EB5BE5"/>
    <w:rsid w:val="00EB5E9D"/>
    <w:rsid w:val="00EB7182"/>
    <w:rsid w:val="00EB7832"/>
    <w:rsid w:val="00EC09ED"/>
    <w:rsid w:val="00EC17F4"/>
    <w:rsid w:val="00EC20DC"/>
    <w:rsid w:val="00EC2541"/>
    <w:rsid w:val="00EC3CD2"/>
    <w:rsid w:val="00EC43CC"/>
    <w:rsid w:val="00EC4B2F"/>
    <w:rsid w:val="00EC4C3C"/>
    <w:rsid w:val="00EC543B"/>
    <w:rsid w:val="00EC611D"/>
    <w:rsid w:val="00EC6E3C"/>
    <w:rsid w:val="00EC7553"/>
    <w:rsid w:val="00EC7D8F"/>
    <w:rsid w:val="00ED1D58"/>
    <w:rsid w:val="00ED3457"/>
    <w:rsid w:val="00ED3832"/>
    <w:rsid w:val="00ED45DD"/>
    <w:rsid w:val="00ED4784"/>
    <w:rsid w:val="00ED568F"/>
    <w:rsid w:val="00ED6433"/>
    <w:rsid w:val="00ED6984"/>
    <w:rsid w:val="00ED70E1"/>
    <w:rsid w:val="00EE054A"/>
    <w:rsid w:val="00EE0CB6"/>
    <w:rsid w:val="00EE15AD"/>
    <w:rsid w:val="00EE1704"/>
    <w:rsid w:val="00EE17A4"/>
    <w:rsid w:val="00EE33F7"/>
    <w:rsid w:val="00EE363E"/>
    <w:rsid w:val="00EE3A12"/>
    <w:rsid w:val="00EE4D35"/>
    <w:rsid w:val="00EE55D9"/>
    <w:rsid w:val="00EE65E4"/>
    <w:rsid w:val="00EE7578"/>
    <w:rsid w:val="00EE7B4A"/>
    <w:rsid w:val="00EF00C0"/>
    <w:rsid w:val="00EF0782"/>
    <w:rsid w:val="00EF0C00"/>
    <w:rsid w:val="00EF0C08"/>
    <w:rsid w:val="00EF1C76"/>
    <w:rsid w:val="00EF330D"/>
    <w:rsid w:val="00EF3B1D"/>
    <w:rsid w:val="00EF43CD"/>
    <w:rsid w:val="00EF5860"/>
    <w:rsid w:val="00EF5940"/>
    <w:rsid w:val="00EF77CB"/>
    <w:rsid w:val="00EF78DB"/>
    <w:rsid w:val="00F006B6"/>
    <w:rsid w:val="00F01009"/>
    <w:rsid w:val="00F0130C"/>
    <w:rsid w:val="00F01C6A"/>
    <w:rsid w:val="00F01CC3"/>
    <w:rsid w:val="00F0299C"/>
    <w:rsid w:val="00F030DF"/>
    <w:rsid w:val="00F031B1"/>
    <w:rsid w:val="00F03440"/>
    <w:rsid w:val="00F0384D"/>
    <w:rsid w:val="00F05AE7"/>
    <w:rsid w:val="00F068FC"/>
    <w:rsid w:val="00F076B6"/>
    <w:rsid w:val="00F10053"/>
    <w:rsid w:val="00F10BF6"/>
    <w:rsid w:val="00F11475"/>
    <w:rsid w:val="00F12E1B"/>
    <w:rsid w:val="00F132BC"/>
    <w:rsid w:val="00F13E73"/>
    <w:rsid w:val="00F153CD"/>
    <w:rsid w:val="00F16049"/>
    <w:rsid w:val="00F1676A"/>
    <w:rsid w:val="00F16A81"/>
    <w:rsid w:val="00F16E22"/>
    <w:rsid w:val="00F173BD"/>
    <w:rsid w:val="00F17D11"/>
    <w:rsid w:val="00F17DDA"/>
    <w:rsid w:val="00F20510"/>
    <w:rsid w:val="00F20BE6"/>
    <w:rsid w:val="00F23EC8"/>
    <w:rsid w:val="00F24776"/>
    <w:rsid w:val="00F249CA"/>
    <w:rsid w:val="00F24B25"/>
    <w:rsid w:val="00F2539B"/>
    <w:rsid w:val="00F25953"/>
    <w:rsid w:val="00F25FD8"/>
    <w:rsid w:val="00F26332"/>
    <w:rsid w:val="00F26E11"/>
    <w:rsid w:val="00F30485"/>
    <w:rsid w:val="00F312BA"/>
    <w:rsid w:val="00F31A2C"/>
    <w:rsid w:val="00F31BB3"/>
    <w:rsid w:val="00F337CC"/>
    <w:rsid w:val="00F33C66"/>
    <w:rsid w:val="00F34428"/>
    <w:rsid w:val="00F34A97"/>
    <w:rsid w:val="00F3522D"/>
    <w:rsid w:val="00F36214"/>
    <w:rsid w:val="00F402CD"/>
    <w:rsid w:val="00F40828"/>
    <w:rsid w:val="00F41EE4"/>
    <w:rsid w:val="00F424D4"/>
    <w:rsid w:val="00F43E01"/>
    <w:rsid w:val="00F43F08"/>
    <w:rsid w:val="00F47033"/>
    <w:rsid w:val="00F519A0"/>
    <w:rsid w:val="00F52BE2"/>
    <w:rsid w:val="00F5558C"/>
    <w:rsid w:val="00F55A2A"/>
    <w:rsid w:val="00F569B5"/>
    <w:rsid w:val="00F60F03"/>
    <w:rsid w:val="00F61B59"/>
    <w:rsid w:val="00F627CC"/>
    <w:rsid w:val="00F638C5"/>
    <w:rsid w:val="00F647F6"/>
    <w:rsid w:val="00F66219"/>
    <w:rsid w:val="00F663F1"/>
    <w:rsid w:val="00F667DB"/>
    <w:rsid w:val="00F70A56"/>
    <w:rsid w:val="00F70B62"/>
    <w:rsid w:val="00F71972"/>
    <w:rsid w:val="00F7263F"/>
    <w:rsid w:val="00F72DA4"/>
    <w:rsid w:val="00F7396C"/>
    <w:rsid w:val="00F73EE8"/>
    <w:rsid w:val="00F7445E"/>
    <w:rsid w:val="00F7489F"/>
    <w:rsid w:val="00F74D95"/>
    <w:rsid w:val="00F75342"/>
    <w:rsid w:val="00F762D6"/>
    <w:rsid w:val="00F7651D"/>
    <w:rsid w:val="00F76DB8"/>
    <w:rsid w:val="00F76F35"/>
    <w:rsid w:val="00F76F97"/>
    <w:rsid w:val="00F774C5"/>
    <w:rsid w:val="00F77E15"/>
    <w:rsid w:val="00F80133"/>
    <w:rsid w:val="00F81D54"/>
    <w:rsid w:val="00F8204F"/>
    <w:rsid w:val="00F826AD"/>
    <w:rsid w:val="00F8317C"/>
    <w:rsid w:val="00F8365D"/>
    <w:rsid w:val="00F8382C"/>
    <w:rsid w:val="00F8398E"/>
    <w:rsid w:val="00F87B28"/>
    <w:rsid w:val="00F90712"/>
    <w:rsid w:val="00F90A03"/>
    <w:rsid w:val="00F90FDA"/>
    <w:rsid w:val="00F91127"/>
    <w:rsid w:val="00F925C2"/>
    <w:rsid w:val="00F93409"/>
    <w:rsid w:val="00F935AA"/>
    <w:rsid w:val="00F93A6F"/>
    <w:rsid w:val="00F94A13"/>
    <w:rsid w:val="00F94F70"/>
    <w:rsid w:val="00F95975"/>
    <w:rsid w:val="00F965B9"/>
    <w:rsid w:val="00F96A5F"/>
    <w:rsid w:val="00F96EDF"/>
    <w:rsid w:val="00FA05F3"/>
    <w:rsid w:val="00FA0883"/>
    <w:rsid w:val="00FA18F8"/>
    <w:rsid w:val="00FA2E25"/>
    <w:rsid w:val="00FA3512"/>
    <w:rsid w:val="00FA45B0"/>
    <w:rsid w:val="00FA5E9C"/>
    <w:rsid w:val="00FA639C"/>
    <w:rsid w:val="00FA7602"/>
    <w:rsid w:val="00FB0F78"/>
    <w:rsid w:val="00FB1DB6"/>
    <w:rsid w:val="00FB23AB"/>
    <w:rsid w:val="00FB2DFB"/>
    <w:rsid w:val="00FB2F7D"/>
    <w:rsid w:val="00FB3ABD"/>
    <w:rsid w:val="00FB40CD"/>
    <w:rsid w:val="00FB44A5"/>
    <w:rsid w:val="00FB44C1"/>
    <w:rsid w:val="00FB5564"/>
    <w:rsid w:val="00FB5D62"/>
    <w:rsid w:val="00FC09FE"/>
    <w:rsid w:val="00FC1719"/>
    <w:rsid w:val="00FC2FEC"/>
    <w:rsid w:val="00FC425B"/>
    <w:rsid w:val="00FC44EC"/>
    <w:rsid w:val="00FC4885"/>
    <w:rsid w:val="00FC52DF"/>
    <w:rsid w:val="00FC55E0"/>
    <w:rsid w:val="00FC67D8"/>
    <w:rsid w:val="00FC7349"/>
    <w:rsid w:val="00FC737C"/>
    <w:rsid w:val="00FC741C"/>
    <w:rsid w:val="00FD035C"/>
    <w:rsid w:val="00FD0C8B"/>
    <w:rsid w:val="00FD17E3"/>
    <w:rsid w:val="00FD1A08"/>
    <w:rsid w:val="00FD24D1"/>
    <w:rsid w:val="00FD33FD"/>
    <w:rsid w:val="00FD3740"/>
    <w:rsid w:val="00FD4465"/>
    <w:rsid w:val="00FD65F0"/>
    <w:rsid w:val="00FD700B"/>
    <w:rsid w:val="00FD7274"/>
    <w:rsid w:val="00FE006D"/>
    <w:rsid w:val="00FE0127"/>
    <w:rsid w:val="00FE0747"/>
    <w:rsid w:val="00FE0B5F"/>
    <w:rsid w:val="00FE0E17"/>
    <w:rsid w:val="00FE17F1"/>
    <w:rsid w:val="00FE24E4"/>
    <w:rsid w:val="00FE29F5"/>
    <w:rsid w:val="00FE3157"/>
    <w:rsid w:val="00FE3166"/>
    <w:rsid w:val="00FE31D7"/>
    <w:rsid w:val="00FE31D9"/>
    <w:rsid w:val="00FE4584"/>
    <w:rsid w:val="00FE55CB"/>
    <w:rsid w:val="00FE5A2B"/>
    <w:rsid w:val="00FE6365"/>
    <w:rsid w:val="00FE699E"/>
    <w:rsid w:val="00FE69C9"/>
    <w:rsid w:val="00FE746D"/>
    <w:rsid w:val="00FE7E82"/>
    <w:rsid w:val="00FE7F45"/>
    <w:rsid w:val="00FF0FD8"/>
    <w:rsid w:val="00FF1450"/>
    <w:rsid w:val="00FF202A"/>
    <w:rsid w:val="00FF265B"/>
    <w:rsid w:val="00FF2912"/>
    <w:rsid w:val="00FF4401"/>
    <w:rsid w:val="00FF50AD"/>
    <w:rsid w:val="00FF5FD3"/>
    <w:rsid w:val="00FF67BD"/>
    <w:rsid w:val="00FF74AF"/>
    <w:rsid w:val="00FF7591"/>
    <w:rsid w:val="00FF7E24"/>
    <w:rsid w:val="01AF5332"/>
    <w:rsid w:val="023F543E"/>
    <w:rsid w:val="03C33AEE"/>
    <w:rsid w:val="042044E6"/>
    <w:rsid w:val="05ED13C7"/>
    <w:rsid w:val="06264A24"/>
    <w:rsid w:val="06CE3D7C"/>
    <w:rsid w:val="0717375D"/>
    <w:rsid w:val="074A1304"/>
    <w:rsid w:val="08D16B6C"/>
    <w:rsid w:val="095B7DEA"/>
    <w:rsid w:val="096F0054"/>
    <w:rsid w:val="0AA51086"/>
    <w:rsid w:val="0ABD672D"/>
    <w:rsid w:val="0B921215"/>
    <w:rsid w:val="0D41074B"/>
    <w:rsid w:val="0D4F61CD"/>
    <w:rsid w:val="0E40130A"/>
    <w:rsid w:val="0F161195"/>
    <w:rsid w:val="0F885091"/>
    <w:rsid w:val="100C4235"/>
    <w:rsid w:val="10782236"/>
    <w:rsid w:val="12EB1D20"/>
    <w:rsid w:val="13293AF2"/>
    <w:rsid w:val="15122079"/>
    <w:rsid w:val="15896DB9"/>
    <w:rsid w:val="15C47C5C"/>
    <w:rsid w:val="16CD71B0"/>
    <w:rsid w:val="17FF7363"/>
    <w:rsid w:val="1BAFB076"/>
    <w:rsid w:val="1BDD6DF5"/>
    <w:rsid w:val="1DF719BE"/>
    <w:rsid w:val="20387AC6"/>
    <w:rsid w:val="209156B0"/>
    <w:rsid w:val="217B69E7"/>
    <w:rsid w:val="2277887A"/>
    <w:rsid w:val="22D95FFB"/>
    <w:rsid w:val="27C80580"/>
    <w:rsid w:val="27DE5FE3"/>
    <w:rsid w:val="2AC85F06"/>
    <w:rsid w:val="2B3222AD"/>
    <w:rsid w:val="2DF648A7"/>
    <w:rsid w:val="32CC19AA"/>
    <w:rsid w:val="32FA070E"/>
    <w:rsid w:val="33D37037"/>
    <w:rsid w:val="346D4470"/>
    <w:rsid w:val="34C64B32"/>
    <w:rsid w:val="35EF4686"/>
    <w:rsid w:val="373F13D5"/>
    <w:rsid w:val="37CF5EC1"/>
    <w:rsid w:val="39411006"/>
    <w:rsid w:val="396403EF"/>
    <w:rsid w:val="399D3C3A"/>
    <w:rsid w:val="3A0D707E"/>
    <w:rsid w:val="3AFC1320"/>
    <w:rsid w:val="3B1477CA"/>
    <w:rsid w:val="3CE740D1"/>
    <w:rsid w:val="3CFE3E23"/>
    <w:rsid w:val="3DFFFBCD"/>
    <w:rsid w:val="3E0F4207"/>
    <w:rsid w:val="3E223A6F"/>
    <w:rsid w:val="3EBE7A11"/>
    <w:rsid w:val="3FF36C61"/>
    <w:rsid w:val="426E3E72"/>
    <w:rsid w:val="428054E6"/>
    <w:rsid w:val="42C171CA"/>
    <w:rsid w:val="443A51F5"/>
    <w:rsid w:val="481E49F5"/>
    <w:rsid w:val="4B273EDC"/>
    <w:rsid w:val="4C724F99"/>
    <w:rsid w:val="4C73547C"/>
    <w:rsid w:val="4D1F4812"/>
    <w:rsid w:val="4EFF49FF"/>
    <w:rsid w:val="51871AD3"/>
    <w:rsid w:val="53A4594E"/>
    <w:rsid w:val="53E83D39"/>
    <w:rsid w:val="550B485D"/>
    <w:rsid w:val="5552380A"/>
    <w:rsid w:val="55F71719"/>
    <w:rsid w:val="567E7077"/>
    <w:rsid w:val="56E37AF8"/>
    <w:rsid w:val="57D593AE"/>
    <w:rsid w:val="58F544BF"/>
    <w:rsid w:val="5B2FE7B1"/>
    <w:rsid w:val="5BEB4F33"/>
    <w:rsid w:val="5CFB9FD1"/>
    <w:rsid w:val="5DB75B6F"/>
    <w:rsid w:val="5E8B1D3B"/>
    <w:rsid w:val="5EAB5261"/>
    <w:rsid w:val="5F5B5FA3"/>
    <w:rsid w:val="5FBD3302"/>
    <w:rsid w:val="5FDE17E9"/>
    <w:rsid w:val="5FFFD212"/>
    <w:rsid w:val="60FF97A7"/>
    <w:rsid w:val="619F3539"/>
    <w:rsid w:val="62056EA3"/>
    <w:rsid w:val="65AE3355"/>
    <w:rsid w:val="65BE6747"/>
    <w:rsid w:val="65D76D9B"/>
    <w:rsid w:val="65F3784A"/>
    <w:rsid w:val="662C4FA4"/>
    <w:rsid w:val="676B7C32"/>
    <w:rsid w:val="67714745"/>
    <w:rsid w:val="6A87EC42"/>
    <w:rsid w:val="6C7E3B0E"/>
    <w:rsid w:val="6D180489"/>
    <w:rsid w:val="6D3520E9"/>
    <w:rsid w:val="6DDF230C"/>
    <w:rsid w:val="6EE437BD"/>
    <w:rsid w:val="6EFE211B"/>
    <w:rsid w:val="6F67E2FE"/>
    <w:rsid w:val="6FA0088C"/>
    <w:rsid w:val="6FA96844"/>
    <w:rsid w:val="6FFF21D2"/>
    <w:rsid w:val="70692169"/>
    <w:rsid w:val="70F79979"/>
    <w:rsid w:val="72A14F9D"/>
    <w:rsid w:val="72C23B26"/>
    <w:rsid w:val="73BFF781"/>
    <w:rsid w:val="73DF7E32"/>
    <w:rsid w:val="73F7CAB0"/>
    <w:rsid w:val="74F50B81"/>
    <w:rsid w:val="75EC539E"/>
    <w:rsid w:val="77D9AE2E"/>
    <w:rsid w:val="77F59A4F"/>
    <w:rsid w:val="77F82B07"/>
    <w:rsid w:val="79AD6A52"/>
    <w:rsid w:val="79E57510"/>
    <w:rsid w:val="79EC3CF2"/>
    <w:rsid w:val="7A0D2820"/>
    <w:rsid w:val="7B963D6D"/>
    <w:rsid w:val="7BE7BD80"/>
    <w:rsid w:val="7BE7DBD3"/>
    <w:rsid w:val="7BFF5BC8"/>
    <w:rsid w:val="7C9FB8F0"/>
    <w:rsid w:val="7CFB81BF"/>
    <w:rsid w:val="7D5FBB0A"/>
    <w:rsid w:val="7D9B4922"/>
    <w:rsid w:val="7D9BD360"/>
    <w:rsid w:val="7DB7F356"/>
    <w:rsid w:val="7DE75012"/>
    <w:rsid w:val="7E69F14D"/>
    <w:rsid w:val="7E76DCFE"/>
    <w:rsid w:val="7EE75DE8"/>
    <w:rsid w:val="7EFB7755"/>
    <w:rsid w:val="7EFE3D1C"/>
    <w:rsid w:val="7F7FBE9E"/>
    <w:rsid w:val="7FF454B0"/>
    <w:rsid w:val="7FF75A3A"/>
    <w:rsid w:val="7FFC7CD0"/>
    <w:rsid w:val="7FFF7507"/>
    <w:rsid w:val="95DF2815"/>
    <w:rsid w:val="9DDE058C"/>
    <w:rsid w:val="9DE740FC"/>
    <w:rsid w:val="9EDE4029"/>
    <w:rsid w:val="A3BA1FC9"/>
    <w:rsid w:val="A5BD7553"/>
    <w:rsid w:val="BBDF2DE3"/>
    <w:rsid w:val="BBFF72D7"/>
    <w:rsid w:val="BBFF8275"/>
    <w:rsid w:val="BDFF6EE5"/>
    <w:rsid w:val="BECBC68C"/>
    <w:rsid w:val="BED6C4B2"/>
    <w:rsid w:val="BFA4E174"/>
    <w:rsid w:val="BFEC0C3D"/>
    <w:rsid w:val="BFFACDA1"/>
    <w:rsid w:val="C4762D60"/>
    <w:rsid w:val="CE6E2E8D"/>
    <w:rsid w:val="CEEA44FD"/>
    <w:rsid w:val="CFFB165E"/>
    <w:rsid w:val="D87E5974"/>
    <w:rsid w:val="D8BF1B52"/>
    <w:rsid w:val="DAFC000D"/>
    <w:rsid w:val="DB9EE8A8"/>
    <w:rsid w:val="DDEF54CF"/>
    <w:rsid w:val="DFF6578A"/>
    <w:rsid w:val="DFFF4089"/>
    <w:rsid w:val="EDE7F4F2"/>
    <w:rsid w:val="EE7F4097"/>
    <w:rsid w:val="EE7F6A87"/>
    <w:rsid w:val="EEFEE6D9"/>
    <w:rsid w:val="EFDD0362"/>
    <w:rsid w:val="F1F72E06"/>
    <w:rsid w:val="F2DA9444"/>
    <w:rsid w:val="F33F07BE"/>
    <w:rsid w:val="F4F728BA"/>
    <w:rsid w:val="F67FF793"/>
    <w:rsid w:val="F7DC510E"/>
    <w:rsid w:val="F7DD93BA"/>
    <w:rsid w:val="F9BF5957"/>
    <w:rsid w:val="FBCB64A1"/>
    <w:rsid w:val="FBFF7DB0"/>
    <w:rsid w:val="FD3E6150"/>
    <w:rsid w:val="FDF71D60"/>
    <w:rsid w:val="FEBFC458"/>
    <w:rsid w:val="FEEBD04C"/>
    <w:rsid w:val="FEFF8BC8"/>
    <w:rsid w:val="FF979319"/>
    <w:rsid w:val="FF9BB7E4"/>
    <w:rsid w:val="FF9F2F7F"/>
    <w:rsid w:val="FFBA6353"/>
    <w:rsid w:val="FFCD25E3"/>
    <w:rsid w:val="FFDF9776"/>
    <w:rsid w:val="FFFAFDF5"/>
    <w:rsid w:val="FFFEBB43"/>
    <w:rsid w:val="FFFFFB9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qFormat="1" w:unhideWhenUsed="0" w:uiPriority="0" w:semiHidden="0"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44"/>
    <w:qFormat/>
    <w:uiPriority w:val="9"/>
    <w:pPr>
      <w:keepNext/>
      <w:keepLines/>
      <w:numPr>
        <w:ilvl w:val="0"/>
        <w:numId w:val="1"/>
      </w:numPr>
      <w:outlineLvl w:val="0"/>
    </w:pPr>
    <w:rPr>
      <w:b/>
      <w:bCs/>
      <w:kern w:val="44"/>
      <w:szCs w:val="44"/>
    </w:rPr>
  </w:style>
  <w:style w:type="paragraph" w:styleId="3">
    <w:name w:val="heading 2"/>
    <w:basedOn w:val="1"/>
    <w:next w:val="1"/>
    <w:link w:val="45"/>
    <w:qFormat/>
    <w:uiPriority w:val="9"/>
    <w:pPr>
      <w:keepNext/>
      <w:keepLines/>
      <w:numPr>
        <w:ilvl w:val="1"/>
        <w:numId w:val="1"/>
      </w:numPr>
      <w:tabs>
        <w:tab w:val="left" w:pos="720"/>
      </w:tabs>
      <w:outlineLvl w:val="1"/>
    </w:pPr>
    <w:rPr>
      <w:rFonts w:ascii="Arial" w:hAnsi="Arial"/>
      <w:b/>
      <w:bCs/>
      <w:szCs w:val="32"/>
    </w:rPr>
  </w:style>
  <w:style w:type="paragraph" w:styleId="4">
    <w:name w:val="heading 3"/>
    <w:basedOn w:val="1"/>
    <w:next w:val="1"/>
    <w:link w:val="46"/>
    <w:qFormat/>
    <w:uiPriority w:val="9"/>
    <w:pPr>
      <w:keepNext/>
      <w:keepLines/>
      <w:numPr>
        <w:ilvl w:val="2"/>
        <w:numId w:val="1"/>
      </w:numPr>
      <w:outlineLvl w:val="2"/>
    </w:pPr>
    <w:rPr>
      <w:b/>
      <w:bCs/>
      <w:szCs w:val="32"/>
    </w:rPr>
  </w:style>
  <w:style w:type="paragraph" w:styleId="5">
    <w:name w:val="heading 4"/>
    <w:basedOn w:val="1"/>
    <w:next w:val="1"/>
    <w:link w:val="47"/>
    <w:qFormat/>
    <w:uiPriority w:val="0"/>
    <w:pPr>
      <w:keepNext/>
      <w:keepLines/>
      <w:numPr>
        <w:ilvl w:val="3"/>
        <w:numId w:val="1"/>
      </w:numPr>
      <w:outlineLvl w:val="3"/>
    </w:pPr>
    <w:rPr>
      <w:rFonts w:ascii="Arial" w:hAnsi="Arial"/>
      <w:b/>
      <w:bCs/>
      <w:szCs w:val="28"/>
    </w:rPr>
  </w:style>
  <w:style w:type="paragraph" w:styleId="6">
    <w:name w:val="heading 5"/>
    <w:basedOn w:val="1"/>
    <w:next w:val="1"/>
    <w:link w:val="48"/>
    <w:qFormat/>
    <w:uiPriority w:val="0"/>
    <w:pPr>
      <w:keepNext/>
      <w:keepLines/>
      <w:numPr>
        <w:ilvl w:val="4"/>
        <w:numId w:val="1"/>
      </w:numPr>
      <w:outlineLvl w:val="4"/>
    </w:pPr>
    <w:rPr>
      <w:rFonts w:ascii="宋体" w:hAnsi="宋体"/>
      <w:b/>
      <w:bCs/>
      <w:szCs w:val="28"/>
    </w:rPr>
  </w:style>
  <w:style w:type="paragraph" w:styleId="7">
    <w:name w:val="heading 6"/>
    <w:basedOn w:val="1"/>
    <w:next w:val="1"/>
    <w:link w:val="49"/>
    <w:qFormat/>
    <w:uiPriority w:val="0"/>
    <w:pPr>
      <w:keepNext/>
      <w:keepLines/>
      <w:numPr>
        <w:ilvl w:val="5"/>
        <w:numId w:val="1"/>
      </w:numPr>
      <w:outlineLvl w:val="5"/>
    </w:pPr>
    <w:rPr>
      <w:rFonts w:ascii="宋体" w:hAnsi="宋体"/>
      <w:b/>
      <w:bCs/>
    </w:rPr>
  </w:style>
  <w:style w:type="paragraph" w:styleId="8">
    <w:name w:val="heading 7"/>
    <w:basedOn w:val="1"/>
    <w:next w:val="1"/>
    <w:link w:val="50"/>
    <w:qFormat/>
    <w:uiPriority w:val="99"/>
    <w:pPr>
      <w:keepNext/>
      <w:keepLines/>
      <w:numPr>
        <w:ilvl w:val="6"/>
        <w:numId w:val="1"/>
      </w:numPr>
      <w:outlineLvl w:val="6"/>
    </w:pPr>
    <w:rPr>
      <w:rFonts w:ascii="宋体" w:hAnsi="宋体"/>
      <w:b/>
      <w:bCs/>
      <w:szCs w:val="28"/>
    </w:rPr>
  </w:style>
  <w:style w:type="paragraph" w:styleId="9">
    <w:name w:val="heading 8"/>
    <w:basedOn w:val="1"/>
    <w:next w:val="1"/>
    <w:link w:val="51"/>
    <w:qFormat/>
    <w:uiPriority w:val="0"/>
    <w:pPr>
      <w:keepNext/>
      <w:keepLines/>
      <w:numPr>
        <w:ilvl w:val="7"/>
        <w:numId w:val="1"/>
      </w:numPr>
      <w:outlineLvl w:val="7"/>
    </w:pPr>
    <w:rPr>
      <w:rFonts w:ascii="宋体" w:hAnsi="宋体"/>
      <w:b/>
      <w:szCs w:val="28"/>
    </w:rPr>
  </w:style>
  <w:style w:type="paragraph" w:styleId="10">
    <w:name w:val="heading 9"/>
    <w:basedOn w:val="1"/>
    <w:next w:val="1"/>
    <w:link w:val="52"/>
    <w:qFormat/>
    <w:uiPriority w:val="0"/>
    <w:pPr>
      <w:keepNext/>
      <w:keepLines/>
      <w:numPr>
        <w:ilvl w:val="8"/>
        <w:numId w:val="1"/>
      </w:numPr>
      <w:outlineLvl w:val="8"/>
    </w:pPr>
    <w:rPr>
      <w:rFonts w:ascii="Arial" w:hAnsi="Arial"/>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440"/>
      <w:jc w:val="left"/>
    </w:pPr>
    <w:rPr>
      <w:rFonts w:asciiTheme="minorHAnsi" w:eastAsiaTheme="minorHAnsi"/>
      <w:sz w:val="18"/>
      <w:szCs w:val="18"/>
    </w:rPr>
  </w:style>
  <w:style w:type="paragraph" w:styleId="12">
    <w:name w:val="List Number 2"/>
    <w:basedOn w:val="1"/>
    <w:qFormat/>
    <w:uiPriority w:val="0"/>
    <w:pPr>
      <w:widowControl w:val="0"/>
      <w:numPr>
        <w:ilvl w:val="0"/>
        <w:numId w:val="2"/>
      </w:numPr>
      <w:tabs>
        <w:tab w:val="left" w:pos="567"/>
        <w:tab w:val="clear" w:pos="425"/>
      </w:tabs>
      <w:spacing w:after="0"/>
      <w:ind w:left="0" w:firstLine="0"/>
    </w:pPr>
    <w:rPr>
      <w:sz w:val="28"/>
      <w:szCs w:val="20"/>
    </w:rPr>
  </w:style>
  <w:style w:type="paragraph" w:styleId="13">
    <w:name w:val="Normal Indent"/>
    <w:basedOn w:val="1"/>
    <w:qFormat/>
    <w:uiPriority w:val="0"/>
    <w:pPr>
      <w:widowControl w:val="0"/>
      <w:spacing w:line="240" w:lineRule="auto"/>
      <w:ind w:firstLine="420" w:firstLineChars="200"/>
    </w:pPr>
    <w:rPr>
      <w:sz w:val="21"/>
      <w:szCs w:val="20"/>
    </w:rPr>
  </w:style>
  <w:style w:type="paragraph" w:styleId="14">
    <w:name w:val="caption"/>
    <w:basedOn w:val="1"/>
    <w:next w:val="1"/>
    <w:link w:val="81"/>
    <w:unhideWhenUsed/>
    <w:qFormat/>
    <w:uiPriority w:val="99"/>
    <w:pPr>
      <w:widowControl w:val="0"/>
      <w:adjustRightInd w:val="0"/>
      <w:snapToGrid w:val="0"/>
      <w:jc w:val="center"/>
    </w:pPr>
    <w:rPr>
      <w:rFonts w:ascii="Cambria" w:hAnsi="Cambria" w:eastAsia="微软雅黑"/>
      <w:sz w:val="21"/>
      <w:szCs w:val="20"/>
    </w:rPr>
  </w:style>
  <w:style w:type="paragraph" w:styleId="15">
    <w:name w:val="annotation text"/>
    <w:basedOn w:val="1"/>
    <w:link w:val="60"/>
    <w:unhideWhenUsed/>
    <w:qFormat/>
    <w:uiPriority w:val="99"/>
    <w:pPr>
      <w:widowControl w:val="0"/>
      <w:spacing w:line="240" w:lineRule="auto"/>
      <w:jc w:val="left"/>
    </w:pPr>
    <w:rPr>
      <w:sz w:val="21"/>
    </w:rPr>
  </w:style>
  <w:style w:type="paragraph" w:styleId="16">
    <w:name w:val="Body Text"/>
    <w:basedOn w:val="1"/>
    <w:next w:val="17"/>
    <w:link w:val="65"/>
    <w:qFormat/>
    <w:uiPriority w:val="99"/>
    <w:pPr>
      <w:widowControl w:val="0"/>
      <w:spacing w:after="120" w:line="240" w:lineRule="auto"/>
    </w:pPr>
    <w:rPr>
      <w:sz w:val="21"/>
    </w:rPr>
  </w:style>
  <w:style w:type="paragraph" w:styleId="17">
    <w:name w:val="Title"/>
    <w:basedOn w:val="1"/>
    <w:next w:val="1"/>
    <w:link w:val="72"/>
    <w:qFormat/>
    <w:uiPriority w:val="99"/>
    <w:pPr>
      <w:adjustRightInd w:val="0"/>
      <w:spacing w:before="156" w:after="156" w:line="360" w:lineRule="atLeast"/>
      <w:textAlignment w:val="baseline"/>
      <w:outlineLvl w:val="0"/>
    </w:pPr>
    <w:rPr>
      <w:rFonts w:ascii="Cambria" w:hAnsi="Cambria"/>
      <w:b/>
      <w:bCs/>
      <w:sz w:val="32"/>
      <w:szCs w:val="32"/>
    </w:rPr>
  </w:style>
  <w:style w:type="paragraph" w:styleId="18">
    <w:name w:val="toc 5"/>
    <w:basedOn w:val="1"/>
    <w:next w:val="1"/>
    <w:unhideWhenUsed/>
    <w:qFormat/>
    <w:uiPriority w:val="39"/>
    <w:pPr>
      <w:ind w:left="960"/>
      <w:jc w:val="left"/>
    </w:pPr>
    <w:rPr>
      <w:rFonts w:asciiTheme="minorHAnsi" w:eastAsiaTheme="minorHAnsi"/>
      <w:sz w:val="18"/>
      <w:szCs w:val="18"/>
    </w:rPr>
  </w:style>
  <w:style w:type="paragraph" w:styleId="19">
    <w:name w:val="toc 3"/>
    <w:basedOn w:val="1"/>
    <w:next w:val="1"/>
    <w:unhideWhenUsed/>
    <w:qFormat/>
    <w:uiPriority w:val="39"/>
    <w:pPr>
      <w:ind w:left="480"/>
      <w:jc w:val="left"/>
    </w:pPr>
    <w:rPr>
      <w:rFonts w:asciiTheme="minorHAnsi" w:eastAsiaTheme="minorHAnsi"/>
      <w:i/>
      <w:iCs/>
      <w:sz w:val="20"/>
      <w:szCs w:val="20"/>
    </w:rPr>
  </w:style>
  <w:style w:type="paragraph" w:styleId="20">
    <w:name w:val="Plain Text"/>
    <w:basedOn w:val="1"/>
    <w:link w:val="99"/>
    <w:semiHidden/>
    <w:unhideWhenUsed/>
    <w:qFormat/>
    <w:uiPriority w:val="99"/>
    <w:pPr>
      <w:spacing w:before="156" w:after="156"/>
      <w:ind w:firstLine="482"/>
    </w:pPr>
    <w:rPr>
      <w:rFonts w:ascii="宋体" w:hAnsi="Courier New" w:cs="Courier New"/>
      <w:sz w:val="21"/>
      <w:szCs w:val="21"/>
    </w:rPr>
  </w:style>
  <w:style w:type="paragraph" w:styleId="21">
    <w:name w:val="toc 8"/>
    <w:basedOn w:val="1"/>
    <w:next w:val="1"/>
    <w:unhideWhenUsed/>
    <w:qFormat/>
    <w:uiPriority w:val="39"/>
    <w:pPr>
      <w:ind w:left="1680"/>
      <w:jc w:val="left"/>
    </w:pPr>
    <w:rPr>
      <w:rFonts w:asciiTheme="minorHAnsi" w:eastAsiaTheme="minorHAnsi"/>
      <w:sz w:val="18"/>
      <w:szCs w:val="18"/>
    </w:rPr>
  </w:style>
  <w:style w:type="paragraph" w:styleId="22">
    <w:name w:val="Balloon Text"/>
    <w:basedOn w:val="1"/>
    <w:link w:val="134"/>
    <w:semiHidden/>
    <w:unhideWhenUsed/>
    <w:qFormat/>
    <w:uiPriority w:val="99"/>
    <w:pPr>
      <w:spacing w:line="240" w:lineRule="auto"/>
    </w:pPr>
    <w:rPr>
      <w:sz w:val="18"/>
      <w:szCs w:val="18"/>
    </w:rPr>
  </w:style>
  <w:style w:type="paragraph" w:styleId="23">
    <w:name w:val="footer"/>
    <w:basedOn w:val="1"/>
    <w:link w:val="43"/>
    <w:unhideWhenUsed/>
    <w:qFormat/>
    <w:uiPriority w:val="99"/>
    <w:pPr>
      <w:tabs>
        <w:tab w:val="center" w:pos="4153"/>
        <w:tab w:val="right" w:pos="8306"/>
      </w:tabs>
      <w:snapToGrid w:val="0"/>
      <w:jc w:val="left"/>
    </w:pPr>
    <w:rPr>
      <w:sz w:val="18"/>
      <w:szCs w:val="18"/>
    </w:rPr>
  </w:style>
  <w:style w:type="paragraph" w:styleId="24">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unhideWhenUsed/>
    <w:qFormat/>
    <w:uiPriority w:val="39"/>
    <w:pPr>
      <w:spacing w:before="120" w:after="120"/>
      <w:jc w:val="left"/>
    </w:pPr>
    <w:rPr>
      <w:rFonts w:asciiTheme="minorHAnsi" w:eastAsiaTheme="minorHAnsi"/>
      <w:b/>
      <w:bCs/>
      <w:caps/>
      <w:sz w:val="20"/>
      <w:szCs w:val="20"/>
    </w:rPr>
  </w:style>
  <w:style w:type="paragraph" w:styleId="26">
    <w:name w:val="toc 4"/>
    <w:basedOn w:val="1"/>
    <w:next w:val="1"/>
    <w:unhideWhenUsed/>
    <w:qFormat/>
    <w:uiPriority w:val="39"/>
    <w:pPr>
      <w:ind w:left="720"/>
      <w:jc w:val="left"/>
    </w:pPr>
    <w:rPr>
      <w:rFonts w:asciiTheme="minorHAnsi" w:eastAsiaTheme="minorHAnsi"/>
      <w:sz w:val="18"/>
      <w:szCs w:val="18"/>
    </w:rPr>
  </w:style>
  <w:style w:type="paragraph" w:styleId="27">
    <w:name w:val="toc 6"/>
    <w:basedOn w:val="1"/>
    <w:next w:val="1"/>
    <w:unhideWhenUsed/>
    <w:qFormat/>
    <w:uiPriority w:val="39"/>
    <w:pPr>
      <w:ind w:left="1200"/>
      <w:jc w:val="left"/>
    </w:pPr>
    <w:rPr>
      <w:rFonts w:asciiTheme="minorHAnsi" w:eastAsiaTheme="minorHAnsi"/>
      <w:sz w:val="18"/>
      <w:szCs w:val="18"/>
    </w:rPr>
  </w:style>
  <w:style w:type="paragraph" w:styleId="28">
    <w:name w:val="toc 2"/>
    <w:basedOn w:val="1"/>
    <w:next w:val="1"/>
    <w:unhideWhenUsed/>
    <w:qFormat/>
    <w:uiPriority w:val="39"/>
    <w:pPr>
      <w:ind w:left="240"/>
      <w:jc w:val="left"/>
    </w:pPr>
    <w:rPr>
      <w:rFonts w:asciiTheme="minorHAnsi" w:eastAsiaTheme="minorHAnsi"/>
      <w:smallCaps/>
      <w:sz w:val="20"/>
      <w:szCs w:val="20"/>
    </w:rPr>
  </w:style>
  <w:style w:type="paragraph" w:styleId="29">
    <w:name w:val="toc 9"/>
    <w:basedOn w:val="1"/>
    <w:next w:val="1"/>
    <w:unhideWhenUsed/>
    <w:qFormat/>
    <w:uiPriority w:val="39"/>
    <w:pPr>
      <w:ind w:left="1920"/>
      <w:jc w:val="left"/>
    </w:pPr>
    <w:rPr>
      <w:rFonts w:asciiTheme="minorHAnsi" w:eastAsiaTheme="minorHAnsi"/>
      <w:sz w:val="18"/>
      <w:szCs w:val="18"/>
    </w:rPr>
  </w:style>
  <w:style w:type="paragraph" w:styleId="30">
    <w:name w:val="HTML Preformatted"/>
    <w:basedOn w:val="1"/>
    <w:link w:val="12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rPr>
  </w:style>
  <w:style w:type="paragraph" w:styleId="31">
    <w:name w:val="Normal (Web)"/>
    <w:basedOn w:val="1"/>
    <w:link w:val="144"/>
    <w:unhideWhenUsed/>
    <w:qFormat/>
    <w:uiPriority w:val="99"/>
    <w:pPr>
      <w:spacing w:before="100" w:beforeAutospacing="1" w:after="100" w:afterAutospacing="1" w:line="240" w:lineRule="auto"/>
      <w:jc w:val="left"/>
    </w:pPr>
    <w:rPr>
      <w:rFonts w:ascii="宋体" w:hAnsi="宋体" w:cs="宋体"/>
      <w:kern w:val="0"/>
    </w:rPr>
  </w:style>
  <w:style w:type="paragraph" w:styleId="32">
    <w:name w:val="annotation subject"/>
    <w:basedOn w:val="15"/>
    <w:next w:val="15"/>
    <w:link w:val="133"/>
    <w:semiHidden/>
    <w:unhideWhenUsed/>
    <w:qFormat/>
    <w:uiPriority w:val="99"/>
    <w:pPr>
      <w:widowControl/>
      <w:spacing w:line="360" w:lineRule="auto"/>
    </w:pPr>
    <w:rPr>
      <w:b/>
      <w:bCs/>
      <w:sz w:val="24"/>
    </w:rPr>
  </w:style>
  <w:style w:type="paragraph" w:styleId="33">
    <w:name w:val="Body Text First Indent"/>
    <w:basedOn w:val="16"/>
    <w:link w:val="121"/>
    <w:semiHidden/>
    <w:unhideWhenUsed/>
    <w:qFormat/>
    <w:uiPriority w:val="99"/>
    <w:pPr>
      <w:widowControl/>
      <w:spacing w:line="360" w:lineRule="auto"/>
      <w:ind w:firstLine="420" w:firstLineChars="100"/>
    </w:pPr>
    <w:rPr>
      <w:sz w:val="24"/>
    </w:rPr>
  </w:style>
  <w:style w:type="table" w:styleId="35">
    <w:name w:val="Table Grid"/>
    <w:basedOn w:val="3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rPr>
  </w:style>
  <w:style w:type="character" w:styleId="38">
    <w:name w:val="FollowedHyperlink"/>
    <w:basedOn w:val="36"/>
    <w:unhideWhenUsed/>
    <w:qFormat/>
    <w:uiPriority w:val="99"/>
    <w:rPr>
      <w:color w:val="800080"/>
      <w:u w:val="single"/>
    </w:rPr>
  </w:style>
  <w:style w:type="character" w:styleId="39">
    <w:name w:val="Hyperlink"/>
    <w:basedOn w:val="36"/>
    <w:unhideWhenUsed/>
    <w:qFormat/>
    <w:uiPriority w:val="99"/>
    <w:rPr>
      <w:color w:val="0563C1" w:themeColor="hyperlink"/>
      <w:u w:val="single"/>
      <w14:textFill>
        <w14:solidFill>
          <w14:schemeClr w14:val="hlink"/>
        </w14:solidFill>
      </w14:textFill>
    </w:rPr>
  </w:style>
  <w:style w:type="character" w:styleId="40">
    <w:name w:val="annotation reference"/>
    <w:qFormat/>
    <w:uiPriority w:val="99"/>
    <w:rPr>
      <w:sz w:val="21"/>
      <w:szCs w:val="21"/>
    </w:rPr>
  </w:style>
  <w:style w:type="character" w:styleId="41">
    <w:name w:val="HTML Keyboard"/>
    <w:qFormat/>
    <w:uiPriority w:val="0"/>
    <w:rPr>
      <w:rFonts w:ascii="Courier New" w:hAnsi="Courier New"/>
      <w:sz w:val="20"/>
      <w:szCs w:val="20"/>
    </w:rPr>
  </w:style>
  <w:style w:type="character" w:customStyle="1" w:styleId="42">
    <w:name w:val="页眉 字符"/>
    <w:basedOn w:val="36"/>
    <w:link w:val="24"/>
    <w:qFormat/>
    <w:uiPriority w:val="99"/>
    <w:rPr>
      <w:sz w:val="18"/>
      <w:szCs w:val="18"/>
    </w:rPr>
  </w:style>
  <w:style w:type="character" w:customStyle="1" w:styleId="43">
    <w:name w:val="页脚 字符"/>
    <w:basedOn w:val="36"/>
    <w:link w:val="23"/>
    <w:qFormat/>
    <w:uiPriority w:val="99"/>
    <w:rPr>
      <w:sz w:val="18"/>
      <w:szCs w:val="18"/>
    </w:rPr>
  </w:style>
  <w:style w:type="character" w:customStyle="1" w:styleId="44">
    <w:name w:val="标题 1 字符"/>
    <w:basedOn w:val="36"/>
    <w:link w:val="2"/>
    <w:qFormat/>
    <w:uiPriority w:val="0"/>
    <w:rPr>
      <w:b/>
      <w:bCs/>
      <w:kern w:val="44"/>
      <w:sz w:val="24"/>
      <w:szCs w:val="44"/>
    </w:rPr>
  </w:style>
  <w:style w:type="character" w:customStyle="1" w:styleId="45">
    <w:name w:val="标题 2 字符"/>
    <w:basedOn w:val="36"/>
    <w:link w:val="3"/>
    <w:qFormat/>
    <w:uiPriority w:val="0"/>
    <w:rPr>
      <w:rFonts w:ascii="Arial" w:hAnsi="Arial"/>
      <w:b/>
      <w:bCs/>
      <w:kern w:val="2"/>
      <w:sz w:val="24"/>
      <w:szCs w:val="32"/>
    </w:rPr>
  </w:style>
  <w:style w:type="character" w:customStyle="1" w:styleId="46">
    <w:name w:val="标题 3 字符"/>
    <w:basedOn w:val="36"/>
    <w:link w:val="4"/>
    <w:qFormat/>
    <w:uiPriority w:val="0"/>
    <w:rPr>
      <w:b/>
      <w:bCs/>
      <w:kern w:val="2"/>
      <w:sz w:val="24"/>
      <w:szCs w:val="32"/>
    </w:rPr>
  </w:style>
  <w:style w:type="character" w:customStyle="1" w:styleId="47">
    <w:name w:val="标题 4 字符"/>
    <w:basedOn w:val="36"/>
    <w:link w:val="5"/>
    <w:qFormat/>
    <w:uiPriority w:val="0"/>
    <w:rPr>
      <w:rFonts w:ascii="Arial" w:hAnsi="Arial"/>
      <w:b/>
      <w:bCs/>
      <w:kern w:val="2"/>
      <w:sz w:val="24"/>
      <w:szCs w:val="28"/>
    </w:rPr>
  </w:style>
  <w:style w:type="character" w:customStyle="1" w:styleId="48">
    <w:name w:val="标题 5 字符"/>
    <w:basedOn w:val="36"/>
    <w:link w:val="6"/>
    <w:qFormat/>
    <w:uiPriority w:val="0"/>
    <w:rPr>
      <w:rFonts w:ascii="宋体" w:hAnsi="宋体"/>
      <w:b/>
      <w:bCs/>
      <w:kern w:val="2"/>
      <w:sz w:val="24"/>
      <w:szCs w:val="28"/>
    </w:rPr>
  </w:style>
  <w:style w:type="character" w:customStyle="1" w:styleId="49">
    <w:name w:val="标题 6 字符"/>
    <w:basedOn w:val="36"/>
    <w:link w:val="7"/>
    <w:qFormat/>
    <w:uiPriority w:val="0"/>
    <w:rPr>
      <w:rFonts w:ascii="宋体" w:hAnsi="宋体"/>
      <w:b/>
      <w:bCs/>
      <w:kern w:val="2"/>
      <w:sz w:val="24"/>
      <w:szCs w:val="24"/>
    </w:rPr>
  </w:style>
  <w:style w:type="character" w:customStyle="1" w:styleId="50">
    <w:name w:val="标题 7 字符"/>
    <w:basedOn w:val="36"/>
    <w:link w:val="8"/>
    <w:qFormat/>
    <w:uiPriority w:val="99"/>
    <w:rPr>
      <w:rFonts w:ascii="宋体" w:hAnsi="宋体"/>
      <w:b/>
      <w:bCs/>
      <w:kern w:val="2"/>
      <w:sz w:val="24"/>
      <w:szCs w:val="28"/>
    </w:rPr>
  </w:style>
  <w:style w:type="character" w:customStyle="1" w:styleId="51">
    <w:name w:val="标题 8 字符"/>
    <w:basedOn w:val="36"/>
    <w:link w:val="9"/>
    <w:qFormat/>
    <w:uiPriority w:val="0"/>
    <w:rPr>
      <w:rFonts w:ascii="宋体" w:hAnsi="宋体"/>
      <w:b/>
      <w:kern w:val="2"/>
      <w:sz w:val="24"/>
      <w:szCs w:val="28"/>
    </w:rPr>
  </w:style>
  <w:style w:type="character" w:customStyle="1" w:styleId="52">
    <w:name w:val="标题 9 字符"/>
    <w:basedOn w:val="36"/>
    <w:link w:val="10"/>
    <w:qFormat/>
    <w:uiPriority w:val="0"/>
    <w:rPr>
      <w:rFonts w:ascii="Arial" w:hAnsi="Arial"/>
      <w:kern w:val="2"/>
      <w:sz w:val="24"/>
      <w:szCs w:val="21"/>
    </w:rPr>
  </w:style>
  <w:style w:type="paragraph" w:customStyle="1" w:styleId="53">
    <w:name w:val="签名页文字"/>
    <w:basedOn w:val="1"/>
    <w:qFormat/>
    <w:uiPriority w:val="0"/>
    <w:pPr>
      <w:spacing w:line="600" w:lineRule="exact"/>
      <w:ind w:left="1100" w:leftChars="1100"/>
      <w:jc w:val="left"/>
    </w:pPr>
    <w:rPr>
      <w:kern w:val="0"/>
      <w:sz w:val="32"/>
      <w:szCs w:val="32"/>
    </w:rPr>
  </w:style>
  <w:style w:type="character" w:customStyle="1" w:styleId="54">
    <w:name w:val="样式 正文首行缩进 + 段前: 0.5 行 段后: 0.5 行 Char Char"/>
    <w:link w:val="55"/>
    <w:qFormat/>
    <w:uiPriority w:val="0"/>
  </w:style>
  <w:style w:type="paragraph" w:customStyle="1" w:styleId="55">
    <w:name w:val="样式 正文首行缩进 + 段前: 0.5 行 段后: 0.5 行"/>
    <w:basedOn w:val="1"/>
    <w:link w:val="54"/>
    <w:qFormat/>
    <w:uiPriority w:val="0"/>
    <w:pPr>
      <w:spacing w:before="156" w:after="156"/>
      <w:ind w:firstLine="420"/>
    </w:pPr>
  </w:style>
  <w:style w:type="paragraph" w:styleId="56">
    <w:name w:val="List Paragraph"/>
    <w:basedOn w:val="1"/>
    <w:link w:val="57"/>
    <w:qFormat/>
    <w:uiPriority w:val="34"/>
    <w:pPr>
      <w:ind w:firstLine="420"/>
    </w:pPr>
  </w:style>
  <w:style w:type="character" w:customStyle="1" w:styleId="57">
    <w:name w:val="列表段落 字符1"/>
    <w:link w:val="56"/>
    <w:qFormat/>
    <w:uiPriority w:val="34"/>
  </w:style>
  <w:style w:type="paragraph" w:customStyle="1" w:styleId="58">
    <w:name w:val="五级目录"/>
    <w:basedOn w:val="1"/>
    <w:qFormat/>
    <w:uiPriority w:val="0"/>
    <w:pPr>
      <w:keepNext/>
      <w:keepLines/>
      <w:spacing w:before="120" w:after="120"/>
      <w:ind w:left="1152" w:hanging="1152"/>
      <w:outlineLvl w:val="5"/>
    </w:pPr>
    <w:rPr>
      <w:rFonts w:ascii="Arial" w:hAnsi="Arial"/>
      <w:b/>
      <w:sz w:val="28"/>
      <w:szCs w:val="20"/>
    </w:rPr>
  </w:style>
  <w:style w:type="paragraph" w:customStyle="1" w:styleId="59">
    <w:name w:val="_标准条文"/>
    <w:basedOn w:val="1"/>
    <w:qFormat/>
    <w:uiPriority w:val="0"/>
    <w:pPr>
      <w:widowControl w:val="0"/>
      <w:overflowPunct w:val="0"/>
      <w:snapToGrid w:val="0"/>
      <w:spacing w:line="276" w:lineRule="auto"/>
      <w:ind w:firstLine="420" w:firstLineChars="200"/>
    </w:pPr>
    <w:rPr>
      <w:rFonts w:ascii="Arial" w:hAnsi="Arial" w:cs="宋体"/>
      <w:sz w:val="21"/>
      <w:szCs w:val="20"/>
    </w:rPr>
  </w:style>
  <w:style w:type="character" w:customStyle="1" w:styleId="60">
    <w:name w:val="批注文字 字符"/>
    <w:basedOn w:val="36"/>
    <w:link w:val="15"/>
    <w:qFormat/>
    <w:uiPriority w:val="99"/>
    <w:rPr>
      <w:sz w:val="21"/>
    </w:rPr>
  </w:style>
  <w:style w:type="paragraph" w:customStyle="1" w:styleId="61">
    <w:name w:val="章标题"/>
    <w:next w:val="1"/>
    <w:qFormat/>
    <w:uiPriority w:val="0"/>
    <w:pPr>
      <w:numPr>
        <w:ilvl w:val="1"/>
        <w:numId w:val="3"/>
      </w:numPr>
      <w:tabs>
        <w:tab w:val="left" w:pos="420"/>
      </w:tabs>
      <w:spacing w:before="50" w:beforeLines="50" w:after="50" w:afterLines="50" w:line="278" w:lineRule="auto"/>
      <w:jc w:val="both"/>
      <w:outlineLvl w:val="1"/>
    </w:pPr>
    <w:rPr>
      <w:rFonts w:ascii="黑体" w:hAnsi="Times New Roman" w:eastAsia="黑体" w:cs="Times New Roman"/>
      <w:b/>
      <w:sz w:val="21"/>
      <w:lang w:val="en-US" w:eastAsia="zh-CN" w:bidi="ar-SA"/>
    </w:rPr>
  </w:style>
  <w:style w:type="paragraph" w:customStyle="1" w:styleId="62">
    <w:name w:val="一级条标题"/>
    <w:basedOn w:val="61"/>
    <w:next w:val="1"/>
    <w:link w:val="68"/>
    <w:qFormat/>
    <w:uiPriority w:val="0"/>
    <w:pPr>
      <w:numPr>
        <w:ilvl w:val="2"/>
      </w:numPr>
      <w:tabs>
        <w:tab w:val="left" w:pos="525"/>
        <w:tab w:val="left" w:pos="4767"/>
      </w:tabs>
      <w:spacing w:before="0" w:beforeLines="0" w:after="0" w:afterLines="0"/>
      <w:outlineLvl w:val="2"/>
    </w:pPr>
  </w:style>
  <w:style w:type="paragraph" w:customStyle="1" w:styleId="63">
    <w:name w:val="二级条标题"/>
    <w:basedOn w:val="62"/>
    <w:next w:val="1"/>
    <w:link w:val="126"/>
    <w:qFormat/>
    <w:uiPriority w:val="0"/>
    <w:pPr>
      <w:numPr>
        <w:ilvl w:val="3"/>
      </w:numPr>
      <w:tabs>
        <w:tab w:val="left" w:pos="2637"/>
        <w:tab w:val="clear" w:pos="525"/>
      </w:tabs>
      <w:outlineLvl w:val="3"/>
    </w:pPr>
  </w:style>
  <w:style w:type="paragraph" w:customStyle="1" w:styleId="64">
    <w:name w:val="三级条标题"/>
    <w:basedOn w:val="63"/>
    <w:next w:val="1"/>
    <w:qFormat/>
    <w:uiPriority w:val="0"/>
    <w:pPr>
      <w:numPr>
        <w:ilvl w:val="4"/>
      </w:numPr>
      <w:tabs>
        <w:tab w:val="left" w:pos="945"/>
      </w:tabs>
      <w:outlineLvl w:val="4"/>
    </w:pPr>
  </w:style>
  <w:style w:type="character" w:customStyle="1" w:styleId="65">
    <w:name w:val="正文文本 字符"/>
    <w:basedOn w:val="36"/>
    <w:link w:val="16"/>
    <w:qFormat/>
    <w:uiPriority w:val="99"/>
    <w:rPr>
      <w:sz w:val="21"/>
    </w:rPr>
  </w:style>
  <w:style w:type="paragraph" w:customStyle="1" w:styleId="66">
    <w:name w:val="段"/>
    <w:link w:val="67"/>
    <w:qFormat/>
    <w:uiPriority w:val="0"/>
    <w:pPr>
      <w:spacing w:after="160" w:line="278" w:lineRule="auto"/>
      <w:ind w:firstLine="200" w:firstLineChars="200"/>
      <w:jc w:val="both"/>
    </w:pPr>
    <w:rPr>
      <w:rFonts w:ascii="宋体" w:hAnsi="Times New Roman" w:eastAsia="宋体" w:cs="Times New Roman"/>
      <w:sz w:val="21"/>
      <w:lang w:val="en-US" w:eastAsia="zh-CN" w:bidi="ar-SA"/>
    </w:rPr>
  </w:style>
  <w:style w:type="character" w:customStyle="1" w:styleId="67">
    <w:name w:val="段 Char"/>
    <w:link w:val="66"/>
    <w:qFormat/>
    <w:uiPriority w:val="0"/>
    <w:rPr>
      <w:rFonts w:ascii="宋体"/>
      <w:kern w:val="0"/>
      <w:sz w:val="21"/>
      <w:szCs w:val="20"/>
    </w:rPr>
  </w:style>
  <w:style w:type="character" w:customStyle="1" w:styleId="68">
    <w:name w:val="一级条标题 Char"/>
    <w:link w:val="62"/>
    <w:qFormat/>
    <w:uiPriority w:val="0"/>
    <w:rPr>
      <w:rFonts w:ascii="黑体" w:eastAsia="黑体"/>
      <w:b/>
      <w:sz w:val="21"/>
    </w:rPr>
  </w:style>
  <w:style w:type="paragraph" w:customStyle="1" w:styleId="69">
    <w:name w:val="五级条标题"/>
    <w:basedOn w:val="70"/>
    <w:next w:val="66"/>
    <w:qFormat/>
    <w:uiPriority w:val="0"/>
    <w:pPr>
      <w:tabs>
        <w:tab w:val="left" w:pos="360"/>
        <w:tab w:val="left" w:pos="420"/>
        <w:tab w:val="left" w:pos="945"/>
        <w:tab w:val="left" w:pos="1021"/>
        <w:tab w:val="left" w:pos="1155"/>
        <w:tab w:val="left" w:pos="1407"/>
        <w:tab w:val="left" w:pos="1440"/>
        <w:tab w:val="left" w:pos="2637"/>
        <w:tab w:val="left" w:pos="4767"/>
      </w:tabs>
      <w:ind w:left="0" w:firstLine="0"/>
      <w:outlineLvl w:val="6"/>
    </w:pPr>
  </w:style>
  <w:style w:type="paragraph" w:customStyle="1" w:styleId="70">
    <w:name w:val="四级条标题"/>
    <w:basedOn w:val="64"/>
    <w:next w:val="66"/>
    <w:qFormat/>
    <w:uiPriority w:val="0"/>
    <w:pPr>
      <w:numPr>
        <w:ilvl w:val="0"/>
        <w:numId w:val="0"/>
      </w:numPr>
      <w:tabs>
        <w:tab w:val="left" w:pos="1021"/>
        <w:tab w:val="left" w:pos="1155"/>
      </w:tabs>
      <w:ind w:left="1021" w:hanging="1021"/>
      <w:outlineLvl w:val="5"/>
    </w:pPr>
  </w:style>
  <w:style w:type="paragraph" w:customStyle="1" w:styleId="71">
    <w:name w:val="msonormal"/>
    <w:basedOn w:val="1"/>
    <w:qFormat/>
    <w:uiPriority w:val="0"/>
    <w:pPr>
      <w:spacing w:before="100" w:beforeAutospacing="1" w:after="100" w:afterAutospacing="1" w:line="240" w:lineRule="auto"/>
      <w:jc w:val="left"/>
    </w:pPr>
    <w:rPr>
      <w:rFonts w:ascii="宋体" w:hAnsi="宋体" w:cs="宋体"/>
      <w:kern w:val="0"/>
    </w:rPr>
  </w:style>
  <w:style w:type="character" w:customStyle="1" w:styleId="72">
    <w:name w:val="标题 字符"/>
    <w:basedOn w:val="36"/>
    <w:link w:val="17"/>
    <w:qFormat/>
    <w:uiPriority w:val="99"/>
    <w:rPr>
      <w:rFonts w:ascii="Cambria" w:hAnsi="Cambria"/>
      <w:b/>
      <w:bCs/>
      <w:sz w:val="32"/>
      <w:szCs w:val="32"/>
    </w:rPr>
  </w:style>
  <w:style w:type="paragraph" w:customStyle="1" w:styleId="73">
    <w:name w:val="项目编号1级"/>
    <w:basedOn w:val="1"/>
    <w:qFormat/>
    <w:uiPriority w:val="0"/>
    <w:pPr>
      <w:widowControl w:val="0"/>
      <w:ind w:left="900" w:hanging="420"/>
    </w:pPr>
    <w:rPr>
      <w:rFonts w:ascii="宋体" w:hAnsi="宋体" w:cs="宋体"/>
      <w:color w:val="000000"/>
    </w:rPr>
  </w:style>
  <w:style w:type="paragraph" w:customStyle="1" w:styleId="74">
    <w:name w:val="样式16"/>
    <w:basedOn w:val="1"/>
    <w:qFormat/>
    <w:uiPriority w:val="0"/>
    <w:pPr>
      <w:widowControl w:val="0"/>
      <w:ind w:left="1320" w:hanging="420"/>
    </w:pPr>
    <w:rPr>
      <w:rFonts w:cs="宋体"/>
    </w:rPr>
  </w:style>
  <w:style w:type="paragraph" w:customStyle="1" w:styleId="75">
    <w:name w:val="项目编号3级"/>
    <w:basedOn w:val="1"/>
    <w:qFormat/>
    <w:uiPriority w:val="0"/>
    <w:pPr>
      <w:widowControl w:val="0"/>
      <w:spacing w:before="120" w:after="120"/>
      <w:ind w:left="1620" w:hanging="420"/>
    </w:pPr>
    <w:rPr>
      <w:rFonts w:ascii="宋体" w:hAnsi="宋体" w:cs="宋体"/>
    </w:rPr>
  </w:style>
  <w:style w:type="paragraph" w:customStyle="1" w:styleId="76">
    <w:name w:val="正文首行缩进1"/>
    <w:basedOn w:val="16"/>
    <w:qFormat/>
    <w:uiPriority w:val="0"/>
    <w:pPr>
      <w:widowControl/>
      <w:spacing w:before="156" w:line="360" w:lineRule="auto"/>
      <w:ind w:firstLine="420"/>
    </w:pPr>
    <w:rPr>
      <w:rFonts w:ascii="Calibri" w:hAnsi="Calibri"/>
      <w:szCs w:val="21"/>
    </w:rPr>
  </w:style>
  <w:style w:type="paragraph" w:customStyle="1" w:styleId="77">
    <w:name w:val="项目编号2级"/>
    <w:basedOn w:val="74"/>
    <w:qFormat/>
    <w:uiPriority w:val="0"/>
  </w:style>
  <w:style w:type="paragraph" w:customStyle="1" w:styleId="78">
    <w:name w:val="列表段落2"/>
    <w:basedOn w:val="1"/>
    <w:qFormat/>
    <w:uiPriority w:val="99"/>
    <w:pPr>
      <w:spacing w:line="240" w:lineRule="auto"/>
      <w:ind w:firstLine="420" w:firstLineChars="200"/>
      <w:jc w:val="left"/>
    </w:pPr>
    <w:rPr>
      <w:rFonts w:ascii="宋体" w:hAnsi="宋体" w:cs="宋体"/>
      <w:kern w:val="0"/>
    </w:rPr>
  </w:style>
  <w:style w:type="paragraph" w:customStyle="1" w:styleId="79">
    <w:name w:val="列表段落1"/>
    <w:basedOn w:val="1"/>
    <w:link w:val="80"/>
    <w:qFormat/>
    <w:uiPriority w:val="34"/>
    <w:pPr>
      <w:widowControl w:val="0"/>
      <w:spacing w:line="240" w:lineRule="auto"/>
      <w:ind w:firstLine="420" w:firstLineChars="200"/>
    </w:pPr>
    <w:rPr>
      <w:rFonts w:ascii="Calibri" w:hAnsi="Calibri"/>
      <w:sz w:val="21"/>
    </w:rPr>
  </w:style>
  <w:style w:type="character" w:customStyle="1" w:styleId="80">
    <w:name w:val="列表段落 字符"/>
    <w:link w:val="79"/>
    <w:qFormat/>
    <w:uiPriority w:val="99"/>
    <w:rPr>
      <w:rFonts w:ascii="Calibri" w:hAnsi="Calibri"/>
      <w:sz w:val="21"/>
    </w:rPr>
  </w:style>
  <w:style w:type="character" w:customStyle="1" w:styleId="81">
    <w:name w:val="题注 字符"/>
    <w:link w:val="14"/>
    <w:qFormat/>
    <w:uiPriority w:val="35"/>
    <w:rPr>
      <w:rFonts w:ascii="Cambria" w:hAnsi="Cambria" w:eastAsia="微软雅黑"/>
      <w:sz w:val="21"/>
      <w:szCs w:val="20"/>
    </w:rPr>
  </w:style>
  <w:style w:type="paragraph" w:customStyle="1" w:styleId="82">
    <w:name w:val="标准文件_段"/>
    <w:link w:val="90"/>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 w:type="paragraph" w:customStyle="1" w:styleId="83">
    <w:name w:val="标准文件_二级条标题"/>
    <w:next w:val="82"/>
    <w:qFormat/>
    <w:uiPriority w:val="0"/>
    <w:pPr>
      <w:widowControl w:val="0"/>
      <w:numPr>
        <w:ilvl w:val="3"/>
        <w:numId w:val="4"/>
      </w:numPr>
      <w:spacing w:before="50" w:beforeLines="50" w:after="50" w:afterLines="50" w:line="278" w:lineRule="auto"/>
      <w:jc w:val="both"/>
      <w:outlineLvl w:val="2"/>
    </w:pPr>
    <w:rPr>
      <w:rFonts w:ascii="黑体" w:hAnsi="Times New Roman" w:eastAsia="黑体" w:cs="Times New Roman"/>
      <w:sz w:val="21"/>
      <w:lang w:val="en-US" w:eastAsia="zh-CN" w:bidi="ar-SA"/>
    </w:rPr>
  </w:style>
  <w:style w:type="paragraph" w:customStyle="1" w:styleId="84">
    <w:name w:val="标准文件_三级条标题"/>
    <w:basedOn w:val="83"/>
    <w:next w:val="82"/>
    <w:qFormat/>
    <w:uiPriority w:val="0"/>
    <w:pPr>
      <w:widowControl/>
      <w:numPr>
        <w:ilvl w:val="4"/>
      </w:numPr>
      <w:outlineLvl w:val="3"/>
    </w:pPr>
  </w:style>
  <w:style w:type="paragraph" w:customStyle="1" w:styleId="85">
    <w:name w:val="标准文件_四级条标题"/>
    <w:next w:val="82"/>
    <w:qFormat/>
    <w:uiPriority w:val="0"/>
    <w:pPr>
      <w:widowControl w:val="0"/>
      <w:numPr>
        <w:ilvl w:val="5"/>
        <w:numId w:val="4"/>
      </w:numPr>
      <w:spacing w:before="50" w:beforeLines="50" w:after="50" w:afterLines="50" w:line="278" w:lineRule="auto"/>
      <w:jc w:val="both"/>
      <w:outlineLvl w:val="4"/>
    </w:pPr>
    <w:rPr>
      <w:rFonts w:ascii="黑体" w:hAnsi="Times New Roman" w:eastAsia="黑体" w:cs="Times New Roman"/>
      <w:sz w:val="21"/>
      <w:lang w:val="en-US" w:eastAsia="zh-CN" w:bidi="ar-SA"/>
    </w:rPr>
  </w:style>
  <w:style w:type="paragraph" w:customStyle="1" w:styleId="86">
    <w:name w:val="标准文件_五级条标题"/>
    <w:next w:val="82"/>
    <w:qFormat/>
    <w:uiPriority w:val="0"/>
    <w:pPr>
      <w:widowControl w:val="0"/>
      <w:numPr>
        <w:ilvl w:val="6"/>
        <w:numId w:val="4"/>
      </w:numPr>
      <w:spacing w:before="50" w:beforeLines="50" w:after="50" w:afterLines="50" w:line="278" w:lineRule="auto"/>
      <w:jc w:val="both"/>
      <w:outlineLvl w:val="5"/>
    </w:pPr>
    <w:rPr>
      <w:rFonts w:ascii="黑体" w:hAnsi="Times New Roman" w:eastAsia="黑体" w:cs="Times New Roman"/>
      <w:sz w:val="21"/>
      <w:lang w:val="en-US" w:eastAsia="zh-CN" w:bidi="ar-SA"/>
    </w:rPr>
  </w:style>
  <w:style w:type="paragraph" w:customStyle="1" w:styleId="87">
    <w:name w:val="标准文件_章标题"/>
    <w:next w:val="82"/>
    <w:qFormat/>
    <w:uiPriority w:val="0"/>
    <w:pPr>
      <w:numPr>
        <w:ilvl w:val="1"/>
        <w:numId w:val="4"/>
      </w:numPr>
      <w:spacing w:before="100" w:beforeLines="100" w:after="100" w:afterLines="100" w:line="278" w:lineRule="auto"/>
      <w:jc w:val="both"/>
      <w:outlineLvl w:val="0"/>
    </w:pPr>
    <w:rPr>
      <w:rFonts w:ascii="黑体" w:hAnsi="Times New Roman" w:eastAsia="黑体" w:cs="Times New Roman"/>
      <w:sz w:val="21"/>
      <w:lang w:val="en-US" w:eastAsia="zh-CN" w:bidi="ar-SA"/>
    </w:rPr>
  </w:style>
  <w:style w:type="paragraph" w:customStyle="1" w:styleId="88">
    <w:name w:val="标准文件_一级条标题"/>
    <w:basedOn w:val="87"/>
    <w:next w:val="82"/>
    <w:qFormat/>
    <w:uiPriority w:val="0"/>
    <w:pPr>
      <w:numPr>
        <w:ilvl w:val="2"/>
      </w:numPr>
      <w:spacing w:before="50" w:beforeLines="50" w:after="50" w:afterLines="50"/>
      <w:outlineLvl w:val="1"/>
    </w:pPr>
  </w:style>
  <w:style w:type="paragraph" w:customStyle="1" w:styleId="89">
    <w:name w:val="前言标题"/>
    <w:next w:val="1"/>
    <w:qFormat/>
    <w:uiPriority w:val="0"/>
    <w:pPr>
      <w:numPr>
        <w:ilvl w:val="0"/>
        <w:numId w:val="4"/>
      </w:num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character" w:customStyle="1" w:styleId="90">
    <w:name w:val="标准文件_段 Char"/>
    <w:link w:val="82"/>
    <w:qFormat/>
    <w:uiPriority w:val="0"/>
    <w:rPr>
      <w:rFonts w:ascii="宋体"/>
      <w:kern w:val="0"/>
      <w:sz w:val="21"/>
      <w:szCs w:val="20"/>
    </w:rPr>
  </w:style>
  <w:style w:type="paragraph" w:customStyle="1" w:styleId="91">
    <w:name w:val="列出段落1"/>
    <w:basedOn w:val="1"/>
    <w:qFormat/>
    <w:uiPriority w:val="0"/>
    <w:pPr>
      <w:spacing w:before="156" w:after="156" w:line="276" w:lineRule="auto"/>
      <w:ind w:firstLine="420"/>
    </w:pPr>
    <w:rPr>
      <w:rFonts w:ascii="Cambria" w:hAnsi="Cambria" w:cs="宋体"/>
      <w:kern w:val="0"/>
      <w:sz w:val="22"/>
      <w:szCs w:val="22"/>
    </w:rPr>
  </w:style>
  <w:style w:type="paragraph" w:customStyle="1" w:styleId="92">
    <w:name w:val="文章文字"/>
    <w:basedOn w:val="1"/>
    <w:qFormat/>
    <w:uiPriority w:val="0"/>
    <w:pPr>
      <w:ind w:firstLine="482"/>
    </w:pPr>
    <w:rPr>
      <w:rFonts w:ascii="宋体" w:hAnsi="宋体" w:cs="宋体"/>
      <w:sz w:val="21"/>
      <w:szCs w:val="21"/>
    </w:rPr>
  </w:style>
  <w:style w:type="paragraph" w:customStyle="1" w:styleId="93">
    <w:name w:val="正文-一体化"/>
    <w:basedOn w:val="1"/>
    <w:qFormat/>
    <w:uiPriority w:val="0"/>
    <w:pPr>
      <w:adjustRightInd w:val="0"/>
      <w:snapToGrid w:val="0"/>
      <w:spacing w:before="156" w:after="156"/>
      <w:ind w:firstLine="480"/>
    </w:pPr>
    <w:rPr>
      <w:rFonts w:ascii="Calibri" w:hAnsi="Calibri"/>
    </w:rPr>
  </w:style>
  <w:style w:type="paragraph" w:customStyle="1" w:styleId="94">
    <w:name w:val="科东_正文"/>
    <w:basedOn w:val="1"/>
    <w:qFormat/>
    <w:uiPriority w:val="0"/>
    <w:pPr>
      <w:spacing w:before="156" w:after="156"/>
      <w:ind w:firstLine="482"/>
    </w:pPr>
    <w:rPr>
      <w:rFonts w:ascii="Calibri" w:hAnsi="Calibri"/>
    </w:rPr>
  </w:style>
  <w:style w:type="paragraph" w:customStyle="1" w:styleId="95">
    <w:name w:val="正文图标题"/>
    <w:basedOn w:val="1"/>
    <w:next w:val="66"/>
    <w:qFormat/>
    <w:uiPriority w:val="0"/>
    <w:pPr>
      <w:spacing w:before="156" w:after="156"/>
      <w:ind w:firstLine="482"/>
      <w:jc w:val="center"/>
    </w:pPr>
    <w:rPr>
      <w:rFonts w:ascii="黑体" w:eastAsia="黑体" w:cs="宋体"/>
      <w:b/>
      <w:bCs/>
      <w:kern w:val="0"/>
      <w:sz w:val="21"/>
      <w:szCs w:val="21"/>
    </w:rPr>
  </w:style>
  <w:style w:type="paragraph" w:customStyle="1" w:styleId="96">
    <w:name w:val="p0"/>
    <w:basedOn w:val="1"/>
    <w:qFormat/>
    <w:uiPriority w:val="0"/>
    <w:pPr>
      <w:jc w:val="left"/>
    </w:pPr>
    <w:rPr>
      <w:rFonts w:ascii="Calibri" w:hAnsi="Calibri" w:cs="Calibri"/>
      <w:kern w:val="0"/>
      <w:sz w:val="21"/>
      <w:szCs w:val="21"/>
    </w:rPr>
  </w:style>
  <w:style w:type="paragraph" w:customStyle="1" w:styleId="97">
    <w:name w:val="正文圆点编号"/>
    <w:basedOn w:val="1"/>
    <w:qFormat/>
    <w:uiPriority w:val="0"/>
    <w:pPr>
      <w:adjustRightInd w:val="0"/>
      <w:spacing w:before="156" w:after="156" w:line="312" w:lineRule="atLeast"/>
      <w:ind w:left="907" w:hanging="425"/>
      <w:textAlignment w:val="baseline"/>
    </w:pPr>
    <w:rPr>
      <w:rFonts w:ascii="宋体" w:hAnsi="Arial" w:cs="宋体"/>
      <w:kern w:val="0"/>
    </w:rPr>
  </w:style>
  <w:style w:type="paragraph" w:customStyle="1" w:styleId="98">
    <w:name w:val="列出段落11"/>
    <w:basedOn w:val="1"/>
    <w:qFormat/>
    <w:uiPriority w:val="0"/>
    <w:pPr>
      <w:spacing w:beforeLines="50" w:afterLines="50" w:line="276" w:lineRule="auto"/>
      <w:ind w:firstLine="420" w:firstLineChars="200"/>
      <w:jc w:val="left"/>
    </w:pPr>
    <w:rPr>
      <w:rFonts w:ascii="Cambria" w:hAnsi="Cambria" w:cs="宋体"/>
      <w:kern w:val="0"/>
      <w:sz w:val="22"/>
      <w:szCs w:val="22"/>
    </w:rPr>
  </w:style>
  <w:style w:type="character" w:customStyle="1" w:styleId="99">
    <w:name w:val="纯文本 字符"/>
    <w:basedOn w:val="36"/>
    <w:link w:val="20"/>
    <w:semiHidden/>
    <w:qFormat/>
    <w:uiPriority w:val="99"/>
    <w:rPr>
      <w:rFonts w:ascii="宋体" w:hAnsi="Courier New" w:cs="Courier New"/>
      <w:sz w:val="21"/>
      <w:szCs w:val="21"/>
    </w:rPr>
  </w:style>
  <w:style w:type="paragraph" w:customStyle="1" w:styleId="100">
    <w:name w:val="标准正文_1:段前: 0.5 行 + 段前: 0.5 行 + 段前: 0.4 行"/>
    <w:basedOn w:val="1"/>
    <w:qFormat/>
    <w:uiPriority w:val="0"/>
    <w:pPr>
      <w:spacing w:before="156" w:after="156" w:line="300" w:lineRule="auto"/>
      <w:ind w:firstLine="482"/>
    </w:pPr>
    <w:rPr>
      <w:rFonts w:ascii="Calibri" w:hAnsi="Calibri"/>
    </w:rPr>
  </w:style>
  <w:style w:type="paragraph" w:customStyle="1" w:styleId="101">
    <w:name w:val="纯文本1"/>
    <w:basedOn w:val="1"/>
    <w:qFormat/>
    <w:uiPriority w:val="0"/>
    <w:pPr>
      <w:spacing w:before="156" w:after="156" w:line="240" w:lineRule="auto"/>
    </w:pPr>
    <w:rPr>
      <w:rFonts w:ascii="宋体" w:hAnsi="Courier New"/>
      <w:sz w:val="21"/>
      <w:szCs w:val="21"/>
    </w:rPr>
  </w:style>
  <w:style w:type="paragraph" w:customStyle="1" w:styleId="102">
    <w:name w:val="正文文字样式"/>
    <w:basedOn w:val="1"/>
    <w:qFormat/>
    <w:uiPriority w:val="0"/>
    <w:pPr>
      <w:spacing w:before="156" w:after="156"/>
      <w:ind w:firstLine="480"/>
    </w:pPr>
    <w:rPr>
      <w:rFonts w:ascii="Calibri" w:hAnsi="Calibri"/>
    </w:rPr>
  </w:style>
  <w:style w:type="paragraph" w:customStyle="1" w:styleId="103">
    <w:name w:val="font5"/>
    <w:basedOn w:val="1"/>
    <w:qFormat/>
    <w:uiPriority w:val="0"/>
    <w:pPr>
      <w:spacing w:before="100" w:beforeAutospacing="1" w:after="100" w:afterAutospacing="1" w:line="240" w:lineRule="auto"/>
      <w:jc w:val="left"/>
    </w:pPr>
    <w:rPr>
      <w:rFonts w:ascii="等线" w:hAnsi="等线" w:eastAsia="等线" w:cs="宋体"/>
      <w:kern w:val="0"/>
      <w:sz w:val="18"/>
      <w:szCs w:val="18"/>
    </w:rPr>
  </w:style>
  <w:style w:type="paragraph" w:customStyle="1" w:styleId="104">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0"/>
      <w:szCs w:val="20"/>
    </w:rPr>
  </w:style>
  <w:style w:type="paragraph" w:customStyle="1" w:styleId="105">
    <w:name w:val="xl65"/>
    <w:basedOn w:val="1"/>
    <w:qFormat/>
    <w:uiPriority w:val="0"/>
    <w:pP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0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0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0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kern w:val="0"/>
      <w:sz w:val="20"/>
      <w:szCs w:val="20"/>
    </w:rPr>
  </w:style>
  <w:style w:type="paragraph" w:customStyle="1" w:styleId="109">
    <w:name w:val="xl69"/>
    <w:basedOn w:val="1"/>
    <w:qFormat/>
    <w:uiPriority w:val="0"/>
    <w:pPr>
      <w:pBdr>
        <w:top w:val="single" w:color="auto" w:sz="4" w:space="0"/>
        <w:left w:val="single" w:color="auto" w:sz="4" w:space="0"/>
        <w:bottom w:val="single" w:color="auto" w:sz="4" w:space="0"/>
      </w:pBdr>
      <w:spacing w:before="100" w:beforeAutospacing="1" w:after="100" w:afterAutospacing="1" w:line="240" w:lineRule="auto"/>
      <w:jc w:val="left"/>
      <w:textAlignment w:val="center"/>
    </w:pPr>
    <w:rPr>
      <w:rFonts w:ascii="宋体" w:hAnsi="宋体" w:cs="宋体"/>
      <w:b/>
      <w:bCs/>
      <w:kern w:val="0"/>
      <w:sz w:val="20"/>
      <w:szCs w:val="20"/>
    </w:rPr>
  </w:style>
  <w:style w:type="paragraph" w:customStyle="1" w:styleId="110">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kern w:val="0"/>
      <w:sz w:val="20"/>
      <w:szCs w:val="20"/>
    </w:rPr>
  </w:style>
  <w:style w:type="paragraph" w:customStyle="1" w:styleId="111">
    <w:name w:val="xl7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11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1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14">
    <w:name w:val="xl74"/>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15">
    <w:name w:val="xl75"/>
    <w:basedOn w:val="1"/>
    <w:qFormat/>
    <w:uiPriority w:val="0"/>
    <w:pPr>
      <w:pBdr>
        <w:left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16">
    <w:name w:val="xl76"/>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17">
    <w:name w:val="xl77"/>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18">
    <w:name w:val="xl78"/>
    <w:basedOn w:val="1"/>
    <w:qFormat/>
    <w:uiPriority w:val="0"/>
    <w:pPr>
      <w:pBdr>
        <w:left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19">
    <w:name w:val="xl79"/>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20">
    <w:name w:val="xl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b/>
      <w:bCs/>
      <w:kern w:val="0"/>
      <w:sz w:val="20"/>
      <w:szCs w:val="20"/>
    </w:rPr>
  </w:style>
  <w:style w:type="character" w:customStyle="1" w:styleId="121">
    <w:name w:val="正文文本首行缩进 字符"/>
    <w:basedOn w:val="65"/>
    <w:link w:val="33"/>
    <w:semiHidden/>
    <w:qFormat/>
    <w:uiPriority w:val="99"/>
    <w:rPr>
      <w:sz w:val="21"/>
    </w:rPr>
  </w:style>
  <w:style w:type="character" w:customStyle="1" w:styleId="122">
    <w:name w:val="DataTypeTok"/>
    <w:basedOn w:val="36"/>
    <w:qFormat/>
    <w:uiPriority w:val="0"/>
    <w:rPr>
      <w:color w:val="902000"/>
    </w:rPr>
  </w:style>
  <w:style w:type="character" w:customStyle="1" w:styleId="123">
    <w:name w:val="HTML 预设格式 字符"/>
    <w:basedOn w:val="36"/>
    <w:link w:val="30"/>
    <w:qFormat/>
    <w:uiPriority w:val="99"/>
    <w:rPr>
      <w:rFonts w:ascii="宋体" w:hAnsi="宋体" w:cs="宋体"/>
      <w:kern w:val="0"/>
    </w:rPr>
  </w:style>
  <w:style w:type="table" w:customStyle="1" w:styleId="124">
    <w:name w:val="方欣网格型1"/>
    <w:basedOn w:val="34"/>
    <w:qFormat/>
    <w:uiPriority w:val="59"/>
    <w:pPr>
      <w:widowControl w:val="0"/>
      <w:adjustRightInd w:val="0"/>
      <w:spacing w:line="312"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5">
    <w:name w:val="前言、引言标题"/>
    <w:next w:val="1"/>
    <w:qFormat/>
    <w:uiPriority w:val="99"/>
    <w:pPr>
      <w:shd w:val="clear" w:color="FFFFFF" w:fill="FFFFFF"/>
      <w:spacing w:before="640" w:after="560" w:line="278" w:lineRule="auto"/>
      <w:jc w:val="center"/>
      <w:outlineLvl w:val="0"/>
    </w:pPr>
    <w:rPr>
      <w:rFonts w:ascii="黑体" w:hAnsi="Times New Roman" w:eastAsia="黑体" w:cs="Times New Roman"/>
      <w:sz w:val="32"/>
      <w:lang w:val="en-US" w:eastAsia="zh-CN" w:bidi="ar-SA"/>
    </w:rPr>
  </w:style>
  <w:style w:type="character" w:customStyle="1" w:styleId="126">
    <w:name w:val="二级条标题 Char"/>
    <w:basedOn w:val="68"/>
    <w:link w:val="63"/>
    <w:qFormat/>
    <w:uiPriority w:val="0"/>
    <w:rPr>
      <w:rFonts w:ascii="黑体" w:eastAsia="黑体"/>
      <w:sz w:val="21"/>
    </w:rPr>
  </w:style>
  <w:style w:type="character" w:customStyle="1" w:styleId="127">
    <w:name w:val="yq标题3 Char"/>
    <w:link w:val="128"/>
    <w:qFormat/>
    <w:uiPriority w:val="0"/>
    <w:rPr>
      <w:rFonts w:ascii="Cambria" w:hAnsi="Cambria"/>
      <w:bCs/>
      <w:kern w:val="2"/>
      <w:sz w:val="21"/>
      <w:szCs w:val="21"/>
    </w:rPr>
  </w:style>
  <w:style w:type="paragraph" w:customStyle="1" w:styleId="128">
    <w:name w:val="yq标题3"/>
    <w:basedOn w:val="129"/>
    <w:link w:val="127"/>
    <w:qFormat/>
    <w:uiPriority w:val="0"/>
    <w:pPr>
      <w:numPr>
        <w:ilvl w:val="2"/>
      </w:numPr>
      <w:tabs>
        <w:tab w:val="left" w:pos="900"/>
        <w:tab w:val="left" w:pos="1320"/>
      </w:tabs>
      <w:outlineLvl w:val="2"/>
    </w:pPr>
  </w:style>
  <w:style w:type="paragraph" w:customStyle="1" w:styleId="129">
    <w:name w:val="yq标题2"/>
    <w:basedOn w:val="3"/>
    <w:link w:val="130"/>
    <w:qFormat/>
    <w:uiPriority w:val="0"/>
    <w:pPr>
      <w:numPr>
        <w:numId w:val="5"/>
      </w:numPr>
      <w:tabs>
        <w:tab w:val="left" w:pos="900"/>
        <w:tab w:val="left" w:pos="1320"/>
        <w:tab w:val="clear" w:pos="720"/>
      </w:tabs>
    </w:pPr>
    <w:rPr>
      <w:rFonts w:ascii="Cambria" w:hAnsi="Cambria"/>
      <w:b w:val="0"/>
      <w:sz w:val="21"/>
      <w:szCs w:val="21"/>
    </w:rPr>
  </w:style>
  <w:style w:type="character" w:customStyle="1" w:styleId="130">
    <w:name w:val="yq标题2 Char"/>
    <w:link w:val="129"/>
    <w:qFormat/>
    <w:uiPriority w:val="0"/>
    <w:rPr>
      <w:rFonts w:ascii="Cambria" w:hAnsi="Cambria"/>
      <w:bCs/>
      <w:kern w:val="2"/>
      <w:sz w:val="21"/>
      <w:szCs w:val="21"/>
    </w:rPr>
  </w:style>
  <w:style w:type="character" w:customStyle="1" w:styleId="131">
    <w:name w:val="yq标题1 Char"/>
    <w:link w:val="132"/>
    <w:qFormat/>
    <w:uiPriority w:val="0"/>
    <w:rPr>
      <w:rFonts w:ascii="黑体" w:hAnsi="黑体" w:eastAsia="黑体"/>
      <w:b/>
      <w:bCs/>
      <w:kern w:val="44"/>
      <w:sz w:val="24"/>
      <w:szCs w:val="24"/>
    </w:rPr>
  </w:style>
  <w:style w:type="paragraph" w:customStyle="1" w:styleId="132">
    <w:name w:val="yq标题1"/>
    <w:basedOn w:val="2"/>
    <w:link w:val="131"/>
    <w:qFormat/>
    <w:uiPriority w:val="0"/>
    <w:pPr>
      <w:numPr>
        <w:numId w:val="5"/>
      </w:numPr>
      <w:tabs>
        <w:tab w:val="left" w:pos="900"/>
      </w:tabs>
      <w:jc w:val="left"/>
    </w:pPr>
    <w:rPr>
      <w:rFonts w:ascii="黑体" w:hAnsi="黑体" w:eastAsia="黑体"/>
      <w:szCs w:val="24"/>
    </w:rPr>
  </w:style>
  <w:style w:type="character" w:customStyle="1" w:styleId="133">
    <w:name w:val="批注主题 字符"/>
    <w:basedOn w:val="60"/>
    <w:link w:val="32"/>
    <w:semiHidden/>
    <w:qFormat/>
    <w:uiPriority w:val="99"/>
    <w:rPr>
      <w:b/>
      <w:bCs/>
      <w:sz w:val="21"/>
    </w:rPr>
  </w:style>
  <w:style w:type="character" w:customStyle="1" w:styleId="134">
    <w:name w:val="批注框文本 字符"/>
    <w:basedOn w:val="36"/>
    <w:link w:val="22"/>
    <w:semiHidden/>
    <w:qFormat/>
    <w:uiPriority w:val="99"/>
    <w:rPr>
      <w:sz w:val="18"/>
      <w:szCs w:val="18"/>
    </w:rPr>
  </w:style>
  <w:style w:type="paragraph" w:customStyle="1" w:styleId="135">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0"/>
      <w:szCs w:val="20"/>
    </w:rPr>
  </w:style>
  <w:style w:type="character" w:customStyle="1" w:styleId="136">
    <w:name w:val="列出段落 字符1"/>
    <w:qFormat/>
    <w:locked/>
    <w:uiPriority w:val="34"/>
    <w:rPr>
      <w:rFonts w:ascii="Times New Roman" w:hAnsi="Times New Roman" w:eastAsia="宋体" w:cs="Times New Roman"/>
      <w:sz w:val="24"/>
      <w:szCs w:val="24"/>
    </w:rPr>
  </w:style>
  <w:style w:type="paragraph" w:customStyle="1" w:styleId="137">
    <w:name w:val="xl81"/>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38">
    <w:name w:val="标准表格正文"/>
    <w:basedOn w:val="1"/>
    <w:link w:val="139"/>
    <w:qFormat/>
    <w:uiPriority w:val="0"/>
    <w:pPr>
      <w:widowControl w:val="0"/>
      <w:spacing w:line="240" w:lineRule="auto"/>
      <w:jc w:val="center"/>
    </w:pPr>
    <w:rPr>
      <w:sz w:val="18"/>
      <w:szCs w:val="18"/>
      <w:lang w:val="zh-CN" w:bidi="zh-CN"/>
    </w:rPr>
  </w:style>
  <w:style w:type="character" w:customStyle="1" w:styleId="139">
    <w:name w:val="标准表格正文 字符"/>
    <w:basedOn w:val="36"/>
    <w:link w:val="138"/>
    <w:qFormat/>
    <w:uiPriority w:val="0"/>
    <w:rPr>
      <w:kern w:val="2"/>
      <w:sz w:val="18"/>
      <w:szCs w:val="18"/>
      <w:lang w:val="zh-CN" w:bidi="zh-CN"/>
    </w:rPr>
  </w:style>
  <w:style w:type="paragraph" w:customStyle="1" w:styleId="140">
    <w:name w:val="标准正文文本"/>
    <w:link w:val="141"/>
    <w:qFormat/>
    <w:uiPriority w:val="0"/>
    <w:pPr>
      <w:spacing w:after="160" w:line="278" w:lineRule="auto"/>
      <w:ind w:firstLine="200" w:firstLineChars="200"/>
      <w:jc w:val="both"/>
    </w:pPr>
    <w:rPr>
      <w:rFonts w:ascii="宋体" w:hAnsi="Times New Roman" w:eastAsia="宋体" w:cs="Times New Roman"/>
      <w:sz w:val="21"/>
      <w:lang w:val="en-US" w:eastAsia="zh-CN" w:bidi="ar-SA"/>
    </w:rPr>
  </w:style>
  <w:style w:type="character" w:customStyle="1" w:styleId="141">
    <w:name w:val="标准正文文本 字符"/>
    <w:link w:val="140"/>
    <w:qFormat/>
    <w:uiPriority w:val="0"/>
    <w:rPr>
      <w:rFonts w:ascii="宋体"/>
      <w:sz w:val="21"/>
    </w:rPr>
  </w:style>
  <w:style w:type="character" w:customStyle="1" w:styleId="142">
    <w:name w:val="列出段落 字符3"/>
    <w:qFormat/>
    <w:uiPriority w:val="34"/>
    <w:rPr>
      <w:rFonts w:ascii="Calibri" w:hAnsi="Calibri"/>
      <w:sz w:val="22"/>
      <w:szCs w:val="22"/>
    </w:rPr>
  </w:style>
  <w:style w:type="paragraph" w:customStyle="1" w:styleId="143">
    <w:name w:val="样式 小四 行距: 多倍行距 1.25 字行"/>
    <w:basedOn w:val="1"/>
    <w:qFormat/>
    <w:uiPriority w:val="0"/>
    <w:pPr>
      <w:widowControl w:val="0"/>
      <w:spacing w:line="300" w:lineRule="auto"/>
      <w:ind w:firstLine="480" w:firstLineChars="200"/>
    </w:pPr>
    <w:rPr>
      <w:rFonts w:cs="宋体"/>
      <w:szCs w:val="20"/>
    </w:rPr>
  </w:style>
  <w:style w:type="character" w:customStyle="1" w:styleId="144">
    <w:name w:val="普通(网站) 字符"/>
    <w:link w:val="31"/>
    <w:qFormat/>
    <w:locked/>
    <w:uiPriority w:val="99"/>
    <w:rPr>
      <w:rFonts w:ascii="宋体" w:hAnsi="宋体" w:cs="宋体"/>
      <w:sz w:val="24"/>
      <w:szCs w:val="24"/>
    </w:rPr>
  </w:style>
  <w:style w:type="character" w:customStyle="1" w:styleId="145">
    <w:name w:val="15"/>
    <w:qFormat/>
    <w:uiPriority w:val="0"/>
    <w:rPr>
      <w:rFonts w:hint="default" w:ascii="Calibri" w:hAnsi="Calibri" w:cs="Calibri"/>
      <w:sz w:val="20"/>
      <w:szCs w:val="20"/>
    </w:rPr>
  </w:style>
  <w:style w:type="paragraph" w:customStyle="1" w:styleId="146">
    <w:name w:val="msolistparagraph"/>
    <w:basedOn w:val="1"/>
    <w:qFormat/>
    <w:uiPriority w:val="0"/>
    <w:pPr>
      <w:ind w:firstLine="420"/>
    </w:pPr>
  </w:style>
  <w:style w:type="paragraph" w:customStyle="1" w:styleId="147">
    <w:name w:val="Revision"/>
    <w:hidden/>
    <w:unhideWhenUsed/>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E4FC45-36CA-4EA7-8E54-1B8541178295}">
  <ds:schemaRefs/>
</ds:datastoreItem>
</file>

<file path=docProps/app.xml><?xml version="1.0" encoding="utf-8"?>
<Properties xmlns="http://schemas.openxmlformats.org/officeDocument/2006/extended-properties" xmlns:vt="http://schemas.openxmlformats.org/officeDocument/2006/docPropsVTypes">
  <Template>Normal.dotm</Template>
  <Company>GEDI</Company>
  <Pages>52</Pages>
  <Words>4280</Words>
  <Characters>24399</Characters>
  <Lines>203</Lines>
  <Paragraphs>57</Paragraphs>
  <TotalTime>2</TotalTime>
  <ScaleCrop>false</ScaleCrop>
  <LinksUpToDate>false</LinksUpToDate>
  <CharactersWithSpaces>28622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2026-01-15T04:27:00Z</dcterms:created>
  <dc:creator>黄楚鸿</dc:creator>
  <cp:lastModifiedBy>刘红</cp:lastModifiedBy>
  <cp:lastPrinted>2022-10-24T13:56:00Z</cp:lastPrinted>
  <dcterms:modified xsi:type="dcterms:W3CDTF">2026-03-16T03:30:01Z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D31342F4693C1E118EFB6D697598E45C_43</vt:lpwstr>
  </property>
</Properties>
</file>