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Times New Roman" w:hAnsi="Times New Roman" w:cs="Times New Roman"/>
          <w:b/>
          <w:i w:val="0"/>
          <w:iCs w:val="0"/>
          <w:color w:val="auto"/>
          <w:sz w:val="24"/>
          <w:highlight w:val="none"/>
          <w:lang w:val="en-US" w:eastAsia="zh-CN"/>
        </w:rPr>
      </w:pPr>
      <w:bookmarkStart w:id="0" w:name="_GoBack"/>
      <w:r>
        <w:rPr>
          <w:rFonts w:hint="eastAsia" w:ascii="Times New Roman" w:hAnsi="Times New Roman" w:cs="Times New Roman"/>
          <w:b/>
          <w:i w:val="0"/>
          <w:iCs w:val="0"/>
          <w:color w:val="auto"/>
          <w:sz w:val="24"/>
          <w:highlight w:val="none"/>
          <w:lang w:val="en-US" w:eastAsia="zh-CN"/>
        </w:rPr>
        <w:t>南网新能院2026年车辆维修及保养、年检代办、车辆清洁服务</w:t>
      </w:r>
    </w:p>
    <w:p>
      <w:pPr>
        <w:pStyle w:val="2"/>
        <w:jc w:val="center"/>
        <w:rPr>
          <w:rFonts w:hint="eastAsia" w:ascii="Times New Roman" w:hAnsi="Times New Roman" w:cs="Times New Roman"/>
          <w:b/>
          <w:i w:val="0"/>
          <w:iCs w:val="0"/>
          <w:color w:val="auto"/>
          <w:sz w:val="2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/>
          <w:i w:val="0"/>
          <w:iCs w:val="0"/>
          <w:color w:val="auto"/>
          <w:sz w:val="24"/>
          <w:highlight w:val="none"/>
          <w:lang w:val="en-US" w:eastAsia="zh-CN"/>
        </w:rPr>
        <w:t>项目报价表</w:t>
      </w:r>
    </w:p>
    <w:bookmarkEnd w:id="0"/>
    <w:p>
      <w:pPr>
        <w:rPr>
          <w:rFonts w:hint="eastAsia"/>
          <w:lang w:val="en-US" w:eastAsia="zh-CN"/>
        </w:rPr>
      </w:pPr>
    </w:p>
    <w:tbl>
      <w:tblPr>
        <w:tblStyle w:val="5"/>
        <w:tblpPr w:leftFromText="180" w:rightFromText="180" w:vertAnchor="text" w:horzAnchor="page" w:tblpXSpec="center" w:tblpY="268"/>
        <w:tblOverlap w:val="never"/>
        <w:tblW w:w="102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15"/>
        <w:gridCol w:w="1185"/>
        <w:gridCol w:w="1260"/>
        <w:gridCol w:w="1305"/>
        <w:gridCol w:w="1485"/>
        <w:gridCol w:w="1296"/>
        <w:gridCol w:w="960"/>
        <w:gridCol w:w="8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  <w:jc w:val="center"/>
        </w:trPr>
        <w:tc>
          <w:tcPr>
            <w:tcW w:w="709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line="720" w:lineRule="auto"/>
              <w:rPr>
                <w:rFonts w:hint="default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215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line="720" w:lineRule="auto"/>
              <w:rPr>
                <w:rFonts w:hint="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color w:val="000000"/>
                <w:sz w:val="24"/>
                <w:szCs w:val="24"/>
              </w:rPr>
              <w:t>标的名称</w:t>
            </w:r>
          </w:p>
        </w:tc>
        <w:tc>
          <w:tcPr>
            <w:tcW w:w="1185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line="720" w:lineRule="auto"/>
              <w:rPr>
                <w:rFonts w:hint="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color w:val="000000"/>
                <w:sz w:val="24"/>
                <w:szCs w:val="24"/>
              </w:rPr>
              <w:t>标包名称</w:t>
            </w:r>
          </w:p>
        </w:tc>
        <w:tc>
          <w:tcPr>
            <w:tcW w:w="1260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color w:val="000000"/>
                <w:sz w:val="24"/>
                <w:szCs w:val="24"/>
              </w:rPr>
              <w:t>维修配件费率（%）</w:t>
            </w:r>
          </w:p>
        </w:tc>
        <w:tc>
          <w:tcPr>
            <w:tcW w:w="1305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color w:val="000000"/>
                <w:sz w:val="24"/>
                <w:szCs w:val="24"/>
              </w:rPr>
              <w:t>维修配件占比（%）</w:t>
            </w:r>
          </w:p>
        </w:tc>
        <w:tc>
          <w:tcPr>
            <w:tcW w:w="1485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color w:val="000000"/>
                <w:sz w:val="24"/>
                <w:szCs w:val="24"/>
              </w:rPr>
              <w:t>维修项目工时费率（%）</w:t>
            </w:r>
          </w:p>
        </w:tc>
        <w:tc>
          <w:tcPr>
            <w:tcW w:w="1296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color w:val="000000"/>
                <w:sz w:val="24"/>
                <w:szCs w:val="24"/>
              </w:rPr>
              <w:t>维修项目工时占比（%）</w:t>
            </w:r>
          </w:p>
        </w:tc>
        <w:tc>
          <w:tcPr>
            <w:tcW w:w="960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color w:val="000000"/>
                <w:sz w:val="24"/>
                <w:szCs w:val="24"/>
              </w:rPr>
              <w:t>总费率（%）</w:t>
            </w:r>
          </w:p>
        </w:tc>
        <w:tc>
          <w:tcPr>
            <w:tcW w:w="840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备注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/>
                <w:color w:val="00000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</w:tcPr>
          <w:p>
            <w:pPr>
              <w:spacing w:line="240" w:lineRule="auto"/>
              <w:ind w:left="210" w:leftChars="100" w:firstLine="210" w:firstLineChars="10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</w:p>
          <w:p>
            <w:pPr>
              <w:spacing w:line="240" w:lineRule="auto"/>
              <w:ind w:left="210" w:leftChars="100" w:firstLine="210" w:firstLineChars="10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ind w:left="210" w:leftChars="100" w:firstLine="210" w:firstLineChars="10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ind w:firstLine="210" w:firstLineChars="100"/>
              <w:jc w:val="both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215" w:type="dxa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南网新能院2026年车辆维修及保养、年检代办、车辆清洁服务项目</w:t>
            </w:r>
          </w:p>
        </w:tc>
        <w:tc>
          <w:tcPr>
            <w:tcW w:w="1185" w:type="dxa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南网新能院2026年车辆维修及保养、年检代办、车辆清洁服务项目</w:t>
            </w:r>
          </w:p>
        </w:tc>
        <w:tc>
          <w:tcPr>
            <w:tcW w:w="1260" w:type="dxa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05" w:type="dxa"/>
          </w:tcPr>
          <w:p>
            <w:pPr>
              <w:spacing w:line="240" w:lineRule="auto"/>
              <w:ind w:left="210" w:leftChars="100" w:firstLine="210" w:firstLineChars="10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ind w:left="210" w:leftChars="100" w:firstLine="210" w:firstLineChars="10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ind w:left="210" w:leftChars="100" w:firstLine="210" w:firstLineChars="10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ind w:left="210" w:leftChars="100" w:firstLine="210" w:firstLineChars="100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70</w:t>
            </w:r>
          </w:p>
        </w:tc>
        <w:tc>
          <w:tcPr>
            <w:tcW w:w="1485" w:type="dxa"/>
          </w:tcPr>
          <w:p>
            <w:pPr>
              <w:spacing w:line="240" w:lineRule="auto"/>
              <w:ind w:left="210" w:leftChars="100" w:firstLine="210" w:firstLineChars="10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96" w:type="dxa"/>
          </w:tcPr>
          <w:p>
            <w:pPr>
              <w:spacing w:line="240" w:lineRule="auto"/>
              <w:ind w:left="210" w:leftChars="100" w:firstLine="210" w:firstLineChars="10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ind w:left="210" w:leftChars="100" w:firstLine="210" w:firstLineChars="10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ind w:left="210" w:leftChars="100" w:firstLine="210" w:firstLineChars="10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ind w:left="210" w:leftChars="100" w:firstLine="210" w:firstLineChars="100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30</w:t>
            </w:r>
          </w:p>
        </w:tc>
        <w:tc>
          <w:tcPr>
            <w:tcW w:w="960" w:type="dxa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40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color w:val="000000"/>
                <w:sz w:val="24"/>
                <w:szCs w:val="24"/>
              </w:rPr>
              <w:t>费率四舍五入保留小数点后两位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55" w:type="dxa"/>
            <w:gridSpan w:val="9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line="360" w:lineRule="auto"/>
              <w:rPr>
                <w:rFonts w:hint="default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备注：采用费率报价，分为维修配件费率和维修项目工时费率，且两者均只能有一个有效报价，维修配件费率符合：投标费率≤最高投标费率（100%）；维修项目工时费率符合：投标费率≤最高投标费率（100%）。总费率=维修配件费率×70%+维修项目工时费率×30% （例如：维修配件费率报价为 90%、维修项目工时费率报价为 90%，则总费率=90%×70%+90%×30%=90%）。总费率作为评标价参与价格分计算。成交单位须每季度提供一份覆盖所有常用配件材料的报价表，维修材料费结算价由采购人参考市场价、政府部门采购价、历史结算价等因素确定。</w:t>
            </w:r>
          </w:p>
          <w:p>
            <w:pPr>
              <w:spacing w:line="360" w:lineRule="auto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1F2A35"/>
    <w:rsid w:val="471F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5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2026-04-03T06:59:00Z</dcterms:created>
  <dc:creator>建议</dc:creator>
  <cp:lastModifiedBy>建议</cp:lastModifiedBy>
  <dcterms:modified xsi:type="dcterms:W3CDTF">2026-04-03T06:59:29Z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DC702E8F532C4E068F1AE3A8FFDEA1F3</vt:lpwstr>
  </property>
</Properties>
</file>