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highlight w:val="none"/>
          <w:lang w:val="en-US" w:eastAsia="zh-CN" w:bidi="ar"/>
        </w:rPr>
      </w:pPr>
      <w:r>
        <w:rPr>
          <w:rFonts w:hint="eastAsia" w:ascii="宋体" w:hAnsi="Calibri" w:eastAsia="宋体" w:cs="Times New Roman"/>
          <w:spacing w:val="10"/>
          <w:kern w:val="0"/>
          <w:sz w:val="28"/>
          <w:szCs w:val="20"/>
          <w:highlight w:val="none"/>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4"/>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highlight w:val="none"/>
          <w:lang w:val="en-US" w:eastAsia="zh-CN" w:bidi="ar"/>
        </w:rPr>
        <w:t xml:space="preserve">                 </w:t>
      </w:r>
    </w:p>
    <w:p>
      <w:pPr>
        <w:spacing w:line="360" w:lineRule="auto"/>
        <w:jc w:val="center"/>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铜仁供电局2026</w:t>
      </w:r>
      <w:bookmarkStart w:id="3" w:name="_GoBack"/>
      <w:bookmarkEnd w:id="3"/>
      <w:r>
        <w:rPr>
          <w:rFonts w:hint="eastAsia" w:ascii="黑体" w:hAnsi="黑体" w:eastAsia="黑体" w:cs="黑体"/>
          <w:b/>
          <w:bCs/>
          <w:sz w:val="52"/>
          <w:szCs w:val="52"/>
          <w:lang w:val="en-US" w:eastAsia="zh-CN"/>
        </w:rPr>
        <w:t>年“铜馨杯”职工运动会</w:t>
      </w:r>
    </w:p>
    <w:p>
      <w:pPr>
        <w:spacing w:line="360" w:lineRule="auto"/>
        <w:jc w:val="center"/>
        <w:rPr>
          <w:rFonts w:hint="default" w:ascii="黑体" w:hAnsi="黑体" w:eastAsia="黑体" w:cs="黑体"/>
          <w:b/>
          <w:bCs/>
          <w:sz w:val="52"/>
          <w:szCs w:val="52"/>
          <w:lang w:val="en-US" w:eastAsia="zh-CN"/>
        </w:rPr>
      </w:pPr>
      <w:r>
        <w:rPr>
          <w:rFonts w:hint="eastAsia" w:ascii="黑体" w:hAnsi="黑体" w:eastAsia="黑体" w:cs="黑体"/>
          <w:b/>
          <w:bCs/>
          <w:sz w:val="52"/>
          <w:szCs w:val="52"/>
          <w:lang w:val="en-US" w:eastAsia="zh-CN"/>
        </w:rPr>
        <w:t>篮球比赛</w:t>
      </w:r>
      <w:r>
        <w:rPr>
          <w:rFonts w:hint="default" w:ascii="黑体" w:hAnsi="黑体" w:eastAsia="黑体" w:cs="黑体"/>
          <w:b/>
          <w:bCs/>
          <w:sz w:val="52"/>
          <w:szCs w:val="52"/>
          <w:lang w:val="en-US" w:eastAsia="zh-CN"/>
        </w:rPr>
        <w:t>服务项目</w:t>
      </w:r>
    </w:p>
    <w:p>
      <w:pPr>
        <w:spacing w:line="360" w:lineRule="auto"/>
        <w:jc w:val="center"/>
        <w:rPr>
          <w:rFonts w:ascii="黑体" w:hAnsi="黑体" w:eastAsia="黑体" w:cs="黑体"/>
          <w:b/>
          <w:bCs/>
          <w:sz w:val="52"/>
          <w:szCs w:val="52"/>
        </w:rPr>
      </w:pPr>
      <w:r>
        <w:rPr>
          <w:rFonts w:hint="eastAsia" w:ascii="黑体" w:hAnsi="黑体" w:eastAsia="黑体" w:cs="黑体"/>
          <w:b/>
          <w:bCs/>
          <w:sz w:val="52"/>
          <w:szCs w:val="52"/>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highlight w:val="none"/>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highlight w:val="none"/>
          <w:lang w:val="en-US"/>
        </w:rPr>
      </w:pPr>
    </w:p>
    <w:p>
      <w:pPr>
        <w:keepNext w:val="0"/>
        <w:keepLines w:val="0"/>
        <w:widowControl w:val="0"/>
        <w:suppressLineNumbers w:val="0"/>
        <w:spacing w:before="0" w:beforeAutospacing="0" w:after="0" w:afterAutospacing="0" w:line="360" w:lineRule="auto"/>
        <w:ind w:left="0" w:right="0" w:firstLine="0" w:firstLineChars="0"/>
        <w:jc w:val="center"/>
        <w:rPr>
          <w:rFonts w:eastAsia="黑体"/>
          <w:b/>
          <w:bCs w:val="0"/>
          <w:spacing w:val="20"/>
          <w:w w:val="135"/>
          <w:sz w:val="30"/>
          <w:szCs w:val="20"/>
          <w:highlight w:val="none"/>
          <w:lang w:val="en-US"/>
        </w:rPr>
      </w:pPr>
      <w:r>
        <w:rPr>
          <w:rFonts w:hint="eastAsia" w:ascii="宋体" w:hAnsi="Calibri" w:eastAsia="黑体" w:cs="Times New Roman"/>
          <w:b/>
          <w:bCs w:val="0"/>
          <w:spacing w:val="20"/>
          <w:w w:val="135"/>
          <w:kern w:val="0"/>
          <w:sz w:val="30"/>
          <w:szCs w:val="20"/>
          <w:highlight w:val="none"/>
          <w:lang w:val="en-US" w:eastAsia="zh-CN" w:bidi="ar"/>
        </w:rPr>
        <w:t>2026</w:t>
      </w:r>
      <w:r>
        <w:rPr>
          <w:rFonts w:hint="eastAsia" w:ascii="宋体" w:hAnsi="Calibri" w:eastAsia="黑体" w:cs="黑体"/>
          <w:b/>
          <w:bCs w:val="0"/>
          <w:spacing w:val="20"/>
          <w:w w:val="135"/>
          <w:kern w:val="0"/>
          <w:sz w:val="30"/>
          <w:szCs w:val="20"/>
          <w:highlight w:val="none"/>
          <w:lang w:val="en-US" w:eastAsia="zh-CN" w:bidi="ar"/>
        </w:rPr>
        <w:t>年4月</w:t>
      </w:r>
    </w:p>
    <w:p>
      <w:pPr>
        <w:rPr>
          <w:rFonts w:hint="eastAsia" w:ascii="宋体" w:hAnsi="宋体"/>
          <w:b/>
          <w:sz w:val="28"/>
          <w:szCs w:val="28"/>
          <w:highlight w:val="none"/>
        </w:rPr>
        <w:sectPr>
          <w:pgSz w:w="11906" w:h="16838"/>
          <w:pgMar w:top="0" w:right="0" w:bottom="0" w:left="0" w:header="0" w:footer="0" w:gutter="0"/>
          <w:pgBorders>
            <w:top w:val="none" w:sz="0" w:space="0"/>
            <w:left w:val="none" w:sz="0" w:space="0"/>
            <w:bottom w:val="none" w:sz="0" w:space="0"/>
            <w:right w:val="none" w:sz="0" w:space="0"/>
          </w:pgBorders>
          <w:cols w:space="0" w:num="1"/>
          <w:rtlGutter w:val="0"/>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宋体" w:hAnsi="宋体" w:cs="宋体"/>
          <w:b/>
          <w:bCs/>
          <w:sz w:val="32"/>
          <w:szCs w:val="32"/>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铜仁供电局2026年“铜馨杯”职工运动会篮球比赛服务项目技术规范书</w:t>
      </w:r>
    </w:p>
    <w:p>
      <w:pPr>
        <w:keepNext w:val="0"/>
        <w:keepLines w:val="0"/>
        <w:pageBreakBefore w:val="0"/>
        <w:kinsoku/>
        <w:wordWrap/>
        <w:overflowPunct/>
        <w:topLinePunct w:val="0"/>
        <w:autoSpaceDE/>
        <w:autoSpaceDN/>
        <w:bidi w:val="0"/>
        <w:adjustRightInd/>
        <w:snapToGrid/>
        <w:spacing w:line="360" w:lineRule="auto"/>
        <w:ind w:right="0" w:rightChars="0" w:firstLine="1285" w:firstLineChars="400"/>
        <w:jc w:val="both"/>
        <w:textAlignment w:val="auto"/>
        <w:outlineLvl w:val="9"/>
        <w:rPr>
          <w:rFonts w:hint="eastAsia" w:ascii="宋体" w:hAnsi="宋体" w:cs="宋体"/>
          <w:b/>
          <w:bCs/>
          <w:sz w:val="32"/>
          <w:szCs w:val="32"/>
          <w:highlight w:val="none"/>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一、项目概况:</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1.1</w:t>
      </w:r>
      <w:r>
        <w:rPr>
          <w:rFonts w:hint="eastAsia" w:ascii="宋体" w:hAnsi="宋体" w:cs="宋体"/>
          <w:sz w:val="28"/>
          <w:szCs w:val="28"/>
          <w:highlight w:val="none"/>
        </w:rPr>
        <w:t>为铜仁供电局202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年“铜馨杯”职工运动会</w:t>
      </w:r>
      <w:r>
        <w:rPr>
          <w:rFonts w:hint="eastAsia" w:ascii="宋体" w:hAnsi="宋体" w:cs="宋体"/>
          <w:sz w:val="28"/>
          <w:szCs w:val="28"/>
          <w:highlight w:val="none"/>
          <w:lang w:val="en-US" w:eastAsia="zh-CN"/>
        </w:rPr>
        <w:t>篮球</w:t>
      </w:r>
      <w:r>
        <w:rPr>
          <w:rFonts w:hint="eastAsia" w:ascii="宋体" w:hAnsi="宋体" w:cs="宋体"/>
          <w:sz w:val="28"/>
          <w:szCs w:val="28"/>
          <w:highlight w:val="none"/>
        </w:rPr>
        <w:t>比赛</w:t>
      </w:r>
      <w:r>
        <w:rPr>
          <w:rFonts w:hint="eastAsia" w:ascii="宋体" w:hAnsi="宋体" w:cs="宋体"/>
          <w:sz w:val="28"/>
          <w:szCs w:val="28"/>
          <w:highlight w:val="none"/>
          <w:lang w:val="en-US" w:eastAsia="zh-CN"/>
        </w:rPr>
        <w:t>提供场地、</w:t>
      </w:r>
      <w:r>
        <w:rPr>
          <w:rFonts w:hint="eastAsia" w:ascii="宋体" w:hAnsi="宋体" w:cs="宋体"/>
          <w:sz w:val="28"/>
          <w:szCs w:val="28"/>
          <w:highlight w:val="none"/>
        </w:rPr>
        <w:t>策划与执行服务，内容包括前期筹备、场地租赁、设备租赁、现场布置、活动执行、物料设计、体育服务、体育用品采购等服务。本项目为非涉密项目。</w:t>
      </w:r>
    </w:p>
    <w:p>
      <w:pPr>
        <w:spacing w:line="360" w:lineRule="auto"/>
        <w:ind w:firstLine="562" w:firstLineChars="200"/>
        <w:rPr>
          <w:rFonts w:hint="eastAsia" w:ascii="宋体" w:hAnsi="宋体" w:eastAsia="宋体" w:cs="宋体"/>
          <w:b/>
          <w:bCs/>
          <w:color w:val="FF0000"/>
          <w:sz w:val="28"/>
          <w:szCs w:val="28"/>
        </w:rPr>
      </w:pPr>
      <w:r>
        <w:rPr>
          <w:rFonts w:hint="eastAsia" w:ascii="宋体" w:hAnsi="宋体" w:eastAsia="宋体" w:cs="宋体"/>
          <w:b/>
          <w:bCs/>
          <w:sz w:val="28"/>
          <w:szCs w:val="28"/>
          <w:lang w:val="en-US" w:eastAsia="zh-CN"/>
        </w:rPr>
        <w:t>二</w:t>
      </w:r>
      <w:r>
        <w:rPr>
          <w:rFonts w:hint="eastAsia" w:ascii="宋体" w:hAnsi="宋体" w:eastAsia="宋体" w:cs="宋体"/>
          <w:b/>
          <w:bCs/>
          <w:sz w:val="28"/>
          <w:szCs w:val="28"/>
        </w:rPr>
        <w:t>、服务内容</w:t>
      </w:r>
      <w:r>
        <w:rPr>
          <w:rFonts w:hint="eastAsia" w:ascii="宋体" w:hAnsi="宋体" w:eastAsia="宋体" w:cs="宋体"/>
          <w:b/>
          <w:bCs/>
          <w:sz w:val="28"/>
          <w:szCs w:val="28"/>
          <w:lang w:val="en-US" w:eastAsia="zh-CN"/>
        </w:rPr>
        <w:t>及要求</w:t>
      </w:r>
      <w:r>
        <w:rPr>
          <w:rFonts w:hint="eastAsia" w:ascii="宋体" w:hAnsi="宋体" w:eastAsia="宋体" w:cs="宋体"/>
          <w:b/>
          <w:bCs/>
          <w:sz w:val="28"/>
          <w:szCs w:val="28"/>
        </w:rPr>
        <w:t>：</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服务内容：</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lang w:val="en-US" w:eastAsia="zh-CN"/>
          <w14:textFill>
            <w14:solidFill>
              <w14:schemeClr w14:val="tx1"/>
            </w14:solidFill>
          </w14:textFill>
        </w:rPr>
        <w:t>球场租赁</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球场</w:t>
      </w:r>
      <w:r>
        <w:rPr>
          <w:rFonts w:hint="eastAsia" w:ascii="宋体" w:hAnsi="宋体" w:eastAsia="宋体" w:cs="宋体"/>
          <w:color w:val="000000" w:themeColor="text1"/>
          <w:sz w:val="28"/>
          <w:szCs w:val="28"/>
          <w:highlight w:val="none"/>
          <w14:textFill>
            <w14:solidFill>
              <w14:schemeClr w14:val="tx1"/>
            </w14:solidFill>
          </w14:textFill>
        </w:rPr>
        <w:t>租赁及设计搭建。包含但不限于场地租赁、</w:t>
      </w:r>
      <w:r>
        <w:rPr>
          <w:rFonts w:hint="eastAsia" w:ascii="宋体" w:hAnsi="宋体" w:cs="宋体"/>
          <w:color w:val="000000" w:themeColor="text1"/>
          <w:sz w:val="28"/>
          <w:szCs w:val="28"/>
          <w:highlight w:val="none"/>
          <w:lang w:val="en-US" w:eastAsia="zh-CN"/>
          <w14:textFill>
            <w14:solidFill>
              <w14:schemeClr w14:val="tx1"/>
            </w14:solidFill>
          </w14:textFill>
        </w:rPr>
        <w:t>背景搭建、活动耗材</w:t>
      </w:r>
      <w:r>
        <w:rPr>
          <w:rFonts w:hint="eastAsia" w:ascii="宋体" w:hAnsi="宋体" w:eastAsia="宋体" w:cs="宋体"/>
          <w:color w:val="000000" w:themeColor="text1"/>
          <w:sz w:val="28"/>
          <w:szCs w:val="28"/>
          <w:highlight w:val="none"/>
          <w14:textFill>
            <w14:solidFill>
              <w14:schemeClr w14:val="tx1"/>
            </w14:solidFill>
          </w14:textFill>
        </w:rPr>
        <w:t>等物资租赁</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pPr>
        <w:spacing w:line="360" w:lineRule="auto"/>
        <w:ind w:firstLine="560" w:firstLineChars="200"/>
        <w:rPr>
          <w:rFonts w:hint="default" w:ascii="宋体" w:hAnsi="宋体" w:eastAsia="宋体" w:cs="宋体"/>
          <w:color w:val="000000" w:themeColor="text1"/>
          <w:sz w:val="28"/>
          <w:szCs w:val="28"/>
          <w:highlight w:val="none"/>
          <w:lang w:val="en-US"/>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 </w:t>
      </w:r>
      <w:r>
        <w:rPr>
          <w:rFonts w:hint="eastAsia" w:ascii="宋体" w:hAnsi="宋体" w:cs="宋体"/>
          <w:sz w:val="28"/>
          <w:szCs w:val="28"/>
          <w:highlight w:val="none"/>
        </w:rPr>
        <w:t>广告新媒体设计。包含</w:t>
      </w:r>
      <w:r>
        <w:rPr>
          <w:rFonts w:hint="eastAsia" w:ascii="宋体" w:hAnsi="宋体" w:cs="宋体"/>
          <w:sz w:val="28"/>
          <w:szCs w:val="28"/>
          <w:highlight w:val="none"/>
          <w:lang w:val="en-US" w:eastAsia="zh-CN"/>
        </w:rPr>
        <w:t>但不限于</w:t>
      </w:r>
      <w:r>
        <w:rPr>
          <w:rFonts w:hint="eastAsia" w:ascii="宋体" w:hAnsi="宋体" w:cs="宋体"/>
          <w:sz w:val="28"/>
          <w:szCs w:val="28"/>
          <w:highlight w:val="none"/>
        </w:rPr>
        <w:t>主背景、展板、标识铭牌</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奖牌奖杯、荣誉证书</w:t>
      </w:r>
      <w:r>
        <w:rPr>
          <w:rFonts w:hint="eastAsia" w:ascii="宋体" w:hAnsi="宋体" w:cs="宋体"/>
          <w:sz w:val="28"/>
          <w:szCs w:val="28"/>
          <w:highlight w:val="none"/>
        </w:rPr>
        <w:t>设计等。</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2.1.3活动策划执行。包含但不限于</w:t>
      </w:r>
      <w:r>
        <w:rPr>
          <w:rFonts w:hint="eastAsia" w:ascii="宋体" w:hAnsi="宋体" w:cs="宋体"/>
          <w:color w:val="000000" w:themeColor="text1"/>
          <w:sz w:val="28"/>
          <w:szCs w:val="28"/>
          <w:highlight w:val="none"/>
          <w:lang w:val="en-US" w:eastAsia="zh-CN"/>
          <w14:textFill>
            <w14:solidFill>
              <w14:schemeClr w14:val="tx1"/>
            </w14:solidFill>
          </w14:textFill>
        </w:rPr>
        <w:t>篮球比赛</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裁判</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秩序册、赛事规程</w:t>
      </w:r>
      <w:r>
        <w:rPr>
          <w:rFonts w:hint="eastAsia" w:ascii="宋体" w:hAnsi="宋体" w:eastAsia="宋体" w:cs="宋体"/>
          <w:color w:val="000000" w:themeColor="text1"/>
          <w:sz w:val="28"/>
          <w:szCs w:val="28"/>
          <w:highlight w:val="none"/>
          <w:lang w:val="en-US" w:eastAsia="zh-CN"/>
          <w14:textFill>
            <w14:solidFill>
              <w14:schemeClr w14:val="tx1"/>
            </w14:solidFill>
          </w14:textFill>
        </w:rPr>
        <w:t>等。</w:t>
      </w:r>
    </w:p>
    <w:p>
      <w:pPr>
        <w:pStyle w:val="7"/>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2.2 服务要求：</w:t>
      </w:r>
    </w:p>
    <w:p>
      <w:pPr>
        <w:pStyle w:val="7"/>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2.2.1 了解企业文化及行业属性，能按照招标人要求，在具体活动开展前拟定活动方案，方案应包含活动指南、医疗保障、应急预案、活动物料预算等内容，招标人对活动方案有修改意见的，成交人应按照招标人要求进行修订完善直至通过为止。</w:t>
      </w:r>
    </w:p>
    <w:p>
      <w:pPr>
        <w:pStyle w:val="7"/>
        <w:ind w:firstLine="560" w:firstLineChars="200"/>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2.2.2 按照招标人要求根据活动策划执行方案将活动涉及的所有人员配置、所需物资及服务内容列出（活动配置的人员、服务及物料应满足活动规模），按照结算基准表中活动策划执行服务以及活动</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物料进行组合选择，并明确对应预算金额，经招标人确认后方可开展后续工作。</w:t>
      </w:r>
    </w:p>
    <w:p>
      <w:pPr>
        <w:pStyle w:val="7"/>
        <w:ind w:firstLine="560" w:firstLineChars="200"/>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2.2.3 成交人在合作期间应保证服务小组人员在30分钟内可从办公地到达招标人办公地点对招标人需求进行响应。</w:t>
      </w:r>
    </w:p>
    <w:p>
      <w:pPr>
        <w:keepNext w:val="0"/>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三、</w:t>
      </w:r>
      <w:r>
        <w:rPr>
          <w:rFonts w:hint="eastAsia" w:asciiTheme="minorEastAsia" w:hAnsiTheme="minorEastAsia" w:eastAsiaTheme="minorEastAsia" w:cstheme="minorEastAsia"/>
          <w:b/>
          <w:bCs/>
          <w:color w:val="auto"/>
          <w:sz w:val="28"/>
          <w:szCs w:val="28"/>
        </w:rPr>
        <w:t>对</w:t>
      </w:r>
      <w:r>
        <w:rPr>
          <w:rFonts w:hint="eastAsia" w:asciiTheme="minorEastAsia" w:hAnsiTheme="minorEastAsia" w:eastAsiaTheme="minorEastAsia" w:cstheme="minorEastAsia"/>
          <w:b/>
          <w:bCs/>
          <w:color w:val="auto"/>
          <w:sz w:val="28"/>
          <w:szCs w:val="28"/>
          <w:lang w:eastAsia="zh-CN"/>
        </w:rPr>
        <w:t>成交人</w:t>
      </w:r>
      <w:r>
        <w:rPr>
          <w:rFonts w:hint="eastAsia" w:asciiTheme="minorEastAsia" w:hAnsiTheme="minorEastAsia" w:eastAsiaTheme="minorEastAsia" w:cstheme="minorEastAsia"/>
          <w:b/>
          <w:bCs/>
          <w:color w:val="auto"/>
          <w:sz w:val="28"/>
          <w:szCs w:val="28"/>
        </w:rPr>
        <w:t>的资质等级要求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val="0"/>
          <w:bCs w:val="0"/>
          <w:color w:val="auto"/>
          <w:sz w:val="28"/>
          <w:szCs w:val="28"/>
          <w:lang w:val="en-US" w:eastAsia="zh-CN"/>
        </w:rPr>
        <w:t>3.1</w:t>
      </w:r>
      <w:r>
        <w:rPr>
          <w:rFonts w:hint="eastAsia" w:asciiTheme="minorEastAsia" w:hAnsiTheme="minorEastAsia" w:eastAsiaTheme="minorEastAsia" w:cstheme="minorEastAsia"/>
          <w:color w:val="auto"/>
          <w:sz w:val="28"/>
          <w:szCs w:val="28"/>
        </w:rPr>
        <w:t>资质等级要求：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3.1.1</w:t>
      </w:r>
      <w:r>
        <w:rPr>
          <w:rFonts w:hint="eastAsia" w:asciiTheme="minorEastAsia" w:hAnsiTheme="minorEastAsia" w:eastAsiaTheme="minorEastAsia" w:cstheme="minorEastAsia"/>
          <w:color w:val="auto"/>
          <w:sz w:val="28"/>
          <w:szCs w:val="28"/>
        </w:rPr>
        <w:t>具备独立法人资格，具有相关活动策划与执行经验；</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kern w:val="2"/>
          <w:sz w:val="28"/>
          <w:szCs w:val="28"/>
          <w:lang w:val="en-US" w:eastAsia="zh-CN" w:bidi="ar-SA"/>
        </w:rPr>
        <w:t>3.1.2</w:t>
      </w:r>
      <w:r>
        <w:rPr>
          <w:rFonts w:hint="eastAsia" w:asciiTheme="minorEastAsia" w:hAnsiTheme="minorEastAsia" w:eastAsiaTheme="minorEastAsia" w:cstheme="minorEastAsia"/>
          <w:color w:val="auto"/>
          <w:sz w:val="28"/>
          <w:szCs w:val="28"/>
          <w:lang w:val="en-US" w:eastAsia="zh-CN"/>
        </w:rPr>
        <w:t>具备体育赛事策划、体育竞赛组织、文化场馆管理服务、体育用品设备出租、体育健康服务、体育保障组织、体育场地设施经营、体育用品及器材零售、食品销售等资质；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3.1.3</w:t>
      </w:r>
      <w:r>
        <w:rPr>
          <w:rFonts w:hint="eastAsia" w:asciiTheme="minorEastAsia" w:hAnsiTheme="minorEastAsia" w:eastAsiaTheme="minorEastAsia" w:cstheme="minorEastAsia"/>
          <w:color w:val="auto"/>
          <w:sz w:val="28"/>
          <w:szCs w:val="28"/>
        </w:rPr>
        <w:t>拥有专业的策划、执行团队，具备较强的创意和执行能力；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3.1.4</w:t>
      </w:r>
      <w:r>
        <w:rPr>
          <w:rFonts w:hint="eastAsia" w:asciiTheme="minorEastAsia" w:hAnsiTheme="minorEastAsia" w:eastAsiaTheme="minorEastAsia" w:cstheme="minorEastAsia"/>
          <w:color w:val="auto"/>
          <w:sz w:val="28"/>
          <w:szCs w:val="28"/>
        </w:rPr>
        <w:t>具有良好的信誉和口碑，无违法违规行为记录</w:t>
      </w:r>
      <w:r>
        <w:rPr>
          <w:rFonts w:hint="eastAsia" w:asciiTheme="minorEastAsia" w:hAnsiTheme="minorEastAsia" w:eastAsiaTheme="minorEastAsia" w:cstheme="minorEastAsia"/>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3.1.5成交人成立时间不低于3年，在贵州省铜仁市区域内有固定的经营场所，具有履行合同所必须的设备和专业技术能力。</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关键</w:t>
      </w:r>
      <w:r>
        <w:rPr>
          <w:rFonts w:hint="eastAsia" w:ascii="宋体" w:hAnsi="宋体" w:eastAsia="宋体" w:cs="宋体"/>
          <w:b/>
          <w:bCs/>
          <w:color w:val="000000" w:themeColor="text1"/>
          <w:sz w:val="28"/>
          <w:szCs w:val="28"/>
          <w:highlight w:val="none"/>
          <w14:textFill>
            <w14:solidFill>
              <w14:schemeClr w14:val="tx1"/>
            </w14:solidFill>
          </w14:textFill>
        </w:rPr>
        <w:t>技术</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指标</w:t>
      </w:r>
      <w:r>
        <w:rPr>
          <w:rFonts w:hint="eastAsia" w:ascii="宋体" w:hAnsi="宋体" w:eastAsia="宋体" w:cs="宋体"/>
          <w:b/>
          <w:bCs/>
          <w:color w:val="000000" w:themeColor="text1"/>
          <w:sz w:val="28"/>
          <w:szCs w:val="28"/>
          <w:highlight w:val="none"/>
          <w14:textFill>
            <w14:solidFill>
              <w14:schemeClr w14:val="tx1"/>
            </w14:solidFill>
          </w14:textFill>
        </w:rPr>
        <w:t>要求</w:t>
      </w:r>
    </w:p>
    <w:p>
      <w:pPr>
        <w:spacing w:line="360" w:lineRule="auto"/>
        <w:ind w:firstLine="560" w:firstLineChars="20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.1 报价人应在响应文件中提供活动工作方案，工作方案应包括但不限于场地</w:t>
      </w:r>
      <w:r>
        <w:rPr>
          <w:rFonts w:hint="eastAsia" w:ascii="宋体" w:hAnsi="宋体" w:cs="宋体"/>
          <w:color w:val="000000" w:themeColor="text1"/>
          <w:sz w:val="28"/>
          <w:szCs w:val="28"/>
          <w:highlight w:val="none"/>
          <w:lang w:val="en-US" w:eastAsia="zh-CN"/>
          <w14:textFill>
            <w14:solidFill>
              <w14:schemeClr w14:val="tx1"/>
            </w14:solidFill>
          </w14:textFill>
        </w:rPr>
        <w:t>租赁</w:t>
      </w:r>
      <w:r>
        <w:rPr>
          <w:rFonts w:hint="eastAsia" w:ascii="宋体" w:hAnsi="宋体" w:eastAsia="宋体" w:cs="宋体"/>
          <w:color w:val="000000" w:themeColor="text1"/>
          <w:sz w:val="28"/>
          <w:szCs w:val="28"/>
          <w:highlight w:val="none"/>
          <w:lang w:val="en-US" w:eastAsia="zh-CN"/>
          <w14:textFill>
            <w14:solidFill>
              <w14:schemeClr w14:val="tx1"/>
            </w14:solidFill>
          </w14:textFill>
        </w:rPr>
        <w:t>、医疗保障、交通保障、安全保障、现场调度、赛前预演、应急预案、物料采购、活动补给、医疗保险等内容。方案应贴合实际，可操作性强。</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.2 报价人应在响应文件中提供活动工作方案应贴合实际，可操作性强。成交人应针对活动拟定对应活动方案并报</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人确定后实施。</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.3 报价人应根据活动过程中可能遇到的异常情况，制定医疗保障方案及应急预案，如有需要配置医疗相关人员、急救车、医疗设备及急救物资等，保障</w:t>
      </w:r>
      <w:r>
        <w:rPr>
          <w:rFonts w:hint="eastAsia" w:ascii="宋体" w:hAnsi="宋体" w:cs="宋体"/>
          <w:color w:val="000000" w:themeColor="text1"/>
          <w:sz w:val="28"/>
          <w:szCs w:val="28"/>
          <w:highlight w:val="none"/>
          <w:lang w:val="en-US" w:eastAsia="zh-CN"/>
          <w14:textFill>
            <w14:solidFill>
              <w14:schemeClr w14:val="tx1"/>
            </w14:solidFill>
          </w14:textFill>
        </w:rPr>
        <w:t>活动</w:t>
      </w:r>
      <w:r>
        <w:rPr>
          <w:rFonts w:hint="eastAsia" w:ascii="宋体" w:hAnsi="宋体" w:eastAsia="宋体" w:cs="宋体"/>
          <w:color w:val="000000" w:themeColor="text1"/>
          <w:sz w:val="28"/>
          <w:szCs w:val="28"/>
          <w:highlight w:val="none"/>
          <w:lang w:val="en-US" w:eastAsia="zh-CN"/>
          <w14:textFill>
            <w14:solidFill>
              <w14:schemeClr w14:val="tx1"/>
            </w14:solidFill>
          </w14:textFill>
        </w:rPr>
        <w:t>参</w:t>
      </w:r>
      <w:r>
        <w:rPr>
          <w:rFonts w:hint="eastAsia" w:ascii="宋体" w:hAnsi="宋体" w:cs="宋体"/>
          <w:color w:val="000000" w:themeColor="text1"/>
          <w:sz w:val="28"/>
          <w:szCs w:val="28"/>
          <w:highlight w:val="none"/>
          <w:lang w:val="en-US" w:eastAsia="zh-CN"/>
          <w14:textFill>
            <w14:solidFill>
              <w14:schemeClr w14:val="tx1"/>
            </w14:solidFill>
          </w14:textFill>
        </w:rPr>
        <w:t>加人</w:t>
      </w:r>
      <w:r>
        <w:rPr>
          <w:rFonts w:hint="eastAsia" w:ascii="宋体" w:hAnsi="宋体" w:eastAsia="宋体" w:cs="宋体"/>
          <w:color w:val="000000" w:themeColor="text1"/>
          <w:sz w:val="28"/>
          <w:szCs w:val="28"/>
          <w:highlight w:val="none"/>
          <w:lang w:val="en-US" w:eastAsia="zh-CN"/>
          <w14:textFill>
            <w14:solidFill>
              <w14:schemeClr w14:val="tx1"/>
            </w14:solidFill>
          </w14:textFill>
        </w:rPr>
        <w:t>员和工作人员的人身安全。</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.4 成交人应负责落实安保工作，若出现突发事故等，应在发生后迅速启动预案，协调相关人员对事故现场控制、人员救治以及善后处理等相关工作。</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.5 成交人应在活动期间安排工作人员对现场围观群众进行人流疏导和观看进行指引和维护现场秩序，保证活动全过程安全有序进行。</w:t>
      </w:r>
    </w:p>
    <w:p>
      <w:pPr>
        <w:keepNext w:val="0"/>
        <w:keepLines w:val="0"/>
        <w:pageBreakBefore w:val="0"/>
        <w:widowControl w:val="0"/>
        <w:kinsoku/>
        <w:wordWrap/>
        <w:overflowPunct/>
        <w:topLinePunct w:val="0"/>
        <w:autoSpaceDE/>
        <w:autoSpaceDN/>
        <w:bidi w:val="0"/>
        <w:adjustRightInd w:val="0"/>
        <w:snapToGrid/>
        <w:spacing w:line="560" w:lineRule="exact"/>
        <w:textAlignment w:val="auto"/>
        <w:rPr>
          <w:rFonts w:hint="eastAsia" w:ascii="宋体" w:hAnsi="宋体" w:eastAsia="宋体" w:cs="宋体"/>
          <w:b w:val="0"/>
          <w:bCs w:val="0"/>
          <w:color w:val="000000"/>
          <w:kern w:val="0"/>
          <w:sz w:val="28"/>
          <w:szCs w:val="28"/>
          <w:highlight w:val="none"/>
          <w:lang w:val="en-US" w:eastAsia="zh-CN" w:bidi="ar-SA"/>
        </w:rPr>
      </w:pPr>
      <w:r>
        <w:rPr>
          <w:rFonts w:hint="eastAsia" w:ascii="宋体" w:hAnsi="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、中标方不允许转包、分包：</w:t>
      </w:r>
      <w:r>
        <w:rPr>
          <w:rFonts w:hint="eastAsia" w:ascii="宋体" w:hAnsi="宋体" w:eastAsia="宋体" w:cs="宋体"/>
          <w:color w:val="auto"/>
          <w:sz w:val="28"/>
          <w:szCs w:val="28"/>
          <w:highlight w:val="none"/>
          <w:lang w:val="en-US" w:eastAsia="zh-CN"/>
        </w:rPr>
        <w:t>成交人不允许</w:t>
      </w:r>
      <w:r>
        <w:rPr>
          <w:rFonts w:hint="eastAsia" w:ascii="宋体" w:hAnsi="宋体" w:cs="宋体"/>
          <w:color w:val="auto"/>
          <w:sz w:val="28"/>
          <w:szCs w:val="28"/>
          <w:highlight w:val="none"/>
          <w:lang w:val="en-US" w:eastAsia="zh-CN"/>
        </w:rPr>
        <w:t>违规</w:t>
      </w:r>
      <w:r>
        <w:rPr>
          <w:rFonts w:hint="eastAsia" w:ascii="宋体" w:hAnsi="宋体" w:eastAsia="宋体" w:cs="宋体"/>
          <w:color w:val="auto"/>
          <w:sz w:val="28"/>
          <w:szCs w:val="28"/>
          <w:highlight w:val="none"/>
          <w:lang w:val="en-US" w:eastAsia="zh-CN"/>
        </w:rPr>
        <w:t>转包、分包</w:t>
      </w:r>
      <w:r>
        <w:rPr>
          <w:rFonts w:hint="eastAsia" w:ascii="宋体" w:hAnsi="宋体" w:cs="宋体"/>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val="0"/>
          <w:bCs w:val="0"/>
          <w:color w:val="000000"/>
          <w:kern w:val="0"/>
          <w:sz w:val="28"/>
          <w:szCs w:val="28"/>
          <w:highlight w:val="none"/>
          <w:lang w:val="en-US" w:eastAsia="zh-CN" w:bidi="ar-SA"/>
        </w:rPr>
      </w:pPr>
      <w:r>
        <w:rPr>
          <w:rFonts w:hint="eastAsia" w:ascii="宋体" w:hAnsi="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、服务规范要求和服务质量要求</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.1 成交人应积极按照</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人要求开展各项工作，细化应急预案等安全保障机制，降低</w:t>
      </w:r>
      <w:r>
        <w:rPr>
          <w:rFonts w:hint="eastAsia" w:ascii="宋体" w:hAnsi="宋体" w:cs="宋体"/>
          <w:color w:val="000000" w:themeColor="text1"/>
          <w:sz w:val="28"/>
          <w:szCs w:val="28"/>
          <w:highlight w:val="none"/>
          <w:lang w:val="en-US" w:eastAsia="zh-CN"/>
          <w14:textFill>
            <w14:solidFill>
              <w14:schemeClr w14:val="tx1"/>
            </w14:solidFill>
          </w14:textFill>
        </w:rPr>
        <w:t>活动</w:t>
      </w:r>
      <w:r>
        <w:rPr>
          <w:rFonts w:hint="eastAsia" w:ascii="宋体" w:hAnsi="宋体" w:eastAsia="宋体" w:cs="宋体"/>
          <w:color w:val="000000" w:themeColor="text1"/>
          <w:sz w:val="28"/>
          <w:szCs w:val="28"/>
          <w:highlight w:val="none"/>
          <w:lang w:val="en-US" w:eastAsia="zh-CN"/>
          <w14:textFill>
            <w14:solidFill>
              <w14:schemeClr w14:val="tx1"/>
            </w14:solidFill>
          </w14:textFill>
        </w:rPr>
        <w:t>过程安全风险，确保</w:t>
      </w:r>
      <w:r>
        <w:rPr>
          <w:rFonts w:hint="eastAsia" w:ascii="宋体" w:hAnsi="宋体" w:cs="宋体"/>
          <w:color w:val="000000" w:themeColor="text1"/>
          <w:sz w:val="28"/>
          <w:szCs w:val="28"/>
          <w:highlight w:val="none"/>
          <w:lang w:val="en-US" w:eastAsia="zh-CN"/>
          <w14:textFill>
            <w14:solidFill>
              <w14:schemeClr w14:val="tx1"/>
            </w14:solidFill>
          </w14:textFill>
        </w:rPr>
        <w:t>活动</w:t>
      </w:r>
      <w:r>
        <w:rPr>
          <w:rFonts w:hint="eastAsia" w:ascii="宋体" w:hAnsi="宋体" w:eastAsia="宋体" w:cs="宋体"/>
          <w:color w:val="000000" w:themeColor="text1"/>
          <w:sz w:val="28"/>
          <w:szCs w:val="28"/>
          <w:highlight w:val="none"/>
          <w:lang w:val="en-US" w:eastAsia="zh-CN"/>
          <w14:textFill>
            <w14:solidFill>
              <w14:schemeClr w14:val="tx1"/>
            </w14:solidFill>
          </w14:textFill>
        </w:rPr>
        <w:t>顺利开展。</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.2 成交人必须具备突发问题的应急和故障处置能力，如成交人不具备相应能力的，甲方有权中止项目合同。</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.3 项目实施前与</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人共同召开内部讨论会，对项目实施过程中可能出现的问题、实施的难点、重点及突发状况，并提出解决办法，如需</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人协助事宜须提前告知。</w:t>
      </w:r>
    </w:p>
    <w:p>
      <w:pPr>
        <w:spacing w:line="560" w:lineRule="exact"/>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成交人应针对各项工作任务拟定时间节点，按进度管控要求推进各项工作，定期反馈工作进度推进情况及阶段性任务完成情况，并准备下阶段工作内容。</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6.5 </w:t>
      </w:r>
      <w:r>
        <w:rPr>
          <w:rFonts w:hint="eastAsia" w:ascii="宋体" w:hAnsi="宋体" w:eastAsia="宋体" w:cs="宋体"/>
          <w:color w:val="000000" w:themeColor="text1"/>
          <w:sz w:val="28"/>
          <w:szCs w:val="28"/>
          <w:highlight w:val="none"/>
          <w:lang w:val="en-US" w:eastAsia="zh-CN"/>
          <w14:textFill>
            <w14:solidFill>
              <w14:schemeClr w14:val="tx1"/>
            </w14:solidFill>
          </w14:textFill>
        </w:rPr>
        <w:t>项目实施</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（1）项目组负责人应做到全程把控，避免拖沓项目进程。</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（2）随时保持与招标人的沟通和交流。</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（3）确保实施内容和步骤符合所设计的方案。</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（4）做好服务保障措施，做到快速响应。</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成交人应提供符合国家标准及合同规定的服务质量，服务期间应遵守招标人的安全制度，保证不发生安全事故、泄密事件。</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活动的相关宣传资料、推广著作权、署名权及其他相关知识产权归</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人所有，未经同意成交人不得公开发表、使用或向任何第三方提供。</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560" w:firstLineChars="200"/>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cs="宋体"/>
          <w:color w:val="000000" w:themeColor="text1"/>
          <w:kern w:val="2"/>
          <w:sz w:val="28"/>
          <w:szCs w:val="28"/>
          <w:highlight w:val="none"/>
          <w:lang w:val="en-US" w:eastAsia="zh-CN" w:bidi="ar-SA"/>
          <w14:textFill>
            <w14:solidFill>
              <w14:schemeClr w14:val="tx1"/>
            </w14:solidFill>
          </w14:textFill>
        </w:rPr>
        <w:t>6</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w:t>
      </w:r>
      <w:r>
        <w:rPr>
          <w:rFonts w:hint="eastAsia" w:ascii="宋体" w:hAnsi="宋体" w:cs="宋体"/>
          <w:color w:val="000000" w:themeColor="text1"/>
          <w:kern w:val="2"/>
          <w:sz w:val="28"/>
          <w:szCs w:val="28"/>
          <w:highlight w:val="none"/>
          <w:lang w:val="en-US" w:eastAsia="zh-CN" w:bidi="ar-SA"/>
          <w14:textFill>
            <w14:solidFill>
              <w14:schemeClr w14:val="tx1"/>
            </w14:solidFill>
          </w14:textFill>
        </w:rPr>
        <w:t>8</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成交</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人应严格遵守各项保密工作，若泄密造成严重社会不良影响的，承担违约责任外，将立即中止合同，并且三年内不得从事招标人的相关服务。</w:t>
      </w:r>
    </w:p>
    <w:p>
      <w:pPr>
        <w:pStyle w:val="2"/>
        <w:keepNext w:val="0"/>
        <w:keepLines w:val="0"/>
        <w:pageBreakBefore w:val="0"/>
        <w:widowControl w:val="0"/>
        <w:kinsoku/>
        <w:wordWrap/>
        <w:overflowPunct/>
        <w:topLinePunct w:val="0"/>
        <w:autoSpaceDE/>
        <w:autoSpaceDN/>
        <w:bidi w:val="0"/>
        <w:adjustRightInd/>
        <w:snapToGrid/>
        <w:spacing w:beforeAutospacing="0" w:afterAutospacing="0"/>
        <w:ind w:left="0" w:leftChars="0" w:firstLine="560" w:firstLineChars="200"/>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cs="宋体"/>
          <w:color w:val="000000" w:themeColor="text1"/>
          <w:kern w:val="2"/>
          <w:sz w:val="28"/>
          <w:szCs w:val="28"/>
          <w:highlight w:val="none"/>
          <w:lang w:val="en-US" w:eastAsia="zh-CN" w:bidi="ar-SA"/>
          <w14:textFill>
            <w14:solidFill>
              <w14:schemeClr w14:val="tx1"/>
            </w14:solidFill>
          </w14:textFill>
        </w:rPr>
        <w:t>5</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 xml:space="preserve">.9 </w:t>
      </w:r>
      <w:r>
        <w:rPr>
          <w:rFonts w:hint="eastAsia" w:ascii="宋体" w:hAnsi="宋体" w:eastAsia="宋体" w:cs="宋体"/>
          <w:color w:val="000000" w:themeColor="text1"/>
          <w:sz w:val="28"/>
          <w:szCs w:val="28"/>
          <w:highlight w:val="none"/>
          <w:lang w:val="en-US" w:eastAsia="zh-CN"/>
          <w14:textFill>
            <w14:solidFill>
              <w14:schemeClr w14:val="tx1"/>
            </w14:solidFill>
          </w14:textFill>
        </w:rPr>
        <w:t>成交</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人未按合同要求派遣项目人员，对服务范围内的服务响应不及时，或者未按照时间约定提供项目成果，且严重影响服务质量，将立即中止合同，并且三年内不得从事招标人的相关服务。</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、验收标准</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.1 成交人需按活动要求将所需的</w:t>
      </w:r>
      <w:bookmarkStart w:id="0" w:name="OLE_LINK1"/>
      <w:r>
        <w:rPr>
          <w:rFonts w:hint="eastAsia" w:ascii="宋体" w:hAnsi="宋体" w:eastAsia="宋体" w:cs="宋体"/>
          <w:color w:val="000000" w:themeColor="text1"/>
          <w:sz w:val="28"/>
          <w:szCs w:val="28"/>
          <w:highlight w:val="none"/>
          <w:lang w:val="en-US" w:eastAsia="zh-CN"/>
          <w14:textFill>
            <w14:solidFill>
              <w14:schemeClr w14:val="tx1"/>
            </w14:solidFill>
          </w14:textFill>
        </w:rPr>
        <w:t>交付物</w:t>
      </w:r>
      <w:bookmarkEnd w:id="0"/>
      <w:r>
        <w:rPr>
          <w:rFonts w:hint="eastAsia" w:ascii="宋体" w:hAnsi="宋体" w:eastAsia="宋体" w:cs="宋体"/>
          <w:color w:val="000000" w:themeColor="text1"/>
          <w:sz w:val="28"/>
          <w:szCs w:val="28"/>
          <w:highlight w:val="none"/>
          <w:lang w:val="en-US" w:eastAsia="zh-CN"/>
          <w14:textFill>
            <w14:solidFill>
              <w14:schemeClr w14:val="tx1"/>
            </w14:solidFill>
          </w14:textFill>
        </w:rPr>
        <w:t>摆放及安装到指定位置，并充分保障正常运作及使用，并与活动方案中所需交付物清单保持一致，后续指导和协助现场参与者完成各项活动。</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.2 成交人应按照活动方案要求执行活动人员、物资及服务等配置，若因成交人擅自缩减活动配置导致活动现场混乱或物资不足的情形，按照验收不通过进行处理。</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.3 成交人应自行承担交付物交付给</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人之前的损毁、灭失等一切风险，交付物使用过程中，发现存在质量问题或不符合需求的其他情况，成交人应及时更换或修改。</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1" w:name="OLE_LINK2"/>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.4 成交人确保在预定时间内完成了各项</w:t>
      </w:r>
      <w:bookmarkStart w:id="2" w:name="OLE_LINK3"/>
      <w:r>
        <w:rPr>
          <w:rFonts w:hint="eastAsia" w:ascii="宋体" w:hAnsi="宋体" w:eastAsia="宋体" w:cs="宋体"/>
          <w:color w:val="000000" w:themeColor="text1"/>
          <w:sz w:val="28"/>
          <w:szCs w:val="28"/>
          <w:highlight w:val="none"/>
          <w:lang w:val="en-US" w:eastAsia="zh-CN"/>
          <w14:textFill>
            <w14:solidFill>
              <w14:schemeClr w14:val="tx1"/>
            </w14:solidFill>
          </w14:textFill>
        </w:rPr>
        <w:t>活动策划执行任务</w:t>
      </w:r>
      <w:bookmarkEnd w:id="2"/>
      <w:r>
        <w:rPr>
          <w:rFonts w:hint="eastAsia" w:ascii="宋体" w:hAnsi="宋体" w:eastAsia="宋体" w:cs="宋体"/>
          <w:color w:val="000000" w:themeColor="text1"/>
          <w:sz w:val="28"/>
          <w:szCs w:val="28"/>
          <w:highlight w:val="none"/>
          <w:lang w:val="en-US" w:eastAsia="zh-CN"/>
          <w14:textFill>
            <w14:solidFill>
              <w14:schemeClr w14:val="tx1"/>
            </w14:solidFill>
          </w14:textFill>
        </w:rPr>
        <w:t>，并达到了预期的目标和成果。成交人需要对活动执行过程中各种风险的识别、评估和控制，确保活动的顺利进行。</w:t>
      </w:r>
    </w:p>
    <w:bookmarkEnd w:id="1"/>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.5 成交人负责开展满意度调查。通过问卷调查的方式，收集参与者对活动组织、内容、场地以及服务等方面的满意度情况。没有出现对</w:t>
      </w: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人负面影响的情形。</w:t>
      </w:r>
    </w:p>
    <w:p>
      <w:pPr>
        <w:spacing w:line="360" w:lineRule="auto"/>
        <w:ind w:firstLine="560" w:firstLineChars="2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成交人确保项目的所有过程资料完整、准确和规范，包括活动策划、执行和监控过程中的相关资料。</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仿宋" w:hAnsi="仿宋" w:eastAsia="仿宋" w:cs="仿宋"/>
          <w:bCs/>
          <w:sz w:val="28"/>
          <w:szCs w:val="28"/>
          <w:highlight w:val="none"/>
        </w:rPr>
      </w:pPr>
      <w:r>
        <w:rPr>
          <w:rFonts w:hint="eastAsia" w:ascii="宋体" w:hAnsi="宋体" w:cs="宋体"/>
          <w:b/>
          <w:bCs/>
          <w:sz w:val="28"/>
          <w:szCs w:val="28"/>
          <w:highlight w:val="none"/>
          <w:lang w:val="en-US" w:eastAsia="zh-CN"/>
        </w:rPr>
        <w:t>八、</w:t>
      </w:r>
      <w:r>
        <w:rPr>
          <w:rFonts w:hint="eastAsia" w:ascii="宋体" w:hAnsi="宋体" w:cs="宋体"/>
          <w:b/>
          <w:bCs/>
          <w:sz w:val="28"/>
          <w:szCs w:val="28"/>
          <w:highlight w:val="none"/>
        </w:rPr>
        <w:t>服务内容</w:t>
      </w:r>
      <w:r>
        <w:rPr>
          <w:rFonts w:hint="eastAsia" w:ascii="宋体" w:hAnsi="宋体" w:cs="宋体"/>
          <w:b/>
          <w:bCs/>
          <w:sz w:val="28"/>
          <w:szCs w:val="28"/>
          <w:highlight w:val="none"/>
          <w:lang w:val="en-US" w:eastAsia="zh-CN"/>
        </w:rPr>
        <w:t>报价</w:t>
      </w:r>
      <w:r>
        <w:rPr>
          <w:rFonts w:hint="eastAsia" w:ascii="宋体" w:hAnsi="宋体" w:cs="宋体"/>
          <w:b/>
          <w:bCs/>
          <w:sz w:val="28"/>
          <w:szCs w:val="28"/>
          <w:highlight w:val="none"/>
        </w:rPr>
        <w:t>清单</w:t>
      </w:r>
      <w:r>
        <w:rPr>
          <w:rFonts w:hint="eastAsia" w:ascii="宋体" w:hAnsi="宋体" w:cs="宋体"/>
          <w:b/>
          <w:bCs/>
          <w:sz w:val="28"/>
          <w:szCs w:val="28"/>
          <w:highlight w:val="none"/>
          <w:lang w:eastAsia="zh-CN"/>
        </w:rPr>
        <w:t>：</w:t>
      </w:r>
    </w:p>
    <w:tbl>
      <w:tblPr>
        <w:tblStyle w:val="13"/>
        <w:tblW w:w="8378" w:type="dxa"/>
        <w:tblInd w:w="0" w:type="dxa"/>
        <w:tblLayout w:type="fixed"/>
        <w:tblCellMar>
          <w:top w:w="15" w:type="dxa"/>
          <w:left w:w="15" w:type="dxa"/>
          <w:bottom w:w="15" w:type="dxa"/>
          <w:right w:w="15" w:type="dxa"/>
        </w:tblCellMar>
      </w:tblPr>
      <w:tblGrid>
        <w:gridCol w:w="571"/>
        <w:gridCol w:w="2007"/>
        <w:gridCol w:w="1830"/>
        <w:gridCol w:w="2153"/>
        <w:gridCol w:w="1817"/>
      </w:tblGrid>
      <w:tr>
        <w:tblPrEx>
          <w:tblCellMar>
            <w:top w:w="15" w:type="dxa"/>
            <w:left w:w="15" w:type="dxa"/>
            <w:bottom w:w="15" w:type="dxa"/>
            <w:right w:w="15" w:type="dxa"/>
          </w:tblCellMar>
        </w:tblPrEx>
        <w:trPr>
          <w:trHeight w:val="585"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序号</w:t>
            </w:r>
          </w:p>
        </w:tc>
        <w:tc>
          <w:tcPr>
            <w:tcW w:w="20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服务地点</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服务设备明细</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kern w:val="0"/>
                <w:highlight w:val="none"/>
                <w:lang w:bidi="ar"/>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服务项目</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themeColor="text1"/>
                <w:kern w:val="0"/>
                <w:highlight w:val="none"/>
                <w:lang w:eastAsia="zh-CN" w:bidi="ar"/>
                <w14:textFill>
                  <w14:solidFill>
                    <w14:schemeClr w14:val="tx1"/>
                  </w14:solidFill>
                </w14:textFill>
              </w:rPr>
            </w:pPr>
            <w:r>
              <w:rPr>
                <w:rFonts w:hint="eastAsia" w:ascii="宋体" w:hAnsi="宋体" w:cs="宋体"/>
                <w:b/>
                <w:color w:val="000000" w:themeColor="text1"/>
                <w:kern w:val="0"/>
                <w:highlight w:val="none"/>
                <w:lang w:val="en-US" w:eastAsia="zh-CN" w:bidi="ar"/>
                <w14:textFill>
                  <w14:solidFill>
                    <w14:schemeClr w14:val="tx1"/>
                  </w14:solidFill>
                </w14:textFill>
              </w:rPr>
              <w:t>报价</w:t>
            </w:r>
          </w:p>
        </w:tc>
      </w:tr>
      <w:tr>
        <w:tblPrEx>
          <w:tblCellMar>
            <w:top w:w="15" w:type="dxa"/>
            <w:left w:w="15" w:type="dxa"/>
            <w:bottom w:w="15" w:type="dxa"/>
            <w:right w:w="15" w:type="dxa"/>
          </w:tblCellMar>
        </w:tblPrEx>
        <w:trPr>
          <w:trHeight w:val="1320"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sz w:val="21"/>
                <w:szCs w:val="21"/>
                <w:highlight w:val="none"/>
                <w:lang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bidi="ar"/>
                <w14:textFill>
                  <w14:solidFill>
                    <w14:schemeClr w14:val="tx1"/>
                  </w14:solidFill>
                </w14:textFill>
              </w:rPr>
              <w:t>1</w:t>
            </w:r>
          </w:p>
        </w:tc>
        <w:tc>
          <w:tcPr>
            <w:tcW w:w="2007" w:type="dxa"/>
            <w:tcBorders>
              <w:top w:val="single" w:color="000000" w:themeColor="text1" w:sz="4" w:space="0"/>
              <w:left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kern w:val="0"/>
                <w:highlight w:val="none"/>
                <w:lang w:val="en-US" w:eastAsia="zh-CN" w:bidi="ar"/>
              </w:rPr>
            </w:pPr>
            <w:r>
              <w:rPr>
                <w:rFonts w:hint="eastAsia" w:ascii="宋体" w:hAnsi="宋体" w:eastAsia="宋体" w:cs="宋体"/>
                <w:i w:val="0"/>
                <w:iCs w:val="0"/>
                <w:kern w:val="0"/>
                <w:sz w:val="21"/>
                <w:szCs w:val="21"/>
                <w:highlight w:val="none"/>
                <w:u w:val="none"/>
                <w:lang w:val="en-US" w:eastAsia="zh-CN" w:bidi="ar"/>
              </w:rPr>
              <w:t>铜仁市</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场地租赁及执行服务</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篮球场租赁</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活动策划服务</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比赛场地搭建</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背景、秩序册设计和搭建</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篮球、茶歇、功能饮料、饮用水提供</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比赛现场人员执行服务</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lang w:val="en-US" w:eastAsia="zh-CN"/>
              </w:rPr>
            </w:pPr>
            <w:r>
              <w:rPr>
                <w:rFonts w:hint="eastAsia" w:ascii="宋体" w:hAnsi="宋体" w:eastAsia="宋体" w:cs="宋体"/>
                <w:lang w:val="en-US" w:eastAsia="zh-CN"/>
              </w:rPr>
              <w:t>奖牌、奖杯、椅子、桌子提供及摆放</w:t>
            </w:r>
          </w:p>
          <w:p>
            <w:pPr>
              <w:pStyle w:val="2"/>
              <w:ind w:left="0" w:leftChars="0" w:firstLine="0" w:firstLineChars="0"/>
              <w:rPr>
                <w:rFonts w:hint="default"/>
                <w:lang w:val="en-US" w:eastAsia="zh-CN"/>
              </w:rPr>
            </w:pPr>
            <w:r>
              <w:rPr>
                <w:rFonts w:hint="eastAsia" w:ascii="宋体" w:hAnsi="宋体" w:eastAsia="宋体" w:cs="宋体"/>
                <w:lang w:val="en-US" w:eastAsia="zh-CN"/>
              </w:rPr>
              <w:t>8.裁判服务</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pStyle w:val="2"/>
              <w:keepNext w:val="0"/>
              <w:keepLines w:val="0"/>
              <w:suppressLineNumbers w:val="0"/>
              <w:ind w:left="0" w:leftChars="0" w:right="0" w:firstLine="0" w:firstLineChars="0"/>
              <w:rPr>
                <w:rFonts w:hint="eastAsia" w:ascii="宋体" w:hAnsi="宋体" w:eastAsia="宋体" w:cs="宋体"/>
                <w:lang w:eastAsia="zh-CN"/>
              </w:rPr>
            </w:pPr>
          </w:p>
        </w:tc>
      </w:tr>
      <w:tr>
        <w:tblPrEx>
          <w:tblCellMar>
            <w:top w:w="15" w:type="dxa"/>
            <w:left w:w="15" w:type="dxa"/>
            <w:bottom w:w="15" w:type="dxa"/>
            <w:right w:w="15" w:type="dxa"/>
          </w:tblCellMar>
        </w:tblPrEx>
        <w:trPr>
          <w:trHeight w:val="301" w:hRule="atLeast"/>
        </w:trPr>
        <w:tc>
          <w:tcPr>
            <w:tcW w:w="257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合计</w:t>
            </w:r>
          </w:p>
        </w:tc>
        <w:tc>
          <w:tcPr>
            <w:tcW w:w="58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color w:val="FF0000"/>
                <w:kern w:val="0"/>
                <w:highlight w:val="none"/>
                <w:lang w:eastAsia="zh-CN" w:bidi="ar"/>
              </w:rPr>
            </w:pPr>
          </w:p>
        </w:tc>
      </w:tr>
    </w:tbl>
    <w:p>
      <w:pPr>
        <w:spacing w:line="560" w:lineRule="exact"/>
        <w:ind w:firstLine="560" w:firstLineChars="200"/>
        <w:rPr>
          <w:rFonts w:hint="eastAsia" w:ascii="宋体" w:hAnsi="宋体" w:cs="宋体"/>
          <w:b w:val="0"/>
          <w:bCs w:val="0"/>
          <w:sz w:val="28"/>
          <w:szCs w:val="28"/>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6"/>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10"/>
      <w:isLgl/>
      <w:lvlText w:val="%1.%2.%3.%4．"/>
      <w:lvlJc w:val="left"/>
      <w:pPr>
        <w:tabs>
          <w:tab w:val="left" w:pos="0"/>
        </w:tabs>
      </w:pPr>
      <w:rPr>
        <w:rFonts w:hint="default"/>
      </w:rPr>
    </w:lvl>
    <w:lvl w:ilvl="4" w:tentative="0">
      <w:start w:val="1"/>
      <w:numFmt w:val="bullet"/>
      <w:pStyle w:val="22"/>
      <w:lvlText w:val=""/>
      <w:lvlJc w:val="left"/>
      <w:pPr>
        <w:tabs>
          <w:tab w:val="left" w:pos="2100"/>
        </w:tabs>
        <w:ind w:left="2100" w:hanging="420"/>
      </w:pPr>
      <w:rPr>
        <w:rFonts w:hint="default" w:ascii="Wingdings" w:hAnsi="Wingdings"/>
      </w:rPr>
    </w:lvl>
    <w:lvl w:ilvl="5" w:tentative="0">
      <w:start w:val="1"/>
      <w:numFmt w:val="bullet"/>
      <w:pStyle w:val="23"/>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5E951AAB"/>
    <w:multiLevelType w:val="singleLevel"/>
    <w:tmpl w:val="5E951AAB"/>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doNotDisplayPageBoundaries w:val="1"/>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973F78"/>
    <w:rsid w:val="03CA6E2E"/>
    <w:rsid w:val="051549F6"/>
    <w:rsid w:val="0542635E"/>
    <w:rsid w:val="056874EA"/>
    <w:rsid w:val="0586625C"/>
    <w:rsid w:val="05883DAF"/>
    <w:rsid w:val="0612098E"/>
    <w:rsid w:val="061222BB"/>
    <w:rsid w:val="071C0C9F"/>
    <w:rsid w:val="07F37093"/>
    <w:rsid w:val="08904CC8"/>
    <w:rsid w:val="0BA03EC3"/>
    <w:rsid w:val="0BA80E62"/>
    <w:rsid w:val="0BDC0057"/>
    <w:rsid w:val="0C4924CD"/>
    <w:rsid w:val="0C564CAE"/>
    <w:rsid w:val="0EB50BB7"/>
    <w:rsid w:val="0EE63FC4"/>
    <w:rsid w:val="0F824E23"/>
    <w:rsid w:val="11CB061D"/>
    <w:rsid w:val="11E15F7B"/>
    <w:rsid w:val="1399523D"/>
    <w:rsid w:val="14DC3F17"/>
    <w:rsid w:val="152F74DC"/>
    <w:rsid w:val="155F6B97"/>
    <w:rsid w:val="15AD6E79"/>
    <w:rsid w:val="16134367"/>
    <w:rsid w:val="187A76B5"/>
    <w:rsid w:val="188B4B5A"/>
    <w:rsid w:val="18BB3E61"/>
    <w:rsid w:val="18C8638E"/>
    <w:rsid w:val="19AD3D96"/>
    <w:rsid w:val="19CF4081"/>
    <w:rsid w:val="1A79352E"/>
    <w:rsid w:val="1AB40A7C"/>
    <w:rsid w:val="1D2F2109"/>
    <w:rsid w:val="1DC6441E"/>
    <w:rsid w:val="1EF45AF4"/>
    <w:rsid w:val="1FDD544F"/>
    <w:rsid w:val="1FF94851"/>
    <w:rsid w:val="200E037A"/>
    <w:rsid w:val="20E9180D"/>
    <w:rsid w:val="211A595D"/>
    <w:rsid w:val="22CD4BD8"/>
    <w:rsid w:val="240872B2"/>
    <w:rsid w:val="247C2606"/>
    <w:rsid w:val="24A46895"/>
    <w:rsid w:val="26B25092"/>
    <w:rsid w:val="26E51E4B"/>
    <w:rsid w:val="27A21C76"/>
    <w:rsid w:val="293A1A3C"/>
    <w:rsid w:val="2A151E03"/>
    <w:rsid w:val="2AA54126"/>
    <w:rsid w:val="2B75556B"/>
    <w:rsid w:val="2C845263"/>
    <w:rsid w:val="2D152598"/>
    <w:rsid w:val="2D391C0B"/>
    <w:rsid w:val="2DA404A0"/>
    <w:rsid w:val="2E9E5E65"/>
    <w:rsid w:val="2F1A5173"/>
    <w:rsid w:val="2F8D4788"/>
    <w:rsid w:val="310224D9"/>
    <w:rsid w:val="315D40CA"/>
    <w:rsid w:val="31CC1D35"/>
    <w:rsid w:val="31F203ED"/>
    <w:rsid w:val="358405FC"/>
    <w:rsid w:val="35A6261D"/>
    <w:rsid w:val="35AF44D3"/>
    <w:rsid w:val="35F87242"/>
    <w:rsid w:val="384E56CE"/>
    <w:rsid w:val="389A0351"/>
    <w:rsid w:val="390632B8"/>
    <w:rsid w:val="39263E5A"/>
    <w:rsid w:val="39875921"/>
    <w:rsid w:val="3AFE0B89"/>
    <w:rsid w:val="3C184D03"/>
    <w:rsid w:val="3DCF64F7"/>
    <w:rsid w:val="40E14D98"/>
    <w:rsid w:val="41374CEB"/>
    <w:rsid w:val="41F90668"/>
    <w:rsid w:val="420D3ABB"/>
    <w:rsid w:val="42120307"/>
    <w:rsid w:val="461075F2"/>
    <w:rsid w:val="466B2BE9"/>
    <w:rsid w:val="467D7301"/>
    <w:rsid w:val="48400B70"/>
    <w:rsid w:val="48601071"/>
    <w:rsid w:val="48996B7E"/>
    <w:rsid w:val="48CD3FB0"/>
    <w:rsid w:val="494B1A2A"/>
    <w:rsid w:val="49B57CBA"/>
    <w:rsid w:val="4C493DE6"/>
    <w:rsid w:val="4CB37E73"/>
    <w:rsid w:val="4CE2191D"/>
    <w:rsid w:val="4D6E5EBA"/>
    <w:rsid w:val="4DB973F3"/>
    <w:rsid w:val="4DF017FF"/>
    <w:rsid w:val="4FD83E29"/>
    <w:rsid w:val="4FFF700F"/>
    <w:rsid w:val="50FC3CD2"/>
    <w:rsid w:val="516225BC"/>
    <w:rsid w:val="535A65D0"/>
    <w:rsid w:val="558D5467"/>
    <w:rsid w:val="55CC2D88"/>
    <w:rsid w:val="55DC6450"/>
    <w:rsid w:val="56800A2A"/>
    <w:rsid w:val="57000C1F"/>
    <w:rsid w:val="574D437B"/>
    <w:rsid w:val="57896F86"/>
    <w:rsid w:val="579D5152"/>
    <w:rsid w:val="58FE44E5"/>
    <w:rsid w:val="598C2146"/>
    <w:rsid w:val="599E47FD"/>
    <w:rsid w:val="5A831D51"/>
    <w:rsid w:val="5A9E4ED2"/>
    <w:rsid w:val="5AA3075D"/>
    <w:rsid w:val="5B5E13AB"/>
    <w:rsid w:val="5CC20F61"/>
    <w:rsid w:val="5D457B6B"/>
    <w:rsid w:val="5EE6625D"/>
    <w:rsid w:val="5F8D6812"/>
    <w:rsid w:val="609F2B78"/>
    <w:rsid w:val="60CA62C0"/>
    <w:rsid w:val="619E0D44"/>
    <w:rsid w:val="63517C10"/>
    <w:rsid w:val="63F645A3"/>
    <w:rsid w:val="64307DBF"/>
    <w:rsid w:val="648312D3"/>
    <w:rsid w:val="64BA09D0"/>
    <w:rsid w:val="66D5442C"/>
    <w:rsid w:val="66E96633"/>
    <w:rsid w:val="670016B2"/>
    <w:rsid w:val="68296292"/>
    <w:rsid w:val="684A146D"/>
    <w:rsid w:val="690A31E2"/>
    <w:rsid w:val="6A2A79CD"/>
    <w:rsid w:val="6B142187"/>
    <w:rsid w:val="6B156AD8"/>
    <w:rsid w:val="6BF5137B"/>
    <w:rsid w:val="6CAD5E5B"/>
    <w:rsid w:val="6D333FB2"/>
    <w:rsid w:val="6EB810C0"/>
    <w:rsid w:val="6F0A57D9"/>
    <w:rsid w:val="704F7B4C"/>
    <w:rsid w:val="70D551FE"/>
    <w:rsid w:val="716A133C"/>
    <w:rsid w:val="72445DBC"/>
    <w:rsid w:val="73E231EF"/>
    <w:rsid w:val="74DE5ADF"/>
    <w:rsid w:val="75B728C7"/>
    <w:rsid w:val="76B24152"/>
    <w:rsid w:val="76F265FD"/>
    <w:rsid w:val="7734364B"/>
    <w:rsid w:val="77A26354"/>
    <w:rsid w:val="7D456E75"/>
    <w:rsid w:val="7E0C5E9E"/>
    <w:rsid w:val="7FFC3EC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link w:val="16"/>
    <w:qFormat/>
    <w:uiPriority w:val="99"/>
    <w:pPr>
      <w:keepNext/>
      <w:keepLines/>
      <w:spacing w:before="260" w:after="260" w:line="416" w:lineRule="auto"/>
      <w:outlineLvl w:val="1"/>
    </w:pPr>
    <w:rPr>
      <w:rFonts w:ascii="Cambria" w:hAnsi="Cambria" w:cs="Cambria"/>
      <w:b/>
      <w:bCs/>
      <w:sz w:val="32"/>
      <w:szCs w:val="32"/>
    </w:rPr>
  </w:style>
  <w:style w:type="paragraph" w:styleId="5">
    <w:name w:val="heading 4"/>
    <w:basedOn w:val="1"/>
    <w:next w:val="1"/>
    <w:link w:val="24"/>
    <w:qFormat/>
    <w:uiPriority w:val="99"/>
    <w:pPr>
      <w:keepNext/>
      <w:keepLines/>
      <w:spacing w:before="280" w:after="290" w:line="376" w:lineRule="auto"/>
      <w:outlineLvl w:val="3"/>
    </w:pPr>
    <w:rPr>
      <w:rFonts w:ascii="Arial" w:hAnsi="Arial" w:eastAsia="黑体" w:cs="Arial"/>
      <w:b/>
      <w:bCs/>
      <w:sz w:val="28"/>
      <w:szCs w:val="28"/>
    </w:rPr>
  </w:style>
  <w:style w:type="character" w:default="1" w:styleId="14">
    <w:name w:val="Default Paragraph Font"/>
    <w:semiHidden/>
    <w:qFormat/>
    <w:uiPriority w:val="99"/>
  </w:style>
  <w:style w:type="table" w:default="1" w:styleId="13">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Normal Indent"/>
    <w:basedOn w:val="1"/>
    <w:qFormat/>
    <w:uiPriority w:val="99"/>
    <w:pPr>
      <w:numPr>
        <w:ilvl w:val="1"/>
        <w:numId w:val="2"/>
      </w:numPr>
      <w:ind w:left="0" w:firstLine="420" w:firstLineChars="200"/>
    </w:pPr>
  </w:style>
  <w:style w:type="paragraph" w:styleId="7">
    <w:name w:val="Body Text"/>
    <w:basedOn w:val="1"/>
    <w:next w:val="8"/>
    <w:qFormat/>
    <w:uiPriority w:val="99"/>
    <w:pPr>
      <w:widowControl/>
      <w:spacing w:after="120" w:line="276" w:lineRule="auto"/>
      <w:jc w:val="left"/>
    </w:pPr>
    <w:rPr>
      <w:rFonts w:ascii="Calibri" w:hAnsi="Calibri" w:eastAsia="宋体" w:cs="Times New Roman"/>
      <w:kern w:val="0"/>
      <w:sz w:val="22"/>
      <w:lang w:val="zh-CN" w:eastAsia="en-US" w:bidi="en-US"/>
    </w:rPr>
  </w:style>
  <w:style w:type="paragraph" w:styleId="8">
    <w:name w:val="Title"/>
    <w:basedOn w:val="1"/>
    <w:next w:val="1"/>
    <w:qFormat/>
    <w:locked/>
    <w:uiPriority w:val="0"/>
    <w:pPr>
      <w:spacing w:beforeLines="100" w:afterLines="100"/>
      <w:jc w:val="center"/>
      <w:outlineLvl w:val="0"/>
    </w:pPr>
    <w:rPr>
      <w:rFonts w:ascii="Arial" w:hAnsi="Arial" w:eastAsia="黑体" w:cs="Arial"/>
      <w:bCs/>
      <w:sz w:val="44"/>
    </w:rPr>
  </w:style>
  <w:style w:type="paragraph" w:styleId="9">
    <w:name w:val="Plain Text"/>
    <w:basedOn w:val="1"/>
    <w:unhideWhenUsed/>
    <w:qFormat/>
    <w:uiPriority w:val="99"/>
    <w:rPr>
      <w:rFonts w:ascii="宋体" w:hAnsi="Courier New"/>
    </w:rPr>
  </w:style>
  <w:style w:type="paragraph" w:styleId="10">
    <w:name w:val="Date"/>
    <w:basedOn w:val="1"/>
    <w:next w:val="1"/>
    <w:link w:val="21"/>
    <w:qFormat/>
    <w:uiPriority w:val="99"/>
    <w:pPr>
      <w:numPr>
        <w:ilvl w:val="3"/>
        <w:numId w:val="2"/>
      </w:numPr>
      <w:tabs>
        <w:tab w:val="clear" w:pos="0"/>
      </w:tabs>
      <w:ind w:left="100" w:leftChars="2500"/>
    </w:pPr>
  </w:style>
  <w:style w:type="paragraph" w:styleId="11">
    <w:name w:val="footer"/>
    <w:basedOn w:val="1"/>
    <w:link w:val="19"/>
    <w:semiHidden/>
    <w:qFormat/>
    <w:uiPriority w:val="99"/>
    <w:pPr>
      <w:tabs>
        <w:tab w:val="center" w:pos="4153"/>
        <w:tab w:val="right" w:pos="8306"/>
      </w:tabs>
      <w:snapToGrid w:val="0"/>
      <w:jc w:val="left"/>
    </w:pPr>
    <w:rPr>
      <w:sz w:val="18"/>
      <w:szCs w:val="18"/>
    </w:rPr>
  </w:style>
  <w:style w:type="paragraph" w:styleId="12">
    <w:name w:val="header"/>
    <w:basedOn w:val="1"/>
    <w:link w:val="18"/>
    <w:semiHidden/>
    <w:qFormat/>
    <w:uiPriority w:val="99"/>
    <w:pPr>
      <w:pBdr>
        <w:bottom w:val="single" w:color="auto" w:sz="6" w:space="1"/>
      </w:pBdr>
      <w:tabs>
        <w:tab w:val="center" w:pos="4153"/>
        <w:tab w:val="right" w:pos="8306"/>
      </w:tabs>
      <w:snapToGrid w:val="0"/>
      <w:jc w:val="center"/>
    </w:pPr>
    <w:rPr>
      <w:sz w:val="18"/>
      <w:szCs w:val="18"/>
    </w:rPr>
  </w:style>
  <w:style w:type="character" w:styleId="15">
    <w:name w:val="Hyperlink"/>
    <w:basedOn w:val="14"/>
    <w:unhideWhenUsed/>
    <w:qFormat/>
    <w:uiPriority w:val="99"/>
    <w:rPr>
      <w:color w:val="0000FF"/>
      <w:u w:val="single"/>
    </w:rPr>
  </w:style>
  <w:style w:type="character" w:customStyle="1" w:styleId="16">
    <w:name w:val="Heading 2 Char"/>
    <w:basedOn w:val="14"/>
    <w:link w:val="4"/>
    <w:semiHidden/>
    <w:qFormat/>
    <w:locked/>
    <w:uiPriority w:val="99"/>
    <w:rPr>
      <w:rFonts w:ascii="Cambria" w:hAnsi="Cambria" w:eastAsia="宋体" w:cs="Cambria"/>
      <w:b/>
      <w:bCs/>
      <w:sz w:val="32"/>
      <w:szCs w:val="32"/>
    </w:rPr>
  </w:style>
  <w:style w:type="character" w:customStyle="1" w:styleId="17">
    <w:name w:val="Heading 4 Char"/>
    <w:basedOn w:val="14"/>
    <w:link w:val="5"/>
    <w:qFormat/>
    <w:locked/>
    <w:uiPriority w:val="99"/>
    <w:rPr>
      <w:rFonts w:ascii="Arial" w:hAnsi="Arial" w:eastAsia="黑体" w:cs="Arial"/>
      <w:b/>
      <w:bCs/>
      <w:kern w:val="2"/>
      <w:sz w:val="28"/>
      <w:szCs w:val="28"/>
      <w:lang w:val="en-US" w:eastAsia="zh-CN"/>
    </w:rPr>
  </w:style>
  <w:style w:type="character" w:customStyle="1" w:styleId="18">
    <w:name w:val="Header Char"/>
    <w:basedOn w:val="14"/>
    <w:link w:val="12"/>
    <w:semiHidden/>
    <w:qFormat/>
    <w:locked/>
    <w:uiPriority w:val="99"/>
    <w:rPr>
      <w:rFonts w:ascii="Times New Roman" w:hAnsi="Times New Roman" w:eastAsia="宋体" w:cs="Times New Roman"/>
      <w:sz w:val="18"/>
      <w:szCs w:val="18"/>
    </w:rPr>
  </w:style>
  <w:style w:type="character" w:customStyle="1" w:styleId="19">
    <w:name w:val="Footer Char"/>
    <w:basedOn w:val="14"/>
    <w:link w:val="11"/>
    <w:semiHidden/>
    <w:qFormat/>
    <w:locked/>
    <w:uiPriority w:val="99"/>
    <w:rPr>
      <w:rFonts w:ascii="Times New Roman" w:hAnsi="Times New Roman" w:eastAsia="宋体" w:cs="Times New Roman"/>
      <w:sz w:val="18"/>
      <w:szCs w:val="18"/>
    </w:rPr>
  </w:style>
  <w:style w:type="paragraph" w:customStyle="1" w:styleId="20">
    <w:name w:val="Char"/>
    <w:basedOn w:val="1"/>
    <w:qFormat/>
    <w:uiPriority w:val="99"/>
    <w:pPr>
      <w:spacing w:line="400" w:lineRule="exact"/>
    </w:pPr>
    <w:rPr>
      <w:rFonts w:ascii="Tahoma" w:hAnsi="Tahoma" w:cs="Tahoma"/>
      <w:sz w:val="24"/>
      <w:szCs w:val="24"/>
    </w:rPr>
  </w:style>
  <w:style w:type="character" w:customStyle="1" w:styleId="21">
    <w:name w:val="Date Char"/>
    <w:basedOn w:val="14"/>
    <w:link w:val="10"/>
    <w:qFormat/>
    <w:locked/>
    <w:uiPriority w:val="99"/>
    <w:rPr>
      <w:rFonts w:ascii="Times New Roman" w:hAnsi="Times New Roman" w:eastAsia="宋体" w:cs="Times New Roman"/>
      <w:sz w:val="24"/>
      <w:szCs w:val="24"/>
    </w:rPr>
  </w:style>
  <w:style w:type="paragraph" w:customStyle="1" w:styleId="22">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3">
    <w:name w:val="标题02"/>
    <w:basedOn w:val="4"/>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4">
    <w:name w:val="标题 4 Char1"/>
    <w:basedOn w:val="14"/>
    <w:link w:val="5"/>
    <w:semiHidden/>
    <w:qFormat/>
    <w:locked/>
    <w:uiPriority w:val="99"/>
    <w:rPr>
      <w:rFonts w:ascii="Cambria" w:hAnsi="Cambria" w:eastAsia="宋体" w:cs="Cambria"/>
      <w:b/>
      <w:bCs/>
      <w:sz w:val="28"/>
      <w:szCs w:val="28"/>
    </w:rPr>
  </w:style>
  <w:style w:type="paragraph" w:customStyle="1" w:styleId="25">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character" w:customStyle="1" w:styleId="26">
    <w:name w:val="font21"/>
    <w:basedOn w:val="14"/>
    <w:qFormat/>
    <w:uiPriority w:val="0"/>
    <w:rPr>
      <w:rFonts w:hint="eastAsia" w:ascii="宋体" w:hAnsi="宋体" w:eastAsia="宋体" w:cs="宋体"/>
      <w:color w:val="FFFF00"/>
      <w:sz w:val="28"/>
      <w:szCs w:val="28"/>
      <w:u w:val="none"/>
    </w:rPr>
  </w:style>
  <w:style w:type="character" w:customStyle="1" w:styleId="27">
    <w:name w:val="font31"/>
    <w:basedOn w:val="14"/>
    <w:qFormat/>
    <w:uiPriority w:val="0"/>
    <w:rPr>
      <w:rFonts w:hint="eastAsia" w:ascii="宋体" w:hAnsi="宋体" w:eastAsia="宋体" w:cs="宋体"/>
      <w:color w:val="000000"/>
      <w:sz w:val="28"/>
      <w:szCs w:val="28"/>
      <w:u w:val="none"/>
    </w:rPr>
  </w:style>
  <w:style w:type="paragraph" w:customStyle="1" w:styleId="28">
    <w:name w:val="_Style 1"/>
    <w:qFormat/>
    <w:uiPriority w:val="1"/>
    <w:pPr>
      <w:widowControl w:val="0"/>
      <w:jc w:val="both"/>
    </w:pPr>
    <w:rPr>
      <w:rFonts w:ascii="Times New Roman" w:hAnsi="Times New Roman" w:eastAsia="宋体" w:cs="Times New Roman"/>
      <w:kern w:val="2"/>
      <w:sz w:val="28"/>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7</Pages>
  <Words>2299</Words>
  <Characters>2412</Characters>
  <Lines>0</Lines>
  <Paragraphs>0</Paragraphs>
  <TotalTime>11</TotalTime>
  <ScaleCrop>false</ScaleCrop>
  <LinksUpToDate>false</LinksUpToDate>
  <CharactersWithSpaces>2458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黄翔</cp:lastModifiedBy>
  <dcterms:modified xsi:type="dcterms:W3CDTF">2026-04-09T07:38:12Z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03419433DFC9426989B1761AD2B206FB</vt:lpwstr>
  </property>
  <property fmtid="{D5CDD505-2E9C-101B-9397-08002B2CF9AE}" pid="4" name="KSOTemplateDocerSaveRecord">
    <vt:lpwstr>eyJoZGlkIjoiOTc3M2Y5NzIzMDFlZjAyY2Q4Njk5ODkyYjFjNzBiNTQiLCJ1c2VySWQiOiIyNDM5ODY5NTkifQ==</vt:lpwstr>
  </property>
</Properties>
</file>