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1AFB2D">
      <w:pPr>
        <w:topLinePunct/>
        <w:spacing w:line="490" w:lineRule="exact"/>
        <w:ind w:left="480"/>
        <w:rPr>
          <w:color w:val="000000" w:themeColor="text1"/>
          <w:sz w:val="24"/>
          <w14:textFill>
            <w14:solidFill>
              <w14:schemeClr w14:val="tx1"/>
            </w14:solidFill>
          </w14:textFill>
        </w:rPr>
      </w:pPr>
      <w:bookmarkStart w:id="0" w:name="_Toc114028927"/>
      <w:bookmarkStart w:id="1" w:name="_Toc131168595"/>
      <w:bookmarkStart w:id="2" w:name="_Toc131134327"/>
      <w:bookmarkStart w:id="3" w:name="_Toc183578143"/>
      <w:bookmarkStart w:id="4" w:name="_Toc131134226"/>
      <w:bookmarkStart w:id="5" w:name="_Toc131133981"/>
      <w:r>
        <w:rPr>
          <w:color w:val="000000" w:themeColor="text1"/>
          <w:sz w:val="24"/>
          <w14:textFill>
            <w14:solidFill>
              <w14:schemeClr w14:val="tx1"/>
            </w14:solidFill>
          </w14:textFill>
        </w:rPr>
        <w:drawing>
          <wp:anchor distT="0" distB="0" distL="114300" distR="114300" simplePos="0" relativeHeight="251659264" behindDoc="0" locked="0" layoutInCell="1" allowOverlap="1">
            <wp:simplePos x="0" y="0"/>
            <wp:positionH relativeFrom="page">
              <wp:align>right</wp:align>
            </wp:positionH>
            <wp:positionV relativeFrom="paragraph">
              <wp:posOffset>-1071245</wp:posOffset>
            </wp:positionV>
            <wp:extent cx="7686040" cy="2416175"/>
            <wp:effectExtent l="0" t="0" r="0" b="3810"/>
            <wp:wrapNone/>
            <wp:docPr id="2" name="图片 2"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说明: 模板-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7686136" cy="2416159"/>
                    </a:xfrm>
                    <a:prstGeom prst="rect">
                      <a:avLst/>
                    </a:prstGeom>
                    <a:noFill/>
                    <a:ln>
                      <a:noFill/>
                    </a:ln>
                  </pic:spPr>
                </pic:pic>
              </a:graphicData>
            </a:graphic>
          </wp:anchor>
        </w:drawing>
      </w:r>
    </w:p>
    <w:p w14:paraId="2922D8B9">
      <w:pPr>
        <w:topLinePunct/>
        <w:spacing w:line="490" w:lineRule="exact"/>
        <w:ind w:left="480"/>
        <w:rPr>
          <w:color w:val="000000" w:themeColor="text1"/>
          <w:sz w:val="24"/>
          <w14:textFill>
            <w14:solidFill>
              <w14:schemeClr w14:val="tx1"/>
            </w14:solidFill>
          </w14:textFill>
        </w:rPr>
      </w:pPr>
    </w:p>
    <w:p w14:paraId="38E0EFD9">
      <w:pPr>
        <w:topLinePunct/>
        <w:spacing w:line="490" w:lineRule="exact"/>
        <w:ind w:left="480"/>
        <w:rPr>
          <w:color w:val="000000" w:themeColor="text1"/>
          <w:sz w:val="24"/>
          <w14:textFill>
            <w14:solidFill>
              <w14:schemeClr w14:val="tx1"/>
            </w14:solidFill>
          </w14:textFill>
        </w:rPr>
      </w:pPr>
    </w:p>
    <w:p w14:paraId="285E2BFA">
      <w:pPr>
        <w:topLinePunct/>
        <w:spacing w:line="490" w:lineRule="exact"/>
        <w:ind w:left="480"/>
        <w:rPr>
          <w:color w:val="000000" w:themeColor="text1"/>
          <w:sz w:val="24"/>
          <w14:textFill>
            <w14:solidFill>
              <w14:schemeClr w14:val="tx1"/>
            </w14:solidFill>
          </w14:textFill>
        </w:rPr>
      </w:pPr>
    </w:p>
    <w:p w14:paraId="3FC9EEFC">
      <w:pPr>
        <w:topLinePunct/>
        <w:spacing w:line="490" w:lineRule="exact"/>
        <w:ind w:left="480"/>
        <w:rPr>
          <w:color w:val="000000" w:themeColor="text1"/>
          <w:sz w:val="24"/>
          <w14:textFill>
            <w14:solidFill>
              <w14:schemeClr w14:val="tx1"/>
            </w14:solidFill>
          </w14:textFill>
        </w:rPr>
      </w:pPr>
    </w:p>
    <w:p w14:paraId="40E2193B">
      <w:pPr>
        <w:topLinePunct/>
        <w:spacing w:line="490" w:lineRule="exact"/>
        <w:ind w:left="480"/>
        <w:rPr>
          <w:color w:val="000000" w:themeColor="text1"/>
          <w:sz w:val="24"/>
          <w14:textFill>
            <w14:solidFill>
              <w14:schemeClr w14:val="tx1"/>
            </w14:solidFill>
          </w14:textFill>
        </w:rPr>
      </w:pPr>
    </w:p>
    <w:p w14:paraId="284618D3">
      <w:pPr>
        <w:spacing w:line="360" w:lineRule="auto"/>
        <w:ind w:firstLine="883" w:firstLineChars="200"/>
        <w:jc w:val="center"/>
        <w:rPr>
          <w:rFonts w:eastAsia="楷体_GB2312"/>
          <w:b/>
          <w:sz w:val="44"/>
          <w:szCs w:val="44"/>
        </w:rPr>
      </w:pPr>
      <w:r>
        <w:rPr>
          <w:rFonts w:hint="eastAsia" w:eastAsia="楷体_GB2312"/>
          <w:b/>
          <w:sz w:val="44"/>
          <w:szCs w:val="44"/>
        </w:rPr>
        <w:t>湖南-贵州电力灵活互济工程</w:t>
      </w:r>
    </w:p>
    <w:p w14:paraId="38849C3A">
      <w:pPr>
        <w:spacing w:line="360" w:lineRule="auto"/>
        <w:ind w:firstLine="883" w:firstLineChars="200"/>
        <w:jc w:val="center"/>
        <w:rPr>
          <w:rFonts w:eastAsia="楷体_GB2312"/>
          <w:b/>
          <w:bCs/>
          <w:sz w:val="44"/>
          <w:szCs w:val="44"/>
          <w:lang w:val="en-GB"/>
        </w:rPr>
      </w:pPr>
      <w:r>
        <w:rPr>
          <w:rFonts w:hint="eastAsia" w:eastAsia="楷体_GB2312"/>
          <w:b/>
          <w:sz w:val="44"/>
          <w:szCs w:val="44"/>
        </w:rPr>
        <w:t>（湘黔背靠背换流站工程）</w:t>
      </w:r>
    </w:p>
    <w:p w14:paraId="59966459">
      <w:pPr>
        <w:topLinePunct/>
        <w:spacing w:line="490" w:lineRule="exact"/>
        <w:ind w:left="480"/>
        <w:rPr>
          <w:color w:val="000000" w:themeColor="text1"/>
          <w:sz w:val="24"/>
          <w:lang w:val="en-GB"/>
          <w14:textFill>
            <w14:solidFill>
              <w14:schemeClr w14:val="tx1"/>
            </w14:solidFill>
          </w14:textFill>
        </w:rPr>
      </w:pPr>
    </w:p>
    <w:p w14:paraId="57882998">
      <w:pPr>
        <w:topLinePunct/>
        <w:spacing w:line="490" w:lineRule="exact"/>
        <w:ind w:left="480"/>
        <w:rPr>
          <w:color w:val="000000" w:themeColor="text1"/>
          <w:sz w:val="24"/>
          <w:lang w:val="en-GB"/>
          <w14:textFill>
            <w14:solidFill>
              <w14:schemeClr w14:val="tx1"/>
            </w14:solidFill>
          </w14:textFill>
        </w:rPr>
      </w:pPr>
    </w:p>
    <w:p w14:paraId="7994964D">
      <w:pPr>
        <w:topLinePunct/>
        <w:spacing w:line="240" w:lineRule="auto"/>
        <w:rPr>
          <w:rFonts w:ascii="楷体_GB2312" w:hAnsi="宋体" w:eastAsia="楷体_GB2312"/>
          <w:b/>
          <w:color w:val="000000" w:themeColor="text1"/>
          <w:sz w:val="44"/>
          <w14:textFill>
            <w14:solidFill>
              <w14:schemeClr w14:val="tx1"/>
            </w14:solidFill>
          </w14:textFill>
        </w:rPr>
      </w:pPr>
    </w:p>
    <w:p w14:paraId="234D81EB">
      <w:pPr>
        <w:adjustRightInd/>
        <w:spacing w:line="360" w:lineRule="auto"/>
        <w:ind w:firstLine="883" w:firstLineChars="200"/>
        <w:jc w:val="center"/>
        <w:textAlignment w:val="auto"/>
        <w:rPr>
          <w:rFonts w:eastAsia="楷体_GB2312"/>
          <w:b/>
          <w:kern w:val="2"/>
          <w:sz w:val="44"/>
          <w:szCs w:val="44"/>
        </w:rPr>
      </w:pPr>
      <w:r>
        <w:rPr>
          <w:rFonts w:hint="eastAsia" w:eastAsia="楷体_GB2312"/>
          <w:b/>
          <w:kern w:val="2"/>
          <w:sz w:val="44"/>
          <w:szCs w:val="44"/>
        </w:rPr>
        <w:t>乙供通风空调系统技术规范书</w:t>
      </w:r>
    </w:p>
    <w:p w14:paraId="6F7DE118">
      <w:pPr>
        <w:topLinePunct/>
        <w:spacing w:line="240" w:lineRule="auto"/>
        <w:rPr>
          <w:rFonts w:ascii="楷体_GB2312" w:hAnsi="宋体" w:eastAsia="楷体_GB2312"/>
          <w:b/>
          <w:color w:val="000000" w:themeColor="text1"/>
          <w:sz w:val="44"/>
          <w14:textFill>
            <w14:solidFill>
              <w14:schemeClr w14:val="tx1"/>
            </w14:solidFill>
          </w14:textFill>
        </w:rPr>
      </w:pPr>
    </w:p>
    <w:p w14:paraId="4B3155EC">
      <w:pPr>
        <w:topLinePunct/>
        <w:spacing w:line="240" w:lineRule="auto"/>
        <w:jc w:val="center"/>
        <w:rPr>
          <w:rFonts w:ascii="楷体_GB2312" w:hAnsi="宋体" w:eastAsia="楷体_GB2312"/>
          <w:b/>
          <w:color w:val="000000" w:themeColor="text1"/>
          <w:sz w:val="44"/>
          <w14:textFill>
            <w14:solidFill>
              <w14:schemeClr w14:val="tx1"/>
            </w14:solidFill>
          </w14:textFill>
        </w:rPr>
      </w:pPr>
    </w:p>
    <w:p w14:paraId="576BBE1E">
      <w:pPr>
        <w:topLinePunct/>
        <w:spacing w:line="240" w:lineRule="auto"/>
        <w:jc w:val="center"/>
        <w:rPr>
          <w:rFonts w:ascii="楷体_GB2312" w:hAnsi="宋体" w:eastAsia="楷体_GB2312"/>
          <w:b/>
          <w:color w:val="000000" w:themeColor="text1"/>
          <w:sz w:val="44"/>
          <w14:textFill>
            <w14:solidFill>
              <w14:schemeClr w14:val="tx1"/>
            </w14:solidFill>
          </w14:textFill>
        </w:rPr>
      </w:pPr>
    </w:p>
    <w:p w14:paraId="3EBA107B">
      <w:pPr>
        <w:adjustRightInd/>
        <w:spacing w:line="240" w:lineRule="auto"/>
        <w:jc w:val="center"/>
        <w:textAlignment w:val="auto"/>
        <w:rPr>
          <w:rFonts w:ascii="宋体" w:hAnsi="宋体"/>
          <w:b/>
          <w:kern w:val="2"/>
          <w:sz w:val="44"/>
          <w:szCs w:val="24"/>
        </w:rPr>
      </w:pPr>
    </w:p>
    <w:p w14:paraId="0BCA6D4C">
      <w:pPr>
        <w:spacing w:line="240" w:lineRule="auto"/>
        <w:jc w:val="center"/>
        <w:textAlignment w:val="auto"/>
        <w:rPr>
          <w:rFonts w:ascii="楷体_GB2312" w:hAnsi="宋体" w:eastAsia="楷体_GB2312"/>
          <w:b/>
          <w:sz w:val="36"/>
        </w:rPr>
      </w:pPr>
      <w:r>
        <w:rPr>
          <w:rFonts w:hint="eastAsia" w:ascii="楷体_GB2312" w:hAnsi="宋体" w:eastAsia="楷体_GB2312"/>
          <w:b/>
          <w:sz w:val="36"/>
        </w:rPr>
        <w:t>招标方：中国南方电网有限责任公司超高压输电公司</w:t>
      </w:r>
    </w:p>
    <w:p w14:paraId="6FCFBCD2">
      <w:pPr>
        <w:spacing w:line="240" w:lineRule="auto"/>
        <w:jc w:val="center"/>
        <w:textAlignment w:val="auto"/>
        <w:rPr>
          <w:rFonts w:ascii="楷体_GB2312" w:hAnsi="宋体" w:eastAsia="楷体_GB2312"/>
          <w:b/>
          <w:sz w:val="36"/>
        </w:rPr>
      </w:pPr>
      <w:r>
        <w:rPr>
          <w:rFonts w:ascii="楷体_GB2312" w:hAnsi="宋体" w:eastAsia="楷体_GB2312"/>
          <w:b/>
          <w:sz w:val="36"/>
        </w:rPr>
        <w:tab/>
      </w:r>
      <w:r>
        <w:rPr>
          <w:rFonts w:hint="eastAsia" w:ascii="楷体_GB2312" w:hAnsi="宋体" w:eastAsia="楷体_GB2312"/>
          <w:b/>
          <w:sz w:val="36"/>
        </w:rPr>
        <w:t>（盖单位章）</w:t>
      </w:r>
    </w:p>
    <w:p w14:paraId="33F9B893">
      <w:pPr>
        <w:spacing w:line="240" w:lineRule="auto"/>
        <w:jc w:val="center"/>
        <w:rPr>
          <w:rFonts w:ascii="宋体" w:hAnsi="宋体"/>
          <w:sz w:val="32"/>
        </w:rPr>
      </w:pPr>
    </w:p>
    <w:bookmarkEnd w:id="0"/>
    <w:bookmarkEnd w:id="1"/>
    <w:bookmarkEnd w:id="2"/>
    <w:bookmarkEnd w:id="3"/>
    <w:bookmarkEnd w:id="4"/>
    <w:bookmarkEnd w:id="5"/>
    <w:p w14:paraId="7D4AEF89">
      <w:pPr>
        <w:adjustRightInd/>
        <w:spacing w:line="240" w:lineRule="auto"/>
        <w:jc w:val="center"/>
        <w:textAlignment w:val="auto"/>
        <w:rPr>
          <w:rFonts w:ascii="楷体_GB2312" w:hAnsi="宋体" w:eastAsia="楷体_GB2312" w:cs="楷体_GB2312"/>
          <w:b/>
          <w:sz w:val="36"/>
          <w:u w:val="single"/>
        </w:rPr>
      </w:pPr>
      <w:r>
        <w:rPr>
          <w:rFonts w:ascii="楷体_GB2312" w:hAnsi="宋体" w:eastAsia="楷体_GB2312" w:cs="楷体_GB2312"/>
          <w:b/>
          <w:sz w:val="36"/>
          <w:u w:val="single"/>
        </w:rPr>
        <w:t>2026 年 03</w:t>
      </w:r>
      <w:r>
        <w:rPr>
          <w:rFonts w:hint="eastAsia" w:ascii="楷体_GB2312" w:hAnsi="宋体" w:eastAsia="楷体_GB2312" w:cs="楷体_GB2312"/>
          <w:b/>
          <w:sz w:val="36"/>
          <w:u w:val="single"/>
        </w:rPr>
        <w:t>月</w:t>
      </w:r>
    </w:p>
    <w:p w14:paraId="18E8E780">
      <w:pPr>
        <w:snapToGrid w:val="0"/>
        <w:spacing w:before="120" w:beforeLines="50" w:after="120"/>
        <w:rPr>
          <w:b/>
          <w:bCs/>
          <w:color w:val="000000" w:themeColor="text1"/>
          <w:sz w:val="48"/>
          <w14:textFill>
            <w14:solidFill>
              <w14:schemeClr w14:val="tx1"/>
            </w14:solidFill>
          </w14:textFill>
        </w:rPr>
        <w:sectPr>
          <w:headerReference r:id="rId5" w:type="default"/>
          <w:footerReference r:id="rId6" w:type="default"/>
          <w:pgSz w:w="11907" w:h="16839"/>
          <w:pgMar w:top="1701" w:right="1418" w:bottom="1418" w:left="1418" w:header="1021" w:footer="1021" w:gutter="0"/>
          <w:pgNumType w:fmt="lowerRoman" w:start="1"/>
          <w:cols w:space="720" w:num="1"/>
          <w:docGrid w:linePitch="286" w:charSpace="0"/>
        </w:sectPr>
      </w:pPr>
    </w:p>
    <w:p w14:paraId="3A05CA5B">
      <w:pPr>
        <w:tabs>
          <w:tab w:val="left" w:pos="2520"/>
        </w:tabs>
        <w:rPr>
          <w:rFonts w:eastAsiaTheme="minorEastAsia"/>
          <w:color w:val="000000" w:themeColor="text1"/>
          <w:sz w:val="32"/>
          <w:szCs w:val="24"/>
          <w14:textFill>
            <w14:solidFill>
              <w14:schemeClr w14:val="tx1"/>
            </w14:solidFill>
          </w14:textFill>
        </w:rPr>
      </w:pPr>
    </w:p>
    <w:p w14:paraId="0B30C906">
      <w:pPr>
        <w:snapToGrid w:val="0"/>
        <w:spacing w:line="480" w:lineRule="atLeast"/>
        <w:jc w:val="center"/>
        <w:rPr>
          <w:rFonts w:eastAsiaTheme="minorEastAsia"/>
          <w:b/>
          <w:color w:val="000000" w:themeColor="text1"/>
          <w:sz w:val="36"/>
          <w:szCs w:val="36"/>
          <w14:textFill>
            <w14:solidFill>
              <w14:schemeClr w14:val="tx1"/>
            </w14:solidFill>
          </w14:textFill>
        </w:rPr>
      </w:pPr>
      <w:r>
        <w:rPr>
          <w:rFonts w:hint="eastAsia" w:eastAsiaTheme="minorEastAsia"/>
          <w:b/>
          <w:color w:val="000000" w:themeColor="text1"/>
          <w:sz w:val="36"/>
          <w:szCs w:val="36"/>
          <w14:textFill>
            <w14:solidFill>
              <w14:schemeClr w14:val="tx1"/>
            </w14:solidFill>
          </w14:textFill>
        </w:rPr>
        <w:t>目</w:t>
      </w:r>
      <w:r>
        <w:rPr>
          <w:rFonts w:eastAsiaTheme="minorEastAsia"/>
          <w:b/>
          <w:color w:val="000000" w:themeColor="text1"/>
          <w:sz w:val="36"/>
          <w:szCs w:val="36"/>
          <w14:textFill>
            <w14:solidFill>
              <w14:schemeClr w14:val="tx1"/>
            </w14:solidFill>
          </w14:textFill>
        </w:rPr>
        <w:t xml:space="preserve">    </w:t>
      </w:r>
      <w:r>
        <w:rPr>
          <w:rFonts w:hint="eastAsia" w:eastAsiaTheme="minorEastAsia"/>
          <w:b/>
          <w:color w:val="000000" w:themeColor="text1"/>
          <w:sz w:val="36"/>
          <w:szCs w:val="36"/>
          <w14:textFill>
            <w14:solidFill>
              <w14:schemeClr w14:val="tx1"/>
            </w14:solidFill>
          </w14:textFill>
        </w:rPr>
        <w:t>录</w:t>
      </w:r>
    </w:p>
    <w:p w14:paraId="699C94FD">
      <w:pPr>
        <w:tabs>
          <w:tab w:val="left" w:pos="2340"/>
        </w:tabs>
        <w:snapToGrid w:val="0"/>
        <w:spacing w:line="460" w:lineRule="atLeast"/>
        <w:ind w:firstLine="643" w:firstLineChars="200"/>
        <w:rPr>
          <w:rFonts w:eastAsiaTheme="minorEastAsia"/>
          <w:b/>
          <w:color w:val="000000" w:themeColor="text1"/>
          <w:sz w:val="32"/>
          <w:szCs w:val="24"/>
          <w14:textFill>
            <w14:solidFill>
              <w14:schemeClr w14:val="tx1"/>
            </w14:solidFill>
          </w14:textFill>
        </w:rPr>
      </w:pPr>
      <w:r>
        <w:rPr>
          <w:rFonts w:eastAsiaTheme="minorEastAsia"/>
          <w:b/>
          <w:color w:val="000000" w:themeColor="text1"/>
          <w:sz w:val="32"/>
          <w:szCs w:val="24"/>
          <w14:textFill>
            <w14:solidFill>
              <w14:schemeClr w14:val="tx1"/>
            </w14:solidFill>
          </w14:textFill>
        </w:rPr>
        <w:tab/>
      </w:r>
    </w:p>
    <w:p w14:paraId="3C239683">
      <w:pPr>
        <w:pStyle w:val="28"/>
        <w:tabs>
          <w:tab w:val="right" w:leader="dot" w:pos="9061"/>
        </w:tabs>
        <w:rPr>
          <w:rFonts w:eastAsiaTheme="minorEastAsia" w:cstheme="minorBidi"/>
          <w:b w:val="0"/>
          <w:bCs w:val="0"/>
          <w:caps w:val="0"/>
          <w:kern w:val="2"/>
          <w:sz w:val="21"/>
          <w:szCs w:val="22"/>
        </w:rPr>
      </w:pPr>
      <w:r>
        <w:rPr>
          <w:rFonts w:hint="eastAsia" w:cs="宋体" w:asciiTheme="minorEastAsia" w:hAnsiTheme="minorEastAsia" w:eastAsiaTheme="minorEastAsia"/>
          <w:b w:val="0"/>
          <w:bCs w:val="0"/>
          <w:caps w:val="0"/>
          <w:color w:val="000000" w:themeColor="text1"/>
          <w:sz w:val="21"/>
          <w:szCs w:val="21"/>
          <w14:textFill>
            <w14:solidFill>
              <w14:schemeClr w14:val="tx1"/>
            </w14:solidFill>
          </w14:textFill>
        </w:rPr>
        <w:fldChar w:fldCharType="begin"/>
      </w:r>
      <w:r>
        <w:rPr>
          <w:rFonts w:cs="宋体" w:asciiTheme="minorEastAsia" w:hAnsiTheme="minorEastAsia" w:eastAsiaTheme="minorEastAsia"/>
          <w:b w:val="0"/>
          <w:bCs w:val="0"/>
          <w:caps w:val="0"/>
          <w:color w:val="000000" w:themeColor="text1"/>
          <w:sz w:val="21"/>
          <w:szCs w:val="21"/>
          <w14:textFill>
            <w14:solidFill>
              <w14:schemeClr w14:val="tx1"/>
            </w14:solidFill>
          </w14:textFill>
        </w:rPr>
        <w:instrText xml:space="preserve"> TOC \o "1-2" \h \z \u </w:instrText>
      </w:r>
      <w:r>
        <w:rPr>
          <w:rFonts w:hint="eastAsia" w:cs="宋体" w:asciiTheme="minorEastAsia" w:hAnsiTheme="minorEastAsia" w:eastAsiaTheme="minorEastAsia"/>
          <w:b w:val="0"/>
          <w:bCs w:val="0"/>
          <w:caps w:val="0"/>
          <w:color w:val="000000" w:themeColor="text1"/>
          <w:sz w:val="21"/>
          <w:szCs w:val="21"/>
          <w14:textFill>
            <w14:solidFill>
              <w14:schemeClr w14:val="tx1"/>
            </w14:solidFill>
          </w14:textFill>
        </w:rPr>
        <w:fldChar w:fldCharType="separate"/>
      </w:r>
      <w:r>
        <w:fldChar w:fldCharType="begin"/>
      </w:r>
      <w:r>
        <w:instrText xml:space="preserve"> HYPERLINK \l "_Toc220074653" </w:instrText>
      </w:r>
      <w:r>
        <w:fldChar w:fldCharType="separate"/>
      </w:r>
      <w:r>
        <w:rPr>
          <w:rStyle w:val="47"/>
          <w:rFonts w:hint="eastAsia"/>
        </w:rPr>
        <w:t>表</w:t>
      </w:r>
      <w:r>
        <w:rPr>
          <w:rStyle w:val="47"/>
        </w:rPr>
        <w:t xml:space="preserve">1  </w:t>
      </w:r>
      <w:r>
        <w:rPr>
          <w:rStyle w:val="47"/>
          <w:rFonts w:hint="eastAsia"/>
        </w:rPr>
        <w:t>货物需求及供货范围一览表</w:t>
      </w:r>
      <w:r>
        <w:tab/>
      </w:r>
      <w:r>
        <w:fldChar w:fldCharType="begin"/>
      </w:r>
      <w:r>
        <w:instrText xml:space="preserve"> PAGEREF _Toc220074653 \h </w:instrText>
      </w:r>
      <w:r>
        <w:fldChar w:fldCharType="separate"/>
      </w:r>
      <w:r>
        <w:t>1</w:t>
      </w:r>
      <w:r>
        <w:fldChar w:fldCharType="end"/>
      </w:r>
      <w:r>
        <w:fldChar w:fldCharType="end"/>
      </w:r>
    </w:p>
    <w:p w14:paraId="712D3080">
      <w:pPr>
        <w:pStyle w:val="28"/>
        <w:tabs>
          <w:tab w:val="right" w:leader="dot" w:pos="9061"/>
        </w:tabs>
        <w:rPr>
          <w:rFonts w:eastAsiaTheme="minorEastAsia" w:cstheme="minorBidi"/>
          <w:b w:val="0"/>
          <w:bCs w:val="0"/>
          <w:caps w:val="0"/>
          <w:kern w:val="2"/>
          <w:sz w:val="21"/>
          <w:szCs w:val="22"/>
        </w:rPr>
      </w:pPr>
      <w:r>
        <w:fldChar w:fldCharType="begin"/>
      </w:r>
      <w:r>
        <w:instrText xml:space="preserve"> HYPERLINK \l "_Toc220074659" </w:instrText>
      </w:r>
      <w:r>
        <w:fldChar w:fldCharType="separate"/>
      </w:r>
      <w:r>
        <w:rPr>
          <w:rStyle w:val="47"/>
          <w:rFonts w:hint="eastAsia"/>
        </w:rPr>
        <w:t>表</w:t>
      </w:r>
      <w:r>
        <w:rPr>
          <w:rStyle w:val="47"/>
        </w:rPr>
        <w:t xml:space="preserve">2  </w:t>
      </w:r>
      <w:r>
        <w:rPr>
          <w:rStyle w:val="47"/>
          <w:rFonts w:hint="eastAsia"/>
        </w:rPr>
        <w:t>必备的备品备件、专用工具和仪器仪表供货表</w:t>
      </w:r>
      <w:r>
        <w:tab/>
      </w:r>
      <w:r>
        <w:fldChar w:fldCharType="begin"/>
      </w:r>
      <w:r>
        <w:instrText xml:space="preserve"> PAGEREF _Toc220074659 \h </w:instrText>
      </w:r>
      <w:r>
        <w:fldChar w:fldCharType="separate"/>
      </w:r>
      <w:r>
        <w:t>13</w:t>
      </w:r>
      <w:r>
        <w:fldChar w:fldCharType="end"/>
      </w:r>
      <w:r>
        <w:fldChar w:fldCharType="end"/>
      </w:r>
    </w:p>
    <w:p w14:paraId="6DAA87D9">
      <w:pPr>
        <w:pStyle w:val="28"/>
        <w:tabs>
          <w:tab w:val="right" w:leader="dot" w:pos="9061"/>
        </w:tabs>
        <w:rPr>
          <w:rFonts w:eastAsiaTheme="minorEastAsia" w:cstheme="minorBidi"/>
          <w:b w:val="0"/>
          <w:bCs w:val="0"/>
          <w:caps w:val="0"/>
          <w:kern w:val="2"/>
          <w:sz w:val="21"/>
          <w:szCs w:val="22"/>
        </w:rPr>
      </w:pPr>
      <w:r>
        <w:fldChar w:fldCharType="begin"/>
      </w:r>
      <w:r>
        <w:instrText xml:space="preserve"> HYPERLINK \l "_Toc220074660" </w:instrText>
      </w:r>
      <w:r>
        <w:fldChar w:fldCharType="separate"/>
      </w:r>
      <w:r>
        <w:rPr>
          <w:rStyle w:val="47"/>
          <w:rFonts w:hint="eastAsia"/>
        </w:rPr>
        <w:t>表</w:t>
      </w:r>
      <w:r>
        <w:rPr>
          <w:rStyle w:val="47"/>
        </w:rPr>
        <w:t xml:space="preserve">3  </w:t>
      </w:r>
      <w:r>
        <w:rPr>
          <w:rStyle w:val="47"/>
          <w:rFonts w:hint="eastAsia"/>
        </w:rPr>
        <w:t>推荐的备品备件、专用工具和仪器仪表供货表（投标方填写）</w:t>
      </w:r>
      <w:r>
        <w:tab/>
      </w:r>
      <w:r>
        <w:fldChar w:fldCharType="begin"/>
      </w:r>
      <w:r>
        <w:instrText xml:space="preserve"> PAGEREF _Toc220074660 \h </w:instrText>
      </w:r>
      <w:r>
        <w:fldChar w:fldCharType="separate"/>
      </w:r>
      <w:r>
        <w:t>15</w:t>
      </w:r>
      <w:r>
        <w:fldChar w:fldCharType="end"/>
      </w:r>
      <w:r>
        <w:fldChar w:fldCharType="end"/>
      </w:r>
    </w:p>
    <w:p w14:paraId="422A78A8">
      <w:pPr>
        <w:pStyle w:val="28"/>
        <w:tabs>
          <w:tab w:val="right" w:leader="dot" w:pos="9061"/>
        </w:tabs>
        <w:rPr>
          <w:rFonts w:eastAsiaTheme="minorEastAsia" w:cstheme="minorBidi"/>
          <w:b w:val="0"/>
          <w:bCs w:val="0"/>
          <w:caps w:val="0"/>
          <w:kern w:val="2"/>
          <w:sz w:val="21"/>
          <w:szCs w:val="22"/>
        </w:rPr>
      </w:pPr>
      <w:r>
        <w:fldChar w:fldCharType="begin"/>
      </w:r>
      <w:r>
        <w:instrText xml:space="preserve"> HYPERLINK \l "_Toc220074661" </w:instrText>
      </w:r>
      <w:r>
        <w:fldChar w:fldCharType="separate"/>
      </w:r>
      <w:r>
        <w:rPr>
          <w:rStyle w:val="47"/>
          <w:rFonts w:hint="eastAsia"/>
        </w:rPr>
        <w:t>表</w:t>
      </w:r>
      <w:r>
        <w:rPr>
          <w:rStyle w:val="47"/>
        </w:rPr>
        <w:t xml:space="preserve">4  </w:t>
      </w:r>
      <w:r>
        <w:rPr>
          <w:rStyle w:val="47"/>
          <w:rFonts w:hint="eastAsia"/>
        </w:rPr>
        <w:t>技术偏差表</w:t>
      </w:r>
      <w:r>
        <w:tab/>
      </w:r>
      <w:r>
        <w:fldChar w:fldCharType="begin"/>
      </w:r>
      <w:r>
        <w:instrText xml:space="preserve"> PAGEREF _Toc220074661 \h </w:instrText>
      </w:r>
      <w:r>
        <w:fldChar w:fldCharType="separate"/>
      </w:r>
      <w:r>
        <w:t>15</w:t>
      </w:r>
      <w:r>
        <w:fldChar w:fldCharType="end"/>
      </w:r>
      <w:r>
        <w:fldChar w:fldCharType="end"/>
      </w:r>
    </w:p>
    <w:p w14:paraId="7263A35D">
      <w:pPr>
        <w:pStyle w:val="28"/>
        <w:tabs>
          <w:tab w:val="right" w:leader="dot" w:pos="9061"/>
        </w:tabs>
        <w:rPr>
          <w:rFonts w:eastAsiaTheme="minorEastAsia" w:cstheme="minorBidi"/>
          <w:b w:val="0"/>
          <w:bCs w:val="0"/>
          <w:caps w:val="0"/>
          <w:kern w:val="2"/>
          <w:sz w:val="21"/>
          <w:szCs w:val="22"/>
        </w:rPr>
      </w:pPr>
      <w:r>
        <w:fldChar w:fldCharType="begin"/>
      </w:r>
      <w:r>
        <w:instrText xml:space="preserve"> HYPERLINK \l "_Toc220074662" </w:instrText>
      </w:r>
      <w:r>
        <w:fldChar w:fldCharType="separate"/>
      </w:r>
      <w:r>
        <w:rPr>
          <w:rStyle w:val="47"/>
          <w:rFonts w:hint="eastAsia"/>
        </w:rPr>
        <w:t>表</w:t>
      </w:r>
      <w:r>
        <w:rPr>
          <w:rStyle w:val="47"/>
        </w:rPr>
        <w:t xml:space="preserve">5  </w:t>
      </w:r>
      <w:r>
        <w:rPr>
          <w:rStyle w:val="47"/>
          <w:rFonts w:hint="eastAsia"/>
        </w:rPr>
        <w:t>技术参数响应表</w:t>
      </w:r>
      <w:r>
        <w:tab/>
      </w:r>
      <w:r>
        <w:fldChar w:fldCharType="begin"/>
      </w:r>
      <w:r>
        <w:instrText xml:space="preserve"> PAGEREF _Toc220074662 \h </w:instrText>
      </w:r>
      <w:r>
        <w:fldChar w:fldCharType="separate"/>
      </w:r>
      <w:r>
        <w:t>16</w:t>
      </w:r>
      <w:r>
        <w:fldChar w:fldCharType="end"/>
      </w:r>
      <w:r>
        <w:fldChar w:fldCharType="end"/>
      </w:r>
    </w:p>
    <w:p w14:paraId="43AC4AEA">
      <w:pPr>
        <w:pStyle w:val="28"/>
        <w:tabs>
          <w:tab w:val="left" w:pos="420"/>
          <w:tab w:val="right" w:leader="dot" w:pos="9061"/>
        </w:tabs>
        <w:rPr>
          <w:rFonts w:eastAsiaTheme="minorEastAsia" w:cstheme="minorBidi"/>
          <w:b w:val="0"/>
          <w:bCs w:val="0"/>
          <w:caps w:val="0"/>
          <w:kern w:val="2"/>
          <w:sz w:val="21"/>
          <w:szCs w:val="22"/>
        </w:rPr>
      </w:pPr>
      <w:r>
        <w:fldChar w:fldCharType="begin"/>
      </w:r>
      <w:r>
        <w:instrText xml:space="preserve"> HYPERLINK \l "_Toc220074788" </w:instrText>
      </w:r>
      <w:r>
        <w:fldChar w:fldCharType="separate"/>
      </w:r>
      <w:r>
        <w:rPr>
          <w:rStyle w:val="47"/>
        </w:rPr>
        <w:t>1</w:t>
      </w:r>
      <w:r>
        <w:rPr>
          <w:rFonts w:eastAsiaTheme="minorEastAsia" w:cstheme="minorBidi"/>
          <w:b w:val="0"/>
          <w:bCs w:val="0"/>
          <w:caps w:val="0"/>
          <w:kern w:val="2"/>
          <w:sz w:val="21"/>
          <w:szCs w:val="22"/>
        </w:rPr>
        <w:tab/>
      </w:r>
      <w:r>
        <w:rPr>
          <w:rStyle w:val="47"/>
          <w:rFonts w:hint="eastAsia"/>
        </w:rPr>
        <w:t>总</w:t>
      </w:r>
      <w:r>
        <w:rPr>
          <w:rStyle w:val="47"/>
        </w:rPr>
        <w:t xml:space="preserve">  </w:t>
      </w:r>
      <w:r>
        <w:rPr>
          <w:rStyle w:val="47"/>
          <w:rFonts w:hint="eastAsia"/>
        </w:rPr>
        <w:t>则</w:t>
      </w:r>
      <w:r>
        <w:tab/>
      </w:r>
      <w:r>
        <w:fldChar w:fldCharType="begin"/>
      </w:r>
      <w:r>
        <w:instrText xml:space="preserve"> PAGEREF _Toc220074788 \h </w:instrText>
      </w:r>
      <w:r>
        <w:fldChar w:fldCharType="separate"/>
      </w:r>
      <w:r>
        <w:t>43</w:t>
      </w:r>
      <w:r>
        <w:fldChar w:fldCharType="end"/>
      </w:r>
      <w:r>
        <w:fldChar w:fldCharType="end"/>
      </w:r>
    </w:p>
    <w:p w14:paraId="43C2D47D">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"_Toc220074789" </w:instrText>
      </w:r>
      <w:r>
        <w:fldChar w:fldCharType="separate"/>
      </w:r>
      <w:r>
        <w:rPr>
          <w:rStyle w:val="47"/>
        </w:rPr>
        <w:t>1.1</w:t>
      </w:r>
      <w:r>
        <w:rPr>
          <w:rFonts w:eastAsiaTheme="minorEastAsia" w:cstheme="minorBidi"/>
          <w:smallCaps w:val="0"/>
          <w:kern w:val="2"/>
          <w:sz w:val="21"/>
          <w:szCs w:val="22"/>
        </w:rPr>
        <w:tab/>
      </w:r>
      <w:r>
        <w:rPr>
          <w:rStyle w:val="47"/>
          <w:rFonts w:hint="eastAsia"/>
          <w:bCs/>
        </w:rPr>
        <w:t>一般规定</w:t>
      </w:r>
      <w:r>
        <w:tab/>
      </w:r>
      <w:r>
        <w:fldChar w:fldCharType="begin"/>
      </w:r>
      <w:r>
        <w:instrText xml:space="preserve"> PAGEREF _Toc220074789 \h </w:instrText>
      </w:r>
      <w:r>
        <w:fldChar w:fldCharType="separate"/>
      </w:r>
      <w:r>
        <w:t>43</w:t>
      </w:r>
      <w:r>
        <w:fldChar w:fldCharType="end"/>
      </w:r>
      <w:r>
        <w:fldChar w:fldCharType="end"/>
      </w:r>
    </w:p>
    <w:p w14:paraId="245EA551">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"_Toc220074790" </w:instrText>
      </w:r>
      <w:r>
        <w:fldChar w:fldCharType="separate"/>
      </w:r>
      <w:r>
        <w:rPr>
          <w:rStyle w:val="47"/>
          <w:bCs/>
        </w:rPr>
        <w:t>1.2</w:t>
      </w:r>
      <w:r>
        <w:rPr>
          <w:rFonts w:eastAsiaTheme="minorEastAsia" w:cstheme="minorBidi"/>
          <w:smallCaps w:val="0"/>
          <w:kern w:val="2"/>
          <w:sz w:val="21"/>
          <w:szCs w:val="22"/>
        </w:rPr>
        <w:tab/>
      </w:r>
      <w:r>
        <w:rPr>
          <w:rStyle w:val="47"/>
          <w:rFonts w:hint="eastAsia"/>
          <w:bCs/>
        </w:rPr>
        <w:t>投标方应提供的资格文件</w:t>
      </w:r>
      <w:r>
        <w:tab/>
      </w:r>
      <w:r>
        <w:fldChar w:fldCharType="begin"/>
      </w:r>
      <w:r>
        <w:instrText xml:space="preserve"> PAGEREF _Toc220074790 \h </w:instrText>
      </w:r>
      <w:r>
        <w:fldChar w:fldCharType="separate"/>
      </w:r>
      <w:r>
        <w:t>44</w:t>
      </w:r>
      <w:r>
        <w:fldChar w:fldCharType="end"/>
      </w:r>
      <w:r>
        <w:fldChar w:fldCharType="end"/>
      </w:r>
    </w:p>
    <w:p w14:paraId="5DF8C919">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"_Toc220074791" </w:instrText>
      </w:r>
      <w:r>
        <w:fldChar w:fldCharType="separate"/>
      </w:r>
      <w:r>
        <w:rPr>
          <w:rStyle w:val="47"/>
          <w:bCs/>
        </w:rPr>
        <w:t>1.3</w:t>
      </w:r>
      <w:r>
        <w:rPr>
          <w:rFonts w:eastAsiaTheme="minorEastAsia" w:cstheme="minorBidi"/>
          <w:smallCaps w:val="0"/>
          <w:kern w:val="2"/>
          <w:sz w:val="21"/>
          <w:szCs w:val="22"/>
        </w:rPr>
        <w:tab/>
      </w:r>
      <w:r>
        <w:rPr>
          <w:rStyle w:val="47"/>
          <w:rFonts w:hint="eastAsia"/>
          <w:bCs/>
        </w:rPr>
        <w:t>投标方应提供的技术文件</w:t>
      </w:r>
      <w:r>
        <w:tab/>
      </w:r>
      <w:r>
        <w:fldChar w:fldCharType="begin"/>
      </w:r>
      <w:r>
        <w:instrText xml:space="preserve"> PAGEREF _Toc220074791 \h </w:instrText>
      </w:r>
      <w:r>
        <w:fldChar w:fldCharType="separate"/>
      </w:r>
      <w:r>
        <w:t>44</w:t>
      </w:r>
      <w:r>
        <w:fldChar w:fldCharType="end"/>
      </w:r>
      <w:r>
        <w:fldChar w:fldCharType="end"/>
      </w:r>
    </w:p>
    <w:p w14:paraId="2C47B886">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"_Toc220074792" </w:instrText>
      </w:r>
      <w:r>
        <w:fldChar w:fldCharType="separate"/>
      </w:r>
      <w:r>
        <w:rPr>
          <w:rStyle w:val="47"/>
          <w:bCs/>
        </w:rPr>
        <w:t>1.4</w:t>
      </w:r>
      <w:r>
        <w:rPr>
          <w:rFonts w:eastAsiaTheme="minorEastAsia" w:cstheme="minorBidi"/>
          <w:smallCaps w:val="0"/>
          <w:kern w:val="2"/>
          <w:sz w:val="21"/>
          <w:szCs w:val="22"/>
        </w:rPr>
        <w:tab/>
      </w:r>
      <w:r>
        <w:rPr>
          <w:rStyle w:val="47"/>
          <w:rFonts w:hint="eastAsia"/>
          <w:bCs/>
        </w:rPr>
        <w:t>必须提交的技术数据和信息</w:t>
      </w:r>
      <w:r>
        <w:tab/>
      </w:r>
      <w:r>
        <w:fldChar w:fldCharType="begin"/>
      </w:r>
      <w:r>
        <w:instrText xml:space="preserve"> PAGEREF _Toc220074792 \h </w:instrText>
      </w:r>
      <w:r>
        <w:fldChar w:fldCharType="separate"/>
      </w:r>
      <w:r>
        <w:t>49</w:t>
      </w:r>
      <w:r>
        <w:fldChar w:fldCharType="end"/>
      </w:r>
      <w:r>
        <w:fldChar w:fldCharType="end"/>
      </w:r>
    </w:p>
    <w:p w14:paraId="567EAA7F">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"_Toc220074793" </w:instrText>
      </w:r>
      <w:r>
        <w:fldChar w:fldCharType="separate"/>
      </w:r>
      <w:r>
        <w:rPr>
          <w:rStyle w:val="47"/>
          <w:bCs/>
        </w:rPr>
        <w:t>1.5</w:t>
      </w:r>
      <w:r>
        <w:rPr>
          <w:rFonts w:eastAsiaTheme="minorEastAsia" w:cstheme="minorBidi"/>
          <w:smallCaps w:val="0"/>
          <w:kern w:val="2"/>
          <w:sz w:val="21"/>
          <w:szCs w:val="22"/>
        </w:rPr>
        <w:tab/>
      </w:r>
      <w:r>
        <w:rPr>
          <w:rStyle w:val="47"/>
          <w:rFonts w:hint="eastAsia"/>
          <w:bCs/>
        </w:rPr>
        <w:t>备品备件</w:t>
      </w:r>
      <w:r>
        <w:tab/>
      </w:r>
      <w:r>
        <w:fldChar w:fldCharType="begin"/>
      </w:r>
      <w:r>
        <w:instrText xml:space="preserve"> PAGEREF _Toc220074793 \h </w:instrText>
      </w:r>
      <w:r>
        <w:fldChar w:fldCharType="separate"/>
      </w:r>
      <w:r>
        <w:t>49</w:t>
      </w:r>
      <w:r>
        <w:fldChar w:fldCharType="end"/>
      </w:r>
      <w:r>
        <w:fldChar w:fldCharType="end"/>
      </w:r>
    </w:p>
    <w:p w14:paraId="545F9E5B">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"_Toc220074794" </w:instrText>
      </w:r>
      <w:r>
        <w:fldChar w:fldCharType="separate"/>
      </w:r>
      <w:r>
        <w:rPr>
          <w:rStyle w:val="47"/>
          <w:bCs/>
        </w:rPr>
        <w:t>1.6</w:t>
      </w:r>
      <w:r>
        <w:rPr>
          <w:rFonts w:eastAsiaTheme="minorEastAsia" w:cstheme="minorBidi"/>
          <w:smallCaps w:val="0"/>
          <w:kern w:val="2"/>
          <w:sz w:val="21"/>
          <w:szCs w:val="22"/>
        </w:rPr>
        <w:tab/>
      </w:r>
      <w:r>
        <w:rPr>
          <w:rStyle w:val="47"/>
          <w:rFonts w:hint="eastAsia"/>
          <w:bCs/>
        </w:rPr>
        <w:t>专用工具与仪器仪表</w:t>
      </w:r>
      <w:r>
        <w:tab/>
      </w:r>
      <w:r>
        <w:fldChar w:fldCharType="begin"/>
      </w:r>
      <w:r>
        <w:instrText xml:space="preserve"> PAGEREF _Toc220074794 \h </w:instrText>
      </w:r>
      <w:r>
        <w:fldChar w:fldCharType="separate"/>
      </w:r>
      <w:r>
        <w:t>49</w:t>
      </w:r>
      <w:r>
        <w:fldChar w:fldCharType="end"/>
      </w:r>
      <w:r>
        <w:fldChar w:fldCharType="end"/>
      </w:r>
    </w:p>
    <w:p w14:paraId="734AE930">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"_Toc220074795" </w:instrText>
      </w:r>
      <w:r>
        <w:fldChar w:fldCharType="separate"/>
      </w:r>
      <w:r>
        <w:rPr>
          <w:rStyle w:val="47"/>
          <w:bCs/>
        </w:rPr>
        <w:t>1.7</w:t>
      </w:r>
      <w:r>
        <w:rPr>
          <w:rFonts w:eastAsiaTheme="minorEastAsia" w:cstheme="minorBidi"/>
          <w:smallCaps w:val="0"/>
          <w:kern w:val="2"/>
          <w:sz w:val="21"/>
          <w:szCs w:val="22"/>
        </w:rPr>
        <w:tab/>
      </w:r>
      <w:r>
        <w:rPr>
          <w:rStyle w:val="47"/>
          <w:rFonts w:hint="eastAsia"/>
          <w:bCs/>
        </w:rPr>
        <w:t>标准和规范</w:t>
      </w:r>
      <w:r>
        <w:tab/>
      </w:r>
      <w:r>
        <w:fldChar w:fldCharType="begin"/>
      </w:r>
      <w:r>
        <w:instrText xml:space="preserve"> PAGEREF _Toc220074795 \h </w:instrText>
      </w:r>
      <w:r>
        <w:fldChar w:fldCharType="separate"/>
      </w:r>
      <w:r>
        <w:t>50</w:t>
      </w:r>
      <w:r>
        <w:fldChar w:fldCharType="end"/>
      </w:r>
      <w:r>
        <w:fldChar w:fldCharType="end"/>
      </w:r>
    </w:p>
    <w:p w14:paraId="1BE0D85E">
      <w:pPr>
        <w:pStyle w:val="28"/>
        <w:tabs>
          <w:tab w:val="left" w:pos="420"/>
          <w:tab w:val="right" w:leader="dot" w:pos="9061"/>
        </w:tabs>
        <w:rPr>
          <w:rFonts w:eastAsiaTheme="minorEastAsia" w:cstheme="minorBidi"/>
          <w:b w:val="0"/>
          <w:bCs w:val="0"/>
          <w:caps w:val="0"/>
          <w:kern w:val="2"/>
          <w:sz w:val="21"/>
          <w:szCs w:val="22"/>
        </w:rPr>
      </w:pPr>
      <w:r>
        <w:fldChar w:fldCharType="begin"/>
      </w:r>
      <w:r>
        <w:instrText xml:space="preserve"> HYPERLINK \l "_Toc220074796" </w:instrText>
      </w:r>
      <w:r>
        <w:fldChar w:fldCharType="separate"/>
      </w:r>
      <w:r>
        <w:rPr>
          <w:rStyle w:val="47"/>
        </w:rPr>
        <w:t>2</w:t>
      </w:r>
      <w:r>
        <w:rPr>
          <w:rFonts w:eastAsiaTheme="minorEastAsia" w:cstheme="minorBidi"/>
          <w:b w:val="0"/>
          <w:bCs w:val="0"/>
          <w:caps w:val="0"/>
          <w:kern w:val="2"/>
          <w:sz w:val="21"/>
          <w:szCs w:val="22"/>
        </w:rPr>
        <w:tab/>
      </w:r>
      <w:r>
        <w:rPr>
          <w:rStyle w:val="47"/>
          <w:rFonts w:hint="eastAsia"/>
        </w:rPr>
        <w:t>工程概况</w:t>
      </w:r>
      <w:r>
        <w:tab/>
      </w:r>
      <w:r>
        <w:fldChar w:fldCharType="begin"/>
      </w:r>
      <w:r>
        <w:instrText xml:space="preserve"> PAGEREF _Toc220074796 \h </w:instrText>
      </w:r>
      <w:r>
        <w:fldChar w:fldCharType="separate"/>
      </w:r>
      <w:r>
        <w:t>50</w:t>
      </w:r>
      <w:r>
        <w:fldChar w:fldCharType="end"/>
      </w:r>
      <w:r>
        <w:fldChar w:fldCharType="end"/>
      </w:r>
    </w:p>
    <w:p w14:paraId="1BD9406E">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"_Toc220074797" </w:instrText>
      </w:r>
      <w:r>
        <w:fldChar w:fldCharType="separate"/>
      </w:r>
      <w:r>
        <w:rPr>
          <w:rStyle w:val="47"/>
          <w:bCs/>
        </w:rPr>
        <w:t>2.1</w:t>
      </w:r>
      <w:r>
        <w:rPr>
          <w:rFonts w:eastAsiaTheme="minorEastAsia" w:cstheme="minorBidi"/>
          <w:smallCaps w:val="0"/>
          <w:kern w:val="2"/>
          <w:sz w:val="21"/>
          <w:szCs w:val="22"/>
        </w:rPr>
        <w:tab/>
      </w:r>
      <w:r>
        <w:rPr>
          <w:rStyle w:val="47"/>
          <w:rFonts w:hint="eastAsia"/>
          <w:bCs/>
        </w:rPr>
        <w:t>项目名称</w:t>
      </w:r>
      <w:r>
        <w:tab/>
      </w:r>
      <w:r>
        <w:fldChar w:fldCharType="begin"/>
      </w:r>
      <w:r>
        <w:instrText xml:space="preserve"> PAGEREF _Toc220074797 \h </w:instrText>
      </w:r>
      <w:r>
        <w:fldChar w:fldCharType="separate"/>
      </w:r>
      <w:r>
        <w:t>50</w:t>
      </w:r>
      <w:r>
        <w:fldChar w:fldCharType="end"/>
      </w:r>
      <w:r>
        <w:fldChar w:fldCharType="end"/>
      </w:r>
    </w:p>
    <w:p w14:paraId="78896ADD">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"_Toc220074798" </w:instrText>
      </w:r>
      <w:r>
        <w:fldChar w:fldCharType="separate"/>
      </w:r>
      <w:r>
        <w:rPr>
          <w:rStyle w:val="47"/>
          <w:bCs/>
        </w:rPr>
        <w:t>2.2</w:t>
      </w:r>
      <w:r>
        <w:rPr>
          <w:rFonts w:eastAsiaTheme="minorEastAsia" w:cstheme="minorBidi"/>
          <w:smallCaps w:val="0"/>
          <w:kern w:val="2"/>
          <w:sz w:val="21"/>
          <w:szCs w:val="22"/>
        </w:rPr>
        <w:tab/>
      </w:r>
      <w:r>
        <w:rPr>
          <w:rStyle w:val="47"/>
          <w:rFonts w:hint="eastAsia"/>
          <w:bCs/>
        </w:rPr>
        <w:t>项目单位</w:t>
      </w:r>
      <w:r>
        <w:tab/>
      </w:r>
      <w:r>
        <w:fldChar w:fldCharType="begin"/>
      </w:r>
      <w:r>
        <w:instrText xml:space="preserve"> PAGEREF _Toc220074798 \h </w:instrText>
      </w:r>
      <w:r>
        <w:fldChar w:fldCharType="separate"/>
      </w:r>
      <w:r>
        <w:t>50</w:t>
      </w:r>
      <w:r>
        <w:fldChar w:fldCharType="end"/>
      </w:r>
      <w:r>
        <w:fldChar w:fldCharType="end"/>
      </w:r>
    </w:p>
    <w:p w14:paraId="4AD5953F">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"_Toc220074799" </w:instrText>
      </w:r>
      <w:r>
        <w:fldChar w:fldCharType="separate"/>
      </w:r>
      <w:r>
        <w:rPr>
          <w:rStyle w:val="47"/>
          <w:bCs/>
        </w:rPr>
        <w:t>2.3</w:t>
      </w:r>
      <w:r>
        <w:rPr>
          <w:rFonts w:eastAsiaTheme="minorEastAsia" w:cstheme="minorBidi"/>
          <w:smallCaps w:val="0"/>
          <w:kern w:val="2"/>
          <w:sz w:val="21"/>
          <w:szCs w:val="22"/>
        </w:rPr>
        <w:tab/>
      </w:r>
      <w:r>
        <w:rPr>
          <w:rStyle w:val="47"/>
          <w:rFonts w:hint="eastAsia"/>
          <w:bCs/>
        </w:rPr>
        <w:t>工程规模</w:t>
      </w:r>
      <w:r>
        <w:tab/>
      </w:r>
      <w:r>
        <w:fldChar w:fldCharType="begin"/>
      </w:r>
      <w:r>
        <w:instrText xml:space="preserve"> PAGEREF _Toc220074799 \h </w:instrText>
      </w:r>
      <w:r>
        <w:fldChar w:fldCharType="separate"/>
      </w:r>
      <w:r>
        <w:t>50</w:t>
      </w:r>
      <w:r>
        <w:fldChar w:fldCharType="end"/>
      </w:r>
      <w:r>
        <w:fldChar w:fldCharType="end"/>
      </w:r>
    </w:p>
    <w:p w14:paraId="7ECB808D">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"_Toc220074800" </w:instrText>
      </w:r>
      <w:r>
        <w:fldChar w:fldCharType="separate"/>
      </w:r>
      <w:r>
        <w:rPr>
          <w:rStyle w:val="47"/>
          <w:bCs/>
        </w:rPr>
        <w:t>2.4</w:t>
      </w:r>
      <w:r>
        <w:rPr>
          <w:rFonts w:eastAsiaTheme="minorEastAsia" w:cstheme="minorBidi"/>
          <w:smallCaps w:val="0"/>
          <w:kern w:val="2"/>
          <w:sz w:val="21"/>
          <w:szCs w:val="22"/>
        </w:rPr>
        <w:tab/>
      </w:r>
      <w:r>
        <w:rPr>
          <w:rStyle w:val="47"/>
          <w:rFonts w:hint="eastAsia"/>
          <w:bCs/>
        </w:rPr>
        <w:t>工程地址</w:t>
      </w:r>
      <w:r>
        <w:tab/>
      </w:r>
      <w:r>
        <w:fldChar w:fldCharType="begin"/>
      </w:r>
      <w:r>
        <w:instrText xml:space="preserve"> PAGEREF _Toc220074800 \h </w:instrText>
      </w:r>
      <w:r>
        <w:fldChar w:fldCharType="separate"/>
      </w:r>
      <w:r>
        <w:t>51</w:t>
      </w:r>
      <w:r>
        <w:fldChar w:fldCharType="end"/>
      </w:r>
      <w:r>
        <w:fldChar w:fldCharType="end"/>
      </w:r>
    </w:p>
    <w:p w14:paraId="600FAC4A">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"_Toc220074801" </w:instrText>
      </w:r>
      <w:r>
        <w:fldChar w:fldCharType="separate"/>
      </w:r>
      <w:r>
        <w:rPr>
          <w:rStyle w:val="47"/>
          <w:bCs/>
        </w:rPr>
        <w:t>2.5</w:t>
      </w:r>
      <w:r>
        <w:rPr>
          <w:rFonts w:eastAsiaTheme="minorEastAsia" w:cstheme="minorBidi"/>
          <w:smallCaps w:val="0"/>
          <w:kern w:val="2"/>
          <w:sz w:val="21"/>
          <w:szCs w:val="22"/>
        </w:rPr>
        <w:tab/>
      </w:r>
      <w:r>
        <w:rPr>
          <w:rStyle w:val="47"/>
          <w:rFonts w:hint="eastAsia"/>
          <w:bCs/>
        </w:rPr>
        <w:t>交通、运输</w:t>
      </w:r>
      <w:r>
        <w:tab/>
      </w:r>
      <w:r>
        <w:fldChar w:fldCharType="begin"/>
      </w:r>
      <w:r>
        <w:instrText xml:space="preserve"> PAGEREF _Toc220074801 \h </w:instrText>
      </w:r>
      <w:r>
        <w:fldChar w:fldCharType="separate"/>
      </w:r>
      <w:r>
        <w:t>51</w:t>
      </w:r>
      <w:r>
        <w:fldChar w:fldCharType="end"/>
      </w:r>
      <w:r>
        <w:fldChar w:fldCharType="end"/>
      </w:r>
    </w:p>
    <w:p w14:paraId="54517184">
      <w:pPr>
        <w:pStyle w:val="28"/>
        <w:tabs>
          <w:tab w:val="left" w:pos="420"/>
          <w:tab w:val="right" w:leader="dot" w:pos="9061"/>
        </w:tabs>
        <w:rPr>
          <w:rFonts w:eastAsiaTheme="minorEastAsia" w:cstheme="minorBidi"/>
          <w:b w:val="0"/>
          <w:bCs w:val="0"/>
          <w:caps w:val="0"/>
          <w:kern w:val="2"/>
          <w:sz w:val="21"/>
          <w:szCs w:val="22"/>
        </w:rPr>
      </w:pPr>
      <w:r>
        <w:fldChar w:fldCharType="begin"/>
      </w:r>
      <w:r>
        <w:instrText xml:space="preserve"> HYPERLINK \l "_Toc220074802" </w:instrText>
      </w:r>
      <w:r>
        <w:fldChar w:fldCharType="separate"/>
      </w:r>
      <w:r>
        <w:rPr>
          <w:rStyle w:val="47"/>
        </w:rPr>
        <w:t>3</w:t>
      </w:r>
      <w:r>
        <w:rPr>
          <w:rFonts w:eastAsiaTheme="minorEastAsia" w:cstheme="minorBidi"/>
          <w:b w:val="0"/>
          <w:bCs w:val="0"/>
          <w:caps w:val="0"/>
          <w:kern w:val="2"/>
          <w:sz w:val="21"/>
          <w:szCs w:val="22"/>
        </w:rPr>
        <w:tab/>
      </w:r>
      <w:r>
        <w:rPr>
          <w:rStyle w:val="47"/>
          <w:rFonts w:hint="eastAsia"/>
        </w:rPr>
        <w:t>使用条件</w:t>
      </w:r>
      <w:r>
        <w:tab/>
      </w:r>
      <w:r>
        <w:fldChar w:fldCharType="begin"/>
      </w:r>
      <w:r>
        <w:instrText xml:space="preserve"> PAGEREF _Toc220074802 \h </w:instrText>
      </w:r>
      <w:r>
        <w:fldChar w:fldCharType="separate"/>
      </w:r>
      <w:r>
        <w:t>52</w:t>
      </w:r>
      <w:r>
        <w:fldChar w:fldCharType="end"/>
      </w:r>
      <w:r>
        <w:fldChar w:fldCharType="end"/>
      </w:r>
    </w:p>
    <w:p w14:paraId="537CBE9A">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"_Toc220074803" </w:instrText>
      </w:r>
      <w:r>
        <w:fldChar w:fldCharType="separate"/>
      </w:r>
      <w:r>
        <w:rPr>
          <w:rStyle w:val="47"/>
          <w:bCs/>
        </w:rPr>
        <w:t>3.1</w:t>
      </w:r>
      <w:r>
        <w:rPr>
          <w:rFonts w:eastAsiaTheme="minorEastAsia" w:cstheme="minorBidi"/>
          <w:smallCaps w:val="0"/>
          <w:kern w:val="2"/>
          <w:sz w:val="21"/>
          <w:szCs w:val="22"/>
        </w:rPr>
        <w:tab/>
      </w:r>
      <w:r>
        <w:rPr>
          <w:rStyle w:val="47"/>
          <w:rFonts w:hint="eastAsia"/>
          <w:bCs/>
        </w:rPr>
        <w:t>设计条件</w:t>
      </w:r>
      <w:r>
        <w:tab/>
      </w:r>
      <w:r>
        <w:fldChar w:fldCharType="begin"/>
      </w:r>
      <w:r>
        <w:instrText xml:space="preserve"> PAGEREF _Toc220074803 \h </w:instrText>
      </w:r>
      <w:r>
        <w:fldChar w:fldCharType="separate"/>
      </w:r>
      <w:r>
        <w:t>52</w:t>
      </w:r>
      <w:r>
        <w:fldChar w:fldCharType="end"/>
      </w:r>
      <w:r>
        <w:fldChar w:fldCharType="end"/>
      </w:r>
    </w:p>
    <w:p w14:paraId="73A8F821">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"_Toc220074804" </w:instrText>
      </w:r>
      <w:r>
        <w:fldChar w:fldCharType="separate"/>
      </w:r>
      <w:r>
        <w:rPr>
          <w:rStyle w:val="47"/>
          <w:bCs/>
        </w:rPr>
        <w:t>3.2</w:t>
      </w:r>
      <w:r>
        <w:rPr>
          <w:rFonts w:eastAsiaTheme="minorEastAsia" w:cstheme="minorBidi"/>
          <w:smallCaps w:val="0"/>
          <w:kern w:val="2"/>
          <w:sz w:val="21"/>
          <w:szCs w:val="22"/>
        </w:rPr>
        <w:tab/>
      </w:r>
      <w:r>
        <w:rPr>
          <w:rStyle w:val="47"/>
          <w:rFonts w:hint="eastAsia"/>
          <w:bCs/>
        </w:rPr>
        <w:t>通风空调系统和相关设备</w:t>
      </w:r>
      <w:r>
        <w:tab/>
      </w:r>
      <w:r>
        <w:fldChar w:fldCharType="begin"/>
      </w:r>
      <w:r>
        <w:instrText xml:space="preserve"> PAGEREF _Toc220074804 \h </w:instrText>
      </w:r>
      <w:r>
        <w:fldChar w:fldCharType="separate"/>
      </w:r>
      <w:r>
        <w:t>56</w:t>
      </w:r>
      <w:r>
        <w:fldChar w:fldCharType="end"/>
      </w:r>
      <w:r>
        <w:fldChar w:fldCharType="end"/>
      </w:r>
    </w:p>
    <w:p w14:paraId="3443F031">
      <w:pPr>
        <w:pStyle w:val="28"/>
        <w:tabs>
          <w:tab w:val="left" w:pos="420"/>
          <w:tab w:val="right" w:leader="dot" w:pos="9061"/>
        </w:tabs>
        <w:rPr>
          <w:rFonts w:eastAsiaTheme="minorEastAsia" w:cstheme="minorBidi"/>
          <w:b w:val="0"/>
          <w:bCs w:val="0"/>
          <w:caps w:val="0"/>
          <w:kern w:val="2"/>
          <w:sz w:val="21"/>
          <w:szCs w:val="22"/>
        </w:rPr>
      </w:pPr>
      <w:r>
        <w:fldChar w:fldCharType="begin"/>
      </w:r>
      <w:r>
        <w:instrText xml:space="preserve"> HYPERLINK \l "_Toc220074805" </w:instrText>
      </w:r>
      <w:r>
        <w:fldChar w:fldCharType="separate"/>
      </w:r>
      <w:r>
        <w:rPr>
          <w:rStyle w:val="47"/>
        </w:rPr>
        <w:t>4</w:t>
      </w:r>
      <w:r>
        <w:rPr>
          <w:rFonts w:eastAsiaTheme="minorEastAsia" w:cstheme="minorBidi"/>
          <w:b w:val="0"/>
          <w:bCs w:val="0"/>
          <w:caps w:val="0"/>
          <w:kern w:val="2"/>
          <w:sz w:val="21"/>
          <w:szCs w:val="22"/>
        </w:rPr>
        <w:tab/>
      </w:r>
      <w:r>
        <w:rPr>
          <w:rStyle w:val="47"/>
          <w:rFonts w:hint="eastAsia"/>
        </w:rPr>
        <w:t>通风及空调设备技术要求</w:t>
      </w:r>
      <w:r>
        <w:tab/>
      </w:r>
      <w:r>
        <w:fldChar w:fldCharType="begin"/>
      </w:r>
      <w:r>
        <w:instrText xml:space="preserve"> PAGEREF _Toc220074805 \h </w:instrText>
      </w:r>
      <w:r>
        <w:fldChar w:fldCharType="separate"/>
      </w:r>
      <w:r>
        <w:t>61</w:t>
      </w:r>
      <w:r>
        <w:fldChar w:fldCharType="end"/>
      </w:r>
      <w:r>
        <w:fldChar w:fldCharType="end"/>
      </w:r>
    </w:p>
    <w:p w14:paraId="2D62585A">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"_Toc220074806" </w:instrText>
      </w:r>
      <w:r>
        <w:fldChar w:fldCharType="separate"/>
      </w:r>
      <w:r>
        <w:rPr>
          <w:rStyle w:val="47"/>
          <w:bCs/>
        </w:rPr>
        <w:t>4.1</w:t>
      </w:r>
      <w:r>
        <w:rPr>
          <w:rFonts w:eastAsiaTheme="minorEastAsia" w:cstheme="minorBidi"/>
          <w:smallCaps w:val="0"/>
          <w:kern w:val="2"/>
          <w:sz w:val="21"/>
          <w:szCs w:val="22"/>
        </w:rPr>
        <w:tab/>
      </w:r>
      <w:r>
        <w:rPr>
          <w:rStyle w:val="47"/>
          <w:rFonts w:hint="eastAsia"/>
          <w:bCs/>
        </w:rPr>
        <w:t>设备设计要求</w:t>
      </w:r>
      <w:r>
        <w:tab/>
      </w:r>
      <w:r>
        <w:fldChar w:fldCharType="begin"/>
      </w:r>
      <w:r>
        <w:instrText xml:space="preserve"> PAGEREF _Toc220074806 \h </w:instrText>
      </w:r>
      <w:r>
        <w:fldChar w:fldCharType="separate"/>
      </w:r>
      <w:r>
        <w:t>61</w:t>
      </w:r>
      <w:r>
        <w:fldChar w:fldCharType="end"/>
      </w:r>
      <w:r>
        <w:fldChar w:fldCharType="end"/>
      </w:r>
    </w:p>
    <w:p w14:paraId="30E4324A">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"_Toc220074807" </w:instrText>
      </w:r>
      <w:r>
        <w:fldChar w:fldCharType="separate"/>
      </w:r>
      <w:r>
        <w:rPr>
          <w:rStyle w:val="47"/>
          <w:bCs/>
        </w:rPr>
        <w:t>4.2</w:t>
      </w:r>
      <w:r>
        <w:rPr>
          <w:rFonts w:eastAsiaTheme="minorEastAsia" w:cstheme="minorBidi"/>
          <w:smallCaps w:val="0"/>
          <w:kern w:val="2"/>
          <w:sz w:val="21"/>
          <w:szCs w:val="22"/>
        </w:rPr>
        <w:tab/>
      </w:r>
      <w:r>
        <w:rPr>
          <w:rStyle w:val="47"/>
          <w:rFonts w:hint="eastAsia"/>
          <w:bCs/>
        </w:rPr>
        <w:t>设备设计和结构特点</w:t>
      </w:r>
      <w:r>
        <w:tab/>
      </w:r>
      <w:r>
        <w:fldChar w:fldCharType="begin"/>
      </w:r>
      <w:r>
        <w:instrText xml:space="preserve"> PAGEREF _Toc220074807 \h </w:instrText>
      </w:r>
      <w:r>
        <w:fldChar w:fldCharType="separate"/>
      </w:r>
      <w:r>
        <w:t>63</w:t>
      </w:r>
      <w:r>
        <w:fldChar w:fldCharType="end"/>
      </w:r>
      <w:r>
        <w:fldChar w:fldCharType="end"/>
      </w:r>
    </w:p>
    <w:p w14:paraId="3D6A0033">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"_Toc220074808" </w:instrText>
      </w:r>
      <w:r>
        <w:fldChar w:fldCharType="separate"/>
      </w:r>
      <w:r>
        <w:rPr>
          <w:rStyle w:val="47"/>
          <w:bCs/>
        </w:rPr>
        <w:t>4.3</w:t>
      </w:r>
      <w:r>
        <w:rPr>
          <w:rFonts w:eastAsiaTheme="minorEastAsia" w:cstheme="minorBidi"/>
          <w:smallCaps w:val="0"/>
          <w:kern w:val="2"/>
          <w:sz w:val="21"/>
          <w:szCs w:val="22"/>
        </w:rPr>
        <w:tab/>
      </w:r>
      <w:r>
        <w:rPr>
          <w:rStyle w:val="47"/>
          <w:rFonts w:hint="eastAsia"/>
          <w:bCs/>
        </w:rPr>
        <w:t>电气及仪表控制</w:t>
      </w:r>
      <w:r>
        <w:tab/>
      </w:r>
      <w:r>
        <w:fldChar w:fldCharType="begin"/>
      </w:r>
      <w:r>
        <w:instrText xml:space="preserve"> PAGEREF _Toc220074808 \h </w:instrText>
      </w:r>
      <w:r>
        <w:fldChar w:fldCharType="separate"/>
      </w:r>
      <w:r>
        <w:t>100</w:t>
      </w:r>
      <w:r>
        <w:fldChar w:fldCharType="end"/>
      </w:r>
      <w:r>
        <w:fldChar w:fldCharType="end"/>
      </w:r>
    </w:p>
    <w:p w14:paraId="26966AA9">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"_Toc220074809" </w:instrText>
      </w:r>
      <w:r>
        <w:fldChar w:fldCharType="separate"/>
      </w:r>
      <w:r>
        <w:rPr>
          <w:rStyle w:val="47"/>
          <w:bCs/>
        </w:rPr>
        <w:t>4.4</w:t>
      </w:r>
      <w:r>
        <w:rPr>
          <w:rFonts w:eastAsiaTheme="minorEastAsia" w:cstheme="minorBidi"/>
          <w:smallCaps w:val="0"/>
          <w:kern w:val="2"/>
          <w:sz w:val="21"/>
          <w:szCs w:val="22"/>
        </w:rPr>
        <w:tab/>
      </w:r>
      <w:r>
        <w:rPr>
          <w:rStyle w:val="47"/>
          <w:rFonts w:hint="eastAsia"/>
          <w:bCs/>
        </w:rPr>
        <w:t>噪音及振动</w:t>
      </w:r>
      <w:r>
        <w:tab/>
      </w:r>
      <w:r>
        <w:fldChar w:fldCharType="begin"/>
      </w:r>
      <w:r>
        <w:instrText xml:space="preserve"> PAGEREF _Toc220074809 \h </w:instrText>
      </w:r>
      <w:r>
        <w:fldChar w:fldCharType="separate"/>
      </w:r>
      <w:r>
        <w:t>127</w:t>
      </w:r>
      <w:r>
        <w:fldChar w:fldCharType="end"/>
      </w:r>
      <w:r>
        <w:fldChar w:fldCharType="end"/>
      </w:r>
    </w:p>
    <w:p w14:paraId="7386AFD5">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"_Toc220074810" </w:instrText>
      </w:r>
      <w:r>
        <w:fldChar w:fldCharType="separate"/>
      </w:r>
      <w:r>
        <w:rPr>
          <w:rStyle w:val="47"/>
          <w:bCs/>
        </w:rPr>
        <w:t>4.5</w:t>
      </w:r>
      <w:r>
        <w:rPr>
          <w:rFonts w:eastAsiaTheme="minorEastAsia" w:cstheme="minorBidi"/>
          <w:smallCaps w:val="0"/>
          <w:kern w:val="2"/>
          <w:sz w:val="21"/>
          <w:szCs w:val="22"/>
        </w:rPr>
        <w:tab/>
      </w:r>
      <w:r>
        <w:rPr>
          <w:rStyle w:val="47"/>
          <w:rFonts w:hint="eastAsia"/>
          <w:bCs/>
        </w:rPr>
        <w:t>表面整理和涂层</w:t>
      </w:r>
      <w:r>
        <w:tab/>
      </w:r>
      <w:r>
        <w:fldChar w:fldCharType="begin"/>
      </w:r>
      <w:r>
        <w:instrText xml:space="preserve"> PAGEREF _Toc220074810 \h </w:instrText>
      </w:r>
      <w:r>
        <w:fldChar w:fldCharType="separate"/>
      </w:r>
      <w:r>
        <w:t>128</w:t>
      </w:r>
      <w:r>
        <w:fldChar w:fldCharType="end"/>
      </w:r>
      <w:r>
        <w:fldChar w:fldCharType="end"/>
      </w:r>
    </w:p>
    <w:p w14:paraId="11146170">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"_Toc220074811" </w:instrText>
      </w:r>
      <w:r>
        <w:fldChar w:fldCharType="separate"/>
      </w:r>
      <w:r>
        <w:rPr>
          <w:rStyle w:val="47"/>
          <w:bCs/>
        </w:rPr>
        <w:t>4.6</w:t>
      </w:r>
      <w:r>
        <w:rPr>
          <w:rFonts w:eastAsiaTheme="minorEastAsia" w:cstheme="minorBidi"/>
          <w:smallCaps w:val="0"/>
          <w:kern w:val="2"/>
          <w:sz w:val="21"/>
          <w:szCs w:val="22"/>
        </w:rPr>
        <w:tab/>
      </w:r>
      <w:r>
        <w:rPr>
          <w:rStyle w:val="47"/>
          <w:rFonts w:hint="eastAsia"/>
          <w:bCs/>
        </w:rPr>
        <w:t>接口及责任</w:t>
      </w:r>
      <w:r>
        <w:tab/>
      </w:r>
      <w:r>
        <w:fldChar w:fldCharType="begin"/>
      </w:r>
      <w:r>
        <w:instrText xml:space="preserve"> PAGEREF _Toc220074811 \h </w:instrText>
      </w:r>
      <w:r>
        <w:fldChar w:fldCharType="separate"/>
      </w:r>
      <w:r>
        <w:t>128</w:t>
      </w:r>
      <w:r>
        <w:fldChar w:fldCharType="end"/>
      </w:r>
      <w:r>
        <w:fldChar w:fldCharType="end"/>
      </w:r>
    </w:p>
    <w:p w14:paraId="55EABE42">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"_Toc220074812" </w:instrText>
      </w:r>
      <w:r>
        <w:fldChar w:fldCharType="separate"/>
      </w:r>
      <w:r>
        <w:rPr>
          <w:rStyle w:val="47"/>
          <w:bCs/>
        </w:rPr>
        <w:t>4.7</w:t>
      </w:r>
      <w:r>
        <w:rPr>
          <w:rFonts w:eastAsiaTheme="minorEastAsia" w:cstheme="minorBidi"/>
          <w:smallCaps w:val="0"/>
          <w:kern w:val="2"/>
          <w:sz w:val="21"/>
          <w:szCs w:val="22"/>
        </w:rPr>
        <w:tab/>
      </w:r>
      <w:r>
        <w:rPr>
          <w:rStyle w:val="47"/>
          <w:rFonts w:hint="eastAsia"/>
          <w:bCs/>
        </w:rPr>
        <w:t>铭</w:t>
      </w:r>
      <w:r>
        <w:rPr>
          <w:rStyle w:val="47"/>
          <w:bCs/>
        </w:rPr>
        <w:t xml:space="preserve">  </w:t>
      </w:r>
      <w:r>
        <w:rPr>
          <w:rStyle w:val="47"/>
          <w:rFonts w:hint="eastAsia"/>
          <w:bCs/>
        </w:rPr>
        <w:t>牌</w:t>
      </w:r>
      <w:r>
        <w:tab/>
      </w:r>
      <w:r>
        <w:fldChar w:fldCharType="begin"/>
      </w:r>
      <w:r>
        <w:instrText xml:space="preserve"> PAGEREF _Toc220074812 \h </w:instrText>
      </w:r>
      <w:r>
        <w:fldChar w:fldCharType="separate"/>
      </w:r>
      <w:r>
        <w:t>130</w:t>
      </w:r>
      <w:r>
        <w:fldChar w:fldCharType="end"/>
      </w:r>
      <w:r>
        <w:fldChar w:fldCharType="end"/>
      </w:r>
    </w:p>
    <w:p w14:paraId="2991C923">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"_Toc220074813" </w:instrText>
      </w:r>
      <w:r>
        <w:fldChar w:fldCharType="separate"/>
      </w:r>
      <w:r>
        <w:rPr>
          <w:rStyle w:val="47"/>
          <w:bCs/>
        </w:rPr>
        <w:t>4.1</w:t>
      </w:r>
      <w:r>
        <w:rPr>
          <w:rFonts w:eastAsiaTheme="minorEastAsia" w:cstheme="minorBidi"/>
          <w:smallCaps w:val="0"/>
          <w:kern w:val="2"/>
          <w:sz w:val="21"/>
          <w:szCs w:val="22"/>
        </w:rPr>
        <w:tab/>
      </w:r>
      <w:r>
        <w:rPr>
          <w:rStyle w:val="47"/>
          <w:rFonts w:hint="eastAsia"/>
          <w:bCs/>
        </w:rPr>
        <w:t>工厂试验</w:t>
      </w:r>
      <w:r>
        <w:tab/>
      </w:r>
      <w:r>
        <w:fldChar w:fldCharType="begin"/>
      </w:r>
      <w:r>
        <w:instrText xml:space="preserve"> PAGEREF _Toc220074813 \h </w:instrText>
      </w:r>
      <w:r>
        <w:fldChar w:fldCharType="separate"/>
      </w:r>
      <w:r>
        <w:t>131</w:t>
      </w:r>
      <w:r>
        <w:fldChar w:fldCharType="end"/>
      </w:r>
      <w:r>
        <w:fldChar w:fldCharType="end"/>
      </w:r>
    </w:p>
    <w:p w14:paraId="58DE116A">
      <w:pPr>
        <w:pStyle w:val="28"/>
        <w:tabs>
          <w:tab w:val="left" w:pos="420"/>
          <w:tab w:val="right" w:leader="dot" w:pos="9061"/>
        </w:tabs>
        <w:rPr>
          <w:rFonts w:eastAsiaTheme="minorEastAsia" w:cstheme="minorBidi"/>
          <w:b w:val="0"/>
          <w:bCs w:val="0"/>
          <w:caps w:val="0"/>
          <w:kern w:val="2"/>
          <w:sz w:val="21"/>
          <w:szCs w:val="22"/>
        </w:rPr>
      </w:pPr>
      <w:r>
        <w:fldChar w:fldCharType="begin"/>
      </w:r>
      <w:r>
        <w:instrText xml:space="preserve"> HYPERLINK \l "_Toc220074814" </w:instrText>
      </w:r>
      <w:r>
        <w:fldChar w:fldCharType="separate"/>
      </w:r>
      <w:r>
        <w:rPr>
          <w:rStyle w:val="47"/>
        </w:rPr>
        <w:t>5</w:t>
      </w:r>
      <w:r>
        <w:rPr>
          <w:rFonts w:eastAsiaTheme="minorEastAsia" w:cstheme="minorBidi"/>
          <w:b w:val="0"/>
          <w:bCs w:val="0"/>
          <w:caps w:val="0"/>
          <w:kern w:val="2"/>
          <w:sz w:val="21"/>
          <w:szCs w:val="22"/>
        </w:rPr>
        <w:tab/>
      </w:r>
      <w:r>
        <w:rPr>
          <w:rStyle w:val="47"/>
          <w:rFonts w:hint="eastAsia"/>
        </w:rPr>
        <w:t>试</w:t>
      </w:r>
      <w:r>
        <w:rPr>
          <w:rStyle w:val="47"/>
        </w:rPr>
        <w:t xml:space="preserve">  </w:t>
      </w:r>
      <w:r>
        <w:rPr>
          <w:rStyle w:val="47"/>
          <w:rFonts w:hint="eastAsia"/>
        </w:rPr>
        <w:t>验</w:t>
      </w:r>
      <w:r>
        <w:tab/>
      </w:r>
      <w:r>
        <w:fldChar w:fldCharType="begin"/>
      </w:r>
      <w:r>
        <w:instrText xml:space="preserve"> PAGEREF _Toc220074814 \h </w:instrText>
      </w:r>
      <w:r>
        <w:fldChar w:fldCharType="separate"/>
      </w:r>
      <w:r>
        <w:t>131</w:t>
      </w:r>
      <w:r>
        <w:fldChar w:fldCharType="end"/>
      </w:r>
      <w:r>
        <w:fldChar w:fldCharType="end"/>
      </w:r>
    </w:p>
    <w:p w14:paraId="5A4EF735">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"_Toc220074815" </w:instrText>
      </w:r>
      <w:r>
        <w:fldChar w:fldCharType="separate"/>
      </w:r>
      <w:r>
        <w:rPr>
          <w:rStyle w:val="47"/>
          <w:bCs/>
        </w:rPr>
        <w:t>5.1</w:t>
      </w:r>
      <w:r>
        <w:rPr>
          <w:rFonts w:eastAsiaTheme="minorEastAsia" w:cstheme="minorBidi"/>
          <w:smallCaps w:val="0"/>
          <w:kern w:val="2"/>
          <w:sz w:val="21"/>
          <w:szCs w:val="22"/>
        </w:rPr>
        <w:tab/>
      </w:r>
      <w:r>
        <w:rPr>
          <w:rStyle w:val="47"/>
          <w:rFonts w:hint="eastAsia"/>
          <w:bCs/>
        </w:rPr>
        <w:t>型式试验</w:t>
      </w:r>
      <w:r>
        <w:tab/>
      </w:r>
      <w:r>
        <w:fldChar w:fldCharType="begin"/>
      </w:r>
      <w:r>
        <w:instrText xml:space="preserve"> PAGEREF _Toc220074815 \h </w:instrText>
      </w:r>
      <w:r>
        <w:fldChar w:fldCharType="separate"/>
      </w:r>
      <w:r>
        <w:t>131</w:t>
      </w:r>
      <w:r>
        <w:fldChar w:fldCharType="end"/>
      </w:r>
      <w:r>
        <w:fldChar w:fldCharType="end"/>
      </w:r>
    </w:p>
    <w:p w14:paraId="226E9515">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"_Toc220074816" </w:instrText>
      </w:r>
      <w:r>
        <w:fldChar w:fldCharType="separate"/>
      </w:r>
      <w:r>
        <w:rPr>
          <w:rStyle w:val="47"/>
          <w:bCs/>
        </w:rPr>
        <w:t>5.2</w:t>
      </w:r>
      <w:r>
        <w:rPr>
          <w:rFonts w:eastAsiaTheme="minorEastAsia" w:cstheme="minorBidi"/>
          <w:smallCaps w:val="0"/>
          <w:kern w:val="2"/>
          <w:sz w:val="21"/>
          <w:szCs w:val="22"/>
        </w:rPr>
        <w:tab/>
      </w:r>
      <w:r>
        <w:rPr>
          <w:rStyle w:val="47"/>
          <w:rFonts w:hint="eastAsia"/>
          <w:bCs/>
        </w:rPr>
        <w:t>现场试验</w:t>
      </w:r>
      <w:r>
        <w:tab/>
      </w:r>
      <w:r>
        <w:fldChar w:fldCharType="begin"/>
      </w:r>
      <w:r>
        <w:instrText xml:space="preserve"> PAGEREF _Toc220074816 \h </w:instrText>
      </w:r>
      <w:r>
        <w:fldChar w:fldCharType="separate"/>
      </w:r>
      <w:r>
        <w:t>131</w:t>
      </w:r>
      <w:r>
        <w:fldChar w:fldCharType="end"/>
      </w:r>
      <w:r>
        <w:fldChar w:fldCharType="end"/>
      </w:r>
    </w:p>
    <w:p w14:paraId="0759FE87">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"_Toc220074817" </w:instrText>
      </w:r>
      <w:r>
        <w:fldChar w:fldCharType="separate"/>
      </w:r>
      <w:r>
        <w:rPr>
          <w:rStyle w:val="47"/>
          <w:bCs/>
        </w:rPr>
        <w:t>5.3</w:t>
      </w:r>
      <w:r>
        <w:rPr>
          <w:rFonts w:eastAsiaTheme="minorEastAsia" w:cstheme="minorBidi"/>
          <w:smallCaps w:val="0"/>
          <w:kern w:val="2"/>
          <w:sz w:val="21"/>
          <w:szCs w:val="22"/>
        </w:rPr>
        <w:tab/>
      </w:r>
      <w:r>
        <w:rPr>
          <w:rStyle w:val="47"/>
          <w:rFonts w:hint="eastAsia"/>
          <w:bCs/>
        </w:rPr>
        <w:t>试验具体项目</w:t>
      </w:r>
      <w:r>
        <w:tab/>
      </w:r>
      <w:r>
        <w:fldChar w:fldCharType="begin"/>
      </w:r>
      <w:r>
        <w:instrText xml:space="preserve"> PAGEREF _Toc220074817 \h </w:instrText>
      </w:r>
      <w:r>
        <w:fldChar w:fldCharType="separate"/>
      </w:r>
      <w:r>
        <w:t>132</w:t>
      </w:r>
      <w:r>
        <w:fldChar w:fldCharType="end"/>
      </w:r>
      <w:r>
        <w:fldChar w:fldCharType="end"/>
      </w:r>
    </w:p>
    <w:p w14:paraId="228647DA">
      <w:pPr>
        <w:pStyle w:val="28"/>
        <w:tabs>
          <w:tab w:val="left" w:pos="420"/>
          <w:tab w:val="right" w:leader="dot" w:pos="9061"/>
        </w:tabs>
        <w:rPr>
          <w:rFonts w:eastAsiaTheme="minorEastAsia" w:cstheme="minorBidi"/>
          <w:b w:val="0"/>
          <w:bCs w:val="0"/>
          <w:caps w:val="0"/>
          <w:kern w:val="2"/>
          <w:sz w:val="21"/>
          <w:szCs w:val="22"/>
        </w:rPr>
      </w:pPr>
      <w:r>
        <w:fldChar w:fldCharType="begin"/>
      </w:r>
      <w:r>
        <w:instrText xml:space="preserve"> HYPERLINK \l "_Toc220074818" </w:instrText>
      </w:r>
      <w:r>
        <w:fldChar w:fldCharType="separate"/>
      </w:r>
      <w:r>
        <w:rPr>
          <w:rStyle w:val="47"/>
        </w:rPr>
        <w:t>6</w:t>
      </w:r>
      <w:r>
        <w:rPr>
          <w:rFonts w:eastAsiaTheme="minorEastAsia" w:cstheme="minorBidi"/>
          <w:b w:val="0"/>
          <w:bCs w:val="0"/>
          <w:caps w:val="0"/>
          <w:kern w:val="2"/>
          <w:sz w:val="21"/>
          <w:szCs w:val="22"/>
        </w:rPr>
        <w:tab/>
      </w:r>
      <w:r>
        <w:rPr>
          <w:rStyle w:val="47"/>
          <w:rFonts w:hint="eastAsia"/>
        </w:rPr>
        <w:t>质量保证及管理</w:t>
      </w:r>
      <w:r>
        <w:tab/>
      </w:r>
      <w:r>
        <w:fldChar w:fldCharType="begin"/>
      </w:r>
      <w:r>
        <w:instrText xml:space="preserve"> PAGEREF _Toc220074818 \h </w:instrText>
      </w:r>
      <w:r>
        <w:fldChar w:fldCharType="separate"/>
      </w:r>
      <w:r>
        <w:t>132</w:t>
      </w:r>
      <w:r>
        <w:fldChar w:fldCharType="end"/>
      </w:r>
      <w:r>
        <w:fldChar w:fldCharType="end"/>
      </w:r>
    </w:p>
    <w:p w14:paraId="147F42A0">
      <w:pPr>
        <w:pStyle w:val="28"/>
        <w:tabs>
          <w:tab w:val="left" w:pos="420"/>
          <w:tab w:val="right" w:leader="dot" w:pos="9061"/>
        </w:tabs>
        <w:rPr>
          <w:rFonts w:eastAsiaTheme="minorEastAsia" w:cstheme="minorBidi"/>
          <w:b w:val="0"/>
          <w:bCs w:val="0"/>
          <w:caps w:val="0"/>
          <w:kern w:val="2"/>
          <w:sz w:val="21"/>
          <w:szCs w:val="22"/>
        </w:rPr>
      </w:pPr>
      <w:r>
        <w:fldChar w:fldCharType="begin"/>
      </w:r>
      <w:r>
        <w:instrText xml:space="preserve"> HYPERLINK \l "_Toc220074819" </w:instrText>
      </w:r>
      <w:r>
        <w:fldChar w:fldCharType="separate"/>
      </w:r>
      <w:r>
        <w:rPr>
          <w:rStyle w:val="47"/>
        </w:rPr>
        <w:t>7</w:t>
      </w:r>
      <w:r>
        <w:rPr>
          <w:rFonts w:eastAsiaTheme="minorEastAsia" w:cstheme="minorBidi"/>
          <w:b w:val="0"/>
          <w:bCs w:val="0"/>
          <w:caps w:val="0"/>
          <w:kern w:val="2"/>
          <w:sz w:val="21"/>
          <w:szCs w:val="22"/>
        </w:rPr>
        <w:tab/>
      </w:r>
      <w:r>
        <w:rPr>
          <w:rStyle w:val="47"/>
          <w:rFonts w:hint="eastAsia"/>
        </w:rPr>
        <w:t>技术服务、设计联络会、检验和监造</w:t>
      </w:r>
      <w:r>
        <w:tab/>
      </w:r>
      <w:r>
        <w:fldChar w:fldCharType="begin"/>
      </w:r>
      <w:r>
        <w:instrText xml:space="preserve"> PAGEREF _Toc220074819 \h </w:instrText>
      </w:r>
      <w:r>
        <w:fldChar w:fldCharType="separate"/>
      </w:r>
      <w:r>
        <w:t>133</w:t>
      </w:r>
      <w:r>
        <w:fldChar w:fldCharType="end"/>
      </w:r>
      <w:r>
        <w:fldChar w:fldCharType="end"/>
      </w:r>
    </w:p>
    <w:p w14:paraId="712BB217">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"_Toc220074820" </w:instrText>
      </w:r>
      <w:r>
        <w:fldChar w:fldCharType="separate"/>
      </w:r>
      <w:r>
        <w:rPr>
          <w:rStyle w:val="47"/>
          <w:bCs/>
        </w:rPr>
        <w:t>7.1</w:t>
      </w:r>
      <w:r>
        <w:rPr>
          <w:rFonts w:eastAsiaTheme="minorEastAsia" w:cstheme="minorBidi"/>
          <w:smallCaps w:val="0"/>
          <w:kern w:val="2"/>
          <w:sz w:val="21"/>
          <w:szCs w:val="22"/>
        </w:rPr>
        <w:tab/>
      </w:r>
      <w:r>
        <w:rPr>
          <w:rStyle w:val="47"/>
          <w:rFonts w:hint="eastAsia"/>
          <w:bCs/>
        </w:rPr>
        <w:t>技术服务</w:t>
      </w:r>
      <w:r>
        <w:tab/>
      </w:r>
      <w:r>
        <w:fldChar w:fldCharType="begin"/>
      </w:r>
      <w:r>
        <w:instrText xml:space="preserve"> PAGEREF _Toc220074820 \h </w:instrText>
      </w:r>
      <w:r>
        <w:fldChar w:fldCharType="separate"/>
      </w:r>
      <w:r>
        <w:t>133</w:t>
      </w:r>
      <w:r>
        <w:fldChar w:fldCharType="end"/>
      </w:r>
      <w:r>
        <w:fldChar w:fldCharType="end"/>
      </w:r>
    </w:p>
    <w:p w14:paraId="345BFE83">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"_Toc220074821" </w:instrText>
      </w:r>
      <w:r>
        <w:fldChar w:fldCharType="separate"/>
      </w:r>
      <w:r>
        <w:rPr>
          <w:rStyle w:val="47"/>
          <w:bCs/>
        </w:rPr>
        <w:t>7.2</w:t>
      </w:r>
      <w:r>
        <w:rPr>
          <w:rFonts w:eastAsiaTheme="minorEastAsia" w:cstheme="minorBidi"/>
          <w:smallCaps w:val="0"/>
          <w:kern w:val="2"/>
          <w:sz w:val="21"/>
          <w:szCs w:val="22"/>
        </w:rPr>
        <w:tab/>
      </w:r>
      <w:r>
        <w:rPr>
          <w:rStyle w:val="47"/>
          <w:rFonts w:hint="eastAsia"/>
          <w:bCs/>
        </w:rPr>
        <w:t>设计联络会</w:t>
      </w:r>
      <w:r>
        <w:tab/>
      </w:r>
      <w:r>
        <w:fldChar w:fldCharType="begin"/>
      </w:r>
      <w:r>
        <w:instrText xml:space="preserve"> PAGEREF _Toc220074821 \h </w:instrText>
      </w:r>
      <w:r>
        <w:fldChar w:fldCharType="separate"/>
      </w:r>
      <w:r>
        <w:t>133</w:t>
      </w:r>
      <w:r>
        <w:fldChar w:fldCharType="end"/>
      </w:r>
      <w:r>
        <w:fldChar w:fldCharType="end"/>
      </w:r>
    </w:p>
    <w:p w14:paraId="483FBFA1">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"_Toc220074822" </w:instrText>
      </w:r>
      <w:r>
        <w:fldChar w:fldCharType="separate"/>
      </w:r>
      <w:r>
        <w:rPr>
          <w:rStyle w:val="47"/>
          <w:bCs/>
        </w:rPr>
        <w:t>7.3</w:t>
      </w:r>
      <w:r>
        <w:rPr>
          <w:rFonts w:eastAsiaTheme="minorEastAsia" w:cstheme="minorBidi"/>
          <w:smallCaps w:val="0"/>
          <w:kern w:val="2"/>
          <w:sz w:val="21"/>
          <w:szCs w:val="22"/>
        </w:rPr>
        <w:tab/>
      </w:r>
      <w:r>
        <w:rPr>
          <w:rStyle w:val="47"/>
          <w:rFonts w:hint="eastAsia"/>
          <w:bCs/>
        </w:rPr>
        <w:t>工厂检验</w:t>
      </w:r>
      <w:r>
        <w:tab/>
      </w:r>
      <w:r>
        <w:fldChar w:fldCharType="begin"/>
      </w:r>
      <w:r>
        <w:instrText xml:space="preserve"> PAGEREF _Toc220074822 \h </w:instrText>
      </w:r>
      <w:r>
        <w:fldChar w:fldCharType="separate"/>
      </w:r>
      <w:r>
        <w:t>133</w:t>
      </w:r>
      <w:r>
        <w:fldChar w:fldCharType="end"/>
      </w:r>
      <w:r>
        <w:fldChar w:fldCharType="end"/>
      </w:r>
    </w:p>
    <w:p w14:paraId="50A76DBC">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"_Toc220074823" </w:instrText>
      </w:r>
      <w:r>
        <w:fldChar w:fldCharType="separate"/>
      </w:r>
      <w:r>
        <w:rPr>
          <w:rStyle w:val="47"/>
          <w:bCs/>
        </w:rPr>
        <w:t>7.4</w:t>
      </w:r>
      <w:r>
        <w:rPr>
          <w:rFonts w:eastAsiaTheme="minorEastAsia" w:cstheme="minorBidi"/>
          <w:smallCaps w:val="0"/>
          <w:kern w:val="2"/>
          <w:sz w:val="21"/>
          <w:szCs w:val="22"/>
        </w:rPr>
        <w:tab/>
      </w:r>
      <w:r>
        <w:rPr>
          <w:rStyle w:val="47"/>
          <w:rFonts w:hint="eastAsia"/>
          <w:bCs/>
        </w:rPr>
        <w:t>设备监造</w:t>
      </w:r>
      <w:r>
        <w:tab/>
      </w:r>
      <w:r>
        <w:fldChar w:fldCharType="begin"/>
      </w:r>
      <w:r>
        <w:instrText xml:space="preserve"> PAGEREF _Toc220074823 \h </w:instrText>
      </w:r>
      <w:r>
        <w:fldChar w:fldCharType="separate"/>
      </w:r>
      <w:r>
        <w:t>134</w:t>
      </w:r>
      <w:r>
        <w:fldChar w:fldCharType="end"/>
      </w:r>
      <w:r>
        <w:fldChar w:fldCharType="end"/>
      </w:r>
    </w:p>
    <w:p w14:paraId="4229B4DE">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"_Toc220074824" </w:instrText>
      </w:r>
      <w:r>
        <w:fldChar w:fldCharType="separate"/>
      </w:r>
      <w:r>
        <w:rPr>
          <w:rStyle w:val="47"/>
          <w:bCs/>
        </w:rPr>
        <w:t>7.1</w:t>
      </w:r>
      <w:r>
        <w:rPr>
          <w:rFonts w:eastAsiaTheme="minorEastAsia" w:cstheme="minorBidi"/>
          <w:smallCaps w:val="0"/>
          <w:kern w:val="2"/>
          <w:sz w:val="21"/>
          <w:szCs w:val="22"/>
        </w:rPr>
        <w:tab/>
      </w:r>
      <w:r>
        <w:rPr>
          <w:rStyle w:val="47"/>
          <w:rFonts w:hint="eastAsia"/>
          <w:bCs/>
        </w:rPr>
        <w:t>现场检验</w:t>
      </w:r>
      <w:r>
        <w:tab/>
      </w:r>
      <w:r>
        <w:fldChar w:fldCharType="begin"/>
      </w:r>
      <w:r>
        <w:instrText xml:space="preserve"> PAGEREF _Toc220074824 \h </w:instrText>
      </w:r>
      <w:r>
        <w:fldChar w:fldCharType="separate"/>
      </w:r>
      <w:r>
        <w:t>135</w:t>
      </w:r>
      <w:r>
        <w:fldChar w:fldCharType="end"/>
      </w:r>
      <w:r>
        <w:fldChar w:fldCharType="end"/>
      </w:r>
    </w:p>
    <w:p w14:paraId="550C6DE2">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"_Toc220074825" </w:instrText>
      </w:r>
      <w:r>
        <w:fldChar w:fldCharType="separate"/>
      </w:r>
      <w:r>
        <w:rPr>
          <w:rStyle w:val="47"/>
          <w:bCs/>
        </w:rPr>
        <w:t>7.2</w:t>
      </w:r>
      <w:r>
        <w:rPr>
          <w:rFonts w:eastAsiaTheme="minorEastAsia" w:cstheme="minorBidi"/>
          <w:smallCaps w:val="0"/>
          <w:kern w:val="2"/>
          <w:sz w:val="21"/>
          <w:szCs w:val="22"/>
        </w:rPr>
        <w:tab/>
      </w:r>
      <w:r>
        <w:rPr>
          <w:rStyle w:val="47"/>
          <w:rFonts w:hint="eastAsia"/>
          <w:bCs/>
        </w:rPr>
        <w:t>安装、调试、性能试验、试运行和验收</w:t>
      </w:r>
      <w:r>
        <w:tab/>
      </w:r>
      <w:r>
        <w:fldChar w:fldCharType="begin"/>
      </w:r>
      <w:r>
        <w:instrText xml:space="preserve"> PAGEREF _Toc220074825 \h </w:instrText>
      </w:r>
      <w:r>
        <w:fldChar w:fldCharType="separate"/>
      </w:r>
      <w:r>
        <w:t>135</w:t>
      </w:r>
      <w:r>
        <w:fldChar w:fldCharType="end"/>
      </w:r>
      <w:r>
        <w:fldChar w:fldCharType="end"/>
      </w:r>
    </w:p>
    <w:p w14:paraId="58E04AA5">
      <w:pPr>
        <w:pStyle w:val="28"/>
        <w:tabs>
          <w:tab w:val="left" w:pos="420"/>
          <w:tab w:val="right" w:leader="dot" w:pos="9061"/>
        </w:tabs>
        <w:rPr>
          <w:rFonts w:eastAsiaTheme="minorEastAsia" w:cstheme="minorBidi"/>
          <w:b w:val="0"/>
          <w:bCs w:val="0"/>
          <w:caps w:val="0"/>
          <w:kern w:val="2"/>
          <w:sz w:val="21"/>
          <w:szCs w:val="22"/>
        </w:rPr>
      </w:pPr>
      <w:r>
        <w:fldChar w:fldCharType="begin"/>
      </w:r>
      <w:r>
        <w:instrText xml:space="preserve"> HYPERLINK \l "_Toc220074826" </w:instrText>
      </w:r>
      <w:r>
        <w:fldChar w:fldCharType="separate"/>
      </w:r>
      <w:r>
        <w:rPr>
          <w:rStyle w:val="47"/>
        </w:rPr>
        <w:t>8</w:t>
      </w:r>
      <w:r>
        <w:rPr>
          <w:rFonts w:eastAsiaTheme="minorEastAsia" w:cstheme="minorBidi"/>
          <w:b w:val="0"/>
          <w:bCs w:val="0"/>
          <w:caps w:val="0"/>
          <w:kern w:val="2"/>
          <w:sz w:val="21"/>
          <w:szCs w:val="22"/>
        </w:rPr>
        <w:tab/>
      </w:r>
      <w:r>
        <w:rPr>
          <w:rStyle w:val="47"/>
          <w:rFonts w:hint="eastAsia"/>
        </w:rPr>
        <w:t>包装、运输和储存</w:t>
      </w:r>
      <w:r>
        <w:tab/>
      </w:r>
      <w:r>
        <w:fldChar w:fldCharType="begin"/>
      </w:r>
      <w:r>
        <w:instrText xml:space="preserve"> PAGEREF _Toc220074826 \h </w:instrText>
      </w:r>
      <w:r>
        <w:fldChar w:fldCharType="separate"/>
      </w:r>
      <w:r>
        <w:t>136</w:t>
      </w:r>
      <w:r>
        <w:fldChar w:fldCharType="end"/>
      </w:r>
      <w:r>
        <w:fldChar w:fldCharType="end"/>
      </w:r>
    </w:p>
    <w:p w14:paraId="2F9C8A16">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"_Toc220074827" </w:instrText>
      </w:r>
      <w:r>
        <w:fldChar w:fldCharType="separate"/>
      </w:r>
      <w:r>
        <w:rPr>
          <w:rStyle w:val="47"/>
          <w:bCs/>
        </w:rPr>
        <w:t>8.1</w:t>
      </w:r>
      <w:r>
        <w:rPr>
          <w:rFonts w:eastAsiaTheme="minorEastAsia" w:cstheme="minorBidi"/>
          <w:smallCaps w:val="0"/>
          <w:kern w:val="2"/>
          <w:sz w:val="21"/>
          <w:szCs w:val="22"/>
        </w:rPr>
        <w:tab/>
      </w:r>
      <w:r>
        <w:rPr>
          <w:rStyle w:val="47"/>
          <w:rFonts w:hint="eastAsia"/>
          <w:bCs/>
        </w:rPr>
        <w:t>包装运输</w:t>
      </w:r>
      <w:r>
        <w:tab/>
      </w:r>
      <w:r>
        <w:fldChar w:fldCharType="begin"/>
      </w:r>
      <w:r>
        <w:instrText xml:space="preserve"> PAGEREF _Toc220074827 \h </w:instrText>
      </w:r>
      <w:r>
        <w:fldChar w:fldCharType="separate"/>
      </w:r>
      <w:r>
        <w:t>136</w:t>
      </w:r>
      <w:r>
        <w:fldChar w:fldCharType="end"/>
      </w:r>
      <w:r>
        <w:fldChar w:fldCharType="end"/>
      </w:r>
    </w:p>
    <w:p w14:paraId="236A4848">
      <w:pPr>
        <w:pStyle w:val="34"/>
        <w:tabs>
          <w:tab w:val="left" w:pos="840"/>
          <w:tab w:val="right" w:leader="dot" w:pos="9061"/>
        </w:tabs>
        <w:rPr>
          <w:rFonts w:eastAsiaTheme="minorEastAsia" w:cstheme="minorBidi"/>
          <w:smallCaps w:val="0"/>
          <w:kern w:val="2"/>
          <w:sz w:val="21"/>
          <w:szCs w:val="22"/>
        </w:rPr>
      </w:pPr>
      <w:r>
        <w:fldChar w:fldCharType="begin"/>
      </w:r>
      <w:r>
        <w:instrText xml:space="preserve"> HYPERLINK \l "_Toc220074828" </w:instrText>
      </w:r>
      <w:r>
        <w:fldChar w:fldCharType="separate"/>
      </w:r>
      <w:r>
        <w:rPr>
          <w:rStyle w:val="47"/>
          <w:bCs/>
        </w:rPr>
        <w:t>8.2</w:t>
      </w:r>
      <w:r>
        <w:rPr>
          <w:rFonts w:eastAsiaTheme="minorEastAsia" w:cstheme="minorBidi"/>
          <w:smallCaps w:val="0"/>
          <w:kern w:val="2"/>
          <w:sz w:val="21"/>
          <w:szCs w:val="22"/>
        </w:rPr>
        <w:tab/>
      </w:r>
      <w:r>
        <w:rPr>
          <w:rStyle w:val="47"/>
          <w:rFonts w:hint="eastAsia"/>
          <w:bCs/>
        </w:rPr>
        <w:t>储</w:t>
      </w:r>
      <w:r>
        <w:rPr>
          <w:rStyle w:val="47"/>
          <w:bCs/>
        </w:rPr>
        <w:t xml:space="preserve">  </w:t>
      </w:r>
      <w:r>
        <w:rPr>
          <w:rStyle w:val="47"/>
          <w:rFonts w:hint="eastAsia"/>
          <w:bCs/>
        </w:rPr>
        <w:t>存</w:t>
      </w:r>
      <w:r>
        <w:tab/>
      </w:r>
      <w:r>
        <w:fldChar w:fldCharType="begin"/>
      </w:r>
      <w:r>
        <w:instrText xml:space="preserve"> PAGEREF _Toc220074828 \h </w:instrText>
      </w:r>
      <w:r>
        <w:fldChar w:fldCharType="separate"/>
      </w:r>
      <w:r>
        <w:t>137</w:t>
      </w:r>
      <w:r>
        <w:fldChar w:fldCharType="end"/>
      </w:r>
      <w:r>
        <w:fldChar w:fldCharType="end"/>
      </w:r>
    </w:p>
    <w:p w14:paraId="3F63C746">
      <w:pPr>
        <w:pStyle w:val="28"/>
        <w:tabs>
          <w:tab w:val="right" w:leader="dot" w:pos="9061"/>
        </w:tabs>
        <w:rPr>
          <w:rFonts w:eastAsiaTheme="minorEastAsia" w:cstheme="minorBidi"/>
          <w:b w:val="0"/>
          <w:bCs w:val="0"/>
          <w:caps w:val="0"/>
          <w:kern w:val="2"/>
          <w:sz w:val="21"/>
          <w:szCs w:val="22"/>
        </w:rPr>
      </w:pPr>
      <w:r>
        <w:fldChar w:fldCharType="begin"/>
      </w:r>
      <w:r>
        <w:instrText xml:space="preserve"> HYPERLINK \l "_Toc220074829" </w:instrText>
      </w:r>
      <w:r>
        <w:fldChar w:fldCharType="separate"/>
      </w:r>
      <w:r>
        <w:rPr>
          <w:rStyle w:val="47"/>
          <w:rFonts w:hint="eastAsia" w:ascii="Times New Roman" w:hAnsi="Times New Roman"/>
        </w:rPr>
        <w:t>附录</w:t>
      </w:r>
      <w:r>
        <w:rPr>
          <w:rStyle w:val="47"/>
          <w:rFonts w:ascii="Times New Roman" w:hAnsi="Times New Roman"/>
        </w:rPr>
        <w:t xml:space="preserve">A  </w:t>
      </w:r>
      <w:r>
        <w:rPr>
          <w:rStyle w:val="47"/>
          <w:rFonts w:hint="eastAsia" w:ascii="Times New Roman" w:hAnsi="Times New Roman"/>
        </w:rPr>
        <w:t>销售及运行业绩表</w:t>
      </w:r>
      <w:r>
        <w:tab/>
      </w:r>
      <w:r>
        <w:fldChar w:fldCharType="begin"/>
      </w:r>
      <w:r>
        <w:instrText xml:space="preserve"> PAGEREF _Toc220074829 \h </w:instrText>
      </w:r>
      <w:r>
        <w:fldChar w:fldCharType="separate"/>
      </w:r>
      <w:r>
        <w:t>138</w:t>
      </w:r>
      <w:r>
        <w:fldChar w:fldCharType="end"/>
      </w:r>
      <w:r>
        <w:fldChar w:fldCharType="end"/>
      </w:r>
    </w:p>
    <w:p w14:paraId="71E0AF74">
      <w:pPr>
        <w:pStyle w:val="28"/>
        <w:tabs>
          <w:tab w:val="right" w:leader="dot" w:pos="9061"/>
        </w:tabs>
        <w:rPr>
          <w:rFonts w:eastAsiaTheme="minorEastAsia" w:cstheme="minorBidi"/>
          <w:b w:val="0"/>
          <w:bCs w:val="0"/>
          <w:caps w:val="0"/>
          <w:kern w:val="2"/>
          <w:sz w:val="21"/>
          <w:szCs w:val="22"/>
        </w:rPr>
      </w:pPr>
      <w:r>
        <w:fldChar w:fldCharType="begin"/>
      </w:r>
      <w:r>
        <w:instrText xml:space="preserve"> HYPERLINK \l "_Toc220074830" </w:instrText>
      </w:r>
      <w:r>
        <w:fldChar w:fldCharType="separate"/>
      </w:r>
      <w:r>
        <w:rPr>
          <w:rStyle w:val="47"/>
          <w:rFonts w:hint="eastAsia" w:ascii="Times New Roman" w:hAnsi="Times New Roman"/>
        </w:rPr>
        <w:t>附录</w:t>
      </w:r>
      <w:r>
        <w:rPr>
          <w:rStyle w:val="47"/>
          <w:rFonts w:ascii="Times New Roman" w:hAnsi="Times New Roman"/>
        </w:rPr>
        <w:t xml:space="preserve">B  </w:t>
      </w:r>
      <w:r>
        <w:rPr>
          <w:rStyle w:val="47"/>
          <w:rFonts w:hint="eastAsia" w:ascii="Times New Roman" w:hAnsi="Times New Roman"/>
        </w:rPr>
        <w:t>最终用户的使用情况证明</w:t>
      </w:r>
      <w:r>
        <w:tab/>
      </w:r>
      <w:r>
        <w:fldChar w:fldCharType="begin"/>
      </w:r>
      <w:r>
        <w:instrText xml:space="preserve"> PAGEREF _Toc220074830 \h </w:instrText>
      </w:r>
      <w:r>
        <w:fldChar w:fldCharType="separate"/>
      </w:r>
      <w:r>
        <w:t>138</w:t>
      </w:r>
      <w:r>
        <w:fldChar w:fldCharType="end"/>
      </w:r>
      <w:r>
        <w:fldChar w:fldCharType="end"/>
      </w:r>
    </w:p>
    <w:p w14:paraId="53B7EBFA">
      <w:pPr>
        <w:pStyle w:val="28"/>
        <w:tabs>
          <w:tab w:val="right" w:leader="dot" w:pos="9061"/>
        </w:tabs>
        <w:rPr>
          <w:rFonts w:eastAsiaTheme="minorEastAsia" w:cstheme="minorBidi"/>
          <w:b w:val="0"/>
          <w:bCs w:val="0"/>
          <w:caps w:val="0"/>
          <w:kern w:val="2"/>
          <w:sz w:val="21"/>
          <w:szCs w:val="22"/>
        </w:rPr>
      </w:pPr>
      <w:r>
        <w:fldChar w:fldCharType="begin"/>
      </w:r>
      <w:r>
        <w:instrText xml:space="preserve"> HYPERLINK \l "_Toc220074831" </w:instrText>
      </w:r>
      <w:r>
        <w:fldChar w:fldCharType="separate"/>
      </w:r>
      <w:r>
        <w:rPr>
          <w:rStyle w:val="47"/>
          <w:rFonts w:hint="eastAsia" w:ascii="Times New Roman" w:hAnsi="Times New Roman"/>
        </w:rPr>
        <w:t>附录</w:t>
      </w:r>
      <w:r>
        <w:rPr>
          <w:rStyle w:val="47"/>
          <w:rFonts w:ascii="Times New Roman" w:hAnsi="Times New Roman"/>
        </w:rPr>
        <w:t xml:space="preserve">C  </w:t>
      </w:r>
      <w:r>
        <w:rPr>
          <w:rStyle w:val="47"/>
          <w:rFonts w:hint="eastAsia" w:ascii="Times New Roman" w:hAnsi="Times New Roman"/>
        </w:rPr>
        <w:t>投标方提供的试验检测报告表</w:t>
      </w:r>
      <w:r>
        <w:tab/>
      </w:r>
      <w:r>
        <w:fldChar w:fldCharType="begin"/>
      </w:r>
      <w:r>
        <w:instrText xml:space="preserve"> PAGEREF _Toc220074831 \h </w:instrText>
      </w:r>
      <w:r>
        <w:fldChar w:fldCharType="separate"/>
      </w:r>
      <w:r>
        <w:t>138</w:t>
      </w:r>
      <w:r>
        <w:fldChar w:fldCharType="end"/>
      </w:r>
      <w:r>
        <w:fldChar w:fldCharType="end"/>
      </w:r>
    </w:p>
    <w:p w14:paraId="51E4B2F5">
      <w:pPr>
        <w:pStyle w:val="28"/>
        <w:tabs>
          <w:tab w:val="right" w:leader="dot" w:pos="9061"/>
        </w:tabs>
        <w:rPr>
          <w:rFonts w:eastAsiaTheme="minorEastAsia" w:cstheme="minorBidi"/>
          <w:b w:val="0"/>
          <w:bCs w:val="0"/>
          <w:caps w:val="0"/>
          <w:kern w:val="2"/>
          <w:sz w:val="21"/>
          <w:szCs w:val="22"/>
        </w:rPr>
      </w:pPr>
      <w:r>
        <w:fldChar w:fldCharType="begin"/>
      </w:r>
      <w:r>
        <w:instrText xml:space="preserve"> HYPERLINK \l "_Toc220074832" </w:instrText>
      </w:r>
      <w:r>
        <w:fldChar w:fldCharType="separate"/>
      </w:r>
      <w:r>
        <w:rPr>
          <w:rStyle w:val="47"/>
          <w:rFonts w:hint="eastAsia" w:ascii="Times New Roman" w:hAnsi="Times New Roman"/>
        </w:rPr>
        <w:t>附录</w:t>
      </w:r>
      <w:r>
        <w:rPr>
          <w:rStyle w:val="47"/>
          <w:rFonts w:ascii="Times New Roman" w:hAnsi="Times New Roman"/>
        </w:rPr>
        <w:t xml:space="preserve">D  </w:t>
      </w:r>
      <w:r>
        <w:rPr>
          <w:rStyle w:val="47"/>
          <w:rFonts w:hint="eastAsia" w:ascii="Times New Roman" w:hAnsi="Times New Roman"/>
        </w:rPr>
        <w:t>投标方提供的鉴定证书表</w:t>
      </w:r>
      <w:r>
        <w:tab/>
      </w:r>
      <w:r>
        <w:fldChar w:fldCharType="begin"/>
      </w:r>
      <w:r>
        <w:instrText xml:space="preserve"> PAGEREF _Toc220074832 \h </w:instrText>
      </w:r>
      <w:r>
        <w:fldChar w:fldCharType="separate"/>
      </w:r>
      <w:r>
        <w:t>139</w:t>
      </w:r>
      <w:r>
        <w:fldChar w:fldCharType="end"/>
      </w:r>
      <w:r>
        <w:fldChar w:fldCharType="end"/>
      </w:r>
    </w:p>
    <w:p w14:paraId="4DB23260">
      <w:pPr>
        <w:pStyle w:val="28"/>
        <w:tabs>
          <w:tab w:val="right" w:leader="dot" w:pos="9061"/>
        </w:tabs>
        <w:rPr>
          <w:rFonts w:eastAsiaTheme="minorEastAsia" w:cstheme="minorBidi"/>
          <w:b w:val="0"/>
          <w:bCs w:val="0"/>
          <w:caps w:val="0"/>
          <w:kern w:val="2"/>
          <w:sz w:val="21"/>
          <w:szCs w:val="22"/>
        </w:rPr>
      </w:pPr>
      <w:r>
        <w:fldChar w:fldCharType="begin"/>
      </w:r>
      <w:r>
        <w:instrText xml:space="preserve"> HYPERLINK \l "_Toc220074833" </w:instrText>
      </w:r>
      <w:r>
        <w:fldChar w:fldCharType="separate"/>
      </w:r>
      <w:r>
        <w:rPr>
          <w:rStyle w:val="47"/>
          <w:rFonts w:hint="eastAsia" w:ascii="Times New Roman" w:hAnsi="Times New Roman"/>
        </w:rPr>
        <w:t>附录</w:t>
      </w:r>
      <w:r>
        <w:rPr>
          <w:rStyle w:val="47"/>
          <w:rFonts w:ascii="Times New Roman" w:hAnsi="Times New Roman"/>
        </w:rPr>
        <w:t xml:space="preserve">E  </w:t>
      </w:r>
      <w:r>
        <w:rPr>
          <w:rStyle w:val="47"/>
          <w:rFonts w:hint="eastAsia" w:ascii="Times New Roman" w:hAnsi="Times New Roman"/>
        </w:rPr>
        <w:t>工作计划（进度）报表</w:t>
      </w:r>
      <w:r>
        <w:tab/>
      </w:r>
      <w:r>
        <w:fldChar w:fldCharType="begin"/>
      </w:r>
      <w:r>
        <w:instrText xml:space="preserve"> PAGEREF _Toc220074833 \h </w:instrText>
      </w:r>
      <w:r>
        <w:fldChar w:fldCharType="separate"/>
      </w:r>
      <w:r>
        <w:t>139</w:t>
      </w:r>
      <w:r>
        <w:fldChar w:fldCharType="end"/>
      </w:r>
      <w:r>
        <w:fldChar w:fldCharType="end"/>
      </w:r>
    </w:p>
    <w:p w14:paraId="23AB218C">
      <w:pPr>
        <w:snapToGrid w:val="0"/>
        <w:spacing w:line="480" w:lineRule="atLeast"/>
        <w:ind w:firstLine="420" w:firstLineChars="200"/>
        <w:rPr>
          <w:rFonts w:ascii="宋体" w:hAnsi="宋体" w:cs="宋体"/>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fldChar w:fldCharType="end"/>
      </w:r>
      <w:bookmarkStart w:id="6" w:name="_Toc278226471"/>
    </w:p>
    <w:p w14:paraId="7732CD59">
      <w:pPr>
        <w:snapToGrid w:val="0"/>
        <w:spacing w:line="480" w:lineRule="atLeast"/>
        <w:ind w:firstLine="480" w:firstLineChars="200"/>
        <w:rPr>
          <w:rFonts w:ascii="宋体" w:hAnsi="宋体" w:cs="宋体"/>
          <w:color w:val="000000" w:themeColor="text1"/>
          <w:sz w:val="24"/>
          <w:szCs w:val="24"/>
          <w14:textFill>
            <w14:solidFill>
              <w14:schemeClr w14:val="tx1"/>
            </w14:solidFill>
          </w14:textFill>
        </w:rPr>
        <w:sectPr>
          <w:headerReference r:id="rId7" w:type="default"/>
          <w:pgSz w:w="11907" w:h="16839"/>
          <w:pgMar w:top="1701" w:right="1418" w:bottom="1418" w:left="1418" w:header="1021" w:footer="1021" w:gutter="0"/>
          <w:pgNumType w:fmt="lowerRoman" w:start="1"/>
          <w:cols w:space="720" w:num="1"/>
          <w:docGrid w:linePitch="286" w:charSpace="0"/>
        </w:sectPr>
      </w:pPr>
    </w:p>
    <w:p w14:paraId="72FCD933">
      <w:pPr>
        <w:pStyle w:val="2"/>
        <w:keepNext w:val="0"/>
        <w:keepLines w:val="0"/>
        <w:spacing w:line="480" w:lineRule="atLeast"/>
        <w:ind w:right="0" w:rightChars="0" w:firstLine="482" w:firstLineChars="200"/>
        <w:rPr>
          <w:rStyle w:val="55"/>
          <w:rFonts w:eastAsiaTheme="minorEastAsia"/>
          <w:b/>
          <w:bCs/>
          <w:color w:val="000000" w:themeColor="text1"/>
          <w:sz w:val="24"/>
          <w:szCs w:val="24"/>
          <w14:textFill>
            <w14:solidFill>
              <w14:schemeClr w14:val="tx1"/>
            </w14:solidFill>
          </w14:textFill>
        </w:rPr>
      </w:pPr>
      <w:bookmarkStart w:id="7" w:name="_Toc526079143"/>
      <w:bookmarkStart w:id="8" w:name="_Toc279850171"/>
      <w:bookmarkStart w:id="9" w:name="_Toc526079249"/>
      <w:bookmarkStart w:id="10" w:name="_Toc279850584"/>
      <w:bookmarkStart w:id="11" w:name="_Toc526064859"/>
      <w:bookmarkStart w:id="12" w:name="_Toc282788466"/>
      <w:bookmarkStart w:id="13" w:name="_Toc220074653"/>
      <w:r>
        <w:rPr>
          <w:rStyle w:val="55"/>
          <w:rFonts w:eastAsiaTheme="minorEastAsia"/>
          <w:b/>
          <w:bCs/>
          <w:color w:val="000000" w:themeColor="text1"/>
          <w:sz w:val="24"/>
          <w:szCs w:val="24"/>
          <w14:textFill>
            <w14:solidFill>
              <w14:schemeClr w14:val="tx1"/>
            </w14:solidFill>
          </w14:textFill>
        </w:rPr>
        <w:t>表1</w:t>
      </w:r>
      <w:bookmarkStart w:id="14" w:name="_Toc278054521"/>
      <w:bookmarkEnd w:id="14"/>
      <w:bookmarkStart w:id="15" w:name="_Toc278054519"/>
      <w:bookmarkEnd w:id="15"/>
      <w:bookmarkStart w:id="16" w:name="_Toc278054646"/>
      <w:bookmarkEnd w:id="16"/>
      <w:bookmarkStart w:id="17" w:name="_Toc278054649"/>
      <w:bookmarkEnd w:id="17"/>
      <w:bookmarkStart w:id="18" w:name="_Toc278054647"/>
      <w:bookmarkEnd w:id="18"/>
      <w:bookmarkStart w:id="19" w:name="_Toc278054518"/>
      <w:bookmarkEnd w:id="19"/>
      <w:r>
        <w:rPr>
          <w:rStyle w:val="55"/>
          <w:rFonts w:eastAsiaTheme="minorEastAsia"/>
          <w:b/>
          <w:bCs/>
          <w:color w:val="000000" w:themeColor="text1"/>
          <w:sz w:val="24"/>
          <w:szCs w:val="24"/>
          <w14:textFill>
            <w14:solidFill>
              <w14:schemeClr w14:val="tx1"/>
            </w14:solidFill>
          </w14:textFill>
        </w:rPr>
        <w:t xml:space="preserve">  货</w:t>
      </w:r>
      <w:bookmarkStart w:id="20" w:name="_Toc278054650"/>
      <w:bookmarkEnd w:id="20"/>
      <w:bookmarkStart w:id="21" w:name="_Toc278054522"/>
      <w:bookmarkEnd w:id="21"/>
      <w:r>
        <w:rPr>
          <w:rStyle w:val="55"/>
          <w:rFonts w:eastAsiaTheme="minorEastAsia"/>
          <w:b/>
          <w:bCs/>
          <w:color w:val="000000" w:themeColor="text1"/>
          <w:sz w:val="24"/>
          <w:szCs w:val="24"/>
          <w14:textFill>
            <w14:solidFill>
              <w14:schemeClr w14:val="tx1"/>
            </w14:solidFill>
          </w14:textFill>
        </w:rPr>
        <w:t>物需求及供货范围一览表</w:t>
      </w:r>
      <w:bookmarkEnd w:id="6"/>
      <w:bookmarkEnd w:id="7"/>
      <w:bookmarkEnd w:id="8"/>
      <w:bookmarkEnd w:id="9"/>
      <w:bookmarkEnd w:id="10"/>
      <w:bookmarkEnd w:id="11"/>
      <w:bookmarkEnd w:id="12"/>
      <w:bookmarkEnd w:id="13"/>
    </w:p>
    <w:p w14:paraId="69255BC2">
      <w:pPr>
        <w:snapToGrid w:val="0"/>
        <w:spacing w:line="480" w:lineRule="atLeas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方应提供湖南-贵州电力灵活互济工程湘黔背靠背换流站的主控楼人员用房、贵州侧GIS室、湖南侧GIS室、专用品仓库、二次备品库及车库、综合泵房、综合楼、警传室、油化实验室、阀冷排水在线监测间所需的完整通风及空调系统。包括通风及空调设备（含内部配电及控制系统）及材料设计、采购、供货、运输、卸车、安装、调试、试运行、验收及性能保证</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含支架二次油漆费用</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。风口、管道等辅材的具体数量以施工图为准。</w:t>
      </w:r>
    </w:p>
    <w:p w14:paraId="6270A3AD">
      <w:pPr>
        <w:snapToGrid w:val="0"/>
        <w:spacing w:line="440" w:lineRule="atLeast"/>
        <w:outlineLvl w:val="1"/>
        <w:rPr>
          <w:rFonts w:eastAsiaTheme="minorEastAsia"/>
          <w:b/>
          <w:color w:val="000000" w:themeColor="text1"/>
          <w:sz w:val="24"/>
          <w:szCs w:val="24"/>
          <w14:textFill>
            <w14:solidFill>
              <w14:schemeClr w14:val="tx1"/>
            </w14:solidFill>
          </w14:textFill>
        </w:rPr>
      </w:pPr>
      <w:r>
        <w:rPr>
          <w:rFonts w:hint="eastAsia" w:eastAsiaTheme="minorEastAsia"/>
          <w:b/>
          <w:color w:val="000000" w:themeColor="text1"/>
          <w:sz w:val="24"/>
          <w:szCs w:val="24"/>
          <w14:textFill>
            <w14:solidFill>
              <w14:schemeClr w14:val="tx1"/>
            </w14:solidFill>
          </w14:textFill>
        </w:rPr>
        <w:t>表</w:t>
      </w:r>
      <w:r>
        <w:rPr>
          <w:rFonts w:eastAsiaTheme="minorEastAsia"/>
          <w:b/>
          <w:color w:val="000000" w:themeColor="text1"/>
          <w:sz w:val="24"/>
          <w:szCs w:val="24"/>
          <w14:textFill>
            <w14:solidFill>
              <w14:schemeClr w14:val="tx1"/>
            </w14:solidFill>
          </w14:textFill>
        </w:rPr>
        <w:t xml:space="preserve">1-1            </w:t>
      </w:r>
      <w:r>
        <w:rPr>
          <w:rFonts w:hint="eastAsia" w:eastAsiaTheme="minorEastAsia"/>
          <w:b/>
          <w:color w:val="000000" w:themeColor="text1"/>
          <w:sz w:val="24"/>
          <w:szCs w:val="24"/>
          <w14:textFill>
            <w14:solidFill>
              <w14:schemeClr w14:val="tx1"/>
            </w14:solidFill>
          </w14:textFill>
        </w:rPr>
        <w:t xml:space="preserve"> 主控楼人员用房通风空调系统设备规格及数量表</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811"/>
        <w:gridCol w:w="3488"/>
        <w:gridCol w:w="873"/>
        <w:gridCol w:w="871"/>
        <w:gridCol w:w="1590"/>
      </w:tblGrid>
      <w:tr w14:paraId="40EE4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blHeader/>
        </w:trPr>
        <w:tc>
          <w:tcPr>
            <w:tcW w:w="352" w:type="pct"/>
            <w:shd w:val="clear" w:color="000000" w:fill="FFFFFF"/>
            <w:noWrap/>
            <w:vAlign w:val="center"/>
          </w:tcPr>
          <w:p w14:paraId="4D732C38">
            <w:pPr>
              <w:widowControl/>
              <w:adjustRightInd/>
              <w:spacing w:line="240" w:lineRule="auto"/>
              <w:jc w:val="center"/>
              <w:textAlignment w:val="auto"/>
              <w:rPr>
                <w:b/>
                <w:sz w:val="24"/>
                <w:szCs w:val="24"/>
              </w:rPr>
            </w:pPr>
            <w:r>
              <w:rPr>
                <w:rFonts w:hint="eastAsia"/>
                <w:b/>
                <w:bCs/>
                <w:color w:val="000000"/>
              </w:rPr>
              <w:t>序号</w:t>
            </w:r>
          </w:p>
        </w:tc>
        <w:tc>
          <w:tcPr>
            <w:tcW w:w="975" w:type="pct"/>
            <w:shd w:val="clear" w:color="000000" w:fill="FFFFFF"/>
            <w:noWrap/>
            <w:vAlign w:val="center"/>
          </w:tcPr>
          <w:p w14:paraId="5674487E">
            <w:pPr>
              <w:widowControl/>
              <w:adjustRightInd/>
              <w:spacing w:line="240" w:lineRule="auto"/>
              <w:jc w:val="center"/>
              <w:textAlignment w:val="auto"/>
              <w:rPr>
                <w:b/>
                <w:sz w:val="24"/>
                <w:szCs w:val="24"/>
              </w:rPr>
            </w:pPr>
            <w:r>
              <w:rPr>
                <w:rFonts w:hint="eastAsia"/>
                <w:b/>
                <w:bCs/>
                <w:color w:val="000000"/>
              </w:rPr>
              <w:t>设备材料名称</w:t>
            </w:r>
          </w:p>
        </w:tc>
        <w:tc>
          <w:tcPr>
            <w:tcW w:w="1878" w:type="pct"/>
            <w:shd w:val="clear" w:color="000000" w:fill="FFFFFF"/>
            <w:vAlign w:val="center"/>
          </w:tcPr>
          <w:p w14:paraId="460DF60B">
            <w:pPr>
              <w:widowControl/>
              <w:adjustRightInd/>
              <w:spacing w:line="240" w:lineRule="auto"/>
              <w:jc w:val="center"/>
              <w:textAlignment w:val="auto"/>
              <w:rPr>
                <w:b/>
                <w:sz w:val="24"/>
                <w:szCs w:val="24"/>
              </w:rPr>
            </w:pPr>
            <w:r>
              <w:rPr>
                <w:rFonts w:hint="eastAsia"/>
                <w:b/>
                <w:bCs/>
                <w:color w:val="000000"/>
              </w:rPr>
              <w:t>设备材料规格</w:t>
            </w:r>
          </w:p>
        </w:tc>
        <w:tc>
          <w:tcPr>
            <w:tcW w:w="470" w:type="pct"/>
            <w:shd w:val="clear" w:color="000000" w:fill="FFFFFF"/>
            <w:noWrap/>
            <w:vAlign w:val="center"/>
          </w:tcPr>
          <w:p w14:paraId="20A4EFE5">
            <w:pPr>
              <w:widowControl/>
              <w:adjustRightInd/>
              <w:spacing w:line="240" w:lineRule="auto"/>
              <w:jc w:val="center"/>
              <w:textAlignment w:val="auto"/>
              <w:rPr>
                <w:b/>
                <w:sz w:val="24"/>
                <w:szCs w:val="24"/>
              </w:rPr>
            </w:pPr>
            <w:r>
              <w:rPr>
                <w:rFonts w:hint="eastAsia"/>
                <w:b/>
                <w:bCs/>
                <w:color w:val="000000"/>
              </w:rPr>
              <w:t>单位</w:t>
            </w:r>
          </w:p>
        </w:tc>
        <w:tc>
          <w:tcPr>
            <w:tcW w:w="469" w:type="pct"/>
            <w:shd w:val="clear" w:color="000000" w:fill="FFFFFF"/>
            <w:noWrap/>
            <w:vAlign w:val="center"/>
          </w:tcPr>
          <w:p w14:paraId="7293ED3E">
            <w:pPr>
              <w:widowControl/>
              <w:adjustRightInd/>
              <w:spacing w:line="240" w:lineRule="auto"/>
              <w:jc w:val="center"/>
              <w:textAlignment w:val="auto"/>
              <w:rPr>
                <w:b/>
                <w:sz w:val="24"/>
                <w:szCs w:val="24"/>
              </w:rPr>
            </w:pPr>
            <w:r>
              <w:rPr>
                <w:rFonts w:hint="eastAsia"/>
                <w:b/>
                <w:bCs/>
                <w:color w:val="000000"/>
              </w:rPr>
              <w:t>数量</w:t>
            </w:r>
          </w:p>
        </w:tc>
        <w:tc>
          <w:tcPr>
            <w:tcW w:w="856" w:type="pct"/>
            <w:shd w:val="clear" w:color="000000" w:fill="FFFFFF"/>
            <w:noWrap/>
            <w:vAlign w:val="center"/>
          </w:tcPr>
          <w:p w14:paraId="3001678C">
            <w:pPr>
              <w:widowControl/>
              <w:adjustRightInd/>
              <w:spacing w:line="240" w:lineRule="auto"/>
              <w:jc w:val="center"/>
              <w:textAlignment w:val="auto"/>
              <w:rPr>
                <w:b/>
                <w:sz w:val="24"/>
                <w:szCs w:val="24"/>
              </w:rPr>
            </w:pPr>
            <w:r>
              <w:rPr>
                <w:rFonts w:hint="eastAsia"/>
                <w:b/>
                <w:bCs/>
                <w:color w:val="000000"/>
              </w:rPr>
              <w:t>备注</w:t>
            </w:r>
          </w:p>
        </w:tc>
      </w:tr>
      <w:tr w14:paraId="5BA0F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52" w:type="pct"/>
            <w:shd w:val="clear" w:color="000000" w:fill="FFFFFF"/>
            <w:noWrap/>
            <w:vAlign w:val="center"/>
          </w:tcPr>
          <w:p w14:paraId="0F5F0415">
            <w:pPr>
              <w:pStyle w:val="178"/>
              <w:widowControl/>
              <w:numPr>
                <w:ilvl w:val="0"/>
                <w:numId w:val="6"/>
              </w:numPr>
              <w:spacing w:line="240" w:lineRule="auto"/>
              <w:ind w:firstLineChars="0"/>
              <w:jc w:val="center"/>
              <w:rPr>
                <w:color w:val="000000" w:themeColor="text1"/>
                <w:szCs w:val="24"/>
                <w14:textFill>
                  <w14:solidFill>
                    <w14:schemeClr w14:val="tx1"/>
                  </w14:solidFill>
                </w14:textFill>
              </w:rPr>
            </w:pPr>
          </w:p>
        </w:tc>
        <w:tc>
          <w:tcPr>
            <w:tcW w:w="975" w:type="pct"/>
            <w:shd w:val="clear" w:color="000000" w:fill="FFFFFF"/>
            <w:noWrap/>
            <w:vAlign w:val="center"/>
          </w:tcPr>
          <w:p w14:paraId="4B2C4C5B">
            <w:pPr>
              <w:widowControl/>
              <w:adjustRightInd/>
              <w:spacing w:line="240" w:lineRule="auto"/>
              <w:jc w:val="left"/>
              <w:textAlignment w:val="auto"/>
              <w:rPr>
                <w:szCs w:val="21"/>
              </w:rPr>
            </w:pPr>
            <w:r>
              <w:rPr>
                <w:rFonts w:hint="eastAsia"/>
                <w:szCs w:val="21"/>
              </w:rPr>
              <w:t>商用多联机室外机</w:t>
            </w:r>
          </w:p>
        </w:tc>
        <w:tc>
          <w:tcPr>
            <w:tcW w:w="1878" w:type="pct"/>
            <w:shd w:val="clear" w:color="000000" w:fill="FFFFFF"/>
            <w:vAlign w:val="center"/>
          </w:tcPr>
          <w:p w14:paraId="7D7A17C5">
            <w:pPr>
              <w:widowControl/>
              <w:adjustRightInd/>
              <w:spacing w:line="240" w:lineRule="auto"/>
              <w:jc w:val="left"/>
              <w:textAlignment w:val="auto"/>
              <w:rPr>
                <w:szCs w:val="21"/>
              </w:rPr>
            </w:pPr>
            <w:r>
              <w:rPr>
                <w:rFonts w:hint="eastAsia"/>
                <w:szCs w:val="21"/>
              </w:rPr>
              <w:t>制冷量：</w:t>
            </w:r>
            <w:r>
              <w:rPr>
                <w:color w:val="000000"/>
                <w:szCs w:val="21"/>
              </w:rPr>
              <w:t>80kW</w:t>
            </w:r>
            <w:r>
              <w:rPr>
                <w:rFonts w:hint="eastAsia"/>
                <w:color w:val="000000"/>
                <w:szCs w:val="21"/>
              </w:rPr>
              <w:t>，制热量：</w:t>
            </w:r>
            <w:r>
              <w:rPr>
                <w:color w:val="000000"/>
                <w:szCs w:val="21"/>
              </w:rPr>
              <w:t>90kW</w:t>
            </w:r>
            <w:r>
              <w:rPr>
                <w:rFonts w:hint="eastAsia"/>
                <w:color w:val="000000"/>
                <w:szCs w:val="21"/>
              </w:rPr>
              <w:t>，输入功率：</w:t>
            </w:r>
            <w:r>
              <w:rPr>
                <w:color w:val="000000"/>
                <w:szCs w:val="21"/>
              </w:rPr>
              <w:t>21kW(</w:t>
            </w:r>
            <w:r>
              <w:rPr>
                <w:rFonts w:hint="eastAsia"/>
                <w:color w:val="000000"/>
                <w:szCs w:val="21"/>
              </w:rPr>
              <w:t>制冷</w:t>
            </w:r>
            <w:r>
              <w:rPr>
                <w:color w:val="000000"/>
                <w:szCs w:val="21"/>
              </w:rPr>
              <w:t>)</w:t>
            </w:r>
            <w:r>
              <w:rPr>
                <w:rFonts w:hint="eastAsia"/>
                <w:color w:val="000000"/>
                <w:szCs w:val="21"/>
              </w:rPr>
              <w:t>，</w:t>
            </w:r>
            <w:r>
              <w:rPr>
                <w:color w:val="000000"/>
                <w:szCs w:val="21"/>
              </w:rPr>
              <w:t>20kW</w:t>
            </w:r>
            <w:r>
              <w:rPr>
                <w:rFonts w:hint="eastAsia"/>
                <w:color w:val="000000"/>
                <w:szCs w:val="21"/>
              </w:rPr>
              <w:t>（制热），不低于</w:t>
            </w:r>
            <w:r>
              <w:rPr>
                <w:color w:val="000000"/>
                <w:szCs w:val="21"/>
              </w:rPr>
              <w:t>2</w:t>
            </w:r>
            <w:r>
              <w:rPr>
                <w:rFonts w:hint="eastAsia"/>
                <w:color w:val="000000"/>
                <w:szCs w:val="21"/>
              </w:rPr>
              <w:t>级能效；带远控端子，带RS485接口（通信规约：MODBUS）或网口接口（通信规约：IEC-61850）</w:t>
            </w:r>
          </w:p>
        </w:tc>
        <w:tc>
          <w:tcPr>
            <w:tcW w:w="470" w:type="pct"/>
            <w:shd w:val="clear" w:color="000000" w:fill="FFFFFF"/>
            <w:noWrap/>
            <w:vAlign w:val="center"/>
          </w:tcPr>
          <w:p w14:paraId="4FEEE32A">
            <w:pPr>
              <w:widowControl/>
              <w:adjustRightInd/>
              <w:spacing w:line="240" w:lineRule="auto"/>
              <w:jc w:val="center"/>
              <w:textAlignment w:val="auto"/>
              <w:rPr>
                <w:szCs w:val="21"/>
              </w:rPr>
            </w:pPr>
            <w:r>
              <w:rPr>
                <w:rFonts w:hint="eastAsia"/>
                <w:szCs w:val="21"/>
              </w:rPr>
              <w:t>台</w:t>
            </w:r>
          </w:p>
        </w:tc>
        <w:tc>
          <w:tcPr>
            <w:tcW w:w="469" w:type="pct"/>
            <w:shd w:val="clear" w:color="000000" w:fill="FFFFFF"/>
            <w:noWrap/>
            <w:vAlign w:val="center"/>
          </w:tcPr>
          <w:p w14:paraId="1A8DB32D">
            <w:pPr>
              <w:widowControl/>
              <w:adjustRightInd/>
              <w:spacing w:line="240" w:lineRule="auto"/>
              <w:jc w:val="center"/>
              <w:textAlignment w:val="auto"/>
              <w:rPr>
                <w:szCs w:val="21"/>
              </w:rPr>
            </w:pPr>
            <w:r>
              <w:rPr>
                <w:rFonts w:hint="eastAsia"/>
                <w:szCs w:val="21"/>
              </w:rPr>
              <w:t>1</w:t>
            </w:r>
          </w:p>
        </w:tc>
        <w:tc>
          <w:tcPr>
            <w:tcW w:w="856" w:type="pct"/>
            <w:shd w:val="clear" w:color="000000" w:fill="FFFFFF"/>
            <w:noWrap/>
            <w:vAlign w:val="center"/>
          </w:tcPr>
          <w:p w14:paraId="491F94EC">
            <w:pPr>
              <w:widowControl/>
              <w:adjustRightInd/>
              <w:spacing w:line="240" w:lineRule="auto"/>
              <w:jc w:val="center"/>
              <w:textAlignment w:val="auto"/>
              <w:rPr>
                <w:szCs w:val="21"/>
              </w:rPr>
            </w:pPr>
            <w:r>
              <w:rPr>
                <w:rFonts w:hint="eastAsia"/>
                <w:szCs w:val="21"/>
              </w:rPr>
              <w:t>用于休息室、会议室等房间</w:t>
            </w:r>
          </w:p>
        </w:tc>
      </w:tr>
      <w:tr w14:paraId="7EC3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52" w:type="pct"/>
            <w:shd w:val="clear" w:color="000000" w:fill="FFFFFF"/>
            <w:noWrap/>
            <w:vAlign w:val="center"/>
          </w:tcPr>
          <w:p w14:paraId="75D24FC3">
            <w:pPr>
              <w:pStyle w:val="178"/>
              <w:widowControl/>
              <w:numPr>
                <w:ilvl w:val="0"/>
                <w:numId w:val="6"/>
              </w:numPr>
              <w:spacing w:line="240" w:lineRule="auto"/>
              <w:ind w:firstLineChars="0"/>
              <w:jc w:val="center"/>
              <w:rPr>
                <w:color w:val="000000" w:themeColor="text1"/>
                <w:szCs w:val="24"/>
                <w14:textFill>
                  <w14:solidFill>
                    <w14:schemeClr w14:val="tx1"/>
                  </w14:solidFill>
                </w14:textFill>
              </w:rPr>
            </w:pPr>
          </w:p>
        </w:tc>
        <w:tc>
          <w:tcPr>
            <w:tcW w:w="975" w:type="pct"/>
            <w:shd w:val="clear" w:color="000000" w:fill="FFFFFF"/>
            <w:noWrap/>
            <w:vAlign w:val="center"/>
          </w:tcPr>
          <w:p w14:paraId="204AED18">
            <w:pPr>
              <w:widowControl/>
              <w:adjustRightInd/>
              <w:spacing w:line="240" w:lineRule="auto"/>
              <w:jc w:val="left"/>
              <w:textAlignment w:val="auto"/>
              <w:rPr>
                <w:szCs w:val="21"/>
              </w:rPr>
            </w:pPr>
            <w:r>
              <w:rPr>
                <w:rFonts w:hint="eastAsia"/>
                <w:szCs w:val="21"/>
              </w:rPr>
              <w:t>环绕型出风室内机</w:t>
            </w:r>
          </w:p>
        </w:tc>
        <w:tc>
          <w:tcPr>
            <w:tcW w:w="1878" w:type="pct"/>
            <w:shd w:val="clear" w:color="000000" w:fill="FFFFFF"/>
            <w:vAlign w:val="center"/>
          </w:tcPr>
          <w:p w14:paraId="757671EE">
            <w:pPr>
              <w:widowControl/>
              <w:adjustRightInd/>
              <w:spacing w:line="240" w:lineRule="auto"/>
              <w:jc w:val="left"/>
              <w:textAlignment w:val="auto"/>
              <w:rPr>
                <w:szCs w:val="21"/>
              </w:rPr>
            </w:pPr>
            <w:r>
              <w:rPr>
                <w:rFonts w:hint="eastAsia"/>
                <w:szCs w:val="21"/>
              </w:rPr>
              <w:t>制冷量：</w:t>
            </w:r>
            <w:r>
              <w:rPr>
                <w:color w:val="000000"/>
                <w:szCs w:val="21"/>
              </w:rPr>
              <w:t>2.8kW</w:t>
            </w:r>
            <w:r>
              <w:rPr>
                <w:rFonts w:hint="eastAsia"/>
                <w:color w:val="000000"/>
                <w:szCs w:val="21"/>
              </w:rPr>
              <w:t>，制热量：</w:t>
            </w:r>
            <w:r>
              <w:rPr>
                <w:color w:val="000000"/>
                <w:szCs w:val="21"/>
              </w:rPr>
              <w:t>3.2kW</w:t>
            </w:r>
            <w:r>
              <w:rPr>
                <w:rFonts w:hint="eastAsia"/>
                <w:color w:val="000000"/>
                <w:szCs w:val="21"/>
              </w:rPr>
              <w:t>，风量：</w:t>
            </w:r>
            <w:r>
              <w:rPr>
                <w:color w:val="000000"/>
                <w:szCs w:val="21"/>
              </w:rPr>
              <w:t>650m</w:t>
            </w:r>
            <w:r>
              <w:rPr>
                <w:rFonts w:hint="eastAsia"/>
                <w:color w:val="000000"/>
                <w:szCs w:val="21"/>
              </w:rPr>
              <w:t>³</w:t>
            </w:r>
            <w:r>
              <w:rPr>
                <w:color w:val="000000"/>
                <w:szCs w:val="21"/>
              </w:rPr>
              <w:t>/h</w:t>
            </w:r>
            <w:r>
              <w:rPr>
                <w:rFonts w:hint="eastAsia"/>
                <w:color w:val="000000"/>
                <w:szCs w:val="21"/>
              </w:rPr>
              <w:t>，功率：</w:t>
            </w:r>
            <w:r>
              <w:rPr>
                <w:color w:val="000000"/>
                <w:szCs w:val="21"/>
              </w:rPr>
              <w:t>0.071kW</w:t>
            </w:r>
            <w:r>
              <w:rPr>
                <w:rFonts w:hint="eastAsia"/>
                <w:color w:val="000000"/>
                <w:szCs w:val="21"/>
              </w:rPr>
              <w:t>，含线控器、遥控器及线缆</w:t>
            </w:r>
          </w:p>
        </w:tc>
        <w:tc>
          <w:tcPr>
            <w:tcW w:w="470" w:type="pct"/>
            <w:shd w:val="clear" w:color="000000" w:fill="FFFFFF"/>
            <w:noWrap/>
            <w:vAlign w:val="center"/>
          </w:tcPr>
          <w:p w14:paraId="5BFDAAD9">
            <w:pPr>
              <w:widowControl/>
              <w:adjustRightInd/>
              <w:spacing w:line="240" w:lineRule="auto"/>
              <w:jc w:val="center"/>
              <w:textAlignment w:val="auto"/>
              <w:rPr>
                <w:szCs w:val="21"/>
              </w:rPr>
            </w:pPr>
            <w:r>
              <w:rPr>
                <w:rFonts w:hint="eastAsia"/>
                <w:szCs w:val="21"/>
              </w:rPr>
              <w:t>台</w:t>
            </w:r>
          </w:p>
        </w:tc>
        <w:tc>
          <w:tcPr>
            <w:tcW w:w="469" w:type="pct"/>
            <w:shd w:val="clear" w:color="000000" w:fill="FFFFFF"/>
            <w:noWrap/>
            <w:vAlign w:val="center"/>
          </w:tcPr>
          <w:p w14:paraId="2D903C8C">
            <w:pPr>
              <w:widowControl/>
              <w:adjustRightInd/>
              <w:spacing w:line="240" w:lineRule="auto"/>
              <w:jc w:val="center"/>
              <w:textAlignment w:val="auto"/>
              <w:rPr>
                <w:szCs w:val="21"/>
              </w:rPr>
            </w:pPr>
            <w:r>
              <w:rPr>
                <w:rFonts w:hint="eastAsia"/>
                <w:szCs w:val="21"/>
              </w:rPr>
              <w:t>1</w:t>
            </w:r>
          </w:p>
        </w:tc>
        <w:tc>
          <w:tcPr>
            <w:tcW w:w="856" w:type="pct"/>
            <w:shd w:val="clear" w:color="000000" w:fill="FFFFFF"/>
            <w:noWrap/>
          </w:tcPr>
          <w:p w14:paraId="116F880D">
            <w:pPr>
              <w:widowControl/>
              <w:adjustRightInd/>
              <w:spacing w:line="240" w:lineRule="auto"/>
              <w:jc w:val="center"/>
              <w:textAlignment w:val="auto"/>
              <w:rPr>
                <w:szCs w:val="21"/>
              </w:rPr>
            </w:pPr>
            <w:r>
              <w:rPr>
                <w:rFonts w:hint="eastAsia"/>
                <w:szCs w:val="21"/>
              </w:rPr>
              <w:t>用于休息室、会议室等房间</w:t>
            </w:r>
          </w:p>
        </w:tc>
      </w:tr>
      <w:tr w14:paraId="7F01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52" w:type="pct"/>
            <w:shd w:val="clear" w:color="000000" w:fill="FFFFFF"/>
            <w:noWrap/>
            <w:vAlign w:val="center"/>
          </w:tcPr>
          <w:p w14:paraId="56C04AF5">
            <w:pPr>
              <w:pStyle w:val="178"/>
              <w:widowControl/>
              <w:numPr>
                <w:ilvl w:val="0"/>
                <w:numId w:val="6"/>
              </w:numPr>
              <w:spacing w:line="240" w:lineRule="auto"/>
              <w:ind w:firstLineChars="0"/>
              <w:jc w:val="center"/>
              <w:rPr>
                <w:color w:val="000000" w:themeColor="text1"/>
                <w:szCs w:val="24"/>
                <w14:textFill>
                  <w14:solidFill>
                    <w14:schemeClr w14:val="tx1"/>
                  </w14:solidFill>
                </w14:textFill>
              </w:rPr>
            </w:pPr>
          </w:p>
        </w:tc>
        <w:tc>
          <w:tcPr>
            <w:tcW w:w="975" w:type="pct"/>
            <w:shd w:val="clear" w:color="000000" w:fill="FFFFFF"/>
            <w:noWrap/>
            <w:vAlign w:val="center"/>
          </w:tcPr>
          <w:p w14:paraId="2A08843A">
            <w:pPr>
              <w:widowControl/>
              <w:adjustRightInd/>
              <w:spacing w:line="240" w:lineRule="auto"/>
              <w:jc w:val="left"/>
              <w:textAlignment w:val="auto"/>
              <w:rPr>
                <w:szCs w:val="21"/>
              </w:rPr>
            </w:pPr>
            <w:r>
              <w:rPr>
                <w:rFonts w:hint="eastAsia"/>
                <w:szCs w:val="21"/>
              </w:rPr>
              <w:t>环绕型出风室内机</w:t>
            </w:r>
          </w:p>
        </w:tc>
        <w:tc>
          <w:tcPr>
            <w:tcW w:w="1878" w:type="pct"/>
            <w:shd w:val="clear" w:color="000000" w:fill="FFFFFF"/>
            <w:vAlign w:val="center"/>
          </w:tcPr>
          <w:p w14:paraId="23C57C24">
            <w:pPr>
              <w:widowControl/>
              <w:adjustRightInd/>
              <w:spacing w:line="240" w:lineRule="auto"/>
              <w:jc w:val="left"/>
              <w:textAlignment w:val="auto"/>
              <w:rPr>
                <w:szCs w:val="21"/>
              </w:rPr>
            </w:pPr>
            <w:r>
              <w:rPr>
                <w:rFonts w:hint="eastAsia"/>
                <w:szCs w:val="21"/>
              </w:rPr>
              <w:t>制冷量：</w:t>
            </w:r>
            <w:r>
              <w:rPr>
                <w:color w:val="000000"/>
                <w:szCs w:val="21"/>
              </w:rPr>
              <w:t>3.5kW</w:t>
            </w:r>
            <w:r>
              <w:rPr>
                <w:rFonts w:hint="eastAsia"/>
                <w:color w:val="000000"/>
                <w:szCs w:val="21"/>
              </w:rPr>
              <w:t>，制热量：</w:t>
            </w:r>
            <w:r>
              <w:rPr>
                <w:color w:val="000000"/>
                <w:szCs w:val="21"/>
              </w:rPr>
              <w:t>3.6kW</w:t>
            </w:r>
            <w:r>
              <w:rPr>
                <w:rFonts w:hint="eastAsia"/>
                <w:color w:val="000000"/>
                <w:szCs w:val="21"/>
              </w:rPr>
              <w:t>，风量：</w:t>
            </w:r>
            <w:r>
              <w:rPr>
                <w:color w:val="000000"/>
                <w:szCs w:val="21"/>
              </w:rPr>
              <w:t>650m</w:t>
            </w:r>
            <w:r>
              <w:rPr>
                <w:rFonts w:hint="eastAsia"/>
                <w:color w:val="000000"/>
                <w:szCs w:val="21"/>
              </w:rPr>
              <w:t>³</w:t>
            </w:r>
            <w:r>
              <w:rPr>
                <w:color w:val="000000"/>
                <w:szCs w:val="21"/>
              </w:rPr>
              <w:t>/h</w:t>
            </w:r>
            <w:r>
              <w:rPr>
                <w:rFonts w:hint="eastAsia"/>
                <w:color w:val="000000"/>
                <w:szCs w:val="21"/>
              </w:rPr>
              <w:t>，功率：</w:t>
            </w:r>
            <w:r>
              <w:rPr>
                <w:color w:val="000000"/>
                <w:szCs w:val="21"/>
              </w:rPr>
              <w:t>0.071kW</w:t>
            </w:r>
            <w:r>
              <w:rPr>
                <w:rFonts w:hint="eastAsia"/>
                <w:color w:val="000000"/>
                <w:szCs w:val="21"/>
              </w:rPr>
              <w:t>，含线控器、遥控器及线缆</w:t>
            </w:r>
          </w:p>
        </w:tc>
        <w:tc>
          <w:tcPr>
            <w:tcW w:w="470" w:type="pct"/>
            <w:shd w:val="clear" w:color="000000" w:fill="FFFFFF"/>
            <w:noWrap/>
            <w:vAlign w:val="center"/>
          </w:tcPr>
          <w:p w14:paraId="6A382719">
            <w:pPr>
              <w:widowControl/>
              <w:adjustRightInd/>
              <w:spacing w:line="240" w:lineRule="auto"/>
              <w:jc w:val="center"/>
              <w:textAlignment w:val="auto"/>
              <w:rPr>
                <w:szCs w:val="21"/>
              </w:rPr>
            </w:pPr>
            <w:r>
              <w:rPr>
                <w:rFonts w:hint="eastAsia"/>
                <w:szCs w:val="21"/>
              </w:rPr>
              <w:t>台</w:t>
            </w:r>
          </w:p>
        </w:tc>
        <w:tc>
          <w:tcPr>
            <w:tcW w:w="469" w:type="pct"/>
            <w:shd w:val="clear" w:color="000000" w:fill="FFFFFF"/>
            <w:noWrap/>
            <w:vAlign w:val="center"/>
          </w:tcPr>
          <w:p w14:paraId="0740E8DD">
            <w:pPr>
              <w:widowControl/>
              <w:adjustRightInd/>
              <w:spacing w:line="240" w:lineRule="auto"/>
              <w:jc w:val="center"/>
              <w:textAlignment w:val="auto"/>
              <w:rPr>
                <w:szCs w:val="21"/>
              </w:rPr>
            </w:pPr>
            <w:r>
              <w:rPr>
                <w:rFonts w:hint="eastAsia"/>
                <w:szCs w:val="21"/>
              </w:rPr>
              <w:t>1</w:t>
            </w:r>
          </w:p>
        </w:tc>
        <w:tc>
          <w:tcPr>
            <w:tcW w:w="856" w:type="pct"/>
            <w:shd w:val="clear" w:color="000000" w:fill="FFFFFF"/>
            <w:noWrap/>
          </w:tcPr>
          <w:p w14:paraId="603226A6">
            <w:pPr>
              <w:widowControl/>
              <w:adjustRightInd/>
              <w:spacing w:line="240" w:lineRule="auto"/>
              <w:jc w:val="center"/>
              <w:textAlignment w:val="auto"/>
              <w:rPr>
                <w:szCs w:val="21"/>
              </w:rPr>
            </w:pPr>
            <w:r>
              <w:rPr>
                <w:rFonts w:hint="eastAsia"/>
                <w:szCs w:val="21"/>
              </w:rPr>
              <w:t>用于休息室、会议室等房间</w:t>
            </w:r>
          </w:p>
        </w:tc>
      </w:tr>
      <w:tr w14:paraId="3B069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52" w:type="pct"/>
            <w:shd w:val="clear" w:color="000000" w:fill="FFFFFF"/>
            <w:noWrap/>
            <w:vAlign w:val="center"/>
          </w:tcPr>
          <w:p w14:paraId="1623A84E">
            <w:pPr>
              <w:pStyle w:val="178"/>
              <w:widowControl/>
              <w:numPr>
                <w:ilvl w:val="0"/>
                <w:numId w:val="6"/>
              </w:numPr>
              <w:spacing w:line="240" w:lineRule="auto"/>
              <w:ind w:firstLineChars="0"/>
              <w:jc w:val="center"/>
              <w:rPr>
                <w:color w:val="000000" w:themeColor="text1"/>
                <w:szCs w:val="24"/>
                <w14:textFill>
                  <w14:solidFill>
                    <w14:schemeClr w14:val="tx1"/>
                  </w14:solidFill>
                </w14:textFill>
              </w:rPr>
            </w:pPr>
          </w:p>
        </w:tc>
        <w:tc>
          <w:tcPr>
            <w:tcW w:w="975" w:type="pct"/>
            <w:shd w:val="clear" w:color="000000" w:fill="FFFFFF"/>
            <w:noWrap/>
            <w:vAlign w:val="center"/>
          </w:tcPr>
          <w:p w14:paraId="70FC8356">
            <w:pPr>
              <w:widowControl/>
              <w:adjustRightInd/>
              <w:spacing w:line="240" w:lineRule="auto"/>
              <w:jc w:val="left"/>
              <w:textAlignment w:val="auto"/>
              <w:rPr>
                <w:szCs w:val="21"/>
              </w:rPr>
            </w:pPr>
            <w:r>
              <w:rPr>
                <w:rFonts w:hint="eastAsia"/>
                <w:szCs w:val="21"/>
              </w:rPr>
              <w:t>环绕型出风室内机</w:t>
            </w:r>
          </w:p>
        </w:tc>
        <w:tc>
          <w:tcPr>
            <w:tcW w:w="1878" w:type="pct"/>
            <w:shd w:val="clear" w:color="000000" w:fill="FFFFFF"/>
            <w:vAlign w:val="center"/>
          </w:tcPr>
          <w:p w14:paraId="224773A1">
            <w:pPr>
              <w:widowControl/>
              <w:adjustRightInd/>
              <w:spacing w:line="240" w:lineRule="auto"/>
              <w:jc w:val="left"/>
              <w:textAlignment w:val="auto"/>
              <w:rPr>
                <w:szCs w:val="21"/>
              </w:rPr>
            </w:pPr>
            <w:r>
              <w:rPr>
                <w:rFonts w:hint="eastAsia"/>
                <w:szCs w:val="21"/>
              </w:rPr>
              <w:t>制冷量：</w:t>
            </w:r>
            <w:r>
              <w:rPr>
                <w:color w:val="000000"/>
                <w:szCs w:val="21"/>
              </w:rPr>
              <w:t>5.6kW</w:t>
            </w:r>
            <w:r>
              <w:rPr>
                <w:rFonts w:hint="eastAsia"/>
                <w:color w:val="000000"/>
                <w:szCs w:val="21"/>
              </w:rPr>
              <w:t>，制热量：</w:t>
            </w:r>
            <w:r>
              <w:rPr>
                <w:color w:val="000000"/>
                <w:szCs w:val="21"/>
              </w:rPr>
              <w:t>6.3kW</w:t>
            </w:r>
            <w:r>
              <w:rPr>
                <w:rFonts w:hint="eastAsia"/>
                <w:color w:val="000000"/>
                <w:szCs w:val="21"/>
              </w:rPr>
              <w:t>，风量：</w:t>
            </w:r>
            <w:r>
              <w:rPr>
                <w:color w:val="000000"/>
                <w:szCs w:val="21"/>
              </w:rPr>
              <w:t>650m</w:t>
            </w:r>
            <w:r>
              <w:rPr>
                <w:rFonts w:hint="eastAsia"/>
                <w:color w:val="000000"/>
                <w:szCs w:val="21"/>
              </w:rPr>
              <w:t>³</w:t>
            </w:r>
            <w:r>
              <w:rPr>
                <w:color w:val="000000"/>
                <w:szCs w:val="21"/>
              </w:rPr>
              <w:t>/h</w:t>
            </w:r>
            <w:r>
              <w:rPr>
                <w:rFonts w:hint="eastAsia"/>
                <w:color w:val="000000"/>
                <w:szCs w:val="21"/>
              </w:rPr>
              <w:t>，功率：</w:t>
            </w:r>
            <w:r>
              <w:rPr>
                <w:color w:val="000000"/>
                <w:szCs w:val="21"/>
              </w:rPr>
              <w:t>0.071kW</w:t>
            </w:r>
            <w:r>
              <w:rPr>
                <w:rFonts w:hint="eastAsia"/>
                <w:color w:val="000000"/>
                <w:szCs w:val="21"/>
              </w:rPr>
              <w:t>，含线控器、遥控器及线缆</w:t>
            </w:r>
          </w:p>
        </w:tc>
        <w:tc>
          <w:tcPr>
            <w:tcW w:w="470" w:type="pct"/>
            <w:shd w:val="clear" w:color="000000" w:fill="FFFFFF"/>
            <w:noWrap/>
            <w:vAlign w:val="center"/>
          </w:tcPr>
          <w:p w14:paraId="2A2BA4DB">
            <w:pPr>
              <w:widowControl/>
              <w:adjustRightInd/>
              <w:spacing w:line="240" w:lineRule="auto"/>
              <w:jc w:val="center"/>
              <w:textAlignment w:val="auto"/>
              <w:rPr>
                <w:szCs w:val="21"/>
              </w:rPr>
            </w:pPr>
            <w:r>
              <w:rPr>
                <w:rFonts w:hint="eastAsia"/>
                <w:szCs w:val="21"/>
              </w:rPr>
              <w:t>台</w:t>
            </w:r>
          </w:p>
        </w:tc>
        <w:tc>
          <w:tcPr>
            <w:tcW w:w="469" w:type="pct"/>
            <w:shd w:val="clear" w:color="000000" w:fill="FFFFFF"/>
            <w:noWrap/>
            <w:vAlign w:val="center"/>
          </w:tcPr>
          <w:p w14:paraId="67603654">
            <w:pPr>
              <w:widowControl/>
              <w:adjustRightInd/>
              <w:spacing w:line="240" w:lineRule="auto"/>
              <w:jc w:val="center"/>
              <w:textAlignment w:val="auto"/>
              <w:rPr>
                <w:szCs w:val="21"/>
              </w:rPr>
            </w:pPr>
            <w:r>
              <w:rPr>
                <w:rFonts w:hint="eastAsia"/>
                <w:szCs w:val="21"/>
              </w:rPr>
              <w:t>8</w:t>
            </w:r>
          </w:p>
        </w:tc>
        <w:tc>
          <w:tcPr>
            <w:tcW w:w="856" w:type="pct"/>
            <w:shd w:val="clear" w:color="000000" w:fill="FFFFFF"/>
            <w:noWrap/>
          </w:tcPr>
          <w:p w14:paraId="71112D5F">
            <w:pPr>
              <w:widowControl/>
              <w:adjustRightInd/>
              <w:spacing w:line="240" w:lineRule="auto"/>
              <w:jc w:val="center"/>
              <w:textAlignment w:val="auto"/>
              <w:rPr>
                <w:szCs w:val="21"/>
              </w:rPr>
            </w:pPr>
            <w:r>
              <w:rPr>
                <w:rFonts w:hint="eastAsia"/>
                <w:szCs w:val="21"/>
              </w:rPr>
              <w:t>用于休息室、会议室等房间</w:t>
            </w:r>
          </w:p>
        </w:tc>
      </w:tr>
      <w:tr w14:paraId="0F371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52" w:type="pct"/>
            <w:shd w:val="clear" w:color="000000" w:fill="FFFFFF"/>
            <w:noWrap/>
            <w:vAlign w:val="center"/>
          </w:tcPr>
          <w:p w14:paraId="4476281E">
            <w:pPr>
              <w:pStyle w:val="178"/>
              <w:widowControl/>
              <w:numPr>
                <w:ilvl w:val="0"/>
                <w:numId w:val="6"/>
              </w:numPr>
              <w:spacing w:line="240" w:lineRule="auto"/>
              <w:ind w:firstLineChars="0"/>
              <w:jc w:val="center"/>
              <w:rPr>
                <w:color w:val="000000" w:themeColor="text1"/>
                <w:szCs w:val="24"/>
                <w14:textFill>
                  <w14:solidFill>
                    <w14:schemeClr w14:val="tx1"/>
                  </w14:solidFill>
                </w14:textFill>
              </w:rPr>
            </w:pPr>
          </w:p>
        </w:tc>
        <w:tc>
          <w:tcPr>
            <w:tcW w:w="975" w:type="pct"/>
            <w:shd w:val="clear" w:color="000000" w:fill="FFFFFF"/>
            <w:noWrap/>
            <w:vAlign w:val="center"/>
          </w:tcPr>
          <w:p w14:paraId="03EDCEC2">
            <w:pPr>
              <w:widowControl/>
              <w:adjustRightInd/>
              <w:spacing w:line="240" w:lineRule="auto"/>
              <w:jc w:val="left"/>
              <w:textAlignment w:val="auto"/>
              <w:rPr>
                <w:szCs w:val="21"/>
              </w:rPr>
            </w:pPr>
            <w:r>
              <w:rPr>
                <w:rFonts w:hint="eastAsia"/>
                <w:szCs w:val="21"/>
              </w:rPr>
              <w:t>环绕型出风室内机</w:t>
            </w:r>
          </w:p>
        </w:tc>
        <w:tc>
          <w:tcPr>
            <w:tcW w:w="1878" w:type="pct"/>
            <w:shd w:val="clear" w:color="000000" w:fill="FFFFFF"/>
            <w:vAlign w:val="center"/>
          </w:tcPr>
          <w:p w14:paraId="5521A35F">
            <w:pPr>
              <w:widowControl/>
              <w:adjustRightInd/>
              <w:spacing w:line="240" w:lineRule="auto"/>
              <w:jc w:val="left"/>
              <w:textAlignment w:val="auto"/>
              <w:rPr>
                <w:szCs w:val="21"/>
              </w:rPr>
            </w:pPr>
            <w:r>
              <w:rPr>
                <w:rFonts w:hint="eastAsia"/>
                <w:szCs w:val="21"/>
              </w:rPr>
              <w:t>制冷量：</w:t>
            </w:r>
            <w:r>
              <w:rPr>
                <w:color w:val="000000"/>
                <w:szCs w:val="21"/>
              </w:rPr>
              <w:t>10kW</w:t>
            </w:r>
            <w:r>
              <w:rPr>
                <w:rFonts w:hint="eastAsia"/>
                <w:color w:val="000000"/>
                <w:szCs w:val="21"/>
              </w:rPr>
              <w:t>，制热量：</w:t>
            </w:r>
            <w:r>
              <w:rPr>
                <w:color w:val="000000"/>
                <w:szCs w:val="21"/>
              </w:rPr>
              <w:t>11kW</w:t>
            </w:r>
            <w:r>
              <w:rPr>
                <w:rFonts w:hint="eastAsia"/>
                <w:color w:val="000000"/>
                <w:szCs w:val="21"/>
              </w:rPr>
              <w:t>，风量：</w:t>
            </w:r>
            <w:r>
              <w:rPr>
                <w:color w:val="000000"/>
                <w:szCs w:val="21"/>
              </w:rPr>
              <w:t>850m</w:t>
            </w:r>
            <w:r>
              <w:rPr>
                <w:rFonts w:hint="eastAsia"/>
                <w:color w:val="000000"/>
                <w:szCs w:val="21"/>
              </w:rPr>
              <w:t>³</w:t>
            </w:r>
            <w:r>
              <w:rPr>
                <w:color w:val="000000"/>
                <w:szCs w:val="21"/>
              </w:rPr>
              <w:t>/h</w:t>
            </w:r>
            <w:r>
              <w:rPr>
                <w:rFonts w:hint="eastAsia"/>
                <w:color w:val="000000"/>
                <w:szCs w:val="21"/>
              </w:rPr>
              <w:t>，功率：</w:t>
            </w:r>
            <w:r>
              <w:rPr>
                <w:color w:val="000000"/>
                <w:szCs w:val="21"/>
              </w:rPr>
              <w:t>0.071kW</w:t>
            </w:r>
            <w:r>
              <w:rPr>
                <w:rFonts w:hint="eastAsia"/>
                <w:color w:val="000000"/>
                <w:szCs w:val="21"/>
              </w:rPr>
              <w:t>，含线控器、遥控器及线缆</w:t>
            </w:r>
          </w:p>
        </w:tc>
        <w:tc>
          <w:tcPr>
            <w:tcW w:w="470" w:type="pct"/>
            <w:shd w:val="clear" w:color="000000" w:fill="FFFFFF"/>
            <w:noWrap/>
            <w:vAlign w:val="center"/>
          </w:tcPr>
          <w:p w14:paraId="06854483">
            <w:pPr>
              <w:widowControl/>
              <w:adjustRightInd/>
              <w:spacing w:line="240" w:lineRule="auto"/>
              <w:jc w:val="center"/>
              <w:textAlignment w:val="auto"/>
              <w:rPr>
                <w:szCs w:val="21"/>
              </w:rPr>
            </w:pPr>
            <w:r>
              <w:rPr>
                <w:rFonts w:hint="eastAsia"/>
                <w:szCs w:val="21"/>
              </w:rPr>
              <w:t>台</w:t>
            </w:r>
          </w:p>
        </w:tc>
        <w:tc>
          <w:tcPr>
            <w:tcW w:w="469" w:type="pct"/>
            <w:shd w:val="clear" w:color="000000" w:fill="FFFFFF"/>
            <w:noWrap/>
            <w:vAlign w:val="center"/>
          </w:tcPr>
          <w:p w14:paraId="41A216A1">
            <w:pPr>
              <w:widowControl/>
              <w:adjustRightInd/>
              <w:spacing w:line="240" w:lineRule="auto"/>
              <w:jc w:val="center"/>
              <w:textAlignment w:val="auto"/>
              <w:rPr>
                <w:szCs w:val="21"/>
              </w:rPr>
            </w:pPr>
            <w:r>
              <w:rPr>
                <w:rFonts w:hint="eastAsia"/>
                <w:szCs w:val="21"/>
              </w:rPr>
              <w:t>2</w:t>
            </w:r>
          </w:p>
        </w:tc>
        <w:tc>
          <w:tcPr>
            <w:tcW w:w="856" w:type="pct"/>
            <w:shd w:val="clear" w:color="000000" w:fill="FFFFFF"/>
            <w:noWrap/>
          </w:tcPr>
          <w:p w14:paraId="024AEB72">
            <w:pPr>
              <w:widowControl/>
              <w:adjustRightInd/>
              <w:spacing w:line="240" w:lineRule="auto"/>
              <w:jc w:val="center"/>
              <w:textAlignment w:val="auto"/>
              <w:rPr>
                <w:szCs w:val="21"/>
              </w:rPr>
            </w:pPr>
            <w:r>
              <w:rPr>
                <w:rFonts w:hint="eastAsia"/>
                <w:szCs w:val="21"/>
              </w:rPr>
              <w:t>用于休息室、会议室等房间</w:t>
            </w:r>
          </w:p>
        </w:tc>
      </w:tr>
      <w:tr w14:paraId="211D8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52" w:type="pct"/>
            <w:shd w:val="clear" w:color="000000" w:fill="FFFFFF"/>
            <w:noWrap/>
            <w:vAlign w:val="center"/>
          </w:tcPr>
          <w:p w14:paraId="5FB7B31D">
            <w:pPr>
              <w:pStyle w:val="178"/>
              <w:widowControl/>
              <w:numPr>
                <w:ilvl w:val="0"/>
                <w:numId w:val="6"/>
              </w:numPr>
              <w:spacing w:line="240" w:lineRule="auto"/>
              <w:ind w:firstLineChars="0"/>
              <w:jc w:val="center"/>
              <w:rPr>
                <w:color w:val="000000" w:themeColor="text1"/>
                <w:szCs w:val="24"/>
                <w14:textFill>
                  <w14:solidFill>
                    <w14:schemeClr w14:val="tx1"/>
                  </w14:solidFill>
                </w14:textFill>
              </w:rPr>
            </w:pPr>
          </w:p>
        </w:tc>
        <w:tc>
          <w:tcPr>
            <w:tcW w:w="975" w:type="pct"/>
            <w:shd w:val="clear" w:color="000000" w:fill="FFFFFF"/>
            <w:noWrap/>
            <w:vAlign w:val="center"/>
          </w:tcPr>
          <w:p w14:paraId="255F375A">
            <w:pPr>
              <w:widowControl/>
              <w:adjustRightInd/>
              <w:spacing w:line="240" w:lineRule="auto"/>
              <w:jc w:val="left"/>
              <w:textAlignment w:val="auto"/>
              <w:rPr>
                <w:szCs w:val="21"/>
              </w:rPr>
            </w:pPr>
            <w:r>
              <w:rPr>
                <w:rFonts w:hint="eastAsia"/>
                <w:szCs w:val="21"/>
              </w:rPr>
              <w:t>环绕型出风室内机</w:t>
            </w:r>
          </w:p>
        </w:tc>
        <w:tc>
          <w:tcPr>
            <w:tcW w:w="1878" w:type="pct"/>
            <w:shd w:val="clear" w:color="000000" w:fill="FFFFFF"/>
            <w:vAlign w:val="center"/>
          </w:tcPr>
          <w:p w14:paraId="50DB4D0A">
            <w:pPr>
              <w:widowControl/>
              <w:adjustRightInd/>
              <w:spacing w:line="240" w:lineRule="auto"/>
              <w:jc w:val="left"/>
              <w:textAlignment w:val="auto"/>
              <w:rPr>
                <w:szCs w:val="21"/>
              </w:rPr>
            </w:pPr>
            <w:r>
              <w:rPr>
                <w:rFonts w:hint="eastAsia"/>
                <w:szCs w:val="21"/>
              </w:rPr>
              <w:t>制冷量：</w:t>
            </w:r>
            <w:r>
              <w:rPr>
                <w:color w:val="000000"/>
                <w:szCs w:val="21"/>
              </w:rPr>
              <w:t>14kW</w:t>
            </w:r>
            <w:r>
              <w:rPr>
                <w:rFonts w:hint="eastAsia"/>
                <w:color w:val="000000"/>
                <w:szCs w:val="21"/>
              </w:rPr>
              <w:t>，制热量：</w:t>
            </w:r>
            <w:r>
              <w:rPr>
                <w:color w:val="000000"/>
                <w:szCs w:val="21"/>
              </w:rPr>
              <w:t>15kW</w:t>
            </w:r>
            <w:r>
              <w:rPr>
                <w:rFonts w:hint="eastAsia"/>
                <w:color w:val="000000"/>
                <w:szCs w:val="21"/>
              </w:rPr>
              <w:t>，风量：</w:t>
            </w:r>
            <w:r>
              <w:rPr>
                <w:color w:val="000000"/>
                <w:szCs w:val="21"/>
              </w:rPr>
              <w:t>1000m</w:t>
            </w:r>
            <w:r>
              <w:rPr>
                <w:rFonts w:hint="eastAsia"/>
                <w:color w:val="000000"/>
                <w:szCs w:val="21"/>
              </w:rPr>
              <w:t>³</w:t>
            </w:r>
            <w:r>
              <w:rPr>
                <w:color w:val="000000"/>
                <w:szCs w:val="21"/>
              </w:rPr>
              <w:t>/h</w:t>
            </w:r>
            <w:r>
              <w:rPr>
                <w:rFonts w:hint="eastAsia"/>
                <w:color w:val="000000"/>
                <w:szCs w:val="21"/>
              </w:rPr>
              <w:t>，功率：</w:t>
            </w:r>
            <w:r>
              <w:rPr>
                <w:color w:val="000000"/>
                <w:szCs w:val="21"/>
              </w:rPr>
              <w:t>0.071kW</w:t>
            </w:r>
            <w:r>
              <w:rPr>
                <w:rFonts w:hint="eastAsia"/>
                <w:color w:val="000000"/>
                <w:szCs w:val="21"/>
              </w:rPr>
              <w:t>，含线控器、遥控器及线缆</w:t>
            </w:r>
          </w:p>
        </w:tc>
        <w:tc>
          <w:tcPr>
            <w:tcW w:w="470" w:type="pct"/>
            <w:shd w:val="clear" w:color="000000" w:fill="FFFFFF"/>
            <w:noWrap/>
            <w:vAlign w:val="center"/>
          </w:tcPr>
          <w:p w14:paraId="08274E34">
            <w:pPr>
              <w:widowControl/>
              <w:adjustRightInd/>
              <w:spacing w:line="240" w:lineRule="auto"/>
              <w:jc w:val="center"/>
              <w:textAlignment w:val="auto"/>
              <w:rPr>
                <w:szCs w:val="21"/>
              </w:rPr>
            </w:pPr>
            <w:r>
              <w:rPr>
                <w:rFonts w:hint="eastAsia"/>
                <w:szCs w:val="21"/>
              </w:rPr>
              <w:t>台</w:t>
            </w:r>
          </w:p>
        </w:tc>
        <w:tc>
          <w:tcPr>
            <w:tcW w:w="469" w:type="pct"/>
            <w:shd w:val="clear" w:color="000000" w:fill="FFFFFF"/>
            <w:noWrap/>
            <w:vAlign w:val="center"/>
          </w:tcPr>
          <w:p w14:paraId="66EFE500">
            <w:pPr>
              <w:widowControl/>
              <w:adjustRightInd/>
              <w:spacing w:line="240" w:lineRule="auto"/>
              <w:jc w:val="center"/>
              <w:textAlignment w:val="auto"/>
              <w:rPr>
                <w:szCs w:val="21"/>
              </w:rPr>
            </w:pPr>
            <w:r>
              <w:rPr>
                <w:rFonts w:hint="eastAsia"/>
                <w:szCs w:val="21"/>
              </w:rPr>
              <w:t>2</w:t>
            </w:r>
          </w:p>
        </w:tc>
        <w:tc>
          <w:tcPr>
            <w:tcW w:w="856" w:type="pct"/>
            <w:shd w:val="clear" w:color="000000" w:fill="FFFFFF"/>
            <w:noWrap/>
          </w:tcPr>
          <w:p w14:paraId="1C310F1D">
            <w:pPr>
              <w:widowControl/>
              <w:adjustRightInd/>
              <w:spacing w:line="240" w:lineRule="auto"/>
              <w:jc w:val="center"/>
              <w:textAlignment w:val="auto"/>
              <w:rPr>
                <w:szCs w:val="21"/>
              </w:rPr>
            </w:pPr>
            <w:r>
              <w:rPr>
                <w:rFonts w:hint="eastAsia"/>
                <w:szCs w:val="21"/>
              </w:rPr>
              <w:t>用于休息室、会议室等房间</w:t>
            </w:r>
          </w:p>
        </w:tc>
      </w:tr>
      <w:tr w14:paraId="3070B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52" w:type="pct"/>
            <w:shd w:val="clear" w:color="000000" w:fill="FFFFFF"/>
            <w:noWrap/>
            <w:vAlign w:val="center"/>
          </w:tcPr>
          <w:p w14:paraId="7E046BED">
            <w:pPr>
              <w:pStyle w:val="178"/>
              <w:widowControl/>
              <w:numPr>
                <w:ilvl w:val="0"/>
                <w:numId w:val="6"/>
              </w:numPr>
              <w:spacing w:line="240" w:lineRule="auto"/>
              <w:ind w:firstLineChars="0"/>
              <w:jc w:val="center"/>
              <w:rPr>
                <w:color w:val="000000" w:themeColor="text1"/>
                <w:szCs w:val="24"/>
                <w14:textFill>
                  <w14:solidFill>
                    <w14:schemeClr w14:val="tx1"/>
                  </w14:solidFill>
                </w14:textFill>
              </w:rPr>
            </w:pPr>
          </w:p>
        </w:tc>
        <w:tc>
          <w:tcPr>
            <w:tcW w:w="975" w:type="pct"/>
            <w:shd w:val="clear" w:color="000000" w:fill="FFFFFF"/>
            <w:noWrap/>
            <w:vAlign w:val="center"/>
          </w:tcPr>
          <w:p w14:paraId="0AAD591D">
            <w:pPr>
              <w:widowControl/>
              <w:adjustRightInd/>
              <w:spacing w:line="240" w:lineRule="auto"/>
              <w:jc w:val="left"/>
              <w:textAlignment w:val="auto"/>
              <w:rPr>
                <w:szCs w:val="21"/>
              </w:rPr>
            </w:pPr>
            <w:r>
              <w:rPr>
                <w:rFonts w:hint="eastAsia"/>
                <w:szCs w:val="21"/>
              </w:rPr>
              <w:t>商用多联机室外机</w:t>
            </w:r>
          </w:p>
        </w:tc>
        <w:tc>
          <w:tcPr>
            <w:tcW w:w="1878" w:type="pct"/>
            <w:shd w:val="clear" w:color="000000" w:fill="FFFFFF"/>
            <w:vAlign w:val="center"/>
          </w:tcPr>
          <w:p w14:paraId="3740644F">
            <w:pPr>
              <w:widowControl/>
              <w:adjustRightInd/>
              <w:spacing w:line="240" w:lineRule="auto"/>
              <w:jc w:val="left"/>
              <w:textAlignment w:val="auto"/>
              <w:rPr>
                <w:szCs w:val="21"/>
              </w:rPr>
            </w:pPr>
            <w:r>
              <w:rPr>
                <w:rFonts w:hint="eastAsia"/>
                <w:szCs w:val="21"/>
              </w:rPr>
              <w:t>制冷量：</w:t>
            </w:r>
            <w:r>
              <w:rPr>
                <w:color w:val="000000"/>
                <w:szCs w:val="21"/>
              </w:rPr>
              <w:t>123kW</w:t>
            </w:r>
            <w:r>
              <w:rPr>
                <w:rFonts w:hint="eastAsia"/>
                <w:color w:val="000000"/>
                <w:szCs w:val="21"/>
              </w:rPr>
              <w:t>，制热量：</w:t>
            </w:r>
            <w:r>
              <w:rPr>
                <w:color w:val="000000"/>
                <w:szCs w:val="21"/>
              </w:rPr>
              <w:t>138kW</w:t>
            </w:r>
            <w:r>
              <w:rPr>
                <w:rFonts w:hint="eastAsia"/>
                <w:color w:val="000000"/>
                <w:szCs w:val="21"/>
              </w:rPr>
              <w:t>，输入功率：</w:t>
            </w:r>
            <w:r>
              <w:rPr>
                <w:color w:val="000000"/>
                <w:szCs w:val="21"/>
              </w:rPr>
              <w:t>45kW(</w:t>
            </w:r>
            <w:r>
              <w:rPr>
                <w:rFonts w:hint="eastAsia"/>
                <w:color w:val="000000"/>
                <w:szCs w:val="21"/>
              </w:rPr>
              <w:t>制冷</w:t>
            </w:r>
            <w:r>
              <w:rPr>
                <w:color w:val="000000"/>
                <w:szCs w:val="21"/>
              </w:rPr>
              <w:t>)</w:t>
            </w:r>
            <w:r>
              <w:rPr>
                <w:rFonts w:hint="eastAsia"/>
                <w:color w:val="000000"/>
                <w:szCs w:val="21"/>
              </w:rPr>
              <w:t>，</w:t>
            </w:r>
            <w:r>
              <w:rPr>
                <w:color w:val="000000"/>
                <w:szCs w:val="21"/>
              </w:rPr>
              <w:t>44kW</w:t>
            </w:r>
            <w:r>
              <w:rPr>
                <w:rFonts w:hint="eastAsia"/>
                <w:color w:val="000000"/>
                <w:szCs w:val="21"/>
              </w:rPr>
              <w:t>（制热），不低于</w:t>
            </w:r>
            <w:r>
              <w:rPr>
                <w:color w:val="000000"/>
                <w:szCs w:val="21"/>
              </w:rPr>
              <w:t>2</w:t>
            </w:r>
            <w:r>
              <w:rPr>
                <w:rFonts w:hint="eastAsia"/>
                <w:color w:val="000000"/>
                <w:szCs w:val="21"/>
              </w:rPr>
              <w:t>级能效；带远控端子，带RS485接口（通信规约：MODBUS）或网口接口（通信规约：IEC-61850）</w:t>
            </w:r>
          </w:p>
        </w:tc>
        <w:tc>
          <w:tcPr>
            <w:tcW w:w="470" w:type="pct"/>
            <w:shd w:val="clear" w:color="000000" w:fill="FFFFFF"/>
            <w:noWrap/>
            <w:vAlign w:val="center"/>
          </w:tcPr>
          <w:p w14:paraId="3C54FC12">
            <w:pPr>
              <w:widowControl/>
              <w:adjustRightInd/>
              <w:spacing w:line="240" w:lineRule="auto"/>
              <w:jc w:val="center"/>
              <w:textAlignment w:val="auto"/>
              <w:rPr>
                <w:szCs w:val="21"/>
              </w:rPr>
            </w:pPr>
            <w:r>
              <w:rPr>
                <w:rFonts w:hint="eastAsia"/>
                <w:szCs w:val="21"/>
              </w:rPr>
              <w:t>台</w:t>
            </w:r>
          </w:p>
        </w:tc>
        <w:tc>
          <w:tcPr>
            <w:tcW w:w="469" w:type="pct"/>
            <w:shd w:val="clear" w:color="000000" w:fill="FFFFFF"/>
            <w:noWrap/>
            <w:vAlign w:val="center"/>
          </w:tcPr>
          <w:p w14:paraId="2357226C">
            <w:pPr>
              <w:widowControl/>
              <w:adjustRightInd/>
              <w:spacing w:line="240" w:lineRule="auto"/>
              <w:jc w:val="center"/>
              <w:textAlignment w:val="auto"/>
              <w:rPr>
                <w:szCs w:val="21"/>
              </w:rPr>
            </w:pPr>
            <w:r>
              <w:rPr>
                <w:rFonts w:hint="eastAsia"/>
                <w:szCs w:val="21"/>
              </w:rPr>
              <w:t>2</w:t>
            </w:r>
          </w:p>
        </w:tc>
        <w:tc>
          <w:tcPr>
            <w:tcW w:w="856" w:type="pct"/>
            <w:shd w:val="clear" w:color="000000" w:fill="FFFFFF"/>
            <w:noWrap/>
            <w:vAlign w:val="center"/>
          </w:tcPr>
          <w:p w14:paraId="60D04194">
            <w:pPr>
              <w:widowControl/>
              <w:adjustRightInd/>
              <w:spacing w:line="240" w:lineRule="auto"/>
              <w:jc w:val="center"/>
              <w:textAlignment w:val="auto"/>
              <w:rPr>
                <w:szCs w:val="21"/>
              </w:rPr>
            </w:pPr>
            <w:r>
              <w:rPr>
                <w:rFonts w:hint="eastAsia"/>
                <w:szCs w:val="21"/>
              </w:rPr>
              <w:t>一用一备，用于主控室、交接班室</w:t>
            </w:r>
          </w:p>
        </w:tc>
      </w:tr>
      <w:tr w14:paraId="050A0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52" w:type="pct"/>
            <w:shd w:val="clear" w:color="000000" w:fill="FFFFFF"/>
            <w:noWrap/>
            <w:vAlign w:val="center"/>
          </w:tcPr>
          <w:p w14:paraId="4A9F60E2">
            <w:pPr>
              <w:pStyle w:val="178"/>
              <w:widowControl/>
              <w:numPr>
                <w:ilvl w:val="0"/>
                <w:numId w:val="6"/>
              </w:numPr>
              <w:spacing w:line="240" w:lineRule="auto"/>
              <w:ind w:firstLineChars="0"/>
              <w:jc w:val="center"/>
              <w:rPr>
                <w:color w:val="000000" w:themeColor="text1"/>
                <w:szCs w:val="24"/>
                <w14:textFill>
                  <w14:solidFill>
                    <w14:schemeClr w14:val="tx1"/>
                  </w14:solidFill>
                </w14:textFill>
              </w:rPr>
            </w:pPr>
          </w:p>
        </w:tc>
        <w:tc>
          <w:tcPr>
            <w:tcW w:w="975" w:type="pct"/>
            <w:shd w:val="clear" w:color="000000" w:fill="FFFFFF"/>
            <w:noWrap/>
            <w:vAlign w:val="center"/>
          </w:tcPr>
          <w:p w14:paraId="5F549AF0">
            <w:pPr>
              <w:widowControl/>
              <w:adjustRightInd/>
              <w:spacing w:line="240" w:lineRule="auto"/>
              <w:jc w:val="left"/>
              <w:textAlignment w:val="auto"/>
              <w:rPr>
                <w:szCs w:val="21"/>
              </w:rPr>
            </w:pPr>
            <w:r>
              <w:rPr>
                <w:rFonts w:hint="eastAsia"/>
                <w:szCs w:val="21"/>
              </w:rPr>
              <w:t>多联机直膨式室内机（空气处理机组）</w:t>
            </w:r>
          </w:p>
        </w:tc>
        <w:tc>
          <w:tcPr>
            <w:tcW w:w="1878" w:type="pct"/>
            <w:shd w:val="clear" w:color="000000" w:fill="FFFFFF"/>
            <w:vAlign w:val="center"/>
          </w:tcPr>
          <w:p w14:paraId="4BC8C50D">
            <w:pPr>
              <w:widowControl/>
              <w:adjustRightInd/>
              <w:spacing w:line="240" w:lineRule="auto"/>
              <w:jc w:val="left"/>
              <w:textAlignment w:val="auto"/>
              <w:rPr>
                <w:szCs w:val="21"/>
              </w:rPr>
            </w:pPr>
            <w:r>
              <w:rPr>
                <w:rFonts w:hint="eastAsia"/>
                <w:szCs w:val="21"/>
              </w:rPr>
              <w:t>制冷量：129kW，制热量：144kW，额定电加热量：45kW，送风量：23800m3/h，加湿量20kg/h，机外余压500Pa，含混风段、初效过滤段、直膨蒸发段、电加热段、加湿段、中效过滤段、送风机段</w:t>
            </w:r>
          </w:p>
        </w:tc>
        <w:tc>
          <w:tcPr>
            <w:tcW w:w="470" w:type="pct"/>
            <w:shd w:val="clear" w:color="000000" w:fill="FFFFFF"/>
            <w:noWrap/>
            <w:vAlign w:val="center"/>
          </w:tcPr>
          <w:p w14:paraId="703C51B8">
            <w:pPr>
              <w:widowControl/>
              <w:adjustRightInd/>
              <w:spacing w:line="240" w:lineRule="auto"/>
              <w:jc w:val="center"/>
              <w:textAlignment w:val="auto"/>
              <w:rPr>
                <w:szCs w:val="21"/>
              </w:rPr>
            </w:pPr>
            <w:r>
              <w:rPr>
                <w:rFonts w:hint="eastAsia"/>
                <w:szCs w:val="21"/>
              </w:rPr>
              <w:t>台</w:t>
            </w:r>
          </w:p>
        </w:tc>
        <w:tc>
          <w:tcPr>
            <w:tcW w:w="469" w:type="pct"/>
            <w:shd w:val="clear" w:color="000000" w:fill="FFFFFF"/>
            <w:noWrap/>
            <w:vAlign w:val="center"/>
          </w:tcPr>
          <w:p w14:paraId="5518036B">
            <w:pPr>
              <w:widowControl/>
              <w:adjustRightInd/>
              <w:spacing w:line="240" w:lineRule="auto"/>
              <w:jc w:val="center"/>
              <w:textAlignment w:val="auto"/>
              <w:rPr>
                <w:szCs w:val="21"/>
              </w:rPr>
            </w:pPr>
            <w:r>
              <w:rPr>
                <w:rFonts w:hint="eastAsia"/>
                <w:szCs w:val="21"/>
              </w:rPr>
              <w:t>2</w:t>
            </w:r>
          </w:p>
        </w:tc>
        <w:tc>
          <w:tcPr>
            <w:tcW w:w="856" w:type="pct"/>
            <w:shd w:val="clear" w:color="000000" w:fill="FFFFFF"/>
            <w:noWrap/>
            <w:vAlign w:val="center"/>
          </w:tcPr>
          <w:p w14:paraId="1547F837">
            <w:pPr>
              <w:widowControl/>
              <w:adjustRightInd/>
              <w:spacing w:line="240" w:lineRule="auto"/>
              <w:jc w:val="center"/>
              <w:textAlignment w:val="auto"/>
              <w:rPr>
                <w:szCs w:val="21"/>
              </w:rPr>
            </w:pPr>
            <w:r>
              <w:rPr>
                <w:rFonts w:hint="eastAsia"/>
                <w:szCs w:val="21"/>
              </w:rPr>
              <w:t>一用一备，用于主控室、交接班室</w:t>
            </w:r>
          </w:p>
        </w:tc>
      </w:tr>
      <w:tr w14:paraId="34288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52" w:type="pct"/>
            <w:shd w:val="clear" w:color="000000" w:fill="FFFFFF"/>
            <w:noWrap/>
            <w:vAlign w:val="center"/>
          </w:tcPr>
          <w:p w14:paraId="1D814AF9">
            <w:pPr>
              <w:pStyle w:val="178"/>
              <w:widowControl/>
              <w:numPr>
                <w:ilvl w:val="0"/>
                <w:numId w:val="6"/>
              </w:numPr>
              <w:spacing w:line="240" w:lineRule="auto"/>
              <w:ind w:firstLineChars="0"/>
              <w:jc w:val="center"/>
              <w:rPr>
                <w:color w:val="000000" w:themeColor="text1"/>
                <w:szCs w:val="24"/>
                <w14:textFill>
                  <w14:solidFill>
                    <w14:schemeClr w14:val="tx1"/>
                  </w14:solidFill>
                </w14:textFill>
              </w:rPr>
            </w:pPr>
          </w:p>
        </w:tc>
        <w:tc>
          <w:tcPr>
            <w:tcW w:w="975" w:type="pct"/>
            <w:shd w:val="clear" w:color="000000" w:fill="FFFFFF"/>
            <w:noWrap/>
            <w:vAlign w:val="center"/>
          </w:tcPr>
          <w:p w14:paraId="04260016">
            <w:pPr>
              <w:widowControl/>
              <w:adjustRightInd/>
              <w:spacing w:line="240" w:lineRule="auto"/>
              <w:jc w:val="left"/>
              <w:textAlignment w:val="auto"/>
              <w:rPr>
                <w:szCs w:val="21"/>
              </w:rPr>
            </w:pPr>
            <w:r>
              <w:rPr>
                <w:rFonts w:hint="eastAsia"/>
                <w:szCs w:val="21"/>
              </w:rPr>
              <w:t>通风空调配电控制系统</w:t>
            </w:r>
          </w:p>
        </w:tc>
        <w:tc>
          <w:tcPr>
            <w:tcW w:w="1878" w:type="pct"/>
            <w:shd w:val="clear" w:color="000000" w:fill="FFFFFF"/>
            <w:vAlign w:val="center"/>
          </w:tcPr>
          <w:p w14:paraId="40DE065D">
            <w:pPr>
              <w:widowControl/>
              <w:adjustRightInd/>
              <w:spacing w:line="240" w:lineRule="auto"/>
              <w:jc w:val="left"/>
              <w:textAlignment w:val="auto"/>
              <w:rPr>
                <w:szCs w:val="21"/>
              </w:rPr>
            </w:pPr>
            <w:r>
              <w:rPr>
                <w:rFonts w:hint="eastAsia"/>
                <w:szCs w:val="21"/>
              </w:rPr>
              <w:t>包含配电控制箱、电缆、开关、仪表、执行机构、控制器等</w:t>
            </w:r>
          </w:p>
        </w:tc>
        <w:tc>
          <w:tcPr>
            <w:tcW w:w="470" w:type="pct"/>
            <w:shd w:val="clear" w:color="000000" w:fill="FFFFFF"/>
            <w:noWrap/>
            <w:vAlign w:val="center"/>
          </w:tcPr>
          <w:p w14:paraId="20A6E45F">
            <w:pPr>
              <w:widowControl/>
              <w:adjustRightInd/>
              <w:spacing w:line="240" w:lineRule="auto"/>
              <w:jc w:val="center"/>
              <w:textAlignment w:val="auto"/>
              <w:rPr>
                <w:szCs w:val="21"/>
              </w:rPr>
            </w:pPr>
            <w:r>
              <w:rPr>
                <w:rFonts w:hint="eastAsia"/>
                <w:szCs w:val="21"/>
              </w:rPr>
              <w:t>套</w:t>
            </w:r>
          </w:p>
        </w:tc>
        <w:tc>
          <w:tcPr>
            <w:tcW w:w="469" w:type="pct"/>
            <w:shd w:val="clear" w:color="000000" w:fill="FFFFFF"/>
            <w:noWrap/>
            <w:vAlign w:val="center"/>
          </w:tcPr>
          <w:p w14:paraId="3D93C809">
            <w:pPr>
              <w:widowControl/>
              <w:adjustRightInd/>
              <w:spacing w:line="240" w:lineRule="auto"/>
              <w:jc w:val="center"/>
              <w:textAlignment w:val="auto"/>
              <w:rPr>
                <w:szCs w:val="21"/>
              </w:rPr>
            </w:pPr>
            <w:r>
              <w:rPr>
                <w:rFonts w:hint="eastAsia"/>
                <w:szCs w:val="21"/>
              </w:rPr>
              <w:t>1</w:t>
            </w:r>
          </w:p>
        </w:tc>
        <w:tc>
          <w:tcPr>
            <w:tcW w:w="856" w:type="pct"/>
            <w:shd w:val="clear" w:color="000000" w:fill="FFFFFF"/>
            <w:noWrap/>
            <w:vAlign w:val="center"/>
          </w:tcPr>
          <w:p w14:paraId="696DCB99">
            <w:pPr>
              <w:widowControl/>
              <w:adjustRightInd/>
              <w:spacing w:line="240" w:lineRule="auto"/>
              <w:jc w:val="center"/>
              <w:textAlignment w:val="auto"/>
              <w:rPr>
                <w:szCs w:val="21"/>
              </w:rPr>
            </w:pPr>
          </w:p>
        </w:tc>
      </w:tr>
      <w:tr w14:paraId="6A34F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52" w:type="pct"/>
            <w:shd w:val="clear" w:color="000000" w:fill="FFFFFF"/>
            <w:noWrap/>
            <w:vAlign w:val="center"/>
          </w:tcPr>
          <w:p w14:paraId="38250E48">
            <w:pPr>
              <w:pStyle w:val="178"/>
              <w:widowControl/>
              <w:numPr>
                <w:ilvl w:val="0"/>
                <w:numId w:val="6"/>
              </w:numPr>
              <w:spacing w:line="240" w:lineRule="auto"/>
              <w:ind w:firstLineChars="0"/>
              <w:jc w:val="center"/>
              <w:rPr>
                <w:color w:val="000000" w:themeColor="text1"/>
                <w:szCs w:val="24"/>
                <w14:textFill>
                  <w14:solidFill>
                    <w14:schemeClr w14:val="tx1"/>
                  </w14:solidFill>
                </w14:textFill>
              </w:rPr>
            </w:pPr>
          </w:p>
        </w:tc>
        <w:tc>
          <w:tcPr>
            <w:tcW w:w="975" w:type="pct"/>
            <w:shd w:val="clear" w:color="000000" w:fill="FFFFFF"/>
            <w:noWrap/>
            <w:vAlign w:val="center"/>
          </w:tcPr>
          <w:p w14:paraId="00A1A804">
            <w:pPr>
              <w:widowControl/>
              <w:adjustRightInd/>
              <w:spacing w:line="240" w:lineRule="auto"/>
              <w:jc w:val="left"/>
              <w:textAlignment w:val="auto"/>
              <w:rPr>
                <w:szCs w:val="21"/>
              </w:rPr>
            </w:pPr>
            <w:r>
              <w:rPr>
                <w:rFonts w:hint="eastAsia"/>
                <w:szCs w:val="21"/>
              </w:rPr>
              <w:t>低噪声钢制轴流风机</w:t>
            </w:r>
          </w:p>
        </w:tc>
        <w:tc>
          <w:tcPr>
            <w:tcW w:w="1878" w:type="pct"/>
            <w:shd w:val="clear" w:color="000000" w:fill="FFFFFF"/>
            <w:vAlign w:val="center"/>
          </w:tcPr>
          <w:p w14:paraId="54B75C59">
            <w:pPr>
              <w:widowControl/>
              <w:adjustRightInd/>
              <w:spacing w:line="240" w:lineRule="auto"/>
              <w:jc w:val="left"/>
              <w:textAlignment w:val="auto"/>
              <w:rPr>
                <w:szCs w:val="21"/>
              </w:rPr>
            </w:pPr>
            <w:r>
              <w:rPr>
                <w:rFonts w:hint="eastAsia"/>
                <w:szCs w:val="21"/>
              </w:rPr>
              <w:t>T35-11-No5.6</w:t>
            </w:r>
            <w:r>
              <w:rPr>
                <w:rFonts w:hint="eastAsia"/>
                <w:color w:val="000000"/>
                <w:szCs w:val="21"/>
              </w:rPr>
              <w:t>，风量：</w:t>
            </w:r>
            <w:r>
              <w:rPr>
                <w:color w:val="000000"/>
                <w:szCs w:val="21"/>
              </w:rPr>
              <w:t>10000m</w:t>
            </w:r>
            <w:r>
              <w:rPr>
                <w:rFonts w:hint="eastAsia"/>
                <w:color w:val="000000"/>
                <w:szCs w:val="21"/>
              </w:rPr>
              <w:t>³</w:t>
            </w:r>
            <w:r>
              <w:rPr>
                <w:color w:val="000000"/>
                <w:szCs w:val="21"/>
              </w:rPr>
              <w:t>/h</w:t>
            </w:r>
            <w:r>
              <w:rPr>
                <w:rFonts w:hint="eastAsia"/>
                <w:color w:val="000000"/>
                <w:szCs w:val="21"/>
              </w:rPr>
              <w:t>，风压：</w:t>
            </w:r>
            <w:r>
              <w:rPr>
                <w:color w:val="000000"/>
                <w:szCs w:val="21"/>
              </w:rPr>
              <w:t>250Pa</w:t>
            </w:r>
            <w:r>
              <w:rPr>
                <w:rFonts w:hint="eastAsia"/>
                <w:color w:val="000000"/>
                <w:szCs w:val="21"/>
              </w:rPr>
              <w:t>，功率：</w:t>
            </w:r>
            <w:r>
              <w:rPr>
                <w:color w:val="000000"/>
                <w:szCs w:val="21"/>
              </w:rPr>
              <w:t>1.5kW/380V</w:t>
            </w:r>
            <w:r>
              <w:rPr>
                <w:rFonts w:hint="eastAsia"/>
                <w:color w:val="000000"/>
                <w:szCs w:val="21"/>
              </w:rPr>
              <w:t>，噪声≤</w:t>
            </w:r>
            <w:r>
              <w:rPr>
                <w:color w:val="000000"/>
                <w:szCs w:val="21"/>
              </w:rPr>
              <w:t>75dB(A)</w:t>
            </w:r>
            <w:r>
              <w:rPr>
                <w:rFonts w:hint="eastAsia"/>
                <w:color w:val="000000"/>
                <w:szCs w:val="21"/>
              </w:rPr>
              <w:t>，能效等级不低于</w:t>
            </w:r>
            <w:r>
              <w:rPr>
                <w:color w:val="000000"/>
                <w:szCs w:val="21"/>
              </w:rPr>
              <w:t>2</w:t>
            </w:r>
            <w:r>
              <w:rPr>
                <w:rFonts w:hint="eastAsia"/>
                <w:color w:val="000000"/>
                <w:szCs w:val="21"/>
              </w:rPr>
              <w:t>级</w:t>
            </w:r>
          </w:p>
        </w:tc>
        <w:tc>
          <w:tcPr>
            <w:tcW w:w="470" w:type="pct"/>
            <w:shd w:val="clear" w:color="000000" w:fill="FFFFFF"/>
            <w:noWrap/>
            <w:vAlign w:val="center"/>
          </w:tcPr>
          <w:p w14:paraId="195E9355">
            <w:pPr>
              <w:widowControl/>
              <w:adjustRightInd/>
              <w:spacing w:line="240" w:lineRule="auto"/>
              <w:jc w:val="center"/>
              <w:textAlignment w:val="auto"/>
              <w:rPr>
                <w:szCs w:val="21"/>
              </w:rPr>
            </w:pPr>
            <w:r>
              <w:rPr>
                <w:rFonts w:hint="eastAsia"/>
                <w:szCs w:val="21"/>
              </w:rPr>
              <w:t>台</w:t>
            </w:r>
          </w:p>
        </w:tc>
        <w:tc>
          <w:tcPr>
            <w:tcW w:w="469" w:type="pct"/>
            <w:shd w:val="clear" w:color="000000" w:fill="FFFFFF"/>
            <w:noWrap/>
            <w:vAlign w:val="center"/>
          </w:tcPr>
          <w:p w14:paraId="5C46F061">
            <w:pPr>
              <w:widowControl/>
              <w:adjustRightInd/>
              <w:spacing w:line="240" w:lineRule="auto"/>
              <w:jc w:val="center"/>
              <w:textAlignment w:val="auto"/>
              <w:rPr>
                <w:szCs w:val="21"/>
              </w:rPr>
            </w:pPr>
            <w:r>
              <w:rPr>
                <w:rFonts w:hint="eastAsia"/>
                <w:szCs w:val="21"/>
              </w:rPr>
              <w:t>1</w:t>
            </w:r>
          </w:p>
        </w:tc>
        <w:tc>
          <w:tcPr>
            <w:tcW w:w="856" w:type="pct"/>
            <w:shd w:val="clear" w:color="000000" w:fill="FFFFFF"/>
            <w:noWrap/>
            <w:vAlign w:val="center"/>
          </w:tcPr>
          <w:p w14:paraId="2880A48A">
            <w:pPr>
              <w:widowControl/>
              <w:adjustRightInd/>
              <w:spacing w:line="240" w:lineRule="auto"/>
              <w:jc w:val="center"/>
              <w:textAlignment w:val="auto"/>
              <w:rPr>
                <w:szCs w:val="21"/>
              </w:rPr>
            </w:pPr>
          </w:p>
        </w:tc>
      </w:tr>
      <w:tr w14:paraId="4D0E9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52" w:type="pct"/>
            <w:shd w:val="clear" w:color="000000" w:fill="FFFFFF"/>
            <w:noWrap/>
            <w:vAlign w:val="center"/>
          </w:tcPr>
          <w:p w14:paraId="7646969E">
            <w:pPr>
              <w:pStyle w:val="178"/>
              <w:widowControl/>
              <w:numPr>
                <w:ilvl w:val="0"/>
                <w:numId w:val="6"/>
              </w:numPr>
              <w:spacing w:line="240" w:lineRule="auto"/>
              <w:ind w:firstLineChars="0"/>
              <w:jc w:val="center"/>
              <w:rPr>
                <w:color w:val="000000" w:themeColor="text1"/>
                <w:szCs w:val="24"/>
                <w14:textFill>
                  <w14:solidFill>
                    <w14:schemeClr w14:val="tx1"/>
                  </w14:solidFill>
                </w14:textFill>
              </w:rPr>
            </w:pPr>
          </w:p>
        </w:tc>
        <w:tc>
          <w:tcPr>
            <w:tcW w:w="975" w:type="pct"/>
            <w:shd w:val="clear" w:color="000000" w:fill="FFFFFF"/>
            <w:noWrap/>
            <w:vAlign w:val="center"/>
          </w:tcPr>
          <w:p w14:paraId="0D0D2DB4">
            <w:pPr>
              <w:widowControl/>
              <w:adjustRightInd/>
              <w:spacing w:line="240" w:lineRule="auto"/>
              <w:jc w:val="left"/>
              <w:textAlignment w:val="auto"/>
              <w:rPr>
                <w:szCs w:val="21"/>
              </w:rPr>
            </w:pPr>
            <w:r>
              <w:rPr>
                <w:rFonts w:hint="eastAsia"/>
                <w:szCs w:val="21"/>
              </w:rPr>
              <w:t>低噪声钢制轴流风机</w:t>
            </w:r>
          </w:p>
        </w:tc>
        <w:tc>
          <w:tcPr>
            <w:tcW w:w="1878" w:type="pct"/>
            <w:shd w:val="clear" w:color="000000" w:fill="FFFFFF"/>
            <w:vAlign w:val="center"/>
          </w:tcPr>
          <w:p w14:paraId="4D9F0112">
            <w:pPr>
              <w:widowControl/>
              <w:adjustRightInd/>
              <w:spacing w:line="240" w:lineRule="auto"/>
              <w:jc w:val="left"/>
              <w:textAlignment w:val="auto"/>
              <w:rPr>
                <w:szCs w:val="21"/>
              </w:rPr>
            </w:pPr>
            <w:r>
              <w:rPr>
                <w:rFonts w:hint="eastAsia"/>
                <w:szCs w:val="21"/>
              </w:rPr>
              <w:t>T35-11-No3.15</w:t>
            </w:r>
            <w:r>
              <w:rPr>
                <w:rFonts w:hint="eastAsia"/>
                <w:color w:val="000000"/>
                <w:szCs w:val="21"/>
              </w:rPr>
              <w:t>，风量：</w:t>
            </w:r>
            <w:r>
              <w:rPr>
                <w:color w:val="000000"/>
                <w:szCs w:val="21"/>
              </w:rPr>
              <w:t>3000m</w:t>
            </w:r>
            <w:r>
              <w:rPr>
                <w:rFonts w:hint="eastAsia"/>
                <w:color w:val="000000"/>
                <w:szCs w:val="21"/>
              </w:rPr>
              <w:t>³</w:t>
            </w:r>
            <w:r>
              <w:rPr>
                <w:color w:val="000000"/>
                <w:szCs w:val="21"/>
              </w:rPr>
              <w:t>/h</w:t>
            </w:r>
            <w:r>
              <w:rPr>
                <w:rFonts w:hint="eastAsia"/>
                <w:color w:val="000000"/>
                <w:szCs w:val="21"/>
              </w:rPr>
              <w:t>，风压：</w:t>
            </w:r>
            <w:r>
              <w:rPr>
                <w:color w:val="000000"/>
                <w:szCs w:val="21"/>
              </w:rPr>
              <w:t>200Pa</w:t>
            </w:r>
            <w:r>
              <w:rPr>
                <w:rFonts w:hint="eastAsia"/>
                <w:color w:val="000000"/>
                <w:szCs w:val="21"/>
              </w:rPr>
              <w:t>，功率：</w:t>
            </w:r>
            <w:r>
              <w:rPr>
                <w:color w:val="000000"/>
                <w:szCs w:val="21"/>
              </w:rPr>
              <w:t>0.55kW/380V</w:t>
            </w:r>
            <w:r>
              <w:rPr>
                <w:rFonts w:hint="eastAsia"/>
                <w:color w:val="000000"/>
                <w:szCs w:val="21"/>
              </w:rPr>
              <w:t>，噪声≤</w:t>
            </w:r>
            <w:r>
              <w:rPr>
                <w:color w:val="000000"/>
                <w:szCs w:val="21"/>
              </w:rPr>
              <w:t>71dB(A)</w:t>
            </w:r>
            <w:r>
              <w:rPr>
                <w:rFonts w:hint="eastAsia"/>
                <w:color w:val="000000"/>
                <w:szCs w:val="21"/>
              </w:rPr>
              <w:t>，能效等级不低于</w:t>
            </w:r>
            <w:r>
              <w:rPr>
                <w:color w:val="000000"/>
                <w:szCs w:val="21"/>
              </w:rPr>
              <w:t>2</w:t>
            </w:r>
            <w:r>
              <w:rPr>
                <w:rFonts w:hint="eastAsia"/>
                <w:color w:val="000000"/>
                <w:szCs w:val="21"/>
              </w:rPr>
              <w:t>级</w:t>
            </w:r>
          </w:p>
        </w:tc>
        <w:tc>
          <w:tcPr>
            <w:tcW w:w="470" w:type="pct"/>
            <w:shd w:val="clear" w:color="000000" w:fill="FFFFFF"/>
            <w:noWrap/>
            <w:vAlign w:val="center"/>
          </w:tcPr>
          <w:p w14:paraId="67F8EF98">
            <w:pPr>
              <w:widowControl/>
              <w:adjustRightInd/>
              <w:spacing w:line="240" w:lineRule="auto"/>
              <w:jc w:val="center"/>
              <w:textAlignment w:val="auto"/>
              <w:rPr>
                <w:szCs w:val="21"/>
              </w:rPr>
            </w:pPr>
            <w:r>
              <w:rPr>
                <w:rFonts w:hint="eastAsia"/>
                <w:szCs w:val="21"/>
              </w:rPr>
              <w:t>台</w:t>
            </w:r>
          </w:p>
        </w:tc>
        <w:tc>
          <w:tcPr>
            <w:tcW w:w="469" w:type="pct"/>
            <w:shd w:val="clear" w:color="000000" w:fill="FFFFFF"/>
            <w:noWrap/>
            <w:vAlign w:val="center"/>
          </w:tcPr>
          <w:p w14:paraId="540C952D">
            <w:pPr>
              <w:widowControl/>
              <w:adjustRightInd/>
              <w:spacing w:line="240" w:lineRule="auto"/>
              <w:jc w:val="center"/>
              <w:textAlignment w:val="auto"/>
              <w:rPr>
                <w:szCs w:val="21"/>
              </w:rPr>
            </w:pPr>
            <w:r>
              <w:rPr>
                <w:rFonts w:hint="eastAsia"/>
                <w:szCs w:val="21"/>
              </w:rPr>
              <w:t>1</w:t>
            </w:r>
          </w:p>
        </w:tc>
        <w:tc>
          <w:tcPr>
            <w:tcW w:w="856" w:type="pct"/>
            <w:shd w:val="clear" w:color="000000" w:fill="FFFFFF"/>
            <w:noWrap/>
            <w:vAlign w:val="center"/>
          </w:tcPr>
          <w:p w14:paraId="01C3BBF7">
            <w:pPr>
              <w:widowControl/>
              <w:adjustRightInd/>
              <w:spacing w:line="240" w:lineRule="auto"/>
              <w:jc w:val="center"/>
              <w:textAlignment w:val="auto"/>
              <w:rPr>
                <w:szCs w:val="21"/>
              </w:rPr>
            </w:pPr>
          </w:p>
        </w:tc>
      </w:tr>
      <w:tr w14:paraId="5DBFF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52" w:type="pct"/>
            <w:shd w:val="clear" w:color="000000" w:fill="FFFFFF"/>
            <w:noWrap/>
            <w:vAlign w:val="center"/>
          </w:tcPr>
          <w:p w14:paraId="5FCD9AA8">
            <w:pPr>
              <w:pStyle w:val="178"/>
              <w:widowControl/>
              <w:numPr>
                <w:ilvl w:val="0"/>
                <w:numId w:val="6"/>
              </w:numPr>
              <w:spacing w:line="240" w:lineRule="auto"/>
              <w:ind w:firstLineChars="0"/>
              <w:jc w:val="center"/>
              <w:rPr>
                <w:color w:val="000000" w:themeColor="text1"/>
                <w:szCs w:val="24"/>
                <w14:textFill>
                  <w14:solidFill>
                    <w14:schemeClr w14:val="tx1"/>
                  </w14:solidFill>
                </w14:textFill>
              </w:rPr>
            </w:pPr>
          </w:p>
        </w:tc>
        <w:tc>
          <w:tcPr>
            <w:tcW w:w="975" w:type="pct"/>
            <w:shd w:val="clear" w:color="000000" w:fill="FFFFFF"/>
            <w:noWrap/>
            <w:vAlign w:val="center"/>
          </w:tcPr>
          <w:p w14:paraId="6DB30B13">
            <w:pPr>
              <w:widowControl/>
              <w:adjustRightInd/>
              <w:spacing w:line="240" w:lineRule="auto"/>
              <w:jc w:val="left"/>
              <w:textAlignment w:val="auto"/>
              <w:rPr>
                <w:szCs w:val="21"/>
              </w:rPr>
            </w:pPr>
            <w:r>
              <w:rPr>
                <w:rFonts w:hint="eastAsia"/>
                <w:szCs w:val="21"/>
              </w:rPr>
              <w:t>管道主辅材料、阀门、附件及保温</w:t>
            </w:r>
          </w:p>
        </w:tc>
        <w:tc>
          <w:tcPr>
            <w:tcW w:w="1878" w:type="pct"/>
            <w:shd w:val="clear" w:color="000000" w:fill="FFFFFF"/>
            <w:vAlign w:val="center"/>
          </w:tcPr>
          <w:p w14:paraId="08BCD543">
            <w:pPr>
              <w:widowControl/>
              <w:adjustRightInd/>
              <w:spacing w:line="240" w:lineRule="auto"/>
              <w:jc w:val="left"/>
              <w:textAlignment w:val="auto"/>
              <w:rPr>
                <w:szCs w:val="21"/>
              </w:rPr>
            </w:pPr>
            <w:r>
              <w:rPr>
                <w:rFonts w:hint="eastAsia"/>
                <w:szCs w:val="21"/>
              </w:rPr>
              <w:t>包括但不限于镀锌钢板风管、各类空调上下水管、冷媒管、阀门、仪表、保温材料等，上下水管道至水工预留接口处。</w:t>
            </w:r>
          </w:p>
        </w:tc>
        <w:tc>
          <w:tcPr>
            <w:tcW w:w="470" w:type="pct"/>
            <w:shd w:val="clear" w:color="000000" w:fill="FFFFFF"/>
            <w:noWrap/>
            <w:vAlign w:val="center"/>
          </w:tcPr>
          <w:p w14:paraId="4F4E1A78">
            <w:pPr>
              <w:widowControl/>
              <w:adjustRightInd/>
              <w:spacing w:line="240" w:lineRule="auto"/>
              <w:jc w:val="center"/>
              <w:textAlignment w:val="auto"/>
              <w:rPr>
                <w:szCs w:val="21"/>
              </w:rPr>
            </w:pPr>
            <w:r>
              <w:rPr>
                <w:rFonts w:hint="eastAsia"/>
                <w:szCs w:val="21"/>
              </w:rPr>
              <w:t>套</w:t>
            </w:r>
          </w:p>
        </w:tc>
        <w:tc>
          <w:tcPr>
            <w:tcW w:w="469" w:type="pct"/>
            <w:shd w:val="clear" w:color="000000" w:fill="FFFFFF"/>
            <w:noWrap/>
            <w:vAlign w:val="center"/>
          </w:tcPr>
          <w:p w14:paraId="025A511A">
            <w:pPr>
              <w:widowControl/>
              <w:adjustRightInd/>
              <w:spacing w:line="240" w:lineRule="auto"/>
              <w:jc w:val="center"/>
              <w:textAlignment w:val="auto"/>
              <w:rPr>
                <w:szCs w:val="21"/>
              </w:rPr>
            </w:pPr>
            <w:r>
              <w:rPr>
                <w:rFonts w:hint="eastAsia"/>
                <w:szCs w:val="21"/>
              </w:rPr>
              <w:t>1</w:t>
            </w:r>
          </w:p>
        </w:tc>
        <w:tc>
          <w:tcPr>
            <w:tcW w:w="856" w:type="pct"/>
            <w:shd w:val="clear" w:color="000000" w:fill="FFFFFF"/>
            <w:noWrap/>
            <w:vAlign w:val="center"/>
          </w:tcPr>
          <w:p w14:paraId="5DE60E50">
            <w:pPr>
              <w:widowControl/>
              <w:adjustRightInd/>
              <w:spacing w:line="240" w:lineRule="auto"/>
              <w:jc w:val="center"/>
              <w:textAlignment w:val="auto"/>
              <w:rPr>
                <w:szCs w:val="21"/>
              </w:rPr>
            </w:pPr>
          </w:p>
        </w:tc>
      </w:tr>
    </w:tbl>
    <w:p w14:paraId="4651C3D0">
      <w:pPr>
        <w:snapToGrid w:val="0"/>
        <w:spacing w:line="480" w:lineRule="atLeast"/>
        <w:ind w:firstLine="480" w:firstLineChars="200"/>
        <w:rPr>
          <w:color w:val="000000" w:themeColor="text1"/>
          <w:sz w:val="24"/>
          <w:szCs w:val="24"/>
          <w14:textFill>
            <w14:solidFill>
              <w14:schemeClr w14:val="tx1"/>
            </w14:solidFill>
          </w14:textFill>
        </w:rPr>
      </w:pPr>
    </w:p>
    <w:p w14:paraId="593E0069">
      <w:pPr>
        <w:snapToGrid w:val="0"/>
        <w:spacing w:line="440" w:lineRule="atLeast"/>
        <w:outlineLvl w:val="1"/>
        <w:rPr>
          <w:rFonts w:eastAsiaTheme="minorEastAsia"/>
          <w:b/>
          <w:color w:val="000000" w:themeColor="text1"/>
          <w:sz w:val="24"/>
          <w:szCs w:val="24"/>
          <w14:textFill>
            <w14:solidFill>
              <w14:schemeClr w14:val="tx1"/>
            </w14:solidFill>
          </w14:textFill>
        </w:rPr>
      </w:pPr>
      <w:bookmarkStart w:id="22" w:name="_Toc220074654"/>
      <w:bookmarkStart w:id="23" w:name="_Toc57984063"/>
      <w:r>
        <w:rPr>
          <w:rFonts w:hint="eastAsia" w:eastAsiaTheme="minorEastAsia"/>
          <w:b/>
          <w:color w:val="000000" w:themeColor="text1"/>
          <w:sz w:val="24"/>
          <w:szCs w:val="24"/>
          <w14:textFill>
            <w14:solidFill>
              <w14:schemeClr w14:val="tx1"/>
            </w14:solidFill>
          </w14:textFill>
        </w:rPr>
        <w:t>表</w:t>
      </w:r>
      <w:r>
        <w:rPr>
          <w:rFonts w:eastAsiaTheme="minorEastAsia"/>
          <w:b/>
          <w:color w:val="000000" w:themeColor="text1"/>
          <w:sz w:val="24"/>
          <w:szCs w:val="24"/>
          <w14:textFill>
            <w14:solidFill>
              <w14:schemeClr w14:val="tx1"/>
            </w14:solidFill>
          </w14:textFill>
        </w:rPr>
        <w:t xml:space="preserve">1-2            </w:t>
      </w:r>
      <w:r>
        <w:rPr>
          <w:rFonts w:hint="eastAsia" w:eastAsiaTheme="minorEastAsia"/>
          <w:b/>
          <w:color w:val="000000" w:themeColor="text1"/>
          <w:sz w:val="24"/>
          <w:szCs w:val="24"/>
          <w14:textFill>
            <w14:solidFill>
              <w14:schemeClr w14:val="tx1"/>
            </w14:solidFill>
          </w14:textFill>
        </w:rPr>
        <w:t xml:space="preserve"> 贵州侧GIS室通风系统设备规格及数量表</w:t>
      </w:r>
      <w:bookmarkEnd w:id="22"/>
      <w:bookmarkEnd w:id="23"/>
    </w:p>
    <w:tbl>
      <w:tblPr>
        <w:tblStyle w:val="41"/>
        <w:tblW w:w="5000" w:type="pct"/>
        <w:tblInd w:w="0" w:type="dxa"/>
        <w:tblLayout w:type="fixed"/>
        <w:tblCellMar>
          <w:top w:w="0" w:type="dxa"/>
          <w:left w:w="108" w:type="dxa"/>
          <w:bottom w:w="0" w:type="dxa"/>
          <w:right w:w="108" w:type="dxa"/>
        </w:tblCellMar>
      </w:tblPr>
      <w:tblGrid>
        <w:gridCol w:w="654"/>
        <w:gridCol w:w="1811"/>
        <w:gridCol w:w="3488"/>
        <w:gridCol w:w="873"/>
        <w:gridCol w:w="871"/>
        <w:gridCol w:w="1590"/>
      </w:tblGrid>
      <w:tr w14:paraId="5E3DB8D2">
        <w:tblPrEx>
          <w:tblCellMar>
            <w:top w:w="0" w:type="dxa"/>
            <w:left w:w="108" w:type="dxa"/>
            <w:bottom w:w="0" w:type="dxa"/>
            <w:right w:w="108" w:type="dxa"/>
          </w:tblCellMar>
        </w:tblPrEx>
        <w:trPr>
          <w:trHeight w:val="499" w:hRule="atLeast"/>
          <w:tblHeader/>
        </w:trPr>
        <w:tc>
          <w:tcPr>
            <w:tcW w:w="35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3AA29B4E">
            <w:pPr>
              <w:widowControl/>
              <w:adjustRightInd/>
              <w:spacing w:line="240" w:lineRule="auto"/>
              <w:jc w:val="center"/>
              <w:textAlignment w:val="auto"/>
              <w:rPr>
                <w:b/>
                <w:sz w:val="24"/>
                <w:szCs w:val="24"/>
              </w:rPr>
            </w:pPr>
            <w:r>
              <w:rPr>
                <w:rFonts w:hint="eastAsia"/>
                <w:b/>
                <w:bCs/>
                <w:color w:val="000000"/>
              </w:rPr>
              <w:t>序号</w:t>
            </w:r>
          </w:p>
        </w:tc>
        <w:tc>
          <w:tcPr>
            <w:tcW w:w="975" w:type="pct"/>
            <w:tcBorders>
              <w:top w:val="single" w:color="auto" w:sz="4" w:space="0"/>
              <w:left w:val="nil"/>
              <w:bottom w:val="single" w:color="auto" w:sz="4" w:space="0"/>
              <w:right w:val="single" w:color="auto" w:sz="4" w:space="0"/>
            </w:tcBorders>
            <w:shd w:val="clear" w:color="000000" w:fill="FFFFFF"/>
            <w:noWrap/>
            <w:vAlign w:val="center"/>
          </w:tcPr>
          <w:p w14:paraId="0B2CCD0A">
            <w:pPr>
              <w:widowControl/>
              <w:adjustRightInd/>
              <w:spacing w:line="240" w:lineRule="auto"/>
              <w:jc w:val="center"/>
              <w:textAlignment w:val="auto"/>
              <w:rPr>
                <w:b/>
                <w:sz w:val="24"/>
                <w:szCs w:val="24"/>
              </w:rPr>
            </w:pPr>
            <w:r>
              <w:rPr>
                <w:rFonts w:hint="eastAsia"/>
                <w:b/>
                <w:bCs/>
                <w:color w:val="000000"/>
              </w:rPr>
              <w:t>设备材料名称</w:t>
            </w:r>
          </w:p>
        </w:tc>
        <w:tc>
          <w:tcPr>
            <w:tcW w:w="1878" w:type="pct"/>
            <w:tcBorders>
              <w:top w:val="single" w:color="auto" w:sz="4" w:space="0"/>
              <w:left w:val="nil"/>
              <w:bottom w:val="single" w:color="auto" w:sz="4" w:space="0"/>
              <w:right w:val="single" w:color="auto" w:sz="4" w:space="0"/>
            </w:tcBorders>
            <w:shd w:val="clear" w:color="000000" w:fill="FFFFFF"/>
            <w:vAlign w:val="center"/>
          </w:tcPr>
          <w:p w14:paraId="50C2B9F8">
            <w:pPr>
              <w:widowControl/>
              <w:adjustRightInd/>
              <w:spacing w:line="240" w:lineRule="auto"/>
              <w:jc w:val="center"/>
              <w:textAlignment w:val="auto"/>
              <w:rPr>
                <w:b/>
                <w:sz w:val="24"/>
                <w:szCs w:val="24"/>
              </w:rPr>
            </w:pPr>
            <w:r>
              <w:rPr>
                <w:rFonts w:hint="eastAsia"/>
                <w:b/>
                <w:bCs/>
                <w:color w:val="000000"/>
              </w:rPr>
              <w:t>设备材料规格</w:t>
            </w:r>
          </w:p>
        </w:tc>
        <w:tc>
          <w:tcPr>
            <w:tcW w:w="470" w:type="pct"/>
            <w:tcBorders>
              <w:top w:val="single" w:color="auto" w:sz="4" w:space="0"/>
              <w:left w:val="nil"/>
              <w:bottom w:val="single" w:color="auto" w:sz="4" w:space="0"/>
              <w:right w:val="single" w:color="auto" w:sz="4" w:space="0"/>
            </w:tcBorders>
            <w:shd w:val="clear" w:color="000000" w:fill="FFFFFF"/>
            <w:noWrap/>
            <w:vAlign w:val="center"/>
          </w:tcPr>
          <w:p w14:paraId="596547EB">
            <w:pPr>
              <w:widowControl/>
              <w:adjustRightInd/>
              <w:spacing w:line="240" w:lineRule="auto"/>
              <w:jc w:val="center"/>
              <w:textAlignment w:val="auto"/>
              <w:rPr>
                <w:b/>
                <w:sz w:val="24"/>
                <w:szCs w:val="24"/>
              </w:rPr>
            </w:pPr>
            <w:r>
              <w:rPr>
                <w:rFonts w:hint="eastAsia"/>
                <w:b/>
                <w:bCs/>
                <w:color w:val="000000"/>
              </w:rPr>
              <w:t>单位</w:t>
            </w:r>
          </w:p>
        </w:tc>
        <w:tc>
          <w:tcPr>
            <w:tcW w:w="469" w:type="pct"/>
            <w:tcBorders>
              <w:top w:val="single" w:color="auto" w:sz="4" w:space="0"/>
              <w:left w:val="nil"/>
              <w:bottom w:val="single" w:color="auto" w:sz="4" w:space="0"/>
              <w:right w:val="single" w:color="auto" w:sz="4" w:space="0"/>
            </w:tcBorders>
            <w:shd w:val="clear" w:color="000000" w:fill="FFFFFF"/>
            <w:noWrap/>
            <w:vAlign w:val="center"/>
          </w:tcPr>
          <w:p w14:paraId="1D84E0A2">
            <w:pPr>
              <w:widowControl/>
              <w:adjustRightInd/>
              <w:spacing w:line="240" w:lineRule="auto"/>
              <w:jc w:val="center"/>
              <w:textAlignment w:val="auto"/>
              <w:rPr>
                <w:b/>
                <w:sz w:val="24"/>
                <w:szCs w:val="24"/>
              </w:rPr>
            </w:pPr>
            <w:r>
              <w:rPr>
                <w:rFonts w:hint="eastAsia"/>
                <w:b/>
                <w:bCs/>
                <w:color w:val="000000"/>
              </w:rPr>
              <w:t>数量</w:t>
            </w:r>
          </w:p>
        </w:tc>
        <w:tc>
          <w:tcPr>
            <w:tcW w:w="856" w:type="pct"/>
            <w:tcBorders>
              <w:top w:val="single" w:color="auto" w:sz="4" w:space="0"/>
              <w:left w:val="nil"/>
              <w:bottom w:val="single" w:color="auto" w:sz="4" w:space="0"/>
              <w:right w:val="single" w:color="auto" w:sz="4" w:space="0"/>
            </w:tcBorders>
            <w:shd w:val="clear" w:color="000000" w:fill="FFFFFF"/>
            <w:noWrap/>
            <w:vAlign w:val="center"/>
          </w:tcPr>
          <w:p w14:paraId="0DAA6DAA">
            <w:pPr>
              <w:widowControl/>
              <w:adjustRightInd/>
              <w:spacing w:line="240" w:lineRule="auto"/>
              <w:jc w:val="center"/>
              <w:textAlignment w:val="auto"/>
              <w:rPr>
                <w:b/>
                <w:sz w:val="24"/>
                <w:szCs w:val="24"/>
              </w:rPr>
            </w:pPr>
            <w:r>
              <w:rPr>
                <w:rFonts w:hint="eastAsia"/>
                <w:b/>
                <w:bCs/>
                <w:color w:val="000000"/>
              </w:rPr>
              <w:t>备注</w:t>
            </w:r>
          </w:p>
        </w:tc>
      </w:tr>
      <w:tr w14:paraId="6E2F19CD">
        <w:tblPrEx>
          <w:tblCellMar>
            <w:top w:w="0" w:type="dxa"/>
            <w:left w:w="108" w:type="dxa"/>
            <w:bottom w:w="0" w:type="dxa"/>
            <w:right w:w="108" w:type="dxa"/>
          </w:tblCellMar>
        </w:tblPrEx>
        <w:trPr>
          <w:trHeight w:val="800" w:hRule="atLeast"/>
        </w:trPr>
        <w:tc>
          <w:tcPr>
            <w:tcW w:w="352" w:type="pct"/>
            <w:tcBorders>
              <w:top w:val="nil"/>
              <w:left w:val="single" w:color="auto" w:sz="4" w:space="0"/>
              <w:bottom w:val="single" w:color="auto" w:sz="4" w:space="0"/>
              <w:right w:val="single" w:color="auto" w:sz="4" w:space="0"/>
            </w:tcBorders>
            <w:shd w:val="clear" w:color="000000" w:fill="FFFFFF"/>
            <w:noWrap/>
            <w:vAlign w:val="center"/>
          </w:tcPr>
          <w:p w14:paraId="00E8349F">
            <w:pPr>
              <w:pStyle w:val="178"/>
              <w:widowControl/>
              <w:numPr>
                <w:ilvl w:val="0"/>
                <w:numId w:val="7"/>
              </w:numPr>
              <w:spacing w:line="240" w:lineRule="auto"/>
              <w:ind w:firstLineChars="0"/>
              <w:jc w:val="center"/>
              <w:rPr>
                <w:color w:val="000000" w:themeColor="text1"/>
                <w:szCs w:val="24"/>
                <w14:textFill>
                  <w14:solidFill>
                    <w14:schemeClr w14:val="tx1"/>
                  </w14:solidFill>
                </w14:textFill>
              </w:rPr>
            </w:pPr>
          </w:p>
        </w:tc>
        <w:tc>
          <w:tcPr>
            <w:tcW w:w="975" w:type="pct"/>
            <w:tcBorders>
              <w:top w:val="nil"/>
              <w:left w:val="nil"/>
              <w:bottom w:val="single" w:color="auto" w:sz="4" w:space="0"/>
              <w:right w:val="single" w:color="auto" w:sz="4" w:space="0"/>
            </w:tcBorders>
            <w:shd w:val="clear" w:color="000000" w:fill="FFFFFF"/>
            <w:noWrap/>
            <w:vAlign w:val="center"/>
          </w:tcPr>
          <w:p w14:paraId="5558E67A">
            <w:pPr>
              <w:widowControl/>
              <w:adjustRightInd/>
              <w:spacing w:line="240" w:lineRule="auto"/>
              <w:jc w:val="left"/>
              <w:textAlignment w:val="auto"/>
              <w:rPr>
                <w:szCs w:val="21"/>
              </w:rPr>
            </w:pPr>
            <w:r>
              <w:rPr>
                <w:rFonts w:hint="eastAsia"/>
                <w:szCs w:val="21"/>
              </w:rPr>
              <w:t>低噪声轴流风机</w:t>
            </w:r>
          </w:p>
        </w:tc>
        <w:tc>
          <w:tcPr>
            <w:tcW w:w="1878" w:type="pct"/>
            <w:tcBorders>
              <w:top w:val="nil"/>
              <w:left w:val="nil"/>
              <w:bottom w:val="single" w:color="auto" w:sz="4" w:space="0"/>
              <w:right w:val="single" w:color="auto" w:sz="4" w:space="0"/>
            </w:tcBorders>
            <w:shd w:val="clear" w:color="000000" w:fill="FFFFFF"/>
            <w:vAlign w:val="center"/>
          </w:tcPr>
          <w:p w14:paraId="4E8EBE18">
            <w:pPr>
              <w:widowControl/>
              <w:adjustRightInd/>
              <w:spacing w:line="240" w:lineRule="auto"/>
              <w:jc w:val="left"/>
              <w:textAlignment w:val="auto"/>
              <w:rPr>
                <w:szCs w:val="21"/>
              </w:rPr>
            </w:pPr>
            <w:r>
              <w:rPr>
                <w:rFonts w:hint="eastAsia"/>
                <w:szCs w:val="21"/>
              </w:rPr>
              <w:t>5#，风量：8000m</w:t>
            </w:r>
            <w:r>
              <w:rPr>
                <w:rFonts w:hint="eastAsia"/>
                <w:color w:val="000000"/>
                <w:szCs w:val="21"/>
                <w:vertAlign w:val="superscript"/>
              </w:rPr>
              <w:t>3</w:t>
            </w:r>
            <w:r>
              <w:rPr>
                <w:rFonts w:hint="eastAsia"/>
                <w:color w:val="000000"/>
                <w:szCs w:val="21"/>
              </w:rPr>
              <w:t>/h，全压380Pa,噪声≤55dB(A)。电压：380V，电机功率：0.37kW，不低于2级能效</w:t>
            </w:r>
          </w:p>
        </w:tc>
        <w:tc>
          <w:tcPr>
            <w:tcW w:w="470" w:type="pct"/>
            <w:tcBorders>
              <w:top w:val="nil"/>
              <w:left w:val="nil"/>
              <w:bottom w:val="single" w:color="auto" w:sz="4" w:space="0"/>
              <w:right w:val="single" w:color="auto" w:sz="4" w:space="0"/>
            </w:tcBorders>
            <w:shd w:val="clear" w:color="000000" w:fill="FFFFFF"/>
            <w:noWrap/>
            <w:vAlign w:val="center"/>
          </w:tcPr>
          <w:p w14:paraId="551F8E83">
            <w:pPr>
              <w:widowControl/>
              <w:adjustRightInd/>
              <w:spacing w:line="240" w:lineRule="auto"/>
              <w:jc w:val="center"/>
              <w:textAlignment w:val="auto"/>
              <w:rPr>
                <w:szCs w:val="21"/>
              </w:rPr>
            </w:pPr>
            <w:r>
              <w:rPr>
                <w:rFonts w:hint="eastAsia"/>
                <w:szCs w:val="21"/>
              </w:rPr>
              <w:t>台</w:t>
            </w:r>
          </w:p>
        </w:tc>
        <w:tc>
          <w:tcPr>
            <w:tcW w:w="469" w:type="pct"/>
            <w:tcBorders>
              <w:top w:val="nil"/>
              <w:left w:val="nil"/>
              <w:bottom w:val="single" w:color="auto" w:sz="4" w:space="0"/>
              <w:right w:val="single" w:color="auto" w:sz="4" w:space="0"/>
            </w:tcBorders>
            <w:shd w:val="clear" w:color="000000" w:fill="FFFFFF"/>
            <w:noWrap/>
            <w:vAlign w:val="center"/>
          </w:tcPr>
          <w:p w14:paraId="36AB11BB">
            <w:pPr>
              <w:widowControl/>
              <w:adjustRightInd/>
              <w:spacing w:line="240" w:lineRule="auto"/>
              <w:jc w:val="center"/>
              <w:textAlignment w:val="auto"/>
              <w:rPr>
                <w:szCs w:val="21"/>
              </w:rPr>
            </w:pPr>
            <w:r>
              <w:rPr>
                <w:rFonts w:hint="eastAsia"/>
                <w:szCs w:val="21"/>
              </w:rPr>
              <w:t>41</w:t>
            </w:r>
          </w:p>
        </w:tc>
        <w:tc>
          <w:tcPr>
            <w:tcW w:w="856" w:type="pct"/>
            <w:tcBorders>
              <w:top w:val="nil"/>
              <w:left w:val="nil"/>
              <w:bottom w:val="single" w:color="auto" w:sz="4" w:space="0"/>
              <w:right w:val="single" w:color="auto" w:sz="4" w:space="0"/>
            </w:tcBorders>
            <w:shd w:val="clear" w:color="000000" w:fill="FFFFFF"/>
            <w:noWrap/>
            <w:vAlign w:val="center"/>
          </w:tcPr>
          <w:p w14:paraId="5BD3FA1D">
            <w:pPr>
              <w:widowControl/>
              <w:adjustRightInd/>
              <w:spacing w:line="240" w:lineRule="auto"/>
              <w:jc w:val="center"/>
              <w:textAlignment w:val="auto"/>
              <w:rPr>
                <w:szCs w:val="21"/>
              </w:rPr>
            </w:pPr>
          </w:p>
        </w:tc>
      </w:tr>
      <w:tr w14:paraId="551AD196">
        <w:tblPrEx>
          <w:tblCellMar>
            <w:top w:w="0" w:type="dxa"/>
            <w:left w:w="108" w:type="dxa"/>
            <w:bottom w:w="0" w:type="dxa"/>
            <w:right w:w="108" w:type="dxa"/>
          </w:tblCellMar>
        </w:tblPrEx>
        <w:trPr>
          <w:trHeight w:val="945" w:hRule="atLeast"/>
        </w:trPr>
        <w:tc>
          <w:tcPr>
            <w:tcW w:w="352" w:type="pct"/>
            <w:tcBorders>
              <w:top w:val="nil"/>
              <w:left w:val="single" w:color="auto" w:sz="4" w:space="0"/>
              <w:bottom w:val="single" w:color="auto" w:sz="4" w:space="0"/>
              <w:right w:val="single" w:color="auto" w:sz="4" w:space="0"/>
            </w:tcBorders>
            <w:shd w:val="clear" w:color="000000" w:fill="FFFFFF"/>
            <w:noWrap/>
            <w:vAlign w:val="center"/>
          </w:tcPr>
          <w:p w14:paraId="1FFDC390">
            <w:pPr>
              <w:pStyle w:val="178"/>
              <w:widowControl/>
              <w:numPr>
                <w:ilvl w:val="0"/>
                <w:numId w:val="7"/>
              </w:numPr>
              <w:spacing w:line="240" w:lineRule="auto"/>
              <w:ind w:firstLineChars="0"/>
              <w:jc w:val="center"/>
              <w:rPr>
                <w:color w:val="000000" w:themeColor="text1"/>
                <w:szCs w:val="24"/>
                <w14:textFill>
                  <w14:solidFill>
                    <w14:schemeClr w14:val="tx1"/>
                  </w14:solidFill>
                </w14:textFill>
              </w:rPr>
            </w:pPr>
          </w:p>
        </w:tc>
        <w:tc>
          <w:tcPr>
            <w:tcW w:w="975" w:type="pct"/>
            <w:tcBorders>
              <w:top w:val="nil"/>
              <w:left w:val="nil"/>
              <w:bottom w:val="single" w:color="auto" w:sz="4" w:space="0"/>
              <w:right w:val="single" w:color="auto" w:sz="4" w:space="0"/>
            </w:tcBorders>
            <w:shd w:val="clear" w:color="000000" w:fill="FFFFFF"/>
            <w:noWrap/>
            <w:vAlign w:val="center"/>
          </w:tcPr>
          <w:p w14:paraId="654428FA">
            <w:pPr>
              <w:widowControl/>
              <w:adjustRightInd/>
              <w:spacing w:line="240" w:lineRule="auto"/>
              <w:jc w:val="left"/>
              <w:textAlignment w:val="auto"/>
              <w:rPr>
                <w:szCs w:val="21"/>
              </w:rPr>
            </w:pPr>
            <w:r>
              <w:rPr>
                <w:rFonts w:hint="eastAsia"/>
                <w:szCs w:val="21"/>
              </w:rPr>
              <w:t>低噪声轴流风机</w:t>
            </w:r>
          </w:p>
        </w:tc>
        <w:tc>
          <w:tcPr>
            <w:tcW w:w="1878" w:type="pct"/>
            <w:tcBorders>
              <w:top w:val="nil"/>
              <w:left w:val="nil"/>
              <w:bottom w:val="single" w:color="auto" w:sz="4" w:space="0"/>
              <w:right w:val="single" w:color="auto" w:sz="4" w:space="0"/>
            </w:tcBorders>
            <w:shd w:val="clear" w:color="000000" w:fill="FFFFFF"/>
            <w:vAlign w:val="center"/>
          </w:tcPr>
          <w:p w14:paraId="02E4EB78">
            <w:pPr>
              <w:widowControl/>
              <w:adjustRightInd/>
              <w:spacing w:line="240" w:lineRule="auto"/>
              <w:jc w:val="left"/>
              <w:textAlignment w:val="auto"/>
              <w:rPr>
                <w:szCs w:val="21"/>
              </w:rPr>
            </w:pPr>
            <w:r>
              <w:rPr>
                <w:rFonts w:hint="eastAsia"/>
                <w:szCs w:val="21"/>
              </w:rPr>
              <w:t>2.5#，风量：1070m3/h，噪声≤55dB(A)。电压：380V，电机功率：0.09kW。</w:t>
            </w:r>
          </w:p>
        </w:tc>
        <w:tc>
          <w:tcPr>
            <w:tcW w:w="470" w:type="pct"/>
            <w:tcBorders>
              <w:top w:val="nil"/>
              <w:left w:val="nil"/>
              <w:bottom w:val="single" w:color="auto" w:sz="4" w:space="0"/>
              <w:right w:val="single" w:color="auto" w:sz="4" w:space="0"/>
            </w:tcBorders>
            <w:shd w:val="clear" w:color="000000" w:fill="FFFFFF"/>
            <w:noWrap/>
            <w:vAlign w:val="center"/>
          </w:tcPr>
          <w:p w14:paraId="232A1C9C">
            <w:pPr>
              <w:widowControl/>
              <w:adjustRightInd/>
              <w:spacing w:line="240" w:lineRule="auto"/>
              <w:jc w:val="center"/>
              <w:textAlignment w:val="auto"/>
              <w:rPr>
                <w:szCs w:val="21"/>
              </w:rPr>
            </w:pPr>
            <w:r>
              <w:rPr>
                <w:rFonts w:hint="eastAsia"/>
                <w:szCs w:val="21"/>
              </w:rPr>
              <w:t>台</w:t>
            </w:r>
          </w:p>
        </w:tc>
        <w:tc>
          <w:tcPr>
            <w:tcW w:w="469" w:type="pct"/>
            <w:tcBorders>
              <w:top w:val="nil"/>
              <w:left w:val="nil"/>
              <w:bottom w:val="single" w:color="auto" w:sz="4" w:space="0"/>
              <w:right w:val="single" w:color="auto" w:sz="4" w:space="0"/>
            </w:tcBorders>
            <w:shd w:val="clear" w:color="000000" w:fill="FFFFFF"/>
            <w:noWrap/>
            <w:vAlign w:val="center"/>
          </w:tcPr>
          <w:p w14:paraId="21984120">
            <w:pPr>
              <w:widowControl/>
              <w:adjustRightInd/>
              <w:spacing w:line="240" w:lineRule="auto"/>
              <w:jc w:val="center"/>
              <w:textAlignment w:val="auto"/>
              <w:rPr>
                <w:szCs w:val="21"/>
              </w:rPr>
            </w:pPr>
            <w:r>
              <w:rPr>
                <w:rFonts w:hint="eastAsia"/>
                <w:szCs w:val="21"/>
              </w:rPr>
              <w:t>8</w:t>
            </w:r>
          </w:p>
        </w:tc>
        <w:tc>
          <w:tcPr>
            <w:tcW w:w="856" w:type="pct"/>
            <w:tcBorders>
              <w:top w:val="nil"/>
              <w:left w:val="nil"/>
              <w:bottom w:val="single" w:color="auto" w:sz="4" w:space="0"/>
              <w:right w:val="single" w:color="auto" w:sz="4" w:space="0"/>
            </w:tcBorders>
            <w:shd w:val="clear" w:color="000000" w:fill="FFFFFF"/>
            <w:noWrap/>
            <w:vAlign w:val="center"/>
          </w:tcPr>
          <w:p w14:paraId="690738CC">
            <w:pPr>
              <w:widowControl/>
              <w:adjustRightInd/>
              <w:spacing w:line="240" w:lineRule="auto"/>
              <w:jc w:val="center"/>
              <w:textAlignment w:val="auto"/>
              <w:rPr>
                <w:szCs w:val="21"/>
              </w:rPr>
            </w:pPr>
          </w:p>
        </w:tc>
      </w:tr>
      <w:tr w14:paraId="51DB1C5E">
        <w:tblPrEx>
          <w:tblCellMar>
            <w:top w:w="0" w:type="dxa"/>
            <w:left w:w="108" w:type="dxa"/>
            <w:bottom w:w="0" w:type="dxa"/>
            <w:right w:w="108" w:type="dxa"/>
          </w:tblCellMar>
        </w:tblPrEx>
        <w:trPr>
          <w:trHeight w:val="630" w:hRule="atLeast"/>
        </w:trPr>
        <w:tc>
          <w:tcPr>
            <w:tcW w:w="352" w:type="pct"/>
            <w:tcBorders>
              <w:top w:val="nil"/>
              <w:left w:val="single" w:color="auto" w:sz="4" w:space="0"/>
              <w:bottom w:val="single" w:color="auto" w:sz="4" w:space="0"/>
              <w:right w:val="single" w:color="auto" w:sz="4" w:space="0"/>
            </w:tcBorders>
            <w:shd w:val="clear" w:color="000000" w:fill="FFFFFF"/>
            <w:noWrap/>
            <w:vAlign w:val="center"/>
          </w:tcPr>
          <w:p w14:paraId="00E73B6B">
            <w:pPr>
              <w:pStyle w:val="178"/>
              <w:widowControl/>
              <w:numPr>
                <w:ilvl w:val="0"/>
                <w:numId w:val="7"/>
              </w:numPr>
              <w:spacing w:line="240" w:lineRule="auto"/>
              <w:ind w:firstLineChars="0"/>
              <w:jc w:val="center"/>
              <w:rPr>
                <w:color w:val="000000" w:themeColor="text1"/>
                <w:szCs w:val="24"/>
                <w14:textFill>
                  <w14:solidFill>
                    <w14:schemeClr w14:val="tx1"/>
                  </w14:solidFill>
                </w14:textFill>
              </w:rPr>
            </w:pPr>
          </w:p>
        </w:tc>
        <w:tc>
          <w:tcPr>
            <w:tcW w:w="975" w:type="pct"/>
            <w:tcBorders>
              <w:top w:val="nil"/>
              <w:left w:val="nil"/>
              <w:bottom w:val="single" w:color="auto" w:sz="4" w:space="0"/>
              <w:right w:val="single" w:color="auto" w:sz="4" w:space="0"/>
            </w:tcBorders>
            <w:shd w:val="clear" w:color="000000" w:fill="FFFFFF"/>
            <w:noWrap/>
            <w:vAlign w:val="center"/>
          </w:tcPr>
          <w:p w14:paraId="41DF15C5">
            <w:pPr>
              <w:widowControl/>
              <w:adjustRightInd/>
              <w:spacing w:line="240" w:lineRule="auto"/>
              <w:jc w:val="left"/>
              <w:textAlignment w:val="auto"/>
              <w:rPr>
                <w:szCs w:val="21"/>
              </w:rPr>
            </w:pPr>
            <w:r>
              <w:rPr>
                <w:rFonts w:hint="eastAsia"/>
                <w:szCs w:val="21"/>
              </w:rPr>
              <w:t>不锈钢通风弯头</w:t>
            </w:r>
          </w:p>
        </w:tc>
        <w:tc>
          <w:tcPr>
            <w:tcW w:w="1878" w:type="pct"/>
            <w:tcBorders>
              <w:top w:val="nil"/>
              <w:left w:val="nil"/>
              <w:bottom w:val="single" w:color="auto" w:sz="4" w:space="0"/>
              <w:right w:val="single" w:color="auto" w:sz="4" w:space="0"/>
            </w:tcBorders>
            <w:shd w:val="clear" w:color="000000" w:fill="FFFFFF"/>
            <w:vAlign w:val="center"/>
          </w:tcPr>
          <w:p w14:paraId="2652EC41">
            <w:pPr>
              <w:widowControl/>
              <w:adjustRightInd/>
              <w:spacing w:line="240" w:lineRule="auto"/>
              <w:jc w:val="left"/>
              <w:textAlignment w:val="auto"/>
              <w:rPr>
                <w:szCs w:val="21"/>
              </w:rPr>
            </w:pPr>
            <w:r>
              <w:rPr>
                <w:rFonts w:hint="eastAsia"/>
                <w:szCs w:val="21"/>
              </w:rPr>
              <w:t>Φ600，304不锈钢，带6×6mm不锈钢丝过滤网</w:t>
            </w:r>
          </w:p>
        </w:tc>
        <w:tc>
          <w:tcPr>
            <w:tcW w:w="470" w:type="pct"/>
            <w:tcBorders>
              <w:top w:val="nil"/>
              <w:left w:val="nil"/>
              <w:bottom w:val="single" w:color="auto" w:sz="4" w:space="0"/>
              <w:right w:val="single" w:color="auto" w:sz="4" w:space="0"/>
            </w:tcBorders>
            <w:shd w:val="clear" w:color="000000" w:fill="FFFFFF"/>
            <w:noWrap/>
            <w:vAlign w:val="center"/>
          </w:tcPr>
          <w:p w14:paraId="563E35B4">
            <w:pPr>
              <w:widowControl/>
              <w:adjustRightInd/>
              <w:spacing w:line="240" w:lineRule="auto"/>
              <w:jc w:val="center"/>
              <w:textAlignment w:val="auto"/>
              <w:rPr>
                <w:szCs w:val="21"/>
              </w:rPr>
            </w:pPr>
            <w:r>
              <w:rPr>
                <w:rFonts w:hint="eastAsia"/>
                <w:szCs w:val="21"/>
              </w:rPr>
              <w:t>个</w:t>
            </w:r>
          </w:p>
        </w:tc>
        <w:tc>
          <w:tcPr>
            <w:tcW w:w="469" w:type="pct"/>
            <w:tcBorders>
              <w:top w:val="nil"/>
              <w:left w:val="nil"/>
              <w:bottom w:val="single" w:color="auto" w:sz="4" w:space="0"/>
              <w:right w:val="single" w:color="auto" w:sz="4" w:space="0"/>
            </w:tcBorders>
            <w:shd w:val="clear" w:color="000000" w:fill="FFFFFF"/>
            <w:noWrap/>
            <w:vAlign w:val="center"/>
          </w:tcPr>
          <w:p w14:paraId="2B9F2E28">
            <w:pPr>
              <w:widowControl/>
              <w:adjustRightInd/>
              <w:spacing w:line="240" w:lineRule="auto"/>
              <w:jc w:val="center"/>
              <w:textAlignment w:val="auto"/>
              <w:rPr>
                <w:szCs w:val="21"/>
              </w:rPr>
            </w:pPr>
            <w:r>
              <w:rPr>
                <w:rFonts w:hint="eastAsia"/>
                <w:szCs w:val="21"/>
              </w:rPr>
              <w:t>49</w:t>
            </w:r>
          </w:p>
        </w:tc>
        <w:tc>
          <w:tcPr>
            <w:tcW w:w="856" w:type="pct"/>
            <w:tcBorders>
              <w:top w:val="nil"/>
              <w:left w:val="nil"/>
              <w:bottom w:val="single" w:color="auto" w:sz="4" w:space="0"/>
              <w:right w:val="single" w:color="auto" w:sz="4" w:space="0"/>
            </w:tcBorders>
            <w:shd w:val="clear" w:color="000000" w:fill="FFFFFF"/>
            <w:noWrap/>
            <w:vAlign w:val="center"/>
          </w:tcPr>
          <w:p w14:paraId="14BA805D">
            <w:pPr>
              <w:widowControl/>
              <w:adjustRightInd/>
              <w:spacing w:line="240" w:lineRule="auto"/>
              <w:jc w:val="center"/>
              <w:textAlignment w:val="auto"/>
              <w:rPr>
                <w:szCs w:val="21"/>
              </w:rPr>
            </w:pPr>
          </w:p>
        </w:tc>
      </w:tr>
      <w:tr w14:paraId="2BD67166">
        <w:tblPrEx>
          <w:tblCellMar>
            <w:top w:w="0" w:type="dxa"/>
            <w:left w:w="108" w:type="dxa"/>
            <w:bottom w:w="0" w:type="dxa"/>
            <w:right w:w="108" w:type="dxa"/>
          </w:tblCellMar>
        </w:tblPrEx>
        <w:trPr>
          <w:trHeight w:val="499" w:hRule="atLeast"/>
        </w:trPr>
        <w:tc>
          <w:tcPr>
            <w:tcW w:w="352" w:type="pct"/>
            <w:tcBorders>
              <w:top w:val="nil"/>
              <w:left w:val="single" w:color="auto" w:sz="4" w:space="0"/>
              <w:bottom w:val="single" w:color="auto" w:sz="4" w:space="0"/>
              <w:right w:val="single" w:color="auto" w:sz="4" w:space="0"/>
            </w:tcBorders>
            <w:shd w:val="clear" w:color="000000" w:fill="FFFFFF"/>
            <w:noWrap/>
            <w:vAlign w:val="center"/>
          </w:tcPr>
          <w:p w14:paraId="6C84E429">
            <w:pPr>
              <w:pStyle w:val="178"/>
              <w:widowControl/>
              <w:numPr>
                <w:ilvl w:val="0"/>
                <w:numId w:val="7"/>
              </w:numPr>
              <w:spacing w:line="240" w:lineRule="auto"/>
              <w:ind w:firstLineChars="0"/>
              <w:jc w:val="center"/>
              <w:rPr>
                <w:color w:val="000000" w:themeColor="text1"/>
                <w:szCs w:val="24"/>
                <w14:textFill>
                  <w14:solidFill>
                    <w14:schemeClr w14:val="tx1"/>
                  </w14:solidFill>
                </w14:textFill>
              </w:rPr>
            </w:pPr>
          </w:p>
        </w:tc>
        <w:tc>
          <w:tcPr>
            <w:tcW w:w="975" w:type="pct"/>
            <w:tcBorders>
              <w:top w:val="nil"/>
              <w:left w:val="nil"/>
              <w:bottom w:val="single" w:color="auto" w:sz="4" w:space="0"/>
              <w:right w:val="single" w:color="auto" w:sz="4" w:space="0"/>
            </w:tcBorders>
            <w:shd w:val="clear" w:color="000000" w:fill="FFFFFF"/>
            <w:noWrap/>
            <w:vAlign w:val="center"/>
          </w:tcPr>
          <w:p w14:paraId="4131D8A7">
            <w:pPr>
              <w:widowControl/>
              <w:adjustRightInd/>
              <w:spacing w:line="240" w:lineRule="auto"/>
              <w:jc w:val="left"/>
              <w:textAlignment w:val="auto"/>
              <w:rPr>
                <w:szCs w:val="21"/>
              </w:rPr>
            </w:pPr>
            <w:r>
              <w:rPr>
                <w:rFonts w:hint="eastAsia"/>
                <w:szCs w:val="21"/>
              </w:rPr>
              <w:t>铝合金防雨百叶</w:t>
            </w:r>
          </w:p>
        </w:tc>
        <w:tc>
          <w:tcPr>
            <w:tcW w:w="1878" w:type="pct"/>
            <w:tcBorders>
              <w:top w:val="nil"/>
              <w:left w:val="nil"/>
              <w:bottom w:val="single" w:color="auto" w:sz="4" w:space="0"/>
              <w:right w:val="single" w:color="auto" w:sz="4" w:space="0"/>
            </w:tcBorders>
            <w:shd w:val="clear" w:color="000000" w:fill="FFFFFF"/>
            <w:vAlign w:val="center"/>
          </w:tcPr>
          <w:p w14:paraId="30515DE7">
            <w:pPr>
              <w:widowControl/>
              <w:adjustRightInd/>
              <w:spacing w:line="240" w:lineRule="auto"/>
              <w:jc w:val="left"/>
              <w:textAlignment w:val="auto"/>
              <w:rPr>
                <w:szCs w:val="21"/>
              </w:rPr>
            </w:pPr>
            <w:r>
              <w:rPr>
                <w:rFonts w:hint="eastAsia"/>
                <w:szCs w:val="21"/>
              </w:rPr>
              <w:t>1200X600,带6×6mm不锈钢丝滤网</w:t>
            </w:r>
          </w:p>
        </w:tc>
        <w:tc>
          <w:tcPr>
            <w:tcW w:w="470" w:type="pct"/>
            <w:tcBorders>
              <w:top w:val="nil"/>
              <w:left w:val="nil"/>
              <w:bottom w:val="single" w:color="auto" w:sz="4" w:space="0"/>
              <w:right w:val="single" w:color="auto" w:sz="4" w:space="0"/>
            </w:tcBorders>
            <w:shd w:val="clear" w:color="000000" w:fill="FFFFFF"/>
            <w:noWrap/>
            <w:vAlign w:val="center"/>
          </w:tcPr>
          <w:p w14:paraId="3C8C3B96">
            <w:pPr>
              <w:widowControl/>
              <w:adjustRightInd/>
              <w:spacing w:line="240" w:lineRule="auto"/>
              <w:jc w:val="center"/>
              <w:textAlignment w:val="auto"/>
              <w:rPr>
                <w:szCs w:val="21"/>
              </w:rPr>
            </w:pPr>
            <w:r>
              <w:rPr>
                <w:rFonts w:hint="eastAsia"/>
                <w:szCs w:val="21"/>
              </w:rPr>
              <w:t>个</w:t>
            </w:r>
          </w:p>
        </w:tc>
        <w:tc>
          <w:tcPr>
            <w:tcW w:w="469" w:type="pct"/>
            <w:tcBorders>
              <w:top w:val="nil"/>
              <w:left w:val="nil"/>
              <w:bottom w:val="single" w:color="auto" w:sz="4" w:space="0"/>
              <w:right w:val="single" w:color="auto" w:sz="4" w:space="0"/>
            </w:tcBorders>
            <w:shd w:val="clear" w:color="000000" w:fill="FFFFFF"/>
            <w:noWrap/>
            <w:vAlign w:val="center"/>
          </w:tcPr>
          <w:p w14:paraId="6AD6CD12">
            <w:pPr>
              <w:widowControl/>
              <w:adjustRightInd/>
              <w:spacing w:line="240" w:lineRule="auto"/>
              <w:jc w:val="center"/>
              <w:textAlignment w:val="auto"/>
              <w:rPr>
                <w:szCs w:val="21"/>
              </w:rPr>
            </w:pPr>
            <w:r>
              <w:rPr>
                <w:rFonts w:hint="eastAsia"/>
                <w:szCs w:val="21"/>
              </w:rPr>
              <w:t>27</w:t>
            </w:r>
          </w:p>
        </w:tc>
        <w:tc>
          <w:tcPr>
            <w:tcW w:w="856" w:type="pct"/>
            <w:tcBorders>
              <w:top w:val="nil"/>
              <w:left w:val="nil"/>
              <w:bottom w:val="single" w:color="auto" w:sz="4" w:space="0"/>
              <w:right w:val="single" w:color="auto" w:sz="4" w:space="0"/>
            </w:tcBorders>
            <w:shd w:val="clear" w:color="000000" w:fill="FFFFFF"/>
            <w:noWrap/>
            <w:vAlign w:val="center"/>
          </w:tcPr>
          <w:p w14:paraId="4D8614BD">
            <w:pPr>
              <w:widowControl/>
              <w:adjustRightInd/>
              <w:spacing w:line="240" w:lineRule="auto"/>
              <w:jc w:val="center"/>
              <w:textAlignment w:val="auto"/>
              <w:rPr>
                <w:szCs w:val="21"/>
              </w:rPr>
            </w:pPr>
          </w:p>
        </w:tc>
      </w:tr>
      <w:tr w14:paraId="0DC64989">
        <w:tblPrEx>
          <w:tblCellMar>
            <w:top w:w="0" w:type="dxa"/>
            <w:left w:w="108" w:type="dxa"/>
            <w:bottom w:w="0" w:type="dxa"/>
            <w:right w:w="108" w:type="dxa"/>
          </w:tblCellMar>
        </w:tblPrEx>
        <w:trPr>
          <w:trHeight w:val="499" w:hRule="atLeast"/>
        </w:trPr>
        <w:tc>
          <w:tcPr>
            <w:tcW w:w="352" w:type="pct"/>
            <w:tcBorders>
              <w:top w:val="nil"/>
              <w:left w:val="single" w:color="auto" w:sz="4" w:space="0"/>
              <w:bottom w:val="single" w:color="auto" w:sz="4" w:space="0"/>
              <w:right w:val="single" w:color="auto" w:sz="4" w:space="0"/>
            </w:tcBorders>
            <w:shd w:val="clear" w:color="000000" w:fill="FFFFFF"/>
            <w:noWrap/>
            <w:vAlign w:val="center"/>
          </w:tcPr>
          <w:p w14:paraId="7CA4BCA5">
            <w:pPr>
              <w:pStyle w:val="178"/>
              <w:widowControl/>
              <w:numPr>
                <w:ilvl w:val="0"/>
                <w:numId w:val="7"/>
              </w:numPr>
              <w:spacing w:line="240" w:lineRule="auto"/>
              <w:ind w:firstLineChars="0"/>
              <w:jc w:val="center"/>
              <w:rPr>
                <w:color w:val="000000" w:themeColor="text1"/>
                <w:szCs w:val="24"/>
                <w14:textFill>
                  <w14:solidFill>
                    <w14:schemeClr w14:val="tx1"/>
                  </w14:solidFill>
                </w14:textFill>
              </w:rPr>
            </w:pPr>
          </w:p>
        </w:tc>
        <w:tc>
          <w:tcPr>
            <w:tcW w:w="975" w:type="pct"/>
            <w:tcBorders>
              <w:top w:val="nil"/>
              <w:left w:val="nil"/>
              <w:bottom w:val="single" w:color="auto" w:sz="4" w:space="0"/>
              <w:right w:val="single" w:color="auto" w:sz="4" w:space="0"/>
            </w:tcBorders>
            <w:shd w:val="clear" w:color="000000" w:fill="FFFFFF"/>
            <w:noWrap/>
            <w:vAlign w:val="center"/>
          </w:tcPr>
          <w:p w14:paraId="56E5F9A2">
            <w:pPr>
              <w:widowControl/>
              <w:adjustRightInd/>
              <w:spacing w:line="240" w:lineRule="auto"/>
              <w:jc w:val="left"/>
              <w:textAlignment w:val="auto"/>
              <w:rPr>
                <w:szCs w:val="21"/>
              </w:rPr>
            </w:pPr>
            <w:r>
              <w:rPr>
                <w:rFonts w:hint="eastAsia"/>
                <w:szCs w:val="21"/>
              </w:rPr>
              <w:t>镀锌钢板风管</w:t>
            </w:r>
          </w:p>
        </w:tc>
        <w:tc>
          <w:tcPr>
            <w:tcW w:w="1878" w:type="pct"/>
            <w:tcBorders>
              <w:top w:val="nil"/>
              <w:left w:val="nil"/>
              <w:bottom w:val="single" w:color="auto" w:sz="4" w:space="0"/>
              <w:right w:val="single" w:color="auto" w:sz="4" w:space="0"/>
            </w:tcBorders>
            <w:shd w:val="clear" w:color="000000" w:fill="FFFFFF"/>
            <w:vAlign w:val="center"/>
          </w:tcPr>
          <w:p w14:paraId="4FA697CA">
            <w:pPr>
              <w:widowControl/>
              <w:adjustRightInd/>
              <w:spacing w:line="240" w:lineRule="auto"/>
              <w:jc w:val="left"/>
              <w:textAlignment w:val="auto"/>
              <w:rPr>
                <w:szCs w:val="21"/>
              </w:rPr>
            </w:pPr>
            <w:r>
              <w:rPr>
                <w:rFonts w:hint="eastAsia"/>
                <w:szCs w:val="21"/>
              </w:rPr>
              <w:t>δ=0.75mm</w:t>
            </w:r>
          </w:p>
        </w:tc>
        <w:tc>
          <w:tcPr>
            <w:tcW w:w="470" w:type="pct"/>
            <w:tcBorders>
              <w:top w:val="nil"/>
              <w:left w:val="nil"/>
              <w:bottom w:val="single" w:color="auto" w:sz="4" w:space="0"/>
              <w:right w:val="single" w:color="auto" w:sz="4" w:space="0"/>
            </w:tcBorders>
            <w:shd w:val="clear" w:color="000000" w:fill="FFFFFF"/>
            <w:noWrap/>
            <w:vAlign w:val="center"/>
          </w:tcPr>
          <w:p w14:paraId="4519F55A">
            <w:pPr>
              <w:widowControl/>
              <w:adjustRightInd/>
              <w:spacing w:line="240" w:lineRule="auto"/>
              <w:jc w:val="center"/>
              <w:textAlignment w:val="auto"/>
              <w:rPr>
                <w:szCs w:val="21"/>
              </w:rPr>
            </w:pPr>
            <w:r>
              <w:rPr>
                <w:rFonts w:hint="eastAsia"/>
                <w:szCs w:val="21"/>
              </w:rPr>
              <w:t>m2</w:t>
            </w:r>
          </w:p>
        </w:tc>
        <w:tc>
          <w:tcPr>
            <w:tcW w:w="469" w:type="pct"/>
            <w:tcBorders>
              <w:top w:val="nil"/>
              <w:left w:val="nil"/>
              <w:bottom w:val="single" w:color="auto" w:sz="4" w:space="0"/>
              <w:right w:val="single" w:color="auto" w:sz="4" w:space="0"/>
            </w:tcBorders>
            <w:shd w:val="clear" w:color="000000" w:fill="FFFFFF"/>
            <w:noWrap/>
            <w:vAlign w:val="center"/>
          </w:tcPr>
          <w:p w14:paraId="0FE656CA">
            <w:pPr>
              <w:widowControl/>
              <w:adjustRightInd/>
              <w:spacing w:line="240" w:lineRule="auto"/>
              <w:jc w:val="center"/>
              <w:textAlignment w:val="auto"/>
              <w:rPr>
                <w:szCs w:val="21"/>
              </w:rPr>
            </w:pPr>
            <w:r>
              <w:rPr>
                <w:rFonts w:hint="eastAsia"/>
                <w:szCs w:val="21"/>
              </w:rPr>
              <w:t>500</w:t>
            </w:r>
          </w:p>
        </w:tc>
        <w:tc>
          <w:tcPr>
            <w:tcW w:w="856" w:type="pct"/>
            <w:tcBorders>
              <w:top w:val="nil"/>
              <w:left w:val="nil"/>
              <w:bottom w:val="single" w:color="auto" w:sz="4" w:space="0"/>
              <w:right w:val="single" w:color="auto" w:sz="4" w:space="0"/>
            </w:tcBorders>
            <w:shd w:val="clear" w:color="000000" w:fill="FFFFFF"/>
            <w:noWrap/>
            <w:vAlign w:val="center"/>
          </w:tcPr>
          <w:p w14:paraId="129C35BD">
            <w:pPr>
              <w:widowControl/>
              <w:adjustRightInd/>
              <w:spacing w:line="240" w:lineRule="auto"/>
              <w:jc w:val="center"/>
              <w:textAlignment w:val="auto"/>
              <w:rPr>
                <w:szCs w:val="21"/>
              </w:rPr>
            </w:pPr>
          </w:p>
        </w:tc>
      </w:tr>
      <w:tr w14:paraId="63FB02FB">
        <w:tblPrEx>
          <w:tblCellMar>
            <w:top w:w="0" w:type="dxa"/>
            <w:left w:w="108" w:type="dxa"/>
            <w:bottom w:w="0" w:type="dxa"/>
            <w:right w:w="108" w:type="dxa"/>
          </w:tblCellMar>
        </w:tblPrEx>
        <w:trPr>
          <w:trHeight w:val="499" w:hRule="atLeast"/>
        </w:trPr>
        <w:tc>
          <w:tcPr>
            <w:tcW w:w="352" w:type="pct"/>
            <w:tcBorders>
              <w:top w:val="nil"/>
              <w:left w:val="single" w:color="auto" w:sz="4" w:space="0"/>
              <w:bottom w:val="single" w:color="auto" w:sz="4" w:space="0"/>
              <w:right w:val="single" w:color="auto" w:sz="4" w:space="0"/>
            </w:tcBorders>
            <w:shd w:val="clear" w:color="000000" w:fill="FFFFFF"/>
            <w:noWrap/>
            <w:vAlign w:val="center"/>
          </w:tcPr>
          <w:p w14:paraId="5CC92E9E">
            <w:pPr>
              <w:pStyle w:val="178"/>
              <w:widowControl/>
              <w:numPr>
                <w:ilvl w:val="0"/>
                <w:numId w:val="7"/>
              </w:numPr>
              <w:spacing w:line="240" w:lineRule="auto"/>
              <w:ind w:firstLineChars="0"/>
              <w:jc w:val="center"/>
              <w:rPr>
                <w:color w:val="000000" w:themeColor="text1"/>
                <w:szCs w:val="24"/>
                <w14:textFill>
                  <w14:solidFill>
                    <w14:schemeClr w14:val="tx1"/>
                  </w14:solidFill>
                </w14:textFill>
              </w:rPr>
            </w:pPr>
          </w:p>
        </w:tc>
        <w:tc>
          <w:tcPr>
            <w:tcW w:w="975" w:type="pct"/>
            <w:tcBorders>
              <w:top w:val="nil"/>
              <w:left w:val="nil"/>
              <w:bottom w:val="single" w:color="auto" w:sz="4" w:space="0"/>
              <w:right w:val="single" w:color="auto" w:sz="4" w:space="0"/>
            </w:tcBorders>
            <w:shd w:val="clear" w:color="000000" w:fill="FFFFFF"/>
            <w:noWrap/>
            <w:vAlign w:val="center"/>
          </w:tcPr>
          <w:p w14:paraId="2D0E5810">
            <w:pPr>
              <w:widowControl/>
              <w:adjustRightInd/>
              <w:spacing w:line="240" w:lineRule="auto"/>
              <w:jc w:val="left"/>
              <w:textAlignment w:val="auto"/>
              <w:rPr>
                <w:szCs w:val="21"/>
              </w:rPr>
            </w:pPr>
            <w:r>
              <w:rPr>
                <w:rFonts w:hint="eastAsia"/>
                <w:szCs w:val="21"/>
              </w:rPr>
              <w:t>软连接</w:t>
            </w:r>
          </w:p>
        </w:tc>
        <w:tc>
          <w:tcPr>
            <w:tcW w:w="1878" w:type="pct"/>
            <w:tcBorders>
              <w:top w:val="nil"/>
              <w:left w:val="nil"/>
              <w:bottom w:val="single" w:color="auto" w:sz="4" w:space="0"/>
              <w:right w:val="single" w:color="auto" w:sz="4" w:space="0"/>
            </w:tcBorders>
            <w:shd w:val="clear" w:color="000000" w:fill="FFFFFF"/>
            <w:vAlign w:val="center"/>
          </w:tcPr>
          <w:p w14:paraId="1A553089">
            <w:pPr>
              <w:widowControl/>
              <w:adjustRightInd/>
              <w:spacing w:line="240" w:lineRule="auto"/>
              <w:jc w:val="left"/>
              <w:textAlignment w:val="auto"/>
              <w:rPr>
                <w:szCs w:val="21"/>
              </w:rPr>
            </w:pPr>
            <w:r>
              <w:rPr>
                <w:rFonts w:hint="eastAsia"/>
                <w:szCs w:val="21"/>
              </w:rPr>
              <w:t>φ500</w:t>
            </w:r>
          </w:p>
        </w:tc>
        <w:tc>
          <w:tcPr>
            <w:tcW w:w="470" w:type="pct"/>
            <w:tcBorders>
              <w:top w:val="nil"/>
              <w:left w:val="nil"/>
              <w:bottom w:val="single" w:color="auto" w:sz="4" w:space="0"/>
              <w:right w:val="single" w:color="auto" w:sz="4" w:space="0"/>
            </w:tcBorders>
            <w:shd w:val="clear" w:color="000000" w:fill="FFFFFF"/>
            <w:noWrap/>
            <w:vAlign w:val="center"/>
          </w:tcPr>
          <w:p w14:paraId="5133BFA0">
            <w:pPr>
              <w:widowControl/>
              <w:adjustRightInd/>
              <w:spacing w:line="240" w:lineRule="auto"/>
              <w:jc w:val="center"/>
              <w:textAlignment w:val="auto"/>
              <w:rPr>
                <w:szCs w:val="21"/>
              </w:rPr>
            </w:pPr>
            <w:r>
              <w:rPr>
                <w:rFonts w:hint="eastAsia"/>
                <w:szCs w:val="21"/>
              </w:rPr>
              <w:t>个</w:t>
            </w:r>
          </w:p>
        </w:tc>
        <w:tc>
          <w:tcPr>
            <w:tcW w:w="469" w:type="pct"/>
            <w:tcBorders>
              <w:top w:val="nil"/>
              <w:left w:val="nil"/>
              <w:bottom w:val="single" w:color="auto" w:sz="4" w:space="0"/>
              <w:right w:val="single" w:color="auto" w:sz="4" w:space="0"/>
            </w:tcBorders>
            <w:shd w:val="clear" w:color="000000" w:fill="FFFFFF"/>
            <w:noWrap/>
            <w:vAlign w:val="center"/>
          </w:tcPr>
          <w:p w14:paraId="494B3E62">
            <w:pPr>
              <w:widowControl/>
              <w:adjustRightInd/>
              <w:spacing w:line="240" w:lineRule="auto"/>
              <w:jc w:val="center"/>
              <w:textAlignment w:val="auto"/>
              <w:rPr>
                <w:szCs w:val="21"/>
              </w:rPr>
            </w:pPr>
            <w:r>
              <w:rPr>
                <w:rFonts w:hint="eastAsia"/>
                <w:szCs w:val="21"/>
              </w:rPr>
              <w:t>35</w:t>
            </w:r>
          </w:p>
        </w:tc>
        <w:tc>
          <w:tcPr>
            <w:tcW w:w="856" w:type="pct"/>
            <w:tcBorders>
              <w:top w:val="nil"/>
              <w:left w:val="nil"/>
              <w:bottom w:val="single" w:color="auto" w:sz="4" w:space="0"/>
              <w:right w:val="single" w:color="auto" w:sz="4" w:space="0"/>
            </w:tcBorders>
            <w:shd w:val="clear" w:color="000000" w:fill="FFFFFF"/>
            <w:noWrap/>
            <w:vAlign w:val="center"/>
          </w:tcPr>
          <w:p w14:paraId="66A50699">
            <w:pPr>
              <w:widowControl/>
              <w:adjustRightInd/>
              <w:spacing w:line="240" w:lineRule="auto"/>
              <w:jc w:val="center"/>
              <w:textAlignment w:val="auto"/>
              <w:rPr>
                <w:szCs w:val="21"/>
              </w:rPr>
            </w:pPr>
          </w:p>
        </w:tc>
      </w:tr>
      <w:tr w14:paraId="53201E4F">
        <w:tblPrEx>
          <w:tblCellMar>
            <w:top w:w="0" w:type="dxa"/>
            <w:left w:w="108" w:type="dxa"/>
            <w:bottom w:w="0" w:type="dxa"/>
            <w:right w:w="108" w:type="dxa"/>
          </w:tblCellMar>
        </w:tblPrEx>
        <w:trPr>
          <w:trHeight w:val="499" w:hRule="atLeast"/>
        </w:trPr>
        <w:tc>
          <w:tcPr>
            <w:tcW w:w="352" w:type="pct"/>
            <w:tcBorders>
              <w:top w:val="nil"/>
              <w:left w:val="single" w:color="auto" w:sz="4" w:space="0"/>
              <w:bottom w:val="single" w:color="auto" w:sz="4" w:space="0"/>
              <w:right w:val="single" w:color="auto" w:sz="4" w:space="0"/>
            </w:tcBorders>
            <w:shd w:val="clear" w:color="000000" w:fill="FFFFFF"/>
            <w:noWrap/>
            <w:vAlign w:val="center"/>
          </w:tcPr>
          <w:p w14:paraId="2706F6DA">
            <w:pPr>
              <w:pStyle w:val="178"/>
              <w:widowControl/>
              <w:numPr>
                <w:ilvl w:val="0"/>
                <w:numId w:val="7"/>
              </w:numPr>
              <w:spacing w:line="240" w:lineRule="auto"/>
              <w:ind w:firstLineChars="0"/>
              <w:jc w:val="center"/>
              <w:rPr>
                <w:color w:val="000000" w:themeColor="text1"/>
                <w:szCs w:val="24"/>
                <w14:textFill>
                  <w14:solidFill>
                    <w14:schemeClr w14:val="tx1"/>
                  </w14:solidFill>
                </w14:textFill>
              </w:rPr>
            </w:pPr>
          </w:p>
        </w:tc>
        <w:tc>
          <w:tcPr>
            <w:tcW w:w="975" w:type="pct"/>
            <w:tcBorders>
              <w:top w:val="nil"/>
              <w:left w:val="nil"/>
              <w:bottom w:val="single" w:color="auto" w:sz="4" w:space="0"/>
              <w:right w:val="single" w:color="auto" w:sz="4" w:space="0"/>
            </w:tcBorders>
            <w:shd w:val="clear" w:color="000000" w:fill="FFFFFF"/>
            <w:noWrap/>
            <w:vAlign w:val="center"/>
          </w:tcPr>
          <w:p w14:paraId="5138C2D0">
            <w:pPr>
              <w:widowControl/>
              <w:adjustRightInd/>
              <w:spacing w:line="240" w:lineRule="auto"/>
              <w:jc w:val="left"/>
              <w:textAlignment w:val="auto"/>
              <w:rPr>
                <w:szCs w:val="21"/>
              </w:rPr>
            </w:pPr>
            <w:r>
              <w:rPr>
                <w:rFonts w:hint="eastAsia"/>
                <w:szCs w:val="21"/>
              </w:rPr>
              <w:t>风机控制箱</w:t>
            </w:r>
          </w:p>
        </w:tc>
        <w:tc>
          <w:tcPr>
            <w:tcW w:w="1878" w:type="pct"/>
            <w:tcBorders>
              <w:top w:val="nil"/>
              <w:left w:val="nil"/>
              <w:bottom w:val="single" w:color="auto" w:sz="4" w:space="0"/>
              <w:right w:val="single" w:color="auto" w:sz="4" w:space="0"/>
            </w:tcBorders>
            <w:shd w:val="clear" w:color="000000" w:fill="FFFFFF"/>
            <w:vAlign w:val="center"/>
          </w:tcPr>
          <w:p w14:paraId="0996998E">
            <w:pPr>
              <w:widowControl/>
              <w:adjustRightInd/>
              <w:spacing w:line="240" w:lineRule="auto"/>
              <w:jc w:val="left"/>
              <w:textAlignment w:val="auto"/>
              <w:rPr>
                <w:szCs w:val="21"/>
              </w:rPr>
            </w:pPr>
            <w:r>
              <w:rPr>
                <w:rFonts w:hint="eastAsia"/>
                <w:szCs w:val="21"/>
              </w:rPr>
              <w:t>普通型/温控型/SF6气体联动型等，带启/停按钮，电源/故障指示灯，材质304不锈钢</w:t>
            </w:r>
          </w:p>
        </w:tc>
        <w:tc>
          <w:tcPr>
            <w:tcW w:w="470" w:type="pct"/>
            <w:tcBorders>
              <w:top w:val="nil"/>
              <w:left w:val="nil"/>
              <w:bottom w:val="single" w:color="auto" w:sz="4" w:space="0"/>
              <w:right w:val="single" w:color="auto" w:sz="4" w:space="0"/>
            </w:tcBorders>
            <w:shd w:val="clear" w:color="000000" w:fill="FFFFFF"/>
            <w:noWrap/>
            <w:vAlign w:val="center"/>
          </w:tcPr>
          <w:p w14:paraId="718D96F4">
            <w:pPr>
              <w:widowControl/>
              <w:adjustRightInd/>
              <w:spacing w:line="240" w:lineRule="auto"/>
              <w:jc w:val="center"/>
              <w:textAlignment w:val="auto"/>
              <w:rPr>
                <w:szCs w:val="21"/>
              </w:rPr>
            </w:pPr>
            <w:r>
              <w:rPr>
                <w:rFonts w:hint="eastAsia"/>
                <w:szCs w:val="21"/>
              </w:rPr>
              <w:t>个</w:t>
            </w:r>
          </w:p>
        </w:tc>
        <w:tc>
          <w:tcPr>
            <w:tcW w:w="469" w:type="pct"/>
            <w:tcBorders>
              <w:top w:val="nil"/>
              <w:left w:val="nil"/>
              <w:bottom w:val="single" w:color="auto" w:sz="4" w:space="0"/>
              <w:right w:val="single" w:color="auto" w:sz="4" w:space="0"/>
            </w:tcBorders>
            <w:shd w:val="clear" w:color="000000" w:fill="FFFFFF"/>
            <w:noWrap/>
            <w:vAlign w:val="center"/>
          </w:tcPr>
          <w:p w14:paraId="5FE4FB96">
            <w:pPr>
              <w:widowControl/>
              <w:adjustRightInd/>
              <w:spacing w:line="240" w:lineRule="auto"/>
              <w:jc w:val="center"/>
              <w:textAlignment w:val="auto"/>
              <w:rPr>
                <w:szCs w:val="21"/>
              </w:rPr>
            </w:pPr>
            <w:r>
              <w:rPr>
                <w:rFonts w:hint="eastAsia"/>
                <w:szCs w:val="21"/>
              </w:rPr>
              <w:t>6</w:t>
            </w:r>
          </w:p>
        </w:tc>
        <w:tc>
          <w:tcPr>
            <w:tcW w:w="856" w:type="pct"/>
            <w:tcBorders>
              <w:top w:val="nil"/>
              <w:left w:val="nil"/>
              <w:bottom w:val="single" w:color="auto" w:sz="4" w:space="0"/>
              <w:right w:val="single" w:color="auto" w:sz="4" w:space="0"/>
            </w:tcBorders>
            <w:shd w:val="clear" w:color="000000" w:fill="FFFFFF"/>
            <w:noWrap/>
            <w:vAlign w:val="center"/>
          </w:tcPr>
          <w:p w14:paraId="6E948786">
            <w:pPr>
              <w:widowControl/>
              <w:adjustRightInd/>
              <w:spacing w:line="240" w:lineRule="auto"/>
              <w:jc w:val="center"/>
              <w:textAlignment w:val="auto"/>
              <w:rPr>
                <w:szCs w:val="21"/>
              </w:rPr>
            </w:pPr>
          </w:p>
        </w:tc>
      </w:tr>
      <w:tr w14:paraId="60DD06A8">
        <w:tblPrEx>
          <w:tblCellMar>
            <w:top w:w="0" w:type="dxa"/>
            <w:left w:w="108" w:type="dxa"/>
            <w:bottom w:w="0" w:type="dxa"/>
            <w:right w:w="108" w:type="dxa"/>
          </w:tblCellMar>
        </w:tblPrEx>
        <w:trPr>
          <w:trHeight w:val="499" w:hRule="atLeast"/>
        </w:trPr>
        <w:tc>
          <w:tcPr>
            <w:tcW w:w="352" w:type="pct"/>
            <w:tcBorders>
              <w:top w:val="nil"/>
              <w:left w:val="single" w:color="auto" w:sz="4" w:space="0"/>
              <w:bottom w:val="single" w:color="auto" w:sz="4" w:space="0"/>
              <w:right w:val="single" w:color="auto" w:sz="4" w:space="0"/>
            </w:tcBorders>
            <w:shd w:val="clear" w:color="000000" w:fill="FFFFFF"/>
            <w:noWrap/>
            <w:vAlign w:val="center"/>
          </w:tcPr>
          <w:p w14:paraId="7180A4F5">
            <w:pPr>
              <w:pStyle w:val="178"/>
              <w:widowControl/>
              <w:numPr>
                <w:ilvl w:val="0"/>
                <w:numId w:val="7"/>
              </w:numPr>
              <w:spacing w:line="240" w:lineRule="auto"/>
              <w:ind w:firstLineChars="0"/>
              <w:jc w:val="center"/>
              <w:rPr>
                <w:color w:val="000000" w:themeColor="text1"/>
                <w:szCs w:val="24"/>
                <w14:textFill>
                  <w14:solidFill>
                    <w14:schemeClr w14:val="tx1"/>
                  </w14:solidFill>
                </w14:textFill>
              </w:rPr>
            </w:pPr>
          </w:p>
        </w:tc>
        <w:tc>
          <w:tcPr>
            <w:tcW w:w="975" w:type="pct"/>
            <w:tcBorders>
              <w:top w:val="nil"/>
              <w:left w:val="nil"/>
              <w:bottom w:val="single" w:color="auto" w:sz="4" w:space="0"/>
              <w:right w:val="single" w:color="auto" w:sz="4" w:space="0"/>
            </w:tcBorders>
            <w:shd w:val="clear" w:color="000000" w:fill="FFFFFF"/>
            <w:noWrap/>
            <w:vAlign w:val="center"/>
          </w:tcPr>
          <w:p w14:paraId="6F45333A">
            <w:pPr>
              <w:widowControl/>
              <w:adjustRightInd/>
              <w:spacing w:line="240" w:lineRule="auto"/>
              <w:jc w:val="left"/>
              <w:textAlignment w:val="auto"/>
              <w:rPr>
                <w:szCs w:val="21"/>
              </w:rPr>
            </w:pPr>
            <w:r>
              <w:rPr>
                <w:rFonts w:hint="eastAsia"/>
                <w:szCs w:val="21"/>
              </w:rPr>
              <w:t>室外风机控制箱防雨罩</w:t>
            </w:r>
          </w:p>
        </w:tc>
        <w:tc>
          <w:tcPr>
            <w:tcW w:w="1878" w:type="pct"/>
            <w:tcBorders>
              <w:top w:val="nil"/>
              <w:left w:val="nil"/>
              <w:bottom w:val="single" w:color="auto" w:sz="4" w:space="0"/>
              <w:right w:val="single" w:color="auto" w:sz="4" w:space="0"/>
            </w:tcBorders>
            <w:shd w:val="clear" w:color="000000" w:fill="FFFFFF"/>
            <w:vAlign w:val="center"/>
          </w:tcPr>
          <w:p w14:paraId="4CCB2B62">
            <w:pPr>
              <w:widowControl/>
              <w:adjustRightInd/>
              <w:spacing w:line="240" w:lineRule="auto"/>
              <w:jc w:val="left"/>
              <w:textAlignment w:val="auto"/>
              <w:rPr>
                <w:szCs w:val="21"/>
              </w:rPr>
            </w:pPr>
            <w:r>
              <w:rPr>
                <w:rFonts w:hint="eastAsia"/>
                <w:szCs w:val="21"/>
              </w:rPr>
              <w:t>不锈钢，尺寸根据室外风机控制箱确定</w:t>
            </w:r>
          </w:p>
        </w:tc>
        <w:tc>
          <w:tcPr>
            <w:tcW w:w="470" w:type="pct"/>
            <w:tcBorders>
              <w:top w:val="nil"/>
              <w:left w:val="nil"/>
              <w:bottom w:val="single" w:color="auto" w:sz="4" w:space="0"/>
              <w:right w:val="single" w:color="auto" w:sz="4" w:space="0"/>
            </w:tcBorders>
            <w:shd w:val="clear" w:color="000000" w:fill="FFFFFF"/>
            <w:noWrap/>
            <w:vAlign w:val="center"/>
          </w:tcPr>
          <w:p w14:paraId="294C3D6C">
            <w:pPr>
              <w:widowControl/>
              <w:adjustRightInd/>
              <w:spacing w:line="240" w:lineRule="auto"/>
              <w:jc w:val="center"/>
              <w:textAlignment w:val="auto"/>
              <w:rPr>
                <w:szCs w:val="21"/>
              </w:rPr>
            </w:pPr>
            <w:r>
              <w:rPr>
                <w:rFonts w:hint="eastAsia"/>
                <w:szCs w:val="21"/>
              </w:rPr>
              <w:t>个</w:t>
            </w:r>
          </w:p>
        </w:tc>
        <w:tc>
          <w:tcPr>
            <w:tcW w:w="469" w:type="pct"/>
            <w:tcBorders>
              <w:top w:val="nil"/>
              <w:left w:val="nil"/>
              <w:bottom w:val="single" w:color="auto" w:sz="4" w:space="0"/>
              <w:right w:val="single" w:color="auto" w:sz="4" w:space="0"/>
            </w:tcBorders>
            <w:shd w:val="clear" w:color="000000" w:fill="FFFFFF"/>
            <w:noWrap/>
            <w:vAlign w:val="center"/>
          </w:tcPr>
          <w:p w14:paraId="6CDD2482">
            <w:pPr>
              <w:widowControl/>
              <w:adjustRightInd/>
              <w:spacing w:line="240" w:lineRule="auto"/>
              <w:jc w:val="center"/>
              <w:textAlignment w:val="auto"/>
              <w:rPr>
                <w:szCs w:val="21"/>
              </w:rPr>
            </w:pPr>
            <w:r>
              <w:rPr>
                <w:rFonts w:hint="eastAsia"/>
                <w:szCs w:val="21"/>
              </w:rPr>
              <w:t>3</w:t>
            </w:r>
          </w:p>
        </w:tc>
        <w:tc>
          <w:tcPr>
            <w:tcW w:w="856" w:type="pct"/>
            <w:tcBorders>
              <w:top w:val="nil"/>
              <w:left w:val="nil"/>
              <w:bottom w:val="single" w:color="auto" w:sz="4" w:space="0"/>
              <w:right w:val="single" w:color="auto" w:sz="4" w:space="0"/>
            </w:tcBorders>
            <w:shd w:val="clear" w:color="000000" w:fill="FFFFFF"/>
            <w:noWrap/>
            <w:vAlign w:val="center"/>
          </w:tcPr>
          <w:p w14:paraId="7ACE8BFB">
            <w:pPr>
              <w:widowControl/>
              <w:adjustRightInd/>
              <w:spacing w:line="240" w:lineRule="auto"/>
              <w:jc w:val="center"/>
              <w:textAlignment w:val="auto"/>
              <w:rPr>
                <w:szCs w:val="21"/>
              </w:rPr>
            </w:pPr>
          </w:p>
        </w:tc>
      </w:tr>
    </w:tbl>
    <w:p w14:paraId="47EE375C">
      <w:pPr>
        <w:snapToGrid w:val="0"/>
        <w:spacing w:line="440" w:lineRule="atLeast"/>
        <w:rPr>
          <w:rFonts w:eastAsiaTheme="minorEastAsia"/>
          <w:b/>
          <w:color w:val="000000" w:themeColor="text1"/>
          <w:sz w:val="24"/>
          <w:szCs w:val="24"/>
          <w14:textFill>
            <w14:solidFill>
              <w14:schemeClr w14:val="tx1"/>
            </w14:solidFill>
          </w14:textFill>
        </w:rPr>
      </w:pPr>
    </w:p>
    <w:p w14:paraId="6C706986">
      <w:pPr>
        <w:snapToGrid w:val="0"/>
        <w:spacing w:line="440" w:lineRule="atLeast"/>
        <w:outlineLvl w:val="1"/>
        <w:rPr>
          <w:rFonts w:eastAsiaTheme="minorEastAsia"/>
          <w:b/>
          <w:color w:val="000000" w:themeColor="text1"/>
          <w:sz w:val="24"/>
          <w:szCs w:val="24"/>
          <w14:textFill>
            <w14:solidFill>
              <w14:schemeClr w14:val="tx1"/>
            </w14:solidFill>
          </w14:textFill>
        </w:rPr>
      </w:pPr>
      <w:bookmarkStart w:id="24" w:name="_Toc57984064"/>
      <w:bookmarkStart w:id="25" w:name="_Toc220074655"/>
      <w:r>
        <w:rPr>
          <w:rFonts w:hint="eastAsia" w:eastAsiaTheme="minorEastAsia"/>
          <w:b/>
          <w:color w:val="000000" w:themeColor="text1"/>
          <w:sz w:val="24"/>
          <w:szCs w:val="24"/>
          <w14:textFill>
            <w14:solidFill>
              <w14:schemeClr w14:val="tx1"/>
            </w14:solidFill>
          </w14:textFill>
        </w:rPr>
        <w:t>表</w:t>
      </w:r>
      <w:r>
        <w:rPr>
          <w:rFonts w:eastAsiaTheme="minorEastAsia"/>
          <w:b/>
          <w:color w:val="000000" w:themeColor="text1"/>
          <w:sz w:val="24"/>
          <w:szCs w:val="24"/>
          <w14:textFill>
            <w14:solidFill>
              <w14:schemeClr w14:val="tx1"/>
            </w14:solidFill>
          </w14:textFill>
        </w:rPr>
        <w:t xml:space="preserve">1-3             </w:t>
      </w:r>
      <w:bookmarkEnd w:id="24"/>
      <w:r>
        <w:rPr>
          <w:rFonts w:hint="eastAsia" w:eastAsiaTheme="minorEastAsia"/>
          <w:b/>
          <w:color w:val="000000" w:themeColor="text1"/>
          <w:sz w:val="24"/>
          <w:szCs w:val="24"/>
          <w14:textFill>
            <w14:solidFill>
              <w14:schemeClr w14:val="tx1"/>
            </w14:solidFill>
          </w14:textFill>
        </w:rPr>
        <w:t>湖南侧GIS室通风系统设备规格及数量表</w:t>
      </w:r>
      <w:bookmarkEnd w:id="25"/>
    </w:p>
    <w:tbl>
      <w:tblPr>
        <w:tblStyle w:val="41"/>
        <w:tblW w:w="5000" w:type="pct"/>
        <w:tblInd w:w="0" w:type="dxa"/>
        <w:tblLayout w:type="fixed"/>
        <w:tblCellMar>
          <w:top w:w="0" w:type="dxa"/>
          <w:left w:w="108" w:type="dxa"/>
          <w:bottom w:w="0" w:type="dxa"/>
          <w:right w:w="108" w:type="dxa"/>
        </w:tblCellMar>
      </w:tblPr>
      <w:tblGrid>
        <w:gridCol w:w="737"/>
        <w:gridCol w:w="1726"/>
        <w:gridCol w:w="3488"/>
        <w:gridCol w:w="873"/>
        <w:gridCol w:w="871"/>
        <w:gridCol w:w="1592"/>
      </w:tblGrid>
      <w:tr w14:paraId="549F4538">
        <w:tblPrEx>
          <w:tblCellMar>
            <w:top w:w="0" w:type="dxa"/>
            <w:left w:w="108" w:type="dxa"/>
            <w:bottom w:w="0" w:type="dxa"/>
            <w:right w:w="108" w:type="dxa"/>
          </w:tblCellMar>
        </w:tblPrEx>
        <w:trPr>
          <w:trHeight w:val="737" w:hRule="atLeast"/>
        </w:trPr>
        <w:tc>
          <w:tcPr>
            <w:tcW w:w="397"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688E4E6">
            <w:pPr>
              <w:widowControl/>
              <w:adjustRightInd/>
              <w:spacing w:line="240" w:lineRule="auto"/>
              <w:textAlignment w:val="auto"/>
              <w:rPr>
                <w:rFonts w:ascii="宋体" w:hAnsi="宋体"/>
                <w:sz w:val="24"/>
                <w:szCs w:val="24"/>
              </w:rPr>
            </w:pPr>
            <w:r>
              <w:rPr>
                <w:rFonts w:hint="eastAsia" w:ascii="宋体" w:hAnsi="宋体"/>
                <w:sz w:val="24"/>
                <w:szCs w:val="24"/>
              </w:rPr>
              <w:t>序号</w:t>
            </w:r>
          </w:p>
        </w:tc>
        <w:tc>
          <w:tcPr>
            <w:tcW w:w="929" w:type="pct"/>
            <w:tcBorders>
              <w:top w:val="single" w:color="auto" w:sz="4" w:space="0"/>
              <w:left w:val="nil"/>
              <w:bottom w:val="single" w:color="auto" w:sz="4" w:space="0"/>
              <w:right w:val="single" w:color="auto" w:sz="4" w:space="0"/>
            </w:tcBorders>
            <w:shd w:val="clear" w:color="000000" w:fill="FFFFFF"/>
            <w:noWrap/>
            <w:vAlign w:val="center"/>
          </w:tcPr>
          <w:p w14:paraId="5CC224B8">
            <w:pPr>
              <w:widowControl/>
              <w:adjustRightInd/>
              <w:spacing w:line="240" w:lineRule="auto"/>
              <w:textAlignment w:val="auto"/>
              <w:rPr>
                <w:rFonts w:ascii="宋体" w:hAnsi="宋体"/>
                <w:sz w:val="24"/>
                <w:szCs w:val="24"/>
              </w:rPr>
            </w:pPr>
            <w:r>
              <w:rPr>
                <w:rFonts w:hint="eastAsia" w:ascii="宋体" w:hAnsi="宋体"/>
                <w:sz w:val="24"/>
                <w:szCs w:val="24"/>
              </w:rPr>
              <w:t>设备材料名称</w:t>
            </w:r>
          </w:p>
        </w:tc>
        <w:tc>
          <w:tcPr>
            <w:tcW w:w="1878" w:type="pct"/>
            <w:tcBorders>
              <w:top w:val="single" w:color="auto" w:sz="4" w:space="0"/>
              <w:left w:val="nil"/>
              <w:bottom w:val="single" w:color="auto" w:sz="4" w:space="0"/>
              <w:right w:val="single" w:color="auto" w:sz="4" w:space="0"/>
            </w:tcBorders>
            <w:shd w:val="clear" w:color="000000" w:fill="FFFFFF"/>
            <w:vAlign w:val="center"/>
          </w:tcPr>
          <w:p w14:paraId="1F078688">
            <w:pPr>
              <w:widowControl/>
              <w:adjustRightInd/>
              <w:spacing w:line="240" w:lineRule="auto"/>
              <w:jc w:val="center"/>
              <w:textAlignment w:val="auto"/>
              <w:rPr>
                <w:rFonts w:ascii="宋体" w:hAnsi="宋体"/>
                <w:sz w:val="24"/>
                <w:szCs w:val="24"/>
              </w:rPr>
            </w:pPr>
            <w:r>
              <w:rPr>
                <w:rFonts w:hint="eastAsia" w:ascii="宋体" w:hAnsi="宋体"/>
                <w:sz w:val="24"/>
                <w:szCs w:val="24"/>
              </w:rPr>
              <w:t>设备材料规格</w:t>
            </w:r>
          </w:p>
        </w:tc>
        <w:tc>
          <w:tcPr>
            <w:tcW w:w="470" w:type="pct"/>
            <w:tcBorders>
              <w:top w:val="single" w:color="auto" w:sz="4" w:space="0"/>
              <w:left w:val="nil"/>
              <w:bottom w:val="single" w:color="auto" w:sz="4" w:space="0"/>
              <w:right w:val="single" w:color="auto" w:sz="4" w:space="0"/>
            </w:tcBorders>
            <w:shd w:val="clear" w:color="000000" w:fill="FFFFFF"/>
            <w:noWrap/>
            <w:vAlign w:val="center"/>
          </w:tcPr>
          <w:p w14:paraId="7EC0C128">
            <w:pPr>
              <w:widowControl/>
              <w:adjustRightInd/>
              <w:spacing w:line="240" w:lineRule="auto"/>
              <w:jc w:val="center"/>
              <w:textAlignment w:val="auto"/>
              <w:rPr>
                <w:rFonts w:ascii="宋体" w:hAnsi="宋体"/>
                <w:sz w:val="24"/>
                <w:szCs w:val="24"/>
              </w:rPr>
            </w:pPr>
            <w:r>
              <w:rPr>
                <w:rFonts w:hint="eastAsia" w:ascii="宋体" w:hAnsi="宋体"/>
                <w:sz w:val="24"/>
                <w:szCs w:val="24"/>
              </w:rPr>
              <w:t>单位</w:t>
            </w:r>
          </w:p>
        </w:tc>
        <w:tc>
          <w:tcPr>
            <w:tcW w:w="469" w:type="pct"/>
            <w:tcBorders>
              <w:top w:val="single" w:color="auto" w:sz="4" w:space="0"/>
              <w:left w:val="nil"/>
              <w:bottom w:val="single" w:color="auto" w:sz="4" w:space="0"/>
              <w:right w:val="single" w:color="auto" w:sz="4" w:space="0"/>
            </w:tcBorders>
            <w:shd w:val="clear" w:color="000000" w:fill="FFFFFF"/>
            <w:noWrap/>
            <w:vAlign w:val="center"/>
          </w:tcPr>
          <w:p w14:paraId="43BF0CBF">
            <w:pPr>
              <w:widowControl/>
              <w:adjustRightInd/>
              <w:spacing w:line="240" w:lineRule="auto"/>
              <w:jc w:val="center"/>
              <w:textAlignment w:val="auto"/>
              <w:rPr>
                <w:rFonts w:ascii="宋体" w:hAnsi="宋体"/>
                <w:sz w:val="24"/>
                <w:szCs w:val="24"/>
              </w:rPr>
            </w:pPr>
            <w:r>
              <w:rPr>
                <w:rFonts w:hint="eastAsia" w:ascii="宋体" w:hAnsi="宋体"/>
                <w:sz w:val="24"/>
                <w:szCs w:val="24"/>
              </w:rPr>
              <w:t>数量</w:t>
            </w:r>
          </w:p>
        </w:tc>
        <w:tc>
          <w:tcPr>
            <w:tcW w:w="857" w:type="pct"/>
            <w:tcBorders>
              <w:top w:val="single" w:color="auto" w:sz="4" w:space="0"/>
              <w:left w:val="nil"/>
              <w:bottom w:val="single" w:color="auto" w:sz="4" w:space="0"/>
              <w:right w:val="single" w:color="auto" w:sz="4" w:space="0"/>
            </w:tcBorders>
            <w:shd w:val="clear" w:color="000000" w:fill="FFFFFF"/>
            <w:noWrap/>
            <w:vAlign w:val="center"/>
          </w:tcPr>
          <w:p w14:paraId="1358E6E9">
            <w:pPr>
              <w:widowControl/>
              <w:adjustRightInd/>
              <w:spacing w:line="240" w:lineRule="auto"/>
              <w:jc w:val="center"/>
              <w:textAlignment w:val="auto"/>
              <w:rPr>
                <w:rFonts w:ascii="宋体" w:hAnsi="宋体"/>
                <w:sz w:val="24"/>
                <w:szCs w:val="24"/>
              </w:rPr>
            </w:pPr>
            <w:r>
              <w:rPr>
                <w:rFonts w:hint="eastAsia" w:ascii="宋体" w:hAnsi="宋体"/>
                <w:sz w:val="24"/>
                <w:szCs w:val="24"/>
              </w:rPr>
              <w:t>备注</w:t>
            </w:r>
          </w:p>
        </w:tc>
      </w:tr>
      <w:tr w14:paraId="062C79F9">
        <w:tblPrEx>
          <w:tblCellMar>
            <w:top w:w="0" w:type="dxa"/>
            <w:left w:w="108" w:type="dxa"/>
            <w:bottom w:w="0" w:type="dxa"/>
            <w:right w:w="108" w:type="dxa"/>
          </w:tblCellMar>
        </w:tblPrEx>
        <w:trPr>
          <w:trHeight w:val="567"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7D2F679B">
            <w:pPr>
              <w:pStyle w:val="178"/>
              <w:widowControl/>
              <w:numPr>
                <w:ilvl w:val="0"/>
                <w:numId w:val="8"/>
              </w:numPr>
              <w:spacing w:line="240" w:lineRule="auto"/>
              <w:ind w:firstLineChars="0"/>
              <w:jc w:val="center"/>
              <w:rPr>
                <w:rFonts w:ascii="宋体" w:hAnsi="宋体" w:cs="Times New Roman"/>
                <w:kern w:val="0"/>
                <w:szCs w:val="24"/>
              </w:rPr>
            </w:pPr>
          </w:p>
        </w:tc>
        <w:tc>
          <w:tcPr>
            <w:tcW w:w="929" w:type="pct"/>
            <w:tcBorders>
              <w:top w:val="nil"/>
              <w:left w:val="nil"/>
              <w:bottom w:val="single" w:color="auto" w:sz="4" w:space="0"/>
              <w:right w:val="single" w:color="auto" w:sz="4" w:space="0"/>
            </w:tcBorders>
            <w:shd w:val="clear" w:color="000000" w:fill="FFFFFF"/>
            <w:noWrap/>
            <w:vAlign w:val="center"/>
          </w:tcPr>
          <w:p w14:paraId="1EA6A597">
            <w:pPr>
              <w:widowControl/>
              <w:adjustRightInd/>
              <w:spacing w:line="240" w:lineRule="auto"/>
              <w:textAlignment w:val="auto"/>
              <w:rPr>
                <w:szCs w:val="21"/>
              </w:rPr>
            </w:pPr>
            <w:r>
              <w:rPr>
                <w:rFonts w:hint="eastAsia"/>
                <w:szCs w:val="21"/>
              </w:rPr>
              <w:t>低噪声轴流风机</w:t>
            </w:r>
          </w:p>
        </w:tc>
        <w:tc>
          <w:tcPr>
            <w:tcW w:w="1878" w:type="pct"/>
            <w:tcBorders>
              <w:top w:val="nil"/>
              <w:left w:val="nil"/>
              <w:bottom w:val="single" w:color="auto" w:sz="4" w:space="0"/>
              <w:right w:val="single" w:color="auto" w:sz="4" w:space="0"/>
            </w:tcBorders>
            <w:shd w:val="clear" w:color="000000" w:fill="FFFFFF"/>
            <w:vAlign w:val="center"/>
          </w:tcPr>
          <w:p w14:paraId="7A2B4421">
            <w:pPr>
              <w:widowControl/>
              <w:adjustRightInd/>
              <w:spacing w:line="240" w:lineRule="auto"/>
              <w:textAlignment w:val="auto"/>
              <w:rPr>
                <w:szCs w:val="21"/>
              </w:rPr>
            </w:pPr>
            <w:r>
              <w:rPr>
                <w:rFonts w:hint="eastAsia"/>
                <w:szCs w:val="21"/>
              </w:rPr>
              <w:t>5#，风量：8000m</w:t>
            </w:r>
            <w:r>
              <w:rPr>
                <w:rFonts w:hint="eastAsia"/>
                <w:color w:val="000000"/>
                <w:szCs w:val="21"/>
                <w:vertAlign w:val="superscript"/>
              </w:rPr>
              <w:t>3</w:t>
            </w:r>
            <w:r>
              <w:rPr>
                <w:rFonts w:hint="eastAsia"/>
                <w:color w:val="000000"/>
                <w:szCs w:val="21"/>
              </w:rPr>
              <w:t>/h，全压380Pa,噪声≤55dB(A)。电压：380V，电机功率：0.37kW。</w:t>
            </w:r>
          </w:p>
        </w:tc>
        <w:tc>
          <w:tcPr>
            <w:tcW w:w="470" w:type="pct"/>
            <w:tcBorders>
              <w:top w:val="nil"/>
              <w:left w:val="nil"/>
              <w:bottom w:val="single" w:color="auto" w:sz="4" w:space="0"/>
              <w:right w:val="single" w:color="auto" w:sz="4" w:space="0"/>
            </w:tcBorders>
            <w:shd w:val="clear" w:color="000000" w:fill="FFFFFF"/>
            <w:noWrap/>
            <w:vAlign w:val="center"/>
          </w:tcPr>
          <w:p w14:paraId="68E1A19E">
            <w:pPr>
              <w:widowControl/>
              <w:adjustRightInd/>
              <w:spacing w:line="240" w:lineRule="auto"/>
              <w:jc w:val="center"/>
              <w:textAlignment w:val="auto"/>
              <w:rPr>
                <w:szCs w:val="21"/>
              </w:rPr>
            </w:pPr>
            <w:r>
              <w:rPr>
                <w:rFonts w:hint="eastAsia"/>
                <w:szCs w:val="21"/>
              </w:rPr>
              <w:t>台</w:t>
            </w:r>
          </w:p>
        </w:tc>
        <w:tc>
          <w:tcPr>
            <w:tcW w:w="469" w:type="pct"/>
            <w:tcBorders>
              <w:top w:val="nil"/>
              <w:left w:val="nil"/>
              <w:bottom w:val="single" w:color="auto" w:sz="4" w:space="0"/>
              <w:right w:val="single" w:color="auto" w:sz="4" w:space="0"/>
            </w:tcBorders>
            <w:shd w:val="clear" w:color="000000" w:fill="FFFFFF"/>
            <w:noWrap/>
            <w:vAlign w:val="center"/>
          </w:tcPr>
          <w:p w14:paraId="33021F83">
            <w:pPr>
              <w:widowControl/>
              <w:adjustRightInd/>
              <w:spacing w:line="240" w:lineRule="auto"/>
              <w:jc w:val="center"/>
              <w:textAlignment w:val="auto"/>
              <w:rPr>
                <w:szCs w:val="21"/>
              </w:rPr>
            </w:pPr>
            <w:r>
              <w:rPr>
                <w:rFonts w:hint="eastAsia"/>
                <w:szCs w:val="21"/>
              </w:rPr>
              <w:t>20</w:t>
            </w:r>
          </w:p>
        </w:tc>
        <w:tc>
          <w:tcPr>
            <w:tcW w:w="857" w:type="pct"/>
            <w:tcBorders>
              <w:top w:val="nil"/>
              <w:left w:val="nil"/>
              <w:bottom w:val="single" w:color="auto" w:sz="4" w:space="0"/>
              <w:right w:val="single" w:color="auto" w:sz="4" w:space="0"/>
            </w:tcBorders>
            <w:shd w:val="clear" w:color="000000" w:fill="FFFFFF"/>
            <w:noWrap/>
            <w:vAlign w:val="center"/>
          </w:tcPr>
          <w:p w14:paraId="737FBAC1">
            <w:pPr>
              <w:widowControl/>
              <w:adjustRightInd/>
              <w:spacing w:line="240" w:lineRule="auto"/>
              <w:jc w:val="center"/>
              <w:textAlignment w:val="auto"/>
              <w:rPr>
                <w:szCs w:val="21"/>
              </w:rPr>
            </w:pPr>
          </w:p>
        </w:tc>
      </w:tr>
      <w:tr w14:paraId="31991BAB">
        <w:tblPrEx>
          <w:tblCellMar>
            <w:top w:w="0" w:type="dxa"/>
            <w:left w:w="108" w:type="dxa"/>
            <w:bottom w:w="0" w:type="dxa"/>
            <w:right w:w="108" w:type="dxa"/>
          </w:tblCellMar>
        </w:tblPrEx>
        <w:trPr>
          <w:trHeight w:val="567"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735002AC">
            <w:pPr>
              <w:pStyle w:val="178"/>
              <w:widowControl/>
              <w:numPr>
                <w:ilvl w:val="0"/>
                <w:numId w:val="8"/>
              </w:numPr>
              <w:spacing w:line="240" w:lineRule="auto"/>
              <w:ind w:firstLineChars="0"/>
              <w:jc w:val="center"/>
              <w:rPr>
                <w:rFonts w:ascii="宋体" w:hAnsi="宋体" w:cs="Times New Roman"/>
                <w:kern w:val="0"/>
                <w:szCs w:val="24"/>
              </w:rPr>
            </w:pPr>
          </w:p>
        </w:tc>
        <w:tc>
          <w:tcPr>
            <w:tcW w:w="929" w:type="pct"/>
            <w:tcBorders>
              <w:top w:val="nil"/>
              <w:left w:val="nil"/>
              <w:bottom w:val="single" w:color="auto" w:sz="4" w:space="0"/>
              <w:right w:val="single" w:color="auto" w:sz="4" w:space="0"/>
            </w:tcBorders>
            <w:shd w:val="clear" w:color="000000" w:fill="FFFFFF"/>
            <w:noWrap/>
            <w:vAlign w:val="center"/>
          </w:tcPr>
          <w:p w14:paraId="5F8369AF">
            <w:pPr>
              <w:widowControl/>
              <w:adjustRightInd/>
              <w:spacing w:line="240" w:lineRule="auto"/>
              <w:textAlignment w:val="auto"/>
              <w:rPr>
                <w:szCs w:val="21"/>
              </w:rPr>
            </w:pPr>
            <w:r>
              <w:rPr>
                <w:rFonts w:hint="eastAsia"/>
                <w:szCs w:val="21"/>
              </w:rPr>
              <w:t>低噪声轴流风机</w:t>
            </w:r>
          </w:p>
        </w:tc>
        <w:tc>
          <w:tcPr>
            <w:tcW w:w="1878" w:type="pct"/>
            <w:tcBorders>
              <w:top w:val="nil"/>
              <w:left w:val="nil"/>
              <w:bottom w:val="single" w:color="auto" w:sz="4" w:space="0"/>
              <w:right w:val="single" w:color="auto" w:sz="4" w:space="0"/>
            </w:tcBorders>
            <w:shd w:val="clear" w:color="000000" w:fill="FFFFFF"/>
            <w:vAlign w:val="center"/>
          </w:tcPr>
          <w:p w14:paraId="4F7A3950">
            <w:pPr>
              <w:widowControl/>
              <w:adjustRightInd/>
              <w:spacing w:line="240" w:lineRule="auto"/>
              <w:textAlignment w:val="auto"/>
              <w:rPr>
                <w:szCs w:val="21"/>
              </w:rPr>
            </w:pPr>
            <w:r>
              <w:rPr>
                <w:rFonts w:hint="eastAsia"/>
                <w:szCs w:val="21"/>
              </w:rPr>
              <w:t>2.5#，风量：1070m3/h，噪声≤55dB(A)。电压：380V，电机功率：0.09kW。</w:t>
            </w:r>
          </w:p>
        </w:tc>
        <w:tc>
          <w:tcPr>
            <w:tcW w:w="470" w:type="pct"/>
            <w:tcBorders>
              <w:top w:val="nil"/>
              <w:left w:val="nil"/>
              <w:bottom w:val="single" w:color="auto" w:sz="4" w:space="0"/>
              <w:right w:val="single" w:color="auto" w:sz="4" w:space="0"/>
            </w:tcBorders>
            <w:shd w:val="clear" w:color="000000" w:fill="FFFFFF"/>
            <w:noWrap/>
            <w:vAlign w:val="center"/>
          </w:tcPr>
          <w:p w14:paraId="1EF58AA1">
            <w:pPr>
              <w:widowControl/>
              <w:adjustRightInd/>
              <w:spacing w:line="240" w:lineRule="auto"/>
              <w:jc w:val="center"/>
              <w:textAlignment w:val="auto"/>
              <w:rPr>
                <w:szCs w:val="21"/>
              </w:rPr>
            </w:pPr>
            <w:r>
              <w:rPr>
                <w:rFonts w:hint="eastAsia"/>
                <w:szCs w:val="21"/>
              </w:rPr>
              <w:t>台</w:t>
            </w:r>
          </w:p>
        </w:tc>
        <w:tc>
          <w:tcPr>
            <w:tcW w:w="469" w:type="pct"/>
            <w:tcBorders>
              <w:top w:val="nil"/>
              <w:left w:val="nil"/>
              <w:bottom w:val="single" w:color="auto" w:sz="4" w:space="0"/>
              <w:right w:val="single" w:color="auto" w:sz="4" w:space="0"/>
            </w:tcBorders>
            <w:shd w:val="clear" w:color="000000" w:fill="FFFFFF"/>
            <w:noWrap/>
            <w:vAlign w:val="center"/>
          </w:tcPr>
          <w:p w14:paraId="4CD410CA">
            <w:pPr>
              <w:widowControl/>
              <w:adjustRightInd/>
              <w:spacing w:line="240" w:lineRule="auto"/>
              <w:jc w:val="center"/>
              <w:textAlignment w:val="auto"/>
              <w:rPr>
                <w:szCs w:val="21"/>
              </w:rPr>
            </w:pPr>
            <w:r>
              <w:rPr>
                <w:rFonts w:hint="eastAsia"/>
                <w:szCs w:val="21"/>
              </w:rPr>
              <w:t>4</w:t>
            </w:r>
          </w:p>
        </w:tc>
        <w:tc>
          <w:tcPr>
            <w:tcW w:w="857" w:type="pct"/>
            <w:tcBorders>
              <w:top w:val="nil"/>
              <w:left w:val="nil"/>
              <w:bottom w:val="single" w:color="auto" w:sz="4" w:space="0"/>
              <w:right w:val="single" w:color="auto" w:sz="4" w:space="0"/>
            </w:tcBorders>
            <w:shd w:val="clear" w:color="000000" w:fill="FFFFFF"/>
            <w:noWrap/>
            <w:vAlign w:val="center"/>
          </w:tcPr>
          <w:p w14:paraId="7E94E81A">
            <w:pPr>
              <w:widowControl/>
              <w:adjustRightInd/>
              <w:spacing w:line="240" w:lineRule="auto"/>
              <w:jc w:val="center"/>
              <w:textAlignment w:val="auto"/>
              <w:rPr>
                <w:szCs w:val="21"/>
              </w:rPr>
            </w:pPr>
          </w:p>
        </w:tc>
      </w:tr>
      <w:tr w14:paraId="35F9C8A2">
        <w:tblPrEx>
          <w:tblCellMar>
            <w:top w:w="0" w:type="dxa"/>
            <w:left w:w="108" w:type="dxa"/>
            <w:bottom w:w="0" w:type="dxa"/>
            <w:right w:w="108" w:type="dxa"/>
          </w:tblCellMar>
        </w:tblPrEx>
        <w:trPr>
          <w:trHeight w:val="567"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59C72A17">
            <w:pPr>
              <w:pStyle w:val="178"/>
              <w:widowControl/>
              <w:numPr>
                <w:ilvl w:val="0"/>
                <w:numId w:val="8"/>
              </w:numPr>
              <w:spacing w:line="240" w:lineRule="auto"/>
              <w:ind w:firstLineChars="0"/>
              <w:jc w:val="center"/>
              <w:rPr>
                <w:rFonts w:ascii="宋体" w:hAnsi="宋体" w:cs="Times New Roman"/>
                <w:kern w:val="0"/>
                <w:szCs w:val="24"/>
              </w:rPr>
            </w:pPr>
          </w:p>
        </w:tc>
        <w:tc>
          <w:tcPr>
            <w:tcW w:w="929" w:type="pct"/>
            <w:tcBorders>
              <w:top w:val="nil"/>
              <w:left w:val="nil"/>
              <w:bottom w:val="single" w:color="auto" w:sz="4" w:space="0"/>
              <w:right w:val="single" w:color="auto" w:sz="4" w:space="0"/>
            </w:tcBorders>
            <w:shd w:val="clear" w:color="000000" w:fill="FFFFFF"/>
            <w:noWrap/>
            <w:vAlign w:val="center"/>
          </w:tcPr>
          <w:p w14:paraId="48A68C52">
            <w:pPr>
              <w:widowControl/>
              <w:adjustRightInd/>
              <w:spacing w:line="240" w:lineRule="auto"/>
              <w:textAlignment w:val="auto"/>
              <w:rPr>
                <w:szCs w:val="21"/>
              </w:rPr>
            </w:pPr>
            <w:r>
              <w:rPr>
                <w:rFonts w:hint="eastAsia"/>
                <w:szCs w:val="21"/>
              </w:rPr>
              <w:t>不锈钢通风弯头</w:t>
            </w:r>
          </w:p>
        </w:tc>
        <w:tc>
          <w:tcPr>
            <w:tcW w:w="1878" w:type="pct"/>
            <w:tcBorders>
              <w:top w:val="nil"/>
              <w:left w:val="nil"/>
              <w:bottom w:val="single" w:color="auto" w:sz="4" w:space="0"/>
              <w:right w:val="single" w:color="auto" w:sz="4" w:space="0"/>
            </w:tcBorders>
            <w:shd w:val="clear" w:color="000000" w:fill="FFFFFF"/>
            <w:vAlign w:val="center"/>
          </w:tcPr>
          <w:p w14:paraId="38620912">
            <w:pPr>
              <w:widowControl/>
              <w:adjustRightInd/>
              <w:spacing w:line="240" w:lineRule="auto"/>
              <w:textAlignment w:val="auto"/>
              <w:rPr>
                <w:szCs w:val="21"/>
              </w:rPr>
            </w:pPr>
            <w:r>
              <w:rPr>
                <w:rFonts w:hint="eastAsia"/>
                <w:szCs w:val="21"/>
              </w:rPr>
              <w:t>Φ600，304不锈钢，带6×6mm不锈钢丝过滤网</w:t>
            </w:r>
          </w:p>
        </w:tc>
        <w:tc>
          <w:tcPr>
            <w:tcW w:w="470" w:type="pct"/>
            <w:tcBorders>
              <w:top w:val="nil"/>
              <w:left w:val="nil"/>
              <w:bottom w:val="single" w:color="auto" w:sz="4" w:space="0"/>
              <w:right w:val="single" w:color="auto" w:sz="4" w:space="0"/>
            </w:tcBorders>
            <w:shd w:val="clear" w:color="000000" w:fill="FFFFFF"/>
            <w:noWrap/>
            <w:vAlign w:val="center"/>
          </w:tcPr>
          <w:p w14:paraId="2402C4DE">
            <w:pPr>
              <w:widowControl/>
              <w:adjustRightInd/>
              <w:spacing w:line="240" w:lineRule="auto"/>
              <w:jc w:val="center"/>
              <w:textAlignment w:val="auto"/>
              <w:rPr>
                <w:szCs w:val="21"/>
              </w:rPr>
            </w:pPr>
            <w:r>
              <w:rPr>
                <w:rFonts w:hint="eastAsia"/>
                <w:szCs w:val="21"/>
              </w:rPr>
              <w:t>个</w:t>
            </w:r>
          </w:p>
        </w:tc>
        <w:tc>
          <w:tcPr>
            <w:tcW w:w="469" w:type="pct"/>
            <w:tcBorders>
              <w:top w:val="nil"/>
              <w:left w:val="nil"/>
              <w:bottom w:val="single" w:color="auto" w:sz="4" w:space="0"/>
              <w:right w:val="single" w:color="auto" w:sz="4" w:space="0"/>
            </w:tcBorders>
            <w:shd w:val="clear" w:color="000000" w:fill="FFFFFF"/>
            <w:noWrap/>
            <w:vAlign w:val="center"/>
          </w:tcPr>
          <w:p w14:paraId="19473D83">
            <w:pPr>
              <w:widowControl/>
              <w:adjustRightInd/>
              <w:spacing w:line="240" w:lineRule="auto"/>
              <w:jc w:val="center"/>
              <w:textAlignment w:val="auto"/>
              <w:rPr>
                <w:szCs w:val="21"/>
              </w:rPr>
            </w:pPr>
            <w:r>
              <w:rPr>
                <w:rFonts w:hint="eastAsia"/>
                <w:szCs w:val="21"/>
              </w:rPr>
              <w:t>24</w:t>
            </w:r>
          </w:p>
        </w:tc>
        <w:tc>
          <w:tcPr>
            <w:tcW w:w="857" w:type="pct"/>
            <w:tcBorders>
              <w:top w:val="nil"/>
              <w:left w:val="nil"/>
              <w:bottom w:val="single" w:color="auto" w:sz="4" w:space="0"/>
              <w:right w:val="single" w:color="auto" w:sz="4" w:space="0"/>
            </w:tcBorders>
            <w:shd w:val="clear" w:color="000000" w:fill="FFFFFF"/>
            <w:noWrap/>
            <w:vAlign w:val="center"/>
          </w:tcPr>
          <w:p w14:paraId="5D0F7B4B">
            <w:pPr>
              <w:widowControl/>
              <w:adjustRightInd/>
              <w:spacing w:line="240" w:lineRule="auto"/>
              <w:jc w:val="center"/>
              <w:textAlignment w:val="auto"/>
              <w:rPr>
                <w:szCs w:val="21"/>
              </w:rPr>
            </w:pPr>
          </w:p>
        </w:tc>
      </w:tr>
      <w:tr w14:paraId="10382742">
        <w:tblPrEx>
          <w:tblCellMar>
            <w:top w:w="0" w:type="dxa"/>
            <w:left w:w="108" w:type="dxa"/>
            <w:bottom w:w="0" w:type="dxa"/>
            <w:right w:w="108" w:type="dxa"/>
          </w:tblCellMar>
        </w:tblPrEx>
        <w:trPr>
          <w:trHeight w:val="567"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4D0DEFE8">
            <w:pPr>
              <w:pStyle w:val="178"/>
              <w:widowControl/>
              <w:numPr>
                <w:ilvl w:val="0"/>
                <w:numId w:val="8"/>
              </w:numPr>
              <w:spacing w:line="240" w:lineRule="auto"/>
              <w:ind w:firstLineChars="0"/>
              <w:jc w:val="center"/>
              <w:rPr>
                <w:rFonts w:ascii="宋体" w:hAnsi="宋体" w:cs="Times New Roman"/>
                <w:kern w:val="0"/>
                <w:szCs w:val="24"/>
              </w:rPr>
            </w:pPr>
          </w:p>
        </w:tc>
        <w:tc>
          <w:tcPr>
            <w:tcW w:w="929" w:type="pct"/>
            <w:tcBorders>
              <w:top w:val="nil"/>
              <w:left w:val="nil"/>
              <w:bottom w:val="single" w:color="auto" w:sz="4" w:space="0"/>
              <w:right w:val="single" w:color="auto" w:sz="4" w:space="0"/>
            </w:tcBorders>
            <w:shd w:val="clear" w:color="000000" w:fill="FFFFFF"/>
            <w:noWrap/>
            <w:vAlign w:val="center"/>
          </w:tcPr>
          <w:p w14:paraId="2AB96BE0">
            <w:pPr>
              <w:widowControl/>
              <w:adjustRightInd/>
              <w:spacing w:line="240" w:lineRule="auto"/>
              <w:textAlignment w:val="auto"/>
              <w:rPr>
                <w:szCs w:val="21"/>
              </w:rPr>
            </w:pPr>
            <w:r>
              <w:rPr>
                <w:rFonts w:hint="eastAsia"/>
                <w:szCs w:val="21"/>
              </w:rPr>
              <w:t>铝合金防雨百叶</w:t>
            </w:r>
          </w:p>
        </w:tc>
        <w:tc>
          <w:tcPr>
            <w:tcW w:w="1878" w:type="pct"/>
            <w:tcBorders>
              <w:top w:val="nil"/>
              <w:left w:val="nil"/>
              <w:bottom w:val="single" w:color="auto" w:sz="4" w:space="0"/>
              <w:right w:val="single" w:color="auto" w:sz="4" w:space="0"/>
            </w:tcBorders>
            <w:shd w:val="clear" w:color="000000" w:fill="FFFFFF"/>
            <w:vAlign w:val="center"/>
          </w:tcPr>
          <w:p w14:paraId="266C4CFD">
            <w:pPr>
              <w:widowControl/>
              <w:adjustRightInd/>
              <w:spacing w:line="240" w:lineRule="auto"/>
              <w:textAlignment w:val="auto"/>
              <w:rPr>
                <w:szCs w:val="21"/>
              </w:rPr>
            </w:pPr>
            <w:r>
              <w:rPr>
                <w:rFonts w:hint="eastAsia"/>
                <w:szCs w:val="21"/>
              </w:rPr>
              <w:t>1200X600,带6×6mm不锈钢丝滤网</w:t>
            </w:r>
          </w:p>
        </w:tc>
        <w:tc>
          <w:tcPr>
            <w:tcW w:w="470" w:type="pct"/>
            <w:tcBorders>
              <w:top w:val="nil"/>
              <w:left w:val="nil"/>
              <w:bottom w:val="single" w:color="auto" w:sz="4" w:space="0"/>
              <w:right w:val="single" w:color="auto" w:sz="4" w:space="0"/>
            </w:tcBorders>
            <w:shd w:val="clear" w:color="000000" w:fill="FFFFFF"/>
            <w:noWrap/>
            <w:vAlign w:val="center"/>
          </w:tcPr>
          <w:p w14:paraId="23D24CDF">
            <w:pPr>
              <w:widowControl/>
              <w:adjustRightInd/>
              <w:spacing w:line="240" w:lineRule="auto"/>
              <w:jc w:val="center"/>
              <w:textAlignment w:val="auto"/>
              <w:rPr>
                <w:szCs w:val="21"/>
              </w:rPr>
            </w:pPr>
            <w:r>
              <w:rPr>
                <w:rFonts w:hint="eastAsia"/>
                <w:szCs w:val="21"/>
              </w:rPr>
              <w:t>个</w:t>
            </w:r>
          </w:p>
        </w:tc>
        <w:tc>
          <w:tcPr>
            <w:tcW w:w="469" w:type="pct"/>
            <w:tcBorders>
              <w:top w:val="nil"/>
              <w:left w:val="nil"/>
              <w:bottom w:val="single" w:color="auto" w:sz="4" w:space="0"/>
              <w:right w:val="single" w:color="auto" w:sz="4" w:space="0"/>
            </w:tcBorders>
            <w:shd w:val="clear" w:color="000000" w:fill="FFFFFF"/>
            <w:noWrap/>
            <w:vAlign w:val="center"/>
          </w:tcPr>
          <w:p w14:paraId="55DBBB03">
            <w:pPr>
              <w:widowControl/>
              <w:adjustRightInd/>
              <w:spacing w:line="240" w:lineRule="auto"/>
              <w:jc w:val="center"/>
              <w:textAlignment w:val="auto"/>
              <w:rPr>
                <w:szCs w:val="21"/>
              </w:rPr>
            </w:pPr>
            <w:r>
              <w:rPr>
                <w:rFonts w:hint="eastAsia"/>
                <w:szCs w:val="21"/>
              </w:rPr>
              <w:t>15</w:t>
            </w:r>
          </w:p>
        </w:tc>
        <w:tc>
          <w:tcPr>
            <w:tcW w:w="857" w:type="pct"/>
            <w:tcBorders>
              <w:top w:val="nil"/>
              <w:left w:val="nil"/>
              <w:bottom w:val="single" w:color="auto" w:sz="4" w:space="0"/>
              <w:right w:val="single" w:color="auto" w:sz="4" w:space="0"/>
            </w:tcBorders>
            <w:shd w:val="clear" w:color="000000" w:fill="FFFFFF"/>
            <w:noWrap/>
            <w:vAlign w:val="center"/>
          </w:tcPr>
          <w:p w14:paraId="69A23E2D">
            <w:pPr>
              <w:widowControl/>
              <w:adjustRightInd/>
              <w:spacing w:line="240" w:lineRule="auto"/>
              <w:jc w:val="center"/>
              <w:textAlignment w:val="auto"/>
              <w:rPr>
                <w:szCs w:val="21"/>
              </w:rPr>
            </w:pPr>
          </w:p>
        </w:tc>
      </w:tr>
      <w:tr w14:paraId="424712E9">
        <w:tblPrEx>
          <w:tblCellMar>
            <w:top w:w="0" w:type="dxa"/>
            <w:left w:w="108" w:type="dxa"/>
            <w:bottom w:w="0" w:type="dxa"/>
            <w:right w:w="108" w:type="dxa"/>
          </w:tblCellMar>
        </w:tblPrEx>
        <w:trPr>
          <w:trHeight w:val="567"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5546B976">
            <w:pPr>
              <w:pStyle w:val="178"/>
              <w:widowControl/>
              <w:numPr>
                <w:ilvl w:val="0"/>
                <w:numId w:val="8"/>
              </w:numPr>
              <w:spacing w:line="240" w:lineRule="auto"/>
              <w:ind w:firstLineChars="0"/>
              <w:jc w:val="center"/>
              <w:rPr>
                <w:rFonts w:ascii="宋体" w:hAnsi="宋体" w:cs="Times New Roman"/>
                <w:kern w:val="0"/>
                <w:szCs w:val="24"/>
              </w:rPr>
            </w:pPr>
          </w:p>
        </w:tc>
        <w:tc>
          <w:tcPr>
            <w:tcW w:w="929" w:type="pct"/>
            <w:tcBorders>
              <w:top w:val="nil"/>
              <w:left w:val="nil"/>
              <w:bottom w:val="single" w:color="auto" w:sz="4" w:space="0"/>
              <w:right w:val="single" w:color="auto" w:sz="4" w:space="0"/>
            </w:tcBorders>
            <w:shd w:val="clear" w:color="000000" w:fill="FFFFFF"/>
            <w:noWrap/>
            <w:vAlign w:val="center"/>
          </w:tcPr>
          <w:p w14:paraId="1545BD56">
            <w:pPr>
              <w:widowControl/>
              <w:adjustRightInd/>
              <w:spacing w:line="240" w:lineRule="auto"/>
              <w:textAlignment w:val="auto"/>
              <w:rPr>
                <w:szCs w:val="21"/>
              </w:rPr>
            </w:pPr>
            <w:r>
              <w:rPr>
                <w:rFonts w:hint="eastAsia"/>
                <w:szCs w:val="21"/>
              </w:rPr>
              <w:t>镀锌钢板风管</w:t>
            </w:r>
          </w:p>
        </w:tc>
        <w:tc>
          <w:tcPr>
            <w:tcW w:w="1878" w:type="pct"/>
            <w:tcBorders>
              <w:top w:val="nil"/>
              <w:left w:val="nil"/>
              <w:bottom w:val="single" w:color="auto" w:sz="4" w:space="0"/>
              <w:right w:val="single" w:color="auto" w:sz="4" w:space="0"/>
            </w:tcBorders>
            <w:shd w:val="clear" w:color="000000" w:fill="FFFFFF"/>
            <w:vAlign w:val="center"/>
          </w:tcPr>
          <w:p w14:paraId="2F7D3B13">
            <w:pPr>
              <w:widowControl/>
              <w:adjustRightInd/>
              <w:spacing w:line="240" w:lineRule="auto"/>
              <w:textAlignment w:val="auto"/>
              <w:rPr>
                <w:szCs w:val="21"/>
              </w:rPr>
            </w:pPr>
            <w:r>
              <w:rPr>
                <w:rFonts w:hint="eastAsia"/>
                <w:szCs w:val="21"/>
              </w:rPr>
              <w:t>δ=0.75mm</w:t>
            </w:r>
          </w:p>
        </w:tc>
        <w:tc>
          <w:tcPr>
            <w:tcW w:w="470" w:type="pct"/>
            <w:tcBorders>
              <w:top w:val="nil"/>
              <w:left w:val="nil"/>
              <w:bottom w:val="single" w:color="auto" w:sz="4" w:space="0"/>
              <w:right w:val="single" w:color="auto" w:sz="4" w:space="0"/>
            </w:tcBorders>
            <w:shd w:val="clear" w:color="000000" w:fill="FFFFFF"/>
            <w:noWrap/>
            <w:vAlign w:val="center"/>
          </w:tcPr>
          <w:p w14:paraId="72500F88">
            <w:pPr>
              <w:widowControl/>
              <w:adjustRightInd/>
              <w:spacing w:line="240" w:lineRule="auto"/>
              <w:jc w:val="center"/>
              <w:textAlignment w:val="auto"/>
              <w:rPr>
                <w:szCs w:val="21"/>
              </w:rPr>
            </w:pPr>
            <w:r>
              <w:rPr>
                <w:rFonts w:hint="eastAsia"/>
                <w:szCs w:val="21"/>
              </w:rPr>
              <w:t>m2</w:t>
            </w:r>
          </w:p>
        </w:tc>
        <w:tc>
          <w:tcPr>
            <w:tcW w:w="469" w:type="pct"/>
            <w:tcBorders>
              <w:top w:val="nil"/>
              <w:left w:val="nil"/>
              <w:bottom w:val="single" w:color="auto" w:sz="4" w:space="0"/>
              <w:right w:val="single" w:color="auto" w:sz="4" w:space="0"/>
            </w:tcBorders>
            <w:shd w:val="clear" w:color="000000" w:fill="FFFFFF"/>
            <w:noWrap/>
            <w:vAlign w:val="center"/>
          </w:tcPr>
          <w:p w14:paraId="0470C720">
            <w:pPr>
              <w:widowControl/>
              <w:adjustRightInd/>
              <w:spacing w:line="240" w:lineRule="auto"/>
              <w:jc w:val="center"/>
              <w:textAlignment w:val="auto"/>
              <w:rPr>
                <w:szCs w:val="21"/>
              </w:rPr>
            </w:pPr>
            <w:r>
              <w:rPr>
                <w:rFonts w:hint="eastAsia"/>
                <w:szCs w:val="21"/>
              </w:rPr>
              <w:t>250</w:t>
            </w:r>
          </w:p>
        </w:tc>
        <w:tc>
          <w:tcPr>
            <w:tcW w:w="857" w:type="pct"/>
            <w:tcBorders>
              <w:top w:val="nil"/>
              <w:left w:val="nil"/>
              <w:bottom w:val="single" w:color="auto" w:sz="4" w:space="0"/>
              <w:right w:val="single" w:color="auto" w:sz="4" w:space="0"/>
            </w:tcBorders>
            <w:shd w:val="clear" w:color="000000" w:fill="FFFFFF"/>
            <w:noWrap/>
            <w:vAlign w:val="center"/>
          </w:tcPr>
          <w:p w14:paraId="7593CDB2">
            <w:pPr>
              <w:widowControl/>
              <w:adjustRightInd/>
              <w:spacing w:line="240" w:lineRule="auto"/>
              <w:jc w:val="center"/>
              <w:textAlignment w:val="auto"/>
              <w:rPr>
                <w:szCs w:val="21"/>
              </w:rPr>
            </w:pPr>
          </w:p>
        </w:tc>
      </w:tr>
      <w:tr w14:paraId="2FD8CBB5">
        <w:tblPrEx>
          <w:tblCellMar>
            <w:top w:w="0" w:type="dxa"/>
            <w:left w:w="108" w:type="dxa"/>
            <w:bottom w:w="0" w:type="dxa"/>
            <w:right w:w="108" w:type="dxa"/>
          </w:tblCellMar>
        </w:tblPrEx>
        <w:trPr>
          <w:trHeight w:val="567"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3BAD4831">
            <w:pPr>
              <w:pStyle w:val="178"/>
              <w:widowControl/>
              <w:numPr>
                <w:ilvl w:val="0"/>
                <w:numId w:val="8"/>
              </w:numPr>
              <w:spacing w:line="240" w:lineRule="auto"/>
              <w:ind w:firstLineChars="0"/>
              <w:jc w:val="center"/>
              <w:rPr>
                <w:rFonts w:ascii="宋体" w:hAnsi="宋体" w:cs="Times New Roman"/>
                <w:kern w:val="0"/>
                <w:szCs w:val="24"/>
              </w:rPr>
            </w:pPr>
          </w:p>
        </w:tc>
        <w:tc>
          <w:tcPr>
            <w:tcW w:w="929" w:type="pct"/>
            <w:tcBorders>
              <w:top w:val="nil"/>
              <w:left w:val="nil"/>
              <w:bottom w:val="single" w:color="auto" w:sz="4" w:space="0"/>
              <w:right w:val="single" w:color="auto" w:sz="4" w:space="0"/>
            </w:tcBorders>
            <w:shd w:val="clear" w:color="000000" w:fill="FFFFFF"/>
            <w:noWrap/>
            <w:vAlign w:val="center"/>
          </w:tcPr>
          <w:p w14:paraId="01B74796">
            <w:pPr>
              <w:widowControl/>
              <w:adjustRightInd/>
              <w:spacing w:line="240" w:lineRule="auto"/>
              <w:textAlignment w:val="auto"/>
              <w:rPr>
                <w:szCs w:val="21"/>
              </w:rPr>
            </w:pPr>
            <w:r>
              <w:rPr>
                <w:rFonts w:hint="eastAsia"/>
                <w:szCs w:val="21"/>
              </w:rPr>
              <w:t>软连接</w:t>
            </w:r>
          </w:p>
        </w:tc>
        <w:tc>
          <w:tcPr>
            <w:tcW w:w="1878" w:type="pct"/>
            <w:tcBorders>
              <w:top w:val="nil"/>
              <w:left w:val="nil"/>
              <w:bottom w:val="single" w:color="auto" w:sz="4" w:space="0"/>
              <w:right w:val="single" w:color="auto" w:sz="4" w:space="0"/>
            </w:tcBorders>
            <w:shd w:val="clear" w:color="000000" w:fill="FFFFFF"/>
            <w:vAlign w:val="center"/>
          </w:tcPr>
          <w:p w14:paraId="6F41F96A">
            <w:pPr>
              <w:widowControl/>
              <w:adjustRightInd/>
              <w:spacing w:line="240" w:lineRule="auto"/>
              <w:textAlignment w:val="auto"/>
              <w:rPr>
                <w:szCs w:val="21"/>
              </w:rPr>
            </w:pPr>
            <w:r>
              <w:rPr>
                <w:rFonts w:hint="eastAsia"/>
                <w:szCs w:val="21"/>
              </w:rPr>
              <w:t>φ500</w:t>
            </w:r>
          </w:p>
        </w:tc>
        <w:tc>
          <w:tcPr>
            <w:tcW w:w="470" w:type="pct"/>
            <w:tcBorders>
              <w:top w:val="nil"/>
              <w:left w:val="nil"/>
              <w:bottom w:val="single" w:color="auto" w:sz="4" w:space="0"/>
              <w:right w:val="single" w:color="auto" w:sz="4" w:space="0"/>
            </w:tcBorders>
            <w:shd w:val="clear" w:color="000000" w:fill="FFFFFF"/>
            <w:noWrap/>
            <w:vAlign w:val="center"/>
          </w:tcPr>
          <w:p w14:paraId="510A52FE">
            <w:pPr>
              <w:widowControl/>
              <w:adjustRightInd/>
              <w:spacing w:line="240" w:lineRule="auto"/>
              <w:jc w:val="center"/>
              <w:textAlignment w:val="auto"/>
              <w:rPr>
                <w:szCs w:val="21"/>
              </w:rPr>
            </w:pPr>
            <w:r>
              <w:rPr>
                <w:rFonts w:hint="eastAsia"/>
                <w:szCs w:val="21"/>
              </w:rPr>
              <w:t>个</w:t>
            </w:r>
          </w:p>
        </w:tc>
        <w:tc>
          <w:tcPr>
            <w:tcW w:w="469" w:type="pct"/>
            <w:tcBorders>
              <w:top w:val="nil"/>
              <w:left w:val="nil"/>
              <w:bottom w:val="single" w:color="auto" w:sz="4" w:space="0"/>
              <w:right w:val="single" w:color="auto" w:sz="4" w:space="0"/>
            </w:tcBorders>
            <w:shd w:val="clear" w:color="000000" w:fill="FFFFFF"/>
            <w:noWrap/>
            <w:vAlign w:val="center"/>
          </w:tcPr>
          <w:p w14:paraId="141EB204">
            <w:pPr>
              <w:widowControl/>
              <w:adjustRightInd/>
              <w:spacing w:line="240" w:lineRule="auto"/>
              <w:jc w:val="center"/>
              <w:textAlignment w:val="auto"/>
              <w:rPr>
                <w:szCs w:val="21"/>
              </w:rPr>
            </w:pPr>
            <w:r>
              <w:rPr>
                <w:rFonts w:hint="eastAsia"/>
                <w:szCs w:val="21"/>
              </w:rPr>
              <w:t>1</w:t>
            </w:r>
            <w:r>
              <w:rPr>
                <w:szCs w:val="21"/>
              </w:rPr>
              <w:t>9</w:t>
            </w:r>
          </w:p>
        </w:tc>
        <w:tc>
          <w:tcPr>
            <w:tcW w:w="857" w:type="pct"/>
            <w:tcBorders>
              <w:top w:val="nil"/>
              <w:left w:val="nil"/>
              <w:bottom w:val="single" w:color="auto" w:sz="4" w:space="0"/>
              <w:right w:val="single" w:color="auto" w:sz="4" w:space="0"/>
            </w:tcBorders>
            <w:shd w:val="clear" w:color="000000" w:fill="FFFFFF"/>
            <w:noWrap/>
            <w:vAlign w:val="center"/>
          </w:tcPr>
          <w:p w14:paraId="78A011D3">
            <w:pPr>
              <w:widowControl/>
              <w:adjustRightInd/>
              <w:spacing w:line="240" w:lineRule="auto"/>
              <w:jc w:val="center"/>
              <w:textAlignment w:val="auto"/>
              <w:rPr>
                <w:szCs w:val="21"/>
              </w:rPr>
            </w:pPr>
          </w:p>
        </w:tc>
      </w:tr>
      <w:tr w14:paraId="00FF4138">
        <w:tblPrEx>
          <w:tblCellMar>
            <w:top w:w="0" w:type="dxa"/>
            <w:left w:w="108" w:type="dxa"/>
            <w:bottom w:w="0" w:type="dxa"/>
            <w:right w:w="108" w:type="dxa"/>
          </w:tblCellMar>
        </w:tblPrEx>
        <w:trPr>
          <w:trHeight w:val="567"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768059B8">
            <w:pPr>
              <w:pStyle w:val="178"/>
              <w:widowControl/>
              <w:numPr>
                <w:ilvl w:val="0"/>
                <w:numId w:val="8"/>
              </w:numPr>
              <w:spacing w:line="240" w:lineRule="auto"/>
              <w:ind w:firstLineChars="0"/>
              <w:jc w:val="center"/>
              <w:rPr>
                <w:rFonts w:ascii="宋体" w:hAnsi="宋体" w:cs="Times New Roman"/>
                <w:kern w:val="0"/>
                <w:szCs w:val="24"/>
              </w:rPr>
            </w:pPr>
          </w:p>
        </w:tc>
        <w:tc>
          <w:tcPr>
            <w:tcW w:w="929" w:type="pct"/>
            <w:tcBorders>
              <w:top w:val="nil"/>
              <w:left w:val="nil"/>
              <w:bottom w:val="single" w:color="auto" w:sz="4" w:space="0"/>
              <w:right w:val="single" w:color="auto" w:sz="4" w:space="0"/>
            </w:tcBorders>
            <w:shd w:val="clear" w:color="000000" w:fill="FFFFFF"/>
            <w:noWrap/>
            <w:vAlign w:val="center"/>
          </w:tcPr>
          <w:p w14:paraId="34FEE041">
            <w:pPr>
              <w:widowControl/>
              <w:adjustRightInd/>
              <w:spacing w:line="240" w:lineRule="auto"/>
              <w:textAlignment w:val="auto"/>
              <w:rPr>
                <w:szCs w:val="21"/>
              </w:rPr>
            </w:pPr>
            <w:r>
              <w:rPr>
                <w:rFonts w:hint="eastAsia"/>
                <w:szCs w:val="21"/>
              </w:rPr>
              <w:t>风机控制箱</w:t>
            </w:r>
          </w:p>
        </w:tc>
        <w:tc>
          <w:tcPr>
            <w:tcW w:w="1878" w:type="pct"/>
            <w:tcBorders>
              <w:top w:val="nil"/>
              <w:left w:val="nil"/>
              <w:bottom w:val="single" w:color="auto" w:sz="4" w:space="0"/>
              <w:right w:val="single" w:color="auto" w:sz="4" w:space="0"/>
            </w:tcBorders>
            <w:shd w:val="clear" w:color="000000" w:fill="FFFFFF"/>
            <w:vAlign w:val="center"/>
          </w:tcPr>
          <w:p w14:paraId="30EDF38F">
            <w:pPr>
              <w:widowControl/>
              <w:adjustRightInd/>
              <w:spacing w:line="240" w:lineRule="auto"/>
              <w:textAlignment w:val="auto"/>
              <w:rPr>
                <w:szCs w:val="21"/>
              </w:rPr>
            </w:pPr>
            <w:r>
              <w:rPr>
                <w:rFonts w:hint="eastAsia"/>
                <w:szCs w:val="21"/>
              </w:rPr>
              <w:t>普通型/温控型/SF6气体联动型等，带启/停按钮，电源/故障指示灯，材质304不锈钢</w:t>
            </w:r>
          </w:p>
        </w:tc>
        <w:tc>
          <w:tcPr>
            <w:tcW w:w="470" w:type="pct"/>
            <w:tcBorders>
              <w:top w:val="nil"/>
              <w:left w:val="nil"/>
              <w:bottom w:val="single" w:color="auto" w:sz="4" w:space="0"/>
              <w:right w:val="single" w:color="auto" w:sz="4" w:space="0"/>
            </w:tcBorders>
            <w:shd w:val="clear" w:color="000000" w:fill="FFFFFF"/>
            <w:noWrap/>
            <w:vAlign w:val="center"/>
          </w:tcPr>
          <w:p w14:paraId="33A5758A">
            <w:pPr>
              <w:widowControl/>
              <w:adjustRightInd/>
              <w:spacing w:line="240" w:lineRule="auto"/>
              <w:jc w:val="center"/>
              <w:textAlignment w:val="auto"/>
              <w:rPr>
                <w:szCs w:val="21"/>
              </w:rPr>
            </w:pPr>
            <w:r>
              <w:rPr>
                <w:rFonts w:hint="eastAsia"/>
                <w:szCs w:val="21"/>
              </w:rPr>
              <w:t>个</w:t>
            </w:r>
          </w:p>
        </w:tc>
        <w:tc>
          <w:tcPr>
            <w:tcW w:w="469" w:type="pct"/>
            <w:tcBorders>
              <w:top w:val="nil"/>
              <w:left w:val="nil"/>
              <w:bottom w:val="single" w:color="auto" w:sz="4" w:space="0"/>
              <w:right w:val="single" w:color="auto" w:sz="4" w:space="0"/>
            </w:tcBorders>
            <w:shd w:val="clear" w:color="000000" w:fill="FFFFFF"/>
            <w:noWrap/>
            <w:vAlign w:val="center"/>
          </w:tcPr>
          <w:p w14:paraId="6D9AF8A3">
            <w:pPr>
              <w:widowControl/>
              <w:adjustRightInd/>
              <w:spacing w:line="240" w:lineRule="auto"/>
              <w:jc w:val="center"/>
              <w:textAlignment w:val="auto"/>
              <w:rPr>
                <w:szCs w:val="21"/>
              </w:rPr>
            </w:pPr>
            <w:r>
              <w:rPr>
                <w:rFonts w:hint="eastAsia"/>
                <w:szCs w:val="21"/>
              </w:rPr>
              <w:t>4</w:t>
            </w:r>
          </w:p>
        </w:tc>
        <w:tc>
          <w:tcPr>
            <w:tcW w:w="857" w:type="pct"/>
            <w:tcBorders>
              <w:top w:val="nil"/>
              <w:left w:val="nil"/>
              <w:bottom w:val="single" w:color="auto" w:sz="4" w:space="0"/>
              <w:right w:val="single" w:color="auto" w:sz="4" w:space="0"/>
            </w:tcBorders>
            <w:shd w:val="clear" w:color="000000" w:fill="FFFFFF"/>
            <w:noWrap/>
            <w:vAlign w:val="center"/>
          </w:tcPr>
          <w:p w14:paraId="6D416652">
            <w:pPr>
              <w:widowControl/>
              <w:adjustRightInd/>
              <w:spacing w:line="240" w:lineRule="auto"/>
              <w:jc w:val="center"/>
              <w:textAlignment w:val="auto"/>
              <w:rPr>
                <w:szCs w:val="21"/>
              </w:rPr>
            </w:pPr>
          </w:p>
        </w:tc>
      </w:tr>
      <w:tr w14:paraId="79521535">
        <w:tblPrEx>
          <w:tblCellMar>
            <w:top w:w="0" w:type="dxa"/>
            <w:left w:w="108" w:type="dxa"/>
            <w:bottom w:w="0" w:type="dxa"/>
            <w:right w:w="108" w:type="dxa"/>
          </w:tblCellMar>
        </w:tblPrEx>
        <w:trPr>
          <w:trHeight w:val="567"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19D8B915">
            <w:pPr>
              <w:pStyle w:val="178"/>
              <w:widowControl/>
              <w:numPr>
                <w:ilvl w:val="0"/>
                <w:numId w:val="8"/>
              </w:numPr>
              <w:spacing w:line="240" w:lineRule="auto"/>
              <w:ind w:firstLineChars="0"/>
              <w:jc w:val="center"/>
              <w:rPr>
                <w:rFonts w:ascii="宋体" w:hAnsi="宋体" w:cs="Times New Roman"/>
                <w:kern w:val="0"/>
                <w:szCs w:val="24"/>
              </w:rPr>
            </w:pPr>
          </w:p>
        </w:tc>
        <w:tc>
          <w:tcPr>
            <w:tcW w:w="929" w:type="pct"/>
            <w:tcBorders>
              <w:top w:val="nil"/>
              <w:left w:val="nil"/>
              <w:bottom w:val="single" w:color="auto" w:sz="4" w:space="0"/>
              <w:right w:val="single" w:color="auto" w:sz="4" w:space="0"/>
            </w:tcBorders>
            <w:shd w:val="clear" w:color="000000" w:fill="FFFFFF"/>
            <w:noWrap/>
            <w:vAlign w:val="center"/>
          </w:tcPr>
          <w:p w14:paraId="2A410ABC">
            <w:pPr>
              <w:widowControl/>
              <w:adjustRightInd/>
              <w:spacing w:line="240" w:lineRule="auto"/>
              <w:textAlignment w:val="auto"/>
              <w:rPr>
                <w:szCs w:val="21"/>
              </w:rPr>
            </w:pPr>
            <w:r>
              <w:rPr>
                <w:rFonts w:hint="eastAsia"/>
                <w:szCs w:val="21"/>
              </w:rPr>
              <w:t>室外风机控制箱防雨罩</w:t>
            </w:r>
          </w:p>
        </w:tc>
        <w:tc>
          <w:tcPr>
            <w:tcW w:w="1878" w:type="pct"/>
            <w:tcBorders>
              <w:top w:val="nil"/>
              <w:left w:val="nil"/>
              <w:bottom w:val="single" w:color="auto" w:sz="4" w:space="0"/>
              <w:right w:val="single" w:color="auto" w:sz="4" w:space="0"/>
            </w:tcBorders>
            <w:shd w:val="clear" w:color="000000" w:fill="FFFFFF"/>
            <w:vAlign w:val="center"/>
          </w:tcPr>
          <w:p w14:paraId="1C45994D">
            <w:pPr>
              <w:widowControl/>
              <w:adjustRightInd/>
              <w:spacing w:line="240" w:lineRule="auto"/>
              <w:textAlignment w:val="auto"/>
              <w:rPr>
                <w:szCs w:val="21"/>
              </w:rPr>
            </w:pPr>
            <w:r>
              <w:rPr>
                <w:rFonts w:hint="eastAsia"/>
                <w:szCs w:val="21"/>
              </w:rPr>
              <w:t>不锈钢，尺寸根据室外风机控制箱确定</w:t>
            </w:r>
          </w:p>
        </w:tc>
        <w:tc>
          <w:tcPr>
            <w:tcW w:w="470" w:type="pct"/>
            <w:tcBorders>
              <w:top w:val="nil"/>
              <w:left w:val="nil"/>
              <w:bottom w:val="single" w:color="auto" w:sz="4" w:space="0"/>
              <w:right w:val="single" w:color="auto" w:sz="4" w:space="0"/>
            </w:tcBorders>
            <w:shd w:val="clear" w:color="000000" w:fill="FFFFFF"/>
            <w:noWrap/>
            <w:vAlign w:val="center"/>
          </w:tcPr>
          <w:p w14:paraId="3516F1FF">
            <w:pPr>
              <w:widowControl/>
              <w:adjustRightInd/>
              <w:spacing w:line="240" w:lineRule="auto"/>
              <w:jc w:val="center"/>
              <w:textAlignment w:val="auto"/>
              <w:rPr>
                <w:szCs w:val="21"/>
              </w:rPr>
            </w:pPr>
            <w:r>
              <w:rPr>
                <w:rFonts w:hint="eastAsia"/>
                <w:szCs w:val="21"/>
              </w:rPr>
              <w:t>个</w:t>
            </w:r>
          </w:p>
        </w:tc>
        <w:tc>
          <w:tcPr>
            <w:tcW w:w="469" w:type="pct"/>
            <w:tcBorders>
              <w:top w:val="nil"/>
              <w:left w:val="nil"/>
              <w:bottom w:val="single" w:color="auto" w:sz="4" w:space="0"/>
              <w:right w:val="single" w:color="auto" w:sz="4" w:space="0"/>
            </w:tcBorders>
            <w:shd w:val="clear" w:color="000000" w:fill="FFFFFF"/>
            <w:noWrap/>
            <w:vAlign w:val="center"/>
          </w:tcPr>
          <w:p w14:paraId="4C4E8101">
            <w:pPr>
              <w:widowControl/>
              <w:adjustRightInd/>
              <w:spacing w:line="240" w:lineRule="auto"/>
              <w:jc w:val="center"/>
              <w:textAlignment w:val="auto"/>
              <w:rPr>
                <w:szCs w:val="21"/>
              </w:rPr>
            </w:pPr>
            <w:r>
              <w:rPr>
                <w:rFonts w:hint="eastAsia"/>
                <w:szCs w:val="21"/>
              </w:rPr>
              <w:t>5</w:t>
            </w:r>
          </w:p>
        </w:tc>
        <w:tc>
          <w:tcPr>
            <w:tcW w:w="857" w:type="pct"/>
            <w:tcBorders>
              <w:top w:val="nil"/>
              <w:left w:val="nil"/>
              <w:bottom w:val="single" w:color="auto" w:sz="4" w:space="0"/>
              <w:right w:val="single" w:color="auto" w:sz="4" w:space="0"/>
            </w:tcBorders>
            <w:shd w:val="clear" w:color="000000" w:fill="FFFFFF"/>
            <w:noWrap/>
            <w:vAlign w:val="center"/>
          </w:tcPr>
          <w:p w14:paraId="7AB7D422">
            <w:pPr>
              <w:widowControl/>
              <w:adjustRightInd/>
              <w:spacing w:line="240" w:lineRule="auto"/>
              <w:jc w:val="center"/>
              <w:textAlignment w:val="auto"/>
              <w:rPr>
                <w:szCs w:val="21"/>
              </w:rPr>
            </w:pPr>
          </w:p>
        </w:tc>
      </w:tr>
    </w:tbl>
    <w:p w14:paraId="459E1A57">
      <w:pPr>
        <w:snapToGrid w:val="0"/>
        <w:spacing w:line="440" w:lineRule="atLeast"/>
        <w:rPr>
          <w:rFonts w:eastAsiaTheme="minorEastAsia"/>
          <w:b/>
          <w:color w:val="000000" w:themeColor="text1"/>
          <w:sz w:val="24"/>
          <w:szCs w:val="24"/>
          <w14:textFill>
            <w14:solidFill>
              <w14:schemeClr w14:val="tx1"/>
            </w14:solidFill>
          </w14:textFill>
        </w:rPr>
      </w:pPr>
    </w:p>
    <w:p w14:paraId="5D65561E">
      <w:pPr>
        <w:snapToGrid w:val="0"/>
        <w:spacing w:line="440" w:lineRule="atLeast"/>
        <w:outlineLvl w:val="1"/>
        <w:rPr>
          <w:rFonts w:eastAsiaTheme="minorEastAsia"/>
          <w:b/>
          <w:color w:val="000000" w:themeColor="text1"/>
          <w:sz w:val="24"/>
          <w:szCs w:val="24"/>
          <w14:textFill>
            <w14:solidFill>
              <w14:schemeClr w14:val="tx1"/>
            </w14:solidFill>
          </w14:textFill>
        </w:rPr>
      </w:pPr>
      <w:bookmarkStart w:id="26" w:name="_Toc57984065"/>
      <w:bookmarkStart w:id="27" w:name="_Toc220074656"/>
      <w:r>
        <w:rPr>
          <w:rFonts w:hint="eastAsia" w:eastAsiaTheme="minorEastAsia"/>
          <w:b/>
          <w:color w:val="000000" w:themeColor="text1"/>
          <w:sz w:val="24"/>
          <w:szCs w:val="24"/>
          <w14:textFill>
            <w14:solidFill>
              <w14:schemeClr w14:val="tx1"/>
            </w14:solidFill>
          </w14:textFill>
        </w:rPr>
        <w:t>表</w:t>
      </w:r>
      <w:r>
        <w:rPr>
          <w:rFonts w:eastAsiaTheme="minorEastAsia"/>
          <w:b/>
          <w:color w:val="000000" w:themeColor="text1"/>
          <w:sz w:val="24"/>
          <w:szCs w:val="24"/>
          <w14:textFill>
            <w14:solidFill>
              <w14:schemeClr w14:val="tx1"/>
            </w14:solidFill>
          </w14:textFill>
        </w:rPr>
        <w:t xml:space="preserve">1-4           </w:t>
      </w:r>
      <w:bookmarkEnd w:id="26"/>
      <w:r>
        <w:rPr>
          <w:rFonts w:eastAsiaTheme="minorEastAsia"/>
          <w:b/>
          <w:color w:val="000000" w:themeColor="text1"/>
          <w:sz w:val="24"/>
          <w:szCs w:val="24"/>
          <w14:textFill>
            <w14:solidFill>
              <w14:schemeClr w14:val="tx1"/>
            </w14:solidFill>
          </w14:textFill>
        </w:rPr>
        <w:t xml:space="preserve">  </w:t>
      </w:r>
      <w:r>
        <w:rPr>
          <w:rFonts w:hint="eastAsia" w:eastAsiaTheme="minorEastAsia"/>
          <w:b/>
          <w:color w:val="000000" w:themeColor="text1"/>
          <w:sz w:val="24"/>
          <w:szCs w:val="24"/>
          <w14:textFill>
            <w14:solidFill>
              <w14:schemeClr w14:val="tx1"/>
            </w14:solidFill>
          </w14:textFill>
        </w:rPr>
        <w:t>专用品仓库通风空调系统设备规格及数量表</w:t>
      </w:r>
      <w:bookmarkEnd w:id="27"/>
    </w:p>
    <w:tbl>
      <w:tblPr>
        <w:tblStyle w:val="41"/>
        <w:tblW w:w="5000" w:type="pct"/>
        <w:tblInd w:w="0" w:type="dxa"/>
        <w:tblLayout w:type="fixed"/>
        <w:tblCellMar>
          <w:top w:w="0" w:type="dxa"/>
          <w:left w:w="108" w:type="dxa"/>
          <w:bottom w:w="0" w:type="dxa"/>
          <w:right w:w="108" w:type="dxa"/>
        </w:tblCellMar>
      </w:tblPr>
      <w:tblGrid>
        <w:gridCol w:w="738"/>
        <w:gridCol w:w="1729"/>
        <w:gridCol w:w="4281"/>
        <w:gridCol w:w="600"/>
        <w:gridCol w:w="639"/>
        <w:gridCol w:w="1301"/>
      </w:tblGrid>
      <w:tr w14:paraId="672E51EF">
        <w:tblPrEx>
          <w:tblCellMar>
            <w:top w:w="0" w:type="dxa"/>
            <w:left w:w="108" w:type="dxa"/>
            <w:bottom w:w="0" w:type="dxa"/>
            <w:right w:w="108" w:type="dxa"/>
          </w:tblCellMar>
        </w:tblPrEx>
        <w:trPr>
          <w:trHeight w:val="499" w:hRule="atLeast"/>
          <w:tblHeader/>
        </w:trPr>
        <w:tc>
          <w:tcPr>
            <w:tcW w:w="397"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13A5A6ED">
            <w:pPr>
              <w:widowControl/>
              <w:adjustRightInd/>
              <w:spacing w:line="240" w:lineRule="auto"/>
              <w:jc w:val="center"/>
              <w:textAlignment w:val="auto"/>
              <w:rPr>
                <w:b/>
                <w:sz w:val="24"/>
                <w:szCs w:val="24"/>
              </w:rPr>
            </w:pPr>
            <w:r>
              <w:rPr>
                <w:rFonts w:hint="eastAsia"/>
                <w:b/>
                <w:bCs/>
                <w:color w:val="000000"/>
              </w:rPr>
              <w:t>序号</w:t>
            </w:r>
          </w:p>
        </w:tc>
        <w:tc>
          <w:tcPr>
            <w:tcW w:w="931" w:type="pct"/>
            <w:tcBorders>
              <w:top w:val="single" w:color="auto" w:sz="4" w:space="0"/>
              <w:left w:val="nil"/>
              <w:bottom w:val="single" w:color="auto" w:sz="4" w:space="0"/>
              <w:right w:val="single" w:color="auto" w:sz="4" w:space="0"/>
            </w:tcBorders>
            <w:shd w:val="clear" w:color="000000" w:fill="FFFFFF"/>
            <w:noWrap/>
            <w:vAlign w:val="center"/>
          </w:tcPr>
          <w:p w14:paraId="55018666">
            <w:pPr>
              <w:widowControl/>
              <w:adjustRightInd/>
              <w:spacing w:line="240" w:lineRule="auto"/>
              <w:jc w:val="center"/>
              <w:textAlignment w:val="auto"/>
              <w:rPr>
                <w:b/>
                <w:sz w:val="24"/>
                <w:szCs w:val="24"/>
              </w:rPr>
            </w:pPr>
            <w:r>
              <w:rPr>
                <w:rFonts w:hint="eastAsia"/>
                <w:b/>
                <w:bCs/>
                <w:color w:val="000000"/>
              </w:rPr>
              <w:t>设备材料名称</w:t>
            </w:r>
          </w:p>
        </w:tc>
        <w:tc>
          <w:tcPr>
            <w:tcW w:w="2305" w:type="pct"/>
            <w:tcBorders>
              <w:top w:val="single" w:color="auto" w:sz="4" w:space="0"/>
              <w:left w:val="nil"/>
              <w:bottom w:val="single" w:color="auto" w:sz="4" w:space="0"/>
              <w:right w:val="single" w:color="auto" w:sz="4" w:space="0"/>
            </w:tcBorders>
            <w:shd w:val="clear" w:color="000000" w:fill="FFFFFF"/>
            <w:vAlign w:val="center"/>
          </w:tcPr>
          <w:p w14:paraId="368DC8A7">
            <w:pPr>
              <w:widowControl/>
              <w:adjustRightInd/>
              <w:spacing w:line="240" w:lineRule="auto"/>
              <w:jc w:val="center"/>
              <w:textAlignment w:val="auto"/>
              <w:rPr>
                <w:b/>
                <w:sz w:val="24"/>
                <w:szCs w:val="24"/>
              </w:rPr>
            </w:pPr>
            <w:r>
              <w:rPr>
                <w:rFonts w:hint="eastAsia"/>
                <w:b/>
                <w:bCs/>
                <w:color w:val="000000"/>
              </w:rPr>
              <w:t>设备材料规格</w:t>
            </w:r>
          </w:p>
        </w:tc>
        <w:tc>
          <w:tcPr>
            <w:tcW w:w="323" w:type="pct"/>
            <w:tcBorders>
              <w:top w:val="single" w:color="auto" w:sz="4" w:space="0"/>
              <w:left w:val="nil"/>
              <w:bottom w:val="single" w:color="auto" w:sz="4" w:space="0"/>
              <w:right w:val="single" w:color="auto" w:sz="4" w:space="0"/>
            </w:tcBorders>
            <w:shd w:val="clear" w:color="000000" w:fill="FFFFFF"/>
            <w:noWrap/>
            <w:vAlign w:val="center"/>
          </w:tcPr>
          <w:p w14:paraId="78578116">
            <w:pPr>
              <w:widowControl/>
              <w:adjustRightInd/>
              <w:spacing w:line="240" w:lineRule="auto"/>
              <w:jc w:val="center"/>
              <w:textAlignment w:val="auto"/>
              <w:rPr>
                <w:b/>
                <w:sz w:val="24"/>
                <w:szCs w:val="24"/>
              </w:rPr>
            </w:pPr>
            <w:r>
              <w:rPr>
                <w:rFonts w:hint="eastAsia"/>
                <w:b/>
                <w:bCs/>
                <w:color w:val="000000"/>
              </w:rPr>
              <w:t>单位</w:t>
            </w:r>
          </w:p>
        </w:tc>
        <w:tc>
          <w:tcPr>
            <w:tcW w:w="344" w:type="pct"/>
            <w:tcBorders>
              <w:top w:val="single" w:color="auto" w:sz="4" w:space="0"/>
              <w:left w:val="nil"/>
              <w:bottom w:val="single" w:color="auto" w:sz="4" w:space="0"/>
              <w:right w:val="single" w:color="auto" w:sz="4" w:space="0"/>
            </w:tcBorders>
            <w:shd w:val="clear" w:color="000000" w:fill="FFFFFF"/>
            <w:noWrap/>
            <w:vAlign w:val="center"/>
          </w:tcPr>
          <w:p w14:paraId="500021B3">
            <w:pPr>
              <w:widowControl/>
              <w:adjustRightInd/>
              <w:spacing w:line="240" w:lineRule="auto"/>
              <w:jc w:val="center"/>
              <w:textAlignment w:val="auto"/>
              <w:rPr>
                <w:b/>
                <w:sz w:val="24"/>
                <w:szCs w:val="24"/>
              </w:rPr>
            </w:pPr>
            <w:r>
              <w:rPr>
                <w:rFonts w:hint="eastAsia"/>
                <w:b/>
                <w:bCs/>
                <w:color w:val="000000"/>
              </w:rPr>
              <w:t>数量</w:t>
            </w:r>
          </w:p>
        </w:tc>
        <w:tc>
          <w:tcPr>
            <w:tcW w:w="700" w:type="pct"/>
            <w:tcBorders>
              <w:top w:val="single" w:color="auto" w:sz="4" w:space="0"/>
              <w:left w:val="nil"/>
              <w:bottom w:val="single" w:color="auto" w:sz="4" w:space="0"/>
              <w:right w:val="single" w:color="auto" w:sz="4" w:space="0"/>
            </w:tcBorders>
            <w:shd w:val="clear" w:color="000000" w:fill="FFFFFF"/>
            <w:noWrap/>
            <w:vAlign w:val="center"/>
          </w:tcPr>
          <w:p w14:paraId="3019C1D8">
            <w:pPr>
              <w:widowControl/>
              <w:adjustRightInd/>
              <w:spacing w:line="240" w:lineRule="auto"/>
              <w:jc w:val="center"/>
              <w:textAlignment w:val="auto"/>
              <w:rPr>
                <w:b/>
                <w:sz w:val="24"/>
                <w:szCs w:val="24"/>
              </w:rPr>
            </w:pPr>
            <w:r>
              <w:rPr>
                <w:rFonts w:hint="eastAsia"/>
                <w:b/>
                <w:bCs/>
                <w:color w:val="000000"/>
              </w:rPr>
              <w:t>备注</w:t>
            </w:r>
          </w:p>
        </w:tc>
      </w:tr>
      <w:tr w14:paraId="33FDB403">
        <w:tblPrEx>
          <w:tblCellMar>
            <w:top w:w="0" w:type="dxa"/>
            <w:left w:w="108" w:type="dxa"/>
            <w:bottom w:w="0" w:type="dxa"/>
            <w:right w:w="108" w:type="dxa"/>
          </w:tblCellMar>
        </w:tblPrEx>
        <w:trPr>
          <w:trHeight w:val="499"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2499A1AE">
            <w:pPr>
              <w:pStyle w:val="178"/>
              <w:widowControl/>
              <w:numPr>
                <w:ilvl w:val="0"/>
                <w:numId w:val="9"/>
              </w:numPr>
              <w:spacing w:line="240" w:lineRule="auto"/>
              <w:ind w:firstLineChars="0"/>
              <w:jc w:val="center"/>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34DC4CAE">
            <w:pPr>
              <w:widowControl/>
              <w:adjustRightInd/>
              <w:spacing w:line="240" w:lineRule="auto"/>
              <w:jc w:val="left"/>
              <w:textAlignment w:val="auto"/>
              <w:rPr>
                <w:rFonts w:ascii="宋体" w:hAnsi="宋体"/>
                <w:szCs w:val="21"/>
              </w:rPr>
            </w:pPr>
            <w:r>
              <w:rPr>
                <w:rFonts w:hint="eastAsia"/>
                <w:szCs w:val="21"/>
              </w:rPr>
              <w:t>防爆壁挂式分体空调</w:t>
            </w:r>
          </w:p>
        </w:tc>
        <w:tc>
          <w:tcPr>
            <w:tcW w:w="2305" w:type="pct"/>
            <w:tcBorders>
              <w:top w:val="nil"/>
              <w:left w:val="nil"/>
              <w:bottom w:val="single" w:color="auto" w:sz="4" w:space="0"/>
              <w:right w:val="single" w:color="auto" w:sz="4" w:space="0"/>
            </w:tcBorders>
            <w:shd w:val="clear" w:color="000000" w:fill="FFFFFF"/>
            <w:vAlign w:val="center"/>
          </w:tcPr>
          <w:p w14:paraId="02767918">
            <w:pPr>
              <w:widowControl/>
              <w:adjustRightInd/>
              <w:spacing w:line="240" w:lineRule="auto"/>
              <w:jc w:val="left"/>
              <w:textAlignment w:val="auto"/>
              <w:rPr>
                <w:rFonts w:ascii="宋体" w:hAnsi="宋体"/>
                <w:szCs w:val="21"/>
              </w:rPr>
            </w:pPr>
            <w:r>
              <w:rPr>
                <w:rFonts w:hint="eastAsia"/>
                <w:szCs w:val="21"/>
              </w:rPr>
              <w:t>制冷量：5.0kW，制热量：5.6kW，制冷功率：2.35kW/220V，制热功率：2.65kW/220V,能效等级不低于2级,变频，来电自启动，带记忆功能，采用环保冷媒；带远控端子，带</w:t>
            </w:r>
            <w:r>
              <w:rPr>
                <w:color w:val="000000"/>
                <w:szCs w:val="21"/>
              </w:rPr>
              <w:t>RS485</w:t>
            </w:r>
            <w:r>
              <w:rPr>
                <w:rFonts w:hint="eastAsia"/>
                <w:color w:val="000000"/>
                <w:szCs w:val="21"/>
              </w:rPr>
              <w:t>接口（通信规约：</w:t>
            </w:r>
            <w:r>
              <w:rPr>
                <w:color w:val="000000"/>
                <w:szCs w:val="21"/>
              </w:rPr>
              <w:t>MODBUS</w:t>
            </w:r>
            <w:r>
              <w:rPr>
                <w:rFonts w:hint="eastAsia"/>
                <w:color w:val="000000"/>
                <w:szCs w:val="21"/>
              </w:rPr>
              <w:t>）或网口接口（通信规约：</w:t>
            </w:r>
            <w:r>
              <w:rPr>
                <w:color w:val="000000"/>
                <w:szCs w:val="21"/>
              </w:rPr>
              <w:t>IEC-61850</w:t>
            </w:r>
            <w:r>
              <w:rPr>
                <w:rFonts w:hint="eastAsia"/>
                <w:color w:val="000000"/>
                <w:szCs w:val="21"/>
              </w:rPr>
              <w:t>）</w:t>
            </w:r>
            <w:r>
              <w:rPr>
                <w:color w:val="000000"/>
                <w:szCs w:val="21"/>
              </w:rPr>
              <w:t>,</w:t>
            </w:r>
            <w:r>
              <w:rPr>
                <w:rFonts w:hint="eastAsia"/>
                <w:color w:val="000000"/>
                <w:szCs w:val="21"/>
              </w:rPr>
              <w:t>所有外漏冷媒管采用成品槽盒外包，</w:t>
            </w:r>
            <w:r>
              <w:rPr>
                <w:rFonts w:hint="eastAsia"/>
                <w:szCs w:val="21"/>
              </w:rPr>
              <w:t>防爆等级Ex(d)IICT1</w:t>
            </w:r>
          </w:p>
        </w:tc>
        <w:tc>
          <w:tcPr>
            <w:tcW w:w="323" w:type="pct"/>
            <w:tcBorders>
              <w:top w:val="nil"/>
              <w:left w:val="nil"/>
              <w:bottom w:val="single" w:color="auto" w:sz="4" w:space="0"/>
              <w:right w:val="single" w:color="auto" w:sz="4" w:space="0"/>
            </w:tcBorders>
            <w:shd w:val="clear" w:color="000000" w:fill="FFFFFF"/>
            <w:noWrap/>
            <w:vAlign w:val="center"/>
          </w:tcPr>
          <w:p w14:paraId="161044F2">
            <w:pPr>
              <w:widowControl/>
              <w:adjustRightInd/>
              <w:spacing w:line="240" w:lineRule="auto"/>
              <w:jc w:val="center"/>
              <w:textAlignment w:val="auto"/>
              <w:rPr>
                <w:rFonts w:ascii="宋体" w:hAnsi="宋体"/>
                <w:szCs w:val="21"/>
              </w:rPr>
            </w:pPr>
            <w:r>
              <w:rPr>
                <w:rFonts w:hint="eastAsia"/>
                <w:szCs w:val="21"/>
              </w:rPr>
              <w:t>台</w:t>
            </w:r>
          </w:p>
        </w:tc>
        <w:tc>
          <w:tcPr>
            <w:tcW w:w="344" w:type="pct"/>
            <w:tcBorders>
              <w:top w:val="nil"/>
              <w:left w:val="nil"/>
              <w:bottom w:val="single" w:color="auto" w:sz="4" w:space="0"/>
              <w:right w:val="single" w:color="auto" w:sz="4" w:space="0"/>
            </w:tcBorders>
            <w:shd w:val="clear" w:color="000000" w:fill="FFFFFF"/>
            <w:noWrap/>
            <w:vAlign w:val="center"/>
          </w:tcPr>
          <w:p w14:paraId="0931A660">
            <w:pPr>
              <w:widowControl/>
              <w:adjustRightInd/>
              <w:spacing w:line="240" w:lineRule="auto"/>
              <w:jc w:val="center"/>
              <w:textAlignment w:val="auto"/>
              <w:rPr>
                <w:rFonts w:ascii="宋体" w:hAnsi="宋体"/>
                <w:szCs w:val="21"/>
              </w:rPr>
            </w:pPr>
            <w:r>
              <w:rPr>
                <w:rFonts w:hint="eastAsia"/>
                <w:szCs w:val="21"/>
              </w:rPr>
              <w:t>2</w:t>
            </w:r>
          </w:p>
        </w:tc>
        <w:tc>
          <w:tcPr>
            <w:tcW w:w="700" w:type="pct"/>
            <w:tcBorders>
              <w:top w:val="nil"/>
              <w:left w:val="nil"/>
              <w:bottom w:val="single" w:color="auto" w:sz="4" w:space="0"/>
              <w:right w:val="single" w:color="auto" w:sz="4" w:space="0"/>
            </w:tcBorders>
            <w:shd w:val="clear" w:color="000000" w:fill="FFFFFF"/>
            <w:noWrap/>
            <w:vAlign w:val="center"/>
          </w:tcPr>
          <w:p w14:paraId="50C86CAB">
            <w:pPr>
              <w:widowControl/>
              <w:adjustRightInd/>
              <w:spacing w:line="240" w:lineRule="auto"/>
              <w:jc w:val="center"/>
              <w:textAlignment w:val="auto"/>
              <w:rPr>
                <w:rFonts w:ascii="宋体" w:hAnsi="宋体"/>
                <w:szCs w:val="21"/>
              </w:rPr>
            </w:pPr>
            <w:r>
              <w:rPr>
                <w:rFonts w:hint="eastAsia"/>
                <w:szCs w:val="21"/>
              </w:rPr>
              <w:t>　</w:t>
            </w:r>
          </w:p>
        </w:tc>
      </w:tr>
      <w:tr w14:paraId="2A4F7496">
        <w:tblPrEx>
          <w:tblCellMar>
            <w:top w:w="0" w:type="dxa"/>
            <w:left w:w="108" w:type="dxa"/>
            <w:bottom w:w="0" w:type="dxa"/>
            <w:right w:w="108" w:type="dxa"/>
          </w:tblCellMar>
        </w:tblPrEx>
        <w:trPr>
          <w:trHeight w:val="499"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26EFB367">
            <w:pPr>
              <w:pStyle w:val="178"/>
              <w:widowControl/>
              <w:numPr>
                <w:ilvl w:val="0"/>
                <w:numId w:val="9"/>
              </w:numPr>
              <w:spacing w:line="240" w:lineRule="auto"/>
              <w:ind w:firstLineChars="0"/>
              <w:jc w:val="center"/>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54C247DD">
            <w:pPr>
              <w:widowControl/>
              <w:adjustRightInd/>
              <w:spacing w:line="240" w:lineRule="auto"/>
              <w:jc w:val="left"/>
              <w:textAlignment w:val="auto"/>
              <w:rPr>
                <w:rFonts w:ascii="宋体" w:hAnsi="宋体"/>
                <w:szCs w:val="21"/>
              </w:rPr>
            </w:pPr>
            <w:r>
              <w:rPr>
                <w:rFonts w:hint="eastAsia"/>
                <w:szCs w:val="21"/>
              </w:rPr>
              <w:t>防爆钢制低噪声轴流风机</w:t>
            </w:r>
          </w:p>
        </w:tc>
        <w:tc>
          <w:tcPr>
            <w:tcW w:w="2305" w:type="pct"/>
            <w:tcBorders>
              <w:top w:val="nil"/>
              <w:left w:val="nil"/>
              <w:bottom w:val="single" w:color="auto" w:sz="4" w:space="0"/>
              <w:right w:val="single" w:color="auto" w:sz="4" w:space="0"/>
            </w:tcBorders>
            <w:shd w:val="clear" w:color="000000" w:fill="FFFFFF"/>
            <w:vAlign w:val="center"/>
          </w:tcPr>
          <w:p w14:paraId="3C4BD422">
            <w:pPr>
              <w:widowControl/>
              <w:adjustRightInd/>
              <w:spacing w:line="240" w:lineRule="auto"/>
              <w:jc w:val="left"/>
              <w:textAlignment w:val="auto"/>
              <w:rPr>
                <w:rFonts w:ascii="宋体" w:hAnsi="宋体"/>
                <w:szCs w:val="21"/>
              </w:rPr>
            </w:pPr>
            <w:r>
              <w:rPr>
                <w:rFonts w:hint="eastAsia"/>
                <w:szCs w:val="21"/>
              </w:rPr>
              <w:t>T35-11-No3.55,风量：1600m3/h，风压：100Pa，1450rpm，功率：0.25kW/380V，噪声≤62dB(A)，不低于2级能效，防爆等级Ex(d)IICT1</w:t>
            </w:r>
          </w:p>
        </w:tc>
        <w:tc>
          <w:tcPr>
            <w:tcW w:w="323" w:type="pct"/>
            <w:tcBorders>
              <w:top w:val="nil"/>
              <w:left w:val="nil"/>
              <w:bottom w:val="single" w:color="auto" w:sz="4" w:space="0"/>
              <w:right w:val="single" w:color="auto" w:sz="4" w:space="0"/>
            </w:tcBorders>
            <w:shd w:val="clear" w:color="000000" w:fill="FFFFFF"/>
            <w:noWrap/>
            <w:vAlign w:val="center"/>
          </w:tcPr>
          <w:p w14:paraId="4415F6F1">
            <w:pPr>
              <w:widowControl/>
              <w:adjustRightInd/>
              <w:spacing w:line="240" w:lineRule="auto"/>
              <w:jc w:val="center"/>
              <w:textAlignment w:val="auto"/>
              <w:rPr>
                <w:rFonts w:ascii="宋体" w:hAnsi="宋体"/>
                <w:szCs w:val="21"/>
              </w:rPr>
            </w:pPr>
            <w:r>
              <w:rPr>
                <w:rFonts w:hint="eastAsia"/>
                <w:szCs w:val="21"/>
              </w:rPr>
              <w:t>台</w:t>
            </w:r>
          </w:p>
        </w:tc>
        <w:tc>
          <w:tcPr>
            <w:tcW w:w="344" w:type="pct"/>
            <w:tcBorders>
              <w:top w:val="nil"/>
              <w:left w:val="nil"/>
              <w:bottom w:val="single" w:color="auto" w:sz="4" w:space="0"/>
              <w:right w:val="single" w:color="auto" w:sz="4" w:space="0"/>
            </w:tcBorders>
            <w:shd w:val="clear" w:color="000000" w:fill="FFFFFF"/>
            <w:noWrap/>
            <w:vAlign w:val="center"/>
          </w:tcPr>
          <w:p w14:paraId="19AF462F">
            <w:pPr>
              <w:widowControl/>
              <w:adjustRightInd/>
              <w:spacing w:line="240" w:lineRule="auto"/>
              <w:jc w:val="center"/>
              <w:textAlignment w:val="auto"/>
              <w:rPr>
                <w:rFonts w:ascii="宋体" w:hAnsi="宋体"/>
                <w:szCs w:val="21"/>
              </w:rPr>
            </w:pPr>
            <w:r>
              <w:rPr>
                <w:rFonts w:hint="eastAsia"/>
                <w:szCs w:val="21"/>
              </w:rPr>
              <w:t>2</w:t>
            </w:r>
          </w:p>
        </w:tc>
        <w:tc>
          <w:tcPr>
            <w:tcW w:w="700" w:type="pct"/>
            <w:tcBorders>
              <w:top w:val="nil"/>
              <w:left w:val="nil"/>
              <w:bottom w:val="single" w:color="auto" w:sz="4" w:space="0"/>
              <w:right w:val="single" w:color="auto" w:sz="4" w:space="0"/>
            </w:tcBorders>
            <w:shd w:val="clear" w:color="000000" w:fill="FFFFFF"/>
            <w:noWrap/>
            <w:vAlign w:val="center"/>
          </w:tcPr>
          <w:p w14:paraId="74242940">
            <w:pPr>
              <w:widowControl/>
              <w:adjustRightInd/>
              <w:spacing w:line="240" w:lineRule="auto"/>
              <w:jc w:val="center"/>
              <w:textAlignment w:val="auto"/>
              <w:rPr>
                <w:rFonts w:ascii="宋体" w:hAnsi="宋体"/>
                <w:szCs w:val="21"/>
              </w:rPr>
            </w:pPr>
            <w:r>
              <w:rPr>
                <w:rFonts w:hint="eastAsia"/>
                <w:szCs w:val="21"/>
              </w:rPr>
              <w:t>　</w:t>
            </w:r>
          </w:p>
        </w:tc>
      </w:tr>
      <w:tr w14:paraId="63FEA700">
        <w:tblPrEx>
          <w:tblCellMar>
            <w:top w:w="0" w:type="dxa"/>
            <w:left w:w="108" w:type="dxa"/>
            <w:bottom w:w="0" w:type="dxa"/>
            <w:right w:w="108" w:type="dxa"/>
          </w:tblCellMar>
        </w:tblPrEx>
        <w:trPr>
          <w:trHeight w:val="499"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3F0D80C6">
            <w:pPr>
              <w:pStyle w:val="178"/>
              <w:widowControl/>
              <w:numPr>
                <w:ilvl w:val="0"/>
                <w:numId w:val="9"/>
              </w:numPr>
              <w:spacing w:line="240" w:lineRule="auto"/>
              <w:ind w:firstLineChars="0"/>
              <w:jc w:val="center"/>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041203AD">
            <w:pPr>
              <w:widowControl/>
              <w:adjustRightInd/>
              <w:spacing w:line="240" w:lineRule="auto"/>
              <w:jc w:val="left"/>
              <w:textAlignment w:val="auto"/>
              <w:rPr>
                <w:szCs w:val="21"/>
              </w:rPr>
            </w:pPr>
            <w:r>
              <w:rPr>
                <w:rFonts w:hint="eastAsia"/>
                <w:szCs w:val="21"/>
              </w:rPr>
              <w:t>铝合金格栅风口</w:t>
            </w:r>
          </w:p>
        </w:tc>
        <w:tc>
          <w:tcPr>
            <w:tcW w:w="2305" w:type="pct"/>
            <w:tcBorders>
              <w:top w:val="nil"/>
              <w:left w:val="nil"/>
              <w:bottom w:val="single" w:color="auto" w:sz="4" w:space="0"/>
              <w:right w:val="single" w:color="auto" w:sz="4" w:space="0"/>
            </w:tcBorders>
            <w:shd w:val="clear" w:color="000000" w:fill="FFFFFF"/>
            <w:vAlign w:val="center"/>
          </w:tcPr>
          <w:p w14:paraId="4223ABDC">
            <w:pPr>
              <w:widowControl/>
              <w:adjustRightInd/>
              <w:spacing w:line="240" w:lineRule="auto"/>
              <w:jc w:val="left"/>
              <w:textAlignment w:val="auto"/>
              <w:rPr>
                <w:szCs w:val="21"/>
              </w:rPr>
            </w:pPr>
            <w:r>
              <w:rPr>
                <w:rFonts w:hint="eastAsia"/>
                <w:szCs w:val="21"/>
              </w:rPr>
              <w:t>500x500mm</w:t>
            </w:r>
          </w:p>
        </w:tc>
        <w:tc>
          <w:tcPr>
            <w:tcW w:w="323" w:type="pct"/>
            <w:tcBorders>
              <w:top w:val="nil"/>
              <w:left w:val="nil"/>
              <w:bottom w:val="single" w:color="auto" w:sz="4" w:space="0"/>
              <w:right w:val="single" w:color="auto" w:sz="4" w:space="0"/>
            </w:tcBorders>
            <w:shd w:val="clear" w:color="000000" w:fill="FFFFFF"/>
            <w:noWrap/>
            <w:vAlign w:val="center"/>
          </w:tcPr>
          <w:p w14:paraId="6D84F09C">
            <w:pPr>
              <w:widowControl/>
              <w:adjustRightInd/>
              <w:spacing w:line="240" w:lineRule="auto"/>
              <w:jc w:val="center"/>
              <w:textAlignment w:val="auto"/>
              <w:rPr>
                <w:szCs w:val="21"/>
              </w:rPr>
            </w:pPr>
            <w:r>
              <w:rPr>
                <w:rFonts w:hint="eastAsia"/>
                <w:szCs w:val="21"/>
              </w:rPr>
              <w:t>个</w:t>
            </w:r>
          </w:p>
        </w:tc>
        <w:tc>
          <w:tcPr>
            <w:tcW w:w="344" w:type="pct"/>
            <w:tcBorders>
              <w:top w:val="nil"/>
              <w:left w:val="nil"/>
              <w:bottom w:val="single" w:color="auto" w:sz="4" w:space="0"/>
              <w:right w:val="single" w:color="auto" w:sz="4" w:space="0"/>
            </w:tcBorders>
            <w:shd w:val="clear" w:color="000000" w:fill="FFFFFF"/>
            <w:noWrap/>
            <w:vAlign w:val="center"/>
          </w:tcPr>
          <w:p w14:paraId="200F7AC6">
            <w:pPr>
              <w:widowControl/>
              <w:adjustRightInd/>
              <w:spacing w:line="240" w:lineRule="auto"/>
              <w:jc w:val="center"/>
              <w:textAlignment w:val="auto"/>
              <w:rPr>
                <w:szCs w:val="21"/>
              </w:rPr>
            </w:pPr>
            <w:r>
              <w:rPr>
                <w:rFonts w:hint="eastAsia"/>
                <w:szCs w:val="21"/>
              </w:rPr>
              <w:t>2</w:t>
            </w:r>
          </w:p>
        </w:tc>
        <w:tc>
          <w:tcPr>
            <w:tcW w:w="700" w:type="pct"/>
            <w:tcBorders>
              <w:top w:val="nil"/>
              <w:left w:val="nil"/>
              <w:bottom w:val="single" w:color="auto" w:sz="4" w:space="0"/>
              <w:right w:val="single" w:color="auto" w:sz="4" w:space="0"/>
            </w:tcBorders>
            <w:shd w:val="clear" w:color="000000" w:fill="FFFFFF"/>
            <w:noWrap/>
            <w:vAlign w:val="center"/>
          </w:tcPr>
          <w:p w14:paraId="0CE5B934">
            <w:pPr>
              <w:widowControl/>
              <w:adjustRightInd/>
              <w:spacing w:line="240" w:lineRule="auto"/>
              <w:jc w:val="center"/>
              <w:textAlignment w:val="auto"/>
              <w:rPr>
                <w:szCs w:val="21"/>
              </w:rPr>
            </w:pPr>
          </w:p>
        </w:tc>
      </w:tr>
      <w:tr w14:paraId="0DE6EA30">
        <w:tblPrEx>
          <w:tblCellMar>
            <w:top w:w="0" w:type="dxa"/>
            <w:left w:w="108" w:type="dxa"/>
            <w:bottom w:w="0" w:type="dxa"/>
            <w:right w:w="108" w:type="dxa"/>
          </w:tblCellMar>
        </w:tblPrEx>
        <w:trPr>
          <w:trHeight w:val="499"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2C726BCA">
            <w:pPr>
              <w:pStyle w:val="178"/>
              <w:widowControl/>
              <w:numPr>
                <w:ilvl w:val="0"/>
                <w:numId w:val="9"/>
              </w:numPr>
              <w:spacing w:line="240" w:lineRule="auto"/>
              <w:ind w:firstLineChars="0"/>
              <w:jc w:val="center"/>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3C9DDD2E">
            <w:pPr>
              <w:widowControl/>
              <w:adjustRightInd/>
              <w:spacing w:line="240" w:lineRule="auto"/>
              <w:jc w:val="left"/>
              <w:textAlignment w:val="auto"/>
              <w:rPr>
                <w:szCs w:val="21"/>
              </w:rPr>
            </w:pPr>
            <w:r>
              <w:rPr>
                <w:rFonts w:hint="eastAsia"/>
                <w:szCs w:val="21"/>
              </w:rPr>
              <w:t>镀锌钢板风管</w:t>
            </w:r>
          </w:p>
        </w:tc>
        <w:tc>
          <w:tcPr>
            <w:tcW w:w="2305" w:type="pct"/>
            <w:tcBorders>
              <w:top w:val="nil"/>
              <w:left w:val="nil"/>
              <w:bottom w:val="single" w:color="auto" w:sz="4" w:space="0"/>
              <w:right w:val="single" w:color="auto" w:sz="4" w:space="0"/>
            </w:tcBorders>
            <w:shd w:val="clear" w:color="000000" w:fill="FFFFFF"/>
            <w:vAlign w:val="center"/>
          </w:tcPr>
          <w:p w14:paraId="0F3AFB6A">
            <w:pPr>
              <w:widowControl/>
              <w:adjustRightInd/>
              <w:spacing w:line="240" w:lineRule="auto"/>
              <w:jc w:val="left"/>
              <w:textAlignment w:val="auto"/>
              <w:rPr>
                <w:szCs w:val="21"/>
              </w:rPr>
            </w:pPr>
            <w:r>
              <w:rPr>
                <w:rFonts w:hint="eastAsia"/>
                <w:szCs w:val="21"/>
              </w:rPr>
              <w:t>δ</w:t>
            </w:r>
            <w:r>
              <w:rPr>
                <w:szCs w:val="21"/>
              </w:rPr>
              <w:t>=0.75mm</w:t>
            </w:r>
          </w:p>
        </w:tc>
        <w:tc>
          <w:tcPr>
            <w:tcW w:w="323" w:type="pct"/>
            <w:tcBorders>
              <w:top w:val="nil"/>
              <w:left w:val="nil"/>
              <w:bottom w:val="single" w:color="auto" w:sz="4" w:space="0"/>
              <w:right w:val="single" w:color="auto" w:sz="4" w:space="0"/>
            </w:tcBorders>
            <w:shd w:val="clear" w:color="000000" w:fill="FFFFFF"/>
            <w:noWrap/>
            <w:vAlign w:val="center"/>
          </w:tcPr>
          <w:p w14:paraId="64CBD2D8">
            <w:pPr>
              <w:widowControl/>
              <w:adjustRightInd/>
              <w:spacing w:line="240" w:lineRule="auto"/>
              <w:jc w:val="center"/>
              <w:textAlignment w:val="auto"/>
              <w:rPr>
                <w:szCs w:val="21"/>
              </w:rPr>
            </w:pPr>
            <w:r>
              <w:rPr>
                <w:rFonts w:hint="eastAsia"/>
                <w:szCs w:val="21"/>
              </w:rPr>
              <w:t>m2</w:t>
            </w:r>
          </w:p>
        </w:tc>
        <w:tc>
          <w:tcPr>
            <w:tcW w:w="344" w:type="pct"/>
            <w:tcBorders>
              <w:top w:val="nil"/>
              <w:left w:val="nil"/>
              <w:bottom w:val="single" w:color="auto" w:sz="4" w:space="0"/>
              <w:right w:val="single" w:color="auto" w:sz="4" w:space="0"/>
            </w:tcBorders>
            <w:shd w:val="clear" w:color="000000" w:fill="FFFFFF"/>
            <w:noWrap/>
            <w:vAlign w:val="center"/>
          </w:tcPr>
          <w:p w14:paraId="7A64914A">
            <w:pPr>
              <w:widowControl/>
              <w:adjustRightInd/>
              <w:spacing w:line="240" w:lineRule="auto"/>
              <w:jc w:val="center"/>
              <w:textAlignment w:val="auto"/>
              <w:rPr>
                <w:szCs w:val="21"/>
              </w:rPr>
            </w:pPr>
            <w:r>
              <w:rPr>
                <w:rFonts w:hint="eastAsia"/>
                <w:szCs w:val="21"/>
              </w:rPr>
              <w:t>20</w:t>
            </w:r>
          </w:p>
        </w:tc>
        <w:tc>
          <w:tcPr>
            <w:tcW w:w="700" w:type="pct"/>
            <w:tcBorders>
              <w:top w:val="nil"/>
              <w:left w:val="nil"/>
              <w:bottom w:val="single" w:color="auto" w:sz="4" w:space="0"/>
              <w:right w:val="single" w:color="auto" w:sz="4" w:space="0"/>
            </w:tcBorders>
            <w:shd w:val="clear" w:color="000000" w:fill="FFFFFF"/>
            <w:noWrap/>
            <w:vAlign w:val="center"/>
          </w:tcPr>
          <w:p w14:paraId="7F26C881">
            <w:pPr>
              <w:widowControl/>
              <w:adjustRightInd/>
              <w:spacing w:line="240" w:lineRule="auto"/>
              <w:jc w:val="center"/>
              <w:textAlignment w:val="auto"/>
              <w:rPr>
                <w:szCs w:val="21"/>
              </w:rPr>
            </w:pPr>
          </w:p>
        </w:tc>
      </w:tr>
      <w:tr w14:paraId="5498C24E">
        <w:tblPrEx>
          <w:tblCellMar>
            <w:top w:w="0" w:type="dxa"/>
            <w:left w:w="108" w:type="dxa"/>
            <w:bottom w:w="0" w:type="dxa"/>
            <w:right w:w="108" w:type="dxa"/>
          </w:tblCellMar>
        </w:tblPrEx>
        <w:trPr>
          <w:trHeight w:val="630"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45386D8B">
            <w:pPr>
              <w:pStyle w:val="178"/>
              <w:widowControl/>
              <w:numPr>
                <w:ilvl w:val="0"/>
                <w:numId w:val="9"/>
              </w:numPr>
              <w:spacing w:line="240" w:lineRule="auto"/>
              <w:ind w:firstLineChars="0"/>
              <w:jc w:val="center"/>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20CF392D">
            <w:pPr>
              <w:widowControl/>
              <w:adjustRightInd/>
              <w:spacing w:line="240" w:lineRule="auto"/>
              <w:jc w:val="left"/>
              <w:textAlignment w:val="auto"/>
              <w:rPr>
                <w:rFonts w:ascii="宋体" w:hAnsi="宋体"/>
                <w:szCs w:val="21"/>
              </w:rPr>
            </w:pPr>
            <w:r>
              <w:rPr>
                <w:rFonts w:hint="eastAsia"/>
                <w:szCs w:val="21"/>
              </w:rPr>
              <w:t>不锈钢通风弯头</w:t>
            </w:r>
          </w:p>
        </w:tc>
        <w:tc>
          <w:tcPr>
            <w:tcW w:w="2305" w:type="pct"/>
            <w:tcBorders>
              <w:top w:val="nil"/>
              <w:left w:val="nil"/>
              <w:bottom w:val="single" w:color="auto" w:sz="4" w:space="0"/>
              <w:right w:val="single" w:color="auto" w:sz="4" w:space="0"/>
            </w:tcBorders>
            <w:shd w:val="clear" w:color="000000" w:fill="FFFFFF"/>
            <w:vAlign w:val="center"/>
          </w:tcPr>
          <w:p w14:paraId="48D1385B">
            <w:pPr>
              <w:widowControl/>
              <w:adjustRightInd/>
              <w:spacing w:line="240" w:lineRule="auto"/>
              <w:jc w:val="left"/>
              <w:textAlignment w:val="auto"/>
              <w:rPr>
                <w:rFonts w:ascii="宋体" w:hAnsi="宋体"/>
                <w:szCs w:val="21"/>
              </w:rPr>
            </w:pPr>
            <w:r>
              <w:rPr>
                <w:rFonts w:hint="eastAsia"/>
                <w:szCs w:val="21"/>
              </w:rPr>
              <w:t>风机配套，304不锈钢，带6×6mm不锈钢丝过滤网</w:t>
            </w:r>
          </w:p>
        </w:tc>
        <w:tc>
          <w:tcPr>
            <w:tcW w:w="323" w:type="pct"/>
            <w:tcBorders>
              <w:top w:val="nil"/>
              <w:left w:val="nil"/>
              <w:bottom w:val="single" w:color="auto" w:sz="4" w:space="0"/>
              <w:right w:val="single" w:color="auto" w:sz="4" w:space="0"/>
            </w:tcBorders>
            <w:shd w:val="clear" w:color="000000" w:fill="FFFFFF"/>
            <w:noWrap/>
            <w:vAlign w:val="center"/>
          </w:tcPr>
          <w:p w14:paraId="1D6BE010">
            <w:pPr>
              <w:widowControl/>
              <w:adjustRightInd/>
              <w:spacing w:line="240" w:lineRule="auto"/>
              <w:jc w:val="center"/>
              <w:textAlignment w:val="auto"/>
              <w:rPr>
                <w:rFonts w:ascii="宋体" w:hAnsi="宋体"/>
                <w:szCs w:val="21"/>
              </w:rPr>
            </w:pPr>
            <w:r>
              <w:rPr>
                <w:rFonts w:hint="eastAsia"/>
                <w:szCs w:val="21"/>
              </w:rPr>
              <w:t>个</w:t>
            </w:r>
          </w:p>
        </w:tc>
        <w:tc>
          <w:tcPr>
            <w:tcW w:w="344" w:type="pct"/>
            <w:tcBorders>
              <w:top w:val="nil"/>
              <w:left w:val="nil"/>
              <w:bottom w:val="single" w:color="auto" w:sz="4" w:space="0"/>
              <w:right w:val="single" w:color="auto" w:sz="4" w:space="0"/>
            </w:tcBorders>
            <w:shd w:val="clear" w:color="000000" w:fill="FFFFFF"/>
            <w:noWrap/>
            <w:vAlign w:val="center"/>
          </w:tcPr>
          <w:p w14:paraId="4E7F99F5">
            <w:pPr>
              <w:widowControl/>
              <w:adjustRightInd/>
              <w:spacing w:line="240" w:lineRule="auto"/>
              <w:jc w:val="center"/>
              <w:textAlignment w:val="auto"/>
              <w:rPr>
                <w:rFonts w:ascii="宋体" w:hAnsi="宋体"/>
                <w:szCs w:val="21"/>
              </w:rPr>
            </w:pPr>
            <w:r>
              <w:rPr>
                <w:rFonts w:hint="eastAsia"/>
                <w:szCs w:val="21"/>
              </w:rPr>
              <w:t>2</w:t>
            </w:r>
          </w:p>
        </w:tc>
        <w:tc>
          <w:tcPr>
            <w:tcW w:w="700" w:type="pct"/>
            <w:tcBorders>
              <w:top w:val="nil"/>
              <w:left w:val="nil"/>
              <w:bottom w:val="single" w:color="auto" w:sz="4" w:space="0"/>
              <w:right w:val="single" w:color="auto" w:sz="4" w:space="0"/>
            </w:tcBorders>
            <w:shd w:val="clear" w:color="000000" w:fill="FFFFFF"/>
            <w:noWrap/>
            <w:vAlign w:val="center"/>
          </w:tcPr>
          <w:p w14:paraId="1042252C">
            <w:pPr>
              <w:widowControl/>
              <w:adjustRightInd/>
              <w:spacing w:line="240" w:lineRule="auto"/>
              <w:jc w:val="center"/>
              <w:textAlignment w:val="auto"/>
              <w:rPr>
                <w:rFonts w:ascii="宋体" w:hAnsi="宋体"/>
                <w:szCs w:val="21"/>
              </w:rPr>
            </w:pPr>
            <w:r>
              <w:rPr>
                <w:rFonts w:hint="eastAsia"/>
                <w:szCs w:val="21"/>
              </w:rPr>
              <w:t>　</w:t>
            </w:r>
          </w:p>
        </w:tc>
      </w:tr>
      <w:tr w14:paraId="6C66BD29">
        <w:tblPrEx>
          <w:tblCellMar>
            <w:top w:w="0" w:type="dxa"/>
            <w:left w:w="108" w:type="dxa"/>
            <w:bottom w:w="0" w:type="dxa"/>
            <w:right w:w="108" w:type="dxa"/>
          </w:tblCellMar>
        </w:tblPrEx>
        <w:trPr>
          <w:trHeight w:val="499"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03630275">
            <w:pPr>
              <w:pStyle w:val="178"/>
              <w:widowControl/>
              <w:numPr>
                <w:ilvl w:val="0"/>
                <w:numId w:val="9"/>
              </w:numPr>
              <w:spacing w:line="240" w:lineRule="auto"/>
              <w:ind w:firstLineChars="0"/>
              <w:jc w:val="center"/>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0861E6FF">
            <w:pPr>
              <w:widowControl/>
              <w:adjustRightInd/>
              <w:spacing w:line="240" w:lineRule="auto"/>
              <w:jc w:val="left"/>
              <w:textAlignment w:val="auto"/>
              <w:rPr>
                <w:rFonts w:ascii="宋体" w:hAnsi="宋体"/>
                <w:szCs w:val="21"/>
              </w:rPr>
            </w:pPr>
            <w:r>
              <w:rPr>
                <w:rFonts w:hint="eastAsia"/>
                <w:szCs w:val="21"/>
              </w:rPr>
              <w:t>管线槽盒</w:t>
            </w:r>
          </w:p>
        </w:tc>
        <w:tc>
          <w:tcPr>
            <w:tcW w:w="2305" w:type="pct"/>
            <w:tcBorders>
              <w:top w:val="nil"/>
              <w:left w:val="nil"/>
              <w:bottom w:val="single" w:color="auto" w:sz="4" w:space="0"/>
              <w:right w:val="single" w:color="auto" w:sz="4" w:space="0"/>
            </w:tcBorders>
            <w:shd w:val="clear" w:color="000000" w:fill="FFFFFF"/>
            <w:vAlign w:val="center"/>
          </w:tcPr>
          <w:p w14:paraId="2EE789B9">
            <w:pPr>
              <w:widowControl/>
              <w:adjustRightInd/>
              <w:spacing w:line="240" w:lineRule="auto"/>
              <w:jc w:val="left"/>
              <w:textAlignment w:val="auto"/>
              <w:rPr>
                <w:rFonts w:ascii="宋体" w:hAnsi="宋体"/>
                <w:szCs w:val="21"/>
              </w:rPr>
            </w:pPr>
            <w:r>
              <w:rPr>
                <w:rFonts w:hint="eastAsia"/>
                <w:szCs w:val="21"/>
              </w:rPr>
              <w:t>用于空调通风系统管线装饰、走线等部位</w:t>
            </w:r>
          </w:p>
        </w:tc>
        <w:tc>
          <w:tcPr>
            <w:tcW w:w="323" w:type="pct"/>
            <w:tcBorders>
              <w:top w:val="nil"/>
              <w:left w:val="nil"/>
              <w:bottom w:val="single" w:color="auto" w:sz="4" w:space="0"/>
              <w:right w:val="single" w:color="auto" w:sz="4" w:space="0"/>
            </w:tcBorders>
            <w:shd w:val="clear" w:color="000000" w:fill="FFFFFF"/>
            <w:noWrap/>
            <w:vAlign w:val="center"/>
          </w:tcPr>
          <w:p w14:paraId="039B43D2">
            <w:pPr>
              <w:widowControl/>
              <w:adjustRightInd/>
              <w:spacing w:line="240" w:lineRule="auto"/>
              <w:jc w:val="center"/>
              <w:textAlignment w:val="auto"/>
              <w:rPr>
                <w:rFonts w:ascii="宋体" w:hAnsi="宋体"/>
                <w:szCs w:val="21"/>
              </w:rPr>
            </w:pPr>
            <w:r>
              <w:rPr>
                <w:rFonts w:hint="eastAsia"/>
                <w:szCs w:val="21"/>
              </w:rPr>
              <w:t>米</w:t>
            </w:r>
          </w:p>
        </w:tc>
        <w:tc>
          <w:tcPr>
            <w:tcW w:w="344" w:type="pct"/>
            <w:tcBorders>
              <w:top w:val="nil"/>
              <w:left w:val="nil"/>
              <w:bottom w:val="single" w:color="auto" w:sz="4" w:space="0"/>
              <w:right w:val="single" w:color="auto" w:sz="4" w:space="0"/>
            </w:tcBorders>
            <w:shd w:val="clear" w:color="000000" w:fill="FFFFFF"/>
            <w:noWrap/>
            <w:vAlign w:val="center"/>
          </w:tcPr>
          <w:p w14:paraId="768578F2">
            <w:pPr>
              <w:widowControl/>
              <w:adjustRightInd/>
              <w:spacing w:line="240" w:lineRule="auto"/>
              <w:jc w:val="center"/>
              <w:textAlignment w:val="auto"/>
              <w:rPr>
                <w:rFonts w:ascii="宋体" w:hAnsi="宋体"/>
                <w:szCs w:val="21"/>
              </w:rPr>
            </w:pPr>
            <w:r>
              <w:rPr>
                <w:rFonts w:hint="eastAsia"/>
                <w:szCs w:val="21"/>
              </w:rPr>
              <w:t>10</w:t>
            </w:r>
          </w:p>
        </w:tc>
        <w:tc>
          <w:tcPr>
            <w:tcW w:w="700" w:type="pct"/>
            <w:tcBorders>
              <w:top w:val="nil"/>
              <w:left w:val="nil"/>
              <w:bottom w:val="single" w:color="auto" w:sz="4" w:space="0"/>
              <w:right w:val="single" w:color="auto" w:sz="4" w:space="0"/>
            </w:tcBorders>
            <w:shd w:val="clear" w:color="000000" w:fill="FFFFFF"/>
            <w:noWrap/>
            <w:vAlign w:val="center"/>
          </w:tcPr>
          <w:p w14:paraId="797DDBD0">
            <w:pPr>
              <w:widowControl/>
              <w:adjustRightInd/>
              <w:spacing w:line="240" w:lineRule="auto"/>
              <w:jc w:val="center"/>
              <w:textAlignment w:val="auto"/>
              <w:rPr>
                <w:rFonts w:ascii="宋体" w:hAnsi="宋体"/>
                <w:szCs w:val="21"/>
              </w:rPr>
            </w:pPr>
          </w:p>
        </w:tc>
      </w:tr>
      <w:tr w14:paraId="5D709C28">
        <w:tblPrEx>
          <w:tblCellMar>
            <w:top w:w="0" w:type="dxa"/>
            <w:left w:w="108" w:type="dxa"/>
            <w:bottom w:w="0" w:type="dxa"/>
            <w:right w:w="108" w:type="dxa"/>
          </w:tblCellMar>
        </w:tblPrEx>
        <w:trPr>
          <w:trHeight w:val="499"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3C73BED0">
            <w:pPr>
              <w:pStyle w:val="178"/>
              <w:widowControl/>
              <w:numPr>
                <w:ilvl w:val="0"/>
                <w:numId w:val="9"/>
              </w:numPr>
              <w:spacing w:line="240" w:lineRule="auto"/>
              <w:ind w:firstLineChars="0"/>
              <w:jc w:val="center"/>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3F6C0136">
            <w:pPr>
              <w:widowControl/>
              <w:adjustRightInd/>
              <w:spacing w:line="240" w:lineRule="auto"/>
              <w:jc w:val="left"/>
              <w:textAlignment w:val="auto"/>
              <w:rPr>
                <w:rFonts w:ascii="宋体" w:hAnsi="宋体"/>
                <w:szCs w:val="21"/>
              </w:rPr>
            </w:pPr>
            <w:r>
              <w:rPr>
                <w:rFonts w:hint="eastAsia"/>
                <w:szCs w:val="21"/>
              </w:rPr>
              <w:t>铝合金防雨百叶</w:t>
            </w:r>
          </w:p>
        </w:tc>
        <w:tc>
          <w:tcPr>
            <w:tcW w:w="2305" w:type="pct"/>
            <w:tcBorders>
              <w:top w:val="nil"/>
              <w:left w:val="nil"/>
              <w:bottom w:val="single" w:color="auto" w:sz="4" w:space="0"/>
              <w:right w:val="single" w:color="auto" w:sz="4" w:space="0"/>
            </w:tcBorders>
            <w:shd w:val="clear" w:color="000000" w:fill="FFFFFF"/>
            <w:vAlign w:val="center"/>
          </w:tcPr>
          <w:p w14:paraId="2D7751AE">
            <w:pPr>
              <w:widowControl/>
              <w:adjustRightInd/>
              <w:spacing w:line="240" w:lineRule="auto"/>
              <w:jc w:val="left"/>
              <w:textAlignment w:val="auto"/>
              <w:rPr>
                <w:rFonts w:ascii="宋体" w:hAnsi="宋体"/>
                <w:szCs w:val="21"/>
              </w:rPr>
            </w:pPr>
            <w:r>
              <w:rPr>
                <w:rFonts w:hint="eastAsia"/>
                <w:szCs w:val="21"/>
              </w:rPr>
              <w:t>1200X600,带不锈钢丝滤网</w:t>
            </w:r>
          </w:p>
        </w:tc>
        <w:tc>
          <w:tcPr>
            <w:tcW w:w="323" w:type="pct"/>
            <w:tcBorders>
              <w:top w:val="nil"/>
              <w:left w:val="nil"/>
              <w:bottom w:val="single" w:color="auto" w:sz="4" w:space="0"/>
              <w:right w:val="single" w:color="auto" w:sz="4" w:space="0"/>
            </w:tcBorders>
            <w:shd w:val="clear" w:color="000000" w:fill="FFFFFF"/>
            <w:noWrap/>
            <w:vAlign w:val="center"/>
          </w:tcPr>
          <w:p w14:paraId="55854A9D">
            <w:pPr>
              <w:widowControl/>
              <w:adjustRightInd/>
              <w:spacing w:line="240" w:lineRule="auto"/>
              <w:jc w:val="center"/>
              <w:textAlignment w:val="auto"/>
              <w:rPr>
                <w:rFonts w:ascii="宋体" w:hAnsi="宋体"/>
                <w:szCs w:val="21"/>
              </w:rPr>
            </w:pPr>
            <w:r>
              <w:rPr>
                <w:rFonts w:hint="eastAsia"/>
                <w:szCs w:val="21"/>
              </w:rPr>
              <w:t>个</w:t>
            </w:r>
          </w:p>
        </w:tc>
        <w:tc>
          <w:tcPr>
            <w:tcW w:w="344" w:type="pct"/>
            <w:tcBorders>
              <w:top w:val="nil"/>
              <w:left w:val="nil"/>
              <w:bottom w:val="single" w:color="auto" w:sz="4" w:space="0"/>
              <w:right w:val="single" w:color="auto" w:sz="4" w:space="0"/>
            </w:tcBorders>
            <w:shd w:val="clear" w:color="000000" w:fill="FFFFFF"/>
            <w:noWrap/>
            <w:vAlign w:val="center"/>
          </w:tcPr>
          <w:p w14:paraId="758C5108">
            <w:pPr>
              <w:widowControl/>
              <w:adjustRightInd/>
              <w:spacing w:line="240" w:lineRule="auto"/>
              <w:jc w:val="center"/>
              <w:textAlignment w:val="auto"/>
              <w:rPr>
                <w:rFonts w:ascii="宋体" w:hAnsi="宋体"/>
                <w:szCs w:val="21"/>
              </w:rPr>
            </w:pPr>
            <w:r>
              <w:rPr>
                <w:rFonts w:hint="eastAsia"/>
                <w:szCs w:val="21"/>
              </w:rPr>
              <w:t>2</w:t>
            </w:r>
          </w:p>
        </w:tc>
        <w:tc>
          <w:tcPr>
            <w:tcW w:w="700" w:type="pct"/>
            <w:tcBorders>
              <w:top w:val="nil"/>
              <w:left w:val="nil"/>
              <w:bottom w:val="single" w:color="auto" w:sz="4" w:space="0"/>
              <w:right w:val="single" w:color="auto" w:sz="4" w:space="0"/>
            </w:tcBorders>
            <w:shd w:val="clear" w:color="000000" w:fill="FFFFFF"/>
            <w:noWrap/>
            <w:vAlign w:val="center"/>
          </w:tcPr>
          <w:p w14:paraId="230DA49B">
            <w:pPr>
              <w:widowControl/>
              <w:adjustRightInd/>
              <w:spacing w:line="240" w:lineRule="auto"/>
              <w:jc w:val="center"/>
              <w:textAlignment w:val="auto"/>
              <w:rPr>
                <w:rFonts w:ascii="宋体" w:hAnsi="宋体"/>
                <w:szCs w:val="21"/>
              </w:rPr>
            </w:pPr>
          </w:p>
        </w:tc>
      </w:tr>
      <w:tr w14:paraId="758C08B7">
        <w:tblPrEx>
          <w:tblCellMar>
            <w:top w:w="0" w:type="dxa"/>
            <w:left w:w="108" w:type="dxa"/>
            <w:bottom w:w="0" w:type="dxa"/>
            <w:right w:w="108" w:type="dxa"/>
          </w:tblCellMar>
        </w:tblPrEx>
        <w:trPr>
          <w:trHeight w:val="499" w:hRule="atLeast"/>
        </w:trPr>
        <w:tc>
          <w:tcPr>
            <w:tcW w:w="397"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4423A02B">
            <w:pPr>
              <w:pStyle w:val="178"/>
              <w:widowControl/>
              <w:numPr>
                <w:ilvl w:val="0"/>
                <w:numId w:val="9"/>
              </w:numPr>
              <w:spacing w:line="240" w:lineRule="auto"/>
              <w:ind w:firstLineChars="0"/>
              <w:jc w:val="center"/>
              <w:rPr>
                <w:rFonts w:ascii="宋体" w:hAnsi="宋体" w:cs="Times New Roman"/>
                <w:kern w:val="0"/>
                <w:szCs w:val="24"/>
              </w:rPr>
            </w:pPr>
          </w:p>
        </w:tc>
        <w:tc>
          <w:tcPr>
            <w:tcW w:w="931" w:type="pct"/>
            <w:tcBorders>
              <w:top w:val="single" w:color="auto" w:sz="4" w:space="0"/>
              <w:left w:val="nil"/>
              <w:bottom w:val="single" w:color="auto" w:sz="4" w:space="0"/>
              <w:right w:val="single" w:color="auto" w:sz="4" w:space="0"/>
            </w:tcBorders>
            <w:shd w:val="clear" w:color="000000" w:fill="FFFFFF"/>
            <w:noWrap/>
            <w:vAlign w:val="center"/>
          </w:tcPr>
          <w:p w14:paraId="25C47235">
            <w:pPr>
              <w:widowControl/>
              <w:adjustRightInd/>
              <w:spacing w:line="240" w:lineRule="auto"/>
              <w:jc w:val="left"/>
              <w:textAlignment w:val="auto"/>
              <w:rPr>
                <w:rFonts w:ascii="宋体" w:hAnsi="宋体"/>
                <w:szCs w:val="21"/>
              </w:rPr>
            </w:pPr>
            <w:r>
              <w:rPr>
                <w:rFonts w:hint="eastAsia"/>
                <w:szCs w:val="21"/>
              </w:rPr>
              <w:t>风机控制箱</w:t>
            </w:r>
          </w:p>
        </w:tc>
        <w:tc>
          <w:tcPr>
            <w:tcW w:w="2305" w:type="pct"/>
            <w:tcBorders>
              <w:top w:val="single" w:color="auto" w:sz="4" w:space="0"/>
              <w:left w:val="nil"/>
              <w:bottom w:val="single" w:color="auto" w:sz="4" w:space="0"/>
              <w:right w:val="single" w:color="auto" w:sz="4" w:space="0"/>
            </w:tcBorders>
            <w:shd w:val="clear" w:color="000000" w:fill="FFFFFF"/>
            <w:vAlign w:val="center"/>
          </w:tcPr>
          <w:p w14:paraId="7C5E13E5">
            <w:pPr>
              <w:widowControl/>
              <w:adjustRightInd/>
              <w:spacing w:line="240" w:lineRule="auto"/>
              <w:jc w:val="left"/>
              <w:textAlignment w:val="auto"/>
              <w:rPr>
                <w:rFonts w:ascii="宋体" w:hAnsi="宋体"/>
                <w:szCs w:val="21"/>
              </w:rPr>
            </w:pPr>
            <w:r>
              <w:rPr>
                <w:rFonts w:hint="eastAsia"/>
                <w:szCs w:val="21"/>
              </w:rPr>
              <w:t>普通型/温控型等，带启/停按钮，电源/故障指示灯,材质304不锈钢</w:t>
            </w:r>
          </w:p>
        </w:tc>
        <w:tc>
          <w:tcPr>
            <w:tcW w:w="323" w:type="pct"/>
            <w:tcBorders>
              <w:top w:val="single" w:color="auto" w:sz="4" w:space="0"/>
              <w:left w:val="nil"/>
              <w:bottom w:val="single" w:color="auto" w:sz="4" w:space="0"/>
              <w:right w:val="single" w:color="auto" w:sz="4" w:space="0"/>
            </w:tcBorders>
            <w:shd w:val="clear" w:color="000000" w:fill="FFFFFF"/>
            <w:noWrap/>
            <w:vAlign w:val="center"/>
          </w:tcPr>
          <w:p w14:paraId="402E44AF">
            <w:pPr>
              <w:widowControl/>
              <w:adjustRightInd/>
              <w:spacing w:line="240" w:lineRule="auto"/>
              <w:jc w:val="center"/>
              <w:textAlignment w:val="auto"/>
              <w:rPr>
                <w:rFonts w:ascii="宋体" w:hAnsi="宋体"/>
                <w:szCs w:val="21"/>
              </w:rPr>
            </w:pPr>
            <w:r>
              <w:rPr>
                <w:rFonts w:hint="eastAsia"/>
                <w:szCs w:val="21"/>
              </w:rPr>
              <w:t>个</w:t>
            </w:r>
          </w:p>
        </w:tc>
        <w:tc>
          <w:tcPr>
            <w:tcW w:w="344" w:type="pct"/>
            <w:tcBorders>
              <w:top w:val="single" w:color="auto" w:sz="4" w:space="0"/>
              <w:left w:val="nil"/>
              <w:bottom w:val="single" w:color="auto" w:sz="4" w:space="0"/>
              <w:right w:val="single" w:color="auto" w:sz="4" w:space="0"/>
            </w:tcBorders>
            <w:shd w:val="clear" w:color="000000" w:fill="FFFFFF"/>
            <w:noWrap/>
            <w:vAlign w:val="center"/>
          </w:tcPr>
          <w:p w14:paraId="4A0DB73A">
            <w:pPr>
              <w:widowControl/>
              <w:adjustRightInd/>
              <w:spacing w:line="240" w:lineRule="auto"/>
              <w:jc w:val="center"/>
              <w:textAlignment w:val="auto"/>
              <w:rPr>
                <w:rFonts w:ascii="宋体" w:hAnsi="宋体"/>
                <w:szCs w:val="21"/>
              </w:rPr>
            </w:pPr>
            <w:r>
              <w:rPr>
                <w:rFonts w:hint="eastAsia"/>
                <w:szCs w:val="21"/>
              </w:rPr>
              <w:t>1</w:t>
            </w:r>
          </w:p>
        </w:tc>
        <w:tc>
          <w:tcPr>
            <w:tcW w:w="700" w:type="pct"/>
            <w:tcBorders>
              <w:top w:val="single" w:color="auto" w:sz="4" w:space="0"/>
              <w:left w:val="nil"/>
              <w:bottom w:val="single" w:color="auto" w:sz="4" w:space="0"/>
              <w:right w:val="single" w:color="auto" w:sz="4" w:space="0"/>
            </w:tcBorders>
            <w:shd w:val="clear" w:color="000000" w:fill="FFFFFF"/>
            <w:noWrap/>
            <w:vAlign w:val="center"/>
          </w:tcPr>
          <w:p w14:paraId="0B3B1B1E">
            <w:pPr>
              <w:widowControl/>
              <w:adjustRightInd/>
              <w:spacing w:line="240" w:lineRule="auto"/>
              <w:jc w:val="center"/>
              <w:textAlignment w:val="auto"/>
              <w:rPr>
                <w:rFonts w:ascii="宋体" w:hAnsi="宋体"/>
                <w:szCs w:val="21"/>
              </w:rPr>
            </w:pPr>
          </w:p>
        </w:tc>
      </w:tr>
      <w:tr w14:paraId="5BFFA307">
        <w:tblPrEx>
          <w:tblCellMar>
            <w:top w:w="0" w:type="dxa"/>
            <w:left w:w="108" w:type="dxa"/>
            <w:bottom w:w="0" w:type="dxa"/>
            <w:right w:w="108" w:type="dxa"/>
          </w:tblCellMar>
        </w:tblPrEx>
        <w:trPr>
          <w:trHeight w:val="499" w:hRule="atLeast"/>
        </w:trPr>
        <w:tc>
          <w:tcPr>
            <w:tcW w:w="397"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6A86F1C8">
            <w:pPr>
              <w:pStyle w:val="178"/>
              <w:widowControl/>
              <w:numPr>
                <w:ilvl w:val="0"/>
                <w:numId w:val="9"/>
              </w:numPr>
              <w:spacing w:line="240" w:lineRule="auto"/>
              <w:ind w:firstLineChars="0"/>
              <w:jc w:val="center"/>
              <w:rPr>
                <w:rFonts w:ascii="宋体" w:hAnsi="宋体" w:cs="Times New Roman"/>
                <w:kern w:val="0"/>
                <w:szCs w:val="24"/>
              </w:rPr>
            </w:pPr>
          </w:p>
        </w:tc>
        <w:tc>
          <w:tcPr>
            <w:tcW w:w="931" w:type="pct"/>
            <w:tcBorders>
              <w:top w:val="single" w:color="auto" w:sz="4" w:space="0"/>
              <w:left w:val="nil"/>
              <w:bottom w:val="single" w:color="auto" w:sz="4" w:space="0"/>
              <w:right w:val="single" w:color="auto" w:sz="4" w:space="0"/>
            </w:tcBorders>
            <w:shd w:val="clear" w:color="000000" w:fill="FFFFFF"/>
            <w:noWrap/>
            <w:vAlign w:val="center"/>
          </w:tcPr>
          <w:p w14:paraId="55F688C8">
            <w:pPr>
              <w:widowControl/>
              <w:adjustRightInd/>
              <w:spacing w:line="240" w:lineRule="auto"/>
              <w:jc w:val="left"/>
              <w:textAlignment w:val="auto"/>
              <w:rPr>
                <w:szCs w:val="21"/>
              </w:rPr>
            </w:pPr>
            <w:r>
              <w:rPr>
                <w:rFonts w:hint="eastAsia"/>
                <w:szCs w:val="21"/>
              </w:rPr>
              <w:t>管道主辅材料、阀门、附件及保温</w:t>
            </w:r>
          </w:p>
        </w:tc>
        <w:tc>
          <w:tcPr>
            <w:tcW w:w="2305" w:type="pct"/>
            <w:tcBorders>
              <w:top w:val="single" w:color="auto" w:sz="4" w:space="0"/>
              <w:left w:val="nil"/>
              <w:bottom w:val="single" w:color="auto" w:sz="4" w:space="0"/>
              <w:right w:val="single" w:color="auto" w:sz="4" w:space="0"/>
            </w:tcBorders>
            <w:shd w:val="clear" w:color="000000" w:fill="FFFFFF"/>
            <w:vAlign w:val="center"/>
          </w:tcPr>
          <w:p w14:paraId="6DEA358C">
            <w:pPr>
              <w:widowControl/>
              <w:adjustRightInd/>
              <w:spacing w:line="240" w:lineRule="auto"/>
              <w:jc w:val="left"/>
              <w:textAlignment w:val="auto"/>
              <w:rPr>
                <w:szCs w:val="21"/>
              </w:rPr>
            </w:pPr>
            <w:r>
              <w:rPr>
                <w:rFonts w:hint="eastAsia"/>
                <w:szCs w:val="21"/>
              </w:rPr>
              <w:t>包括但不限于冷媒管、保温材料等</w:t>
            </w:r>
          </w:p>
        </w:tc>
        <w:tc>
          <w:tcPr>
            <w:tcW w:w="323" w:type="pct"/>
            <w:tcBorders>
              <w:top w:val="single" w:color="auto" w:sz="4" w:space="0"/>
              <w:left w:val="nil"/>
              <w:bottom w:val="single" w:color="auto" w:sz="4" w:space="0"/>
              <w:right w:val="single" w:color="auto" w:sz="4" w:space="0"/>
            </w:tcBorders>
            <w:shd w:val="clear" w:color="000000" w:fill="FFFFFF"/>
            <w:noWrap/>
            <w:vAlign w:val="center"/>
          </w:tcPr>
          <w:p w14:paraId="4D153458">
            <w:pPr>
              <w:widowControl/>
              <w:adjustRightInd/>
              <w:spacing w:line="240" w:lineRule="auto"/>
              <w:jc w:val="center"/>
              <w:textAlignment w:val="auto"/>
              <w:rPr>
                <w:szCs w:val="21"/>
              </w:rPr>
            </w:pPr>
            <w:r>
              <w:rPr>
                <w:rFonts w:hint="eastAsia"/>
                <w:szCs w:val="21"/>
              </w:rPr>
              <w:t>套</w:t>
            </w:r>
          </w:p>
        </w:tc>
        <w:tc>
          <w:tcPr>
            <w:tcW w:w="344" w:type="pct"/>
            <w:tcBorders>
              <w:top w:val="single" w:color="auto" w:sz="4" w:space="0"/>
              <w:left w:val="nil"/>
              <w:bottom w:val="single" w:color="auto" w:sz="4" w:space="0"/>
              <w:right w:val="single" w:color="auto" w:sz="4" w:space="0"/>
            </w:tcBorders>
            <w:shd w:val="clear" w:color="000000" w:fill="FFFFFF"/>
            <w:noWrap/>
            <w:vAlign w:val="center"/>
          </w:tcPr>
          <w:p w14:paraId="4185F0CE">
            <w:pPr>
              <w:widowControl/>
              <w:adjustRightInd/>
              <w:spacing w:line="240" w:lineRule="auto"/>
              <w:jc w:val="center"/>
              <w:textAlignment w:val="auto"/>
              <w:rPr>
                <w:szCs w:val="21"/>
              </w:rPr>
            </w:pPr>
            <w:r>
              <w:rPr>
                <w:rFonts w:hint="eastAsia"/>
                <w:szCs w:val="21"/>
              </w:rPr>
              <w:t>1</w:t>
            </w:r>
          </w:p>
        </w:tc>
        <w:tc>
          <w:tcPr>
            <w:tcW w:w="700" w:type="pct"/>
            <w:tcBorders>
              <w:top w:val="single" w:color="auto" w:sz="4" w:space="0"/>
              <w:left w:val="nil"/>
              <w:bottom w:val="single" w:color="auto" w:sz="4" w:space="0"/>
              <w:right w:val="single" w:color="auto" w:sz="4" w:space="0"/>
            </w:tcBorders>
            <w:shd w:val="clear" w:color="000000" w:fill="FFFFFF"/>
            <w:noWrap/>
            <w:vAlign w:val="center"/>
          </w:tcPr>
          <w:p w14:paraId="4A73EAB3">
            <w:pPr>
              <w:widowControl/>
              <w:adjustRightInd/>
              <w:spacing w:line="240" w:lineRule="auto"/>
              <w:jc w:val="center"/>
              <w:textAlignment w:val="auto"/>
              <w:rPr>
                <w:rFonts w:ascii="宋体" w:hAnsi="宋体"/>
                <w:szCs w:val="21"/>
              </w:rPr>
            </w:pPr>
          </w:p>
        </w:tc>
      </w:tr>
    </w:tbl>
    <w:p w14:paraId="03D94726">
      <w:pPr>
        <w:widowControl/>
        <w:adjustRightInd/>
        <w:spacing w:line="240" w:lineRule="auto"/>
        <w:jc w:val="left"/>
        <w:textAlignment w:val="auto"/>
        <w:rPr>
          <w:rFonts w:eastAsiaTheme="minorEastAsia"/>
          <w:b/>
          <w:color w:val="000000" w:themeColor="text1"/>
          <w:sz w:val="24"/>
          <w:szCs w:val="24"/>
          <w14:textFill>
            <w14:solidFill>
              <w14:schemeClr w14:val="tx1"/>
            </w14:solidFill>
          </w14:textFill>
        </w:rPr>
      </w:pPr>
    </w:p>
    <w:p w14:paraId="260F919C">
      <w:pPr>
        <w:snapToGrid w:val="0"/>
        <w:spacing w:line="440" w:lineRule="atLeast"/>
        <w:outlineLvl w:val="1"/>
        <w:rPr>
          <w:rFonts w:eastAsiaTheme="minorEastAsia"/>
          <w:b/>
          <w:color w:val="000000" w:themeColor="text1"/>
          <w:sz w:val="24"/>
          <w:szCs w:val="24"/>
          <w14:textFill>
            <w14:solidFill>
              <w14:schemeClr w14:val="tx1"/>
            </w14:solidFill>
          </w14:textFill>
        </w:rPr>
      </w:pPr>
      <w:bookmarkStart w:id="28" w:name="_Toc57984066"/>
      <w:bookmarkStart w:id="29" w:name="_Toc220074657"/>
      <w:r>
        <w:rPr>
          <w:rFonts w:hint="eastAsia" w:eastAsiaTheme="minorEastAsia"/>
          <w:b/>
          <w:color w:val="000000" w:themeColor="text1"/>
          <w:sz w:val="24"/>
          <w:szCs w:val="24"/>
          <w14:textFill>
            <w14:solidFill>
              <w14:schemeClr w14:val="tx1"/>
            </w14:solidFill>
          </w14:textFill>
        </w:rPr>
        <w:t>表</w:t>
      </w:r>
      <w:r>
        <w:rPr>
          <w:rFonts w:eastAsiaTheme="minorEastAsia"/>
          <w:b/>
          <w:color w:val="000000" w:themeColor="text1"/>
          <w:sz w:val="24"/>
          <w:szCs w:val="24"/>
          <w14:textFill>
            <w14:solidFill>
              <w14:schemeClr w14:val="tx1"/>
            </w14:solidFill>
          </w14:textFill>
        </w:rPr>
        <w:t xml:space="preserve">1-5           </w:t>
      </w:r>
      <w:bookmarkEnd w:id="28"/>
      <w:r>
        <w:rPr>
          <w:rFonts w:eastAsiaTheme="minorEastAsia"/>
          <w:b/>
          <w:color w:val="000000" w:themeColor="text1"/>
          <w:sz w:val="24"/>
          <w:szCs w:val="24"/>
          <w14:textFill>
            <w14:solidFill>
              <w14:schemeClr w14:val="tx1"/>
            </w14:solidFill>
          </w14:textFill>
        </w:rPr>
        <w:t xml:space="preserve">  </w:t>
      </w:r>
      <w:r>
        <w:rPr>
          <w:rFonts w:hint="eastAsia" w:eastAsiaTheme="minorEastAsia"/>
          <w:b/>
          <w:color w:val="000000" w:themeColor="text1"/>
          <w:sz w:val="24"/>
          <w:szCs w:val="24"/>
          <w14:textFill>
            <w14:solidFill>
              <w14:schemeClr w14:val="tx1"/>
            </w14:solidFill>
          </w14:textFill>
        </w:rPr>
        <w:t>二次备品库及车库通风空调系统设备规格及数量表</w:t>
      </w:r>
      <w:bookmarkEnd w:id="29"/>
    </w:p>
    <w:tbl>
      <w:tblPr>
        <w:tblStyle w:val="41"/>
        <w:tblW w:w="5000" w:type="pct"/>
        <w:tblInd w:w="0" w:type="dxa"/>
        <w:tblLayout w:type="fixed"/>
        <w:tblCellMar>
          <w:top w:w="0" w:type="dxa"/>
          <w:left w:w="108" w:type="dxa"/>
          <w:bottom w:w="0" w:type="dxa"/>
          <w:right w:w="108" w:type="dxa"/>
        </w:tblCellMar>
      </w:tblPr>
      <w:tblGrid>
        <w:gridCol w:w="738"/>
        <w:gridCol w:w="1729"/>
        <w:gridCol w:w="4281"/>
        <w:gridCol w:w="600"/>
        <w:gridCol w:w="748"/>
        <w:gridCol w:w="1191"/>
      </w:tblGrid>
      <w:tr w14:paraId="3CAAE5B4">
        <w:tblPrEx>
          <w:tblCellMar>
            <w:top w:w="0" w:type="dxa"/>
            <w:left w:w="108" w:type="dxa"/>
            <w:bottom w:w="0" w:type="dxa"/>
            <w:right w:w="108" w:type="dxa"/>
          </w:tblCellMar>
        </w:tblPrEx>
        <w:trPr>
          <w:trHeight w:val="499" w:hRule="atLeast"/>
          <w:tblHeader/>
        </w:trPr>
        <w:tc>
          <w:tcPr>
            <w:tcW w:w="397"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3E51D108">
            <w:pPr>
              <w:widowControl/>
              <w:adjustRightInd/>
              <w:spacing w:line="240" w:lineRule="auto"/>
              <w:jc w:val="center"/>
              <w:textAlignment w:val="auto"/>
              <w:rPr>
                <w:b/>
                <w:sz w:val="24"/>
                <w:szCs w:val="24"/>
              </w:rPr>
            </w:pPr>
            <w:r>
              <w:rPr>
                <w:rFonts w:hint="eastAsia" w:ascii="宋体" w:hAnsi="宋体"/>
                <w:b/>
                <w:sz w:val="24"/>
                <w:szCs w:val="24"/>
              </w:rPr>
              <w:t>序号</w:t>
            </w:r>
          </w:p>
        </w:tc>
        <w:tc>
          <w:tcPr>
            <w:tcW w:w="931" w:type="pct"/>
            <w:tcBorders>
              <w:top w:val="single" w:color="auto" w:sz="4" w:space="0"/>
              <w:left w:val="nil"/>
              <w:bottom w:val="single" w:color="auto" w:sz="4" w:space="0"/>
              <w:right w:val="single" w:color="auto" w:sz="4" w:space="0"/>
            </w:tcBorders>
            <w:shd w:val="clear" w:color="000000" w:fill="FFFFFF"/>
            <w:noWrap/>
            <w:vAlign w:val="center"/>
          </w:tcPr>
          <w:p w14:paraId="63CD050F">
            <w:pPr>
              <w:widowControl/>
              <w:adjustRightInd/>
              <w:spacing w:line="240" w:lineRule="auto"/>
              <w:jc w:val="center"/>
              <w:textAlignment w:val="auto"/>
              <w:rPr>
                <w:b/>
                <w:sz w:val="24"/>
                <w:szCs w:val="24"/>
              </w:rPr>
            </w:pPr>
            <w:r>
              <w:rPr>
                <w:rFonts w:hint="eastAsia" w:ascii="宋体" w:hAnsi="宋体"/>
                <w:b/>
                <w:sz w:val="24"/>
                <w:szCs w:val="24"/>
              </w:rPr>
              <w:t>设备材料名称</w:t>
            </w:r>
          </w:p>
        </w:tc>
        <w:tc>
          <w:tcPr>
            <w:tcW w:w="2305" w:type="pct"/>
            <w:tcBorders>
              <w:top w:val="single" w:color="auto" w:sz="4" w:space="0"/>
              <w:left w:val="nil"/>
              <w:bottom w:val="single" w:color="auto" w:sz="4" w:space="0"/>
              <w:right w:val="single" w:color="auto" w:sz="4" w:space="0"/>
            </w:tcBorders>
            <w:shd w:val="clear" w:color="000000" w:fill="FFFFFF"/>
            <w:vAlign w:val="center"/>
          </w:tcPr>
          <w:p w14:paraId="4B47F288">
            <w:pPr>
              <w:widowControl/>
              <w:adjustRightInd/>
              <w:spacing w:line="240" w:lineRule="auto"/>
              <w:jc w:val="center"/>
              <w:textAlignment w:val="auto"/>
              <w:rPr>
                <w:b/>
                <w:sz w:val="24"/>
                <w:szCs w:val="24"/>
              </w:rPr>
            </w:pPr>
            <w:r>
              <w:rPr>
                <w:rFonts w:hint="eastAsia" w:ascii="宋体" w:hAnsi="宋体"/>
                <w:b/>
                <w:sz w:val="24"/>
                <w:szCs w:val="24"/>
              </w:rPr>
              <w:t>设备材料规格</w:t>
            </w:r>
          </w:p>
        </w:tc>
        <w:tc>
          <w:tcPr>
            <w:tcW w:w="323" w:type="pct"/>
            <w:tcBorders>
              <w:top w:val="single" w:color="auto" w:sz="4" w:space="0"/>
              <w:left w:val="nil"/>
              <w:bottom w:val="single" w:color="auto" w:sz="4" w:space="0"/>
              <w:right w:val="single" w:color="auto" w:sz="4" w:space="0"/>
            </w:tcBorders>
            <w:shd w:val="clear" w:color="000000" w:fill="FFFFFF"/>
            <w:noWrap/>
            <w:vAlign w:val="center"/>
          </w:tcPr>
          <w:p w14:paraId="22301C55">
            <w:pPr>
              <w:widowControl/>
              <w:adjustRightInd/>
              <w:spacing w:line="240" w:lineRule="auto"/>
              <w:jc w:val="center"/>
              <w:textAlignment w:val="auto"/>
              <w:rPr>
                <w:b/>
                <w:sz w:val="24"/>
                <w:szCs w:val="24"/>
              </w:rPr>
            </w:pPr>
            <w:r>
              <w:rPr>
                <w:rFonts w:hint="eastAsia" w:ascii="宋体" w:hAnsi="宋体"/>
                <w:b/>
                <w:sz w:val="24"/>
                <w:szCs w:val="24"/>
              </w:rPr>
              <w:t>单位</w:t>
            </w:r>
          </w:p>
        </w:tc>
        <w:tc>
          <w:tcPr>
            <w:tcW w:w="403" w:type="pct"/>
            <w:tcBorders>
              <w:top w:val="single" w:color="auto" w:sz="4" w:space="0"/>
              <w:left w:val="nil"/>
              <w:bottom w:val="single" w:color="auto" w:sz="4" w:space="0"/>
              <w:right w:val="single" w:color="auto" w:sz="4" w:space="0"/>
            </w:tcBorders>
            <w:shd w:val="clear" w:color="000000" w:fill="FFFFFF"/>
            <w:noWrap/>
            <w:vAlign w:val="center"/>
          </w:tcPr>
          <w:p w14:paraId="2ABBA2F3">
            <w:pPr>
              <w:widowControl/>
              <w:adjustRightInd/>
              <w:spacing w:line="240" w:lineRule="auto"/>
              <w:jc w:val="center"/>
              <w:textAlignment w:val="auto"/>
              <w:rPr>
                <w:b/>
                <w:sz w:val="24"/>
                <w:szCs w:val="24"/>
              </w:rPr>
            </w:pPr>
            <w:r>
              <w:rPr>
                <w:rFonts w:hint="eastAsia" w:ascii="宋体" w:hAnsi="宋体"/>
                <w:b/>
                <w:sz w:val="24"/>
                <w:szCs w:val="24"/>
              </w:rPr>
              <w:t>数量</w:t>
            </w:r>
          </w:p>
        </w:tc>
        <w:tc>
          <w:tcPr>
            <w:tcW w:w="641" w:type="pct"/>
            <w:tcBorders>
              <w:top w:val="single" w:color="auto" w:sz="4" w:space="0"/>
              <w:left w:val="nil"/>
              <w:bottom w:val="single" w:color="auto" w:sz="4" w:space="0"/>
              <w:right w:val="single" w:color="auto" w:sz="4" w:space="0"/>
            </w:tcBorders>
            <w:shd w:val="clear" w:color="000000" w:fill="FFFFFF"/>
            <w:noWrap/>
            <w:vAlign w:val="center"/>
          </w:tcPr>
          <w:p w14:paraId="7B671559">
            <w:pPr>
              <w:widowControl/>
              <w:adjustRightInd/>
              <w:spacing w:line="240" w:lineRule="auto"/>
              <w:jc w:val="center"/>
              <w:textAlignment w:val="auto"/>
              <w:rPr>
                <w:b/>
                <w:sz w:val="24"/>
                <w:szCs w:val="24"/>
              </w:rPr>
            </w:pPr>
            <w:r>
              <w:rPr>
                <w:rFonts w:hint="eastAsia" w:ascii="宋体" w:hAnsi="宋体"/>
                <w:b/>
                <w:sz w:val="24"/>
                <w:szCs w:val="24"/>
              </w:rPr>
              <w:t>备注</w:t>
            </w:r>
          </w:p>
        </w:tc>
      </w:tr>
      <w:tr w14:paraId="791BFB9D">
        <w:tblPrEx>
          <w:tblCellMar>
            <w:top w:w="0" w:type="dxa"/>
            <w:left w:w="108" w:type="dxa"/>
            <w:bottom w:w="0" w:type="dxa"/>
            <w:right w:w="108" w:type="dxa"/>
          </w:tblCellMar>
        </w:tblPrEx>
        <w:trPr>
          <w:trHeight w:val="823"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033AF34D">
            <w:pPr>
              <w:pStyle w:val="178"/>
              <w:widowControl/>
              <w:numPr>
                <w:ilvl w:val="0"/>
                <w:numId w:val="10"/>
              </w:numPr>
              <w:spacing w:line="240" w:lineRule="auto"/>
              <w:ind w:firstLineChars="0"/>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07947A56">
            <w:pPr>
              <w:widowControl/>
              <w:adjustRightInd/>
              <w:spacing w:line="240" w:lineRule="auto"/>
              <w:jc w:val="left"/>
              <w:textAlignment w:val="auto"/>
              <w:rPr>
                <w:szCs w:val="21"/>
              </w:rPr>
            </w:pPr>
            <w:r>
              <w:rPr>
                <w:rFonts w:hint="eastAsia"/>
                <w:szCs w:val="21"/>
              </w:rPr>
              <w:t>壁挂式分体空调</w:t>
            </w:r>
          </w:p>
        </w:tc>
        <w:tc>
          <w:tcPr>
            <w:tcW w:w="2305" w:type="pct"/>
            <w:tcBorders>
              <w:top w:val="nil"/>
              <w:left w:val="nil"/>
              <w:bottom w:val="single" w:color="auto" w:sz="4" w:space="0"/>
              <w:right w:val="single" w:color="auto" w:sz="4" w:space="0"/>
            </w:tcBorders>
            <w:shd w:val="clear" w:color="000000" w:fill="FFFFFF"/>
            <w:vAlign w:val="center"/>
          </w:tcPr>
          <w:p w14:paraId="6625F2E9">
            <w:pPr>
              <w:widowControl/>
              <w:adjustRightInd/>
              <w:spacing w:line="240" w:lineRule="auto"/>
              <w:jc w:val="left"/>
              <w:textAlignment w:val="auto"/>
              <w:rPr>
                <w:szCs w:val="21"/>
              </w:rPr>
            </w:pPr>
            <w:r>
              <w:rPr>
                <w:rFonts w:hint="eastAsia"/>
                <w:szCs w:val="21"/>
              </w:rPr>
              <w:t>制冷量：</w:t>
            </w:r>
            <w:r>
              <w:rPr>
                <w:color w:val="000000"/>
                <w:szCs w:val="21"/>
              </w:rPr>
              <w:t>5.0kW</w:t>
            </w:r>
            <w:r>
              <w:rPr>
                <w:rFonts w:hint="eastAsia"/>
                <w:color w:val="000000"/>
                <w:szCs w:val="21"/>
              </w:rPr>
              <w:t>，制热量：</w:t>
            </w:r>
            <w:r>
              <w:rPr>
                <w:color w:val="000000"/>
                <w:szCs w:val="21"/>
              </w:rPr>
              <w:t>6.0kW</w:t>
            </w:r>
            <w:r>
              <w:rPr>
                <w:rFonts w:hint="eastAsia"/>
                <w:color w:val="000000"/>
                <w:szCs w:val="21"/>
              </w:rPr>
              <w:t>，功率：</w:t>
            </w:r>
            <w:r>
              <w:rPr>
                <w:color w:val="000000"/>
                <w:szCs w:val="21"/>
              </w:rPr>
              <w:t>1.5kW/220V,</w:t>
            </w:r>
            <w:r>
              <w:rPr>
                <w:rFonts w:hint="eastAsia"/>
                <w:color w:val="000000"/>
                <w:szCs w:val="21"/>
              </w:rPr>
              <w:t>能效等级不低于</w:t>
            </w:r>
            <w:r>
              <w:rPr>
                <w:color w:val="000000"/>
                <w:szCs w:val="21"/>
              </w:rPr>
              <w:t>2</w:t>
            </w:r>
            <w:r>
              <w:rPr>
                <w:rFonts w:hint="eastAsia"/>
                <w:color w:val="000000"/>
                <w:szCs w:val="21"/>
              </w:rPr>
              <w:t>级</w:t>
            </w:r>
            <w:r>
              <w:rPr>
                <w:color w:val="000000"/>
                <w:szCs w:val="21"/>
              </w:rPr>
              <w:t>,</w:t>
            </w:r>
            <w:r>
              <w:rPr>
                <w:rFonts w:hint="eastAsia"/>
                <w:color w:val="000000"/>
                <w:szCs w:val="21"/>
              </w:rPr>
              <w:t>采用环保冷媒</w:t>
            </w:r>
            <w:r>
              <w:rPr>
                <w:color w:val="000000"/>
                <w:szCs w:val="21"/>
              </w:rPr>
              <w:t>,</w:t>
            </w:r>
            <w:r>
              <w:rPr>
                <w:rFonts w:hint="eastAsia"/>
                <w:color w:val="000000"/>
                <w:szCs w:val="21"/>
              </w:rPr>
              <w:t>所有外露冷媒管采用成品槽盒外包；带远控端子，带</w:t>
            </w:r>
            <w:r>
              <w:rPr>
                <w:color w:val="000000"/>
                <w:szCs w:val="21"/>
              </w:rPr>
              <w:t>RS485</w:t>
            </w:r>
            <w:r>
              <w:rPr>
                <w:rFonts w:hint="eastAsia"/>
                <w:color w:val="000000"/>
                <w:szCs w:val="21"/>
              </w:rPr>
              <w:t>接口（通信规约：</w:t>
            </w:r>
            <w:r>
              <w:rPr>
                <w:color w:val="000000"/>
                <w:szCs w:val="21"/>
              </w:rPr>
              <w:t>MODBUS</w:t>
            </w:r>
            <w:r>
              <w:rPr>
                <w:rFonts w:hint="eastAsia"/>
                <w:color w:val="000000"/>
                <w:szCs w:val="21"/>
              </w:rPr>
              <w:t>）或网口接口（通信规约：</w:t>
            </w:r>
            <w:r>
              <w:rPr>
                <w:color w:val="000000"/>
                <w:szCs w:val="21"/>
              </w:rPr>
              <w:t>IEC-61850</w:t>
            </w:r>
            <w:r>
              <w:rPr>
                <w:rFonts w:hint="eastAsia"/>
                <w:color w:val="000000"/>
                <w:szCs w:val="21"/>
              </w:rPr>
              <w:t>）</w:t>
            </w:r>
          </w:p>
        </w:tc>
        <w:tc>
          <w:tcPr>
            <w:tcW w:w="323" w:type="pct"/>
            <w:tcBorders>
              <w:top w:val="nil"/>
              <w:left w:val="nil"/>
              <w:bottom w:val="single" w:color="auto" w:sz="4" w:space="0"/>
              <w:right w:val="single" w:color="auto" w:sz="4" w:space="0"/>
            </w:tcBorders>
            <w:shd w:val="clear" w:color="000000" w:fill="FFFFFF"/>
            <w:noWrap/>
            <w:vAlign w:val="center"/>
          </w:tcPr>
          <w:p w14:paraId="58E4B1EB">
            <w:pPr>
              <w:widowControl/>
              <w:adjustRightInd/>
              <w:spacing w:line="240" w:lineRule="auto"/>
              <w:jc w:val="center"/>
              <w:textAlignment w:val="auto"/>
              <w:rPr>
                <w:szCs w:val="21"/>
              </w:rPr>
            </w:pPr>
            <w:r>
              <w:rPr>
                <w:rFonts w:hint="eastAsia"/>
                <w:szCs w:val="21"/>
              </w:rPr>
              <w:t>台</w:t>
            </w:r>
          </w:p>
        </w:tc>
        <w:tc>
          <w:tcPr>
            <w:tcW w:w="403" w:type="pct"/>
            <w:tcBorders>
              <w:top w:val="nil"/>
              <w:left w:val="nil"/>
              <w:bottom w:val="single" w:color="auto" w:sz="4" w:space="0"/>
              <w:right w:val="single" w:color="auto" w:sz="4" w:space="0"/>
            </w:tcBorders>
            <w:shd w:val="clear" w:color="000000" w:fill="FFFFFF"/>
            <w:noWrap/>
            <w:vAlign w:val="center"/>
          </w:tcPr>
          <w:p w14:paraId="588A7AC2">
            <w:pPr>
              <w:widowControl/>
              <w:adjustRightInd/>
              <w:spacing w:line="240" w:lineRule="auto"/>
              <w:jc w:val="center"/>
              <w:textAlignment w:val="auto"/>
              <w:rPr>
                <w:szCs w:val="21"/>
              </w:rPr>
            </w:pPr>
            <w:r>
              <w:rPr>
                <w:rFonts w:hint="eastAsia"/>
                <w:szCs w:val="21"/>
              </w:rPr>
              <w:t>8</w:t>
            </w:r>
          </w:p>
        </w:tc>
        <w:tc>
          <w:tcPr>
            <w:tcW w:w="641" w:type="pct"/>
            <w:tcBorders>
              <w:top w:val="nil"/>
              <w:left w:val="nil"/>
              <w:bottom w:val="single" w:color="auto" w:sz="4" w:space="0"/>
              <w:right w:val="single" w:color="auto" w:sz="4" w:space="0"/>
            </w:tcBorders>
            <w:shd w:val="clear" w:color="000000" w:fill="FFFFFF"/>
            <w:noWrap/>
            <w:vAlign w:val="center"/>
          </w:tcPr>
          <w:p w14:paraId="53943E04">
            <w:pPr>
              <w:widowControl/>
              <w:adjustRightInd/>
              <w:spacing w:line="240" w:lineRule="auto"/>
              <w:jc w:val="center"/>
              <w:textAlignment w:val="auto"/>
              <w:rPr>
                <w:szCs w:val="21"/>
              </w:rPr>
            </w:pPr>
          </w:p>
        </w:tc>
      </w:tr>
      <w:tr w14:paraId="613C62F8">
        <w:tblPrEx>
          <w:tblCellMar>
            <w:top w:w="0" w:type="dxa"/>
            <w:left w:w="108" w:type="dxa"/>
            <w:bottom w:w="0" w:type="dxa"/>
            <w:right w:w="108" w:type="dxa"/>
          </w:tblCellMar>
        </w:tblPrEx>
        <w:trPr>
          <w:trHeight w:val="499"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41909FE9">
            <w:pPr>
              <w:pStyle w:val="178"/>
              <w:widowControl/>
              <w:numPr>
                <w:ilvl w:val="0"/>
                <w:numId w:val="10"/>
              </w:numPr>
              <w:spacing w:line="240" w:lineRule="auto"/>
              <w:ind w:firstLineChars="0"/>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64537A72">
            <w:pPr>
              <w:widowControl/>
              <w:adjustRightInd/>
              <w:spacing w:line="240" w:lineRule="auto"/>
              <w:jc w:val="left"/>
              <w:textAlignment w:val="auto"/>
              <w:rPr>
                <w:szCs w:val="21"/>
              </w:rPr>
            </w:pPr>
            <w:r>
              <w:rPr>
                <w:rFonts w:hint="eastAsia"/>
                <w:szCs w:val="21"/>
              </w:rPr>
              <w:t>壁挂式分体空调</w:t>
            </w:r>
          </w:p>
        </w:tc>
        <w:tc>
          <w:tcPr>
            <w:tcW w:w="2305" w:type="pct"/>
            <w:tcBorders>
              <w:top w:val="nil"/>
              <w:left w:val="nil"/>
              <w:bottom w:val="single" w:color="auto" w:sz="4" w:space="0"/>
              <w:right w:val="single" w:color="auto" w:sz="4" w:space="0"/>
            </w:tcBorders>
            <w:shd w:val="clear" w:color="000000" w:fill="FFFFFF"/>
            <w:vAlign w:val="center"/>
          </w:tcPr>
          <w:p w14:paraId="718D4838">
            <w:pPr>
              <w:widowControl/>
              <w:adjustRightInd/>
              <w:spacing w:line="240" w:lineRule="auto"/>
              <w:jc w:val="left"/>
              <w:textAlignment w:val="auto"/>
              <w:rPr>
                <w:szCs w:val="21"/>
              </w:rPr>
            </w:pPr>
            <w:r>
              <w:rPr>
                <w:rFonts w:hint="eastAsia"/>
                <w:szCs w:val="21"/>
              </w:rPr>
              <w:t>制冷量：</w:t>
            </w:r>
            <w:r>
              <w:rPr>
                <w:color w:val="000000"/>
                <w:szCs w:val="21"/>
              </w:rPr>
              <w:t>7.2kW</w:t>
            </w:r>
            <w:r>
              <w:rPr>
                <w:rFonts w:hint="eastAsia"/>
                <w:color w:val="000000"/>
                <w:szCs w:val="21"/>
              </w:rPr>
              <w:t>，制热量：</w:t>
            </w:r>
            <w:r>
              <w:rPr>
                <w:color w:val="000000"/>
                <w:szCs w:val="21"/>
              </w:rPr>
              <w:t>8.5kW</w:t>
            </w:r>
            <w:r>
              <w:rPr>
                <w:rFonts w:hint="eastAsia"/>
                <w:color w:val="000000"/>
                <w:szCs w:val="21"/>
              </w:rPr>
              <w:t>，功率：</w:t>
            </w:r>
            <w:r>
              <w:rPr>
                <w:color w:val="000000"/>
                <w:szCs w:val="21"/>
              </w:rPr>
              <w:t>2.12kW/220V,</w:t>
            </w:r>
            <w:r>
              <w:rPr>
                <w:rFonts w:hint="eastAsia"/>
                <w:color w:val="000000"/>
                <w:szCs w:val="21"/>
              </w:rPr>
              <w:t>能效等级不低于</w:t>
            </w:r>
            <w:r>
              <w:rPr>
                <w:color w:val="000000"/>
                <w:szCs w:val="21"/>
              </w:rPr>
              <w:t>2</w:t>
            </w:r>
            <w:r>
              <w:rPr>
                <w:rFonts w:hint="eastAsia"/>
                <w:color w:val="000000"/>
                <w:szCs w:val="21"/>
              </w:rPr>
              <w:t>级</w:t>
            </w:r>
            <w:r>
              <w:rPr>
                <w:color w:val="000000"/>
                <w:szCs w:val="21"/>
              </w:rPr>
              <w:t>,</w:t>
            </w:r>
            <w:r>
              <w:rPr>
                <w:rFonts w:hint="eastAsia"/>
                <w:color w:val="000000"/>
                <w:szCs w:val="21"/>
              </w:rPr>
              <w:t>采用环保冷媒</w:t>
            </w:r>
            <w:r>
              <w:rPr>
                <w:color w:val="000000"/>
                <w:szCs w:val="21"/>
              </w:rPr>
              <w:t>,</w:t>
            </w:r>
            <w:r>
              <w:rPr>
                <w:rFonts w:hint="eastAsia"/>
                <w:color w:val="000000"/>
                <w:szCs w:val="21"/>
              </w:rPr>
              <w:t>所有外露冷媒管采用成品槽盒外包；带远控端子，带RS485接口（通信规约：MODBUS）或网口接口（通信规约：IEC-61850）</w:t>
            </w:r>
          </w:p>
        </w:tc>
        <w:tc>
          <w:tcPr>
            <w:tcW w:w="323" w:type="pct"/>
            <w:tcBorders>
              <w:top w:val="nil"/>
              <w:left w:val="nil"/>
              <w:bottom w:val="single" w:color="auto" w:sz="4" w:space="0"/>
              <w:right w:val="single" w:color="auto" w:sz="4" w:space="0"/>
            </w:tcBorders>
            <w:shd w:val="clear" w:color="000000" w:fill="FFFFFF"/>
            <w:noWrap/>
            <w:vAlign w:val="center"/>
          </w:tcPr>
          <w:p w14:paraId="54188042">
            <w:pPr>
              <w:widowControl/>
              <w:adjustRightInd/>
              <w:spacing w:line="240" w:lineRule="auto"/>
              <w:jc w:val="center"/>
              <w:textAlignment w:val="auto"/>
              <w:rPr>
                <w:szCs w:val="21"/>
              </w:rPr>
            </w:pPr>
            <w:r>
              <w:rPr>
                <w:rFonts w:hint="eastAsia"/>
                <w:szCs w:val="21"/>
              </w:rPr>
              <w:t>台</w:t>
            </w:r>
          </w:p>
        </w:tc>
        <w:tc>
          <w:tcPr>
            <w:tcW w:w="403" w:type="pct"/>
            <w:tcBorders>
              <w:top w:val="nil"/>
              <w:left w:val="nil"/>
              <w:bottom w:val="single" w:color="auto" w:sz="4" w:space="0"/>
              <w:right w:val="single" w:color="auto" w:sz="4" w:space="0"/>
            </w:tcBorders>
            <w:shd w:val="clear" w:color="000000" w:fill="FFFFFF"/>
            <w:noWrap/>
            <w:vAlign w:val="center"/>
          </w:tcPr>
          <w:p w14:paraId="4AFD3DD1">
            <w:pPr>
              <w:widowControl/>
              <w:adjustRightInd/>
              <w:spacing w:line="240" w:lineRule="auto"/>
              <w:jc w:val="center"/>
              <w:textAlignment w:val="auto"/>
              <w:rPr>
                <w:szCs w:val="21"/>
              </w:rPr>
            </w:pPr>
            <w:r>
              <w:rPr>
                <w:rFonts w:hint="eastAsia"/>
                <w:szCs w:val="21"/>
              </w:rPr>
              <w:t>14</w:t>
            </w:r>
          </w:p>
        </w:tc>
        <w:tc>
          <w:tcPr>
            <w:tcW w:w="641" w:type="pct"/>
            <w:tcBorders>
              <w:top w:val="nil"/>
              <w:left w:val="nil"/>
              <w:bottom w:val="single" w:color="auto" w:sz="4" w:space="0"/>
              <w:right w:val="single" w:color="auto" w:sz="4" w:space="0"/>
            </w:tcBorders>
            <w:shd w:val="clear" w:color="000000" w:fill="FFFFFF"/>
            <w:noWrap/>
            <w:vAlign w:val="center"/>
          </w:tcPr>
          <w:p w14:paraId="70394C98">
            <w:pPr>
              <w:widowControl/>
              <w:adjustRightInd/>
              <w:spacing w:line="240" w:lineRule="auto"/>
              <w:jc w:val="center"/>
              <w:textAlignment w:val="auto"/>
              <w:rPr>
                <w:szCs w:val="21"/>
              </w:rPr>
            </w:pPr>
          </w:p>
        </w:tc>
      </w:tr>
      <w:tr w14:paraId="349B6BD4">
        <w:tblPrEx>
          <w:tblCellMar>
            <w:top w:w="0" w:type="dxa"/>
            <w:left w:w="108" w:type="dxa"/>
            <w:bottom w:w="0" w:type="dxa"/>
            <w:right w:w="108" w:type="dxa"/>
          </w:tblCellMar>
        </w:tblPrEx>
        <w:trPr>
          <w:trHeight w:val="630"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64ADB8C1">
            <w:pPr>
              <w:pStyle w:val="178"/>
              <w:widowControl/>
              <w:numPr>
                <w:ilvl w:val="0"/>
                <w:numId w:val="10"/>
              </w:numPr>
              <w:spacing w:line="240" w:lineRule="auto"/>
              <w:ind w:firstLineChars="0"/>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7795BD32">
            <w:pPr>
              <w:widowControl/>
              <w:adjustRightInd/>
              <w:spacing w:line="240" w:lineRule="auto"/>
              <w:jc w:val="left"/>
              <w:textAlignment w:val="auto"/>
              <w:rPr>
                <w:rFonts w:ascii="宋体" w:hAnsi="宋体" w:cs="宋体"/>
                <w:szCs w:val="21"/>
              </w:rPr>
            </w:pPr>
            <w:r>
              <w:rPr>
                <w:rFonts w:hint="eastAsia"/>
                <w:szCs w:val="21"/>
              </w:rPr>
              <w:t>钢制低噪声轴流风机</w:t>
            </w:r>
          </w:p>
        </w:tc>
        <w:tc>
          <w:tcPr>
            <w:tcW w:w="2305" w:type="pct"/>
            <w:tcBorders>
              <w:top w:val="nil"/>
              <w:left w:val="nil"/>
              <w:bottom w:val="single" w:color="auto" w:sz="4" w:space="0"/>
              <w:right w:val="single" w:color="auto" w:sz="4" w:space="0"/>
            </w:tcBorders>
            <w:shd w:val="clear" w:color="000000" w:fill="FFFFFF"/>
            <w:vAlign w:val="center"/>
          </w:tcPr>
          <w:p w14:paraId="46881562">
            <w:pPr>
              <w:widowControl/>
              <w:adjustRightInd/>
              <w:spacing w:line="240" w:lineRule="auto"/>
              <w:jc w:val="left"/>
              <w:textAlignment w:val="auto"/>
              <w:rPr>
                <w:szCs w:val="21"/>
              </w:rPr>
            </w:pPr>
            <w:r>
              <w:rPr>
                <w:rFonts w:hint="eastAsia"/>
                <w:szCs w:val="21"/>
              </w:rPr>
              <w:t>风量：</w:t>
            </w:r>
            <w:r>
              <w:rPr>
                <w:color w:val="000000"/>
                <w:szCs w:val="21"/>
              </w:rPr>
              <w:t>1200m3/h</w:t>
            </w:r>
            <w:r>
              <w:rPr>
                <w:rFonts w:hint="eastAsia"/>
                <w:color w:val="000000"/>
                <w:szCs w:val="21"/>
              </w:rPr>
              <w:t>，风压：</w:t>
            </w:r>
            <w:r>
              <w:rPr>
                <w:color w:val="000000"/>
                <w:szCs w:val="21"/>
              </w:rPr>
              <w:t>50Pa</w:t>
            </w:r>
            <w:r>
              <w:rPr>
                <w:rFonts w:hint="eastAsia"/>
                <w:color w:val="000000"/>
                <w:szCs w:val="21"/>
              </w:rPr>
              <w:t>，功率：</w:t>
            </w:r>
            <w:r>
              <w:rPr>
                <w:color w:val="000000"/>
                <w:szCs w:val="21"/>
              </w:rPr>
              <w:t>0.18kW/380V</w:t>
            </w:r>
            <w:r>
              <w:rPr>
                <w:rFonts w:hint="eastAsia"/>
                <w:color w:val="000000"/>
                <w:szCs w:val="21"/>
              </w:rPr>
              <w:t>，噪声≤</w:t>
            </w:r>
            <w:r>
              <w:rPr>
                <w:color w:val="000000"/>
                <w:szCs w:val="21"/>
              </w:rPr>
              <w:t>62dB(A)，</w:t>
            </w:r>
            <w:r>
              <w:rPr>
                <w:rFonts w:hint="eastAsia"/>
                <w:color w:val="000000"/>
                <w:szCs w:val="21"/>
              </w:rPr>
              <w:t>能效等级不低于2级</w:t>
            </w:r>
          </w:p>
        </w:tc>
        <w:tc>
          <w:tcPr>
            <w:tcW w:w="323" w:type="pct"/>
            <w:tcBorders>
              <w:top w:val="nil"/>
              <w:left w:val="nil"/>
              <w:bottom w:val="single" w:color="auto" w:sz="4" w:space="0"/>
              <w:right w:val="single" w:color="auto" w:sz="4" w:space="0"/>
            </w:tcBorders>
            <w:shd w:val="clear" w:color="000000" w:fill="FFFFFF"/>
            <w:noWrap/>
            <w:vAlign w:val="center"/>
          </w:tcPr>
          <w:p w14:paraId="6DA931EE">
            <w:pPr>
              <w:widowControl/>
              <w:adjustRightInd/>
              <w:spacing w:line="240" w:lineRule="auto"/>
              <w:jc w:val="center"/>
              <w:textAlignment w:val="auto"/>
              <w:rPr>
                <w:szCs w:val="21"/>
              </w:rPr>
            </w:pPr>
            <w:r>
              <w:rPr>
                <w:rFonts w:hint="eastAsia"/>
                <w:szCs w:val="21"/>
              </w:rPr>
              <w:t>台</w:t>
            </w:r>
          </w:p>
        </w:tc>
        <w:tc>
          <w:tcPr>
            <w:tcW w:w="403" w:type="pct"/>
            <w:tcBorders>
              <w:top w:val="nil"/>
              <w:left w:val="nil"/>
              <w:bottom w:val="single" w:color="auto" w:sz="4" w:space="0"/>
              <w:right w:val="single" w:color="auto" w:sz="4" w:space="0"/>
            </w:tcBorders>
            <w:shd w:val="clear" w:color="000000" w:fill="FFFFFF"/>
            <w:noWrap/>
            <w:vAlign w:val="center"/>
          </w:tcPr>
          <w:p w14:paraId="0EED75CB">
            <w:pPr>
              <w:widowControl/>
              <w:adjustRightInd/>
              <w:spacing w:line="240" w:lineRule="auto"/>
              <w:jc w:val="center"/>
              <w:textAlignment w:val="auto"/>
              <w:rPr>
                <w:szCs w:val="21"/>
              </w:rPr>
            </w:pPr>
            <w:r>
              <w:rPr>
                <w:rFonts w:hint="eastAsia"/>
                <w:szCs w:val="21"/>
              </w:rPr>
              <w:t>13</w:t>
            </w:r>
          </w:p>
        </w:tc>
        <w:tc>
          <w:tcPr>
            <w:tcW w:w="641" w:type="pct"/>
            <w:tcBorders>
              <w:top w:val="nil"/>
              <w:left w:val="nil"/>
              <w:bottom w:val="single" w:color="auto" w:sz="4" w:space="0"/>
              <w:right w:val="single" w:color="auto" w:sz="4" w:space="0"/>
            </w:tcBorders>
            <w:shd w:val="clear" w:color="000000" w:fill="FFFFFF"/>
            <w:noWrap/>
            <w:vAlign w:val="center"/>
          </w:tcPr>
          <w:p w14:paraId="46CCA9D0">
            <w:pPr>
              <w:widowControl/>
              <w:adjustRightInd/>
              <w:spacing w:line="240" w:lineRule="auto"/>
              <w:jc w:val="center"/>
              <w:textAlignment w:val="auto"/>
              <w:rPr>
                <w:szCs w:val="21"/>
              </w:rPr>
            </w:pPr>
            <w:r>
              <w:rPr>
                <w:rFonts w:hint="eastAsia"/>
                <w:szCs w:val="21"/>
              </w:rPr>
              <w:t>　</w:t>
            </w:r>
          </w:p>
        </w:tc>
      </w:tr>
      <w:tr w14:paraId="687BD698">
        <w:tblPrEx>
          <w:tblCellMar>
            <w:top w:w="0" w:type="dxa"/>
            <w:left w:w="108" w:type="dxa"/>
            <w:bottom w:w="0" w:type="dxa"/>
            <w:right w:w="108" w:type="dxa"/>
          </w:tblCellMar>
        </w:tblPrEx>
        <w:trPr>
          <w:trHeight w:val="499"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498460A2">
            <w:pPr>
              <w:pStyle w:val="178"/>
              <w:widowControl/>
              <w:numPr>
                <w:ilvl w:val="0"/>
                <w:numId w:val="10"/>
              </w:numPr>
              <w:spacing w:line="240" w:lineRule="auto"/>
              <w:ind w:firstLineChars="0"/>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767BFEAA">
            <w:pPr>
              <w:widowControl/>
              <w:adjustRightInd/>
              <w:spacing w:line="240" w:lineRule="auto"/>
              <w:jc w:val="left"/>
              <w:textAlignment w:val="auto"/>
              <w:rPr>
                <w:szCs w:val="21"/>
              </w:rPr>
            </w:pPr>
            <w:r>
              <w:rPr>
                <w:rFonts w:hint="eastAsia"/>
                <w:szCs w:val="21"/>
              </w:rPr>
              <w:t>钢制低噪声轴流风机</w:t>
            </w:r>
          </w:p>
        </w:tc>
        <w:tc>
          <w:tcPr>
            <w:tcW w:w="2305" w:type="pct"/>
            <w:tcBorders>
              <w:top w:val="nil"/>
              <w:left w:val="nil"/>
              <w:bottom w:val="single" w:color="auto" w:sz="4" w:space="0"/>
              <w:right w:val="single" w:color="auto" w:sz="4" w:space="0"/>
            </w:tcBorders>
            <w:shd w:val="clear" w:color="000000" w:fill="FFFFFF"/>
            <w:vAlign w:val="center"/>
          </w:tcPr>
          <w:p w14:paraId="0DE5BB78">
            <w:pPr>
              <w:widowControl/>
              <w:adjustRightInd/>
              <w:spacing w:line="240" w:lineRule="auto"/>
              <w:jc w:val="left"/>
              <w:textAlignment w:val="auto"/>
              <w:rPr>
                <w:szCs w:val="21"/>
              </w:rPr>
            </w:pPr>
            <w:r>
              <w:rPr>
                <w:rFonts w:hint="eastAsia"/>
                <w:szCs w:val="21"/>
              </w:rPr>
              <w:t>风量：</w:t>
            </w:r>
            <w:r>
              <w:rPr>
                <w:color w:val="000000"/>
                <w:szCs w:val="21"/>
              </w:rPr>
              <w:t>2000m3/h</w:t>
            </w:r>
            <w:r>
              <w:rPr>
                <w:rFonts w:hint="eastAsia"/>
                <w:color w:val="000000"/>
                <w:szCs w:val="21"/>
              </w:rPr>
              <w:t>，风压：</w:t>
            </w:r>
            <w:r>
              <w:rPr>
                <w:color w:val="000000"/>
                <w:szCs w:val="21"/>
              </w:rPr>
              <w:t>50Pa</w:t>
            </w:r>
            <w:r>
              <w:rPr>
                <w:rFonts w:hint="eastAsia"/>
                <w:color w:val="000000"/>
                <w:szCs w:val="21"/>
              </w:rPr>
              <w:t>，功率：</w:t>
            </w:r>
            <w:r>
              <w:rPr>
                <w:color w:val="000000"/>
                <w:szCs w:val="21"/>
              </w:rPr>
              <w:t>0.25kW/380V</w:t>
            </w:r>
            <w:r>
              <w:rPr>
                <w:rFonts w:hint="eastAsia"/>
                <w:color w:val="000000"/>
                <w:szCs w:val="21"/>
              </w:rPr>
              <w:t>，噪声≤</w:t>
            </w:r>
            <w:r>
              <w:rPr>
                <w:color w:val="000000"/>
                <w:szCs w:val="21"/>
              </w:rPr>
              <w:t>62dB(A)，</w:t>
            </w:r>
            <w:r>
              <w:rPr>
                <w:rFonts w:hint="eastAsia"/>
                <w:color w:val="000000"/>
                <w:szCs w:val="21"/>
              </w:rPr>
              <w:t>能效等级不低于2级</w:t>
            </w:r>
          </w:p>
        </w:tc>
        <w:tc>
          <w:tcPr>
            <w:tcW w:w="323" w:type="pct"/>
            <w:tcBorders>
              <w:top w:val="nil"/>
              <w:left w:val="nil"/>
              <w:bottom w:val="single" w:color="auto" w:sz="4" w:space="0"/>
              <w:right w:val="single" w:color="auto" w:sz="4" w:space="0"/>
            </w:tcBorders>
            <w:shd w:val="clear" w:color="000000" w:fill="FFFFFF"/>
            <w:noWrap/>
            <w:vAlign w:val="center"/>
          </w:tcPr>
          <w:p w14:paraId="415599E0">
            <w:pPr>
              <w:widowControl/>
              <w:adjustRightInd/>
              <w:spacing w:line="240" w:lineRule="auto"/>
              <w:jc w:val="center"/>
              <w:textAlignment w:val="auto"/>
              <w:rPr>
                <w:szCs w:val="21"/>
              </w:rPr>
            </w:pPr>
            <w:r>
              <w:rPr>
                <w:rFonts w:hint="eastAsia"/>
                <w:szCs w:val="21"/>
              </w:rPr>
              <w:t>台</w:t>
            </w:r>
          </w:p>
        </w:tc>
        <w:tc>
          <w:tcPr>
            <w:tcW w:w="403" w:type="pct"/>
            <w:tcBorders>
              <w:top w:val="nil"/>
              <w:left w:val="nil"/>
              <w:bottom w:val="single" w:color="auto" w:sz="4" w:space="0"/>
              <w:right w:val="single" w:color="auto" w:sz="4" w:space="0"/>
            </w:tcBorders>
            <w:shd w:val="clear" w:color="000000" w:fill="FFFFFF"/>
            <w:noWrap/>
            <w:vAlign w:val="center"/>
          </w:tcPr>
          <w:p w14:paraId="0BFCF175">
            <w:pPr>
              <w:widowControl/>
              <w:adjustRightInd/>
              <w:spacing w:line="240" w:lineRule="auto"/>
              <w:jc w:val="center"/>
              <w:textAlignment w:val="auto"/>
              <w:rPr>
                <w:szCs w:val="21"/>
              </w:rPr>
            </w:pPr>
            <w:r>
              <w:rPr>
                <w:rFonts w:hint="eastAsia"/>
                <w:szCs w:val="21"/>
              </w:rPr>
              <w:t>1</w:t>
            </w:r>
          </w:p>
        </w:tc>
        <w:tc>
          <w:tcPr>
            <w:tcW w:w="641" w:type="pct"/>
            <w:tcBorders>
              <w:top w:val="nil"/>
              <w:left w:val="nil"/>
              <w:bottom w:val="single" w:color="auto" w:sz="4" w:space="0"/>
              <w:right w:val="single" w:color="auto" w:sz="4" w:space="0"/>
            </w:tcBorders>
            <w:shd w:val="clear" w:color="000000" w:fill="FFFFFF"/>
            <w:noWrap/>
            <w:vAlign w:val="center"/>
          </w:tcPr>
          <w:p w14:paraId="01C7C922">
            <w:pPr>
              <w:widowControl/>
              <w:adjustRightInd/>
              <w:spacing w:line="240" w:lineRule="auto"/>
              <w:jc w:val="center"/>
              <w:textAlignment w:val="auto"/>
              <w:rPr>
                <w:szCs w:val="21"/>
              </w:rPr>
            </w:pPr>
            <w:r>
              <w:rPr>
                <w:rFonts w:hint="eastAsia"/>
                <w:szCs w:val="21"/>
              </w:rPr>
              <w:t>　</w:t>
            </w:r>
          </w:p>
        </w:tc>
      </w:tr>
      <w:tr w14:paraId="6C83D1AB">
        <w:tblPrEx>
          <w:tblCellMar>
            <w:top w:w="0" w:type="dxa"/>
            <w:left w:w="108" w:type="dxa"/>
            <w:bottom w:w="0" w:type="dxa"/>
            <w:right w:w="108" w:type="dxa"/>
          </w:tblCellMar>
        </w:tblPrEx>
        <w:trPr>
          <w:trHeight w:val="499"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71E47CBB">
            <w:pPr>
              <w:pStyle w:val="178"/>
              <w:widowControl/>
              <w:numPr>
                <w:ilvl w:val="0"/>
                <w:numId w:val="10"/>
              </w:numPr>
              <w:spacing w:line="240" w:lineRule="auto"/>
              <w:ind w:firstLineChars="0"/>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6591F7E9">
            <w:pPr>
              <w:widowControl/>
              <w:adjustRightInd/>
              <w:spacing w:line="240" w:lineRule="auto"/>
              <w:jc w:val="left"/>
              <w:textAlignment w:val="auto"/>
              <w:rPr>
                <w:rFonts w:ascii="宋体" w:hAnsi="宋体" w:cs="宋体"/>
                <w:szCs w:val="21"/>
              </w:rPr>
            </w:pPr>
            <w:r>
              <w:rPr>
                <w:rFonts w:hint="eastAsia"/>
                <w:szCs w:val="21"/>
              </w:rPr>
              <w:t>钢制低噪声轴流风机</w:t>
            </w:r>
          </w:p>
        </w:tc>
        <w:tc>
          <w:tcPr>
            <w:tcW w:w="2305" w:type="pct"/>
            <w:tcBorders>
              <w:top w:val="nil"/>
              <w:left w:val="nil"/>
              <w:bottom w:val="single" w:color="auto" w:sz="4" w:space="0"/>
              <w:right w:val="single" w:color="auto" w:sz="4" w:space="0"/>
            </w:tcBorders>
            <w:shd w:val="clear" w:color="000000" w:fill="FFFFFF"/>
            <w:vAlign w:val="center"/>
          </w:tcPr>
          <w:p w14:paraId="2BE087BA">
            <w:pPr>
              <w:widowControl/>
              <w:adjustRightInd/>
              <w:spacing w:line="240" w:lineRule="auto"/>
              <w:jc w:val="left"/>
              <w:textAlignment w:val="auto"/>
              <w:rPr>
                <w:szCs w:val="21"/>
              </w:rPr>
            </w:pPr>
            <w:r>
              <w:rPr>
                <w:rFonts w:hint="eastAsia"/>
                <w:szCs w:val="21"/>
              </w:rPr>
              <w:t>风量：</w:t>
            </w:r>
            <w:r>
              <w:rPr>
                <w:color w:val="000000"/>
                <w:szCs w:val="21"/>
              </w:rPr>
              <w:t>3500m3/h</w:t>
            </w:r>
            <w:r>
              <w:rPr>
                <w:rFonts w:hint="eastAsia"/>
                <w:color w:val="000000"/>
                <w:szCs w:val="21"/>
              </w:rPr>
              <w:t>，</w:t>
            </w:r>
            <w:r>
              <w:rPr>
                <w:color w:val="000000"/>
                <w:szCs w:val="21"/>
              </w:rPr>
              <w:t>1450rpm</w:t>
            </w:r>
            <w:r>
              <w:rPr>
                <w:rFonts w:hint="eastAsia"/>
                <w:color w:val="000000"/>
                <w:szCs w:val="21"/>
              </w:rPr>
              <w:t>，风压：</w:t>
            </w:r>
            <w:r>
              <w:rPr>
                <w:color w:val="000000"/>
                <w:szCs w:val="21"/>
              </w:rPr>
              <w:t>100Pa</w:t>
            </w:r>
            <w:r>
              <w:rPr>
                <w:rFonts w:hint="eastAsia"/>
                <w:color w:val="000000"/>
                <w:szCs w:val="21"/>
              </w:rPr>
              <w:t>，功率：</w:t>
            </w:r>
            <w:r>
              <w:rPr>
                <w:color w:val="000000"/>
                <w:szCs w:val="21"/>
              </w:rPr>
              <w:t>0.37kW/380V</w:t>
            </w:r>
            <w:r>
              <w:rPr>
                <w:rFonts w:hint="eastAsia"/>
                <w:color w:val="000000"/>
                <w:szCs w:val="21"/>
              </w:rPr>
              <w:t>，噪声≤</w:t>
            </w:r>
            <w:r>
              <w:rPr>
                <w:color w:val="000000"/>
                <w:szCs w:val="21"/>
              </w:rPr>
              <w:t>68dB(A)，</w:t>
            </w:r>
            <w:r>
              <w:rPr>
                <w:rFonts w:hint="eastAsia"/>
                <w:color w:val="000000"/>
                <w:szCs w:val="21"/>
              </w:rPr>
              <w:t>能效等级不低于2级</w:t>
            </w:r>
          </w:p>
        </w:tc>
        <w:tc>
          <w:tcPr>
            <w:tcW w:w="323" w:type="pct"/>
            <w:tcBorders>
              <w:top w:val="nil"/>
              <w:left w:val="nil"/>
              <w:bottom w:val="single" w:color="auto" w:sz="4" w:space="0"/>
              <w:right w:val="single" w:color="auto" w:sz="4" w:space="0"/>
            </w:tcBorders>
            <w:shd w:val="clear" w:color="000000" w:fill="FFFFFF"/>
            <w:noWrap/>
            <w:vAlign w:val="center"/>
          </w:tcPr>
          <w:p w14:paraId="5FC3BB7E">
            <w:pPr>
              <w:widowControl/>
              <w:adjustRightInd/>
              <w:spacing w:line="240" w:lineRule="auto"/>
              <w:jc w:val="center"/>
              <w:textAlignment w:val="auto"/>
              <w:rPr>
                <w:szCs w:val="21"/>
              </w:rPr>
            </w:pPr>
            <w:r>
              <w:rPr>
                <w:rFonts w:hint="eastAsia"/>
                <w:szCs w:val="21"/>
              </w:rPr>
              <w:t>台</w:t>
            </w:r>
          </w:p>
        </w:tc>
        <w:tc>
          <w:tcPr>
            <w:tcW w:w="403" w:type="pct"/>
            <w:tcBorders>
              <w:top w:val="nil"/>
              <w:left w:val="nil"/>
              <w:bottom w:val="single" w:color="auto" w:sz="4" w:space="0"/>
              <w:right w:val="single" w:color="auto" w:sz="4" w:space="0"/>
            </w:tcBorders>
            <w:shd w:val="clear" w:color="000000" w:fill="FFFFFF"/>
            <w:noWrap/>
            <w:vAlign w:val="center"/>
          </w:tcPr>
          <w:p w14:paraId="72FCB134">
            <w:pPr>
              <w:widowControl/>
              <w:adjustRightInd/>
              <w:spacing w:line="240" w:lineRule="auto"/>
              <w:jc w:val="center"/>
              <w:textAlignment w:val="auto"/>
              <w:rPr>
                <w:szCs w:val="21"/>
              </w:rPr>
            </w:pPr>
            <w:r>
              <w:rPr>
                <w:rFonts w:hint="eastAsia"/>
                <w:szCs w:val="21"/>
              </w:rPr>
              <w:t>3</w:t>
            </w:r>
          </w:p>
        </w:tc>
        <w:tc>
          <w:tcPr>
            <w:tcW w:w="641" w:type="pct"/>
            <w:tcBorders>
              <w:top w:val="nil"/>
              <w:left w:val="nil"/>
              <w:bottom w:val="single" w:color="auto" w:sz="4" w:space="0"/>
              <w:right w:val="single" w:color="auto" w:sz="4" w:space="0"/>
            </w:tcBorders>
            <w:shd w:val="clear" w:color="000000" w:fill="FFFFFF"/>
            <w:noWrap/>
            <w:vAlign w:val="center"/>
          </w:tcPr>
          <w:p w14:paraId="63270F53">
            <w:pPr>
              <w:widowControl/>
              <w:adjustRightInd/>
              <w:spacing w:line="240" w:lineRule="auto"/>
              <w:jc w:val="center"/>
              <w:textAlignment w:val="auto"/>
              <w:rPr>
                <w:szCs w:val="21"/>
              </w:rPr>
            </w:pPr>
            <w:r>
              <w:rPr>
                <w:rFonts w:hint="eastAsia"/>
                <w:szCs w:val="21"/>
              </w:rPr>
              <w:t>　</w:t>
            </w:r>
          </w:p>
        </w:tc>
      </w:tr>
      <w:tr w14:paraId="12C404D6">
        <w:tblPrEx>
          <w:tblCellMar>
            <w:top w:w="0" w:type="dxa"/>
            <w:left w:w="108" w:type="dxa"/>
            <w:bottom w:w="0" w:type="dxa"/>
            <w:right w:w="108" w:type="dxa"/>
          </w:tblCellMar>
        </w:tblPrEx>
        <w:trPr>
          <w:trHeight w:val="600"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180F8A41">
            <w:pPr>
              <w:pStyle w:val="178"/>
              <w:widowControl/>
              <w:numPr>
                <w:ilvl w:val="0"/>
                <w:numId w:val="10"/>
              </w:numPr>
              <w:spacing w:line="240" w:lineRule="auto"/>
              <w:ind w:firstLineChars="0"/>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2737A047">
            <w:pPr>
              <w:widowControl/>
              <w:adjustRightInd/>
              <w:spacing w:line="240" w:lineRule="auto"/>
              <w:jc w:val="left"/>
              <w:textAlignment w:val="auto"/>
              <w:rPr>
                <w:szCs w:val="21"/>
              </w:rPr>
            </w:pPr>
            <w:r>
              <w:rPr>
                <w:rFonts w:hint="eastAsia"/>
                <w:szCs w:val="21"/>
              </w:rPr>
              <w:t>钢制低噪声轴流风机</w:t>
            </w:r>
          </w:p>
        </w:tc>
        <w:tc>
          <w:tcPr>
            <w:tcW w:w="2305" w:type="pct"/>
            <w:tcBorders>
              <w:top w:val="nil"/>
              <w:left w:val="nil"/>
              <w:bottom w:val="single" w:color="auto" w:sz="4" w:space="0"/>
              <w:right w:val="single" w:color="auto" w:sz="4" w:space="0"/>
            </w:tcBorders>
            <w:shd w:val="clear" w:color="000000" w:fill="FFFFFF"/>
            <w:vAlign w:val="center"/>
          </w:tcPr>
          <w:p w14:paraId="1C0C9445">
            <w:pPr>
              <w:widowControl/>
              <w:adjustRightInd/>
              <w:spacing w:line="240" w:lineRule="auto"/>
              <w:jc w:val="left"/>
              <w:textAlignment w:val="auto"/>
              <w:rPr>
                <w:szCs w:val="21"/>
              </w:rPr>
            </w:pPr>
            <w:r>
              <w:rPr>
                <w:rFonts w:hint="eastAsia"/>
                <w:szCs w:val="21"/>
              </w:rPr>
              <w:t>T35-11-No3.15,</w:t>
            </w:r>
            <w:r>
              <w:rPr>
                <w:rFonts w:hint="eastAsia"/>
                <w:color w:val="000000"/>
                <w:szCs w:val="21"/>
              </w:rPr>
              <w:t>风量：</w:t>
            </w:r>
            <w:r>
              <w:rPr>
                <w:color w:val="000000"/>
                <w:szCs w:val="21"/>
              </w:rPr>
              <w:t>1000m³/h</w:t>
            </w:r>
            <w:r>
              <w:rPr>
                <w:rFonts w:hint="eastAsia"/>
                <w:color w:val="000000"/>
                <w:szCs w:val="21"/>
              </w:rPr>
              <w:t>，</w:t>
            </w:r>
            <w:r>
              <w:rPr>
                <w:color w:val="000000"/>
                <w:szCs w:val="21"/>
              </w:rPr>
              <w:t>1450rpm</w:t>
            </w:r>
            <w:r>
              <w:rPr>
                <w:rFonts w:hint="eastAsia"/>
                <w:color w:val="000000"/>
                <w:szCs w:val="21"/>
              </w:rPr>
              <w:t>，风压：</w:t>
            </w:r>
            <w:r>
              <w:rPr>
                <w:color w:val="000000"/>
                <w:szCs w:val="21"/>
              </w:rPr>
              <w:t>60Pa</w:t>
            </w:r>
            <w:r>
              <w:rPr>
                <w:rFonts w:hint="eastAsia"/>
                <w:color w:val="000000"/>
                <w:szCs w:val="21"/>
              </w:rPr>
              <w:t>，功率：</w:t>
            </w:r>
            <w:r>
              <w:rPr>
                <w:color w:val="000000"/>
                <w:szCs w:val="21"/>
              </w:rPr>
              <w:t>0.18kW/380V</w:t>
            </w:r>
            <w:r>
              <w:rPr>
                <w:rFonts w:hint="eastAsia"/>
                <w:color w:val="000000"/>
                <w:szCs w:val="21"/>
              </w:rPr>
              <w:t>，噪声</w:t>
            </w:r>
            <w:r>
              <w:rPr>
                <w:color w:val="000000"/>
                <w:szCs w:val="21"/>
              </w:rPr>
              <w:t>≤65dB(A)，</w:t>
            </w:r>
            <w:r>
              <w:rPr>
                <w:rFonts w:hint="eastAsia"/>
                <w:color w:val="000000"/>
                <w:szCs w:val="21"/>
              </w:rPr>
              <w:t>能效等级不低于2级</w:t>
            </w:r>
          </w:p>
        </w:tc>
        <w:tc>
          <w:tcPr>
            <w:tcW w:w="323" w:type="pct"/>
            <w:tcBorders>
              <w:top w:val="nil"/>
              <w:left w:val="nil"/>
              <w:bottom w:val="single" w:color="auto" w:sz="4" w:space="0"/>
              <w:right w:val="single" w:color="auto" w:sz="4" w:space="0"/>
            </w:tcBorders>
            <w:shd w:val="clear" w:color="000000" w:fill="FFFFFF"/>
            <w:noWrap/>
            <w:vAlign w:val="center"/>
          </w:tcPr>
          <w:p w14:paraId="29A0D1B1">
            <w:pPr>
              <w:widowControl/>
              <w:adjustRightInd/>
              <w:spacing w:line="240" w:lineRule="auto"/>
              <w:jc w:val="center"/>
              <w:textAlignment w:val="auto"/>
              <w:rPr>
                <w:szCs w:val="21"/>
              </w:rPr>
            </w:pPr>
            <w:r>
              <w:rPr>
                <w:rFonts w:hint="eastAsia"/>
                <w:szCs w:val="21"/>
              </w:rPr>
              <w:t>台</w:t>
            </w:r>
          </w:p>
        </w:tc>
        <w:tc>
          <w:tcPr>
            <w:tcW w:w="403" w:type="pct"/>
            <w:tcBorders>
              <w:top w:val="nil"/>
              <w:left w:val="nil"/>
              <w:bottom w:val="single" w:color="auto" w:sz="4" w:space="0"/>
              <w:right w:val="single" w:color="auto" w:sz="4" w:space="0"/>
            </w:tcBorders>
            <w:shd w:val="clear" w:color="000000" w:fill="FFFFFF"/>
            <w:noWrap/>
            <w:vAlign w:val="center"/>
          </w:tcPr>
          <w:p w14:paraId="199936BD">
            <w:pPr>
              <w:widowControl/>
              <w:adjustRightInd/>
              <w:spacing w:line="240" w:lineRule="auto"/>
              <w:jc w:val="center"/>
              <w:textAlignment w:val="auto"/>
              <w:rPr>
                <w:szCs w:val="21"/>
              </w:rPr>
            </w:pPr>
            <w:r>
              <w:rPr>
                <w:rFonts w:hint="eastAsia"/>
                <w:szCs w:val="21"/>
              </w:rPr>
              <w:t>4</w:t>
            </w:r>
          </w:p>
        </w:tc>
        <w:tc>
          <w:tcPr>
            <w:tcW w:w="641" w:type="pct"/>
            <w:tcBorders>
              <w:top w:val="nil"/>
              <w:left w:val="nil"/>
              <w:bottom w:val="single" w:color="auto" w:sz="4" w:space="0"/>
              <w:right w:val="single" w:color="auto" w:sz="4" w:space="0"/>
            </w:tcBorders>
            <w:shd w:val="clear" w:color="000000" w:fill="FFFFFF"/>
            <w:noWrap/>
            <w:vAlign w:val="center"/>
          </w:tcPr>
          <w:p w14:paraId="25D5B66C">
            <w:pPr>
              <w:widowControl/>
              <w:adjustRightInd/>
              <w:spacing w:line="240" w:lineRule="auto"/>
              <w:jc w:val="center"/>
              <w:textAlignment w:val="auto"/>
              <w:rPr>
                <w:szCs w:val="21"/>
              </w:rPr>
            </w:pPr>
            <w:r>
              <w:rPr>
                <w:rFonts w:ascii="宋体" w:hAnsi="宋体"/>
                <w:szCs w:val="21"/>
              </w:rPr>
              <w:t>　</w:t>
            </w:r>
          </w:p>
        </w:tc>
      </w:tr>
      <w:tr w14:paraId="019A8D1C">
        <w:tblPrEx>
          <w:tblCellMar>
            <w:top w:w="0" w:type="dxa"/>
            <w:left w:w="108" w:type="dxa"/>
            <w:bottom w:w="0" w:type="dxa"/>
            <w:right w:w="108" w:type="dxa"/>
          </w:tblCellMar>
        </w:tblPrEx>
        <w:trPr>
          <w:trHeight w:val="915"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04FA30AE">
            <w:pPr>
              <w:pStyle w:val="178"/>
              <w:widowControl/>
              <w:numPr>
                <w:ilvl w:val="0"/>
                <w:numId w:val="10"/>
              </w:numPr>
              <w:spacing w:line="240" w:lineRule="auto"/>
              <w:ind w:firstLineChars="0"/>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0D2A39C3">
            <w:pPr>
              <w:widowControl/>
              <w:adjustRightInd/>
              <w:spacing w:line="240" w:lineRule="auto"/>
              <w:jc w:val="left"/>
              <w:textAlignment w:val="auto"/>
              <w:rPr>
                <w:szCs w:val="21"/>
              </w:rPr>
            </w:pPr>
            <w:r>
              <w:rPr>
                <w:rFonts w:hint="eastAsia"/>
                <w:szCs w:val="21"/>
              </w:rPr>
              <w:t>钢制低噪声轴流风机</w:t>
            </w:r>
          </w:p>
        </w:tc>
        <w:tc>
          <w:tcPr>
            <w:tcW w:w="2305" w:type="pct"/>
            <w:tcBorders>
              <w:top w:val="nil"/>
              <w:left w:val="nil"/>
              <w:bottom w:val="single" w:color="auto" w:sz="4" w:space="0"/>
              <w:right w:val="single" w:color="auto" w:sz="4" w:space="0"/>
            </w:tcBorders>
            <w:shd w:val="clear" w:color="000000" w:fill="FFFFFF"/>
            <w:vAlign w:val="center"/>
          </w:tcPr>
          <w:p w14:paraId="27F6AA4F">
            <w:pPr>
              <w:widowControl/>
              <w:adjustRightInd/>
              <w:spacing w:line="240" w:lineRule="auto"/>
              <w:jc w:val="left"/>
              <w:textAlignment w:val="auto"/>
              <w:rPr>
                <w:szCs w:val="21"/>
              </w:rPr>
            </w:pPr>
            <w:r>
              <w:rPr>
                <w:rFonts w:hint="eastAsia"/>
                <w:szCs w:val="21"/>
              </w:rPr>
              <w:t>T35-11-No3.55,</w:t>
            </w:r>
            <w:r>
              <w:rPr>
                <w:rFonts w:hint="eastAsia"/>
                <w:color w:val="000000"/>
                <w:szCs w:val="21"/>
              </w:rPr>
              <w:t>风量：</w:t>
            </w:r>
            <w:r>
              <w:rPr>
                <w:color w:val="000000"/>
                <w:szCs w:val="21"/>
              </w:rPr>
              <w:t>2400m³/h</w:t>
            </w:r>
            <w:r>
              <w:rPr>
                <w:rFonts w:hint="eastAsia"/>
                <w:color w:val="000000"/>
                <w:szCs w:val="21"/>
              </w:rPr>
              <w:t>，</w:t>
            </w:r>
            <w:r>
              <w:rPr>
                <w:color w:val="000000"/>
                <w:szCs w:val="21"/>
              </w:rPr>
              <w:t>1450rpm</w:t>
            </w:r>
            <w:r>
              <w:rPr>
                <w:rFonts w:hint="eastAsia"/>
                <w:color w:val="000000"/>
                <w:szCs w:val="21"/>
              </w:rPr>
              <w:t>，风压：</w:t>
            </w:r>
            <w:r>
              <w:rPr>
                <w:color w:val="000000"/>
                <w:szCs w:val="21"/>
              </w:rPr>
              <w:t>100Pa</w:t>
            </w:r>
            <w:r>
              <w:rPr>
                <w:rFonts w:hint="eastAsia"/>
                <w:color w:val="000000"/>
                <w:szCs w:val="21"/>
              </w:rPr>
              <w:t>，功率：</w:t>
            </w:r>
            <w:r>
              <w:rPr>
                <w:color w:val="000000"/>
                <w:szCs w:val="21"/>
              </w:rPr>
              <w:t>0.18kW/380V</w:t>
            </w:r>
            <w:r>
              <w:rPr>
                <w:rFonts w:hint="eastAsia"/>
                <w:color w:val="000000"/>
                <w:szCs w:val="21"/>
              </w:rPr>
              <w:t>，噪声</w:t>
            </w:r>
            <w:r>
              <w:rPr>
                <w:color w:val="000000"/>
                <w:szCs w:val="21"/>
              </w:rPr>
              <w:t>≤65dB(A)，</w:t>
            </w:r>
            <w:r>
              <w:rPr>
                <w:rFonts w:hint="eastAsia"/>
                <w:color w:val="000000"/>
                <w:szCs w:val="21"/>
              </w:rPr>
              <w:t>能效等级不低于2级</w:t>
            </w:r>
          </w:p>
        </w:tc>
        <w:tc>
          <w:tcPr>
            <w:tcW w:w="323" w:type="pct"/>
            <w:tcBorders>
              <w:top w:val="nil"/>
              <w:left w:val="nil"/>
              <w:bottom w:val="single" w:color="auto" w:sz="4" w:space="0"/>
              <w:right w:val="single" w:color="auto" w:sz="4" w:space="0"/>
            </w:tcBorders>
            <w:shd w:val="clear" w:color="000000" w:fill="FFFFFF"/>
            <w:noWrap/>
            <w:vAlign w:val="center"/>
          </w:tcPr>
          <w:p w14:paraId="3CF06294">
            <w:pPr>
              <w:widowControl/>
              <w:adjustRightInd/>
              <w:spacing w:line="240" w:lineRule="auto"/>
              <w:jc w:val="center"/>
              <w:textAlignment w:val="auto"/>
              <w:rPr>
                <w:szCs w:val="21"/>
              </w:rPr>
            </w:pPr>
            <w:r>
              <w:rPr>
                <w:rFonts w:hint="eastAsia"/>
                <w:szCs w:val="21"/>
              </w:rPr>
              <w:t>台</w:t>
            </w:r>
          </w:p>
        </w:tc>
        <w:tc>
          <w:tcPr>
            <w:tcW w:w="403" w:type="pct"/>
            <w:tcBorders>
              <w:top w:val="nil"/>
              <w:left w:val="nil"/>
              <w:bottom w:val="single" w:color="auto" w:sz="4" w:space="0"/>
              <w:right w:val="single" w:color="auto" w:sz="4" w:space="0"/>
            </w:tcBorders>
            <w:shd w:val="clear" w:color="000000" w:fill="FFFFFF"/>
            <w:noWrap/>
            <w:vAlign w:val="center"/>
          </w:tcPr>
          <w:p w14:paraId="6D02A559">
            <w:pPr>
              <w:widowControl/>
              <w:adjustRightInd/>
              <w:spacing w:line="240" w:lineRule="auto"/>
              <w:jc w:val="center"/>
              <w:textAlignment w:val="auto"/>
              <w:rPr>
                <w:szCs w:val="21"/>
              </w:rPr>
            </w:pPr>
            <w:r>
              <w:rPr>
                <w:rFonts w:hint="eastAsia"/>
                <w:szCs w:val="21"/>
              </w:rPr>
              <w:t>1</w:t>
            </w:r>
          </w:p>
        </w:tc>
        <w:tc>
          <w:tcPr>
            <w:tcW w:w="641" w:type="pct"/>
            <w:tcBorders>
              <w:top w:val="nil"/>
              <w:left w:val="nil"/>
              <w:bottom w:val="single" w:color="auto" w:sz="4" w:space="0"/>
              <w:right w:val="single" w:color="auto" w:sz="4" w:space="0"/>
            </w:tcBorders>
            <w:shd w:val="clear" w:color="000000" w:fill="FFFFFF"/>
            <w:noWrap/>
            <w:vAlign w:val="center"/>
          </w:tcPr>
          <w:p w14:paraId="198E4284">
            <w:pPr>
              <w:widowControl/>
              <w:adjustRightInd/>
              <w:spacing w:line="240" w:lineRule="auto"/>
              <w:jc w:val="center"/>
              <w:textAlignment w:val="auto"/>
              <w:rPr>
                <w:szCs w:val="21"/>
              </w:rPr>
            </w:pPr>
            <w:r>
              <w:rPr>
                <w:rFonts w:ascii="宋体" w:hAnsi="宋体"/>
                <w:szCs w:val="21"/>
              </w:rPr>
              <w:t>　</w:t>
            </w:r>
          </w:p>
        </w:tc>
      </w:tr>
      <w:tr w14:paraId="6F55CBE9">
        <w:tblPrEx>
          <w:tblCellMar>
            <w:top w:w="0" w:type="dxa"/>
            <w:left w:w="108" w:type="dxa"/>
            <w:bottom w:w="0" w:type="dxa"/>
            <w:right w:w="108" w:type="dxa"/>
          </w:tblCellMar>
        </w:tblPrEx>
        <w:trPr>
          <w:trHeight w:val="441"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3AA5A994">
            <w:pPr>
              <w:pStyle w:val="178"/>
              <w:widowControl/>
              <w:numPr>
                <w:ilvl w:val="0"/>
                <w:numId w:val="10"/>
              </w:numPr>
              <w:spacing w:line="240" w:lineRule="auto"/>
              <w:ind w:firstLineChars="0"/>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00676245">
            <w:pPr>
              <w:widowControl/>
              <w:adjustRightInd/>
              <w:spacing w:line="240" w:lineRule="auto"/>
              <w:jc w:val="left"/>
              <w:textAlignment w:val="auto"/>
              <w:rPr>
                <w:szCs w:val="21"/>
              </w:rPr>
            </w:pPr>
            <w:r>
              <w:rPr>
                <w:rFonts w:hint="eastAsia"/>
                <w:szCs w:val="21"/>
              </w:rPr>
              <w:t>铝合金格栅风口</w:t>
            </w:r>
          </w:p>
        </w:tc>
        <w:tc>
          <w:tcPr>
            <w:tcW w:w="2305" w:type="pct"/>
            <w:tcBorders>
              <w:top w:val="nil"/>
              <w:left w:val="nil"/>
              <w:bottom w:val="single" w:color="auto" w:sz="4" w:space="0"/>
              <w:right w:val="single" w:color="auto" w:sz="4" w:space="0"/>
            </w:tcBorders>
            <w:shd w:val="clear" w:color="000000" w:fill="FFFFFF"/>
            <w:vAlign w:val="center"/>
          </w:tcPr>
          <w:p w14:paraId="193199D5">
            <w:pPr>
              <w:widowControl/>
              <w:adjustRightInd/>
              <w:spacing w:line="240" w:lineRule="auto"/>
              <w:jc w:val="left"/>
              <w:textAlignment w:val="auto"/>
              <w:rPr>
                <w:szCs w:val="21"/>
              </w:rPr>
            </w:pPr>
            <w:r>
              <w:rPr>
                <w:rFonts w:hint="eastAsia"/>
                <w:szCs w:val="21"/>
              </w:rPr>
              <w:t>500×500mm</w:t>
            </w:r>
          </w:p>
        </w:tc>
        <w:tc>
          <w:tcPr>
            <w:tcW w:w="323" w:type="pct"/>
            <w:tcBorders>
              <w:top w:val="nil"/>
              <w:left w:val="nil"/>
              <w:bottom w:val="single" w:color="auto" w:sz="4" w:space="0"/>
              <w:right w:val="single" w:color="auto" w:sz="4" w:space="0"/>
            </w:tcBorders>
            <w:shd w:val="clear" w:color="000000" w:fill="FFFFFF"/>
            <w:noWrap/>
            <w:vAlign w:val="center"/>
          </w:tcPr>
          <w:p w14:paraId="1EE72CAA">
            <w:pPr>
              <w:widowControl/>
              <w:adjustRightInd/>
              <w:spacing w:line="240" w:lineRule="auto"/>
              <w:jc w:val="center"/>
              <w:textAlignment w:val="auto"/>
              <w:rPr>
                <w:szCs w:val="21"/>
              </w:rPr>
            </w:pPr>
            <w:r>
              <w:rPr>
                <w:rFonts w:hint="eastAsia"/>
                <w:szCs w:val="21"/>
              </w:rPr>
              <w:t>个</w:t>
            </w:r>
          </w:p>
        </w:tc>
        <w:tc>
          <w:tcPr>
            <w:tcW w:w="403" w:type="pct"/>
            <w:tcBorders>
              <w:top w:val="nil"/>
              <w:left w:val="nil"/>
              <w:bottom w:val="single" w:color="auto" w:sz="4" w:space="0"/>
              <w:right w:val="single" w:color="auto" w:sz="4" w:space="0"/>
            </w:tcBorders>
            <w:shd w:val="clear" w:color="000000" w:fill="FFFFFF"/>
            <w:noWrap/>
            <w:vAlign w:val="center"/>
          </w:tcPr>
          <w:p w14:paraId="25A94504">
            <w:pPr>
              <w:widowControl/>
              <w:adjustRightInd/>
              <w:spacing w:line="240" w:lineRule="auto"/>
              <w:jc w:val="center"/>
              <w:textAlignment w:val="auto"/>
              <w:rPr>
                <w:szCs w:val="21"/>
              </w:rPr>
            </w:pPr>
            <w:r>
              <w:rPr>
                <w:rFonts w:hint="eastAsia"/>
                <w:szCs w:val="21"/>
              </w:rPr>
              <w:t>20</w:t>
            </w:r>
          </w:p>
        </w:tc>
        <w:tc>
          <w:tcPr>
            <w:tcW w:w="641" w:type="pct"/>
            <w:tcBorders>
              <w:top w:val="nil"/>
              <w:left w:val="nil"/>
              <w:bottom w:val="single" w:color="auto" w:sz="4" w:space="0"/>
              <w:right w:val="single" w:color="auto" w:sz="4" w:space="0"/>
            </w:tcBorders>
            <w:shd w:val="clear" w:color="000000" w:fill="FFFFFF"/>
            <w:noWrap/>
            <w:vAlign w:val="center"/>
          </w:tcPr>
          <w:p w14:paraId="69C96C8A">
            <w:pPr>
              <w:widowControl/>
              <w:adjustRightInd/>
              <w:spacing w:line="240" w:lineRule="auto"/>
              <w:jc w:val="center"/>
              <w:textAlignment w:val="auto"/>
              <w:rPr>
                <w:rFonts w:ascii="宋体" w:hAnsi="宋体"/>
                <w:szCs w:val="21"/>
              </w:rPr>
            </w:pPr>
          </w:p>
        </w:tc>
      </w:tr>
      <w:tr w14:paraId="02F3303C">
        <w:tblPrEx>
          <w:tblCellMar>
            <w:top w:w="0" w:type="dxa"/>
            <w:left w:w="108" w:type="dxa"/>
            <w:bottom w:w="0" w:type="dxa"/>
            <w:right w:w="108" w:type="dxa"/>
          </w:tblCellMar>
        </w:tblPrEx>
        <w:trPr>
          <w:trHeight w:val="419"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17423D46">
            <w:pPr>
              <w:pStyle w:val="178"/>
              <w:widowControl/>
              <w:numPr>
                <w:ilvl w:val="0"/>
                <w:numId w:val="10"/>
              </w:numPr>
              <w:spacing w:line="240" w:lineRule="auto"/>
              <w:ind w:firstLineChars="0"/>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63356990">
            <w:pPr>
              <w:widowControl/>
              <w:adjustRightInd/>
              <w:spacing w:line="240" w:lineRule="auto"/>
              <w:jc w:val="left"/>
              <w:textAlignment w:val="auto"/>
              <w:rPr>
                <w:szCs w:val="21"/>
              </w:rPr>
            </w:pPr>
            <w:r>
              <w:rPr>
                <w:rFonts w:hint="eastAsia"/>
                <w:szCs w:val="21"/>
              </w:rPr>
              <w:t>镀锌钢板风管</w:t>
            </w:r>
          </w:p>
        </w:tc>
        <w:tc>
          <w:tcPr>
            <w:tcW w:w="2305" w:type="pct"/>
            <w:tcBorders>
              <w:top w:val="nil"/>
              <w:left w:val="nil"/>
              <w:bottom w:val="single" w:color="auto" w:sz="4" w:space="0"/>
              <w:right w:val="single" w:color="auto" w:sz="4" w:space="0"/>
            </w:tcBorders>
            <w:shd w:val="clear" w:color="000000" w:fill="FFFFFF"/>
            <w:vAlign w:val="center"/>
          </w:tcPr>
          <w:p w14:paraId="131FAFED">
            <w:pPr>
              <w:widowControl/>
              <w:adjustRightInd/>
              <w:spacing w:line="240" w:lineRule="auto"/>
              <w:jc w:val="left"/>
              <w:textAlignment w:val="auto"/>
              <w:rPr>
                <w:szCs w:val="21"/>
              </w:rPr>
            </w:pPr>
            <w:r>
              <w:rPr>
                <w:rFonts w:hint="eastAsia"/>
                <w:szCs w:val="21"/>
              </w:rPr>
              <w:t>δ=0.75mm</w:t>
            </w:r>
          </w:p>
        </w:tc>
        <w:tc>
          <w:tcPr>
            <w:tcW w:w="323" w:type="pct"/>
            <w:tcBorders>
              <w:top w:val="nil"/>
              <w:left w:val="nil"/>
              <w:bottom w:val="single" w:color="auto" w:sz="4" w:space="0"/>
              <w:right w:val="single" w:color="auto" w:sz="4" w:space="0"/>
            </w:tcBorders>
            <w:shd w:val="clear" w:color="000000" w:fill="FFFFFF"/>
            <w:noWrap/>
            <w:vAlign w:val="center"/>
          </w:tcPr>
          <w:p w14:paraId="41ACDF2E">
            <w:pPr>
              <w:widowControl/>
              <w:adjustRightInd/>
              <w:spacing w:line="240" w:lineRule="auto"/>
              <w:jc w:val="center"/>
              <w:textAlignment w:val="auto"/>
              <w:rPr>
                <w:szCs w:val="21"/>
              </w:rPr>
            </w:pPr>
            <w:r>
              <w:rPr>
                <w:rFonts w:hint="eastAsia"/>
                <w:szCs w:val="21"/>
              </w:rPr>
              <w:t>m2</w:t>
            </w:r>
          </w:p>
        </w:tc>
        <w:tc>
          <w:tcPr>
            <w:tcW w:w="403" w:type="pct"/>
            <w:tcBorders>
              <w:top w:val="nil"/>
              <w:left w:val="nil"/>
              <w:bottom w:val="single" w:color="auto" w:sz="4" w:space="0"/>
              <w:right w:val="single" w:color="auto" w:sz="4" w:space="0"/>
            </w:tcBorders>
            <w:shd w:val="clear" w:color="000000" w:fill="FFFFFF"/>
            <w:noWrap/>
            <w:vAlign w:val="center"/>
          </w:tcPr>
          <w:p w14:paraId="1FFAB783">
            <w:pPr>
              <w:widowControl/>
              <w:adjustRightInd/>
              <w:spacing w:line="240" w:lineRule="auto"/>
              <w:jc w:val="center"/>
              <w:textAlignment w:val="auto"/>
              <w:rPr>
                <w:szCs w:val="21"/>
              </w:rPr>
            </w:pPr>
            <w:r>
              <w:rPr>
                <w:rFonts w:hint="eastAsia"/>
                <w:szCs w:val="21"/>
              </w:rPr>
              <w:t>100</w:t>
            </w:r>
          </w:p>
        </w:tc>
        <w:tc>
          <w:tcPr>
            <w:tcW w:w="641" w:type="pct"/>
            <w:tcBorders>
              <w:top w:val="nil"/>
              <w:left w:val="nil"/>
              <w:bottom w:val="single" w:color="auto" w:sz="4" w:space="0"/>
              <w:right w:val="single" w:color="auto" w:sz="4" w:space="0"/>
            </w:tcBorders>
            <w:shd w:val="clear" w:color="000000" w:fill="FFFFFF"/>
            <w:noWrap/>
            <w:vAlign w:val="center"/>
          </w:tcPr>
          <w:p w14:paraId="705EE139">
            <w:pPr>
              <w:widowControl/>
              <w:adjustRightInd/>
              <w:spacing w:line="240" w:lineRule="auto"/>
              <w:jc w:val="center"/>
              <w:textAlignment w:val="auto"/>
              <w:rPr>
                <w:rFonts w:ascii="宋体" w:hAnsi="宋体"/>
                <w:szCs w:val="21"/>
              </w:rPr>
            </w:pPr>
          </w:p>
        </w:tc>
      </w:tr>
      <w:tr w14:paraId="130991B7">
        <w:tblPrEx>
          <w:tblCellMar>
            <w:top w:w="0" w:type="dxa"/>
            <w:left w:w="108" w:type="dxa"/>
            <w:bottom w:w="0" w:type="dxa"/>
            <w:right w:w="108" w:type="dxa"/>
          </w:tblCellMar>
        </w:tblPrEx>
        <w:trPr>
          <w:trHeight w:val="425"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19DC68BE">
            <w:pPr>
              <w:pStyle w:val="178"/>
              <w:widowControl/>
              <w:numPr>
                <w:ilvl w:val="0"/>
                <w:numId w:val="10"/>
              </w:numPr>
              <w:spacing w:line="240" w:lineRule="auto"/>
              <w:ind w:firstLineChars="0"/>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37AB085B">
            <w:pPr>
              <w:widowControl/>
              <w:adjustRightInd/>
              <w:spacing w:line="240" w:lineRule="auto"/>
              <w:jc w:val="left"/>
              <w:textAlignment w:val="auto"/>
              <w:rPr>
                <w:szCs w:val="21"/>
              </w:rPr>
            </w:pPr>
            <w:r>
              <w:rPr>
                <w:rFonts w:hint="eastAsia"/>
                <w:szCs w:val="21"/>
              </w:rPr>
              <w:t>不锈钢通风弯头</w:t>
            </w:r>
          </w:p>
        </w:tc>
        <w:tc>
          <w:tcPr>
            <w:tcW w:w="2305" w:type="pct"/>
            <w:tcBorders>
              <w:top w:val="nil"/>
              <w:left w:val="nil"/>
              <w:bottom w:val="single" w:color="auto" w:sz="4" w:space="0"/>
              <w:right w:val="single" w:color="auto" w:sz="4" w:space="0"/>
            </w:tcBorders>
            <w:shd w:val="clear" w:color="000000" w:fill="FFFFFF"/>
            <w:vAlign w:val="center"/>
          </w:tcPr>
          <w:p w14:paraId="376C61E7">
            <w:pPr>
              <w:widowControl/>
              <w:adjustRightInd/>
              <w:spacing w:line="240" w:lineRule="auto"/>
              <w:jc w:val="left"/>
              <w:textAlignment w:val="auto"/>
              <w:rPr>
                <w:szCs w:val="21"/>
              </w:rPr>
            </w:pPr>
            <w:r>
              <w:rPr>
                <w:rFonts w:hint="eastAsia"/>
                <w:szCs w:val="21"/>
              </w:rPr>
              <w:t>风机配套，304不锈钢，带6×6mm不锈钢丝过滤网</w:t>
            </w:r>
          </w:p>
        </w:tc>
        <w:tc>
          <w:tcPr>
            <w:tcW w:w="323" w:type="pct"/>
            <w:tcBorders>
              <w:top w:val="nil"/>
              <w:left w:val="nil"/>
              <w:bottom w:val="single" w:color="auto" w:sz="4" w:space="0"/>
              <w:right w:val="single" w:color="auto" w:sz="4" w:space="0"/>
            </w:tcBorders>
            <w:shd w:val="clear" w:color="000000" w:fill="FFFFFF"/>
            <w:noWrap/>
            <w:vAlign w:val="center"/>
          </w:tcPr>
          <w:p w14:paraId="53F4A266">
            <w:pPr>
              <w:widowControl/>
              <w:adjustRightInd/>
              <w:spacing w:line="240" w:lineRule="auto"/>
              <w:jc w:val="center"/>
              <w:textAlignment w:val="auto"/>
              <w:rPr>
                <w:szCs w:val="21"/>
              </w:rPr>
            </w:pPr>
            <w:r>
              <w:rPr>
                <w:rFonts w:hint="eastAsia"/>
                <w:szCs w:val="21"/>
              </w:rPr>
              <w:t>个</w:t>
            </w:r>
          </w:p>
        </w:tc>
        <w:tc>
          <w:tcPr>
            <w:tcW w:w="403" w:type="pct"/>
            <w:tcBorders>
              <w:top w:val="nil"/>
              <w:left w:val="nil"/>
              <w:bottom w:val="single" w:color="auto" w:sz="4" w:space="0"/>
              <w:right w:val="single" w:color="auto" w:sz="4" w:space="0"/>
            </w:tcBorders>
            <w:shd w:val="clear" w:color="000000" w:fill="FFFFFF"/>
            <w:noWrap/>
            <w:vAlign w:val="center"/>
          </w:tcPr>
          <w:p w14:paraId="6B0707D5">
            <w:pPr>
              <w:widowControl/>
              <w:adjustRightInd/>
              <w:spacing w:line="240" w:lineRule="auto"/>
              <w:jc w:val="center"/>
              <w:textAlignment w:val="auto"/>
              <w:rPr>
                <w:szCs w:val="21"/>
              </w:rPr>
            </w:pPr>
            <w:r>
              <w:rPr>
                <w:rFonts w:hint="eastAsia"/>
                <w:szCs w:val="21"/>
              </w:rPr>
              <w:t>22</w:t>
            </w:r>
          </w:p>
        </w:tc>
        <w:tc>
          <w:tcPr>
            <w:tcW w:w="641" w:type="pct"/>
            <w:tcBorders>
              <w:top w:val="nil"/>
              <w:left w:val="nil"/>
              <w:bottom w:val="single" w:color="auto" w:sz="4" w:space="0"/>
              <w:right w:val="single" w:color="auto" w:sz="4" w:space="0"/>
            </w:tcBorders>
            <w:shd w:val="clear" w:color="000000" w:fill="FFFFFF"/>
            <w:noWrap/>
            <w:vAlign w:val="center"/>
          </w:tcPr>
          <w:p w14:paraId="07C45BFC">
            <w:pPr>
              <w:widowControl/>
              <w:adjustRightInd/>
              <w:spacing w:line="240" w:lineRule="auto"/>
              <w:jc w:val="center"/>
              <w:textAlignment w:val="auto"/>
              <w:rPr>
                <w:rFonts w:ascii="宋体" w:hAnsi="宋体"/>
                <w:szCs w:val="21"/>
              </w:rPr>
            </w:pPr>
          </w:p>
        </w:tc>
      </w:tr>
      <w:tr w14:paraId="1C4C81AC">
        <w:tblPrEx>
          <w:tblCellMar>
            <w:top w:w="0" w:type="dxa"/>
            <w:left w:w="108" w:type="dxa"/>
            <w:bottom w:w="0" w:type="dxa"/>
            <w:right w:w="108" w:type="dxa"/>
          </w:tblCellMar>
        </w:tblPrEx>
        <w:trPr>
          <w:trHeight w:val="503"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497D10D6">
            <w:pPr>
              <w:pStyle w:val="178"/>
              <w:widowControl/>
              <w:numPr>
                <w:ilvl w:val="0"/>
                <w:numId w:val="10"/>
              </w:numPr>
              <w:spacing w:line="240" w:lineRule="auto"/>
              <w:ind w:firstLineChars="0"/>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5DFBB31D">
            <w:pPr>
              <w:widowControl/>
              <w:adjustRightInd/>
              <w:spacing w:line="240" w:lineRule="auto"/>
              <w:jc w:val="left"/>
              <w:textAlignment w:val="auto"/>
              <w:rPr>
                <w:szCs w:val="21"/>
              </w:rPr>
            </w:pPr>
            <w:r>
              <w:rPr>
                <w:rFonts w:hint="eastAsia"/>
                <w:szCs w:val="21"/>
              </w:rPr>
              <w:t>管线槽盒</w:t>
            </w:r>
          </w:p>
        </w:tc>
        <w:tc>
          <w:tcPr>
            <w:tcW w:w="2305" w:type="pct"/>
            <w:tcBorders>
              <w:top w:val="nil"/>
              <w:left w:val="nil"/>
              <w:bottom w:val="single" w:color="auto" w:sz="4" w:space="0"/>
              <w:right w:val="single" w:color="auto" w:sz="4" w:space="0"/>
            </w:tcBorders>
            <w:shd w:val="clear" w:color="000000" w:fill="FFFFFF"/>
            <w:vAlign w:val="center"/>
          </w:tcPr>
          <w:p w14:paraId="1C13436B">
            <w:pPr>
              <w:widowControl/>
              <w:adjustRightInd/>
              <w:spacing w:line="240" w:lineRule="auto"/>
              <w:jc w:val="left"/>
              <w:textAlignment w:val="auto"/>
              <w:rPr>
                <w:szCs w:val="21"/>
              </w:rPr>
            </w:pPr>
            <w:r>
              <w:rPr>
                <w:rFonts w:hint="eastAsia"/>
                <w:szCs w:val="21"/>
              </w:rPr>
              <w:t>用于空调通风系统管线装饰、走线等部位。</w:t>
            </w:r>
          </w:p>
        </w:tc>
        <w:tc>
          <w:tcPr>
            <w:tcW w:w="323" w:type="pct"/>
            <w:tcBorders>
              <w:top w:val="nil"/>
              <w:left w:val="nil"/>
              <w:bottom w:val="single" w:color="auto" w:sz="4" w:space="0"/>
              <w:right w:val="single" w:color="auto" w:sz="4" w:space="0"/>
            </w:tcBorders>
            <w:shd w:val="clear" w:color="000000" w:fill="FFFFFF"/>
            <w:noWrap/>
            <w:vAlign w:val="center"/>
          </w:tcPr>
          <w:p w14:paraId="2A0E1838">
            <w:pPr>
              <w:widowControl/>
              <w:adjustRightInd/>
              <w:spacing w:line="240" w:lineRule="auto"/>
              <w:jc w:val="center"/>
              <w:textAlignment w:val="auto"/>
              <w:rPr>
                <w:szCs w:val="21"/>
              </w:rPr>
            </w:pPr>
            <w:r>
              <w:rPr>
                <w:rFonts w:hint="eastAsia"/>
                <w:szCs w:val="21"/>
              </w:rPr>
              <w:t>米</w:t>
            </w:r>
          </w:p>
        </w:tc>
        <w:tc>
          <w:tcPr>
            <w:tcW w:w="403" w:type="pct"/>
            <w:tcBorders>
              <w:top w:val="nil"/>
              <w:left w:val="nil"/>
              <w:bottom w:val="single" w:color="auto" w:sz="4" w:space="0"/>
              <w:right w:val="single" w:color="auto" w:sz="4" w:space="0"/>
            </w:tcBorders>
            <w:shd w:val="clear" w:color="000000" w:fill="FFFFFF"/>
            <w:noWrap/>
            <w:vAlign w:val="center"/>
          </w:tcPr>
          <w:p w14:paraId="79C3E698">
            <w:pPr>
              <w:widowControl/>
              <w:adjustRightInd/>
              <w:spacing w:line="240" w:lineRule="auto"/>
              <w:jc w:val="center"/>
              <w:textAlignment w:val="auto"/>
              <w:rPr>
                <w:szCs w:val="21"/>
              </w:rPr>
            </w:pPr>
            <w:r>
              <w:rPr>
                <w:rFonts w:hint="eastAsia"/>
                <w:szCs w:val="21"/>
              </w:rPr>
              <w:t>10</w:t>
            </w:r>
          </w:p>
        </w:tc>
        <w:tc>
          <w:tcPr>
            <w:tcW w:w="641" w:type="pct"/>
            <w:tcBorders>
              <w:top w:val="nil"/>
              <w:left w:val="nil"/>
              <w:bottom w:val="single" w:color="auto" w:sz="4" w:space="0"/>
              <w:right w:val="single" w:color="auto" w:sz="4" w:space="0"/>
            </w:tcBorders>
            <w:shd w:val="clear" w:color="000000" w:fill="FFFFFF"/>
            <w:noWrap/>
            <w:vAlign w:val="center"/>
          </w:tcPr>
          <w:p w14:paraId="6B7255A5">
            <w:pPr>
              <w:widowControl/>
              <w:adjustRightInd/>
              <w:spacing w:line="240" w:lineRule="auto"/>
              <w:jc w:val="center"/>
              <w:textAlignment w:val="auto"/>
              <w:rPr>
                <w:rFonts w:ascii="宋体" w:hAnsi="宋体"/>
                <w:szCs w:val="21"/>
              </w:rPr>
            </w:pPr>
          </w:p>
        </w:tc>
      </w:tr>
      <w:tr w14:paraId="5A18A482">
        <w:tblPrEx>
          <w:tblCellMar>
            <w:top w:w="0" w:type="dxa"/>
            <w:left w:w="108" w:type="dxa"/>
            <w:bottom w:w="0" w:type="dxa"/>
            <w:right w:w="108" w:type="dxa"/>
          </w:tblCellMar>
        </w:tblPrEx>
        <w:trPr>
          <w:trHeight w:val="499"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212425C5">
            <w:pPr>
              <w:pStyle w:val="178"/>
              <w:widowControl/>
              <w:numPr>
                <w:ilvl w:val="0"/>
                <w:numId w:val="10"/>
              </w:numPr>
              <w:spacing w:line="240" w:lineRule="auto"/>
              <w:ind w:firstLineChars="0"/>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02C9ABB2">
            <w:pPr>
              <w:widowControl/>
              <w:adjustRightInd/>
              <w:spacing w:line="240" w:lineRule="auto"/>
              <w:jc w:val="left"/>
              <w:textAlignment w:val="auto"/>
              <w:rPr>
                <w:rFonts w:ascii="宋体" w:hAnsi="宋体" w:cs="宋体"/>
                <w:szCs w:val="21"/>
              </w:rPr>
            </w:pPr>
            <w:r>
              <w:rPr>
                <w:rFonts w:hint="eastAsia"/>
                <w:szCs w:val="21"/>
              </w:rPr>
              <w:t>风机控制箱</w:t>
            </w:r>
          </w:p>
        </w:tc>
        <w:tc>
          <w:tcPr>
            <w:tcW w:w="2305" w:type="pct"/>
            <w:tcBorders>
              <w:top w:val="nil"/>
              <w:left w:val="nil"/>
              <w:bottom w:val="single" w:color="auto" w:sz="4" w:space="0"/>
              <w:right w:val="single" w:color="auto" w:sz="4" w:space="0"/>
            </w:tcBorders>
            <w:shd w:val="clear" w:color="000000" w:fill="FFFFFF"/>
            <w:vAlign w:val="center"/>
          </w:tcPr>
          <w:p w14:paraId="0DCC8254">
            <w:pPr>
              <w:widowControl/>
              <w:adjustRightInd/>
              <w:spacing w:line="240" w:lineRule="auto"/>
              <w:jc w:val="left"/>
              <w:textAlignment w:val="auto"/>
              <w:rPr>
                <w:szCs w:val="21"/>
              </w:rPr>
            </w:pPr>
            <w:r>
              <w:rPr>
                <w:rFonts w:hint="eastAsia"/>
                <w:szCs w:val="21"/>
              </w:rPr>
              <w:t>普通型/温控型等，带启/停按钮，电源/故障指示灯,材质304不锈钢</w:t>
            </w:r>
          </w:p>
        </w:tc>
        <w:tc>
          <w:tcPr>
            <w:tcW w:w="323" w:type="pct"/>
            <w:tcBorders>
              <w:top w:val="nil"/>
              <w:left w:val="nil"/>
              <w:bottom w:val="single" w:color="auto" w:sz="4" w:space="0"/>
              <w:right w:val="single" w:color="auto" w:sz="4" w:space="0"/>
            </w:tcBorders>
            <w:shd w:val="clear" w:color="000000" w:fill="FFFFFF"/>
            <w:noWrap/>
            <w:vAlign w:val="center"/>
          </w:tcPr>
          <w:p w14:paraId="79B08441">
            <w:pPr>
              <w:widowControl/>
              <w:adjustRightInd/>
              <w:spacing w:line="240" w:lineRule="auto"/>
              <w:jc w:val="center"/>
              <w:textAlignment w:val="auto"/>
              <w:rPr>
                <w:rFonts w:ascii="宋体" w:hAnsi="宋体" w:cs="宋体"/>
                <w:szCs w:val="21"/>
              </w:rPr>
            </w:pPr>
            <w:r>
              <w:rPr>
                <w:rFonts w:hint="eastAsia"/>
                <w:szCs w:val="21"/>
              </w:rPr>
              <w:t>个</w:t>
            </w:r>
          </w:p>
        </w:tc>
        <w:tc>
          <w:tcPr>
            <w:tcW w:w="403" w:type="pct"/>
            <w:tcBorders>
              <w:top w:val="nil"/>
              <w:left w:val="nil"/>
              <w:bottom w:val="single" w:color="auto" w:sz="4" w:space="0"/>
              <w:right w:val="single" w:color="auto" w:sz="4" w:space="0"/>
            </w:tcBorders>
            <w:shd w:val="clear" w:color="000000" w:fill="FFFFFF"/>
            <w:noWrap/>
            <w:vAlign w:val="center"/>
          </w:tcPr>
          <w:p w14:paraId="03CE9F80">
            <w:pPr>
              <w:widowControl/>
              <w:adjustRightInd/>
              <w:spacing w:line="240" w:lineRule="auto"/>
              <w:jc w:val="center"/>
              <w:textAlignment w:val="auto"/>
              <w:rPr>
                <w:szCs w:val="21"/>
              </w:rPr>
            </w:pPr>
            <w:r>
              <w:rPr>
                <w:rFonts w:hint="eastAsia"/>
                <w:szCs w:val="21"/>
              </w:rPr>
              <w:t>1</w:t>
            </w:r>
          </w:p>
        </w:tc>
        <w:tc>
          <w:tcPr>
            <w:tcW w:w="641" w:type="pct"/>
            <w:tcBorders>
              <w:top w:val="nil"/>
              <w:left w:val="nil"/>
              <w:bottom w:val="single" w:color="auto" w:sz="4" w:space="0"/>
              <w:right w:val="single" w:color="auto" w:sz="4" w:space="0"/>
            </w:tcBorders>
            <w:shd w:val="clear" w:color="000000" w:fill="FFFFFF"/>
            <w:noWrap/>
            <w:vAlign w:val="center"/>
          </w:tcPr>
          <w:p w14:paraId="28C9A055">
            <w:pPr>
              <w:widowControl/>
              <w:adjustRightInd/>
              <w:spacing w:line="240" w:lineRule="auto"/>
              <w:jc w:val="center"/>
              <w:textAlignment w:val="auto"/>
              <w:rPr>
                <w:szCs w:val="21"/>
              </w:rPr>
            </w:pPr>
            <w:r>
              <w:rPr>
                <w:rFonts w:ascii="宋体" w:hAnsi="宋体"/>
                <w:szCs w:val="21"/>
              </w:rPr>
              <w:t>　</w:t>
            </w:r>
          </w:p>
        </w:tc>
      </w:tr>
      <w:tr w14:paraId="5C4750DA">
        <w:tblPrEx>
          <w:tblCellMar>
            <w:top w:w="0" w:type="dxa"/>
            <w:left w:w="108" w:type="dxa"/>
            <w:bottom w:w="0" w:type="dxa"/>
            <w:right w:w="108" w:type="dxa"/>
          </w:tblCellMar>
        </w:tblPrEx>
        <w:trPr>
          <w:trHeight w:val="858" w:hRule="atLeast"/>
        </w:trPr>
        <w:tc>
          <w:tcPr>
            <w:tcW w:w="397" w:type="pct"/>
            <w:tcBorders>
              <w:top w:val="nil"/>
              <w:left w:val="single" w:color="auto" w:sz="4" w:space="0"/>
              <w:bottom w:val="single" w:color="auto" w:sz="4" w:space="0"/>
              <w:right w:val="single" w:color="auto" w:sz="4" w:space="0"/>
            </w:tcBorders>
            <w:shd w:val="clear" w:color="000000" w:fill="FFFFFF"/>
            <w:noWrap/>
            <w:vAlign w:val="center"/>
          </w:tcPr>
          <w:p w14:paraId="7E6C01F0">
            <w:pPr>
              <w:pStyle w:val="178"/>
              <w:widowControl/>
              <w:numPr>
                <w:ilvl w:val="0"/>
                <w:numId w:val="10"/>
              </w:numPr>
              <w:spacing w:line="240" w:lineRule="auto"/>
              <w:ind w:firstLineChars="0"/>
              <w:rPr>
                <w:rFonts w:ascii="宋体" w:hAnsi="宋体" w:cs="Times New Roman"/>
                <w:kern w:val="0"/>
                <w:szCs w:val="24"/>
              </w:rPr>
            </w:pPr>
          </w:p>
        </w:tc>
        <w:tc>
          <w:tcPr>
            <w:tcW w:w="931" w:type="pct"/>
            <w:tcBorders>
              <w:top w:val="nil"/>
              <w:left w:val="nil"/>
              <w:bottom w:val="single" w:color="auto" w:sz="4" w:space="0"/>
              <w:right w:val="single" w:color="auto" w:sz="4" w:space="0"/>
            </w:tcBorders>
            <w:shd w:val="clear" w:color="000000" w:fill="FFFFFF"/>
            <w:noWrap/>
            <w:vAlign w:val="center"/>
          </w:tcPr>
          <w:p w14:paraId="109357EA">
            <w:pPr>
              <w:widowControl/>
              <w:adjustRightInd/>
              <w:spacing w:line="240" w:lineRule="auto"/>
              <w:jc w:val="left"/>
              <w:textAlignment w:val="auto"/>
              <w:rPr>
                <w:szCs w:val="21"/>
              </w:rPr>
            </w:pPr>
            <w:r>
              <w:rPr>
                <w:rFonts w:hint="eastAsia"/>
                <w:szCs w:val="21"/>
              </w:rPr>
              <w:t>管道主辅材料、阀门、附件及保温</w:t>
            </w:r>
          </w:p>
        </w:tc>
        <w:tc>
          <w:tcPr>
            <w:tcW w:w="2305" w:type="pct"/>
            <w:tcBorders>
              <w:top w:val="nil"/>
              <w:left w:val="nil"/>
              <w:bottom w:val="single" w:color="auto" w:sz="4" w:space="0"/>
              <w:right w:val="single" w:color="auto" w:sz="4" w:space="0"/>
            </w:tcBorders>
            <w:shd w:val="clear" w:color="000000" w:fill="FFFFFF"/>
            <w:vAlign w:val="center"/>
          </w:tcPr>
          <w:p w14:paraId="7FA06C11">
            <w:pPr>
              <w:widowControl/>
              <w:adjustRightInd/>
              <w:spacing w:line="240" w:lineRule="auto"/>
              <w:jc w:val="left"/>
              <w:textAlignment w:val="auto"/>
              <w:rPr>
                <w:szCs w:val="21"/>
              </w:rPr>
            </w:pPr>
            <w:r>
              <w:rPr>
                <w:rFonts w:hint="eastAsia"/>
                <w:szCs w:val="21"/>
              </w:rPr>
              <w:t>　包括但不限于冷媒管、保温材料等</w:t>
            </w:r>
          </w:p>
        </w:tc>
        <w:tc>
          <w:tcPr>
            <w:tcW w:w="323" w:type="pct"/>
            <w:tcBorders>
              <w:top w:val="nil"/>
              <w:left w:val="nil"/>
              <w:bottom w:val="single" w:color="auto" w:sz="4" w:space="0"/>
              <w:right w:val="single" w:color="auto" w:sz="4" w:space="0"/>
            </w:tcBorders>
            <w:shd w:val="clear" w:color="000000" w:fill="FFFFFF"/>
            <w:noWrap/>
            <w:vAlign w:val="center"/>
          </w:tcPr>
          <w:p w14:paraId="485ED3FE">
            <w:pPr>
              <w:widowControl/>
              <w:adjustRightInd/>
              <w:spacing w:line="240" w:lineRule="auto"/>
              <w:jc w:val="center"/>
              <w:textAlignment w:val="auto"/>
              <w:rPr>
                <w:szCs w:val="21"/>
              </w:rPr>
            </w:pPr>
            <w:r>
              <w:rPr>
                <w:rFonts w:hint="eastAsia"/>
                <w:szCs w:val="21"/>
              </w:rPr>
              <w:t>套</w:t>
            </w:r>
          </w:p>
        </w:tc>
        <w:tc>
          <w:tcPr>
            <w:tcW w:w="403" w:type="pct"/>
            <w:tcBorders>
              <w:top w:val="nil"/>
              <w:left w:val="nil"/>
              <w:bottom w:val="single" w:color="auto" w:sz="4" w:space="0"/>
              <w:right w:val="single" w:color="auto" w:sz="4" w:space="0"/>
            </w:tcBorders>
            <w:shd w:val="clear" w:color="000000" w:fill="FFFFFF"/>
            <w:noWrap/>
            <w:vAlign w:val="center"/>
          </w:tcPr>
          <w:p w14:paraId="78F78F03">
            <w:pPr>
              <w:widowControl/>
              <w:adjustRightInd/>
              <w:spacing w:line="240" w:lineRule="auto"/>
              <w:jc w:val="center"/>
              <w:textAlignment w:val="auto"/>
              <w:rPr>
                <w:szCs w:val="21"/>
              </w:rPr>
            </w:pPr>
            <w:r>
              <w:rPr>
                <w:rFonts w:hint="eastAsia"/>
                <w:szCs w:val="21"/>
              </w:rPr>
              <w:t>1</w:t>
            </w:r>
          </w:p>
        </w:tc>
        <w:tc>
          <w:tcPr>
            <w:tcW w:w="641" w:type="pct"/>
            <w:tcBorders>
              <w:top w:val="nil"/>
              <w:left w:val="nil"/>
              <w:bottom w:val="single" w:color="auto" w:sz="4" w:space="0"/>
              <w:right w:val="single" w:color="auto" w:sz="4" w:space="0"/>
            </w:tcBorders>
            <w:shd w:val="clear" w:color="000000" w:fill="FFFFFF"/>
            <w:noWrap/>
            <w:vAlign w:val="center"/>
          </w:tcPr>
          <w:p w14:paraId="4C365AD4">
            <w:pPr>
              <w:widowControl/>
              <w:adjustRightInd/>
              <w:spacing w:line="240" w:lineRule="auto"/>
              <w:jc w:val="center"/>
              <w:textAlignment w:val="auto"/>
              <w:rPr>
                <w:szCs w:val="21"/>
              </w:rPr>
            </w:pPr>
            <w:r>
              <w:rPr>
                <w:rFonts w:ascii="宋体" w:hAnsi="宋体"/>
                <w:szCs w:val="21"/>
              </w:rPr>
              <w:t>　</w:t>
            </w:r>
          </w:p>
        </w:tc>
      </w:tr>
    </w:tbl>
    <w:p w14:paraId="3142A230">
      <w:pPr>
        <w:snapToGrid w:val="0"/>
        <w:spacing w:line="440" w:lineRule="atLeast"/>
        <w:rPr>
          <w:rFonts w:eastAsiaTheme="minorEastAsia"/>
          <w:b/>
          <w:color w:val="000000" w:themeColor="text1"/>
          <w:sz w:val="24"/>
          <w:szCs w:val="24"/>
          <w14:textFill>
            <w14:solidFill>
              <w14:schemeClr w14:val="tx1"/>
            </w14:solidFill>
          </w14:textFill>
        </w:rPr>
      </w:pPr>
    </w:p>
    <w:p w14:paraId="10D87354">
      <w:pPr>
        <w:snapToGrid w:val="0"/>
        <w:spacing w:line="440" w:lineRule="atLeast"/>
        <w:rPr>
          <w:rFonts w:eastAsiaTheme="minorEastAsia"/>
          <w:b/>
          <w:color w:val="000000" w:themeColor="text1"/>
          <w:sz w:val="24"/>
          <w:szCs w:val="24"/>
          <w14:textFill>
            <w14:solidFill>
              <w14:schemeClr w14:val="tx1"/>
            </w14:solidFill>
          </w14:textFill>
        </w:rPr>
      </w:pPr>
    </w:p>
    <w:p w14:paraId="3FA9FF7A">
      <w:pPr>
        <w:snapToGrid w:val="0"/>
        <w:spacing w:line="440" w:lineRule="atLeast"/>
        <w:outlineLvl w:val="1"/>
        <w:rPr>
          <w:rFonts w:eastAsiaTheme="minorEastAsia"/>
          <w:b/>
          <w:color w:val="000000" w:themeColor="text1"/>
          <w:sz w:val="24"/>
          <w:szCs w:val="24"/>
          <w14:textFill>
            <w14:solidFill>
              <w14:schemeClr w14:val="tx1"/>
            </w14:solidFill>
          </w14:textFill>
        </w:rPr>
      </w:pPr>
      <w:bookmarkStart w:id="30" w:name="_Toc220074658"/>
      <w:bookmarkStart w:id="31" w:name="_Toc57984069"/>
      <w:r>
        <w:rPr>
          <w:rFonts w:hint="eastAsia" w:eastAsiaTheme="minorEastAsia"/>
          <w:b/>
          <w:color w:val="000000" w:themeColor="text1"/>
          <w:sz w:val="24"/>
          <w:szCs w:val="24"/>
          <w14:textFill>
            <w14:solidFill>
              <w14:schemeClr w14:val="tx1"/>
            </w14:solidFill>
          </w14:textFill>
        </w:rPr>
        <w:t>表</w:t>
      </w:r>
      <w:r>
        <w:rPr>
          <w:rFonts w:eastAsiaTheme="minorEastAsia"/>
          <w:b/>
          <w:color w:val="000000" w:themeColor="text1"/>
          <w:sz w:val="24"/>
          <w:szCs w:val="24"/>
          <w14:textFill>
            <w14:solidFill>
              <w14:schemeClr w14:val="tx1"/>
            </w14:solidFill>
          </w14:textFill>
        </w:rPr>
        <w:t xml:space="preserve">1-6              </w:t>
      </w:r>
      <w:r>
        <w:rPr>
          <w:rFonts w:hint="eastAsia" w:eastAsiaTheme="minorEastAsia"/>
          <w:b/>
          <w:color w:val="000000" w:themeColor="text1"/>
          <w:sz w:val="24"/>
          <w:szCs w:val="24"/>
          <w14:textFill>
            <w14:solidFill>
              <w14:schemeClr w14:val="tx1"/>
            </w14:solidFill>
          </w14:textFill>
        </w:rPr>
        <w:t>综合泵房通风空调系统设备规格及数量表</w:t>
      </w:r>
      <w:bookmarkEnd w:id="30"/>
      <w:bookmarkEnd w:id="31"/>
    </w:p>
    <w:tbl>
      <w:tblPr>
        <w:tblStyle w:val="41"/>
        <w:tblW w:w="5000" w:type="pct"/>
        <w:tblInd w:w="0" w:type="dxa"/>
        <w:tblLayout w:type="fixed"/>
        <w:tblCellMar>
          <w:top w:w="0" w:type="dxa"/>
          <w:left w:w="108" w:type="dxa"/>
          <w:bottom w:w="0" w:type="dxa"/>
          <w:right w:w="108" w:type="dxa"/>
        </w:tblCellMar>
      </w:tblPr>
      <w:tblGrid>
        <w:gridCol w:w="722"/>
        <w:gridCol w:w="2349"/>
        <w:gridCol w:w="3753"/>
        <w:gridCol w:w="832"/>
        <w:gridCol w:w="715"/>
        <w:gridCol w:w="915"/>
      </w:tblGrid>
      <w:tr w14:paraId="1B1B999B">
        <w:tblPrEx>
          <w:tblCellMar>
            <w:top w:w="0" w:type="dxa"/>
            <w:left w:w="108" w:type="dxa"/>
            <w:bottom w:w="0" w:type="dxa"/>
            <w:right w:w="108" w:type="dxa"/>
          </w:tblCellMar>
        </w:tblPrEx>
        <w:trPr>
          <w:trHeight w:val="499" w:hRule="atLeast"/>
          <w:tblHeader/>
        </w:trPr>
        <w:tc>
          <w:tcPr>
            <w:tcW w:w="388"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77BAB9FE">
            <w:pPr>
              <w:widowControl/>
              <w:adjustRightInd/>
              <w:spacing w:line="240" w:lineRule="auto"/>
              <w:jc w:val="center"/>
              <w:textAlignment w:val="auto"/>
              <w:rPr>
                <w:b/>
                <w:sz w:val="24"/>
                <w:szCs w:val="24"/>
              </w:rPr>
            </w:pPr>
            <w:r>
              <w:rPr>
                <w:rFonts w:hint="eastAsia" w:ascii="宋体" w:hAnsi="宋体"/>
                <w:b/>
                <w:sz w:val="24"/>
                <w:szCs w:val="24"/>
              </w:rPr>
              <w:t>序号</w:t>
            </w:r>
          </w:p>
        </w:tc>
        <w:tc>
          <w:tcPr>
            <w:tcW w:w="1265" w:type="pct"/>
            <w:tcBorders>
              <w:top w:val="single" w:color="auto" w:sz="4" w:space="0"/>
              <w:left w:val="nil"/>
              <w:bottom w:val="single" w:color="auto" w:sz="4" w:space="0"/>
              <w:right w:val="single" w:color="auto" w:sz="4" w:space="0"/>
            </w:tcBorders>
            <w:shd w:val="clear" w:color="000000" w:fill="FFFFFF"/>
            <w:noWrap/>
            <w:vAlign w:val="center"/>
          </w:tcPr>
          <w:p w14:paraId="517E3AD6">
            <w:pPr>
              <w:widowControl/>
              <w:adjustRightInd/>
              <w:spacing w:line="240" w:lineRule="auto"/>
              <w:jc w:val="center"/>
              <w:textAlignment w:val="auto"/>
              <w:rPr>
                <w:b/>
                <w:sz w:val="24"/>
                <w:szCs w:val="24"/>
              </w:rPr>
            </w:pPr>
            <w:r>
              <w:rPr>
                <w:rFonts w:hint="eastAsia" w:ascii="宋体" w:hAnsi="宋体"/>
                <w:b/>
                <w:sz w:val="24"/>
                <w:szCs w:val="24"/>
              </w:rPr>
              <w:t>设备材料名称</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2A3FD6E">
            <w:pPr>
              <w:widowControl/>
              <w:adjustRightInd/>
              <w:spacing w:line="240" w:lineRule="auto"/>
              <w:jc w:val="center"/>
              <w:textAlignment w:val="auto"/>
              <w:rPr>
                <w:b/>
                <w:sz w:val="24"/>
                <w:szCs w:val="24"/>
              </w:rPr>
            </w:pPr>
            <w:r>
              <w:rPr>
                <w:rFonts w:hint="eastAsia" w:ascii="宋体" w:hAnsi="宋体"/>
                <w:b/>
                <w:sz w:val="24"/>
                <w:szCs w:val="24"/>
              </w:rPr>
              <w:t>设备材料规格</w:t>
            </w:r>
          </w:p>
        </w:tc>
        <w:tc>
          <w:tcPr>
            <w:tcW w:w="448" w:type="pct"/>
            <w:tcBorders>
              <w:top w:val="single" w:color="auto" w:sz="4" w:space="0"/>
              <w:left w:val="nil"/>
              <w:bottom w:val="single" w:color="auto" w:sz="4" w:space="0"/>
              <w:right w:val="single" w:color="auto" w:sz="4" w:space="0"/>
            </w:tcBorders>
            <w:shd w:val="clear" w:color="000000" w:fill="FFFFFF"/>
            <w:noWrap/>
            <w:vAlign w:val="center"/>
          </w:tcPr>
          <w:p w14:paraId="183E4F10">
            <w:pPr>
              <w:widowControl/>
              <w:adjustRightInd/>
              <w:spacing w:line="240" w:lineRule="auto"/>
              <w:jc w:val="center"/>
              <w:textAlignment w:val="auto"/>
              <w:rPr>
                <w:b/>
                <w:sz w:val="24"/>
                <w:szCs w:val="24"/>
              </w:rPr>
            </w:pPr>
            <w:r>
              <w:rPr>
                <w:rFonts w:hint="eastAsia" w:ascii="宋体" w:hAnsi="宋体"/>
                <w:b/>
                <w:sz w:val="24"/>
                <w:szCs w:val="24"/>
              </w:rPr>
              <w:t>单位</w:t>
            </w:r>
          </w:p>
        </w:tc>
        <w:tc>
          <w:tcPr>
            <w:tcW w:w="385" w:type="pct"/>
            <w:tcBorders>
              <w:top w:val="single" w:color="auto" w:sz="4" w:space="0"/>
              <w:left w:val="nil"/>
              <w:bottom w:val="single" w:color="auto" w:sz="4" w:space="0"/>
              <w:right w:val="single" w:color="auto" w:sz="4" w:space="0"/>
            </w:tcBorders>
            <w:shd w:val="clear" w:color="000000" w:fill="FFFFFF"/>
            <w:noWrap/>
            <w:vAlign w:val="center"/>
          </w:tcPr>
          <w:p w14:paraId="296BD415">
            <w:pPr>
              <w:widowControl/>
              <w:adjustRightInd/>
              <w:spacing w:line="240" w:lineRule="auto"/>
              <w:jc w:val="center"/>
              <w:textAlignment w:val="auto"/>
              <w:rPr>
                <w:b/>
                <w:sz w:val="24"/>
                <w:szCs w:val="24"/>
              </w:rPr>
            </w:pPr>
            <w:r>
              <w:rPr>
                <w:rFonts w:hint="eastAsia" w:ascii="宋体" w:hAnsi="宋体"/>
                <w:b/>
                <w:sz w:val="24"/>
                <w:szCs w:val="24"/>
              </w:rPr>
              <w:t>数量</w:t>
            </w:r>
          </w:p>
        </w:tc>
        <w:tc>
          <w:tcPr>
            <w:tcW w:w="493" w:type="pct"/>
            <w:tcBorders>
              <w:top w:val="single" w:color="auto" w:sz="4" w:space="0"/>
              <w:left w:val="nil"/>
              <w:bottom w:val="single" w:color="auto" w:sz="4" w:space="0"/>
              <w:right w:val="single" w:color="auto" w:sz="4" w:space="0"/>
            </w:tcBorders>
            <w:shd w:val="clear" w:color="000000" w:fill="FFFFFF"/>
            <w:noWrap/>
            <w:vAlign w:val="center"/>
          </w:tcPr>
          <w:p w14:paraId="28B3F71B">
            <w:pPr>
              <w:widowControl/>
              <w:adjustRightInd/>
              <w:spacing w:line="240" w:lineRule="auto"/>
              <w:textAlignment w:val="auto"/>
              <w:rPr>
                <w:b/>
                <w:sz w:val="24"/>
                <w:szCs w:val="24"/>
              </w:rPr>
            </w:pPr>
            <w:r>
              <w:rPr>
                <w:rFonts w:hint="eastAsia" w:ascii="宋体" w:hAnsi="宋体"/>
                <w:b/>
                <w:sz w:val="24"/>
                <w:szCs w:val="24"/>
              </w:rPr>
              <w:t>备注</w:t>
            </w:r>
          </w:p>
        </w:tc>
      </w:tr>
      <w:tr w14:paraId="47B5699A">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5A2B831">
            <w:pPr>
              <w:pStyle w:val="178"/>
              <w:widowControl/>
              <w:numPr>
                <w:ilvl w:val="0"/>
                <w:numId w:val="11"/>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3E80EF57">
            <w:pPr>
              <w:widowControl/>
              <w:adjustRightInd/>
              <w:spacing w:line="240" w:lineRule="auto"/>
              <w:jc w:val="left"/>
              <w:textAlignment w:val="auto"/>
              <w:rPr>
                <w:szCs w:val="21"/>
              </w:rPr>
            </w:pPr>
            <w:r>
              <w:rPr>
                <w:rFonts w:hint="eastAsia"/>
                <w:szCs w:val="21"/>
              </w:rPr>
              <w:t>立柜式单元空调机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36AB7A4">
            <w:pPr>
              <w:widowControl/>
              <w:adjustRightInd/>
              <w:spacing w:line="240" w:lineRule="auto"/>
              <w:jc w:val="left"/>
              <w:textAlignment w:val="auto"/>
              <w:rPr>
                <w:szCs w:val="21"/>
              </w:rPr>
            </w:pPr>
            <w:r>
              <w:rPr>
                <w:rFonts w:hint="eastAsia"/>
                <w:szCs w:val="21"/>
              </w:rPr>
              <w:t>制冷量14kW，风量：2800m³/h，电压：AC380V，电机功率：5.6kW。能耗等级不低于2级，变频，来电自启动，带记忆功能，环保冷媒。带远控端子，带RS485接口（通信规约：MODBUS）或网口接口（通信规约：IEC-61850）,所有外漏冷媒管采用成品槽盒外包</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60140304">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7AC494C7">
            <w:pPr>
              <w:widowControl/>
              <w:adjustRightInd/>
              <w:spacing w:line="240" w:lineRule="auto"/>
              <w:jc w:val="center"/>
              <w:textAlignment w:val="auto"/>
              <w:rPr>
                <w:szCs w:val="21"/>
              </w:rPr>
            </w:pPr>
            <w:r>
              <w:rPr>
                <w:rFonts w:hint="eastAsia"/>
                <w:szCs w:val="21"/>
              </w:rPr>
              <w:t>2</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628C9ECF">
            <w:pPr>
              <w:widowControl/>
              <w:adjustRightInd/>
              <w:spacing w:line="240" w:lineRule="auto"/>
              <w:textAlignment w:val="auto"/>
              <w:rPr>
                <w:szCs w:val="21"/>
              </w:rPr>
            </w:pPr>
          </w:p>
        </w:tc>
      </w:tr>
      <w:tr w14:paraId="60FE8FB3">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5A12332">
            <w:pPr>
              <w:pStyle w:val="178"/>
              <w:widowControl/>
              <w:numPr>
                <w:ilvl w:val="0"/>
                <w:numId w:val="11"/>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61CFFE5E">
            <w:pPr>
              <w:widowControl/>
              <w:adjustRightInd/>
              <w:spacing w:line="240" w:lineRule="auto"/>
              <w:jc w:val="left"/>
              <w:textAlignment w:val="auto"/>
              <w:rPr>
                <w:szCs w:val="21"/>
              </w:rPr>
            </w:pPr>
            <w:r>
              <w:rPr>
                <w:rFonts w:hint="eastAsia"/>
                <w:szCs w:val="21"/>
              </w:rPr>
              <w:t>低噪声轴流风机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035E47C0">
            <w:pPr>
              <w:widowControl/>
              <w:adjustRightInd/>
              <w:spacing w:line="240" w:lineRule="auto"/>
              <w:jc w:val="left"/>
              <w:textAlignment w:val="auto"/>
              <w:rPr>
                <w:szCs w:val="21"/>
              </w:rPr>
            </w:pPr>
            <w:r>
              <w:rPr>
                <w:rFonts w:hint="eastAsia"/>
                <w:szCs w:val="21"/>
              </w:rPr>
              <w:t>风量：5060m3/h，电机功率：0.37kW/380V,能耗等级不低于2级</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52F33DEE">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589BC19B">
            <w:pPr>
              <w:widowControl/>
              <w:adjustRightInd/>
              <w:spacing w:line="240" w:lineRule="auto"/>
              <w:jc w:val="center"/>
              <w:textAlignment w:val="auto"/>
              <w:rPr>
                <w:szCs w:val="21"/>
              </w:rPr>
            </w:pPr>
            <w:r>
              <w:rPr>
                <w:rFonts w:hint="eastAsia"/>
                <w:szCs w:val="21"/>
              </w:rPr>
              <w:t>7</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6A5F3198">
            <w:pPr>
              <w:widowControl/>
              <w:adjustRightInd/>
              <w:spacing w:line="240" w:lineRule="auto"/>
              <w:textAlignment w:val="auto"/>
              <w:rPr>
                <w:szCs w:val="21"/>
              </w:rPr>
            </w:pPr>
            <w:r>
              <w:rPr>
                <w:rFonts w:hint="eastAsia"/>
                <w:szCs w:val="21"/>
              </w:rPr>
              <w:t>　</w:t>
            </w:r>
          </w:p>
        </w:tc>
      </w:tr>
      <w:tr w14:paraId="6B34BDF2">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0D88ECF">
            <w:pPr>
              <w:pStyle w:val="178"/>
              <w:widowControl/>
              <w:numPr>
                <w:ilvl w:val="0"/>
                <w:numId w:val="11"/>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1EEB8201">
            <w:pPr>
              <w:widowControl/>
              <w:adjustRightInd/>
              <w:spacing w:line="240" w:lineRule="auto"/>
              <w:jc w:val="left"/>
              <w:textAlignment w:val="auto"/>
              <w:rPr>
                <w:szCs w:val="21"/>
              </w:rPr>
            </w:pPr>
            <w:r>
              <w:rPr>
                <w:rFonts w:hint="eastAsia"/>
                <w:szCs w:val="21"/>
              </w:rPr>
              <w:t>壁挂式电暖器</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4BE71BEE">
            <w:pPr>
              <w:widowControl/>
              <w:adjustRightInd/>
              <w:spacing w:line="240" w:lineRule="auto"/>
              <w:jc w:val="left"/>
              <w:textAlignment w:val="auto"/>
              <w:rPr>
                <w:szCs w:val="21"/>
              </w:rPr>
            </w:pPr>
            <w:r>
              <w:rPr>
                <w:rFonts w:hint="eastAsia"/>
                <w:szCs w:val="21"/>
              </w:rPr>
              <w:t>制热量/功率：3kW/AC220V</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7C2762CF">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0E0687E1">
            <w:pPr>
              <w:widowControl/>
              <w:adjustRightInd/>
              <w:spacing w:line="240" w:lineRule="auto"/>
              <w:jc w:val="center"/>
              <w:textAlignment w:val="auto"/>
              <w:rPr>
                <w:szCs w:val="21"/>
              </w:rPr>
            </w:pPr>
            <w:r>
              <w:rPr>
                <w:rFonts w:hint="eastAsia"/>
                <w:szCs w:val="21"/>
              </w:rPr>
              <w:t>8</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2B976CC6">
            <w:pPr>
              <w:widowControl/>
              <w:adjustRightInd/>
              <w:spacing w:line="240" w:lineRule="auto"/>
              <w:textAlignment w:val="auto"/>
              <w:rPr>
                <w:szCs w:val="21"/>
              </w:rPr>
            </w:pPr>
          </w:p>
        </w:tc>
      </w:tr>
      <w:tr w14:paraId="717B4961">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CAF5DB6">
            <w:pPr>
              <w:pStyle w:val="178"/>
              <w:widowControl/>
              <w:numPr>
                <w:ilvl w:val="0"/>
                <w:numId w:val="11"/>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0EAADBB2">
            <w:pPr>
              <w:widowControl/>
              <w:adjustRightInd/>
              <w:spacing w:line="240" w:lineRule="auto"/>
              <w:jc w:val="left"/>
              <w:textAlignment w:val="auto"/>
              <w:rPr>
                <w:szCs w:val="21"/>
              </w:rPr>
            </w:pPr>
            <w:r>
              <w:rPr>
                <w:rFonts w:hint="eastAsia"/>
                <w:szCs w:val="21"/>
              </w:rPr>
              <w:t>不锈钢通风弯头</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4BBB0791">
            <w:pPr>
              <w:widowControl/>
              <w:adjustRightInd/>
              <w:spacing w:line="240" w:lineRule="auto"/>
              <w:jc w:val="left"/>
              <w:textAlignment w:val="auto"/>
              <w:rPr>
                <w:szCs w:val="21"/>
              </w:rPr>
            </w:pPr>
            <w:r>
              <w:rPr>
                <w:rFonts w:hint="eastAsia"/>
                <w:szCs w:val="21"/>
              </w:rPr>
              <w:t>风机配套，304不锈钢，带6×6mm不锈钢丝过滤网</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611E1F97">
            <w:pPr>
              <w:widowControl/>
              <w:adjustRightInd/>
              <w:spacing w:line="240" w:lineRule="auto"/>
              <w:jc w:val="center"/>
              <w:textAlignment w:val="auto"/>
              <w:rPr>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5BAEBC7F">
            <w:pPr>
              <w:widowControl/>
              <w:adjustRightInd/>
              <w:spacing w:line="240" w:lineRule="auto"/>
              <w:jc w:val="center"/>
              <w:textAlignment w:val="auto"/>
              <w:rPr>
                <w:szCs w:val="21"/>
              </w:rPr>
            </w:pPr>
            <w:r>
              <w:rPr>
                <w:rFonts w:hint="eastAsia"/>
                <w:szCs w:val="21"/>
              </w:rPr>
              <w:t>7</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9822967">
            <w:pPr>
              <w:widowControl/>
              <w:adjustRightInd/>
              <w:spacing w:line="240" w:lineRule="auto"/>
              <w:textAlignment w:val="auto"/>
              <w:rPr>
                <w:szCs w:val="21"/>
              </w:rPr>
            </w:pPr>
          </w:p>
        </w:tc>
      </w:tr>
      <w:tr w14:paraId="252E2CC8">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85718F9">
            <w:pPr>
              <w:pStyle w:val="178"/>
              <w:widowControl/>
              <w:numPr>
                <w:ilvl w:val="0"/>
                <w:numId w:val="11"/>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2065EBAA">
            <w:pPr>
              <w:widowControl/>
              <w:adjustRightInd/>
              <w:spacing w:line="240" w:lineRule="auto"/>
              <w:jc w:val="left"/>
              <w:textAlignment w:val="auto"/>
              <w:rPr>
                <w:szCs w:val="21"/>
              </w:rPr>
            </w:pPr>
            <w:r>
              <w:rPr>
                <w:rFonts w:hint="eastAsia"/>
                <w:szCs w:val="21"/>
              </w:rPr>
              <w:t>风管软连接</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010E9F1F">
            <w:pPr>
              <w:widowControl/>
              <w:adjustRightInd/>
              <w:spacing w:line="240" w:lineRule="auto"/>
              <w:jc w:val="left"/>
              <w:textAlignment w:val="auto"/>
              <w:rPr>
                <w:szCs w:val="21"/>
              </w:rPr>
            </w:pPr>
            <w:r>
              <w:rPr>
                <w:rFonts w:hint="eastAsia"/>
                <w:szCs w:val="21"/>
              </w:rPr>
              <w:t>　</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28FB0AE1">
            <w:pPr>
              <w:widowControl/>
              <w:adjustRightInd/>
              <w:spacing w:line="240" w:lineRule="auto"/>
              <w:jc w:val="center"/>
              <w:textAlignment w:val="auto"/>
              <w:rPr>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41DD306F">
            <w:pPr>
              <w:widowControl/>
              <w:adjustRightInd/>
              <w:spacing w:line="240" w:lineRule="auto"/>
              <w:jc w:val="center"/>
              <w:textAlignment w:val="auto"/>
              <w:rPr>
                <w:szCs w:val="21"/>
              </w:rPr>
            </w:pPr>
            <w:r>
              <w:rPr>
                <w:rFonts w:hint="eastAsia"/>
                <w:szCs w:val="21"/>
              </w:rPr>
              <w:t>3</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D97D75F">
            <w:pPr>
              <w:widowControl/>
              <w:adjustRightInd/>
              <w:spacing w:line="240" w:lineRule="auto"/>
              <w:textAlignment w:val="auto"/>
              <w:rPr>
                <w:szCs w:val="21"/>
              </w:rPr>
            </w:pPr>
            <w:r>
              <w:rPr>
                <w:rFonts w:hint="eastAsia"/>
                <w:szCs w:val="21"/>
              </w:rPr>
              <w:t>　</w:t>
            </w:r>
          </w:p>
        </w:tc>
      </w:tr>
      <w:tr w14:paraId="7D4682A5">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748C729">
            <w:pPr>
              <w:pStyle w:val="178"/>
              <w:widowControl/>
              <w:numPr>
                <w:ilvl w:val="0"/>
                <w:numId w:val="11"/>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2E0D3E0C">
            <w:pPr>
              <w:widowControl/>
              <w:adjustRightInd/>
              <w:spacing w:line="240" w:lineRule="auto"/>
              <w:jc w:val="left"/>
              <w:textAlignment w:val="auto"/>
              <w:rPr>
                <w:color w:val="000000"/>
                <w:szCs w:val="21"/>
              </w:rPr>
            </w:pPr>
            <w:r>
              <w:rPr>
                <w:rFonts w:hint="eastAsia"/>
                <w:szCs w:val="21"/>
              </w:rPr>
              <w:t>铝合金手动调节百叶</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4D121725">
            <w:pPr>
              <w:widowControl/>
              <w:adjustRightInd/>
              <w:spacing w:line="240" w:lineRule="auto"/>
              <w:jc w:val="left"/>
              <w:textAlignment w:val="auto"/>
              <w:rPr>
                <w:szCs w:val="21"/>
              </w:rPr>
            </w:pPr>
            <w:r>
              <w:rPr>
                <w:rFonts w:hint="eastAsia"/>
                <w:szCs w:val="21"/>
              </w:rPr>
              <w:t>1200X630,带不锈钢丝滤网</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4A0EB68A">
            <w:pPr>
              <w:widowControl/>
              <w:adjustRightInd/>
              <w:spacing w:line="240" w:lineRule="auto"/>
              <w:jc w:val="center"/>
              <w:textAlignment w:val="auto"/>
              <w:rPr>
                <w:rFonts w:ascii="宋体" w:hAnsi="宋体"/>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317DACA4">
            <w:pPr>
              <w:widowControl/>
              <w:adjustRightInd/>
              <w:spacing w:line="240" w:lineRule="auto"/>
              <w:jc w:val="center"/>
              <w:textAlignment w:val="auto"/>
              <w:rPr>
                <w:rFonts w:ascii="宋体" w:hAnsi="宋体"/>
                <w:szCs w:val="21"/>
              </w:rPr>
            </w:pPr>
            <w:r>
              <w:rPr>
                <w:rFonts w:hint="eastAsia"/>
                <w:szCs w:val="21"/>
              </w:rPr>
              <w:t>4</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3D54E79F">
            <w:pPr>
              <w:widowControl/>
              <w:adjustRightInd/>
              <w:spacing w:line="240" w:lineRule="auto"/>
              <w:textAlignment w:val="auto"/>
              <w:rPr>
                <w:szCs w:val="21"/>
              </w:rPr>
            </w:pPr>
          </w:p>
        </w:tc>
      </w:tr>
      <w:tr w14:paraId="1AA04140">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BBB6387">
            <w:pPr>
              <w:pStyle w:val="178"/>
              <w:widowControl/>
              <w:numPr>
                <w:ilvl w:val="0"/>
                <w:numId w:val="11"/>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7EE5EAFC">
            <w:pPr>
              <w:widowControl/>
              <w:adjustRightInd/>
              <w:spacing w:line="240" w:lineRule="auto"/>
              <w:jc w:val="left"/>
              <w:textAlignment w:val="auto"/>
              <w:rPr>
                <w:szCs w:val="21"/>
              </w:rPr>
            </w:pPr>
            <w:r>
              <w:rPr>
                <w:rFonts w:hint="eastAsia"/>
                <w:szCs w:val="21"/>
              </w:rPr>
              <w:t>镀锌钢板风管</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5574C78C">
            <w:pPr>
              <w:widowControl/>
              <w:adjustRightInd/>
              <w:spacing w:line="240" w:lineRule="auto"/>
              <w:jc w:val="left"/>
              <w:textAlignment w:val="auto"/>
              <w:rPr>
                <w:szCs w:val="21"/>
              </w:rPr>
            </w:pPr>
            <w:r>
              <w:rPr>
                <w:rFonts w:hint="eastAsia"/>
                <w:szCs w:val="21"/>
              </w:rPr>
              <w:t>δ=0.75mm</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7C182564">
            <w:pPr>
              <w:widowControl/>
              <w:adjustRightInd/>
              <w:spacing w:line="240" w:lineRule="auto"/>
              <w:jc w:val="center"/>
              <w:textAlignment w:val="auto"/>
              <w:rPr>
                <w:szCs w:val="21"/>
              </w:rPr>
            </w:pPr>
            <w:r>
              <w:rPr>
                <w:rFonts w:hint="eastAsia"/>
                <w:szCs w:val="21"/>
              </w:rPr>
              <w:t>m2</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455F5DDF">
            <w:pPr>
              <w:widowControl/>
              <w:adjustRightInd/>
              <w:spacing w:line="240" w:lineRule="auto"/>
              <w:jc w:val="center"/>
              <w:textAlignment w:val="auto"/>
              <w:rPr>
                <w:szCs w:val="21"/>
              </w:rPr>
            </w:pPr>
            <w:r>
              <w:rPr>
                <w:rFonts w:hint="eastAsia"/>
                <w:szCs w:val="21"/>
              </w:rPr>
              <w:t>50</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76A10741">
            <w:pPr>
              <w:widowControl/>
              <w:adjustRightInd/>
              <w:spacing w:line="240" w:lineRule="auto"/>
              <w:textAlignment w:val="auto"/>
              <w:rPr>
                <w:szCs w:val="21"/>
              </w:rPr>
            </w:pPr>
          </w:p>
        </w:tc>
      </w:tr>
      <w:tr w14:paraId="6961CFBF">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B9BA6B9">
            <w:pPr>
              <w:pStyle w:val="178"/>
              <w:widowControl/>
              <w:numPr>
                <w:ilvl w:val="0"/>
                <w:numId w:val="11"/>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0D57BFB5">
            <w:pPr>
              <w:widowControl/>
              <w:adjustRightInd/>
              <w:spacing w:line="240" w:lineRule="auto"/>
              <w:jc w:val="left"/>
              <w:textAlignment w:val="auto"/>
              <w:rPr>
                <w:szCs w:val="21"/>
              </w:rPr>
            </w:pPr>
            <w:r>
              <w:rPr>
                <w:rFonts w:hint="eastAsia"/>
                <w:szCs w:val="21"/>
              </w:rPr>
              <w:t>铝合金格栅风口</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A623494">
            <w:pPr>
              <w:widowControl/>
              <w:adjustRightInd/>
              <w:spacing w:line="240" w:lineRule="auto"/>
              <w:jc w:val="left"/>
              <w:textAlignment w:val="auto"/>
              <w:rPr>
                <w:szCs w:val="21"/>
              </w:rPr>
            </w:pPr>
            <w:r>
              <w:rPr>
                <w:rFonts w:hint="eastAsia"/>
                <w:szCs w:val="21"/>
              </w:rPr>
              <w:t>500×500</w:t>
            </w:r>
            <w:r>
              <w:rPr>
                <w:szCs w:val="21"/>
              </w:rPr>
              <w:t>mm</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248809F4">
            <w:pPr>
              <w:widowControl/>
              <w:adjustRightInd/>
              <w:spacing w:line="240" w:lineRule="auto"/>
              <w:jc w:val="center"/>
              <w:textAlignment w:val="auto"/>
              <w:rPr>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11F2969B">
            <w:pPr>
              <w:widowControl/>
              <w:adjustRightInd/>
              <w:spacing w:line="240" w:lineRule="auto"/>
              <w:jc w:val="center"/>
              <w:textAlignment w:val="auto"/>
              <w:rPr>
                <w:szCs w:val="21"/>
              </w:rPr>
            </w:pPr>
            <w:r>
              <w:rPr>
                <w:rFonts w:hint="eastAsia"/>
                <w:szCs w:val="21"/>
              </w:rPr>
              <w:t>3</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22887E4B">
            <w:pPr>
              <w:widowControl/>
              <w:adjustRightInd/>
              <w:spacing w:line="240" w:lineRule="auto"/>
              <w:textAlignment w:val="auto"/>
              <w:rPr>
                <w:szCs w:val="21"/>
              </w:rPr>
            </w:pPr>
          </w:p>
        </w:tc>
      </w:tr>
      <w:tr w14:paraId="4CAF1670">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24ADDE7">
            <w:pPr>
              <w:pStyle w:val="178"/>
              <w:widowControl/>
              <w:numPr>
                <w:ilvl w:val="0"/>
                <w:numId w:val="11"/>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5D2F973F">
            <w:pPr>
              <w:widowControl/>
              <w:adjustRightInd/>
              <w:spacing w:line="240" w:lineRule="auto"/>
              <w:jc w:val="left"/>
              <w:textAlignment w:val="auto"/>
              <w:rPr>
                <w:szCs w:val="21"/>
              </w:rPr>
            </w:pPr>
            <w:r>
              <w:rPr>
                <w:rFonts w:hint="eastAsia"/>
                <w:szCs w:val="21"/>
              </w:rPr>
              <w:t>风机控制箱</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05CA2BCC">
            <w:pPr>
              <w:widowControl/>
              <w:adjustRightInd/>
              <w:spacing w:line="240" w:lineRule="auto"/>
              <w:jc w:val="left"/>
              <w:textAlignment w:val="auto"/>
              <w:rPr>
                <w:szCs w:val="21"/>
              </w:rPr>
            </w:pPr>
            <w:r>
              <w:rPr>
                <w:rFonts w:hint="eastAsia"/>
                <w:szCs w:val="21"/>
              </w:rPr>
              <w:t>普通型/温控型等，带启/停按钮，电源/故障指示灯,材质304不锈钢</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37FEF7C4">
            <w:pPr>
              <w:widowControl/>
              <w:adjustRightInd/>
              <w:spacing w:line="240" w:lineRule="auto"/>
              <w:jc w:val="center"/>
              <w:textAlignment w:val="auto"/>
              <w:rPr>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4B73FF0E">
            <w:pPr>
              <w:widowControl/>
              <w:adjustRightInd/>
              <w:spacing w:line="240" w:lineRule="auto"/>
              <w:jc w:val="center"/>
              <w:textAlignment w:val="auto"/>
              <w:rPr>
                <w:szCs w:val="21"/>
              </w:rPr>
            </w:pPr>
            <w:r>
              <w:rPr>
                <w:szCs w:val="21"/>
              </w:rPr>
              <w:t>2</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3C0CA8A8">
            <w:pPr>
              <w:widowControl/>
              <w:adjustRightInd/>
              <w:spacing w:line="240" w:lineRule="auto"/>
              <w:textAlignment w:val="auto"/>
              <w:rPr>
                <w:szCs w:val="21"/>
              </w:rPr>
            </w:pPr>
          </w:p>
        </w:tc>
      </w:tr>
    </w:tbl>
    <w:p w14:paraId="25985DEA">
      <w:pPr>
        <w:snapToGrid w:val="0"/>
        <w:spacing w:line="480" w:lineRule="atLeast"/>
        <w:rPr>
          <w:rFonts w:eastAsiaTheme="minorEastAsia"/>
          <w:b/>
          <w:color w:val="000000" w:themeColor="text1"/>
          <w:sz w:val="24"/>
          <w:szCs w:val="24"/>
          <w14:textFill>
            <w14:solidFill>
              <w14:schemeClr w14:val="tx1"/>
            </w14:solidFill>
          </w14:textFill>
        </w:rPr>
      </w:pPr>
    </w:p>
    <w:p w14:paraId="687ED767">
      <w:pPr>
        <w:snapToGrid w:val="0"/>
        <w:spacing w:line="440" w:lineRule="atLeast"/>
        <w:outlineLvl w:val="1"/>
        <w:rPr>
          <w:rFonts w:eastAsiaTheme="minorEastAsia"/>
          <w:b/>
          <w:color w:val="000000" w:themeColor="text1"/>
          <w:sz w:val="24"/>
          <w:szCs w:val="24"/>
          <w14:textFill>
            <w14:solidFill>
              <w14:schemeClr w14:val="tx1"/>
            </w14:solidFill>
          </w14:textFill>
        </w:rPr>
      </w:pPr>
      <w:r>
        <w:rPr>
          <w:rFonts w:hint="eastAsia" w:eastAsiaTheme="minorEastAsia"/>
          <w:b/>
          <w:color w:val="000000" w:themeColor="text1"/>
          <w:sz w:val="24"/>
          <w:szCs w:val="24"/>
          <w14:textFill>
            <w14:solidFill>
              <w14:schemeClr w14:val="tx1"/>
            </w14:solidFill>
          </w14:textFill>
        </w:rPr>
        <w:t>表</w:t>
      </w:r>
      <w:r>
        <w:rPr>
          <w:rFonts w:eastAsiaTheme="minorEastAsia"/>
          <w:b/>
          <w:color w:val="000000" w:themeColor="text1"/>
          <w:sz w:val="24"/>
          <w:szCs w:val="24"/>
          <w14:textFill>
            <w14:solidFill>
              <w14:schemeClr w14:val="tx1"/>
            </w14:solidFill>
          </w14:textFill>
        </w:rPr>
        <w:t xml:space="preserve">1-7              </w:t>
      </w:r>
      <w:r>
        <w:rPr>
          <w:rFonts w:hint="eastAsia" w:eastAsiaTheme="minorEastAsia"/>
          <w:b/>
          <w:color w:val="000000" w:themeColor="text1"/>
          <w:sz w:val="24"/>
          <w:szCs w:val="24"/>
          <w14:textFill>
            <w14:solidFill>
              <w14:schemeClr w14:val="tx1"/>
            </w14:solidFill>
          </w14:textFill>
        </w:rPr>
        <w:t>综合楼通风空调系统设备规格及数量表</w:t>
      </w:r>
    </w:p>
    <w:tbl>
      <w:tblPr>
        <w:tblStyle w:val="41"/>
        <w:tblW w:w="5000" w:type="pct"/>
        <w:tblInd w:w="0" w:type="dxa"/>
        <w:tblLayout w:type="fixed"/>
        <w:tblCellMar>
          <w:top w:w="0" w:type="dxa"/>
          <w:left w:w="108" w:type="dxa"/>
          <w:bottom w:w="0" w:type="dxa"/>
          <w:right w:w="108" w:type="dxa"/>
        </w:tblCellMar>
      </w:tblPr>
      <w:tblGrid>
        <w:gridCol w:w="722"/>
        <w:gridCol w:w="2349"/>
        <w:gridCol w:w="3753"/>
        <w:gridCol w:w="832"/>
        <w:gridCol w:w="715"/>
        <w:gridCol w:w="915"/>
      </w:tblGrid>
      <w:tr w14:paraId="59CD2AC9">
        <w:tblPrEx>
          <w:tblCellMar>
            <w:top w:w="0" w:type="dxa"/>
            <w:left w:w="108" w:type="dxa"/>
            <w:bottom w:w="0" w:type="dxa"/>
            <w:right w:w="108" w:type="dxa"/>
          </w:tblCellMar>
        </w:tblPrEx>
        <w:trPr>
          <w:trHeight w:val="499" w:hRule="atLeast"/>
          <w:tblHeader/>
        </w:trPr>
        <w:tc>
          <w:tcPr>
            <w:tcW w:w="388"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651A6B13">
            <w:pPr>
              <w:widowControl/>
              <w:adjustRightInd/>
              <w:spacing w:line="240" w:lineRule="auto"/>
              <w:jc w:val="center"/>
              <w:textAlignment w:val="auto"/>
              <w:rPr>
                <w:b/>
                <w:sz w:val="24"/>
                <w:szCs w:val="24"/>
              </w:rPr>
            </w:pPr>
            <w:r>
              <w:rPr>
                <w:rFonts w:hint="eastAsia" w:ascii="宋体" w:hAnsi="宋体"/>
                <w:b/>
                <w:sz w:val="24"/>
                <w:szCs w:val="24"/>
              </w:rPr>
              <w:t>序号</w:t>
            </w:r>
          </w:p>
        </w:tc>
        <w:tc>
          <w:tcPr>
            <w:tcW w:w="1265" w:type="pct"/>
            <w:tcBorders>
              <w:top w:val="single" w:color="auto" w:sz="4" w:space="0"/>
              <w:left w:val="nil"/>
              <w:bottom w:val="single" w:color="auto" w:sz="4" w:space="0"/>
              <w:right w:val="single" w:color="auto" w:sz="4" w:space="0"/>
            </w:tcBorders>
            <w:shd w:val="clear" w:color="000000" w:fill="FFFFFF"/>
            <w:noWrap/>
            <w:vAlign w:val="center"/>
          </w:tcPr>
          <w:p w14:paraId="418A9DE1">
            <w:pPr>
              <w:widowControl/>
              <w:adjustRightInd/>
              <w:spacing w:line="240" w:lineRule="auto"/>
              <w:jc w:val="center"/>
              <w:textAlignment w:val="auto"/>
              <w:rPr>
                <w:b/>
                <w:sz w:val="24"/>
                <w:szCs w:val="24"/>
              </w:rPr>
            </w:pPr>
            <w:r>
              <w:rPr>
                <w:rFonts w:hint="eastAsia" w:ascii="宋体" w:hAnsi="宋体"/>
                <w:b/>
                <w:sz w:val="24"/>
                <w:szCs w:val="24"/>
              </w:rPr>
              <w:t>设备材料名称</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DD7A2BE">
            <w:pPr>
              <w:widowControl/>
              <w:adjustRightInd/>
              <w:spacing w:line="240" w:lineRule="auto"/>
              <w:jc w:val="center"/>
              <w:textAlignment w:val="auto"/>
              <w:rPr>
                <w:b/>
                <w:sz w:val="24"/>
                <w:szCs w:val="24"/>
              </w:rPr>
            </w:pPr>
            <w:r>
              <w:rPr>
                <w:rFonts w:hint="eastAsia" w:ascii="宋体" w:hAnsi="宋体"/>
                <w:b/>
                <w:sz w:val="24"/>
                <w:szCs w:val="24"/>
              </w:rPr>
              <w:t>设备材料规格</w:t>
            </w:r>
          </w:p>
        </w:tc>
        <w:tc>
          <w:tcPr>
            <w:tcW w:w="448" w:type="pct"/>
            <w:tcBorders>
              <w:top w:val="single" w:color="auto" w:sz="4" w:space="0"/>
              <w:left w:val="nil"/>
              <w:bottom w:val="single" w:color="auto" w:sz="4" w:space="0"/>
              <w:right w:val="single" w:color="auto" w:sz="4" w:space="0"/>
            </w:tcBorders>
            <w:shd w:val="clear" w:color="000000" w:fill="FFFFFF"/>
            <w:noWrap/>
            <w:vAlign w:val="center"/>
          </w:tcPr>
          <w:p w14:paraId="548B4357">
            <w:pPr>
              <w:widowControl/>
              <w:adjustRightInd/>
              <w:spacing w:line="240" w:lineRule="auto"/>
              <w:jc w:val="center"/>
              <w:textAlignment w:val="auto"/>
              <w:rPr>
                <w:b/>
                <w:sz w:val="24"/>
                <w:szCs w:val="24"/>
              </w:rPr>
            </w:pPr>
            <w:r>
              <w:rPr>
                <w:rFonts w:hint="eastAsia" w:ascii="宋体" w:hAnsi="宋体"/>
                <w:b/>
                <w:sz w:val="24"/>
                <w:szCs w:val="24"/>
              </w:rPr>
              <w:t>单位</w:t>
            </w:r>
          </w:p>
        </w:tc>
        <w:tc>
          <w:tcPr>
            <w:tcW w:w="385" w:type="pct"/>
            <w:tcBorders>
              <w:top w:val="single" w:color="auto" w:sz="4" w:space="0"/>
              <w:left w:val="nil"/>
              <w:bottom w:val="single" w:color="auto" w:sz="4" w:space="0"/>
              <w:right w:val="single" w:color="auto" w:sz="4" w:space="0"/>
            </w:tcBorders>
            <w:shd w:val="clear" w:color="000000" w:fill="FFFFFF"/>
            <w:noWrap/>
            <w:vAlign w:val="center"/>
          </w:tcPr>
          <w:p w14:paraId="7DA3453B">
            <w:pPr>
              <w:widowControl/>
              <w:adjustRightInd/>
              <w:spacing w:line="240" w:lineRule="auto"/>
              <w:jc w:val="center"/>
              <w:textAlignment w:val="auto"/>
              <w:rPr>
                <w:b/>
                <w:sz w:val="24"/>
                <w:szCs w:val="24"/>
              </w:rPr>
            </w:pPr>
            <w:r>
              <w:rPr>
                <w:rFonts w:hint="eastAsia" w:ascii="宋体" w:hAnsi="宋体"/>
                <w:b/>
                <w:sz w:val="24"/>
                <w:szCs w:val="24"/>
              </w:rPr>
              <w:t>数量</w:t>
            </w:r>
          </w:p>
        </w:tc>
        <w:tc>
          <w:tcPr>
            <w:tcW w:w="493" w:type="pct"/>
            <w:tcBorders>
              <w:top w:val="single" w:color="auto" w:sz="4" w:space="0"/>
              <w:left w:val="nil"/>
              <w:bottom w:val="single" w:color="auto" w:sz="4" w:space="0"/>
              <w:right w:val="single" w:color="auto" w:sz="4" w:space="0"/>
            </w:tcBorders>
            <w:shd w:val="clear" w:color="000000" w:fill="FFFFFF"/>
            <w:noWrap/>
            <w:vAlign w:val="center"/>
          </w:tcPr>
          <w:p w14:paraId="7BA3E676">
            <w:pPr>
              <w:widowControl/>
              <w:adjustRightInd/>
              <w:spacing w:line="240" w:lineRule="auto"/>
              <w:textAlignment w:val="auto"/>
              <w:rPr>
                <w:b/>
                <w:sz w:val="24"/>
                <w:szCs w:val="24"/>
              </w:rPr>
            </w:pPr>
            <w:r>
              <w:rPr>
                <w:rFonts w:hint="eastAsia" w:ascii="宋体" w:hAnsi="宋体"/>
                <w:b/>
                <w:sz w:val="24"/>
                <w:szCs w:val="24"/>
              </w:rPr>
              <w:t>备注</w:t>
            </w:r>
          </w:p>
        </w:tc>
      </w:tr>
      <w:tr w14:paraId="68C2ACCC">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EEF4CD8">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2D63BC8F">
            <w:pPr>
              <w:widowControl/>
              <w:adjustRightInd/>
              <w:spacing w:line="240" w:lineRule="auto"/>
              <w:jc w:val="left"/>
              <w:textAlignment w:val="auto"/>
              <w:rPr>
                <w:szCs w:val="21"/>
              </w:rPr>
            </w:pPr>
            <w:r>
              <w:rPr>
                <w:rFonts w:hint="eastAsia"/>
                <w:szCs w:val="21"/>
              </w:rPr>
              <w:t>立柜式分体空调</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6645755E">
            <w:pPr>
              <w:widowControl/>
              <w:adjustRightInd/>
              <w:spacing w:line="240" w:lineRule="auto"/>
              <w:jc w:val="left"/>
              <w:textAlignment w:val="auto"/>
              <w:rPr>
                <w:szCs w:val="21"/>
              </w:rPr>
            </w:pPr>
            <w:r>
              <w:rPr>
                <w:rFonts w:hint="eastAsia"/>
                <w:szCs w:val="21"/>
              </w:rPr>
              <w:t>制冷量：7.2kW,制热量8.5kW，功率2.25kW/380V，能效等级不低于2级，采用环保冷媒</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11B47290">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529BC8DE">
            <w:pPr>
              <w:widowControl/>
              <w:adjustRightInd/>
              <w:spacing w:line="240" w:lineRule="auto"/>
              <w:jc w:val="center"/>
              <w:textAlignment w:val="auto"/>
              <w:rPr>
                <w:szCs w:val="21"/>
              </w:rPr>
            </w:pPr>
            <w:r>
              <w:rPr>
                <w:rFonts w:hint="eastAsia"/>
                <w:szCs w:val="21"/>
              </w:rPr>
              <w:t>2</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3D75BC39">
            <w:pPr>
              <w:widowControl/>
              <w:adjustRightInd/>
              <w:spacing w:line="240" w:lineRule="auto"/>
              <w:textAlignment w:val="auto"/>
              <w:rPr>
                <w:szCs w:val="21"/>
              </w:rPr>
            </w:pPr>
          </w:p>
        </w:tc>
      </w:tr>
      <w:tr w14:paraId="0F5416BD">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F6C0300">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3DBBD843">
            <w:pPr>
              <w:widowControl/>
              <w:adjustRightInd/>
              <w:spacing w:line="240" w:lineRule="auto"/>
              <w:jc w:val="left"/>
              <w:textAlignment w:val="auto"/>
              <w:rPr>
                <w:szCs w:val="21"/>
              </w:rPr>
            </w:pPr>
            <w:r>
              <w:rPr>
                <w:rFonts w:hint="eastAsia"/>
                <w:szCs w:val="21"/>
              </w:rPr>
              <w:t>立柜式分体空调</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6A646432">
            <w:pPr>
              <w:widowControl/>
              <w:adjustRightInd/>
              <w:spacing w:line="240" w:lineRule="auto"/>
              <w:jc w:val="left"/>
              <w:textAlignment w:val="auto"/>
              <w:rPr>
                <w:szCs w:val="21"/>
              </w:rPr>
            </w:pPr>
            <w:r>
              <w:rPr>
                <w:rFonts w:hint="eastAsia"/>
                <w:szCs w:val="21"/>
              </w:rPr>
              <w:t>制冷量：7.2kW,制热量8.5kW，功率2.25kW/380V，不低于2级能效。</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2864B48C">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3A6F254B">
            <w:pPr>
              <w:widowControl/>
              <w:adjustRightInd/>
              <w:spacing w:line="240" w:lineRule="auto"/>
              <w:jc w:val="center"/>
              <w:textAlignment w:val="auto"/>
              <w:rPr>
                <w:szCs w:val="21"/>
              </w:rPr>
            </w:pPr>
            <w:r>
              <w:rPr>
                <w:rFonts w:hint="eastAsia"/>
                <w:szCs w:val="21"/>
              </w:rPr>
              <w:t>2</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4F67E32">
            <w:pPr>
              <w:widowControl/>
              <w:adjustRightInd/>
              <w:spacing w:line="240" w:lineRule="auto"/>
              <w:textAlignment w:val="auto"/>
              <w:rPr>
                <w:szCs w:val="21"/>
              </w:rPr>
            </w:pPr>
          </w:p>
        </w:tc>
      </w:tr>
      <w:tr w14:paraId="49A86CF2">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7F90A95">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1817B944">
            <w:pPr>
              <w:widowControl/>
              <w:adjustRightInd/>
              <w:spacing w:line="240" w:lineRule="auto"/>
              <w:jc w:val="left"/>
              <w:textAlignment w:val="auto"/>
              <w:rPr>
                <w:szCs w:val="21"/>
              </w:rPr>
            </w:pPr>
            <w:r>
              <w:rPr>
                <w:rFonts w:hint="eastAsia"/>
                <w:szCs w:val="21"/>
              </w:rPr>
              <w:t>商用多联机室外机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612B35F3">
            <w:pPr>
              <w:widowControl/>
              <w:adjustRightInd/>
              <w:spacing w:line="240" w:lineRule="auto"/>
              <w:jc w:val="left"/>
              <w:textAlignment w:val="auto"/>
              <w:rPr>
                <w:szCs w:val="21"/>
              </w:rPr>
            </w:pPr>
            <w:r>
              <w:rPr>
                <w:rFonts w:hint="eastAsia"/>
                <w:szCs w:val="21"/>
              </w:rPr>
              <w:t>制冷量：68.5kW，制热量：75kW，制冷输入功率：18.5kW，制热输入功率：17.6kW，最大功率：29.7kW，不低于2级能效。</w:t>
            </w:r>
            <w:r>
              <w:rPr>
                <w:rFonts w:hint="eastAsia"/>
                <w:color w:val="000000"/>
                <w:szCs w:val="21"/>
              </w:rPr>
              <w:t>带远控端子，带RS485接口（通信规约：MODBUS）或网口接口（通信规约：IEC-61850）</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51C199B9">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0B331E02">
            <w:pPr>
              <w:widowControl/>
              <w:adjustRightInd/>
              <w:spacing w:line="240" w:lineRule="auto"/>
              <w:jc w:val="center"/>
              <w:textAlignment w:val="auto"/>
              <w:rPr>
                <w:szCs w:val="21"/>
              </w:rPr>
            </w:pPr>
            <w:r>
              <w:rPr>
                <w:rFonts w:hint="eastAsia"/>
                <w:szCs w:val="21"/>
              </w:rPr>
              <w:t>1</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4312F75C">
            <w:pPr>
              <w:widowControl/>
              <w:adjustRightInd/>
              <w:spacing w:line="240" w:lineRule="auto"/>
              <w:textAlignment w:val="auto"/>
              <w:rPr>
                <w:szCs w:val="21"/>
              </w:rPr>
            </w:pPr>
          </w:p>
        </w:tc>
      </w:tr>
      <w:tr w14:paraId="2E56FAD5">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D6868AA">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0984190E">
            <w:pPr>
              <w:widowControl/>
              <w:adjustRightInd/>
              <w:spacing w:line="240" w:lineRule="auto"/>
              <w:jc w:val="left"/>
              <w:textAlignment w:val="auto"/>
              <w:rPr>
                <w:szCs w:val="21"/>
              </w:rPr>
            </w:pPr>
            <w:r>
              <w:rPr>
                <w:rFonts w:hint="eastAsia"/>
                <w:szCs w:val="21"/>
              </w:rPr>
              <w:t>商用多联机室外机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2BC1D2A7">
            <w:pPr>
              <w:widowControl/>
              <w:adjustRightInd/>
              <w:spacing w:line="240" w:lineRule="auto"/>
              <w:jc w:val="left"/>
              <w:textAlignment w:val="auto"/>
              <w:rPr>
                <w:szCs w:val="21"/>
              </w:rPr>
            </w:pPr>
            <w:r>
              <w:rPr>
                <w:rFonts w:hint="eastAsia"/>
                <w:szCs w:val="21"/>
              </w:rPr>
              <w:t>制冷量：106.5kW，制热量：119.5kW，制冷输入功率：30.1kW，制热输入功率：29.6kW，最大功率：43.3kW，不低于2级能效。</w:t>
            </w:r>
            <w:r>
              <w:rPr>
                <w:rFonts w:hint="eastAsia"/>
                <w:color w:val="000000"/>
                <w:szCs w:val="21"/>
              </w:rPr>
              <w:t>带远控端子，带RS485接口（通信规约：MODBUS）或网口接口（通信规约：IEC-61850）</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45BB1CB8">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3649A6B2">
            <w:pPr>
              <w:widowControl/>
              <w:adjustRightInd/>
              <w:spacing w:line="240" w:lineRule="auto"/>
              <w:jc w:val="center"/>
              <w:textAlignment w:val="auto"/>
              <w:rPr>
                <w:szCs w:val="21"/>
              </w:rPr>
            </w:pPr>
            <w:r>
              <w:rPr>
                <w:rFonts w:hint="eastAsia"/>
                <w:szCs w:val="21"/>
              </w:rPr>
              <w:t>2</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428CCB10">
            <w:pPr>
              <w:widowControl/>
              <w:adjustRightInd/>
              <w:spacing w:line="240" w:lineRule="auto"/>
              <w:textAlignment w:val="auto"/>
              <w:rPr>
                <w:szCs w:val="21"/>
              </w:rPr>
            </w:pPr>
          </w:p>
        </w:tc>
      </w:tr>
      <w:tr w14:paraId="1E0C06E6">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9E184EF">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3BB5B092">
            <w:pPr>
              <w:widowControl/>
              <w:adjustRightInd/>
              <w:spacing w:line="240" w:lineRule="auto"/>
              <w:jc w:val="left"/>
              <w:textAlignment w:val="auto"/>
              <w:rPr>
                <w:color w:val="000000"/>
                <w:szCs w:val="21"/>
              </w:rPr>
            </w:pPr>
            <w:r>
              <w:rPr>
                <w:rFonts w:hint="eastAsia"/>
                <w:szCs w:val="21"/>
              </w:rPr>
              <w:t>商用多联机室外机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4443B285">
            <w:pPr>
              <w:widowControl/>
              <w:adjustRightInd/>
              <w:spacing w:line="240" w:lineRule="auto"/>
              <w:jc w:val="left"/>
              <w:textAlignment w:val="auto"/>
              <w:rPr>
                <w:szCs w:val="21"/>
              </w:rPr>
            </w:pPr>
            <w:r>
              <w:rPr>
                <w:rFonts w:hint="eastAsia"/>
                <w:szCs w:val="21"/>
              </w:rPr>
              <w:t>制冷量：85kW，制热量：95kW，制冷输入功率：22.8kW，制输入功率：22.9kW，最大功率：33.5kW，不低于2级能效。</w:t>
            </w:r>
            <w:r>
              <w:rPr>
                <w:rFonts w:hint="eastAsia"/>
                <w:color w:val="000000"/>
                <w:szCs w:val="21"/>
              </w:rPr>
              <w:t>带远控端子，带RS485接口（通信规约：MODBUS）或网口接口（通信规约：IEC-61850）</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74247E37">
            <w:pPr>
              <w:widowControl/>
              <w:adjustRightInd/>
              <w:spacing w:line="240" w:lineRule="auto"/>
              <w:jc w:val="center"/>
              <w:textAlignment w:val="auto"/>
              <w:rPr>
                <w:rFonts w:ascii="宋体" w:hAnsi="宋体"/>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370B0562">
            <w:pPr>
              <w:widowControl/>
              <w:adjustRightInd/>
              <w:spacing w:line="240" w:lineRule="auto"/>
              <w:jc w:val="center"/>
              <w:textAlignment w:val="auto"/>
              <w:rPr>
                <w:rFonts w:ascii="宋体" w:hAnsi="宋体"/>
                <w:szCs w:val="21"/>
              </w:rPr>
            </w:pPr>
            <w:r>
              <w:rPr>
                <w:rFonts w:hint="eastAsia"/>
                <w:szCs w:val="21"/>
              </w:rPr>
              <w:t>2</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3CDA4EC1">
            <w:pPr>
              <w:widowControl/>
              <w:adjustRightInd/>
              <w:spacing w:line="240" w:lineRule="auto"/>
              <w:textAlignment w:val="auto"/>
              <w:rPr>
                <w:szCs w:val="21"/>
              </w:rPr>
            </w:pPr>
          </w:p>
        </w:tc>
      </w:tr>
      <w:tr w14:paraId="3AA6453C">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4E7175A7">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71BB682C">
            <w:pPr>
              <w:widowControl/>
              <w:adjustRightInd/>
              <w:spacing w:line="240" w:lineRule="auto"/>
              <w:jc w:val="left"/>
              <w:textAlignment w:val="auto"/>
              <w:rPr>
                <w:szCs w:val="21"/>
              </w:rPr>
            </w:pPr>
            <w:r>
              <w:rPr>
                <w:rFonts w:hint="eastAsia"/>
                <w:szCs w:val="21"/>
              </w:rPr>
              <w:t>360°环风天花机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3D985E64">
            <w:pPr>
              <w:widowControl/>
              <w:adjustRightInd/>
              <w:spacing w:line="240" w:lineRule="auto"/>
              <w:jc w:val="left"/>
              <w:textAlignment w:val="auto"/>
              <w:rPr>
                <w:szCs w:val="21"/>
              </w:rPr>
            </w:pPr>
            <w:r>
              <w:rPr>
                <w:rFonts w:hint="eastAsia"/>
                <w:szCs w:val="21"/>
              </w:rPr>
              <w:t>制冷量：16kW，制热量：18kW，风量：2100m³/h，功率：0.132kW，含线控器、遥控器及线缆</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1969E64A">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0EB4750F">
            <w:pPr>
              <w:widowControl/>
              <w:adjustRightInd/>
              <w:spacing w:line="240" w:lineRule="auto"/>
              <w:jc w:val="center"/>
              <w:textAlignment w:val="auto"/>
              <w:rPr>
                <w:szCs w:val="21"/>
              </w:rPr>
            </w:pPr>
            <w:r>
              <w:rPr>
                <w:rFonts w:hint="eastAsia"/>
                <w:szCs w:val="21"/>
              </w:rPr>
              <w:t>5</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3BFB8190">
            <w:pPr>
              <w:widowControl/>
              <w:adjustRightInd/>
              <w:spacing w:line="240" w:lineRule="auto"/>
              <w:textAlignment w:val="auto"/>
              <w:rPr>
                <w:szCs w:val="21"/>
              </w:rPr>
            </w:pPr>
          </w:p>
        </w:tc>
      </w:tr>
      <w:tr w14:paraId="26BB53F6">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7BAD30F">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753FAC21">
            <w:pPr>
              <w:widowControl/>
              <w:adjustRightInd/>
              <w:spacing w:line="240" w:lineRule="auto"/>
              <w:jc w:val="left"/>
              <w:textAlignment w:val="auto"/>
              <w:rPr>
                <w:szCs w:val="21"/>
              </w:rPr>
            </w:pPr>
            <w:r>
              <w:rPr>
                <w:rFonts w:hint="eastAsia"/>
                <w:szCs w:val="21"/>
              </w:rPr>
              <w:t>360°环风天花机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26BB6B58">
            <w:pPr>
              <w:widowControl/>
              <w:adjustRightInd/>
              <w:spacing w:line="240" w:lineRule="auto"/>
              <w:jc w:val="left"/>
              <w:textAlignment w:val="auto"/>
              <w:rPr>
                <w:szCs w:val="21"/>
              </w:rPr>
            </w:pPr>
            <w:r>
              <w:rPr>
                <w:rFonts w:hint="eastAsia"/>
                <w:szCs w:val="21"/>
              </w:rPr>
              <w:t>制冷量：9kW，制热量：10kW，风量：1500m³/h，功率：0.06kW，含线控器、遥控器及线缆</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7F11E475">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6C76665F">
            <w:pPr>
              <w:widowControl/>
              <w:adjustRightInd/>
              <w:spacing w:line="240" w:lineRule="auto"/>
              <w:jc w:val="center"/>
              <w:textAlignment w:val="auto"/>
              <w:rPr>
                <w:szCs w:val="21"/>
              </w:rPr>
            </w:pPr>
            <w:r>
              <w:rPr>
                <w:rFonts w:hint="eastAsia"/>
                <w:szCs w:val="21"/>
              </w:rPr>
              <w:t>1</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15422CBF">
            <w:pPr>
              <w:widowControl/>
              <w:adjustRightInd/>
              <w:spacing w:line="240" w:lineRule="auto"/>
              <w:textAlignment w:val="auto"/>
              <w:rPr>
                <w:szCs w:val="21"/>
              </w:rPr>
            </w:pPr>
          </w:p>
        </w:tc>
      </w:tr>
      <w:tr w14:paraId="223AEEE1">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7B90BD29">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7AB5C1F5">
            <w:pPr>
              <w:widowControl/>
              <w:adjustRightInd/>
              <w:spacing w:line="240" w:lineRule="auto"/>
              <w:jc w:val="left"/>
              <w:textAlignment w:val="auto"/>
              <w:rPr>
                <w:szCs w:val="21"/>
              </w:rPr>
            </w:pPr>
            <w:r>
              <w:rPr>
                <w:rFonts w:hint="eastAsia"/>
                <w:szCs w:val="21"/>
              </w:rPr>
              <w:t>低静压直流风管机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29DEBBC8">
            <w:pPr>
              <w:widowControl/>
              <w:adjustRightInd/>
              <w:spacing w:line="240" w:lineRule="auto"/>
              <w:jc w:val="left"/>
              <w:textAlignment w:val="auto"/>
              <w:rPr>
                <w:szCs w:val="21"/>
              </w:rPr>
            </w:pPr>
            <w:r>
              <w:rPr>
                <w:rFonts w:hint="eastAsia"/>
                <w:szCs w:val="21"/>
              </w:rPr>
              <w:t>制冷量：6.3kW，制热量：7.1kW，风量：1100m³/h，功率：0.054kW，含线控器、遥控器及线缆</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60D6B129">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27575301">
            <w:pPr>
              <w:widowControl/>
              <w:adjustRightInd/>
              <w:spacing w:line="240" w:lineRule="auto"/>
              <w:jc w:val="center"/>
              <w:textAlignment w:val="auto"/>
              <w:rPr>
                <w:szCs w:val="21"/>
              </w:rPr>
            </w:pPr>
            <w:r>
              <w:rPr>
                <w:rFonts w:hint="eastAsia"/>
                <w:szCs w:val="21"/>
              </w:rPr>
              <w:t>32</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C18106C">
            <w:pPr>
              <w:widowControl/>
              <w:adjustRightInd/>
              <w:spacing w:line="240" w:lineRule="auto"/>
              <w:textAlignment w:val="auto"/>
              <w:rPr>
                <w:szCs w:val="21"/>
              </w:rPr>
            </w:pPr>
          </w:p>
        </w:tc>
      </w:tr>
      <w:tr w14:paraId="39126997">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49EAF9F1">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568361F9">
            <w:pPr>
              <w:widowControl/>
              <w:adjustRightInd/>
              <w:spacing w:line="240" w:lineRule="auto"/>
              <w:jc w:val="left"/>
              <w:textAlignment w:val="auto"/>
              <w:rPr>
                <w:szCs w:val="21"/>
              </w:rPr>
            </w:pPr>
            <w:r>
              <w:rPr>
                <w:rFonts w:hint="eastAsia"/>
                <w:szCs w:val="21"/>
              </w:rPr>
              <w:t>新风处理机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09527BFB">
            <w:pPr>
              <w:widowControl/>
              <w:adjustRightInd/>
              <w:spacing w:line="240" w:lineRule="auto"/>
              <w:jc w:val="left"/>
              <w:textAlignment w:val="auto"/>
              <w:rPr>
                <w:szCs w:val="21"/>
              </w:rPr>
            </w:pPr>
            <w:r>
              <w:rPr>
                <w:rFonts w:hint="eastAsia"/>
                <w:szCs w:val="21"/>
              </w:rPr>
              <w:t>制冷量：15.5kW，制热量：10kW，功率：0.42kW，循环风量：2050m³/h，含线控器、遥控器及线缆</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3C6AFC96">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6F68ED5E">
            <w:pPr>
              <w:widowControl/>
              <w:adjustRightInd/>
              <w:spacing w:line="240" w:lineRule="auto"/>
              <w:jc w:val="center"/>
              <w:textAlignment w:val="auto"/>
              <w:rPr>
                <w:szCs w:val="21"/>
              </w:rPr>
            </w:pPr>
            <w:r>
              <w:rPr>
                <w:rFonts w:hint="eastAsia"/>
                <w:szCs w:val="21"/>
              </w:rPr>
              <w:t>4</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2767180D">
            <w:pPr>
              <w:widowControl/>
              <w:adjustRightInd/>
              <w:spacing w:line="240" w:lineRule="auto"/>
              <w:textAlignment w:val="auto"/>
              <w:rPr>
                <w:szCs w:val="21"/>
              </w:rPr>
            </w:pPr>
          </w:p>
        </w:tc>
      </w:tr>
      <w:tr w14:paraId="095250E8">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269888B">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75A8094B">
            <w:pPr>
              <w:widowControl/>
              <w:adjustRightInd/>
              <w:spacing w:line="240" w:lineRule="auto"/>
              <w:jc w:val="left"/>
              <w:textAlignment w:val="auto"/>
              <w:rPr>
                <w:szCs w:val="21"/>
              </w:rPr>
            </w:pPr>
            <w:r>
              <w:rPr>
                <w:rFonts w:hint="eastAsia"/>
                <w:szCs w:val="21"/>
              </w:rPr>
              <w:t>新风处理机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4A79896B">
            <w:pPr>
              <w:widowControl/>
              <w:adjustRightInd/>
              <w:spacing w:line="240" w:lineRule="auto"/>
              <w:jc w:val="left"/>
              <w:textAlignment w:val="auto"/>
              <w:rPr>
                <w:color w:val="000000"/>
                <w:szCs w:val="21"/>
              </w:rPr>
            </w:pPr>
            <w:r>
              <w:rPr>
                <w:rFonts w:hint="eastAsia"/>
                <w:szCs w:val="21"/>
              </w:rPr>
              <w:t>制冷量：11.2kW，制热量：12.5kW，功率：0.42kW，循环风量：2020m³/s，含线控器、遥控器及线缆</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33999B6C">
            <w:pPr>
              <w:widowControl/>
              <w:adjustRightInd/>
              <w:spacing w:line="240" w:lineRule="auto"/>
              <w:jc w:val="center"/>
              <w:textAlignment w:val="auto"/>
              <w:rPr>
                <w:color w:val="000000"/>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26EC5800">
            <w:pPr>
              <w:widowControl/>
              <w:adjustRightInd/>
              <w:spacing w:line="240" w:lineRule="auto"/>
              <w:jc w:val="center"/>
              <w:textAlignment w:val="auto"/>
              <w:rPr>
                <w:color w:val="000000"/>
                <w:szCs w:val="21"/>
              </w:rPr>
            </w:pPr>
            <w:r>
              <w:rPr>
                <w:rFonts w:hint="eastAsia"/>
                <w:szCs w:val="21"/>
              </w:rPr>
              <w:t>2</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3F8C2B4">
            <w:pPr>
              <w:widowControl/>
              <w:adjustRightInd/>
              <w:spacing w:line="240" w:lineRule="auto"/>
              <w:textAlignment w:val="auto"/>
              <w:rPr>
                <w:szCs w:val="21"/>
              </w:rPr>
            </w:pPr>
          </w:p>
        </w:tc>
      </w:tr>
      <w:tr w14:paraId="1384B9E2">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7B5980D1">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33AFCFE2">
            <w:pPr>
              <w:widowControl/>
              <w:adjustRightInd/>
              <w:spacing w:line="240" w:lineRule="auto"/>
              <w:jc w:val="left"/>
              <w:textAlignment w:val="auto"/>
              <w:rPr>
                <w:szCs w:val="21"/>
              </w:rPr>
            </w:pPr>
            <w:r>
              <w:rPr>
                <w:rFonts w:hint="eastAsia"/>
                <w:szCs w:val="21"/>
              </w:rPr>
              <w:t>新风处理机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AC6D19D">
            <w:pPr>
              <w:widowControl/>
              <w:adjustRightInd/>
              <w:spacing w:line="240" w:lineRule="auto"/>
              <w:jc w:val="left"/>
              <w:textAlignment w:val="auto"/>
              <w:rPr>
                <w:szCs w:val="21"/>
              </w:rPr>
            </w:pPr>
            <w:r>
              <w:rPr>
                <w:rFonts w:hint="eastAsia"/>
                <w:szCs w:val="21"/>
              </w:rPr>
              <w:t>制冷量：22.4kW，制热量：16kW，功率：1.1kW，循环风量：3000m³/h，含线控器、遥控器及线缆</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38645CF0">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7D4E220D">
            <w:pPr>
              <w:widowControl/>
              <w:adjustRightInd/>
              <w:spacing w:line="240" w:lineRule="auto"/>
              <w:jc w:val="center"/>
              <w:textAlignment w:val="auto"/>
              <w:rPr>
                <w:szCs w:val="21"/>
              </w:rPr>
            </w:pPr>
            <w:r>
              <w:rPr>
                <w:rFonts w:hint="eastAsia"/>
                <w:szCs w:val="21"/>
              </w:rPr>
              <w:t>3</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397D35C6">
            <w:pPr>
              <w:widowControl/>
              <w:adjustRightInd/>
              <w:spacing w:line="240" w:lineRule="auto"/>
              <w:textAlignment w:val="auto"/>
              <w:rPr>
                <w:szCs w:val="21"/>
              </w:rPr>
            </w:pPr>
          </w:p>
        </w:tc>
      </w:tr>
      <w:tr w14:paraId="17BC4541">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E2317DD">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535778F6">
            <w:pPr>
              <w:widowControl/>
              <w:adjustRightInd/>
              <w:spacing w:line="240" w:lineRule="auto"/>
              <w:jc w:val="left"/>
              <w:textAlignment w:val="auto"/>
              <w:rPr>
                <w:szCs w:val="21"/>
              </w:rPr>
            </w:pPr>
            <w:r>
              <w:rPr>
                <w:rFonts w:hint="eastAsia"/>
                <w:szCs w:val="21"/>
              </w:rPr>
              <w:t>浴室通风照明一体机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5DC862FC">
            <w:pPr>
              <w:widowControl/>
              <w:adjustRightInd/>
              <w:spacing w:line="240" w:lineRule="auto"/>
              <w:jc w:val="left"/>
              <w:textAlignment w:val="auto"/>
              <w:rPr>
                <w:szCs w:val="21"/>
              </w:rPr>
            </w:pPr>
            <w:r>
              <w:rPr>
                <w:rFonts w:hint="eastAsia"/>
                <w:szCs w:val="21"/>
              </w:rPr>
              <w:t>300X600，2.6kW/AC220V，配套控制开关及线缆</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6B8A53C8">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34BD11A0">
            <w:pPr>
              <w:widowControl/>
              <w:adjustRightInd/>
              <w:spacing w:line="240" w:lineRule="auto"/>
              <w:jc w:val="center"/>
              <w:textAlignment w:val="auto"/>
              <w:rPr>
                <w:szCs w:val="21"/>
              </w:rPr>
            </w:pPr>
            <w:r>
              <w:rPr>
                <w:rFonts w:hint="eastAsia"/>
                <w:szCs w:val="21"/>
              </w:rPr>
              <w:t>32</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459E53D">
            <w:pPr>
              <w:widowControl/>
              <w:adjustRightInd/>
              <w:spacing w:line="240" w:lineRule="auto"/>
              <w:textAlignment w:val="auto"/>
              <w:rPr>
                <w:szCs w:val="21"/>
              </w:rPr>
            </w:pPr>
          </w:p>
        </w:tc>
      </w:tr>
      <w:tr w14:paraId="76FFADAF">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7410A6B7">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3DD8AD1F">
            <w:pPr>
              <w:widowControl/>
              <w:adjustRightInd/>
              <w:spacing w:line="240" w:lineRule="auto"/>
              <w:jc w:val="left"/>
              <w:textAlignment w:val="auto"/>
              <w:rPr>
                <w:szCs w:val="21"/>
              </w:rPr>
            </w:pPr>
            <w:r>
              <w:rPr>
                <w:rFonts w:hint="eastAsia"/>
                <w:szCs w:val="21"/>
              </w:rPr>
              <w:t>卫生间换气扇</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3C7654CE">
            <w:pPr>
              <w:widowControl/>
              <w:adjustRightInd/>
              <w:spacing w:line="240" w:lineRule="auto"/>
              <w:jc w:val="left"/>
              <w:textAlignment w:val="auto"/>
              <w:rPr>
                <w:szCs w:val="21"/>
              </w:rPr>
            </w:pPr>
            <w:r>
              <w:rPr>
                <w:rFonts w:hint="eastAsia"/>
                <w:szCs w:val="21"/>
              </w:rPr>
              <w:t>500m3/h，带止回阀，配套控制开关及线缆</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22A034CF">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7716B818">
            <w:pPr>
              <w:widowControl/>
              <w:adjustRightInd/>
              <w:spacing w:line="240" w:lineRule="auto"/>
              <w:jc w:val="center"/>
              <w:textAlignment w:val="auto"/>
              <w:rPr>
                <w:szCs w:val="21"/>
              </w:rPr>
            </w:pPr>
            <w:r>
              <w:rPr>
                <w:rFonts w:hint="eastAsia"/>
                <w:szCs w:val="21"/>
              </w:rPr>
              <w:t>12</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3DA17B30">
            <w:pPr>
              <w:widowControl/>
              <w:adjustRightInd/>
              <w:spacing w:line="240" w:lineRule="auto"/>
              <w:textAlignment w:val="auto"/>
              <w:rPr>
                <w:szCs w:val="21"/>
              </w:rPr>
            </w:pPr>
          </w:p>
        </w:tc>
      </w:tr>
      <w:tr w14:paraId="0294D38F">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8696909">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5EEF6538">
            <w:pPr>
              <w:widowControl/>
              <w:adjustRightInd/>
              <w:spacing w:line="240" w:lineRule="auto"/>
              <w:jc w:val="left"/>
              <w:textAlignment w:val="auto"/>
              <w:rPr>
                <w:szCs w:val="21"/>
              </w:rPr>
            </w:pPr>
            <w:r>
              <w:rPr>
                <w:rFonts w:hint="eastAsia"/>
                <w:szCs w:val="21"/>
              </w:rPr>
              <w:t>低噪声钢制轴流风机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210B0537">
            <w:pPr>
              <w:widowControl/>
              <w:adjustRightInd/>
              <w:spacing w:line="240" w:lineRule="auto"/>
              <w:jc w:val="left"/>
              <w:textAlignment w:val="auto"/>
              <w:rPr>
                <w:szCs w:val="21"/>
              </w:rPr>
            </w:pPr>
            <w:r>
              <w:rPr>
                <w:rFonts w:hint="eastAsia"/>
                <w:szCs w:val="21"/>
              </w:rPr>
              <w:t>T35-11-No3.15，风量：1200m³/h，1450rpm，风压：80Pa，功率：0.25kW/380V，噪声≤63dB(A)，不低于二级能效。</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3ED3C9BA">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5DEEA7A1">
            <w:pPr>
              <w:widowControl/>
              <w:adjustRightInd/>
              <w:spacing w:line="240" w:lineRule="auto"/>
              <w:jc w:val="center"/>
              <w:textAlignment w:val="auto"/>
              <w:rPr>
                <w:szCs w:val="21"/>
              </w:rPr>
            </w:pPr>
            <w:r>
              <w:rPr>
                <w:rFonts w:hint="eastAsia"/>
                <w:szCs w:val="21"/>
              </w:rPr>
              <w:t>2</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27A1BB22">
            <w:pPr>
              <w:widowControl/>
              <w:adjustRightInd/>
              <w:spacing w:line="240" w:lineRule="auto"/>
              <w:textAlignment w:val="auto"/>
              <w:rPr>
                <w:szCs w:val="21"/>
              </w:rPr>
            </w:pPr>
          </w:p>
        </w:tc>
      </w:tr>
      <w:tr w14:paraId="1D7C338B">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8E21BB5">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654D9950">
            <w:pPr>
              <w:widowControl/>
              <w:adjustRightInd/>
              <w:spacing w:line="240" w:lineRule="auto"/>
              <w:jc w:val="left"/>
              <w:textAlignment w:val="auto"/>
              <w:rPr>
                <w:szCs w:val="21"/>
              </w:rPr>
            </w:pPr>
            <w:r>
              <w:rPr>
                <w:rFonts w:hint="eastAsia"/>
                <w:szCs w:val="21"/>
              </w:rPr>
              <w:t>抽油烟机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6CFF727E">
            <w:pPr>
              <w:widowControl/>
              <w:adjustRightInd/>
              <w:spacing w:line="240" w:lineRule="auto"/>
              <w:jc w:val="left"/>
              <w:textAlignment w:val="auto"/>
              <w:rPr>
                <w:szCs w:val="21"/>
              </w:rPr>
            </w:pPr>
            <w:r>
              <w:rPr>
                <w:rFonts w:hint="eastAsia"/>
                <w:szCs w:val="21"/>
              </w:rPr>
              <w:t>包含厨房油烟排放及净化设备本体、油烟管道及保温降噪内容主辅材、控制系统等。</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1ED84336">
            <w:pPr>
              <w:widowControl/>
              <w:adjustRightInd/>
              <w:spacing w:line="240" w:lineRule="auto"/>
              <w:jc w:val="center"/>
              <w:textAlignment w:val="auto"/>
              <w:rPr>
                <w:szCs w:val="21"/>
              </w:rPr>
            </w:pPr>
            <w:r>
              <w:rPr>
                <w:rFonts w:hint="eastAsia"/>
                <w:szCs w:val="21"/>
              </w:rPr>
              <w:t>套</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699736C5">
            <w:pPr>
              <w:widowControl/>
              <w:adjustRightInd/>
              <w:spacing w:line="240" w:lineRule="auto"/>
              <w:jc w:val="center"/>
              <w:textAlignment w:val="auto"/>
              <w:rPr>
                <w:szCs w:val="21"/>
              </w:rPr>
            </w:pPr>
            <w:r>
              <w:rPr>
                <w:rFonts w:hint="eastAsia"/>
                <w:szCs w:val="21"/>
              </w:rPr>
              <w:t>1</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691D20B2">
            <w:pPr>
              <w:widowControl/>
              <w:adjustRightInd/>
              <w:spacing w:line="240" w:lineRule="auto"/>
              <w:textAlignment w:val="auto"/>
              <w:rPr>
                <w:szCs w:val="21"/>
              </w:rPr>
            </w:pPr>
          </w:p>
        </w:tc>
      </w:tr>
      <w:tr w14:paraId="3EEBD680">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716F177F">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4DE55494">
            <w:pPr>
              <w:widowControl/>
              <w:adjustRightInd/>
              <w:spacing w:line="240" w:lineRule="auto"/>
              <w:jc w:val="left"/>
              <w:textAlignment w:val="auto"/>
              <w:rPr>
                <w:szCs w:val="21"/>
              </w:rPr>
            </w:pPr>
            <w:r>
              <w:rPr>
                <w:rFonts w:hint="eastAsia"/>
                <w:szCs w:val="21"/>
              </w:rPr>
              <w:t>高温消防轴流风机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1EA8BE7">
            <w:pPr>
              <w:widowControl/>
              <w:adjustRightInd/>
              <w:spacing w:line="240" w:lineRule="auto"/>
              <w:jc w:val="left"/>
              <w:textAlignment w:val="auto"/>
              <w:rPr>
                <w:szCs w:val="21"/>
              </w:rPr>
            </w:pPr>
            <w:r>
              <w:rPr>
                <w:rFonts w:hint="eastAsia"/>
                <w:szCs w:val="21"/>
              </w:rPr>
              <w:t>风量：36000m³/h，1450rpm，风压：500Pa，功率：11kW/380V，噪声≤88dB(A)</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4E060A76">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58CC4049">
            <w:pPr>
              <w:widowControl/>
              <w:adjustRightInd/>
              <w:spacing w:line="240" w:lineRule="auto"/>
              <w:jc w:val="center"/>
              <w:textAlignment w:val="auto"/>
              <w:rPr>
                <w:szCs w:val="21"/>
              </w:rPr>
            </w:pPr>
            <w:r>
              <w:rPr>
                <w:rFonts w:hint="eastAsia"/>
                <w:szCs w:val="21"/>
              </w:rPr>
              <w:t>1</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2ECB0E2E">
            <w:pPr>
              <w:widowControl/>
              <w:adjustRightInd/>
              <w:spacing w:line="240" w:lineRule="auto"/>
              <w:textAlignment w:val="auto"/>
              <w:rPr>
                <w:szCs w:val="21"/>
              </w:rPr>
            </w:pPr>
          </w:p>
        </w:tc>
      </w:tr>
      <w:tr w14:paraId="48670BC9">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8255B20">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3C25A328">
            <w:pPr>
              <w:widowControl/>
              <w:adjustRightInd/>
              <w:spacing w:line="240" w:lineRule="auto"/>
              <w:jc w:val="left"/>
              <w:textAlignment w:val="auto"/>
              <w:rPr>
                <w:szCs w:val="21"/>
              </w:rPr>
            </w:pPr>
            <w:r>
              <w:rPr>
                <w:rFonts w:hint="eastAsia"/>
                <w:szCs w:val="21"/>
              </w:rPr>
              <w:t>消防排烟风机控制箱</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0AF108C8">
            <w:pPr>
              <w:widowControl/>
              <w:adjustRightInd/>
              <w:spacing w:line="240" w:lineRule="auto"/>
              <w:jc w:val="left"/>
              <w:textAlignment w:val="auto"/>
              <w:rPr>
                <w:szCs w:val="21"/>
              </w:rPr>
            </w:pPr>
            <w:r>
              <w:rPr>
                <w:rFonts w:hint="eastAsia"/>
                <w:szCs w:val="21"/>
              </w:rPr>
              <w:t>包括但不限于风机供电空开，实现风机控制、联动逻辑的继电器、按钮及转换开关等二次器件</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5BEA8C90">
            <w:pPr>
              <w:widowControl/>
              <w:adjustRightInd/>
              <w:spacing w:line="240" w:lineRule="auto"/>
              <w:jc w:val="center"/>
              <w:textAlignment w:val="auto"/>
              <w:rPr>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501F5B16">
            <w:pPr>
              <w:widowControl/>
              <w:adjustRightInd/>
              <w:spacing w:line="240" w:lineRule="auto"/>
              <w:jc w:val="center"/>
              <w:textAlignment w:val="auto"/>
              <w:rPr>
                <w:szCs w:val="21"/>
              </w:rPr>
            </w:pPr>
            <w:r>
              <w:rPr>
                <w:rFonts w:hint="eastAsia"/>
                <w:szCs w:val="21"/>
              </w:rPr>
              <w:t>1</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DF62E9C">
            <w:pPr>
              <w:widowControl/>
              <w:adjustRightInd/>
              <w:spacing w:line="240" w:lineRule="auto"/>
              <w:textAlignment w:val="auto"/>
              <w:rPr>
                <w:szCs w:val="21"/>
              </w:rPr>
            </w:pPr>
          </w:p>
        </w:tc>
      </w:tr>
      <w:tr w14:paraId="2A2A715C">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564352A">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70584D38">
            <w:pPr>
              <w:widowControl/>
              <w:adjustRightInd/>
              <w:spacing w:line="240" w:lineRule="auto"/>
              <w:jc w:val="left"/>
              <w:textAlignment w:val="auto"/>
              <w:rPr>
                <w:szCs w:val="21"/>
              </w:rPr>
            </w:pPr>
            <w:r>
              <w:rPr>
                <w:rFonts w:hint="eastAsia"/>
                <w:szCs w:val="21"/>
              </w:rPr>
              <w:t>暖通抗震支吊架</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069749B2">
            <w:pPr>
              <w:widowControl/>
              <w:adjustRightInd/>
              <w:spacing w:line="240" w:lineRule="auto"/>
              <w:jc w:val="left"/>
              <w:textAlignment w:val="auto"/>
              <w:rPr>
                <w:szCs w:val="21"/>
              </w:rPr>
            </w:pPr>
            <w:r>
              <w:rPr>
                <w:rFonts w:hint="eastAsia"/>
                <w:szCs w:val="21"/>
              </w:rPr>
              <w:t>各种型号</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74F2D7F3">
            <w:pPr>
              <w:widowControl/>
              <w:adjustRightInd/>
              <w:spacing w:line="240" w:lineRule="auto"/>
              <w:jc w:val="center"/>
              <w:textAlignment w:val="auto"/>
              <w:rPr>
                <w:szCs w:val="21"/>
              </w:rPr>
            </w:pPr>
            <w:r>
              <w:rPr>
                <w:rFonts w:hint="eastAsia"/>
                <w:szCs w:val="21"/>
              </w:rPr>
              <w:t>套</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23537E83">
            <w:pPr>
              <w:widowControl/>
              <w:adjustRightInd/>
              <w:spacing w:line="240" w:lineRule="auto"/>
              <w:jc w:val="center"/>
              <w:textAlignment w:val="auto"/>
              <w:rPr>
                <w:szCs w:val="21"/>
              </w:rPr>
            </w:pPr>
            <w:r>
              <w:rPr>
                <w:rFonts w:hint="eastAsia"/>
                <w:szCs w:val="21"/>
              </w:rPr>
              <w:t>1</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5293D88">
            <w:pPr>
              <w:widowControl/>
              <w:adjustRightInd/>
              <w:spacing w:line="240" w:lineRule="auto"/>
              <w:textAlignment w:val="auto"/>
              <w:rPr>
                <w:szCs w:val="21"/>
              </w:rPr>
            </w:pPr>
          </w:p>
        </w:tc>
      </w:tr>
      <w:tr w14:paraId="626575D0">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A910D1D">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59B10EAA">
            <w:pPr>
              <w:widowControl/>
              <w:adjustRightInd/>
              <w:spacing w:line="240" w:lineRule="auto"/>
              <w:jc w:val="left"/>
              <w:textAlignment w:val="auto"/>
              <w:rPr>
                <w:szCs w:val="21"/>
              </w:rPr>
            </w:pPr>
            <w:r>
              <w:rPr>
                <w:rFonts w:hint="eastAsia"/>
                <w:szCs w:val="21"/>
              </w:rPr>
              <w:t>通风空调配电控制系统</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88C76A2">
            <w:pPr>
              <w:widowControl/>
              <w:adjustRightInd/>
              <w:spacing w:line="240" w:lineRule="auto"/>
              <w:jc w:val="left"/>
              <w:textAlignment w:val="auto"/>
              <w:rPr>
                <w:szCs w:val="21"/>
              </w:rPr>
            </w:pPr>
            <w:r>
              <w:rPr>
                <w:rFonts w:hint="eastAsia"/>
                <w:szCs w:val="21"/>
              </w:rPr>
              <w:t>包含配电控制箱、电缆、开关、仪表、执行机构、控制器等；多联机控制系统</w:t>
            </w:r>
            <w:r>
              <w:rPr>
                <w:rFonts w:hint="eastAsia"/>
                <w:color w:val="000000"/>
                <w:szCs w:val="21"/>
              </w:rPr>
              <w:t>带远控端子，带</w:t>
            </w:r>
            <w:r>
              <w:rPr>
                <w:color w:val="000000"/>
                <w:szCs w:val="21"/>
              </w:rPr>
              <w:t>RS485</w:t>
            </w:r>
            <w:r>
              <w:rPr>
                <w:rFonts w:hint="eastAsia"/>
                <w:color w:val="000000"/>
                <w:szCs w:val="21"/>
              </w:rPr>
              <w:t>接口（通信规约：</w:t>
            </w:r>
            <w:r>
              <w:rPr>
                <w:color w:val="000000"/>
                <w:szCs w:val="21"/>
              </w:rPr>
              <w:t>MODBUS</w:t>
            </w:r>
            <w:r>
              <w:rPr>
                <w:rFonts w:hint="eastAsia"/>
                <w:color w:val="000000"/>
                <w:szCs w:val="21"/>
              </w:rPr>
              <w:t>）或网口接口（通信规约：</w:t>
            </w:r>
            <w:r>
              <w:rPr>
                <w:color w:val="000000"/>
                <w:szCs w:val="21"/>
              </w:rPr>
              <w:t>IEC-61850</w:t>
            </w:r>
            <w:r>
              <w:rPr>
                <w:rFonts w:hint="eastAsia"/>
                <w:color w:val="000000"/>
                <w:szCs w:val="21"/>
              </w:rPr>
              <w:t>），实时监控空调机组运行状态及参数</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3FB00DC0">
            <w:pPr>
              <w:widowControl/>
              <w:adjustRightInd/>
              <w:spacing w:line="240" w:lineRule="auto"/>
              <w:jc w:val="center"/>
              <w:textAlignment w:val="auto"/>
              <w:rPr>
                <w:szCs w:val="21"/>
              </w:rPr>
            </w:pPr>
            <w:r>
              <w:rPr>
                <w:rFonts w:hint="eastAsia"/>
                <w:szCs w:val="21"/>
              </w:rPr>
              <w:t>套</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600C63FA">
            <w:pPr>
              <w:widowControl/>
              <w:adjustRightInd/>
              <w:spacing w:line="240" w:lineRule="auto"/>
              <w:jc w:val="center"/>
              <w:textAlignment w:val="auto"/>
              <w:rPr>
                <w:szCs w:val="21"/>
              </w:rPr>
            </w:pPr>
            <w:r>
              <w:rPr>
                <w:rFonts w:hint="eastAsia"/>
                <w:szCs w:val="21"/>
              </w:rPr>
              <w:t>1</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66456DE">
            <w:pPr>
              <w:widowControl/>
              <w:adjustRightInd/>
              <w:spacing w:line="240" w:lineRule="auto"/>
              <w:textAlignment w:val="auto"/>
              <w:rPr>
                <w:szCs w:val="21"/>
              </w:rPr>
            </w:pPr>
          </w:p>
        </w:tc>
      </w:tr>
      <w:tr w14:paraId="5D59240A">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8964714">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58317D71">
            <w:pPr>
              <w:widowControl/>
              <w:adjustRightInd/>
              <w:spacing w:line="240" w:lineRule="auto"/>
              <w:jc w:val="left"/>
              <w:textAlignment w:val="auto"/>
              <w:rPr>
                <w:szCs w:val="21"/>
              </w:rPr>
            </w:pPr>
            <w:r>
              <w:rPr>
                <w:rFonts w:hint="eastAsia"/>
                <w:szCs w:val="21"/>
              </w:rPr>
              <w:t>管道主辅材料、阀门、附件及保温</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DA63436">
            <w:pPr>
              <w:widowControl/>
              <w:adjustRightInd/>
              <w:spacing w:line="240" w:lineRule="auto"/>
              <w:jc w:val="left"/>
              <w:textAlignment w:val="auto"/>
              <w:rPr>
                <w:szCs w:val="21"/>
              </w:rPr>
            </w:pPr>
            <w:r>
              <w:rPr>
                <w:rFonts w:hint="eastAsia"/>
                <w:szCs w:val="21"/>
              </w:rPr>
              <w:t>包括但不限于镀锌钢板风管、各类空调上下水管、冷媒管、阀门、仪表、保温材料等，上下水管道至水工预留接口处。</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6C2DE57D">
            <w:pPr>
              <w:widowControl/>
              <w:adjustRightInd/>
              <w:spacing w:line="240" w:lineRule="auto"/>
              <w:jc w:val="center"/>
              <w:textAlignment w:val="auto"/>
              <w:rPr>
                <w:szCs w:val="21"/>
              </w:rPr>
            </w:pPr>
            <w:r>
              <w:rPr>
                <w:rFonts w:hint="eastAsia"/>
                <w:szCs w:val="21"/>
              </w:rPr>
              <w:t>套</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37C9DF93">
            <w:pPr>
              <w:widowControl/>
              <w:adjustRightInd/>
              <w:spacing w:line="240" w:lineRule="auto"/>
              <w:jc w:val="center"/>
              <w:textAlignment w:val="auto"/>
              <w:rPr>
                <w:szCs w:val="21"/>
              </w:rPr>
            </w:pPr>
            <w:r>
              <w:rPr>
                <w:rFonts w:hint="eastAsia"/>
                <w:szCs w:val="21"/>
              </w:rPr>
              <w:t>1</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692EB49">
            <w:pPr>
              <w:widowControl/>
              <w:adjustRightInd/>
              <w:spacing w:line="240" w:lineRule="auto"/>
              <w:textAlignment w:val="auto"/>
              <w:rPr>
                <w:szCs w:val="21"/>
              </w:rPr>
            </w:pPr>
          </w:p>
        </w:tc>
      </w:tr>
      <w:tr w14:paraId="0C646744">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EAB006A">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213BABA4">
            <w:pPr>
              <w:widowControl/>
              <w:adjustRightInd/>
              <w:spacing w:line="240" w:lineRule="auto"/>
              <w:jc w:val="left"/>
              <w:textAlignment w:val="auto"/>
              <w:rPr>
                <w:szCs w:val="21"/>
              </w:rPr>
            </w:pPr>
            <w:r>
              <w:rPr>
                <w:rFonts w:hint="eastAsia"/>
                <w:szCs w:val="21"/>
              </w:rPr>
              <w:t>70℃防火阀</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093470D9">
            <w:pPr>
              <w:widowControl/>
              <w:adjustRightInd/>
              <w:spacing w:line="240" w:lineRule="auto"/>
              <w:jc w:val="left"/>
              <w:textAlignment w:val="auto"/>
              <w:rPr>
                <w:szCs w:val="21"/>
              </w:rPr>
            </w:pPr>
            <w:r>
              <w:rPr>
                <w:rFonts w:hint="eastAsia"/>
                <w:szCs w:val="21"/>
              </w:rPr>
              <w:t>160X120,70℃熔断关闭，反馈动作信号；手动打开/关</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3BD9E623">
            <w:pPr>
              <w:widowControl/>
              <w:adjustRightInd/>
              <w:spacing w:line="240" w:lineRule="auto"/>
              <w:jc w:val="center"/>
              <w:textAlignment w:val="auto"/>
              <w:rPr>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315E941F">
            <w:pPr>
              <w:widowControl/>
              <w:adjustRightInd/>
              <w:spacing w:line="240" w:lineRule="auto"/>
              <w:jc w:val="center"/>
              <w:textAlignment w:val="auto"/>
              <w:rPr>
                <w:szCs w:val="21"/>
              </w:rPr>
            </w:pPr>
            <w:r>
              <w:rPr>
                <w:rFonts w:hint="eastAsia"/>
                <w:szCs w:val="21"/>
              </w:rPr>
              <w:t>18</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14654713">
            <w:pPr>
              <w:widowControl/>
              <w:adjustRightInd/>
              <w:spacing w:line="240" w:lineRule="auto"/>
              <w:textAlignment w:val="auto"/>
              <w:rPr>
                <w:szCs w:val="21"/>
              </w:rPr>
            </w:pPr>
          </w:p>
        </w:tc>
      </w:tr>
      <w:tr w14:paraId="169108C4">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C21A950">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226923DA">
            <w:pPr>
              <w:widowControl/>
              <w:adjustRightInd/>
              <w:spacing w:line="240" w:lineRule="auto"/>
              <w:jc w:val="left"/>
              <w:textAlignment w:val="auto"/>
              <w:rPr>
                <w:szCs w:val="21"/>
              </w:rPr>
            </w:pPr>
            <w:r>
              <w:rPr>
                <w:rFonts w:hint="eastAsia"/>
                <w:szCs w:val="21"/>
              </w:rPr>
              <w:t>70℃防火阀</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3691281B">
            <w:pPr>
              <w:widowControl/>
              <w:adjustRightInd/>
              <w:spacing w:line="240" w:lineRule="auto"/>
              <w:jc w:val="left"/>
              <w:textAlignment w:val="auto"/>
              <w:rPr>
                <w:szCs w:val="21"/>
              </w:rPr>
            </w:pPr>
            <w:r>
              <w:rPr>
                <w:rFonts w:hint="eastAsia"/>
                <w:szCs w:val="21"/>
              </w:rPr>
              <w:t>320X320,70℃熔断关闭，反馈动作信号；手动打开/关</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79BC5957">
            <w:pPr>
              <w:widowControl/>
              <w:adjustRightInd/>
              <w:spacing w:line="240" w:lineRule="auto"/>
              <w:jc w:val="center"/>
              <w:textAlignment w:val="auto"/>
              <w:rPr>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49BC4E06">
            <w:pPr>
              <w:widowControl/>
              <w:adjustRightInd/>
              <w:spacing w:line="240" w:lineRule="auto"/>
              <w:jc w:val="center"/>
              <w:textAlignment w:val="auto"/>
              <w:rPr>
                <w:szCs w:val="21"/>
              </w:rPr>
            </w:pPr>
            <w:r>
              <w:rPr>
                <w:rFonts w:hint="eastAsia"/>
                <w:szCs w:val="21"/>
              </w:rPr>
              <w:t>4</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80A19EA">
            <w:pPr>
              <w:widowControl/>
              <w:adjustRightInd/>
              <w:spacing w:line="240" w:lineRule="auto"/>
              <w:textAlignment w:val="auto"/>
              <w:rPr>
                <w:szCs w:val="21"/>
              </w:rPr>
            </w:pPr>
          </w:p>
        </w:tc>
      </w:tr>
      <w:tr w14:paraId="441655C7">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7DED343">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0A5B6D36">
            <w:pPr>
              <w:widowControl/>
              <w:adjustRightInd/>
              <w:spacing w:line="240" w:lineRule="auto"/>
              <w:jc w:val="left"/>
              <w:textAlignment w:val="auto"/>
              <w:rPr>
                <w:szCs w:val="21"/>
              </w:rPr>
            </w:pPr>
            <w:r>
              <w:rPr>
                <w:rFonts w:hint="eastAsia"/>
                <w:szCs w:val="21"/>
              </w:rPr>
              <w:t>150℃防火阀</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079691C">
            <w:pPr>
              <w:widowControl/>
              <w:adjustRightInd/>
              <w:spacing w:line="240" w:lineRule="auto"/>
              <w:jc w:val="left"/>
              <w:textAlignment w:val="auto"/>
              <w:rPr>
                <w:szCs w:val="21"/>
              </w:rPr>
            </w:pPr>
            <w:r>
              <w:rPr>
                <w:rFonts w:hint="eastAsia"/>
                <w:szCs w:val="21"/>
              </w:rPr>
              <w:t>320X320,70℃熔断关闭，反馈动作信号；手动打开/关</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7CC255B9">
            <w:pPr>
              <w:widowControl/>
              <w:adjustRightInd/>
              <w:spacing w:line="240" w:lineRule="auto"/>
              <w:jc w:val="center"/>
              <w:textAlignment w:val="auto"/>
              <w:rPr>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465F9278">
            <w:pPr>
              <w:widowControl/>
              <w:adjustRightInd/>
              <w:spacing w:line="240" w:lineRule="auto"/>
              <w:jc w:val="center"/>
              <w:textAlignment w:val="auto"/>
              <w:rPr>
                <w:szCs w:val="21"/>
              </w:rPr>
            </w:pPr>
            <w:r>
              <w:rPr>
                <w:rFonts w:hint="eastAsia"/>
                <w:szCs w:val="21"/>
              </w:rPr>
              <w:t>1</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B82CD99">
            <w:pPr>
              <w:widowControl/>
              <w:adjustRightInd/>
              <w:spacing w:line="240" w:lineRule="auto"/>
              <w:textAlignment w:val="auto"/>
              <w:rPr>
                <w:szCs w:val="21"/>
              </w:rPr>
            </w:pPr>
          </w:p>
        </w:tc>
      </w:tr>
      <w:tr w14:paraId="67F0CC0E">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01B2D38">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0DA2A6C5">
            <w:pPr>
              <w:widowControl/>
              <w:adjustRightInd/>
              <w:spacing w:line="240" w:lineRule="auto"/>
              <w:jc w:val="left"/>
              <w:textAlignment w:val="auto"/>
              <w:rPr>
                <w:szCs w:val="21"/>
              </w:rPr>
            </w:pPr>
            <w:r>
              <w:rPr>
                <w:rFonts w:hint="eastAsia"/>
                <w:szCs w:val="21"/>
              </w:rPr>
              <w:t>280℃防火阀（常开）</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33E49CD9">
            <w:pPr>
              <w:widowControl/>
              <w:adjustRightInd/>
              <w:spacing w:line="240" w:lineRule="auto"/>
              <w:jc w:val="left"/>
              <w:textAlignment w:val="auto"/>
              <w:rPr>
                <w:szCs w:val="21"/>
              </w:rPr>
            </w:pPr>
            <w:r>
              <w:rPr>
                <w:rFonts w:hint="eastAsia"/>
                <w:szCs w:val="21"/>
              </w:rPr>
              <w:t>1250X400，24V/0.7A,280℃熔断关闭，连锁关闭对应风机，反馈动作信号；手动打开/关闭</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6461FD08">
            <w:pPr>
              <w:widowControl/>
              <w:adjustRightInd/>
              <w:spacing w:line="240" w:lineRule="auto"/>
              <w:jc w:val="center"/>
              <w:textAlignment w:val="auto"/>
              <w:rPr>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1E3511B2">
            <w:pPr>
              <w:widowControl/>
              <w:adjustRightInd/>
              <w:spacing w:line="240" w:lineRule="auto"/>
              <w:jc w:val="center"/>
              <w:textAlignment w:val="auto"/>
              <w:rPr>
                <w:szCs w:val="21"/>
              </w:rPr>
            </w:pPr>
            <w:r>
              <w:rPr>
                <w:rFonts w:hint="eastAsia"/>
                <w:szCs w:val="21"/>
              </w:rPr>
              <w:t>6</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74F4A1D1">
            <w:pPr>
              <w:widowControl/>
              <w:adjustRightInd/>
              <w:spacing w:line="240" w:lineRule="auto"/>
              <w:textAlignment w:val="auto"/>
              <w:rPr>
                <w:szCs w:val="21"/>
              </w:rPr>
            </w:pPr>
          </w:p>
        </w:tc>
      </w:tr>
      <w:tr w14:paraId="3AB07680">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7AC32892">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2BF86C51">
            <w:pPr>
              <w:widowControl/>
              <w:adjustRightInd/>
              <w:spacing w:line="240" w:lineRule="auto"/>
              <w:jc w:val="left"/>
              <w:textAlignment w:val="auto"/>
              <w:rPr>
                <w:szCs w:val="21"/>
              </w:rPr>
            </w:pPr>
            <w:r>
              <w:rPr>
                <w:rFonts w:hint="eastAsia"/>
                <w:szCs w:val="21"/>
              </w:rPr>
              <w:t>280℃防火阀（常开）</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4601BE4">
            <w:pPr>
              <w:widowControl/>
              <w:adjustRightInd/>
              <w:spacing w:line="240" w:lineRule="auto"/>
              <w:jc w:val="left"/>
              <w:textAlignment w:val="auto"/>
              <w:rPr>
                <w:szCs w:val="21"/>
              </w:rPr>
            </w:pPr>
            <w:r>
              <w:rPr>
                <w:rFonts w:hint="eastAsia"/>
                <w:szCs w:val="21"/>
              </w:rPr>
              <w:t>φ900，24V/0.5A,280℃熔断关闭，连锁关闭对应风机，反馈动作信号；手动打开/关闭</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261AEA13">
            <w:pPr>
              <w:widowControl/>
              <w:adjustRightInd/>
              <w:spacing w:line="240" w:lineRule="auto"/>
              <w:jc w:val="center"/>
              <w:textAlignment w:val="auto"/>
              <w:rPr>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71929246">
            <w:pPr>
              <w:widowControl/>
              <w:adjustRightInd/>
              <w:spacing w:line="240" w:lineRule="auto"/>
              <w:jc w:val="center"/>
              <w:textAlignment w:val="auto"/>
              <w:rPr>
                <w:szCs w:val="21"/>
              </w:rPr>
            </w:pPr>
            <w:r>
              <w:rPr>
                <w:rFonts w:hint="eastAsia"/>
                <w:szCs w:val="21"/>
              </w:rPr>
              <w:t>1</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1F026A30">
            <w:pPr>
              <w:widowControl/>
              <w:adjustRightInd/>
              <w:spacing w:line="240" w:lineRule="auto"/>
              <w:textAlignment w:val="auto"/>
              <w:rPr>
                <w:szCs w:val="21"/>
              </w:rPr>
            </w:pPr>
          </w:p>
        </w:tc>
      </w:tr>
      <w:tr w14:paraId="7806321D">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5E754AF">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16A88369">
            <w:pPr>
              <w:widowControl/>
              <w:adjustRightInd/>
              <w:spacing w:line="240" w:lineRule="auto"/>
              <w:jc w:val="left"/>
              <w:textAlignment w:val="auto"/>
              <w:rPr>
                <w:szCs w:val="21"/>
              </w:rPr>
            </w:pPr>
            <w:r>
              <w:rPr>
                <w:rFonts w:hint="eastAsia"/>
                <w:szCs w:val="21"/>
              </w:rPr>
              <w:t>多叶排烟口（常闭）</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59C611B5">
            <w:pPr>
              <w:widowControl/>
              <w:adjustRightInd/>
              <w:spacing w:line="240" w:lineRule="auto"/>
              <w:jc w:val="left"/>
              <w:textAlignment w:val="auto"/>
              <w:rPr>
                <w:szCs w:val="21"/>
              </w:rPr>
            </w:pPr>
            <w:r>
              <w:rPr>
                <w:rFonts w:hint="eastAsia"/>
                <w:szCs w:val="21"/>
              </w:rPr>
              <w:t>800X500，24V/0.7A,远程电动打开/关闭；280℃熔断关闭，反馈动作信号；手动打开/关闭，与对应排烟风机联动</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1EA2404C">
            <w:pPr>
              <w:widowControl/>
              <w:adjustRightInd/>
              <w:spacing w:line="240" w:lineRule="auto"/>
              <w:jc w:val="center"/>
              <w:textAlignment w:val="auto"/>
              <w:rPr>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51895A88">
            <w:pPr>
              <w:widowControl/>
              <w:adjustRightInd/>
              <w:spacing w:line="240" w:lineRule="auto"/>
              <w:jc w:val="center"/>
              <w:textAlignment w:val="auto"/>
              <w:rPr>
                <w:szCs w:val="21"/>
              </w:rPr>
            </w:pPr>
            <w:r>
              <w:rPr>
                <w:rFonts w:hint="eastAsia"/>
                <w:szCs w:val="21"/>
              </w:rPr>
              <w:t>8</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1D62F2B8">
            <w:pPr>
              <w:widowControl/>
              <w:adjustRightInd/>
              <w:spacing w:line="240" w:lineRule="auto"/>
              <w:textAlignment w:val="auto"/>
              <w:rPr>
                <w:szCs w:val="21"/>
              </w:rPr>
            </w:pPr>
          </w:p>
        </w:tc>
      </w:tr>
      <w:tr w14:paraId="08789B8A">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EE977DC">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0DA82916">
            <w:pPr>
              <w:widowControl/>
              <w:adjustRightInd/>
              <w:spacing w:line="240" w:lineRule="auto"/>
              <w:jc w:val="left"/>
              <w:textAlignment w:val="auto"/>
              <w:rPr>
                <w:szCs w:val="21"/>
              </w:rPr>
            </w:pPr>
            <w:r>
              <w:rPr>
                <w:rFonts w:hint="eastAsia"/>
                <w:szCs w:val="21"/>
              </w:rPr>
              <w:t>镀锌钢板风管</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073CF5B5">
            <w:pPr>
              <w:widowControl/>
              <w:adjustRightInd/>
              <w:spacing w:line="240" w:lineRule="auto"/>
              <w:jc w:val="left"/>
              <w:textAlignment w:val="auto"/>
              <w:rPr>
                <w:szCs w:val="21"/>
              </w:rPr>
            </w:pPr>
            <w:r>
              <w:rPr>
                <w:rFonts w:hint="eastAsia"/>
                <w:szCs w:val="21"/>
              </w:rPr>
              <w:t>δ=0.75mm</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48AAC385">
            <w:pPr>
              <w:widowControl/>
              <w:adjustRightInd/>
              <w:spacing w:line="240" w:lineRule="auto"/>
              <w:jc w:val="center"/>
              <w:textAlignment w:val="auto"/>
              <w:rPr>
                <w:szCs w:val="21"/>
              </w:rPr>
            </w:pPr>
            <w:r>
              <w:rPr>
                <w:rFonts w:hint="eastAsia"/>
                <w:szCs w:val="21"/>
              </w:rPr>
              <w:t>m²</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5A1BA9F2">
            <w:pPr>
              <w:widowControl/>
              <w:adjustRightInd/>
              <w:spacing w:line="240" w:lineRule="auto"/>
              <w:jc w:val="center"/>
              <w:textAlignment w:val="auto"/>
              <w:rPr>
                <w:szCs w:val="21"/>
              </w:rPr>
            </w:pPr>
            <w:r>
              <w:rPr>
                <w:rFonts w:hint="eastAsia"/>
                <w:szCs w:val="21"/>
              </w:rPr>
              <w:t>200</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72538094">
            <w:pPr>
              <w:widowControl/>
              <w:adjustRightInd/>
              <w:spacing w:line="240" w:lineRule="auto"/>
              <w:textAlignment w:val="auto"/>
              <w:rPr>
                <w:szCs w:val="21"/>
              </w:rPr>
            </w:pPr>
          </w:p>
        </w:tc>
      </w:tr>
      <w:tr w14:paraId="3BBAB21C">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78A8FD2">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79BC480C">
            <w:pPr>
              <w:widowControl/>
              <w:adjustRightInd/>
              <w:spacing w:line="240" w:lineRule="auto"/>
              <w:jc w:val="left"/>
              <w:textAlignment w:val="auto"/>
              <w:rPr>
                <w:szCs w:val="21"/>
              </w:rPr>
            </w:pPr>
            <w:r>
              <w:rPr>
                <w:rFonts w:hint="eastAsia"/>
                <w:szCs w:val="21"/>
              </w:rPr>
              <w:t>镀锌钢板风管(排烟风管)</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4724EF9E">
            <w:pPr>
              <w:widowControl/>
              <w:adjustRightInd/>
              <w:spacing w:line="240" w:lineRule="auto"/>
              <w:jc w:val="left"/>
              <w:textAlignment w:val="auto"/>
              <w:rPr>
                <w:szCs w:val="21"/>
              </w:rPr>
            </w:pPr>
            <w:r>
              <w:rPr>
                <w:rFonts w:hint="eastAsia"/>
                <w:szCs w:val="21"/>
              </w:rPr>
              <w:t>δ=1.2mm</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6F095298">
            <w:pPr>
              <w:widowControl/>
              <w:adjustRightInd/>
              <w:spacing w:line="240" w:lineRule="auto"/>
              <w:jc w:val="center"/>
              <w:textAlignment w:val="auto"/>
              <w:rPr>
                <w:szCs w:val="21"/>
              </w:rPr>
            </w:pPr>
            <w:r>
              <w:rPr>
                <w:rFonts w:hint="eastAsia"/>
                <w:szCs w:val="21"/>
              </w:rPr>
              <w:t>m²</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53B27506">
            <w:pPr>
              <w:widowControl/>
              <w:adjustRightInd/>
              <w:spacing w:line="240" w:lineRule="auto"/>
              <w:jc w:val="center"/>
              <w:textAlignment w:val="auto"/>
              <w:rPr>
                <w:szCs w:val="21"/>
              </w:rPr>
            </w:pPr>
            <w:r>
              <w:rPr>
                <w:rFonts w:hint="eastAsia"/>
                <w:szCs w:val="21"/>
              </w:rPr>
              <w:t>500</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00403EED">
            <w:pPr>
              <w:widowControl/>
              <w:adjustRightInd/>
              <w:spacing w:line="240" w:lineRule="auto"/>
              <w:textAlignment w:val="auto"/>
              <w:rPr>
                <w:szCs w:val="21"/>
              </w:rPr>
            </w:pPr>
          </w:p>
        </w:tc>
      </w:tr>
      <w:tr w14:paraId="0D37971C">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4A646BC4">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0987101A">
            <w:pPr>
              <w:widowControl/>
              <w:adjustRightInd/>
              <w:spacing w:line="240" w:lineRule="auto"/>
              <w:jc w:val="left"/>
              <w:textAlignment w:val="auto"/>
              <w:rPr>
                <w:szCs w:val="21"/>
              </w:rPr>
            </w:pPr>
            <w:r>
              <w:rPr>
                <w:rFonts w:hint="eastAsia"/>
                <w:szCs w:val="21"/>
              </w:rPr>
              <w:t>空调风管保温板</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1D817D61">
            <w:pPr>
              <w:widowControl/>
              <w:adjustRightInd/>
              <w:spacing w:line="240" w:lineRule="auto"/>
              <w:jc w:val="left"/>
              <w:textAlignment w:val="auto"/>
              <w:rPr>
                <w:szCs w:val="21"/>
              </w:rPr>
            </w:pPr>
            <w:r>
              <w:rPr>
                <w:rFonts w:hint="eastAsia"/>
                <w:szCs w:val="21"/>
              </w:rPr>
              <w:t>　</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0BB3B41B">
            <w:pPr>
              <w:widowControl/>
              <w:adjustRightInd/>
              <w:spacing w:line="240" w:lineRule="auto"/>
              <w:jc w:val="center"/>
              <w:textAlignment w:val="auto"/>
              <w:rPr>
                <w:szCs w:val="21"/>
              </w:rPr>
            </w:pPr>
            <w:r>
              <w:rPr>
                <w:rFonts w:hint="eastAsia"/>
                <w:szCs w:val="21"/>
              </w:rPr>
              <w:t>m2</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08111653">
            <w:pPr>
              <w:widowControl/>
              <w:adjustRightInd/>
              <w:spacing w:line="240" w:lineRule="auto"/>
              <w:jc w:val="center"/>
              <w:textAlignment w:val="auto"/>
              <w:rPr>
                <w:szCs w:val="21"/>
              </w:rPr>
            </w:pPr>
            <w:r>
              <w:rPr>
                <w:rFonts w:hint="eastAsia"/>
                <w:szCs w:val="21"/>
              </w:rPr>
              <w:t>150</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12922F91">
            <w:pPr>
              <w:widowControl/>
              <w:adjustRightInd/>
              <w:spacing w:line="240" w:lineRule="auto"/>
              <w:textAlignment w:val="auto"/>
              <w:rPr>
                <w:szCs w:val="21"/>
              </w:rPr>
            </w:pPr>
          </w:p>
        </w:tc>
      </w:tr>
      <w:tr w14:paraId="7F565ABF">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FD50E6F">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5B979E13">
            <w:pPr>
              <w:widowControl/>
              <w:adjustRightInd/>
              <w:spacing w:line="240" w:lineRule="auto"/>
              <w:jc w:val="left"/>
              <w:textAlignment w:val="auto"/>
              <w:rPr>
                <w:szCs w:val="21"/>
              </w:rPr>
            </w:pPr>
            <w:r>
              <w:rPr>
                <w:rFonts w:hint="eastAsia"/>
                <w:szCs w:val="21"/>
              </w:rPr>
              <w:t>帆布软接</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62983284">
            <w:pPr>
              <w:widowControl/>
              <w:adjustRightInd/>
              <w:spacing w:line="240" w:lineRule="auto"/>
              <w:jc w:val="left"/>
              <w:textAlignment w:val="auto"/>
              <w:rPr>
                <w:szCs w:val="21"/>
              </w:rPr>
            </w:pPr>
            <w:r>
              <w:rPr>
                <w:rFonts w:hint="eastAsia"/>
                <w:szCs w:val="21"/>
              </w:rPr>
              <w:t>　</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03D6D636">
            <w:pPr>
              <w:widowControl/>
              <w:adjustRightInd/>
              <w:spacing w:line="240" w:lineRule="auto"/>
              <w:jc w:val="center"/>
              <w:textAlignment w:val="auto"/>
              <w:rPr>
                <w:szCs w:val="21"/>
              </w:rPr>
            </w:pPr>
            <w:r>
              <w:rPr>
                <w:rFonts w:hint="eastAsia"/>
                <w:szCs w:val="21"/>
              </w:rPr>
              <w:t>m²</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63E48A71">
            <w:pPr>
              <w:widowControl/>
              <w:adjustRightInd/>
              <w:spacing w:line="240" w:lineRule="auto"/>
              <w:jc w:val="center"/>
              <w:textAlignment w:val="auto"/>
              <w:rPr>
                <w:szCs w:val="21"/>
              </w:rPr>
            </w:pPr>
            <w:r>
              <w:rPr>
                <w:rFonts w:hint="eastAsia"/>
                <w:szCs w:val="21"/>
              </w:rPr>
              <w:t>5</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19FED10">
            <w:pPr>
              <w:widowControl/>
              <w:adjustRightInd/>
              <w:spacing w:line="240" w:lineRule="auto"/>
              <w:textAlignment w:val="auto"/>
              <w:rPr>
                <w:szCs w:val="21"/>
              </w:rPr>
            </w:pPr>
          </w:p>
        </w:tc>
      </w:tr>
      <w:tr w14:paraId="01B5E3A5">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2725C17">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1843A637">
            <w:pPr>
              <w:widowControl/>
              <w:adjustRightInd/>
              <w:spacing w:line="240" w:lineRule="auto"/>
              <w:jc w:val="left"/>
              <w:textAlignment w:val="auto"/>
              <w:rPr>
                <w:szCs w:val="21"/>
              </w:rPr>
            </w:pPr>
            <w:r>
              <w:rPr>
                <w:rFonts w:hint="eastAsia"/>
                <w:szCs w:val="21"/>
              </w:rPr>
              <w:t>双层百叶风口</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64C46DF">
            <w:pPr>
              <w:widowControl/>
              <w:adjustRightInd/>
              <w:spacing w:line="240" w:lineRule="auto"/>
              <w:jc w:val="left"/>
              <w:textAlignment w:val="auto"/>
              <w:rPr>
                <w:szCs w:val="21"/>
              </w:rPr>
            </w:pPr>
            <w:r>
              <w:rPr>
                <w:rFonts w:hint="eastAsia"/>
                <w:szCs w:val="21"/>
              </w:rPr>
              <w:t>500X200,带6×6mm不锈钢丝滤网</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6747D05F">
            <w:pPr>
              <w:widowControl/>
              <w:adjustRightInd/>
              <w:spacing w:line="240" w:lineRule="auto"/>
              <w:jc w:val="center"/>
              <w:textAlignment w:val="auto"/>
              <w:rPr>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4911B3FD">
            <w:pPr>
              <w:widowControl/>
              <w:adjustRightInd/>
              <w:spacing w:line="240" w:lineRule="auto"/>
              <w:jc w:val="center"/>
              <w:textAlignment w:val="auto"/>
              <w:rPr>
                <w:szCs w:val="21"/>
              </w:rPr>
            </w:pPr>
            <w:r>
              <w:rPr>
                <w:rFonts w:hint="eastAsia"/>
                <w:szCs w:val="21"/>
              </w:rPr>
              <w:t>2</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4732C4D4">
            <w:pPr>
              <w:widowControl/>
              <w:adjustRightInd/>
              <w:spacing w:line="240" w:lineRule="auto"/>
              <w:textAlignment w:val="auto"/>
              <w:rPr>
                <w:szCs w:val="21"/>
              </w:rPr>
            </w:pPr>
          </w:p>
        </w:tc>
      </w:tr>
      <w:tr w14:paraId="63042EBC">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E16EB0E">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00447CB7">
            <w:pPr>
              <w:widowControl/>
              <w:adjustRightInd/>
              <w:spacing w:line="240" w:lineRule="auto"/>
              <w:jc w:val="left"/>
              <w:textAlignment w:val="auto"/>
              <w:rPr>
                <w:szCs w:val="21"/>
              </w:rPr>
            </w:pPr>
            <w:r>
              <w:rPr>
                <w:rFonts w:hint="eastAsia"/>
                <w:szCs w:val="21"/>
              </w:rPr>
              <w:t>铝合金防雨百叶风口</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5E711913">
            <w:pPr>
              <w:widowControl/>
              <w:adjustRightInd/>
              <w:spacing w:line="240" w:lineRule="auto"/>
              <w:jc w:val="left"/>
              <w:textAlignment w:val="auto"/>
              <w:rPr>
                <w:szCs w:val="21"/>
              </w:rPr>
            </w:pPr>
            <w:r>
              <w:rPr>
                <w:rFonts w:hint="eastAsia"/>
                <w:szCs w:val="21"/>
              </w:rPr>
              <w:t>200X200,带6×6mm不锈钢丝滤网</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33DBC845">
            <w:pPr>
              <w:widowControl/>
              <w:adjustRightInd/>
              <w:spacing w:line="240" w:lineRule="auto"/>
              <w:jc w:val="center"/>
              <w:textAlignment w:val="auto"/>
              <w:rPr>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119EC32E">
            <w:pPr>
              <w:widowControl/>
              <w:adjustRightInd/>
              <w:spacing w:line="240" w:lineRule="auto"/>
              <w:jc w:val="center"/>
              <w:textAlignment w:val="auto"/>
              <w:rPr>
                <w:szCs w:val="21"/>
              </w:rPr>
            </w:pPr>
            <w:r>
              <w:rPr>
                <w:rFonts w:hint="eastAsia"/>
                <w:szCs w:val="21"/>
              </w:rPr>
              <w:t>28</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12B27376">
            <w:pPr>
              <w:widowControl/>
              <w:adjustRightInd/>
              <w:spacing w:line="240" w:lineRule="auto"/>
              <w:textAlignment w:val="auto"/>
              <w:rPr>
                <w:szCs w:val="21"/>
              </w:rPr>
            </w:pPr>
          </w:p>
        </w:tc>
      </w:tr>
      <w:tr w14:paraId="2B5CD8BC">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DE5E466">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3777F984">
            <w:pPr>
              <w:widowControl/>
              <w:adjustRightInd/>
              <w:spacing w:line="240" w:lineRule="auto"/>
              <w:jc w:val="left"/>
              <w:textAlignment w:val="auto"/>
              <w:rPr>
                <w:szCs w:val="21"/>
              </w:rPr>
            </w:pPr>
            <w:r>
              <w:rPr>
                <w:rFonts w:hint="eastAsia"/>
                <w:szCs w:val="21"/>
              </w:rPr>
              <w:t>铝合金防雨百叶风口</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10AC1C57">
            <w:pPr>
              <w:widowControl/>
              <w:adjustRightInd/>
              <w:spacing w:line="240" w:lineRule="auto"/>
              <w:jc w:val="left"/>
              <w:textAlignment w:val="auto"/>
              <w:rPr>
                <w:szCs w:val="21"/>
              </w:rPr>
            </w:pPr>
            <w:r>
              <w:rPr>
                <w:rFonts w:hint="eastAsia"/>
                <w:szCs w:val="21"/>
              </w:rPr>
              <w:t>320X320,带6×6mm不锈钢丝滤网</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35C7F1D9">
            <w:pPr>
              <w:widowControl/>
              <w:adjustRightInd/>
              <w:spacing w:line="240" w:lineRule="auto"/>
              <w:jc w:val="center"/>
              <w:textAlignment w:val="auto"/>
              <w:rPr>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5295ED2B">
            <w:pPr>
              <w:widowControl/>
              <w:adjustRightInd/>
              <w:spacing w:line="240" w:lineRule="auto"/>
              <w:jc w:val="center"/>
              <w:textAlignment w:val="auto"/>
              <w:rPr>
                <w:szCs w:val="21"/>
              </w:rPr>
            </w:pPr>
            <w:r>
              <w:rPr>
                <w:rFonts w:hint="eastAsia"/>
                <w:szCs w:val="21"/>
              </w:rPr>
              <w:t>6</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CB87491">
            <w:pPr>
              <w:widowControl/>
              <w:adjustRightInd/>
              <w:spacing w:line="240" w:lineRule="auto"/>
              <w:textAlignment w:val="auto"/>
              <w:rPr>
                <w:szCs w:val="21"/>
              </w:rPr>
            </w:pPr>
          </w:p>
        </w:tc>
      </w:tr>
      <w:tr w14:paraId="785E5FF9">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C919C64">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69296B9D">
            <w:pPr>
              <w:widowControl/>
              <w:adjustRightInd/>
              <w:spacing w:line="240" w:lineRule="auto"/>
              <w:jc w:val="left"/>
              <w:textAlignment w:val="auto"/>
              <w:rPr>
                <w:szCs w:val="21"/>
              </w:rPr>
            </w:pPr>
            <w:r>
              <w:rPr>
                <w:rFonts w:hint="eastAsia"/>
                <w:szCs w:val="21"/>
              </w:rPr>
              <w:t>铝合金防雨百叶风口</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5124438">
            <w:pPr>
              <w:widowControl/>
              <w:adjustRightInd/>
              <w:spacing w:line="240" w:lineRule="auto"/>
              <w:jc w:val="left"/>
              <w:textAlignment w:val="auto"/>
              <w:rPr>
                <w:szCs w:val="21"/>
              </w:rPr>
            </w:pPr>
            <w:r>
              <w:rPr>
                <w:rFonts w:hint="eastAsia"/>
                <w:szCs w:val="21"/>
              </w:rPr>
              <w:t>1600X800,带6×6mm不锈钢丝滤网</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58CFFE8B">
            <w:pPr>
              <w:widowControl/>
              <w:adjustRightInd/>
              <w:spacing w:line="240" w:lineRule="auto"/>
              <w:jc w:val="center"/>
              <w:textAlignment w:val="auto"/>
              <w:rPr>
                <w:szCs w:val="21"/>
              </w:rPr>
            </w:pPr>
            <w:r>
              <w:rPr>
                <w:rFonts w:hint="eastAsia"/>
                <w:szCs w:val="21"/>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3E651168">
            <w:pPr>
              <w:widowControl/>
              <w:adjustRightInd/>
              <w:spacing w:line="240" w:lineRule="auto"/>
              <w:jc w:val="center"/>
              <w:textAlignment w:val="auto"/>
              <w:rPr>
                <w:szCs w:val="21"/>
              </w:rPr>
            </w:pPr>
            <w:r>
              <w:rPr>
                <w:rFonts w:hint="eastAsia"/>
                <w:szCs w:val="21"/>
              </w:rPr>
              <w:t>1</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4659A6BC">
            <w:pPr>
              <w:widowControl/>
              <w:adjustRightInd/>
              <w:spacing w:line="240" w:lineRule="auto"/>
              <w:textAlignment w:val="auto"/>
              <w:rPr>
                <w:szCs w:val="21"/>
              </w:rPr>
            </w:pPr>
          </w:p>
        </w:tc>
      </w:tr>
      <w:tr w14:paraId="4CBE4994">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A47CDB6">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7FAB7DD4">
            <w:pPr>
              <w:widowControl/>
              <w:adjustRightInd/>
              <w:spacing w:line="240" w:lineRule="auto"/>
              <w:jc w:val="left"/>
              <w:textAlignment w:val="auto"/>
              <w:rPr>
                <w:szCs w:val="21"/>
              </w:rPr>
            </w:pPr>
            <w:r>
              <w:rPr>
                <w:rFonts w:hint="eastAsia"/>
                <w:szCs w:val="21"/>
              </w:rPr>
              <w:t>管线槽盒</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1072F7D">
            <w:pPr>
              <w:widowControl/>
              <w:adjustRightInd/>
              <w:spacing w:line="240" w:lineRule="auto"/>
              <w:jc w:val="left"/>
              <w:textAlignment w:val="auto"/>
              <w:rPr>
                <w:szCs w:val="21"/>
              </w:rPr>
            </w:pPr>
            <w:r>
              <w:rPr>
                <w:rFonts w:hint="eastAsia"/>
                <w:szCs w:val="21"/>
              </w:rPr>
              <w:t>用于空调通风系统管线装饰、走线等部位。</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3BB5C9D1">
            <w:pPr>
              <w:widowControl/>
              <w:adjustRightInd/>
              <w:spacing w:line="240" w:lineRule="auto"/>
              <w:jc w:val="center"/>
              <w:textAlignment w:val="auto"/>
              <w:rPr>
                <w:szCs w:val="21"/>
              </w:rPr>
            </w:pPr>
            <w:r>
              <w:rPr>
                <w:rFonts w:hint="eastAsia"/>
                <w:szCs w:val="21"/>
              </w:rPr>
              <w:t>米</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480C370F">
            <w:pPr>
              <w:widowControl/>
              <w:adjustRightInd/>
              <w:spacing w:line="240" w:lineRule="auto"/>
              <w:jc w:val="center"/>
              <w:textAlignment w:val="auto"/>
              <w:rPr>
                <w:szCs w:val="21"/>
              </w:rPr>
            </w:pPr>
            <w:r>
              <w:rPr>
                <w:rFonts w:hint="eastAsia"/>
                <w:szCs w:val="21"/>
              </w:rPr>
              <w:t>300</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17A91604">
            <w:pPr>
              <w:widowControl/>
              <w:adjustRightInd/>
              <w:spacing w:line="240" w:lineRule="auto"/>
              <w:textAlignment w:val="auto"/>
              <w:rPr>
                <w:szCs w:val="21"/>
              </w:rPr>
            </w:pPr>
          </w:p>
        </w:tc>
      </w:tr>
      <w:tr w14:paraId="0618B159">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18C9DBA">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7A8BB272">
            <w:pPr>
              <w:widowControl/>
              <w:adjustRightInd/>
              <w:spacing w:line="240" w:lineRule="auto"/>
              <w:jc w:val="left"/>
              <w:textAlignment w:val="auto"/>
              <w:rPr>
                <w:szCs w:val="21"/>
              </w:rPr>
            </w:pPr>
            <w:r>
              <w:rPr>
                <w:rFonts w:hint="eastAsia"/>
                <w:szCs w:val="21"/>
              </w:rPr>
              <w:t>排烟风管防火板</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5C49C35D">
            <w:pPr>
              <w:widowControl/>
              <w:adjustRightInd/>
              <w:spacing w:line="240" w:lineRule="auto"/>
              <w:jc w:val="left"/>
              <w:textAlignment w:val="auto"/>
              <w:rPr>
                <w:szCs w:val="21"/>
              </w:rPr>
            </w:pPr>
            <w:r>
              <w:rPr>
                <w:rFonts w:hint="eastAsia"/>
                <w:szCs w:val="21"/>
              </w:rPr>
              <w:t>厚度不小于9mm,纤维增强硅酸钙板密度为：≤0.95g/cm3,导热系数≤0.2W/（m·k），烟气毒性必须达到AQ1，耐霉菌性能为0级19mm</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14D89BAF">
            <w:pPr>
              <w:widowControl/>
              <w:adjustRightInd/>
              <w:spacing w:line="240" w:lineRule="auto"/>
              <w:jc w:val="center"/>
              <w:textAlignment w:val="auto"/>
              <w:rPr>
                <w:szCs w:val="21"/>
              </w:rPr>
            </w:pPr>
            <w:r>
              <w:rPr>
                <w:rFonts w:hint="eastAsia"/>
                <w:szCs w:val="21"/>
              </w:rPr>
              <w:t>m2</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54D93455">
            <w:pPr>
              <w:widowControl/>
              <w:adjustRightInd/>
              <w:spacing w:line="240" w:lineRule="auto"/>
              <w:jc w:val="center"/>
              <w:textAlignment w:val="auto"/>
              <w:rPr>
                <w:szCs w:val="21"/>
              </w:rPr>
            </w:pPr>
            <w:r>
              <w:rPr>
                <w:rFonts w:hint="eastAsia"/>
                <w:szCs w:val="21"/>
              </w:rPr>
              <w:t>500</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2BB97DB7">
            <w:pPr>
              <w:widowControl/>
              <w:adjustRightInd/>
              <w:spacing w:line="240" w:lineRule="auto"/>
              <w:textAlignment w:val="auto"/>
              <w:rPr>
                <w:szCs w:val="21"/>
              </w:rPr>
            </w:pPr>
          </w:p>
        </w:tc>
      </w:tr>
      <w:tr w14:paraId="40AE6CC3">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41C36A6">
            <w:pPr>
              <w:pStyle w:val="178"/>
              <w:widowControl/>
              <w:numPr>
                <w:ilvl w:val="0"/>
                <w:numId w:val="12"/>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196942A4">
            <w:pPr>
              <w:widowControl/>
              <w:adjustRightInd/>
              <w:spacing w:line="240" w:lineRule="auto"/>
              <w:jc w:val="left"/>
              <w:textAlignment w:val="auto"/>
              <w:rPr>
                <w:szCs w:val="21"/>
              </w:rPr>
            </w:pPr>
            <w:r>
              <w:rPr>
                <w:rFonts w:hint="eastAsia"/>
                <w:szCs w:val="21"/>
              </w:rPr>
              <w:t>挡烟垂壁</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62E5A3A">
            <w:pPr>
              <w:widowControl/>
              <w:adjustRightInd/>
              <w:spacing w:line="240" w:lineRule="auto"/>
              <w:jc w:val="left"/>
              <w:textAlignment w:val="auto"/>
              <w:rPr>
                <w:szCs w:val="21"/>
              </w:rPr>
            </w:pPr>
            <w:r>
              <w:rPr>
                <w:rFonts w:hint="eastAsia"/>
                <w:szCs w:val="21"/>
              </w:rPr>
              <w:t>10mm厚防火玻璃</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6B485C4D">
            <w:pPr>
              <w:widowControl/>
              <w:adjustRightInd/>
              <w:spacing w:line="240" w:lineRule="auto"/>
              <w:jc w:val="center"/>
              <w:textAlignment w:val="auto"/>
              <w:rPr>
                <w:szCs w:val="21"/>
              </w:rPr>
            </w:pPr>
            <w:r>
              <w:rPr>
                <w:rFonts w:hint="eastAsia"/>
                <w:szCs w:val="21"/>
              </w:rPr>
              <w:t>m2</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5209F247">
            <w:pPr>
              <w:widowControl/>
              <w:adjustRightInd/>
              <w:spacing w:line="240" w:lineRule="auto"/>
              <w:jc w:val="center"/>
              <w:textAlignment w:val="auto"/>
              <w:rPr>
                <w:szCs w:val="21"/>
              </w:rPr>
            </w:pPr>
            <w:r>
              <w:rPr>
                <w:rFonts w:hint="eastAsia"/>
                <w:szCs w:val="21"/>
              </w:rPr>
              <w:t>65</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62A074D1">
            <w:pPr>
              <w:widowControl/>
              <w:adjustRightInd/>
              <w:spacing w:line="240" w:lineRule="auto"/>
              <w:textAlignment w:val="auto"/>
              <w:rPr>
                <w:szCs w:val="21"/>
              </w:rPr>
            </w:pPr>
          </w:p>
        </w:tc>
      </w:tr>
    </w:tbl>
    <w:p w14:paraId="61579CFE">
      <w:pPr>
        <w:snapToGrid w:val="0"/>
        <w:spacing w:line="480" w:lineRule="atLeast"/>
        <w:rPr>
          <w:rFonts w:eastAsiaTheme="minorEastAsia"/>
          <w:b/>
          <w:color w:val="000000" w:themeColor="text1"/>
          <w:sz w:val="24"/>
          <w:szCs w:val="24"/>
          <w14:textFill>
            <w14:solidFill>
              <w14:schemeClr w14:val="tx1"/>
            </w14:solidFill>
          </w14:textFill>
        </w:rPr>
      </w:pPr>
    </w:p>
    <w:p w14:paraId="042F89F9">
      <w:pPr>
        <w:snapToGrid w:val="0"/>
        <w:spacing w:line="440" w:lineRule="atLeast"/>
        <w:outlineLvl w:val="1"/>
        <w:rPr>
          <w:rFonts w:eastAsiaTheme="minorEastAsia"/>
          <w:b/>
          <w:color w:val="000000" w:themeColor="text1"/>
          <w:sz w:val="24"/>
          <w:szCs w:val="24"/>
          <w14:textFill>
            <w14:solidFill>
              <w14:schemeClr w14:val="tx1"/>
            </w14:solidFill>
          </w14:textFill>
        </w:rPr>
      </w:pPr>
      <w:r>
        <w:rPr>
          <w:rFonts w:hint="eastAsia" w:eastAsiaTheme="minorEastAsia"/>
          <w:b/>
          <w:color w:val="000000" w:themeColor="text1"/>
          <w:sz w:val="24"/>
          <w:szCs w:val="24"/>
          <w14:textFill>
            <w14:solidFill>
              <w14:schemeClr w14:val="tx1"/>
            </w14:solidFill>
          </w14:textFill>
        </w:rPr>
        <w:t>表</w:t>
      </w:r>
      <w:r>
        <w:rPr>
          <w:rFonts w:eastAsiaTheme="minorEastAsia"/>
          <w:b/>
          <w:color w:val="000000" w:themeColor="text1"/>
          <w:sz w:val="24"/>
          <w:szCs w:val="24"/>
          <w14:textFill>
            <w14:solidFill>
              <w14:schemeClr w14:val="tx1"/>
            </w14:solidFill>
          </w14:textFill>
        </w:rPr>
        <w:t xml:space="preserve">1-8              </w:t>
      </w:r>
      <w:r>
        <w:rPr>
          <w:rFonts w:hint="eastAsia" w:eastAsiaTheme="minorEastAsia"/>
          <w:b/>
          <w:color w:val="000000" w:themeColor="text1"/>
          <w:sz w:val="24"/>
          <w:szCs w:val="24"/>
          <w14:textFill>
            <w14:solidFill>
              <w14:schemeClr w14:val="tx1"/>
            </w14:solidFill>
          </w14:textFill>
        </w:rPr>
        <w:t>警传室通风空调系统设备规格及数量表</w:t>
      </w:r>
    </w:p>
    <w:tbl>
      <w:tblPr>
        <w:tblStyle w:val="41"/>
        <w:tblW w:w="5000" w:type="pct"/>
        <w:tblInd w:w="0" w:type="dxa"/>
        <w:tblLayout w:type="fixed"/>
        <w:tblCellMar>
          <w:top w:w="0" w:type="dxa"/>
          <w:left w:w="108" w:type="dxa"/>
          <w:bottom w:w="0" w:type="dxa"/>
          <w:right w:w="108" w:type="dxa"/>
        </w:tblCellMar>
      </w:tblPr>
      <w:tblGrid>
        <w:gridCol w:w="722"/>
        <w:gridCol w:w="2349"/>
        <w:gridCol w:w="3753"/>
        <w:gridCol w:w="832"/>
        <w:gridCol w:w="715"/>
        <w:gridCol w:w="915"/>
      </w:tblGrid>
      <w:tr w14:paraId="6A2A1331">
        <w:tblPrEx>
          <w:tblCellMar>
            <w:top w:w="0" w:type="dxa"/>
            <w:left w:w="108" w:type="dxa"/>
            <w:bottom w:w="0" w:type="dxa"/>
            <w:right w:w="108" w:type="dxa"/>
          </w:tblCellMar>
        </w:tblPrEx>
        <w:trPr>
          <w:trHeight w:val="499" w:hRule="atLeast"/>
          <w:tblHeader/>
        </w:trPr>
        <w:tc>
          <w:tcPr>
            <w:tcW w:w="388"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2ECCC843">
            <w:pPr>
              <w:widowControl/>
              <w:adjustRightInd/>
              <w:spacing w:line="240" w:lineRule="auto"/>
              <w:jc w:val="center"/>
              <w:textAlignment w:val="auto"/>
              <w:rPr>
                <w:b/>
                <w:sz w:val="24"/>
                <w:szCs w:val="24"/>
              </w:rPr>
            </w:pPr>
            <w:r>
              <w:rPr>
                <w:rFonts w:hint="eastAsia" w:ascii="宋体" w:hAnsi="宋体"/>
                <w:b/>
                <w:sz w:val="24"/>
                <w:szCs w:val="24"/>
              </w:rPr>
              <w:t>序号</w:t>
            </w:r>
          </w:p>
        </w:tc>
        <w:tc>
          <w:tcPr>
            <w:tcW w:w="1265" w:type="pct"/>
            <w:tcBorders>
              <w:top w:val="single" w:color="auto" w:sz="4" w:space="0"/>
              <w:left w:val="nil"/>
              <w:bottom w:val="single" w:color="auto" w:sz="4" w:space="0"/>
              <w:right w:val="single" w:color="auto" w:sz="4" w:space="0"/>
            </w:tcBorders>
            <w:shd w:val="clear" w:color="000000" w:fill="FFFFFF"/>
            <w:noWrap/>
            <w:vAlign w:val="center"/>
          </w:tcPr>
          <w:p w14:paraId="012B6BAA">
            <w:pPr>
              <w:widowControl/>
              <w:adjustRightInd/>
              <w:spacing w:line="240" w:lineRule="auto"/>
              <w:jc w:val="center"/>
              <w:textAlignment w:val="auto"/>
              <w:rPr>
                <w:b/>
                <w:sz w:val="24"/>
                <w:szCs w:val="24"/>
              </w:rPr>
            </w:pPr>
            <w:r>
              <w:rPr>
                <w:rFonts w:hint="eastAsia" w:ascii="宋体" w:hAnsi="宋体"/>
                <w:b/>
                <w:sz w:val="24"/>
                <w:szCs w:val="24"/>
              </w:rPr>
              <w:t>设备材料名称</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9CE0A82">
            <w:pPr>
              <w:widowControl/>
              <w:adjustRightInd/>
              <w:spacing w:line="240" w:lineRule="auto"/>
              <w:jc w:val="center"/>
              <w:textAlignment w:val="auto"/>
              <w:rPr>
                <w:b/>
                <w:sz w:val="24"/>
                <w:szCs w:val="24"/>
              </w:rPr>
            </w:pPr>
            <w:r>
              <w:rPr>
                <w:rFonts w:hint="eastAsia" w:ascii="宋体" w:hAnsi="宋体"/>
                <w:b/>
                <w:sz w:val="24"/>
                <w:szCs w:val="24"/>
              </w:rPr>
              <w:t>设备材料规格</w:t>
            </w:r>
          </w:p>
        </w:tc>
        <w:tc>
          <w:tcPr>
            <w:tcW w:w="448" w:type="pct"/>
            <w:tcBorders>
              <w:top w:val="single" w:color="auto" w:sz="4" w:space="0"/>
              <w:left w:val="nil"/>
              <w:bottom w:val="single" w:color="auto" w:sz="4" w:space="0"/>
              <w:right w:val="single" w:color="auto" w:sz="4" w:space="0"/>
            </w:tcBorders>
            <w:shd w:val="clear" w:color="000000" w:fill="FFFFFF"/>
            <w:noWrap/>
            <w:vAlign w:val="center"/>
          </w:tcPr>
          <w:p w14:paraId="70760E71">
            <w:pPr>
              <w:widowControl/>
              <w:adjustRightInd/>
              <w:spacing w:line="240" w:lineRule="auto"/>
              <w:jc w:val="center"/>
              <w:textAlignment w:val="auto"/>
              <w:rPr>
                <w:b/>
                <w:sz w:val="24"/>
                <w:szCs w:val="24"/>
              </w:rPr>
            </w:pPr>
            <w:r>
              <w:rPr>
                <w:rFonts w:hint="eastAsia" w:ascii="宋体" w:hAnsi="宋体"/>
                <w:b/>
                <w:sz w:val="24"/>
                <w:szCs w:val="24"/>
              </w:rPr>
              <w:t>单位</w:t>
            </w:r>
          </w:p>
        </w:tc>
        <w:tc>
          <w:tcPr>
            <w:tcW w:w="385" w:type="pct"/>
            <w:tcBorders>
              <w:top w:val="single" w:color="auto" w:sz="4" w:space="0"/>
              <w:left w:val="nil"/>
              <w:bottom w:val="single" w:color="auto" w:sz="4" w:space="0"/>
              <w:right w:val="single" w:color="auto" w:sz="4" w:space="0"/>
            </w:tcBorders>
            <w:shd w:val="clear" w:color="000000" w:fill="FFFFFF"/>
            <w:noWrap/>
            <w:vAlign w:val="center"/>
          </w:tcPr>
          <w:p w14:paraId="7C14FC1C">
            <w:pPr>
              <w:widowControl/>
              <w:adjustRightInd/>
              <w:spacing w:line="240" w:lineRule="auto"/>
              <w:jc w:val="center"/>
              <w:textAlignment w:val="auto"/>
              <w:rPr>
                <w:b/>
                <w:sz w:val="24"/>
                <w:szCs w:val="24"/>
              </w:rPr>
            </w:pPr>
            <w:r>
              <w:rPr>
                <w:rFonts w:hint="eastAsia" w:ascii="宋体" w:hAnsi="宋体"/>
                <w:b/>
                <w:sz w:val="24"/>
                <w:szCs w:val="24"/>
              </w:rPr>
              <w:t>数量</w:t>
            </w:r>
          </w:p>
        </w:tc>
        <w:tc>
          <w:tcPr>
            <w:tcW w:w="493" w:type="pct"/>
            <w:tcBorders>
              <w:top w:val="single" w:color="auto" w:sz="4" w:space="0"/>
              <w:left w:val="nil"/>
              <w:bottom w:val="single" w:color="auto" w:sz="4" w:space="0"/>
              <w:right w:val="single" w:color="auto" w:sz="4" w:space="0"/>
            </w:tcBorders>
            <w:shd w:val="clear" w:color="000000" w:fill="FFFFFF"/>
            <w:noWrap/>
            <w:vAlign w:val="center"/>
          </w:tcPr>
          <w:p w14:paraId="4C18B023">
            <w:pPr>
              <w:widowControl/>
              <w:adjustRightInd/>
              <w:spacing w:line="240" w:lineRule="auto"/>
              <w:textAlignment w:val="auto"/>
              <w:rPr>
                <w:b/>
                <w:sz w:val="24"/>
                <w:szCs w:val="24"/>
              </w:rPr>
            </w:pPr>
            <w:r>
              <w:rPr>
                <w:rFonts w:hint="eastAsia" w:ascii="宋体" w:hAnsi="宋体"/>
                <w:b/>
                <w:sz w:val="24"/>
                <w:szCs w:val="24"/>
              </w:rPr>
              <w:t>备注</w:t>
            </w:r>
          </w:p>
        </w:tc>
      </w:tr>
      <w:tr w14:paraId="36597581">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B2F2EE4">
            <w:pPr>
              <w:pStyle w:val="178"/>
              <w:widowControl/>
              <w:numPr>
                <w:ilvl w:val="0"/>
                <w:numId w:val="13"/>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0C26D6D8">
            <w:pPr>
              <w:widowControl/>
              <w:adjustRightInd/>
              <w:spacing w:line="240" w:lineRule="auto"/>
              <w:jc w:val="left"/>
              <w:textAlignment w:val="auto"/>
              <w:rPr>
                <w:szCs w:val="21"/>
              </w:rPr>
            </w:pPr>
            <w:r>
              <w:rPr>
                <w:rFonts w:hint="eastAsia"/>
                <w:szCs w:val="21"/>
              </w:rPr>
              <w:t>壁挂式分体空调</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490CD33E">
            <w:pPr>
              <w:widowControl/>
              <w:adjustRightInd/>
              <w:spacing w:line="240" w:lineRule="auto"/>
              <w:jc w:val="left"/>
              <w:textAlignment w:val="auto"/>
              <w:rPr>
                <w:szCs w:val="21"/>
              </w:rPr>
            </w:pPr>
            <w:r>
              <w:rPr>
                <w:rFonts w:hint="eastAsia"/>
                <w:szCs w:val="21"/>
              </w:rPr>
              <w:t>制冷量：</w:t>
            </w:r>
            <w:r>
              <w:rPr>
                <w:color w:val="000000"/>
                <w:szCs w:val="21"/>
              </w:rPr>
              <w:t>3.5kW</w:t>
            </w:r>
            <w:r>
              <w:rPr>
                <w:rFonts w:hint="eastAsia"/>
                <w:color w:val="000000"/>
                <w:szCs w:val="21"/>
              </w:rPr>
              <w:t>，制热量：</w:t>
            </w:r>
            <w:r>
              <w:rPr>
                <w:color w:val="000000"/>
                <w:szCs w:val="21"/>
              </w:rPr>
              <w:t>4.8kW</w:t>
            </w:r>
            <w:r>
              <w:rPr>
                <w:rFonts w:hint="eastAsia"/>
                <w:color w:val="000000"/>
                <w:szCs w:val="21"/>
              </w:rPr>
              <w:t>，功率：</w:t>
            </w:r>
            <w:r>
              <w:rPr>
                <w:color w:val="000000"/>
                <w:szCs w:val="21"/>
              </w:rPr>
              <w:t>1.05kW/220V，</w:t>
            </w:r>
            <w:r>
              <w:rPr>
                <w:rFonts w:hint="eastAsia"/>
                <w:szCs w:val="21"/>
              </w:rPr>
              <w:t>能效等级不低于</w:t>
            </w:r>
            <w:r>
              <w:rPr>
                <w:color w:val="000000"/>
                <w:szCs w:val="21"/>
              </w:rPr>
              <w:t>2</w:t>
            </w:r>
            <w:r>
              <w:rPr>
                <w:rFonts w:hint="eastAsia"/>
                <w:color w:val="000000"/>
                <w:szCs w:val="21"/>
              </w:rPr>
              <w:t>级</w:t>
            </w:r>
            <w:r>
              <w:rPr>
                <w:color w:val="000000"/>
                <w:szCs w:val="21"/>
              </w:rPr>
              <w:t>,</w:t>
            </w:r>
            <w:r>
              <w:rPr>
                <w:rFonts w:hint="eastAsia"/>
                <w:color w:val="000000"/>
                <w:szCs w:val="21"/>
              </w:rPr>
              <w:t>采用环保冷媒</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0C10C2E6">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7A11AF11">
            <w:pPr>
              <w:widowControl/>
              <w:adjustRightInd/>
              <w:spacing w:line="240" w:lineRule="auto"/>
              <w:jc w:val="center"/>
              <w:textAlignment w:val="auto"/>
              <w:rPr>
                <w:szCs w:val="21"/>
              </w:rPr>
            </w:pPr>
            <w:r>
              <w:rPr>
                <w:rFonts w:hint="eastAsia"/>
                <w:szCs w:val="21"/>
              </w:rPr>
              <w:t>4</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13762440">
            <w:pPr>
              <w:widowControl/>
              <w:adjustRightInd/>
              <w:spacing w:line="240" w:lineRule="auto"/>
              <w:textAlignment w:val="auto"/>
              <w:rPr>
                <w:szCs w:val="21"/>
              </w:rPr>
            </w:pPr>
          </w:p>
        </w:tc>
      </w:tr>
      <w:tr w14:paraId="1B66FB0D">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0FDAFEE">
            <w:pPr>
              <w:pStyle w:val="178"/>
              <w:widowControl/>
              <w:numPr>
                <w:ilvl w:val="0"/>
                <w:numId w:val="13"/>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3F52FDAD">
            <w:pPr>
              <w:widowControl/>
              <w:adjustRightInd/>
              <w:spacing w:line="240" w:lineRule="auto"/>
              <w:jc w:val="left"/>
              <w:textAlignment w:val="auto"/>
              <w:rPr>
                <w:szCs w:val="21"/>
              </w:rPr>
            </w:pPr>
            <w:r>
              <w:rPr>
                <w:rFonts w:hint="eastAsia"/>
                <w:szCs w:val="21"/>
              </w:rPr>
              <w:t>镀锌钢板</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6DDAA2DF">
            <w:pPr>
              <w:widowControl/>
              <w:adjustRightInd/>
              <w:spacing w:line="240" w:lineRule="auto"/>
              <w:jc w:val="left"/>
              <w:textAlignment w:val="auto"/>
              <w:rPr>
                <w:szCs w:val="21"/>
              </w:rPr>
            </w:pPr>
            <w:r>
              <w:rPr>
                <w:rFonts w:hint="eastAsia"/>
                <w:szCs w:val="21"/>
              </w:rPr>
              <w:t>δ=0.5mm</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77A73AB9">
            <w:pPr>
              <w:widowControl/>
              <w:adjustRightInd/>
              <w:spacing w:line="240" w:lineRule="auto"/>
              <w:jc w:val="center"/>
              <w:textAlignment w:val="auto"/>
              <w:rPr>
                <w:szCs w:val="21"/>
              </w:rPr>
            </w:pPr>
            <w:r>
              <w:rPr>
                <w:rFonts w:hint="eastAsia"/>
                <w:szCs w:val="21"/>
              </w:rPr>
              <w:t>m2</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6584B2D5">
            <w:pPr>
              <w:widowControl/>
              <w:adjustRightInd/>
              <w:spacing w:line="240" w:lineRule="auto"/>
              <w:jc w:val="center"/>
              <w:textAlignment w:val="auto"/>
              <w:rPr>
                <w:szCs w:val="21"/>
              </w:rPr>
            </w:pPr>
            <w:r>
              <w:rPr>
                <w:rFonts w:hint="eastAsia"/>
                <w:szCs w:val="21"/>
              </w:rPr>
              <w:t>20</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2ECD7750">
            <w:pPr>
              <w:widowControl/>
              <w:adjustRightInd/>
              <w:spacing w:line="240" w:lineRule="auto"/>
              <w:textAlignment w:val="auto"/>
              <w:rPr>
                <w:szCs w:val="21"/>
              </w:rPr>
            </w:pPr>
            <w:r>
              <w:rPr>
                <w:rFonts w:hint="eastAsia"/>
                <w:szCs w:val="21"/>
              </w:rPr>
              <w:t>　</w:t>
            </w:r>
          </w:p>
        </w:tc>
      </w:tr>
      <w:tr w14:paraId="700A3915">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8B9E408">
            <w:pPr>
              <w:pStyle w:val="178"/>
              <w:widowControl/>
              <w:numPr>
                <w:ilvl w:val="0"/>
                <w:numId w:val="13"/>
              </w:numPr>
              <w:spacing w:line="240" w:lineRule="auto"/>
              <w:ind w:firstLineChars="0"/>
              <w:rPr>
                <w:sz w:val="21"/>
                <w:szCs w:val="21"/>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6E6DFD97">
            <w:pPr>
              <w:widowControl/>
              <w:adjustRightInd/>
              <w:spacing w:line="240" w:lineRule="auto"/>
              <w:jc w:val="left"/>
              <w:textAlignment w:val="auto"/>
              <w:rPr>
                <w:szCs w:val="21"/>
              </w:rPr>
            </w:pPr>
            <w:r>
              <w:rPr>
                <w:rFonts w:hint="eastAsia"/>
                <w:szCs w:val="21"/>
              </w:rPr>
              <w:t>排气扇</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0CA67F46">
            <w:pPr>
              <w:widowControl/>
              <w:adjustRightInd/>
              <w:spacing w:line="240" w:lineRule="auto"/>
              <w:jc w:val="left"/>
              <w:textAlignment w:val="auto"/>
              <w:rPr>
                <w:szCs w:val="21"/>
              </w:rPr>
            </w:pPr>
            <w:r>
              <w:rPr>
                <w:rFonts w:hint="eastAsia"/>
                <w:szCs w:val="21"/>
              </w:rPr>
              <w:t>BPT15-24A</w:t>
            </w:r>
            <w:r>
              <w:rPr>
                <w:rFonts w:hint="eastAsia"/>
                <w:color w:val="000000"/>
                <w:szCs w:val="21"/>
              </w:rPr>
              <w:t>，风量：</w:t>
            </w:r>
            <w:r>
              <w:rPr>
                <w:color w:val="000000"/>
                <w:szCs w:val="21"/>
              </w:rPr>
              <w:t>210m3/h</w:t>
            </w:r>
            <w:r>
              <w:rPr>
                <w:rFonts w:hint="eastAsia"/>
                <w:color w:val="000000"/>
                <w:szCs w:val="21"/>
              </w:rPr>
              <w:t>，风压：</w:t>
            </w:r>
            <w:r>
              <w:rPr>
                <w:color w:val="000000"/>
                <w:szCs w:val="21"/>
              </w:rPr>
              <w:t>160Pa</w:t>
            </w:r>
            <w:r>
              <w:rPr>
                <w:rFonts w:hint="eastAsia"/>
                <w:color w:val="000000"/>
                <w:szCs w:val="21"/>
              </w:rPr>
              <w:t>，功率：</w:t>
            </w:r>
            <w:r>
              <w:rPr>
                <w:color w:val="000000"/>
                <w:szCs w:val="21"/>
              </w:rPr>
              <w:t>0.032kW/220V</w:t>
            </w:r>
            <w:r>
              <w:rPr>
                <w:rFonts w:hint="eastAsia"/>
                <w:color w:val="000000"/>
                <w:szCs w:val="21"/>
              </w:rPr>
              <w:t>；带止回阀</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6A6D45D1">
            <w:pPr>
              <w:widowControl/>
              <w:adjustRightInd/>
              <w:spacing w:line="240" w:lineRule="auto"/>
              <w:jc w:val="center"/>
              <w:textAlignment w:val="auto"/>
              <w:rPr>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7D1C5543">
            <w:pPr>
              <w:widowControl/>
              <w:adjustRightInd/>
              <w:spacing w:line="240" w:lineRule="auto"/>
              <w:jc w:val="center"/>
              <w:textAlignment w:val="auto"/>
              <w:rPr>
                <w:szCs w:val="21"/>
              </w:rPr>
            </w:pPr>
            <w:r>
              <w:rPr>
                <w:rFonts w:hint="eastAsia"/>
                <w:szCs w:val="21"/>
              </w:rPr>
              <w:t>2</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42FFF296">
            <w:pPr>
              <w:widowControl/>
              <w:adjustRightInd/>
              <w:spacing w:line="240" w:lineRule="auto"/>
              <w:textAlignment w:val="auto"/>
              <w:rPr>
                <w:szCs w:val="21"/>
              </w:rPr>
            </w:pPr>
          </w:p>
        </w:tc>
      </w:tr>
    </w:tbl>
    <w:p w14:paraId="792EA4F2">
      <w:pPr>
        <w:snapToGrid w:val="0"/>
        <w:spacing w:line="480" w:lineRule="atLeast"/>
        <w:rPr>
          <w:rFonts w:eastAsiaTheme="minorEastAsia"/>
          <w:b/>
          <w:color w:val="000000" w:themeColor="text1"/>
          <w:sz w:val="24"/>
          <w:szCs w:val="24"/>
          <w14:textFill>
            <w14:solidFill>
              <w14:schemeClr w14:val="tx1"/>
            </w14:solidFill>
          </w14:textFill>
        </w:rPr>
      </w:pPr>
    </w:p>
    <w:p w14:paraId="0B24DA63">
      <w:pPr>
        <w:snapToGrid w:val="0"/>
        <w:spacing w:line="440" w:lineRule="atLeast"/>
        <w:outlineLvl w:val="1"/>
        <w:rPr>
          <w:rFonts w:eastAsiaTheme="minorEastAsia"/>
          <w:b/>
          <w:color w:val="000000" w:themeColor="text1"/>
          <w:sz w:val="24"/>
          <w:szCs w:val="24"/>
          <w14:textFill>
            <w14:solidFill>
              <w14:schemeClr w14:val="tx1"/>
            </w14:solidFill>
          </w14:textFill>
        </w:rPr>
      </w:pPr>
      <w:r>
        <w:rPr>
          <w:rFonts w:hint="eastAsia" w:eastAsiaTheme="minorEastAsia"/>
          <w:b/>
          <w:color w:val="000000" w:themeColor="text1"/>
          <w:sz w:val="24"/>
          <w:szCs w:val="24"/>
          <w14:textFill>
            <w14:solidFill>
              <w14:schemeClr w14:val="tx1"/>
            </w14:solidFill>
          </w14:textFill>
        </w:rPr>
        <w:t>表</w:t>
      </w:r>
      <w:r>
        <w:rPr>
          <w:rFonts w:eastAsiaTheme="minorEastAsia"/>
          <w:b/>
          <w:color w:val="000000" w:themeColor="text1"/>
          <w:sz w:val="24"/>
          <w:szCs w:val="24"/>
          <w14:textFill>
            <w14:solidFill>
              <w14:schemeClr w14:val="tx1"/>
            </w14:solidFill>
          </w14:textFill>
        </w:rPr>
        <w:t xml:space="preserve">1-9              </w:t>
      </w:r>
      <w:r>
        <w:rPr>
          <w:rFonts w:hint="eastAsia" w:eastAsiaTheme="minorEastAsia"/>
          <w:b/>
          <w:color w:val="000000" w:themeColor="text1"/>
          <w:sz w:val="24"/>
          <w:szCs w:val="24"/>
          <w14:textFill>
            <w14:solidFill>
              <w14:schemeClr w14:val="tx1"/>
            </w14:solidFill>
          </w14:textFill>
        </w:rPr>
        <w:t>油化实验室通风空调系统设备规格及数量表</w:t>
      </w:r>
    </w:p>
    <w:tbl>
      <w:tblPr>
        <w:tblStyle w:val="41"/>
        <w:tblW w:w="5000" w:type="pct"/>
        <w:tblInd w:w="0" w:type="dxa"/>
        <w:tblLayout w:type="fixed"/>
        <w:tblCellMar>
          <w:top w:w="0" w:type="dxa"/>
          <w:left w:w="108" w:type="dxa"/>
          <w:bottom w:w="0" w:type="dxa"/>
          <w:right w:w="108" w:type="dxa"/>
        </w:tblCellMar>
      </w:tblPr>
      <w:tblGrid>
        <w:gridCol w:w="722"/>
        <w:gridCol w:w="2349"/>
        <w:gridCol w:w="3753"/>
        <w:gridCol w:w="832"/>
        <w:gridCol w:w="715"/>
        <w:gridCol w:w="915"/>
      </w:tblGrid>
      <w:tr w14:paraId="1D10C622">
        <w:tblPrEx>
          <w:tblCellMar>
            <w:top w:w="0" w:type="dxa"/>
            <w:left w:w="108" w:type="dxa"/>
            <w:bottom w:w="0" w:type="dxa"/>
            <w:right w:w="108" w:type="dxa"/>
          </w:tblCellMar>
        </w:tblPrEx>
        <w:trPr>
          <w:trHeight w:val="499" w:hRule="atLeast"/>
          <w:tblHeader/>
        </w:trPr>
        <w:tc>
          <w:tcPr>
            <w:tcW w:w="388"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1FDAC628">
            <w:pPr>
              <w:widowControl/>
              <w:adjustRightInd/>
              <w:spacing w:line="240" w:lineRule="auto"/>
              <w:jc w:val="center"/>
              <w:textAlignment w:val="auto"/>
              <w:rPr>
                <w:b/>
                <w:sz w:val="24"/>
                <w:szCs w:val="24"/>
              </w:rPr>
            </w:pPr>
            <w:r>
              <w:rPr>
                <w:rFonts w:hint="eastAsia" w:ascii="宋体" w:hAnsi="宋体"/>
                <w:b/>
                <w:sz w:val="24"/>
                <w:szCs w:val="24"/>
              </w:rPr>
              <w:t>序号</w:t>
            </w:r>
          </w:p>
        </w:tc>
        <w:tc>
          <w:tcPr>
            <w:tcW w:w="1265" w:type="pct"/>
            <w:tcBorders>
              <w:top w:val="single" w:color="auto" w:sz="4" w:space="0"/>
              <w:left w:val="nil"/>
              <w:bottom w:val="single" w:color="auto" w:sz="4" w:space="0"/>
              <w:right w:val="single" w:color="auto" w:sz="4" w:space="0"/>
            </w:tcBorders>
            <w:shd w:val="clear" w:color="000000" w:fill="FFFFFF"/>
            <w:noWrap/>
            <w:vAlign w:val="center"/>
          </w:tcPr>
          <w:p w14:paraId="26F0BD3B">
            <w:pPr>
              <w:widowControl/>
              <w:adjustRightInd/>
              <w:spacing w:line="240" w:lineRule="auto"/>
              <w:jc w:val="center"/>
              <w:textAlignment w:val="auto"/>
              <w:rPr>
                <w:b/>
                <w:sz w:val="24"/>
                <w:szCs w:val="24"/>
              </w:rPr>
            </w:pPr>
            <w:r>
              <w:rPr>
                <w:rFonts w:hint="eastAsia" w:ascii="宋体" w:hAnsi="宋体"/>
                <w:b/>
                <w:sz w:val="24"/>
                <w:szCs w:val="24"/>
              </w:rPr>
              <w:t>设备材料名称</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C984BF5">
            <w:pPr>
              <w:widowControl/>
              <w:adjustRightInd/>
              <w:spacing w:line="240" w:lineRule="auto"/>
              <w:jc w:val="center"/>
              <w:textAlignment w:val="auto"/>
              <w:rPr>
                <w:b/>
                <w:sz w:val="24"/>
                <w:szCs w:val="24"/>
              </w:rPr>
            </w:pPr>
            <w:r>
              <w:rPr>
                <w:rFonts w:hint="eastAsia" w:ascii="宋体" w:hAnsi="宋体"/>
                <w:b/>
                <w:sz w:val="24"/>
                <w:szCs w:val="24"/>
              </w:rPr>
              <w:t>设备材料规格</w:t>
            </w:r>
          </w:p>
        </w:tc>
        <w:tc>
          <w:tcPr>
            <w:tcW w:w="448" w:type="pct"/>
            <w:tcBorders>
              <w:top w:val="single" w:color="auto" w:sz="4" w:space="0"/>
              <w:left w:val="nil"/>
              <w:bottom w:val="single" w:color="auto" w:sz="4" w:space="0"/>
              <w:right w:val="single" w:color="auto" w:sz="4" w:space="0"/>
            </w:tcBorders>
            <w:shd w:val="clear" w:color="000000" w:fill="FFFFFF"/>
            <w:noWrap/>
            <w:vAlign w:val="center"/>
          </w:tcPr>
          <w:p w14:paraId="79A6F9CD">
            <w:pPr>
              <w:widowControl/>
              <w:adjustRightInd/>
              <w:spacing w:line="240" w:lineRule="auto"/>
              <w:jc w:val="center"/>
              <w:textAlignment w:val="auto"/>
              <w:rPr>
                <w:b/>
                <w:sz w:val="24"/>
                <w:szCs w:val="24"/>
              </w:rPr>
            </w:pPr>
            <w:r>
              <w:rPr>
                <w:rFonts w:hint="eastAsia" w:ascii="宋体" w:hAnsi="宋体"/>
                <w:b/>
                <w:sz w:val="24"/>
                <w:szCs w:val="24"/>
              </w:rPr>
              <w:t>单位</w:t>
            </w:r>
          </w:p>
        </w:tc>
        <w:tc>
          <w:tcPr>
            <w:tcW w:w="385" w:type="pct"/>
            <w:tcBorders>
              <w:top w:val="single" w:color="auto" w:sz="4" w:space="0"/>
              <w:left w:val="nil"/>
              <w:bottom w:val="single" w:color="auto" w:sz="4" w:space="0"/>
              <w:right w:val="single" w:color="auto" w:sz="4" w:space="0"/>
            </w:tcBorders>
            <w:shd w:val="clear" w:color="000000" w:fill="FFFFFF"/>
            <w:noWrap/>
            <w:vAlign w:val="center"/>
          </w:tcPr>
          <w:p w14:paraId="15CA1ACC">
            <w:pPr>
              <w:widowControl/>
              <w:adjustRightInd/>
              <w:spacing w:line="240" w:lineRule="auto"/>
              <w:jc w:val="center"/>
              <w:textAlignment w:val="auto"/>
              <w:rPr>
                <w:b/>
                <w:sz w:val="24"/>
                <w:szCs w:val="24"/>
              </w:rPr>
            </w:pPr>
            <w:r>
              <w:rPr>
                <w:rFonts w:hint="eastAsia" w:ascii="宋体" w:hAnsi="宋体"/>
                <w:b/>
                <w:sz w:val="24"/>
                <w:szCs w:val="24"/>
              </w:rPr>
              <w:t>数量</w:t>
            </w:r>
          </w:p>
        </w:tc>
        <w:tc>
          <w:tcPr>
            <w:tcW w:w="493" w:type="pct"/>
            <w:tcBorders>
              <w:top w:val="single" w:color="auto" w:sz="4" w:space="0"/>
              <w:left w:val="nil"/>
              <w:bottom w:val="single" w:color="auto" w:sz="4" w:space="0"/>
              <w:right w:val="single" w:color="auto" w:sz="4" w:space="0"/>
            </w:tcBorders>
            <w:shd w:val="clear" w:color="000000" w:fill="FFFFFF"/>
            <w:noWrap/>
            <w:vAlign w:val="center"/>
          </w:tcPr>
          <w:p w14:paraId="0572B830">
            <w:pPr>
              <w:widowControl/>
              <w:adjustRightInd/>
              <w:spacing w:line="240" w:lineRule="auto"/>
              <w:textAlignment w:val="auto"/>
              <w:rPr>
                <w:b/>
                <w:sz w:val="24"/>
                <w:szCs w:val="24"/>
              </w:rPr>
            </w:pPr>
            <w:r>
              <w:rPr>
                <w:rFonts w:hint="eastAsia" w:ascii="宋体" w:hAnsi="宋体"/>
                <w:b/>
                <w:sz w:val="24"/>
                <w:szCs w:val="24"/>
              </w:rPr>
              <w:t>备注</w:t>
            </w:r>
          </w:p>
        </w:tc>
      </w:tr>
      <w:tr w14:paraId="6623F824">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78DBEC6">
            <w:pPr>
              <w:pStyle w:val="178"/>
              <w:widowControl/>
              <w:numPr>
                <w:ilvl w:val="0"/>
                <w:numId w:val="14"/>
              </w:numPr>
              <w:spacing w:line="240" w:lineRule="auto"/>
              <w:ind w:firstLineChars="0"/>
              <w:rPr>
                <w:sz w:val="20"/>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03DC8328">
            <w:pPr>
              <w:widowControl/>
              <w:adjustRightInd/>
              <w:spacing w:line="240" w:lineRule="auto"/>
              <w:jc w:val="left"/>
              <w:textAlignment w:val="auto"/>
              <w:rPr>
                <w:color w:val="000000"/>
              </w:rPr>
            </w:pPr>
            <w:r>
              <w:rPr>
                <w:rFonts w:hint="eastAsia"/>
                <w:color w:val="000000"/>
              </w:rPr>
              <w:t>防爆低噪声轴流风机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3DA0451C">
            <w:pPr>
              <w:widowControl/>
              <w:adjustRightInd/>
              <w:spacing w:line="240" w:lineRule="auto"/>
              <w:jc w:val="left"/>
              <w:textAlignment w:val="auto"/>
              <w:rPr>
                <w:color w:val="000000"/>
              </w:rPr>
            </w:pPr>
            <w:r>
              <w:rPr>
                <w:rFonts w:hint="eastAsia"/>
                <w:color w:val="000000"/>
              </w:rPr>
              <w:t>3#，风量：1580 m3/h，转速1450rmp，电机功率：0.09kW，防爆型，电机直联，不低于2级能效，防爆等级Ex(d)IICT1</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48882A20">
            <w:pPr>
              <w:widowControl/>
              <w:adjustRightInd/>
              <w:spacing w:line="240" w:lineRule="auto"/>
              <w:jc w:val="center"/>
              <w:textAlignment w:val="auto"/>
              <w:rPr>
                <w:color w:val="000000"/>
              </w:rPr>
            </w:pPr>
            <w:r>
              <w:rPr>
                <w:rFonts w:hint="eastAsia"/>
                <w:color w:val="000000"/>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2AC4D722">
            <w:pPr>
              <w:widowControl/>
              <w:adjustRightInd/>
              <w:spacing w:line="240" w:lineRule="auto"/>
              <w:jc w:val="center"/>
              <w:textAlignment w:val="auto"/>
              <w:rPr>
                <w:color w:val="000000"/>
              </w:rPr>
            </w:pPr>
            <w:r>
              <w:rPr>
                <w:rFonts w:hint="eastAsia"/>
                <w:color w:val="000000"/>
              </w:rPr>
              <w:t>3</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C7DEE18">
            <w:pPr>
              <w:widowControl/>
              <w:adjustRightInd/>
              <w:spacing w:line="240" w:lineRule="auto"/>
              <w:textAlignment w:val="auto"/>
              <w:rPr>
                <w:sz w:val="20"/>
              </w:rPr>
            </w:pPr>
          </w:p>
        </w:tc>
      </w:tr>
      <w:tr w14:paraId="69294C2E">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CF36CBA">
            <w:pPr>
              <w:pStyle w:val="178"/>
              <w:widowControl/>
              <w:numPr>
                <w:ilvl w:val="0"/>
                <w:numId w:val="14"/>
              </w:numPr>
              <w:spacing w:line="240" w:lineRule="auto"/>
              <w:ind w:firstLineChars="0"/>
              <w:rPr>
                <w:sz w:val="20"/>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719EC168">
            <w:pPr>
              <w:widowControl/>
              <w:adjustRightInd/>
              <w:spacing w:line="240" w:lineRule="auto"/>
              <w:jc w:val="left"/>
              <w:textAlignment w:val="auto"/>
              <w:rPr>
                <w:color w:val="000000"/>
              </w:rPr>
            </w:pPr>
            <w:r>
              <w:rPr>
                <w:rFonts w:hint="eastAsia"/>
                <w:color w:val="000000"/>
              </w:rPr>
              <w:t>防爆低噪声轴流风机</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26EA891">
            <w:pPr>
              <w:widowControl/>
              <w:adjustRightInd/>
              <w:spacing w:line="240" w:lineRule="auto"/>
              <w:jc w:val="left"/>
              <w:textAlignment w:val="auto"/>
              <w:rPr>
                <w:color w:val="000000"/>
              </w:rPr>
            </w:pPr>
            <w:r>
              <w:rPr>
                <w:rFonts w:hint="eastAsia"/>
                <w:color w:val="000000"/>
              </w:rPr>
              <w:t>3.5#，风量：2950 m3/h，转速1450rmp，电机功率：0.12kW，防爆型，电机直联，不低于2级能效，防爆等级Ex(d)IICT1</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1A45B133">
            <w:pPr>
              <w:widowControl/>
              <w:adjustRightInd/>
              <w:spacing w:line="240" w:lineRule="auto"/>
              <w:jc w:val="center"/>
              <w:textAlignment w:val="auto"/>
              <w:rPr>
                <w:color w:val="000000"/>
              </w:rPr>
            </w:pPr>
            <w:r>
              <w:rPr>
                <w:rFonts w:hint="eastAsia"/>
                <w:color w:val="000000"/>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7EABA201">
            <w:pPr>
              <w:widowControl/>
              <w:adjustRightInd/>
              <w:spacing w:line="240" w:lineRule="auto"/>
              <w:jc w:val="center"/>
              <w:textAlignment w:val="auto"/>
              <w:rPr>
                <w:color w:val="000000"/>
              </w:rPr>
            </w:pPr>
            <w:r>
              <w:rPr>
                <w:rFonts w:hint="eastAsia"/>
                <w:color w:val="000000"/>
              </w:rPr>
              <w:t>2</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1972EE36">
            <w:pPr>
              <w:widowControl/>
              <w:adjustRightInd/>
              <w:spacing w:line="240" w:lineRule="auto"/>
              <w:textAlignment w:val="auto"/>
              <w:rPr>
                <w:sz w:val="20"/>
              </w:rPr>
            </w:pPr>
          </w:p>
        </w:tc>
      </w:tr>
      <w:tr w14:paraId="0519BC5E">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705C743F">
            <w:pPr>
              <w:pStyle w:val="178"/>
              <w:widowControl/>
              <w:numPr>
                <w:ilvl w:val="0"/>
                <w:numId w:val="14"/>
              </w:numPr>
              <w:spacing w:line="240" w:lineRule="auto"/>
              <w:ind w:firstLineChars="0"/>
              <w:rPr>
                <w:sz w:val="20"/>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25E4988A">
            <w:pPr>
              <w:widowControl/>
              <w:adjustRightInd/>
              <w:spacing w:line="240" w:lineRule="auto"/>
              <w:jc w:val="left"/>
              <w:textAlignment w:val="auto"/>
              <w:rPr>
                <w:color w:val="000000"/>
              </w:rPr>
            </w:pPr>
            <w:r>
              <w:rPr>
                <w:rFonts w:hint="eastAsia"/>
                <w:color w:val="000000"/>
              </w:rPr>
              <w:t>防爆壁挂式空调</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4DBC9F27">
            <w:pPr>
              <w:widowControl/>
              <w:adjustRightInd/>
              <w:spacing w:line="240" w:lineRule="auto"/>
              <w:jc w:val="left"/>
              <w:textAlignment w:val="auto"/>
              <w:rPr>
                <w:color w:val="000000"/>
              </w:rPr>
            </w:pPr>
            <w:r>
              <w:rPr>
                <w:rFonts w:hint="eastAsia"/>
                <w:color w:val="000000"/>
              </w:rPr>
              <w:t>制冷量5.0kW，制热量5.6kW，风量：</w:t>
            </w:r>
            <w:r>
              <w:rPr>
                <w:color w:val="000000"/>
              </w:rPr>
              <w:t>600m</w:t>
            </w:r>
            <w:r>
              <w:rPr>
                <w:rFonts w:hint="eastAsia"/>
                <w:color w:val="000000"/>
              </w:rPr>
              <w:t>³</w:t>
            </w:r>
            <w:r>
              <w:rPr>
                <w:color w:val="000000"/>
              </w:rPr>
              <w:t>/h</w:t>
            </w:r>
            <w:r>
              <w:rPr>
                <w:rFonts w:hint="eastAsia"/>
                <w:color w:val="000000"/>
              </w:rPr>
              <w:t>，电压：AC220V，电机功率：2.6kW。能耗等级不低于2级，变频，环保冷媒。所有外漏冷媒管采用成品槽盒外包，防爆等级不低于Ex(d)IICT1；</w:t>
            </w:r>
            <w:r>
              <w:rPr>
                <w:rFonts w:hint="eastAsia"/>
                <w:color w:val="000000"/>
                <w:szCs w:val="21"/>
              </w:rPr>
              <w:t>带远控端子，带RS485接口（通信规约：MODBUS）或网口接口（通信规约：IEC-61850）</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58327DC6">
            <w:pPr>
              <w:widowControl/>
              <w:adjustRightInd/>
              <w:spacing w:line="240" w:lineRule="auto"/>
              <w:jc w:val="center"/>
              <w:textAlignment w:val="auto"/>
              <w:rPr>
                <w:color w:val="000000"/>
              </w:rPr>
            </w:pPr>
            <w:r>
              <w:rPr>
                <w:rFonts w:hint="eastAsia"/>
                <w:color w:val="000000"/>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240FF045">
            <w:pPr>
              <w:widowControl/>
              <w:adjustRightInd/>
              <w:spacing w:line="240" w:lineRule="auto"/>
              <w:jc w:val="center"/>
              <w:textAlignment w:val="auto"/>
              <w:rPr>
                <w:color w:val="000000"/>
              </w:rPr>
            </w:pPr>
            <w:r>
              <w:rPr>
                <w:rFonts w:hint="eastAsia"/>
                <w:color w:val="000000"/>
              </w:rPr>
              <w:t>4</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12814AA8">
            <w:pPr>
              <w:widowControl/>
              <w:adjustRightInd/>
              <w:spacing w:line="240" w:lineRule="auto"/>
              <w:textAlignment w:val="auto"/>
              <w:rPr>
                <w:sz w:val="20"/>
              </w:rPr>
            </w:pPr>
          </w:p>
        </w:tc>
      </w:tr>
      <w:tr w14:paraId="400DDC60">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475C1181">
            <w:pPr>
              <w:pStyle w:val="178"/>
              <w:widowControl/>
              <w:numPr>
                <w:ilvl w:val="0"/>
                <w:numId w:val="14"/>
              </w:numPr>
              <w:spacing w:line="240" w:lineRule="auto"/>
              <w:ind w:firstLineChars="0"/>
              <w:rPr>
                <w:sz w:val="20"/>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321853E9">
            <w:pPr>
              <w:widowControl/>
              <w:adjustRightInd/>
              <w:spacing w:line="240" w:lineRule="auto"/>
              <w:jc w:val="left"/>
              <w:textAlignment w:val="auto"/>
              <w:rPr>
                <w:color w:val="000000"/>
              </w:rPr>
            </w:pPr>
            <w:r>
              <w:rPr>
                <w:rFonts w:hint="eastAsia"/>
                <w:color w:val="000000"/>
              </w:rPr>
              <w:t>不锈钢通风弯头</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6A57E783">
            <w:pPr>
              <w:widowControl/>
              <w:adjustRightInd/>
              <w:spacing w:line="240" w:lineRule="auto"/>
              <w:jc w:val="left"/>
              <w:textAlignment w:val="auto"/>
              <w:rPr>
                <w:color w:val="000000"/>
              </w:rPr>
            </w:pPr>
            <w:r>
              <w:rPr>
                <w:rFonts w:hint="eastAsia"/>
                <w:color w:val="000000"/>
              </w:rPr>
              <w:t>Φ310，304不锈钢，带6×6mm不锈钢丝过滤网</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49596C93">
            <w:pPr>
              <w:widowControl/>
              <w:adjustRightInd/>
              <w:spacing w:line="240" w:lineRule="auto"/>
              <w:jc w:val="center"/>
              <w:textAlignment w:val="auto"/>
              <w:rPr>
                <w:color w:val="000000"/>
              </w:rPr>
            </w:pPr>
            <w:r>
              <w:rPr>
                <w:rFonts w:hint="eastAsia"/>
                <w:color w:val="000000"/>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06A71108">
            <w:pPr>
              <w:widowControl/>
              <w:adjustRightInd/>
              <w:spacing w:line="240" w:lineRule="auto"/>
              <w:jc w:val="center"/>
              <w:textAlignment w:val="auto"/>
              <w:rPr>
                <w:color w:val="000000"/>
              </w:rPr>
            </w:pPr>
            <w:r>
              <w:rPr>
                <w:rFonts w:hint="eastAsia"/>
                <w:color w:val="000000"/>
              </w:rPr>
              <w:t>5</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2451A46">
            <w:pPr>
              <w:widowControl/>
              <w:adjustRightInd/>
              <w:spacing w:line="240" w:lineRule="auto"/>
              <w:textAlignment w:val="auto"/>
              <w:rPr>
                <w:sz w:val="20"/>
              </w:rPr>
            </w:pPr>
            <w:r>
              <w:rPr>
                <w:rFonts w:hint="eastAsia"/>
                <w:sz w:val="20"/>
              </w:rPr>
              <w:t>　</w:t>
            </w:r>
          </w:p>
        </w:tc>
      </w:tr>
      <w:tr w14:paraId="29B0ED3B">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9DBB60B">
            <w:pPr>
              <w:pStyle w:val="178"/>
              <w:widowControl/>
              <w:numPr>
                <w:ilvl w:val="0"/>
                <w:numId w:val="14"/>
              </w:numPr>
              <w:spacing w:line="240" w:lineRule="auto"/>
              <w:ind w:firstLineChars="0"/>
              <w:rPr>
                <w:sz w:val="20"/>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3CE38D0D">
            <w:pPr>
              <w:widowControl/>
              <w:adjustRightInd/>
              <w:spacing w:line="240" w:lineRule="auto"/>
              <w:jc w:val="left"/>
              <w:textAlignment w:val="auto"/>
              <w:rPr>
                <w:color w:val="000000"/>
              </w:rPr>
            </w:pPr>
            <w:r>
              <w:rPr>
                <w:rFonts w:hint="eastAsia"/>
                <w:color w:val="000000"/>
              </w:rPr>
              <w:t>铝合金格栅风口</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00A70963">
            <w:pPr>
              <w:widowControl/>
              <w:adjustRightInd/>
              <w:spacing w:line="240" w:lineRule="auto"/>
              <w:jc w:val="left"/>
              <w:textAlignment w:val="auto"/>
              <w:rPr>
                <w:color w:val="000000"/>
              </w:rPr>
            </w:pPr>
            <w:r>
              <w:rPr>
                <w:rFonts w:hint="eastAsia"/>
                <w:color w:val="000000"/>
              </w:rPr>
              <w:t>500×500mm</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231FD064">
            <w:pPr>
              <w:widowControl/>
              <w:adjustRightInd/>
              <w:spacing w:line="240" w:lineRule="auto"/>
              <w:jc w:val="center"/>
              <w:textAlignment w:val="auto"/>
              <w:rPr>
                <w:color w:val="000000"/>
              </w:rPr>
            </w:pPr>
            <w:r>
              <w:rPr>
                <w:rFonts w:hint="eastAsia"/>
                <w:color w:val="000000"/>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168A535D">
            <w:pPr>
              <w:widowControl/>
              <w:adjustRightInd/>
              <w:spacing w:line="240" w:lineRule="auto"/>
              <w:jc w:val="center"/>
              <w:textAlignment w:val="auto"/>
              <w:rPr>
                <w:color w:val="000000"/>
              </w:rPr>
            </w:pPr>
            <w:r>
              <w:rPr>
                <w:rFonts w:hint="eastAsia"/>
                <w:color w:val="000000"/>
              </w:rPr>
              <w:t>4</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53ACDD41">
            <w:pPr>
              <w:widowControl/>
              <w:adjustRightInd/>
              <w:spacing w:line="240" w:lineRule="auto"/>
              <w:textAlignment w:val="auto"/>
              <w:rPr>
                <w:sz w:val="20"/>
              </w:rPr>
            </w:pPr>
          </w:p>
        </w:tc>
      </w:tr>
      <w:tr w14:paraId="0C09D4F9">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CF98AA5">
            <w:pPr>
              <w:pStyle w:val="178"/>
              <w:widowControl/>
              <w:numPr>
                <w:ilvl w:val="0"/>
                <w:numId w:val="14"/>
              </w:numPr>
              <w:spacing w:line="240" w:lineRule="auto"/>
              <w:ind w:firstLineChars="0"/>
              <w:rPr>
                <w:sz w:val="20"/>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2C48ADD7">
            <w:pPr>
              <w:widowControl/>
              <w:adjustRightInd/>
              <w:spacing w:line="240" w:lineRule="auto"/>
              <w:jc w:val="left"/>
              <w:textAlignment w:val="auto"/>
              <w:rPr>
                <w:color w:val="000000"/>
              </w:rPr>
            </w:pPr>
            <w:r>
              <w:rPr>
                <w:rFonts w:hint="eastAsia"/>
                <w:color w:val="000000"/>
              </w:rPr>
              <w:t>铝合金防雨百叶</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B41D909">
            <w:pPr>
              <w:widowControl/>
              <w:adjustRightInd/>
              <w:spacing w:line="240" w:lineRule="auto"/>
              <w:jc w:val="left"/>
              <w:textAlignment w:val="auto"/>
              <w:rPr>
                <w:color w:val="000000"/>
              </w:rPr>
            </w:pPr>
            <w:r>
              <w:rPr>
                <w:rFonts w:hint="eastAsia"/>
                <w:color w:val="000000"/>
              </w:rPr>
              <w:t>1200X630,带不锈钢丝滤网</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2830167F">
            <w:pPr>
              <w:widowControl/>
              <w:adjustRightInd/>
              <w:spacing w:line="240" w:lineRule="auto"/>
              <w:jc w:val="center"/>
              <w:textAlignment w:val="auto"/>
              <w:rPr>
                <w:color w:val="000000"/>
              </w:rPr>
            </w:pPr>
            <w:r>
              <w:rPr>
                <w:rFonts w:hint="eastAsia"/>
                <w:color w:val="000000"/>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57DBD316">
            <w:pPr>
              <w:widowControl/>
              <w:adjustRightInd/>
              <w:spacing w:line="240" w:lineRule="auto"/>
              <w:jc w:val="center"/>
              <w:textAlignment w:val="auto"/>
              <w:rPr>
                <w:color w:val="000000"/>
              </w:rPr>
            </w:pPr>
            <w:r>
              <w:rPr>
                <w:rFonts w:hint="eastAsia"/>
                <w:color w:val="000000"/>
              </w:rPr>
              <w:t>4</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273DE1BD">
            <w:pPr>
              <w:widowControl/>
              <w:adjustRightInd/>
              <w:spacing w:line="240" w:lineRule="auto"/>
              <w:textAlignment w:val="auto"/>
              <w:rPr>
                <w:sz w:val="20"/>
              </w:rPr>
            </w:pPr>
          </w:p>
        </w:tc>
      </w:tr>
      <w:tr w14:paraId="549C203B">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C3D587A">
            <w:pPr>
              <w:pStyle w:val="178"/>
              <w:widowControl/>
              <w:numPr>
                <w:ilvl w:val="0"/>
                <w:numId w:val="14"/>
              </w:numPr>
              <w:spacing w:line="240" w:lineRule="auto"/>
              <w:ind w:firstLineChars="0"/>
              <w:rPr>
                <w:sz w:val="20"/>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48781C68">
            <w:pPr>
              <w:widowControl/>
              <w:adjustRightInd/>
              <w:spacing w:line="240" w:lineRule="auto"/>
              <w:jc w:val="left"/>
              <w:textAlignment w:val="auto"/>
              <w:rPr>
                <w:color w:val="000000"/>
              </w:rPr>
            </w:pPr>
            <w:r>
              <w:rPr>
                <w:rFonts w:hint="eastAsia"/>
                <w:color w:val="000000"/>
              </w:rPr>
              <w:t>风机控制箱</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42E6A4B0">
            <w:pPr>
              <w:widowControl/>
              <w:adjustRightInd/>
              <w:spacing w:line="240" w:lineRule="auto"/>
              <w:jc w:val="left"/>
              <w:textAlignment w:val="auto"/>
              <w:rPr>
                <w:color w:val="000000"/>
              </w:rPr>
            </w:pPr>
            <w:r>
              <w:rPr>
                <w:rFonts w:hint="eastAsia"/>
                <w:color w:val="000000"/>
              </w:rPr>
              <w:t>普通型/温控型等，带启/停按钮，电源/故障指示灯,材质304不锈钢</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2548C4C9">
            <w:pPr>
              <w:widowControl/>
              <w:adjustRightInd/>
              <w:spacing w:line="240" w:lineRule="auto"/>
              <w:jc w:val="center"/>
              <w:textAlignment w:val="auto"/>
              <w:rPr>
                <w:color w:val="000000"/>
              </w:rPr>
            </w:pPr>
            <w:r>
              <w:rPr>
                <w:rFonts w:hint="eastAsia"/>
                <w:color w:val="000000"/>
              </w:rPr>
              <w:t>个</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73B22C7B">
            <w:pPr>
              <w:widowControl/>
              <w:adjustRightInd/>
              <w:spacing w:line="240" w:lineRule="auto"/>
              <w:jc w:val="center"/>
              <w:textAlignment w:val="auto"/>
              <w:rPr>
                <w:color w:val="000000"/>
              </w:rPr>
            </w:pPr>
            <w:r>
              <w:rPr>
                <w:rFonts w:hint="eastAsia"/>
                <w:color w:val="000000"/>
              </w:rPr>
              <w:t>3</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1561663E">
            <w:pPr>
              <w:widowControl/>
              <w:adjustRightInd/>
              <w:spacing w:line="240" w:lineRule="auto"/>
              <w:textAlignment w:val="auto"/>
              <w:rPr>
                <w:sz w:val="20"/>
              </w:rPr>
            </w:pPr>
          </w:p>
        </w:tc>
      </w:tr>
      <w:tr w14:paraId="733E9B7A">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6623516">
            <w:pPr>
              <w:pStyle w:val="178"/>
              <w:widowControl/>
              <w:numPr>
                <w:ilvl w:val="0"/>
                <w:numId w:val="14"/>
              </w:numPr>
              <w:spacing w:line="240" w:lineRule="auto"/>
              <w:ind w:firstLineChars="0"/>
              <w:rPr>
                <w:sz w:val="20"/>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009B4531">
            <w:pPr>
              <w:widowControl/>
              <w:adjustRightInd/>
              <w:spacing w:line="240" w:lineRule="auto"/>
              <w:jc w:val="left"/>
              <w:textAlignment w:val="auto"/>
              <w:rPr>
                <w:color w:val="000000"/>
              </w:rPr>
            </w:pPr>
            <w:r>
              <w:rPr>
                <w:rFonts w:hint="eastAsia"/>
                <w:color w:val="000000"/>
              </w:rPr>
              <w:t>管道主辅材料、阀门、附件及保温</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5FBA251E">
            <w:pPr>
              <w:widowControl/>
              <w:adjustRightInd/>
              <w:spacing w:line="240" w:lineRule="auto"/>
              <w:jc w:val="left"/>
              <w:textAlignment w:val="auto"/>
              <w:rPr>
                <w:color w:val="000000"/>
              </w:rPr>
            </w:pPr>
            <w:r>
              <w:rPr>
                <w:rFonts w:hint="eastAsia"/>
                <w:color w:val="000000"/>
              </w:rPr>
              <w:t>包括但不限于冷媒管、保温材料等</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032ED236">
            <w:pPr>
              <w:widowControl/>
              <w:adjustRightInd/>
              <w:spacing w:line="240" w:lineRule="auto"/>
              <w:jc w:val="center"/>
              <w:textAlignment w:val="auto"/>
              <w:rPr>
                <w:color w:val="000000"/>
              </w:rPr>
            </w:pPr>
            <w:r>
              <w:rPr>
                <w:rFonts w:hint="eastAsia"/>
                <w:color w:val="000000"/>
              </w:rPr>
              <w:t>米</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3643062F">
            <w:pPr>
              <w:widowControl/>
              <w:adjustRightInd/>
              <w:spacing w:line="240" w:lineRule="auto"/>
              <w:jc w:val="center"/>
              <w:textAlignment w:val="auto"/>
              <w:rPr>
                <w:color w:val="000000"/>
              </w:rPr>
            </w:pPr>
            <w:r>
              <w:rPr>
                <w:rFonts w:hint="eastAsia"/>
                <w:color w:val="000000"/>
              </w:rPr>
              <w:t>20</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44510521">
            <w:pPr>
              <w:widowControl/>
              <w:adjustRightInd/>
              <w:spacing w:line="240" w:lineRule="auto"/>
              <w:textAlignment w:val="auto"/>
              <w:rPr>
                <w:sz w:val="20"/>
              </w:rPr>
            </w:pPr>
          </w:p>
        </w:tc>
      </w:tr>
      <w:tr w14:paraId="7A901EBE">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06C47CF">
            <w:pPr>
              <w:pStyle w:val="178"/>
              <w:widowControl/>
              <w:numPr>
                <w:ilvl w:val="0"/>
                <w:numId w:val="14"/>
              </w:numPr>
              <w:spacing w:line="240" w:lineRule="auto"/>
              <w:ind w:firstLineChars="0"/>
              <w:rPr>
                <w:sz w:val="20"/>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450B973B">
            <w:pPr>
              <w:widowControl/>
              <w:adjustRightInd/>
              <w:spacing w:line="240" w:lineRule="auto"/>
              <w:jc w:val="left"/>
              <w:textAlignment w:val="auto"/>
              <w:rPr>
                <w:color w:val="000000"/>
              </w:rPr>
            </w:pPr>
            <w:r>
              <w:rPr>
                <w:rFonts w:hint="eastAsia"/>
                <w:color w:val="000000"/>
              </w:rPr>
              <w:t>管线槽盒</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68B593C3">
            <w:pPr>
              <w:widowControl/>
              <w:adjustRightInd/>
              <w:spacing w:line="240" w:lineRule="auto"/>
              <w:jc w:val="left"/>
              <w:textAlignment w:val="auto"/>
              <w:rPr>
                <w:color w:val="000000"/>
              </w:rPr>
            </w:pPr>
            <w:r>
              <w:rPr>
                <w:rFonts w:hint="eastAsia"/>
                <w:color w:val="000000"/>
              </w:rPr>
              <w:t>用于空调通风系统管线装饰、走线等部位</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18F29E2C">
            <w:pPr>
              <w:widowControl/>
              <w:adjustRightInd/>
              <w:spacing w:line="240" w:lineRule="auto"/>
              <w:jc w:val="center"/>
              <w:textAlignment w:val="auto"/>
              <w:rPr>
                <w:color w:val="000000"/>
              </w:rPr>
            </w:pPr>
            <w:r>
              <w:rPr>
                <w:rFonts w:hint="eastAsia"/>
                <w:color w:val="000000"/>
              </w:rPr>
              <w:t>米</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2EAABAE7">
            <w:pPr>
              <w:widowControl/>
              <w:adjustRightInd/>
              <w:spacing w:line="240" w:lineRule="auto"/>
              <w:jc w:val="center"/>
              <w:textAlignment w:val="auto"/>
              <w:rPr>
                <w:color w:val="000000"/>
              </w:rPr>
            </w:pPr>
            <w:r>
              <w:rPr>
                <w:rFonts w:hint="eastAsia"/>
                <w:color w:val="000000"/>
              </w:rPr>
              <w:t>30</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66D0FD3E">
            <w:pPr>
              <w:widowControl/>
              <w:adjustRightInd/>
              <w:spacing w:line="240" w:lineRule="auto"/>
              <w:textAlignment w:val="auto"/>
              <w:rPr>
                <w:sz w:val="20"/>
              </w:rPr>
            </w:pPr>
          </w:p>
        </w:tc>
      </w:tr>
    </w:tbl>
    <w:p w14:paraId="3B54B8FF">
      <w:pPr>
        <w:snapToGrid w:val="0"/>
        <w:spacing w:line="480" w:lineRule="atLeast"/>
        <w:rPr>
          <w:rFonts w:eastAsiaTheme="minorEastAsia"/>
          <w:b/>
          <w:color w:val="000000" w:themeColor="text1"/>
          <w:sz w:val="24"/>
          <w:szCs w:val="24"/>
          <w14:textFill>
            <w14:solidFill>
              <w14:schemeClr w14:val="tx1"/>
            </w14:solidFill>
          </w14:textFill>
        </w:rPr>
      </w:pPr>
    </w:p>
    <w:p w14:paraId="662EFEEC">
      <w:pPr>
        <w:snapToGrid w:val="0"/>
        <w:spacing w:line="440" w:lineRule="atLeast"/>
        <w:outlineLvl w:val="1"/>
        <w:rPr>
          <w:rFonts w:eastAsiaTheme="minorEastAsia"/>
          <w:b/>
          <w:color w:val="000000" w:themeColor="text1"/>
          <w:sz w:val="24"/>
          <w:szCs w:val="24"/>
          <w14:textFill>
            <w14:solidFill>
              <w14:schemeClr w14:val="tx1"/>
            </w14:solidFill>
          </w14:textFill>
        </w:rPr>
      </w:pPr>
      <w:r>
        <w:rPr>
          <w:rFonts w:hint="eastAsia" w:eastAsiaTheme="minorEastAsia"/>
          <w:b/>
          <w:color w:val="000000" w:themeColor="text1"/>
          <w:sz w:val="24"/>
          <w:szCs w:val="24"/>
          <w14:textFill>
            <w14:solidFill>
              <w14:schemeClr w14:val="tx1"/>
            </w14:solidFill>
          </w14:textFill>
        </w:rPr>
        <w:t>表</w:t>
      </w:r>
      <w:r>
        <w:rPr>
          <w:rFonts w:eastAsiaTheme="minorEastAsia"/>
          <w:b/>
          <w:color w:val="000000" w:themeColor="text1"/>
          <w:sz w:val="24"/>
          <w:szCs w:val="24"/>
          <w14:textFill>
            <w14:solidFill>
              <w14:schemeClr w14:val="tx1"/>
            </w14:solidFill>
          </w14:textFill>
        </w:rPr>
        <w:t xml:space="preserve">1-10           </w:t>
      </w:r>
      <w:r>
        <w:rPr>
          <w:rFonts w:hint="eastAsia" w:eastAsiaTheme="minorEastAsia"/>
          <w:b/>
          <w:color w:val="000000" w:themeColor="text1"/>
          <w:sz w:val="24"/>
          <w:szCs w:val="24"/>
          <w14:textFill>
            <w14:solidFill>
              <w14:schemeClr w14:val="tx1"/>
            </w14:solidFill>
          </w14:textFill>
        </w:rPr>
        <w:t>阀冷排水在线监测间通风空调系统设备规格及数量表</w:t>
      </w:r>
    </w:p>
    <w:tbl>
      <w:tblPr>
        <w:tblStyle w:val="41"/>
        <w:tblW w:w="5000" w:type="pct"/>
        <w:tblInd w:w="0" w:type="dxa"/>
        <w:tblLayout w:type="fixed"/>
        <w:tblCellMar>
          <w:top w:w="0" w:type="dxa"/>
          <w:left w:w="108" w:type="dxa"/>
          <w:bottom w:w="0" w:type="dxa"/>
          <w:right w:w="108" w:type="dxa"/>
        </w:tblCellMar>
      </w:tblPr>
      <w:tblGrid>
        <w:gridCol w:w="722"/>
        <w:gridCol w:w="2349"/>
        <w:gridCol w:w="3753"/>
        <w:gridCol w:w="832"/>
        <w:gridCol w:w="715"/>
        <w:gridCol w:w="915"/>
      </w:tblGrid>
      <w:tr w14:paraId="7F520AE4">
        <w:tblPrEx>
          <w:tblCellMar>
            <w:top w:w="0" w:type="dxa"/>
            <w:left w:w="108" w:type="dxa"/>
            <w:bottom w:w="0" w:type="dxa"/>
            <w:right w:w="108" w:type="dxa"/>
          </w:tblCellMar>
        </w:tblPrEx>
        <w:trPr>
          <w:trHeight w:val="499" w:hRule="atLeast"/>
          <w:tblHeader/>
        </w:trPr>
        <w:tc>
          <w:tcPr>
            <w:tcW w:w="388"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33F684FE">
            <w:pPr>
              <w:widowControl/>
              <w:adjustRightInd/>
              <w:spacing w:line="240" w:lineRule="auto"/>
              <w:jc w:val="center"/>
              <w:textAlignment w:val="auto"/>
              <w:rPr>
                <w:b/>
                <w:sz w:val="24"/>
                <w:szCs w:val="24"/>
              </w:rPr>
            </w:pPr>
            <w:r>
              <w:rPr>
                <w:rFonts w:hint="eastAsia" w:ascii="宋体" w:hAnsi="宋体"/>
                <w:b/>
                <w:sz w:val="24"/>
                <w:szCs w:val="24"/>
              </w:rPr>
              <w:t>序号</w:t>
            </w:r>
          </w:p>
        </w:tc>
        <w:tc>
          <w:tcPr>
            <w:tcW w:w="1265" w:type="pct"/>
            <w:tcBorders>
              <w:top w:val="single" w:color="auto" w:sz="4" w:space="0"/>
              <w:left w:val="nil"/>
              <w:bottom w:val="single" w:color="auto" w:sz="4" w:space="0"/>
              <w:right w:val="single" w:color="auto" w:sz="4" w:space="0"/>
            </w:tcBorders>
            <w:shd w:val="clear" w:color="000000" w:fill="FFFFFF"/>
            <w:noWrap/>
            <w:vAlign w:val="center"/>
          </w:tcPr>
          <w:p w14:paraId="1358D546">
            <w:pPr>
              <w:widowControl/>
              <w:adjustRightInd/>
              <w:spacing w:line="240" w:lineRule="auto"/>
              <w:jc w:val="center"/>
              <w:textAlignment w:val="auto"/>
              <w:rPr>
                <w:b/>
                <w:sz w:val="24"/>
                <w:szCs w:val="24"/>
              </w:rPr>
            </w:pPr>
            <w:r>
              <w:rPr>
                <w:rFonts w:hint="eastAsia" w:ascii="宋体" w:hAnsi="宋体"/>
                <w:b/>
                <w:sz w:val="24"/>
                <w:szCs w:val="24"/>
              </w:rPr>
              <w:t>设备材料名称</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51FA9F77">
            <w:pPr>
              <w:widowControl/>
              <w:adjustRightInd/>
              <w:spacing w:line="240" w:lineRule="auto"/>
              <w:jc w:val="center"/>
              <w:textAlignment w:val="auto"/>
              <w:rPr>
                <w:b/>
                <w:sz w:val="24"/>
                <w:szCs w:val="24"/>
              </w:rPr>
            </w:pPr>
            <w:r>
              <w:rPr>
                <w:rFonts w:hint="eastAsia" w:ascii="宋体" w:hAnsi="宋体"/>
                <w:b/>
                <w:sz w:val="24"/>
                <w:szCs w:val="24"/>
              </w:rPr>
              <w:t>设备材料规格</w:t>
            </w:r>
          </w:p>
        </w:tc>
        <w:tc>
          <w:tcPr>
            <w:tcW w:w="448" w:type="pct"/>
            <w:tcBorders>
              <w:top w:val="single" w:color="auto" w:sz="4" w:space="0"/>
              <w:left w:val="nil"/>
              <w:bottom w:val="single" w:color="auto" w:sz="4" w:space="0"/>
              <w:right w:val="single" w:color="auto" w:sz="4" w:space="0"/>
            </w:tcBorders>
            <w:shd w:val="clear" w:color="000000" w:fill="FFFFFF"/>
            <w:noWrap/>
            <w:vAlign w:val="center"/>
          </w:tcPr>
          <w:p w14:paraId="16C48B8C">
            <w:pPr>
              <w:widowControl/>
              <w:adjustRightInd/>
              <w:spacing w:line="240" w:lineRule="auto"/>
              <w:jc w:val="center"/>
              <w:textAlignment w:val="auto"/>
              <w:rPr>
                <w:b/>
                <w:sz w:val="24"/>
                <w:szCs w:val="24"/>
              </w:rPr>
            </w:pPr>
            <w:r>
              <w:rPr>
                <w:rFonts w:hint="eastAsia" w:ascii="宋体" w:hAnsi="宋体"/>
                <w:b/>
                <w:sz w:val="24"/>
                <w:szCs w:val="24"/>
              </w:rPr>
              <w:t>单位</w:t>
            </w:r>
          </w:p>
        </w:tc>
        <w:tc>
          <w:tcPr>
            <w:tcW w:w="385" w:type="pct"/>
            <w:tcBorders>
              <w:top w:val="single" w:color="auto" w:sz="4" w:space="0"/>
              <w:left w:val="nil"/>
              <w:bottom w:val="single" w:color="auto" w:sz="4" w:space="0"/>
              <w:right w:val="single" w:color="auto" w:sz="4" w:space="0"/>
            </w:tcBorders>
            <w:shd w:val="clear" w:color="000000" w:fill="FFFFFF"/>
            <w:noWrap/>
            <w:vAlign w:val="center"/>
          </w:tcPr>
          <w:p w14:paraId="0D2A423E">
            <w:pPr>
              <w:widowControl/>
              <w:adjustRightInd/>
              <w:spacing w:line="240" w:lineRule="auto"/>
              <w:jc w:val="center"/>
              <w:textAlignment w:val="auto"/>
              <w:rPr>
                <w:b/>
                <w:sz w:val="24"/>
                <w:szCs w:val="24"/>
              </w:rPr>
            </w:pPr>
            <w:r>
              <w:rPr>
                <w:rFonts w:hint="eastAsia" w:ascii="宋体" w:hAnsi="宋体"/>
                <w:b/>
                <w:sz w:val="24"/>
                <w:szCs w:val="24"/>
              </w:rPr>
              <w:t>数量</w:t>
            </w:r>
          </w:p>
        </w:tc>
        <w:tc>
          <w:tcPr>
            <w:tcW w:w="493" w:type="pct"/>
            <w:tcBorders>
              <w:top w:val="single" w:color="auto" w:sz="4" w:space="0"/>
              <w:left w:val="nil"/>
              <w:bottom w:val="single" w:color="auto" w:sz="4" w:space="0"/>
              <w:right w:val="single" w:color="auto" w:sz="4" w:space="0"/>
            </w:tcBorders>
            <w:shd w:val="clear" w:color="000000" w:fill="FFFFFF"/>
            <w:noWrap/>
            <w:vAlign w:val="center"/>
          </w:tcPr>
          <w:p w14:paraId="293C09D5">
            <w:pPr>
              <w:widowControl/>
              <w:adjustRightInd/>
              <w:spacing w:line="240" w:lineRule="auto"/>
              <w:textAlignment w:val="auto"/>
              <w:rPr>
                <w:b/>
                <w:sz w:val="24"/>
                <w:szCs w:val="24"/>
              </w:rPr>
            </w:pPr>
            <w:r>
              <w:rPr>
                <w:rFonts w:hint="eastAsia" w:ascii="宋体" w:hAnsi="宋体"/>
                <w:b/>
                <w:sz w:val="24"/>
                <w:szCs w:val="24"/>
              </w:rPr>
              <w:t>备注</w:t>
            </w:r>
          </w:p>
        </w:tc>
      </w:tr>
      <w:tr w14:paraId="235E439F">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978B6DB">
            <w:pPr>
              <w:pStyle w:val="178"/>
              <w:widowControl/>
              <w:numPr>
                <w:ilvl w:val="0"/>
                <w:numId w:val="15"/>
              </w:numPr>
              <w:spacing w:line="240" w:lineRule="auto"/>
              <w:ind w:firstLineChars="0"/>
              <w:rPr>
                <w:sz w:val="20"/>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770BA3EE">
            <w:pPr>
              <w:widowControl/>
              <w:adjustRightInd/>
              <w:spacing w:line="240" w:lineRule="auto"/>
              <w:jc w:val="left"/>
              <w:textAlignment w:val="auto"/>
              <w:rPr>
                <w:color w:val="000000"/>
                <w:szCs w:val="21"/>
              </w:rPr>
            </w:pPr>
            <w:r>
              <w:rPr>
                <w:rFonts w:hint="eastAsia"/>
                <w:szCs w:val="21"/>
              </w:rPr>
              <w:t>壁挂式分体空调</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149CE064">
            <w:pPr>
              <w:widowControl/>
              <w:adjustRightInd/>
              <w:spacing w:line="240" w:lineRule="auto"/>
              <w:jc w:val="left"/>
              <w:textAlignment w:val="auto"/>
              <w:rPr>
                <w:color w:val="000000"/>
                <w:szCs w:val="21"/>
              </w:rPr>
            </w:pPr>
            <w:r>
              <w:rPr>
                <w:rFonts w:hint="eastAsia"/>
                <w:szCs w:val="21"/>
              </w:rPr>
              <w:t>制冷量：</w:t>
            </w:r>
            <w:r>
              <w:rPr>
                <w:color w:val="000000"/>
                <w:szCs w:val="21"/>
              </w:rPr>
              <w:t>3.5kW</w:t>
            </w:r>
            <w:r>
              <w:rPr>
                <w:rFonts w:hint="eastAsia"/>
                <w:color w:val="000000"/>
                <w:szCs w:val="21"/>
              </w:rPr>
              <w:t>，制热量：</w:t>
            </w:r>
            <w:r>
              <w:rPr>
                <w:color w:val="000000"/>
                <w:szCs w:val="21"/>
              </w:rPr>
              <w:t>4.8kW</w:t>
            </w:r>
            <w:r>
              <w:rPr>
                <w:rFonts w:hint="eastAsia"/>
                <w:color w:val="000000"/>
                <w:szCs w:val="21"/>
              </w:rPr>
              <w:t>，功率：</w:t>
            </w:r>
            <w:r>
              <w:rPr>
                <w:color w:val="000000"/>
                <w:szCs w:val="21"/>
              </w:rPr>
              <w:t>1.05kW/220V</w:t>
            </w:r>
            <w:r>
              <w:rPr>
                <w:rFonts w:hint="eastAsia"/>
                <w:color w:val="000000"/>
                <w:szCs w:val="21"/>
              </w:rPr>
              <w:t>，能效等级不低于2级</w:t>
            </w:r>
            <w:r>
              <w:rPr>
                <w:color w:val="000000"/>
                <w:szCs w:val="21"/>
              </w:rPr>
              <w:t>,</w:t>
            </w:r>
            <w:r>
              <w:rPr>
                <w:rFonts w:hint="eastAsia"/>
                <w:color w:val="000000"/>
                <w:szCs w:val="21"/>
              </w:rPr>
              <w:t>采用环保冷媒；带远控端子，带RS485接口（通信规约：MODBUS）或网口接口（通信规约：IEC-61850）</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61592AC7">
            <w:pPr>
              <w:widowControl/>
              <w:adjustRightInd/>
              <w:spacing w:line="240" w:lineRule="auto"/>
              <w:jc w:val="center"/>
              <w:textAlignment w:val="auto"/>
              <w:rPr>
                <w:color w:val="000000"/>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34CAF4F4">
            <w:pPr>
              <w:widowControl/>
              <w:adjustRightInd/>
              <w:spacing w:line="240" w:lineRule="auto"/>
              <w:jc w:val="center"/>
              <w:textAlignment w:val="auto"/>
              <w:rPr>
                <w:color w:val="000000"/>
                <w:szCs w:val="21"/>
              </w:rPr>
            </w:pPr>
            <w:r>
              <w:rPr>
                <w:rFonts w:hint="eastAsia"/>
                <w:szCs w:val="21"/>
              </w:rPr>
              <w:t>1</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6923F441">
            <w:pPr>
              <w:widowControl/>
              <w:adjustRightInd/>
              <w:spacing w:line="240" w:lineRule="auto"/>
              <w:textAlignment w:val="auto"/>
              <w:rPr>
                <w:sz w:val="20"/>
              </w:rPr>
            </w:pPr>
          </w:p>
        </w:tc>
      </w:tr>
      <w:tr w14:paraId="027EFD10">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7254F4B7">
            <w:pPr>
              <w:pStyle w:val="178"/>
              <w:widowControl/>
              <w:numPr>
                <w:ilvl w:val="0"/>
                <w:numId w:val="15"/>
              </w:numPr>
              <w:spacing w:line="240" w:lineRule="auto"/>
              <w:ind w:firstLineChars="0"/>
              <w:rPr>
                <w:sz w:val="20"/>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403CF509">
            <w:pPr>
              <w:widowControl/>
              <w:adjustRightInd/>
              <w:spacing w:line="240" w:lineRule="auto"/>
              <w:jc w:val="left"/>
              <w:textAlignment w:val="auto"/>
              <w:rPr>
                <w:color w:val="000000"/>
                <w:szCs w:val="21"/>
              </w:rPr>
            </w:pPr>
            <w:r>
              <w:rPr>
                <w:rFonts w:hint="eastAsia"/>
                <w:szCs w:val="21"/>
              </w:rPr>
              <w:t>管道主辅材料、阀门、附件及保温</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7D912B1D">
            <w:pPr>
              <w:widowControl/>
              <w:adjustRightInd/>
              <w:spacing w:line="240" w:lineRule="auto"/>
              <w:jc w:val="left"/>
              <w:textAlignment w:val="auto"/>
              <w:rPr>
                <w:color w:val="000000"/>
                <w:szCs w:val="21"/>
              </w:rPr>
            </w:pPr>
            <w:r>
              <w:rPr>
                <w:rFonts w:hint="eastAsia"/>
                <w:szCs w:val="21"/>
              </w:rPr>
              <w:t>包括但不限于冷媒管、保温材料等</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452FF75D">
            <w:pPr>
              <w:widowControl/>
              <w:adjustRightInd/>
              <w:spacing w:line="240" w:lineRule="auto"/>
              <w:jc w:val="center"/>
              <w:textAlignment w:val="auto"/>
              <w:rPr>
                <w:color w:val="000000"/>
                <w:szCs w:val="21"/>
              </w:rPr>
            </w:pPr>
            <w:r>
              <w:rPr>
                <w:rFonts w:hint="eastAsia"/>
                <w:szCs w:val="21"/>
              </w:rPr>
              <w:t>米</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5C318021">
            <w:pPr>
              <w:widowControl/>
              <w:adjustRightInd/>
              <w:spacing w:line="240" w:lineRule="auto"/>
              <w:jc w:val="center"/>
              <w:textAlignment w:val="auto"/>
              <w:rPr>
                <w:color w:val="000000"/>
                <w:szCs w:val="21"/>
              </w:rPr>
            </w:pPr>
            <w:r>
              <w:rPr>
                <w:rFonts w:hint="eastAsia"/>
                <w:szCs w:val="21"/>
              </w:rPr>
              <w:t>5</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720D478E">
            <w:pPr>
              <w:widowControl/>
              <w:adjustRightInd/>
              <w:spacing w:line="240" w:lineRule="auto"/>
              <w:textAlignment w:val="auto"/>
              <w:rPr>
                <w:sz w:val="20"/>
              </w:rPr>
            </w:pPr>
          </w:p>
        </w:tc>
      </w:tr>
      <w:tr w14:paraId="6A5E30B6">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CBF06A2">
            <w:pPr>
              <w:pStyle w:val="178"/>
              <w:widowControl/>
              <w:numPr>
                <w:ilvl w:val="0"/>
                <w:numId w:val="15"/>
              </w:numPr>
              <w:spacing w:line="240" w:lineRule="auto"/>
              <w:ind w:firstLineChars="0"/>
              <w:rPr>
                <w:sz w:val="20"/>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276E5B0F">
            <w:pPr>
              <w:widowControl/>
              <w:adjustRightInd/>
              <w:spacing w:line="240" w:lineRule="auto"/>
              <w:jc w:val="left"/>
              <w:textAlignment w:val="auto"/>
              <w:rPr>
                <w:color w:val="000000"/>
                <w:szCs w:val="21"/>
              </w:rPr>
            </w:pPr>
            <w:r>
              <w:rPr>
                <w:rFonts w:hint="eastAsia"/>
                <w:szCs w:val="21"/>
              </w:rPr>
              <w:t>管线槽盒</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4FA80FA3">
            <w:pPr>
              <w:widowControl/>
              <w:adjustRightInd/>
              <w:spacing w:line="240" w:lineRule="auto"/>
              <w:jc w:val="left"/>
              <w:textAlignment w:val="auto"/>
              <w:rPr>
                <w:color w:val="000000"/>
                <w:szCs w:val="21"/>
              </w:rPr>
            </w:pPr>
            <w:r>
              <w:rPr>
                <w:rFonts w:hint="eastAsia"/>
                <w:szCs w:val="21"/>
              </w:rPr>
              <w:t>用于空调通风系统管线装饰、走线等部位</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7D6CBB19">
            <w:pPr>
              <w:widowControl/>
              <w:adjustRightInd/>
              <w:spacing w:line="240" w:lineRule="auto"/>
              <w:jc w:val="center"/>
              <w:textAlignment w:val="auto"/>
              <w:rPr>
                <w:color w:val="000000"/>
                <w:szCs w:val="21"/>
              </w:rPr>
            </w:pPr>
            <w:r>
              <w:rPr>
                <w:rFonts w:hint="eastAsia"/>
                <w:szCs w:val="21"/>
              </w:rPr>
              <w:t>米</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4F52BAF2">
            <w:pPr>
              <w:widowControl/>
              <w:adjustRightInd/>
              <w:spacing w:line="240" w:lineRule="auto"/>
              <w:jc w:val="center"/>
              <w:textAlignment w:val="auto"/>
              <w:rPr>
                <w:color w:val="000000"/>
                <w:szCs w:val="21"/>
              </w:rPr>
            </w:pPr>
            <w:r>
              <w:rPr>
                <w:rFonts w:hint="eastAsia"/>
                <w:szCs w:val="21"/>
              </w:rPr>
              <w:t>10</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33DAC256">
            <w:pPr>
              <w:widowControl/>
              <w:adjustRightInd/>
              <w:spacing w:line="240" w:lineRule="auto"/>
              <w:textAlignment w:val="auto"/>
              <w:rPr>
                <w:sz w:val="20"/>
              </w:rPr>
            </w:pPr>
          </w:p>
        </w:tc>
      </w:tr>
      <w:tr w14:paraId="1565F1CC">
        <w:tblPrEx>
          <w:tblCellMar>
            <w:top w:w="0" w:type="dxa"/>
            <w:left w:w="108" w:type="dxa"/>
            <w:bottom w:w="0" w:type="dxa"/>
            <w:right w:w="108" w:type="dxa"/>
          </w:tblCellMar>
        </w:tblPrEx>
        <w:trPr>
          <w:trHeight w:val="499" w:hRule="atLeast"/>
        </w:trPr>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0C64EAF">
            <w:pPr>
              <w:pStyle w:val="178"/>
              <w:widowControl/>
              <w:numPr>
                <w:ilvl w:val="0"/>
                <w:numId w:val="15"/>
              </w:numPr>
              <w:spacing w:line="240" w:lineRule="auto"/>
              <w:ind w:firstLineChars="0"/>
              <w:rPr>
                <w:sz w:val="20"/>
              </w:rPr>
            </w:pPr>
          </w:p>
        </w:tc>
        <w:tc>
          <w:tcPr>
            <w:tcW w:w="1265" w:type="pct"/>
            <w:tcBorders>
              <w:top w:val="single" w:color="auto" w:sz="4" w:space="0"/>
              <w:left w:val="nil"/>
              <w:bottom w:val="single" w:color="auto" w:sz="4" w:space="0"/>
              <w:right w:val="single" w:color="auto" w:sz="4" w:space="0"/>
            </w:tcBorders>
            <w:shd w:val="clear" w:color="000000" w:fill="FFFFFF"/>
            <w:vAlign w:val="center"/>
          </w:tcPr>
          <w:p w14:paraId="62C58283">
            <w:pPr>
              <w:widowControl/>
              <w:adjustRightInd/>
              <w:spacing w:line="240" w:lineRule="auto"/>
              <w:jc w:val="left"/>
              <w:textAlignment w:val="auto"/>
              <w:rPr>
                <w:color w:val="000000"/>
                <w:szCs w:val="21"/>
              </w:rPr>
            </w:pPr>
            <w:r>
              <w:rPr>
                <w:rFonts w:hint="eastAsia"/>
                <w:szCs w:val="21"/>
              </w:rPr>
              <w:t>排气扇</w:t>
            </w:r>
          </w:p>
        </w:tc>
        <w:tc>
          <w:tcPr>
            <w:tcW w:w="2021" w:type="pct"/>
            <w:tcBorders>
              <w:top w:val="single" w:color="auto" w:sz="4" w:space="0"/>
              <w:left w:val="nil"/>
              <w:bottom w:val="single" w:color="auto" w:sz="4" w:space="0"/>
              <w:right w:val="single" w:color="auto" w:sz="4" w:space="0"/>
            </w:tcBorders>
            <w:shd w:val="clear" w:color="000000" w:fill="FFFFFF"/>
            <w:vAlign w:val="center"/>
          </w:tcPr>
          <w:p w14:paraId="4E2CCDDB">
            <w:pPr>
              <w:widowControl/>
              <w:adjustRightInd/>
              <w:spacing w:line="240" w:lineRule="auto"/>
              <w:jc w:val="left"/>
              <w:textAlignment w:val="auto"/>
              <w:rPr>
                <w:color w:val="000000"/>
                <w:szCs w:val="21"/>
              </w:rPr>
            </w:pPr>
            <w:r>
              <w:rPr>
                <w:rFonts w:hint="eastAsia"/>
                <w:szCs w:val="21"/>
              </w:rPr>
              <w:t>BPT15-24A</w:t>
            </w:r>
            <w:r>
              <w:rPr>
                <w:rFonts w:hint="eastAsia"/>
                <w:color w:val="000000"/>
                <w:szCs w:val="21"/>
              </w:rPr>
              <w:t>，风量：</w:t>
            </w:r>
            <w:r>
              <w:rPr>
                <w:color w:val="000000"/>
                <w:szCs w:val="21"/>
              </w:rPr>
              <w:t>210m3/h</w:t>
            </w:r>
            <w:r>
              <w:rPr>
                <w:rFonts w:hint="eastAsia"/>
                <w:color w:val="000000"/>
                <w:szCs w:val="21"/>
              </w:rPr>
              <w:t>，风压：</w:t>
            </w:r>
            <w:r>
              <w:rPr>
                <w:color w:val="000000"/>
                <w:szCs w:val="21"/>
              </w:rPr>
              <w:t>160Pa</w:t>
            </w:r>
            <w:r>
              <w:rPr>
                <w:rFonts w:hint="eastAsia"/>
                <w:color w:val="000000"/>
                <w:szCs w:val="21"/>
              </w:rPr>
              <w:t>，功率：</w:t>
            </w:r>
            <w:r>
              <w:rPr>
                <w:color w:val="000000"/>
                <w:szCs w:val="21"/>
              </w:rPr>
              <w:t>0.032kW/220V</w:t>
            </w:r>
            <w:r>
              <w:rPr>
                <w:rFonts w:hint="eastAsia"/>
                <w:color w:val="000000"/>
                <w:szCs w:val="21"/>
              </w:rPr>
              <w:t>；带止回阀</w:t>
            </w:r>
          </w:p>
        </w:tc>
        <w:tc>
          <w:tcPr>
            <w:tcW w:w="448" w:type="pct"/>
            <w:tcBorders>
              <w:top w:val="single" w:color="auto" w:sz="4" w:space="0"/>
              <w:left w:val="nil"/>
              <w:bottom w:val="single" w:color="auto" w:sz="4" w:space="0"/>
              <w:right w:val="single" w:color="auto" w:sz="4" w:space="0"/>
            </w:tcBorders>
            <w:shd w:val="clear" w:color="000000" w:fill="FFFFFF"/>
            <w:vAlign w:val="center"/>
          </w:tcPr>
          <w:p w14:paraId="27E22479">
            <w:pPr>
              <w:widowControl/>
              <w:adjustRightInd/>
              <w:spacing w:line="240" w:lineRule="auto"/>
              <w:jc w:val="center"/>
              <w:textAlignment w:val="auto"/>
              <w:rPr>
                <w:color w:val="000000"/>
                <w:szCs w:val="21"/>
              </w:rPr>
            </w:pPr>
            <w:r>
              <w:rPr>
                <w:rFonts w:hint="eastAsia"/>
                <w:szCs w:val="21"/>
              </w:rPr>
              <w:t>台</w:t>
            </w:r>
          </w:p>
        </w:tc>
        <w:tc>
          <w:tcPr>
            <w:tcW w:w="385" w:type="pct"/>
            <w:tcBorders>
              <w:top w:val="single" w:color="auto" w:sz="4" w:space="0"/>
              <w:left w:val="nil"/>
              <w:bottom w:val="single" w:color="auto" w:sz="4" w:space="0"/>
              <w:right w:val="single" w:color="auto" w:sz="4" w:space="0"/>
            </w:tcBorders>
            <w:shd w:val="clear" w:color="000000" w:fill="FFFFFF"/>
            <w:vAlign w:val="center"/>
          </w:tcPr>
          <w:p w14:paraId="299E0E99">
            <w:pPr>
              <w:widowControl/>
              <w:adjustRightInd/>
              <w:spacing w:line="240" w:lineRule="auto"/>
              <w:jc w:val="center"/>
              <w:textAlignment w:val="auto"/>
              <w:rPr>
                <w:color w:val="000000"/>
                <w:szCs w:val="21"/>
              </w:rPr>
            </w:pPr>
            <w:r>
              <w:rPr>
                <w:rFonts w:hint="eastAsia"/>
                <w:szCs w:val="21"/>
              </w:rPr>
              <w:t>1</w:t>
            </w:r>
          </w:p>
        </w:tc>
        <w:tc>
          <w:tcPr>
            <w:tcW w:w="493" w:type="pct"/>
            <w:tcBorders>
              <w:top w:val="single" w:color="auto" w:sz="4" w:space="0"/>
              <w:left w:val="nil"/>
              <w:bottom w:val="single" w:color="auto" w:sz="4" w:space="0"/>
              <w:right w:val="single" w:color="auto" w:sz="4" w:space="0"/>
            </w:tcBorders>
            <w:shd w:val="clear" w:color="000000" w:fill="FFFFFF"/>
            <w:vAlign w:val="center"/>
          </w:tcPr>
          <w:p w14:paraId="2FA2D8DA">
            <w:pPr>
              <w:widowControl/>
              <w:adjustRightInd/>
              <w:spacing w:line="240" w:lineRule="auto"/>
              <w:textAlignment w:val="auto"/>
              <w:rPr>
                <w:sz w:val="20"/>
              </w:rPr>
            </w:pPr>
          </w:p>
        </w:tc>
      </w:tr>
    </w:tbl>
    <w:p w14:paraId="6F172C5B">
      <w:pPr>
        <w:snapToGrid w:val="0"/>
        <w:spacing w:line="480" w:lineRule="atLeast"/>
        <w:rPr>
          <w:rFonts w:eastAsiaTheme="minorEastAsia"/>
          <w:b/>
          <w:color w:val="000000" w:themeColor="text1"/>
          <w:sz w:val="24"/>
          <w:szCs w:val="24"/>
          <w14:textFill>
            <w14:solidFill>
              <w14:schemeClr w14:val="tx1"/>
            </w14:solidFill>
          </w14:textFill>
        </w:rPr>
      </w:pPr>
    </w:p>
    <w:p w14:paraId="3A22D351">
      <w:pPr>
        <w:snapToGrid w:val="0"/>
        <w:spacing w:line="480" w:lineRule="atLeast"/>
        <w:rPr>
          <w:rFonts w:eastAsiaTheme="minorEastAsia"/>
          <w:b/>
          <w:color w:val="000000" w:themeColor="text1"/>
          <w:sz w:val="24"/>
          <w:szCs w:val="24"/>
          <w14:textFill>
            <w14:solidFill>
              <w14:schemeClr w14:val="tx1"/>
            </w14:solidFill>
          </w14:textFill>
        </w:rPr>
      </w:pPr>
      <w:r>
        <w:rPr>
          <w:rFonts w:hint="eastAsia" w:eastAsiaTheme="minorEastAsia"/>
          <w:b/>
          <w:color w:val="000000" w:themeColor="text1"/>
          <w:sz w:val="24"/>
          <w:szCs w:val="24"/>
          <w14:textFill>
            <w14:solidFill>
              <w14:schemeClr w14:val="tx1"/>
            </w14:solidFill>
          </w14:textFill>
        </w:rPr>
        <w:t>表</w:t>
      </w:r>
      <w:r>
        <w:rPr>
          <w:rFonts w:eastAsiaTheme="minorEastAsia"/>
          <w:b/>
          <w:color w:val="000000" w:themeColor="text1"/>
          <w:sz w:val="24"/>
          <w:szCs w:val="24"/>
          <w14:textFill>
            <w14:solidFill>
              <w14:schemeClr w14:val="tx1"/>
            </w14:solidFill>
          </w14:textFill>
        </w:rPr>
        <w:t xml:space="preserve">1-9                     </w:t>
      </w:r>
      <w:r>
        <w:rPr>
          <w:rFonts w:hint="eastAsia" w:eastAsiaTheme="minorEastAsia"/>
          <w:b/>
          <w:color w:val="000000" w:themeColor="text1"/>
          <w:sz w:val="24"/>
          <w:szCs w:val="24"/>
          <w14:textFill>
            <w14:solidFill>
              <w14:schemeClr w14:val="tx1"/>
            </w14:solidFill>
          </w14:textFill>
        </w:rPr>
        <w:t>配件及辅助材料表</w:t>
      </w:r>
    </w:p>
    <w:tbl>
      <w:tblPr>
        <w:tblStyle w:val="41"/>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95"/>
        <w:gridCol w:w="5354"/>
        <w:gridCol w:w="3178"/>
      </w:tblGrid>
      <w:tr w14:paraId="0131B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95" w:type="dxa"/>
            <w:vAlign w:val="center"/>
          </w:tcPr>
          <w:p w14:paraId="651194C1">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序号</w:t>
            </w:r>
          </w:p>
        </w:tc>
        <w:tc>
          <w:tcPr>
            <w:tcW w:w="5354" w:type="dxa"/>
            <w:vAlign w:val="center"/>
          </w:tcPr>
          <w:p w14:paraId="6E849125">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配件及材料名称</w:t>
            </w:r>
          </w:p>
        </w:tc>
        <w:tc>
          <w:tcPr>
            <w:tcW w:w="3178" w:type="dxa"/>
            <w:vAlign w:val="center"/>
          </w:tcPr>
          <w:p w14:paraId="6EC11AE5">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备</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注</w:t>
            </w:r>
          </w:p>
        </w:tc>
      </w:tr>
      <w:tr w14:paraId="7CAF7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95" w:type="dxa"/>
            <w:vAlign w:val="center"/>
          </w:tcPr>
          <w:p w14:paraId="6B4A60A5">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w:t>
            </w:r>
          </w:p>
        </w:tc>
        <w:tc>
          <w:tcPr>
            <w:tcW w:w="5354" w:type="dxa"/>
            <w:vAlign w:val="center"/>
          </w:tcPr>
          <w:p w14:paraId="1F6A91FB">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动力电缆及附件（</w:t>
            </w:r>
            <w:r>
              <w:rPr>
                <w:rFonts w:eastAsiaTheme="minorEastAsia"/>
                <w:color w:val="000000" w:themeColor="text1"/>
                <w:sz w:val="24"/>
                <w:szCs w:val="24"/>
                <w14:textFill>
                  <w14:solidFill>
                    <w14:schemeClr w14:val="tx1"/>
                  </w14:solidFill>
                </w14:textFill>
              </w:rPr>
              <w:t>A</w:t>
            </w:r>
            <w:r>
              <w:rPr>
                <w:rFonts w:hint="eastAsia" w:eastAsiaTheme="minorEastAsia"/>
                <w:color w:val="000000" w:themeColor="text1"/>
                <w:sz w:val="24"/>
                <w:szCs w:val="24"/>
                <w14:textFill>
                  <w14:solidFill>
                    <w14:schemeClr w14:val="tx1"/>
                  </w14:solidFill>
                </w14:textFill>
              </w:rPr>
              <w:t>级阻燃）</w:t>
            </w:r>
          </w:p>
        </w:tc>
        <w:tc>
          <w:tcPr>
            <w:tcW w:w="3178" w:type="dxa"/>
            <w:vAlign w:val="center"/>
          </w:tcPr>
          <w:p w14:paraId="566F08BF">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室外为铠装</w:t>
            </w:r>
          </w:p>
        </w:tc>
      </w:tr>
      <w:tr w14:paraId="7FAAD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95" w:type="dxa"/>
            <w:vAlign w:val="center"/>
          </w:tcPr>
          <w:p w14:paraId="730BB361">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2</w:t>
            </w:r>
          </w:p>
        </w:tc>
        <w:tc>
          <w:tcPr>
            <w:tcW w:w="5354" w:type="dxa"/>
            <w:vAlign w:val="center"/>
          </w:tcPr>
          <w:p w14:paraId="22ED95FD">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控制电缆及附件（屏蔽电缆）</w:t>
            </w:r>
          </w:p>
        </w:tc>
        <w:tc>
          <w:tcPr>
            <w:tcW w:w="3178" w:type="dxa"/>
            <w:vAlign w:val="center"/>
          </w:tcPr>
          <w:p w14:paraId="0F9FC73B">
            <w:pPr>
              <w:snapToGrid w:val="0"/>
              <w:spacing w:line="480" w:lineRule="atLeast"/>
              <w:jc w:val="left"/>
              <w:rPr>
                <w:rFonts w:eastAsiaTheme="minorEastAsia"/>
                <w:color w:val="000000" w:themeColor="text1"/>
                <w:sz w:val="24"/>
                <w:szCs w:val="24"/>
                <w14:textFill>
                  <w14:solidFill>
                    <w14:schemeClr w14:val="tx1"/>
                  </w14:solidFill>
                </w14:textFill>
              </w:rPr>
            </w:pPr>
          </w:p>
        </w:tc>
      </w:tr>
      <w:tr w14:paraId="7BC32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95" w:type="dxa"/>
            <w:vAlign w:val="center"/>
          </w:tcPr>
          <w:p w14:paraId="5921EEB4">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w:t>
            </w:r>
          </w:p>
        </w:tc>
        <w:tc>
          <w:tcPr>
            <w:tcW w:w="5354" w:type="dxa"/>
            <w:vAlign w:val="center"/>
          </w:tcPr>
          <w:p w14:paraId="05CF438A">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电缆套管及桥架</w:t>
            </w:r>
          </w:p>
        </w:tc>
        <w:tc>
          <w:tcPr>
            <w:tcW w:w="3178" w:type="dxa"/>
            <w:vAlign w:val="center"/>
          </w:tcPr>
          <w:p w14:paraId="7B5EB7EE">
            <w:pPr>
              <w:snapToGrid w:val="0"/>
              <w:spacing w:line="480" w:lineRule="atLeast"/>
              <w:jc w:val="left"/>
              <w:rPr>
                <w:rFonts w:eastAsiaTheme="minorEastAsia"/>
                <w:color w:val="000000" w:themeColor="text1"/>
                <w:sz w:val="24"/>
                <w:szCs w:val="24"/>
                <w14:textFill>
                  <w14:solidFill>
                    <w14:schemeClr w14:val="tx1"/>
                  </w14:solidFill>
                </w14:textFill>
              </w:rPr>
            </w:pPr>
          </w:p>
        </w:tc>
      </w:tr>
      <w:tr w14:paraId="1FA1C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95" w:type="dxa"/>
            <w:vAlign w:val="center"/>
          </w:tcPr>
          <w:p w14:paraId="0968F26C">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w:t>
            </w:r>
          </w:p>
        </w:tc>
        <w:tc>
          <w:tcPr>
            <w:tcW w:w="5354" w:type="dxa"/>
            <w:vAlign w:val="center"/>
          </w:tcPr>
          <w:p w14:paraId="1A28C4C5">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设备及管道支吊架、安装用软连接、螺母、螺帽、垫片等</w:t>
            </w:r>
          </w:p>
        </w:tc>
        <w:tc>
          <w:tcPr>
            <w:tcW w:w="3178" w:type="dxa"/>
            <w:vAlign w:val="center"/>
          </w:tcPr>
          <w:p w14:paraId="29118180">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所有设备、风管及水管</w:t>
            </w:r>
          </w:p>
        </w:tc>
      </w:tr>
      <w:tr w14:paraId="4C195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95" w:type="dxa"/>
            <w:vAlign w:val="center"/>
          </w:tcPr>
          <w:p w14:paraId="1D5035AA">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5</w:t>
            </w:r>
          </w:p>
        </w:tc>
        <w:tc>
          <w:tcPr>
            <w:tcW w:w="5354" w:type="dxa"/>
            <w:vAlign w:val="center"/>
          </w:tcPr>
          <w:p w14:paraId="29277C2C">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设备及管道接地材料、管段间等电位连接材料</w:t>
            </w:r>
          </w:p>
        </w:tc>
        <w:tc>
          <w:tcPr>
            <w:tcW w:w="3178" w:type="dxa"/>
            <w:vAlign w:val="center"/>
          </w:tcPr>
          <w:p w14:paraId="6AD36D69">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所有设备、风管及水管</w:t>
            </w:r>
          </w:p>
        </w:tc>
      </w:tr>
      <w:tr w14:paraId="3FC99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95" w:type="dxa"/>
            <w:vAlign w:val="center"/>
          </w:tcPr>
          <w:p w14:paraId="02F78891">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6</w:t>
            </w:r>
          </w:p>
        </w:tc>
        <w:tc>
          <w:tcPr>
            <w:tcW w:w="5354" w:type="dxa"/>
            <w:vAlign w:val="center"/>
          </w:tcPr>
          <w:p w14:paraId="6D3ECC2F">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穿墙套管</w:t>
            </w:r>
          </w:p>
        </w:tc>
        <w:tc>
          <w:tcPr>
            <w:tcW w:w="3178" w:type="dxa"/>
            <w:vAlign w:val="center"/>
          </w:tcPr>
          <w:p w14:paraId="1D2C190C">
            <w:pPr>
              <w:snapToGrid w:val="0"/>
              <w:spacing w:line="480" w:lineRule="atLeast"/>
              <w:jc w:val="left"/>
              <w:rPr>
                <w:rFonts w:eastAsiaTheme="minorEastAsia"/>
                <w:color w:val="000000" w:themeColor="text1"/>
                <w:sz w:val="24"/>
                <w:szCs w:val="24"/>
                <w14:textFill>
                  <w14:solidFill>
                    <w14:schemeClr w14:val="tx1"/>
                  </w14:solidFill>
                </w14:textFill>
              </w:rPr>
            </w:pPr>
          </w:p>
        </w:tc>
      </w:tr>
      <w:tr w14:paraId="3C531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95" w:type="dxa"/>
            <w:vAlign w:val="center"/>
          </w:tcPr>
          <w:p w14:paraId="32A7AFB1">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7</w:t>
            </w:r>
          </w:p>
        </w:tc>
        <w:tc>
          <w:tcPr>
            <w:tcW w:w="5354" w:type="dxa"/>
            <w:vAlign w:val="center"/>
          </w:tcPr>
          <w:p w14:paraId="660BEDE5">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保温、密封及防水材料</w:t>
            </w:r>
          </w:p>
        </w:tc>
        <w:tc>
          <w:tcPr>
            <w:tcW w:w="3178" w:type="dxa"/>
            <w:vAlign w:val="center"/>
          </w:tcPr>
          <w:p w14:paraId="72B246CD">
            <w:pPr>
              <w:snapToGrid w:val="0"/>
              <w:spacing w:line="480" w:lineRule="atLeast"/>
              <w:jc w:val="left"/>
              <w:rPr>
                <w:rFonts w:eastAsiaTheme="minorEastAsia"/>
                <w:color w:val="000000" w:themeColor="text1"/>
                <w:sz w:val="24"/>
                <w:szCs w:val="24"/>
                <w14:textFill>
                  <w14:solidFill>
                    <w14:schemeClr w14:val="tx1"/>
                  </w14:solidFill>
                </w14:textFill>
              </w:rPr>
            </w:pPr>
          </w:p>
        </w:tc>
      </w:tr>
      <w:tr w14:paraId="35DEC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95" w:type="dxa"/>
            <w:vAlign w:val="center"/>
          </w:tcPr>
          <w:p w14:paraId="5A2B2D2F">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8</w:t>
            </w:r>
          </w:p>
        </w:tc>
        <w:tc>
          <w:tcPr>
            <w:tcW w:w="5354" w:type="dxa"/>
            <w:vAlign w:val="center"/>
          </w:tcPr>
          <w:p w14:paraId="45714721">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就地启停开关</w:t>
            </w:r>
          </w:p>
        </w:tc>
        <w:tc>
          <w:tcPr>
            <w:tcW w:w="3178" w:type="dxa"/>
            <w:vAlign w:val="center"/>
          </w:tcPr>
          <w:p w14:paraId="25C29BC6">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风机、排气扇等</w:t>
            </w:r>
          </w:p>
        </w:tc>
      </w:tr>
      <w:tr w14:paraId="3BBA8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95" w:type="dxa"/>
            <w:vAlign w:val="center"/>
          </w:tcPr>
          <w:p w14:paraId="3F4ACA1C">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9</w:t>
            </w:r>
          </w:p>
        </w:tc>
        <w:tc>
          <w:tcPr>
            <w:tcW w:w="5354" w:type="dxa"/>
            <w:vAlign w:val="center"/>
          </w:tcPr>
          <w:p w14:paraId="33387B20">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油漆</w:t>
            </w:r>
          </w:p>
        </w:tc>
        <w:tc>
          <w:tcPr>
            <w:tcW w:w="3178" w:type="dxa"/>
            <w:vAlign w:val="center"/>
          </w:tcPr>
          <w:p w14:paraId="18D84422">
            <w:pPr>
              <w:snapToGrid w:val="0"/>
              <w:spacing w:line="480" w:lineRule="atLeast"/>
              <w:jc w:val="left"/>
              <w:rPr>
                <w:rFonts w:eastAsiaTheme="minorEastAsia"/>
                <w:color w:val="000000" w:themeColor="text1"/>
                <w:sz w:val="24"/>
                <w:szCs w:val="24"/>
                <w14:textFill>
                  <w14:solidFill>
                    <w14:schemeClr w14:val="tx1"/>
                  </w14:solidFill>
                </w14:textFill>
              </w:rPr>
            </w:pPr>
          </w:p>
        </w:tc>
      </w:tr>
      <w:tr w14:paraId="347C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95" w:type="dxa"/>
            <w:vAlign w:val="center"/>
          </w:tcPr>
          <w:p w14:paraId="7DDD8D24">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10</w:t>
            </w:r>
          </w:p>
        </w:tc>
        <w:tc>
          <w:tcPr>
            <w:tcW w:w="5354" w:type="dxa"/>
            <w:vAlign w:val="center"/>
          </w:tcPr>
          <w:p w14:paraId="377C8DB9">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标示牌</w:t>
            </w:r>
          </w:p>
        </w:tc>
        <w:tc>
          <w:tcPr>
            <w:tcW w:w="3178" w:type="dxa"/>
            <w:vAlign w:val="center"/>
          </w:tcPr>
          <w:p w14:paraId="4055BE8F">
            <w:pPr>
              <w:snapToGrid w:val="0"/>
              <w:spacing w:line="480" w:lineRule="atLeast"/>
              <w:jc w:val="left"/>
              <w:rPr>
                <w:rFonts w:eastAsiaTheme="minorEastAsia"/>
                <w:color w:val="000000" w:themeColor="text1"/>
                <w:sz w:val="24"/>
                <w:szCs w:val="24"/>
                <w14:textFill>
                  <w14:solidFill>
                    <w14:schemeClr w14:val="tx1"/>
                  </w14:solidFill>
                </w14:textFill>
              </w:rPr>
            </w:pPr>
          </w:p>
        </w:tc>
      </w:tr>
    </w:tbl>
    <w:p w14:paraId="204829FB">
      <w:pPr>
        <w:snapToGrid w:val="0"/>
        <w:spacing w:line="480" w:lineRule="atLeast"/>
        <w:ind w:firstLine="482" w:firstLineChars="200"/>
        <w:rPr>
          <w:rFonts w:eastAsiaTheme="minorEastAsia"/>
          <w:color w:val="000000" w:themeColor="text1"/>
          <w:sz w:val="24"/>
          <w:szCs w:val="24"/>
          <w14:textFill>
            <w14:solidFill>
              <w14:schemeClr w14:val="tx1"/>
            </w14:solidFill>
          </w14:textFill>
        </w:rPr>
      </w:pPr>
      <w:bookmarkStart w:id="32" w:name="_Toc279850585"/>
      <w:bookmarkStart w:id="33" w:name="_Toc526064860"/>
      <w:bookmarkStart w:id="34" w:name="_Toc278226472"/>
      <w:bookmarkStart w:id="35" w:name="_Toc279850172"/>
      <w:bookmarkStart w:id="36" w:name="_Toc282788467"/>
      <w:r>
        <w:rPr>
          <w:rFonts w:hint="eastAsia" w:eastAsiaTheme="minorEastAsia"/>
          <w:b/>
          <w:color w:val="000000" w:themeColor="text1"/>
          <w:sz w:val="24"/>
          <w:szCs w:val="24"/>
          <w14:textFill>
            <w14:solidFill>
              <w14:schemeClr w14:val="tx1"/>
            </w14:solidFill>
          </w14:textFill>
        </w:rPr>
        <w:t>注：</w:t>
      </w:r>
      <w:r>
        <w:rPr>
          <w:rFonts w:eastAsiaTheme="minorEastAsia"/>
          <w:b/>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本表工程量仅供参考，具体工程量和构件材质、型号以施工图为准。投标方结算时不应以材料牌号、种类、型号、规格的变化为由要求增加费用。</w:t>
      </w:r>
    </w:p>
    <w:p w14:paraId="0B7F3357">
      <w:pPr>
        <w:snapToGrid w:val="0"/>
        <w:spacing w:line="480" w:lineRule="atLeast"/>
        <w:ind w:firstLine="420" w:firstLineChars="200"/>
        <w:rPr>
          <w:rFonts w:eastAsiaTheme="minorEastAsia"/>
          <w:color w:val="000000" w:themeColor="text1"/>
          <w:szCs w:val="24"/>
          <w14:textFill>
            <w14:solidFill>
              <w14:schemeClr w14:val="tx1"/>
            </w14:solidFill>
          </w14:textFill>
        </w:rPr>
      </w:pPr>
    </w:p>
    <w:p w14:paraId="29E14A14">
      <w:pPr>
        <w:pStyle w:val="2"/>
        <w:keepNext w:val="0"/>
        <w:keepLines w:val="0"/>
        <w:spacing w:line="480" w:lineRule="atLeast"/>
        <w:ind w:right="0" w:rightChars="0" w:firstLine="482" w:firstLineChars="200"/>
        <w:rPr>
          <w:rStyle w:val="55"/>
          <w:rFonts w:eastAsiaTheme="minorEastAsia"/>
          <w:b/>
          <w:bCs/>
          <w:color w:val="000000" w:themeColor="text1"/>
          <w:sz w:val="24"/>
          <w:szCs w:val="24"/>
          <w14:textFill>
            <w14:solidFill>
              <w14:schemeClr w14:val="tx1"/>
            </w14:solidFill>
          </w14:textFill>
        </w:rPr>
      </w:pPr>
      <w:bookmarkStart w:id="37" w:name="_Toc526079144"/>
      <w:bookmarkStart w:id="38" w:name="_Toc526079250"/>
      <w:bookmarkStart w:id="39" w:name="_Toc220074659"/>
      <w:r>
        <w:rPr>
          <w:rStyle w:val="55"/>
          <w:rFonts w:eastAsiaTheme="minorEastAsia"/>
          <w:b/>
          <w:bCs/>
          <w:color w:val="000000" w:themeColor="text1"/>
          <w:sz w:val="24"/>
          <w:szCs w:val="24"/>
          <w14:textFill>
            <w14:solidFill>
              <w14:schemeClr w14:val="tx1"/>
            </w14:solidFill>
          </w14:textFill>
        </w:rPr>
        <w:t>表2  必备的备品备件、专</w:t>
      </w:r>
      <w:bookmarkStart w:id="40" w:name="_Toc155113113"/>
      <w:bookmarkStart w:id="41" w:name="_Toc17007720"/>
      <w:bookmarkStart w:id="42" w:name="_Toc22452674"/>
      <w:r>
        <w:rPr>
          <w:rStyle w:val="55"/>
          <w:rFonts w:eastAsiaTheme="minorEastAsia"/>
          <w:b/>
          <w:bCs/>
          <w:color w:val="000000" w:themeColor="text1"/>
          <w:sz w:val="24"/>
          <w:szCs w:val="24"/>
          <w14:textFill>
            <w14:solidFill>
              <w14:schemeClr w14:val="tx1"/>
            </w14:solidFill>
          </w14:textFill>
        </w:rPr>
        <w:t>用工具和仪器仪表供货表</w:t>
      </w:r>
      <w:bookmarkEnd w:id="32"/>
      <w:bookmarkEnd w:id="33"/>
      <w:bookmarkEnd w:id="34"/>
      <w:bookmarkEnd w:id="35"/>
      <w:bookmarkEnd w:id="36"/>
      <w:bookmarkEnd w:id="37"/>
      <w:bookmarkEnd w:id="38"/>
      <w:bookmarkEnd w:id="39"/>
    </w:p>
    <w:p w14:paraId="42E3A0F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以下为强制性备品备件清单，如果投标方认为不足，应加以补充。</w:t>
      </w:r>
    </w:p>
    <w:p w14:paraId="31A2999E">
      <w:pPr>
        <w:snapToGrid w:val="0"/>
        <w:spacing w:line="480" w:lineRule="atLeast"/>
        <w:rPr>
          <w:rFonts w:eastAsiaTheme="minorEastAsia"/>
          <w:color w:val="000000" w:themeColor="text1"/>
          <w:sz w:val="24"/>
          <w:szCs w:val="24"/>
          <w14:textFill>
            <w14:solidFill>
              <w14:schemeClr w14:val="tx1"/>
            </w14:solidFill>
          </w14:textFill>
        </w:rPr>
      </w:pPr>
      <w:r>
        <w:rPr>
          <w:rFonts w:hint="eastAsia" w:eastAsiaTheme="minorEastAsia"/>
          <w:b/>
          <w:color w:val="000000" w:themeColor="text1"/>
          <w:sz w:val="24"/>
          <w:szCs w:val="24"/>
          <w14:textFill>
            <w14:solidFill>
              <w14:schemeClr w14:val="tx1"/>
            </w14:solidFill>
          </w14:textFill>
        </w:rPr>
        <w:t>表</w:t>
      </w:r>
      <w:r>
        <w:rPr>
          <w:rFonts w:eastAsiaTheme="minorEastAsia"/>
          <w:b/>
          <w:color w:val="000000" w:themeColor="text1"/>
          <w:sz w:val="24"/>
          <w:szCs w:val="24"/>
          <w14:textFill>
            <w14:solidFill>
              <w14:schemeClr w14:val="tx1"/>
            </w14:solidFill>
          </w14:textFill>
        </w:rPr>
        <w:t xml:space="preserve">2-1                  </w:t>
      </w:r>
      <w:r>
        <w:rPr>
          <w:rFonts w:hint="eastAsia" w:eastAsiaTheme="minorEastAsia"/>
          <w:b/>
          <w:color w:val="000000" w:themeColor="text1"/>
          <w:sz w:val="24"/>
          <w:szCs w:val="24"/>
          <w14:textFill>
            <w14:solidFill>
              <w14:schemeClr w14:val="tx1"/>
            </w14:solidFill>
          </w14:textFill>
        </w:rPr>
        <w:t>强制性备品备件清单</w:t>
      </w:r>
    </w:p>
    <w:tbl>
      <w:tblPr>
        <w:tblStyle w:val="41"/>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60"/>
        <w:gridCol w:w="2702"/>
        <w:gridCol w:w="1128"/>
        <w:gridCol w:w="4737"/>
      </w:tblGrid>
      <w:tr w14:paraId="29D34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blHeader/>
          <w:jc w:val="center"/>
        </w:trPr>
        <w:tc>
          <w:tcPr>
            <w:tcW w:w="560" w:type="dxa"/>
            <w:vAlign w:val="center"/>
          </w:tcPr>
          <w:p w14:paraId="45EC083B">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序号</w:t>
            </w:r>
          </w:p>
        </w:tc>
        <w:tc>
          <w:tcPr>
            <w:tcW w:w="2702" w:type="dxa"/>
            <w:vAlign w:val="center"/>
          </w:tcPr>
          <w:p w14:paraId="0B04A45E">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名</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称</w:t>
            </w:r>
          </w:p>
        </w:tc>
        <w:tc>
          <w:tcPr>
            <w:tcW w:w="1128" w:type="dxa"/>
            <w:vAlign w:val="center"/>
          </w:tcPr>
          <w:p w14:paraId="4C2250F6">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数量</w:t>
            </w:r>
          </w:p>
        </w:tc>
        <w:tc>
          <w:tcPr>
            <w:tcW w:w="4737" w:type="dxa"/>
            <w:vAlign w:val="center"/>
          </w:tcPr>
          <w:p w14:paraId="5B88CAA7">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备</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注</w:t>
            </w:r>
          </w:p>
        </w:tc>
      </w:tr>
      <w:tr w14:paraId="63902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0" w:type="dxa"/>
            <w:vAlign w:val="center"/>
          </w:tcPr>
          <w:p w14:paraId="7E80CCA0">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w:t>
            </w:r>
          </w:p>
        </w:tc>
        <w:tc>
          <w:tcPr>
            <w:tcW w:w="2702" w:type="dxa"/>
            <w:vAlign w:val="center"/>
          </w:tcPr>
          <w:p w14:paraId="2E370745">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控制器（系统逻辑板卡）</w:t>
            </w:r>
          </w:p>
        </w:tc>
        <w:tc>
          <w:tcPr>
            <w:tcW w:w="1128" w:type="dxa"/>
            <w:vAlign w:val="center"/>
          </w:tcPr>
          <w:p w14:paraId="101EA056">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块</w:t>
            </w:r>
          </w:p>
        </w:tc>
        <w:tc>
          <w:tcPr>
            <w:tcW w:w="4737" w:type="dxa"/>
            <w:vAlign w:val="center"/>
          </w:tcPr>
          <w:p w14:paraId="01F9B48D">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各种类型的数量</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其中带</w:t>
            </w:r>
            <w:r>
              <w:rPr>
                <w:rFonts w:eastAsiaTheme="minorEastAsia"/>
                <w:color w:val="000000" w:themeColor="text1"/>
                <w:sz w:val="24"/>
                <w:szCs w:val="24"/>
                <w14:textFill>
                  <w14:solidFill>
                    <w14:schemeClr w14:val="tx1"/>
                  </w14:solidFill>
                </w14:textFill>
              </w:rPr>
              <w:t>CPU</w:t>
            </w:r>
            <w:r>
              <w:rPr>
                <w:rFonts w:hint="eastAsia" w:eastAsiaTheme="minorEastAsia"/>
                <w:color w:val="000000" w:themeColor="text1"/>
                <w:sz w:val="24"/>
                <w:szCs w:val="24"/>
                <w14:textFill>
                  <w14:solidFill>
                    <w14:schemeClr w14:val="tx1"/>
                  </w14:solidFill>
                </w14:textFill>
              </w:rPr>
              <w:t>板卡如果含有程序</w:t>
            </w:r>
            <w:r>
              <w:rPr>
                <w:rFonts w:hint="eastAsia" w:eastAsiaTheme="minorEastAsia"/>
                <w:color w:val="000000" w:themeColor="text1"/>
                <w:spacing w:val="-8"/>
                <w:sz w:val="24"/>
                <w:szCs w:val="24"/>
                <w14:textFill>
                  <w14:solidFill>
                    <w14:schemeClr w14:val="tx1"/>
                  </w14:solidFill>
                </w14:textFill>
              </w:rPr>
              <w:t>存储芯片，另提供已写入程序的存储芯片各</w:t>
            </w:r>
            <w:r>
              <w:rPr>
                <w:rFonts w:eastAsiaTheme="minorEastAsia"/>
                <w:color w:val="000000" w:themeColor="text1"/>
                <w:spacing w:val="-8"/>
                <w:sz w:val="24"/>
                <w:szCs w:val="24"/>
                <w14:textFill>
                  <w14:solidFill>
                    <w14:schemeClr w14:val="tx1"/>
                  </w14:solidFill>
                </w14:textFill>
              </w:rPr>
              <w:t>2</w:t>
            </w:r>
            <w:r>
              <w:rPr>
                <w:rFonts w:hint="eastAsia" w:eastAsiaTheme="minorEastAsia"/>
                <w:color w:val="000000" w:themeColor="text1"/>
                <w:spacing w:val="-8"/>
                <w:sz w:val="24"/>
                <w:szCs w:val="24"/>
                <w14:textFill>
                  <w14:solidFill>
                    <w14:schemeClr w14:val="tx1"/>
                  </w14:solidFill>
                </w14:textFill>
              </w:rPr>
              <w:t>个</w:t>
            </w:r>
          </w:p>
        </w:tc>
      </w:tr>
      <w:tr w14:paraId="526DC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0" w:type="dxa"/>
            <w:vAlign w:val="center"/>
          </w:tcPr>
          <w:p w14:paraId="2C18DC84">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2</w:t>
            </w:r>
          </w:p>
        </w:tc>
        <w:tc>
          <w:tcPr>
            <w:tcW w:w="2702" w:type="dxa"/>
            <w:vAlign w:val="center"/>
          </w:tcPr>
          <w:p w14:paraId="50D08E51">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控制系统输入输出继电器</w:t>
            </w:r>
          </w:p>
        </w:tc>
        <w:tc>
          <w:tcPr>
            <w:tcW w:w="1128" w:type="dxa"/>
            <w:vAlign w:val="center"/>
          </w:tcPr>
          <w:p w14:paraId="6BF09583">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w:t>
            </w: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个</w:t>
            </w:r>
          </w:p>
        </w:tc>
        <w:tc>
          <w:tcPr>
            <w:tcW w:w="4737" w:type="dxa"/>
            <w:vAlign w:val="center"/>
          </w:tcPr>
          <w:p w14:paraId="07A4A580">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各种类型的数量</w:t>
            </w:r>
          </w:p>
        </w:tc>
      </w:tr>
      <w:tr w14:paraId="43F48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0" w:type="dxa"/>
            <w:vAlign w:val="center"/>
          </w:tcPr>
          <w:p w14:paraId="58EAA203">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w:t>
            </w:r>
          </w:p>
        </w:tc>
        <w:tc>
          <w:tcPr>
            <w:tcW w:w="2702" w:type="dxa"/>
            <w:vAlign w:val="center"/>
          </w:tcPr>
          <w:p w14:paraId="3C562249">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电磁阀</w:t>
            </w:r>
          </w:p>
        </w:tc>
        <w:tc>
          <w:tcPr>
            <w:tcW w:w="1128" w:type="dxa"/>
            <w:vAlign w:val="center"/>
          </w:tcPr>
          <w:p w14:paraId="4F6E1226">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个</w:t>
            </w:r>
          </w:p>
        </w:tc>
        <w:tc>
          <w:tcPr>
            <w:tcW w:w="4737" w:type="dxa"/>
            <w:vAlign w:val="center"/>
          </w:tcPr>
          <w:p w14:paraId="4CBB2E85">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各类型的数量</w:t>
            </w:r>
          </w:p>
        </w:tc>
      </w:tr>
      <w:tr w14:paraId="05506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0" w:type="dxa"/>
            <w:vAlign w:val="center"/>
          </w:tcPr>
          <w:p w14:paraId="161FB021">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w:t>
            </w:r>
          </w:p>
        </w:tc>
        <w:tc>
          <w:tcPr>
            <w:tcW w:w="2702" w:type="dxa"/>
            <w:vAlign w:val="center"/>
          </w:tcPr>
          <w:p w14:paraId="58B49324">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开关</w:t>
            </w:r>
          </w:p>
        </w:tc>
        <w:tc>
          <w:tcPr>
            <w:tcW w:w="1128" w:type="dxa"/>
            <w:vAlign w:val="center"/>
          </w:tcPr>
          <w:p w14:paraId="227DABEA">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个</w:t>
            </w:r>
          </w:p>
        </w:tc>
        <w:tc>
          <w:tcPr>
            <w:tcW w:w="4737" w:type="dxa"/>
            <w:vAlign w:val="center"/>
          </w:tcPr>
          <w:p w14:paraId="4A38EFB2">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各类型的数量</w:t>
            </w:r>
          </w:p>
        </w:tc>
      </w:tr>
      <w:tr w14:paraId="64B95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0" w:type="dxa"/>
            <w:vAlign w:val="center"/>
          </w:tcPr>
          <w:p w14:paraId="6715853F">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5</w:t>
            </w:r>
          </w:p>
        </w:tc>
        <w:tc>
          <w:tcPr>
            <w:tcW w:w="2702" w:type="dxa"/>
            <w:vAlign w:val="center"/>
          </w:tcPr>
          <w:p w14:paraId="3FA59DD3">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继电器</w:t>
            </w:r>
          </w:p>
        </w:tc>
        <w:tc>
          <w:tcPr>
            <w:tcW w:w="1128" w:type="dxa"/>
            <w:vAlign w:val="center"/>
          </w:tcPr>
          <w:p w14:paraId="4FA47C9F">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w:t>
            </w: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个</w:t>
            </w:r>
          </w:p>
        </w:tc>
        <w:tc>
          <w:tcPr>
            <w:tcW w:w="4737" w:type="dxa"/>
            <w:vAlign w:val="center"/>
          </w:tcPr>
          <w:p w14:paraId="744DB8D9">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各类型的数量</w:t>
            </w:r>
          </w:p>
        </w:tc>
      </w:tr>
      <w:tr w14:paraId="0469C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0" w:type="dxa"/>
            <w:vAlign w:val="center"/>
          </w:tcPr>
          <w:p w14:paraId="3607D5E2">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6</w:t>
            </w:r>
          </w:p>
        </w:tc>
        <w:tc>
          <w:tcPr>
            <w:tcW w:w="2702" w:type="dxa"/>
            <w:vAlign w:val="center"/>
          </w:tcPr>
          <w:p w14:paraId="65A50994">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风阀控制器</w:t>
            </w:r>
          </w:p>
        </w:tc>
        <w:tc>
          <w:tcPr>
            <w:tcW w:w="1128" w:type="dxa"/>
            <w:vAlign w:val="center"/>
          </w:tcPr>
          <w:p w14:paraId="076D61BD">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个</w:t>
            </w:r>
          </w:p>
        </w:tc>
        <w:tc>
          <w:tcPr>
            <w:tcW w:w="4737" w:type="dxa"/>
            <w:vAlign w:val="center"/>
          </w:tcPr>
          <w:p w14:paraId="0A4B4384">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各类型的数量</w:t>
            </w:r>
          </w:p>
        </w:tc>
      </w:tr>
      <w:tr w14:paraId="004FC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0" w:type="dxa"/>
            <w:vAlign w:val="center"/>
          </w:tcPr>
          <w:p w14:paraId="68FA2BCE">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7</w:t>
            </w:r>
          </w:p>
        </w:tc>
        <w:tc>
          <w:tcPr>
            <w:tcW w:w="2702" w:type="dxa"/>
            <w:vAlign w:val="center"/>
          </w:tcPr>
          <w:p w14:paraId="606F744C">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传感器（流量、压力、温度、湿度、压差等）</w:t>
            </w:r>
          </w:p>
        </w:tc>
        <w:tc>
          <w:tcPr>
            <w:tcW w:w="1128" w:type="dxa"/>
            <w:vAlign w:val="center"/>
          </w:tcPr>
          <w:p w14:paraId="2ECD681E">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个</w:t>
            </w:r>
          </w:p>
        </w:tc>
        <w:tc>
          <w:tcPr>
            <w:tcW w:w="4737" w:type="dxa"/>
            <w:vAlign w:val="center"/>
          </w:tcPr>
          <w:p w14:paraId="19201EF1">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各类型的数量</w:t>
            </w:r>
          </w:p>
        </w:tc>
      </w:tr>
      <w:tr w14:paraId="55E91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0" w:type="dxa"/>
            <w:vAlign w:val="center"/>
          </w:tcPr>
          <w:p w14:paraId="61AFA71B">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8</w:t>
            </w:r>
          </w:p>
        </w:tc>
        <w:tc>
          <w:tcPr>
            <w:tcW w:w="2702" w:type="dxa"/>
            <w:vAlign w:val="center"/>
          </w:tcPr>
          <w:p w14:paraId="2AAAAD32">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风机皮带</w:t>
            </w:r>
          </w:p>
        </w:tc>
        <w:tc>
          <w:tcPr>
            <w:tcW w:w="1128" w:type="dxa"/>
            <w:vAlign w:val="center"/>
          </w:tcPr>
          <w:p w14:paraId="70C330B3">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w:t>
            </w:r>
            <w:r>
              <w:rPr>
                <w:rFonts w:eastAsiaTheme="minorEastAsia"/>
                <w:color w:val="000000" w:themeColor="text1"/>
                <w:sz w:val="24"/>
                <w:szCs w:val="24"/>
                <w14:textFill>
                  <w14:solidFill>
                    <w14:schemeClr w14:val="tx1"/>
                  </w14:solidFill>
                </w14:textFill>
              </w:rPr>
              <w:t>20</w:t>
            </w:r>
            <w:r>
              <w:rPr>
                <w:rFonts w:hint="eastAsia" w:eastAsiaTheme="minorEastAsia"/>
                <w:color w:val="000000" w:themeColor="text1"/>
                <w:sz w:val="24"/>
                <w:szCs w:val="24"/>
                <w14:textFill>
                  <w14:solidFill>
                    <w14:schemeClr w14:val="tx1"/>
                  </w14:solidFill>
                </w14:textFill>
              </w:rPr>
              <w:t>根</w:t>
            </w:r>
          </w:p>
        </w:tc>
        <w:tc>
          <w:tcPr>
            <w:tcW w:w="4737" w:type="dxa"/>
            <w:vAlign w:val="center"/>
          </w:tcPr>
          <w:p w14:paraId="0B30458E">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各类型的数量</w:t>
            </w:r>
          </w:p>
        </w:tc>
      </w:tr>
      <w:tr w14:paraId="5266B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0" w:type="dxa"/>
            <w:vAlign w:val="center"/>
          </w:tcPr>
          <w:p w14:paraId="6AED778C">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9</w:t>
            </w:r>
          </w:p>
        </w:tc>
        <w:tc>
          <w:tcPr>
            <w:tcW w:w="2702" w:type="dxa"/>
            <w:vAlign w:val="center"/>
          </w:tcPr>
          <w:p w14:paraId="33102DD2">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连接密封件</w:t>
            </w:r>
          </w:p>
        </w:tc>
        <w:tc>
          <w:tcPr>
            <w:tcW w:w="1128" w:type="dxa"/>
            <w:vAlign w:val="center"/>
          </w:tcPr>
          <w:p w14:paraId="0EBAA3CA">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套</w:t>
            </w:r>
          </w:p>
        </w:tc>
        <w:tc>
          <w:tcPr>
            <w:tcW w:w="4737" w:type="dxa"/>
            <w:vAlign w:val="center"/>
          </w:tcPr>
          <w:p w14:paraId="292A2F56">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各类型的数量</w:t>
            </w:r>
          </w:p>
        </w:tc>
      </w:tr>
      <w:tr w14:paraId="478F3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0" w:type="dxa"/>
            <w:vAlign w:val="center"/>
          </w:tcPr>
          <w:p w14:paraId="4A80A760">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10</w:t>
            </w:r>
          </w:p>
        </w:tc>
        <w:tc>
          <w:tcPr>
            <w:tcW w:w="2702" w:type="dxa"/>
            <w:vAlign w:val="center"/>
          </w:tcPr>
          <w:p w14:paraId="44A1D97A">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压缩机制冷剂和冷冻油</w:t>
            </w:r>
          </w:p>
        </w:tc>
        <w:tc>
          <w:tcPr>
            <w:tcW w:w="1128" w:type="dxa"/>
            <w:vAlign w:val="center"/>
          </w:tcPr>
          <w:p w14:paraId="102101BA">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w:t>
            </w:r>
            <w:r>
              <w:rPr>
                <w:rFonts w:eastAsiaTheme="minorEastAsia"/>
                <w:color w:val="000000" w:themeColor="text1"/>
                <w:sz w:val="24"/>
                <w:szCs w:val="24"/>
                <w14:textFill>
                  <w14:solidFill>
                    <w14:schemeClr w14:val="tx1"/>
                  </w14:solidFill>
                </w14:textFill>
              </w:rPr>
              <w:t>200kg</w:t>
            </w:r>
          </w:p>
        </w:tc>
        <w:tc>
          <w:tcPr>
            <w:tcW w:w="4737" w:type="dxa"/>
            <w:vAlign w:val="center"/>
          </w:tcPr>
          <w:p w14:paraId="5D4BFF54">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各种型号</w:t>
            </w:r>
          </w:p>
        </w:tc>
      </w:tr>
      <w:tr w14:paraId="560C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0" w:type="dxa"/>
            <w:vAlign w:val="center"/>
          </w:tcPr>
          <w:p w14:paraId="5BBD43FD">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11</w:t>
            </w:r>
          </w:p>
        </w:tc>
        <w:tc>
          <w:tcPr>
            <w:tcW w:w="2702" w:type="dxa"/>
            <w:vAlign w:val="center"/>
          </w:tcPr>
          <w:p w14:paraId="06E63534">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过滤器滤芯</w:t>
            </w:r>
          </w:p>
        </w:tc>
        <w:tc>
          <w:tcPr>
            <w:tcW w:w="1128" w:type="dxa"/>
            <w:vAlign w:val="center"/>
          </w:tcPr>
          <w:p w14:paraId="4893BBC5">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各类型1套</w:t>
            </w:r>
          </w:p>
        </w:tc>
        <w:tc>
          <w:tcPr>
            <w:tcW w:w="4737" w:type="dxa"/>
            <w:vAlign w:val="center"/>
          </w:tcPr>
          <w:p w14:paraId="65818F88">
            <w:pPr>
              <w:snapToGrid w:val="0"/>
              <w:spacing w:line="24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换流站内所有过滤器的量</w:t>
            </w:r>
          </w:p>
          <w:p w14:paraId="66975107">
            <w:pPr>
              <w:pStyle w:val="121"/>
              <w:numPr>
                <w:ilvl w:val="0"/>
                <w:numId w:val="0"/>
              </w:numPr>
              <w:snapToGrid w:val="0"/>
              <w:spacing w:line="480" w:lineRule="atLeast"/>
              <w:jc w:val="left"/>
              <w:outlineLvl w:val="2"/>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注：1）从空气处理机组开始使用直到投运前期间，初效过滤器考虑更换2次、中效过滤器考虑更换1次；2）投运时，过滤器全部再次更换1次；3）过滤器备件：按已安装的过滤器1：1来配置。4）如果更换次数少于第一条规定，剩余更换次数的过滤器移交运行单位（不包含第3条应提供的备件数量）</w:t>
            </w:r>
          </w:p>
        </w:tc>
      </w:tr>
      <w:tr w14:paraId="3CD67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0" w:type="dxa"/>
            <w:vAlign w:val="center"/>
          </w:tcPr>
          <w:p w14:paraId="138973EB">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12</w:t>
            </w:r>
          </w:p>
        </w:tc>
        <w:tc>
          <w:tcPr>
            <w:tcW w:w="2702" w:type="dxa"/>
            <w:vAlign w:val="center"/>
          </w:tcPr>
          <w:p w14:paraId="1B30A988">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电动风阀电动执行机构</w:t>
            </w:r>
          </w:p>
        </w:tc>
        <w:tc>
          <w:tcPr>
            <w:tcW w:w="1128" w:type="dxa"/>
            <w:vAlign w:val="center"/>
          </w:tcPr>
          <w:p w14:paraId="34E491DC">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10</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并不得少于1</w:t>
            </w:r>
            <w:r>
              <w:rPr>
                <w:rFonts w:hint="eastAsia" w:eastAsiaTheme="minorEastAsia"/>
                <w:color w:val="000000" w:themeColor="text1"/>
                <w:sz w:val="24"/>
                <w:szCs w:val="24"/>
                <w14:textFill>
                  <w14:solidFill>
                    <w14:schemeClr w14:val="tx1"/>
                  </w14:solidFill>
                </w14:textFill>
              </w:rPr>
              <w:t>个</w:t>
            </w:r>
          </w:p>
        </w:tc>
        <w:tc>
          <w:tcPr>
            <w:tcW w:w="4737" w:type="dxa"/>
            <w:vAlign w:val="center"/>
          </w:tcPr>
          <w:p w14:paraId="3FBC7B64">
            <w:pPr>
              <w:snapToGrid w:val="0"/>
              <w:spacing w:line="24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各类型的数量</w:t>
            </w:r>
          </w:p>
        </w:tc>
      </w:tr>
    </w:tbl>
    <w:p w14:paraId="32BC5EB4">
      <w:pPr>
        <w:snapToGrid w:val="0"/>
        <w:spacing w:line="480" w:lineRule="atLeast"/>
        <w:rPr>
          <w:rFonts w:eastAsiaTheme="minorEastAsia"/>
          <w:color w:val="000000" w:themeColor="text1"/>
          <w:sz w:val="24"/>
          <w:szCs w:val="24"/>
          <w14:textFill>
            <w14:solidFill>
              <w14:schemeClr w14:val="tx1"/>
            </w14:solidFill>
          </w14:textFill>
        </w:rPr>
      </w:pPr>
    </w:p>
    <w:p w14:paraId="7F89FABA">
      <w:pPr>
        <w:snapToGrid w:val="0"/>
        <w:spacing w:line="480" w:lineRule="atLeast"/>
        <w:rPr>
          <w:rFonts w:eastAsiaTheme="minorEastAsia"/>
          <w:b/>
          <w:color w:val="000000" w:themeColor="text1"/>
          <w:sz w:val="24"/>
          <w:szCs w:val="24"/>
          <w14:textFill>
            <w14:solidFill>
              <w14:schemeClr w14:val="tx1"/>
            </w14:solidFill>
          </w14:textFill>
        </w:rPr>
      </w:pPr>
    </w:p>
    <w:p w14:paraId="6B649B84">
      <w:pPr>
        <w:snapToGrid w:val="0"/>
        <w:spacing w:line="480" w:lineRule="atLeast"/>
        <w:rPr>
          <w:rFonts w:eastAsiaTheme="minorEastAsia"/>
          <w:b/>
          <w:color w:val="000000" w:themeColor="text1"/>
          <w:sz w:val="24"/>
          <w:szCs w:val="24"/>
          <w14:textFill>
            <w14:solidFill>
              <w14:schemeClr w14:val="tx1"/>
            </w14:solidFill>
          </w14:textFill>
        </w:rPr>
      </w:pPr>
      <w:r>
        <w:rPr>
          <w:rFonts w:hint="eastAsia" w:eastAsiaTheme="minorEastAsia"/>
          <w:b/>
          <w:color w:val="000000" w:themeColor="text1"/>
          <w:sz w:val="24"/>
          <w:szCs w:val="24"/>
          <w14:textFill>
            <w14:solidFill>
              <w14:schemeClr w14:val="tx1"/>
            </w14:solidFill>
          </w14:textFill>
        </w:rPr>
        <w:t>表</w:t>
      </w:r>
      <w:r>
        <w:rPr>
          <w:rFonts w:eastAsiaTheme="minorEastAsia"/>
          <w:b/>
          <w:color w:val="000000" w:themeColor="text1"/>
          <w:sz w:val="24"/>
          <w:szCs w:val="24"/>
          <w14:textFill>
            <w14:solidFill>
              <w14:schemeClr w14:val="tx1"/>
            </w14:solidFill>
          </w14:textFill>
        </w:rPr>
        <w:t xml:space="preserve">2-2                     </w:t>
      </w:r>
      <w:r>
        <w:rPr>
          <w:rFonts w:hint="eastAsia" w:eastAsiaTheme="minorEastAsia"/>
          <w:b/>
          <w:color w:val="000000" w:themeColor="text1"/>
          <w:sz w:val="24"/>
          <w:szCs w:val="24"/>
          <w14:textFill>
            <w14:solidFill>
              <w14:schemeClr w14:val="tx1"/>
            </w14:solidFill>
          </w14:textFill>
        </w:rPr>
        <w:t>专用工器具清单</w:t>
      </w:r>
    </w:p>
    <w:tbl>
      <w:tblPr>
        <w:tblStyle w:val="41"/>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304"/>
        <w:gridCol w:w="5954"/>
        <w:gridCol w:w="1869"/>
      </w:tblGrid>
      <w:tr w14:paraId="41154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304" w:type="dxa"/>
            <w:shd w:val="clear" w:color="auto" w:fill="auto"/>
            <w:vAlign w:val="center"/>
          </w:tcPr>
          <w:p w14:paraId="0DAF112A">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序</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号</w:t>
            </w:r>
          </w:p>
        </w:tc>
        <w:tc>
          <w:tcPr>
            <w:tcW w:w="5954" w:type="dxa"/>
            <w:shd w:val="clear" w:color="auto" w:fill="auto"/>
            <w:vAlign w:val="center"/>
          </w:tcPr>
          <w:p w14:paraId="103235A1">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名</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称</w:t>
            </w:r>
          </w:p>
        </w:tc>
        <w:tc>
          <w:tcPr>
            <w:tcW w:w="1869" w:type="dxa"/>
            <w:shd w:val="clear" w:color="auto" w:fill="auto"/>
            <w:vAlign w:val="center"/>
          </w:tcPr>
          <w:p w14:paraId="71400BE5">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数</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量</w:t>
            </w:r>
          </w:p>
        </w:tc>
      </w:tr>
      <w:tr w14:paraId="06ED7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 w:hRule="atLeast"/>
          <w:jc w:val="center"/>
        </w:trPr>
        <w:tc>
          <w:tcPr>
            <w:tcW w:w="1304" w:type="dxa"/>
            <w:shd w:val="clear" w:color="auto" w:fill="auto"/>
            <w:vAlign w:val="center"/>
          </w:tcPr>
          <w:p w14:paraId="68A0511C">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w:t>
            </w:r>
          </w:p>
        </w:tc>
        <w:tc>
          <w:tcPr>
            <w:tcW w:w="5954" w:type="dxa"/>
            <w:shd w:val="clear" w:color="auto" w:fill="auto"/>
            <w:vAlign w:val="center"/>
          </w:tcPr>
          <w:p w14:paraId="695493C2">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皮带调整专用工具</w:t>
            </w:r>
          </w:p>
        </w:tc>
        <w:tc>
          <w:tcPr>
            <w:tcW w:w="1869" w:type="dxa"/>
            <w:shd w:val="clear" w:color="auto" w:fill="auto"/>
            <w:vAlign w:val="center"/>
          </w:tcPr>
          <w:p w14:paraId="6CB56B97">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套</w:t>
            </w:r>
          </w:p>
        </w:tc>
      </w:tr>
      <w:tr w14:paraId="047CE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304" w:type="dxa"/>
            <w:shd w:val="clear" w:color="auto" w:fill="auto"/>
            <w:vAlign w:val="center"/>
          </w:tcPr>
          <w:p w14:paraId="5E42C932">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2</w:t>
            </w:r>
          </w:p>
        </w:tc>
        <w:tc>
          <w:tcPr>
            <w:tcW w:w="5954" w:type="dxa"/>
            <w:shd w:val="clear" w:color="auto" w:fill="auto"/>
            <w:vAlign w:val="center"/>
          </w:tcPr>
          <w:p w14:paraId="432D659F">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手持式温湿度表</w:t>
            </w:r>
          </w:p>
        </w:tc>
        <w:tc>
          <w:tcPr>
            <w:tcW w:w="1869" w:type="dxa"/>
            <w:shd w:val="clear" w:color="auto" w:fill="auto"/>
            <w:vAlign w:val="center"/>
          </w:tcPr>
          <w:p w14:paraId="3FA0522A">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个</w:t>
            </w:r>
          </w:p>
        </w:tc>
      </w:tr>
      <w:tr w14:paraId="7EA9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304" w:type="dxa"/>
            <w:shd w:val="clear" w:color="auto" w:fill="auto"/>
            <w:vAlign w:val="center"/>
          </w:tcPr>
          <w:p w14:paraId="45D3DBF0">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w:t>
            </w:r>
          </w:p>
        </w:tc>
        <w:tc>
          <w:tcPr>
            <w:tcW w:w="5954" w:type="dxa"/>
            <w:shd w:val="clear" w:color="auto" w:fill="auto"/>
            <w:vAlign w:val="center"/>
          </w:tcPr>
          <w:p w14:paraId="56E6605F">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热敏式风速仪(可测温度、风速。测杆及引线不小于3</w:t>
            </w:r>
          </w:p>
          <w:p w14:paraId="6BA962F2">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米)</w:t>
            </w:r>
          </w:p>
        </w:tc>
        <w:tc>
          <w:tcPr>
            <w:tcW w:w="1869" w:type="dxa"/>
            <w:shd w:val="clear" w:color="auto" w:fill="auto"/>
            <w:vAlign w:val="center"/>
          </w:tcPr>
          <w:p w14:paraId="5C45D92B">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套</w:t>
            </w:r>
          </w:p>
        </w:tc>
      </w:tr>
      <w:bookmarkEnd w:id="40"/>
    </w:tbl>
    <w:p w14:paraId="3DE9AB84">
      <w:pPr>
        <w:snapToGrid w:val="0"/>
        <w:spacing w:line="480" w:lineRule="atLeast"/>
        <w:ind w:left="482" w:hanging="482" w:hangingChars="200"/>
        <w:rPr>
          <w:rStyle w:val="55"/>
          <w:rFonts w:eastAsiaTheme="minorEastAsia"/>
          <w:color w:val="000000" w:themeColor="text1"/>
          <w:sz w:val="24"/>
          <w:szCs w:val="24"/>
          <w14:textFill>
            <w14:solidFill>
              <w14:schemeClr w14:val="tx1"/>
            </w14:solidFill>
          </w14:textFill>
        </w:rPr>
      </w:pPr>
      <w:bookmarkStart w:id="43" w:name="_Toc278226473"/>
      <w:bookmarkStart w:id="44" w:name="_Toc279850586"/>
      <w:bookmarkStart w:id="45" w:name="_Toc282788468"/>
      <w:bookmarkStart w:id="46" w:name="_Toc526064861"/>
      <w:bookmarkStart w:id="47" w:name="_Toc526079251"/>
      <w:bookmarkStart w:id="48" w:name="_Toc279850173"/>
      <w:bookmarkStart w:id="49" w:name="_Toc526079145"/>
    </w:p>
    <w:p w14:paraId="4865BEB2">
      <w:pPr>
        <w:pStyle w:val="2"/>
        <w:keepNext w:val="0"/>
        <w:keepLines w:val="0"/>
        <w:spacing w:line="480" w:lineRule="atLeast"/>
        <w:ind w:right="0" w:rightChars="0" w:firstLine="482" w:firstLineChars="200"/>
        <w:rPr>
          <w:rStyle w:val="55"/>
          <w:rFonts w:eastAsiaTheme="minorEastAsia"/>
          <w:b/>
          <w:bCs/>
          <w:color w:val="000000" w:themeColor="text1"/>
          <w:sz w:val="24"/>
          <w:szCs w:val="24"/>
          <w14:textFill>
            <w14:solidFill>
              <w14:schemeClr w14:val="tx1"/>
            </w14:solidFill>
          </w14:textFill>
        </w:rPr>
      </w:pPr>
      <w:bookmarkStart w:id="50" w:name="_Toc220074660"/>
      <w:r>
        <w:rPr>
          <w:rStyle w:val="55"/>
          <w:rFonts w:eastAsiaTheme="minorEastAsia"/>
          <w:b/>
          <w:bCs/>
          <w:color w:val="000000" w:themeColor="text1"/>
          <w:sz w:val="24"/>
          <w:szCs w:val="24"/>
          <w14:textFill>
            <w14:solidFill>
              <w14:schemeClr w14:val="tx1"/>
            </w14:solidFill>
          </w14:textFill>
        </w:rPr>
        <w:t>表3  推</w:t>
      </w:r>
      <w:bookmarkStart w:id="51" w:name="_Toc278054525"/>
      <w:bookmarkEnd w:id="51"/>
      <w:bookmarkStart w:id="52" w:name="_Toc278054653"/>
      <w:bookmarkEnd w:id="52"/>
      <w:r>
        <w:rPr>
          <w:rStyle w:val="55"/>
          <w:rFonts w:eastAsiaTheme="minorEastAsia"/>
          <w:b/>
          <w:bCs/>
          <w:color w:val="000000" w:themeColor="text1"/>
          <w:sz w:val="24"/>
          <w:szCs w:val="24"/>
          <w14:textFill>
            <w14:solidFill>
              <w14:schemeClr w14:val="tx1"/>
            </w14:solidFill>
          </w14:textFill>
        </w:rPr>
        <w:t>荐的备品备件、</w:t>
      </w:r>
      <w:bookmarkStart w:id="53" w:name="_Toc155113114"/>
      <w:r>
        <w:rPr>
          <w:rStyle w:val="55"/>
          <w:rFonts w:eastAsiaTheme="minorEastAsia"/>
          <w:b/>
          <w:bCs/>
          <w:color w:val="000000" w:themeColor="text1"/>
          <w:sz w:val="24"/>
          <w:szCs w:val="24"/>
          <w14:textFill>
            <w14:solidFill>
              <w14:schemeClr w14:val="tx1"/>
            </w14:solidFill>
          </w14:textFill>
        </w:rPr>
        <w:t>专用工具和仪器仪表供货表（投标方填写）</w:t>
      </w:r>
      <w:bookmarkEnd w:id="43"/>
      <w:bookmarkEnd w:id="44"/>
      <w:bookmarkEnd w:id="45"/>
      <w:bookmarkEnd w:id="46"/>
      <w:bookmarkEnd w:id="47"/>
      <w:bookmarkEnd w:id="48"/>
      <w:bookmarkEnd w:id="49"/>
      <w:bookmarkEnd w:id="50"/>
    </w:p>
    <w:p w14:paraId="0251810B">
      <w:pPr>
        <w:snapToGrid w:val="0"/>
        <w:spacing w:line="480" w:lineRule="atLeast"/>
        <w:rPr>
          <w:rFonts w:eastAsiaTheme="minorEastAsia"/>
          <w:b/>
          <w:color w:val="000000" w:themeColor="text1"/>
          <w:sz w:val="24"/>
          <w:szCs w:val="24"/>
          <w14:textFill>
            <w14:solidFill>
              <w14:schemeClr w14:val="tx1"/>
            </w14:solidFill>
          </w14:textFill>
        </w:rPr>
      </w:pPr>
      <w:bookmarkStart w:id="54" w:name="_Toc195501583"/>
      <w:r>
        <w:rPr>
          <w:rFonts w:hint="eastAsia" w:eastAsiaTheme="minorEastAsia"/>
          <w:b/>
          <w:color w:val="000000" w:themeColor="text1"/>
          <w:sz w:val="24"/>
          <w:szCs w:val="24"/>
          <w14:textFill>
            <w14:solidFill>
              <w14:schemeClr w14:val="tx1"/>
            </w14:solidFill>
          </w14:textFill>
        </w:rPr>
        <w:t>表</w:t>
      </w:r>
      <w:r>
        <w:rPr>
          <w:rFonts w:eastAsiaTheme="minorEastAsia"/>
          <w:b/>
          <w:color w:val="000000" w:themeColor="text1"/>
          <w:sz w:val="24"/>
          <w:szCs w:val="24"/>
          <w14:textFill>
            <w14:solidFill>
              <w14:schemeClr w14:val="tx1"/>
            </w14:solidFill>
          </w14:textFill>
        </w:rPr>
        <w:t xml:space="preserve">3-1                          </w:t>
      </w:r>
      <w:r>
        <w:rPr>
          <w:rFonts w:hint="eastAsia" w:eastAsiaTheme="minorEastAsia"/>
          <w:b/>
          <w:color w:val="000000" w:themeColor="text1"/>
          <w:sz w:val="24"/>
          <w:szCs w:val="24"/>
          <w14:textFill>
            <w14:solidFill>
              <w14:schemeClr w14:val="tx1"/>
            </w14:solidFill>
          </w14:textFill>
        </w:rPr>
        <w:t>备品备件</w:t>
      </w:r>
      <w:bookmarkEnd w:id="54"/>
      <w:r>
        <w:rPr>
          <w:rFonts w:hint="eastAsia" w:eastAsiaTheme="minorEastAsia"/>
          <w:b/>
          <w:color w:val="000000" w:themeColor="text1"/>
          <w:sz w:val="24"/>
          <w:szCs w:val="24"/>
          <w14:textFill>
            <w14:solidFill>
              <w14:schemeClr w14:val="tx1"/>
            </w14:solidFill>
          </w14:textFill>
        </w:rPr>
        <w:t>清单</w:t>
      </w:r>
    </w:p>
    <w:tbl>
      <w:tblPr>
        <w:tblStyle w:val="41"/>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173"/>
        <w:gridCol w:w="1933"/>
        <w:gridCol w:w="1309"/>
        <w:gridCol w:w="1950"/>
        <w:gridCol w:w="1762"/>
      </w:tblGrid>
      <w:tr w14:paraId="5E53D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73" w:type="dxa"/>
            <w:vAlign w:val="center"/>
          </w:tcPr>
          <w:p w14:paraId="0BD03653">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名</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称</w:t>
            </w:r>
          </w:p>
        </w:tc>
        <w:tc>
          <w:tcPr>
            <w:tcW w:w="1933" w:type="dxa"/>
            <w:vAlign w:val="center"/>
          </w:tcPr>
          <w:p w14:paraId="4DC0D1E4">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型号和规格</w:t>
            </w:r>
          </w:p>
        </w:tc>
        <w:tc>
          <w:tcPr>
            <w:tcW w:w="1309" w:type="dxa"/>
            <w:vAlign w:val="center"/>
          </w:tcPr>
          <w:p w14:paraId="7940EA16">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数</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量</w:t>
            </w:r>
          </w:p>
        </w:tc>
        <w:tc>
          <w:tcPr>
            <w:tcW w:w="1950" w:type="dxa"/>
            <w:vAlign w:val="center"/>
          </w:tcPr>
          <w:p w14:paraId="4A614FD8">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生产厂</w:t>
            </w:r>
          </w:p>
        </w:tc>
        <w:tc>
          <w:tcPr>
            <w:tcW w:w="1762" w:type="dxa"/>
            <w:vAlign w:val="center"/>
          </w:tcPr>
          <w:p w14:paraId="1240E312">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单</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价</w:t>
            </w:r>
          </w:p>
        </w:tc>
      </w:tr>
      <w:tr w14:paraId="6FA48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173" w:type="dxa"/>
            <w:vAlign w:val="center"/>
          </w:tcPr>
          <w:p w14:paraId="513620ED">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933" w:type="dxa"/>
            <w:vAlign w:val="center"/>
          </w:tcPr>
          <w:p w14:paraId="249A15D7">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309" w:type="dxa"/>
            <w:vAlign w:val="center"/>
          </w:tcPr>
          <w:p w14:paraId="4644A89B">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950" w:type="dxa"/>
            <w:vAlign w:val="center"/>
          </w:tcPr>
          <w:p w14:paraId="5305116F">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762" w:type="dxa"/>
            <w:vAlign w:val="center"/>
          </w:tcPr>
          <w:p w14:paraId="047AA1F9">
            <w:pPr>
              <w:snapToGrid w:val="0"/>
              <w:spacing w:line="480" w:lineRule="atLeast"/>
              <w:jc w:val="center"/>
              <w:rPr>
                <w:rFonts w:eastAsiaTheme="minorEastAsia"/>
                <w:color w:val="000000" w:themeColor="text1"/>
                <w:sz w:val="24"/>
                <w:szCs w:val="24"/>
                <w14:textFill>
                  <w14:solidFill>
                    <w14:schemeClr w14:val="tx1"/>
                  </w14:solidFill>
                </w14:textFill>
              </w:rPr>
            </w:pPr>
          </w:p>
        </w:tc>
      </w:tr>
    </w:tbl>
    <w:p w14:paraId="16F5AB59">
      <w:pPr>
        <w:snapToGrid w:val="0"/>
        <w:spacing w:line="480" w:lineRule="atLeast"/>
        <w:rPr>
          <w:rFonts w:eastAsiaTheme="minorEastAsia"/>
          <w:b/>
          <w:color w:val="000000" w:themeColor="text1"/>
          <w:sz w:val="24"/>
          <w:szCs w:val="24"/>
          <w14:textFill>
            <w14:solidFill>
              <w14:schemeClr w14:val="tx1"/>
            </w14:solidFill>
          </w14:textFill>
        </w:rPr>
      </w:pPr>
      <w:bookmarkStart w:id="55" w:name="_Toc195501585"/>
      <w:r>
        <w:rPr>
          <w:rFonts w:hint="eastAsia" w:eastAsiaTheme="minorEastAsia"/>
          <w:b/>
          <w:color w:val="000000" w:themeColor="text1"/>
          <w:sz w:val="24"/>
          <w:szCs w:val="24"/>
          <w14:textFill>
            <w14:solidFill>
              <w14:schemeClr w14:val="tx1"/>
            </w14:solidFill>
          </w14:textFill>
        </w:rPr>
        <w:t>表</w:t>
      </w:r>
      <w:r>
        <w:rPr>
          <w:rFonts w:eastAsiaTheme="minorEastAsia"/>
          <w:b/>
          <w:color w:val="000000" w:themeColor="text1"/>
          <w:sz w:val="24"/>
          <w:szCs w:val="24"/>
          <w14:textFill>
            <w14:solidFill>
              <w14:schemeClr w14:val="tx1"/>
            </w14:solidFill>
          </w14:textFill>
        </w:rPr>
        <w:t xml:space="preserve">3-2                      </w:t>
      </w:r>
      <w:r>
        <w:rPr>
          <w:rFonts w:hint="eastAsia" w:eastAsiaTheme="minorEastAsia"/>
          <w:b/>
          <w:color w:val="000000" w:themeColor="text1"/>
          <w:sz w:val="24"/>
          <w:szCs w:val="24"/>
          <w14:textFill>
            <w14:solidFill>
              <w14:schemeClr w14:val="tx1"/>
            </w14:solidFill>
          </w14:textFill>
        </w:rPr>
        <w:t>专业工具和仪器仪表</w:t>
      </w:r>
      <w:bookmarkEnd w:id="55"/>
    </w:p>
    <w:tbl>
      <w:tblPr>
        <w:tblStyle w:val="41"/>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174"/>
        <w:gridCol w:w="1933"/>
        <w:gridCol w:w="958"/>
        <w:gridCol w:w="2300"/>
        <w:gridCol w:w="1762"/>
      </w:tblGrid>
      <w:tr w14:paraId="4914A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174" w:type="dxa"/>
            <w:vAlign w:val="center"/>
          </w:tcPr>
          <w:p w14:paraId="69BB4607">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名</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称</w:t>
            </w:r>
          </w:p>
        </w:tc>
        <w:tc>
          <w:tcPr>
            <w:tcW w:w="1933" w:type="dxa"/>
            <w:vAlign w:val="center"/>
          </w:tcPr>
          <w:p w14:paraId="507A6C6F">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型号和规格</w:t>
            </w:r>
          </w:p>
        </w:tc>
        <w:tc>
          <w:tcPr>
            <w:tcW w:w="958" w:type="dxa"/>
            <w:vAlign w:val="center"/>
          </w:tcPr>
          <w:p w14:paraId="039EBBC4">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数</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量</w:t>
            </w:r>
          </w:p>
        </w:tc>
        <w:tc>
          <w:tcPr>
            <w:tcW w:w="2300" w:type="dxa"/>
            <w:vAlign w:val="center"/>
          </w:tcPr>
          <w:p w14:paraId="7B95EEB8">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生产厂</w:t>
            </w:r>
          </w:p>
        </w:tc>
        <w:tc>
          <w:tcPr>
            <w:tcW w:w="1762" w:type="dxa"/>
            <w:vAlign w:val="center"/>
          </w:tcPr>
          <w:p w14:paraId="41F4029A">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单</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价</w:t>
            </w:r>
          </w:p>
        </w:tc>
      </w:tr>
      <w:tr w14:paraId="47904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174" w:type="dxa"/>
            <w:vAlign w:val="center"/>
          </w:tcPr>
          <w:p w14:paraId="396CD092">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933" w:type="dxa"/>
            <w:vAlign w:val="center"/>
          </w:tcPr>
          <w:p w14:paraId="1E8A414A">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958" w:type="dxa"/>
            <w:vAlign w:val="center"/>
          </w:tcPr>
          <w:p w14:paraId="38F77BF7">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2300" w:type="dxa"/>
            <w:vAlign w:val="center"/>
          </w:tcPr>
          <w:p w14:paraId="095B8288">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762" w:type="dxa"/>
            <w:vAlign w:val="center"/>
          </w:tcPr>
          <w:p w14:paraId="16AB600B">
            <w:pPr>
              <w:snapToGrid w:val="0"/>
              <w:spacing w:line="480" w:lineRule="atLeast"/>
              <w:jc w:val="center"/>
              <w:rPr>
                <w:rFonts w:eastAsiaTheme="minorEastAsia"/>
                <w:color w:val="000000" w:themeColor="text1"/>
                <w:sz w:val="24"/>
                <w:szCs w:val="24"/>
                <w14:textFill>
                  <w14:solidFill>
                    <w14:schemeClr w14:val="tx1"/>
                  </w14:solidFill>
                </w14:textFill>
              </w:rPr>
            </w:pPr>
          </w:p>
        </w:tc>
      </w:tr>
    </w:tbl>
    <w:p w14:paraId="052D0F49">
      <w:pPr>
        <w:snapToGrid w:val="0"/>
        <w:spacing w:line="480" w:lineRule="atLeast"/>
        <w:ind w:left="482" w:hanging="482" w:hangingChars="200"/>
        <w:rPr>
          <w:rStyle w:val="55"/>
          <w:rFonts w:eastAsiaTheme="minorEastAsia"/>
          <w:color w:val="000000" w:themeColor="text1"/>
          <w:sz w:val="24"/>
          <w:szCs w:val="24"/>
          <w14:textFill>
            <w14:solidFill>
              <w14:schemeClr w14:val="tx1"/>
            </w14:solidFill>
          </w14:textFill>
        </w:rPr>
      </w:pPr>
      <w:bookmarkStart w:id="56" w:name="_Toc279850587"/>
      <w:bookmarkStart w:id="57" w:name="_Toc279850174"/>
      <w:bookmarkStart w:id="58" w:name="_Toc526064862"/>
      <w:bookmarkStart w:id="59" w:name="_Toc526079146"/>
      <w:bookmarkStart w:id="60" w:name="_Toc278226474"/>
      <w:bookmarkStart w:id="61" w:name="_Toc282788469"/>
      <w:bookmarkStart w:id="62" w:name="_Toc526079252"/>
    </w:p>
    <w:p w14:paraId="2CB01473">
      <w:pPr>
        <w:pStyle w:val="2"/>
        <w:keepNext w:val="0"/>
        <w:keepLines w:val="0"/>
        <w:spacing w:line="480" w:lineRule="atLeast"/>
        <w:ind w:right="0" w:rightChars="0" w:firstLine="482" w:firstLineChars="200"/>
        <w:rPr>
          <w:rFonts w:eastAsiaTheme="minorEastAsia"/>
          <w:b/>
          <w:bCs/>
          <w:color w:val="000000" w:themeColor="text1"/>
          <w:szCs w:val="24"/>
          <w14:textFill>
            <w14:solidFill>
              <w14:schemeClr w14:val="tx1"/>
            </w14:solidFill>
          </w14:textFill>
        </w:rPr>
      </w:pPr>
      <w:bookmarkStart w:id="63" w:name="_Toc220074661"/>
      <w:r>
        <w:rPr>
          <w:rStyle w:val="55"/>
          <w:rFonts w:eastAsiaTheme="minorEastAsia"/>
          <w:b/>
          <w:bCs/>
          <w:color w:val="000000" w:themeColor="text1"/>
          <w:sz w:val="24"/>
          <w:szCs w:val="24"/>
          <w14:textFill>
            <w14:solidFill>
              <w14:schemeClr w14:val="tx1"/>
            </w14:solidFill>
          </w14:textFill>
        </w:rPr>
        <w:t>表4  技术偏差表</w:t>
      </w:r>
      <w:bookmarkEnd w:id="56"/>
      <w:bookmarkEnd w:id="57"/>
      <w:bookmarkEnd w:id="58"/>
      <w:bookmarkEnd w:id="59"/>
      <w:bookmarkEnd w:id="60"/>
      <w:bookmarkEnd w:id="61"/>
      <w:bookmarkEnd w:id="62"/>
      <w:bookmarkEnd w:id="63"/>
    </w:p>
    <w:tbl>
      <w:tblPr>
        <w:tblStyle w:val="41"/>
        <w:tblW w:w="891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3"/>
        <w:gridCol w:w="2713"/>
        <w:gridCol w:w="1258"/>
        <w:gridCol w:w="3103"/>
      </w:tblGrid>
      <w:tr w14:paraId="5B5DF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vAlign w:val="center"/>
          </w:tcPr>
          <w:p w14:paraId="7A0D4AB4">
            <w:pPr>
              <w:pStyle w:val="122"/>
              <w:snapToGrid w:val="0"/>
              <w:spacing w:line="480" w:lineRule="atLeast"/>
              <w:ind w:firstLine="0" w:firstLineChars="0"/>
              <w:jc w:val="center"/>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序号</w:t>
            </w:r>
          </w:p>
        </w:tc>
        <w:tc>
          <w:tcPr>
            <w:tcW w:w="3876" w:type="dxa"/>
            <w:gridSpan w:val="2"/>
            <w:vAlign w:val="center"/>
          </w:tcPr>
          <w:p w14:paraId="6AF7CDCE">
            <w:pPr>
              <w:pStyle w:val="122"/>
              <w:snapToGrid w:val="0"/>
              <w:spacing w:line="480" w:lineRule="atLeast"/>
              <w:ind w:firstLine="0" w:firstLineChars="0"/>
              <w:jc w:val="center"/>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技</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术</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规</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范</w:t>
            </w:r>
          </w:p>
        </w:tc>
        <w:tc>
          <w:tcPr>
            <w:tcW w:w="4361" w:type="dxa"/>
            <w:gridSpan w:val="2"/>
            <w:vAlign w:val="center"/>
          </w:tcPr>
          <w:p w14:paraId="3F9F3FC3">
            <w:pPr>
              <w:pStyle w:val="122"/>
              <w:snapToGrid w:val="0"/>
              <w:spacing w:line="480" w:lineRule="atLeast"/>
              <w:ind w:firstLine="0" w:firstLineChars="0"/>
              <w:jc w:val="center"/>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投</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标</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文</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件</w:t>
            </w:r>
          </w:p>
        </w:tc>
      </w:tr>
      <w:tr w14:paraId="586B61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vAlign w:val="center"/>
          </w:tcPr>
          <w:p w14:paraId="3E4AEA06">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1163" w:type="dxa"/>
            <w:vAlign w:val="center"/>
          </w:tcPr>
          <w:p w14:paraId="5B00ABFD">
            <w:pPr>
              <w:pStyle w:val="122"/>
              <w:snapToGrid w:val="0"/>
              <w:spacing w:line="480" w:lineRule="atLeast"/>
              <w:ind w:firstLine="0" w:firstLineChars="0"/>
              <w:jc w:val="center"/>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条</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目</w:t>
            </w:r>
          </w:p>
        </w:tc>
        <w:tc>
          <w:tcPr>
            <w:tcW w:w="2713" w:type="dxa"/>
            <w:vAlign w:val="center"/>
          </w:tcPr>
          <w:p w14:paraId="43D2F183">
            <w:pPr>
              <w:pStyle w:val="122"/>
              <w:snapToGrid w:val="0"/>
              <w:spacing w:line="480" w:lineRule="atLeast"/>
              <w:ind w:firstLine="0" w:firstLineChars="0"/>
              <w:jc w:val="center"/>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简</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要</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内</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容</w:t>
            </w:r>
          </w:p>
        </w:tc>
        <w:tc>
          <w:tcPr>
            <w:tcW w:w="1258" w:type="dxa"/>
            <w:vAlign w:val="center"/>
          </w:tcPr>
          <w:p w14:paraId="0E87F7F3">
            <w:pPr>
              <w:pStyle w:val="122"/>
              <w:snapToGrid w:val="0"/>
              <w:spacing w:line="480" w:lineRule="atLeast"/>
              <w:ind w:firstLine="0" w:firstLineChars="0"/>
              <w:jc w:val="center"/>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条</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目</w:t>
            </w:r>
          </w:p>
        </w:tc>
        <w:tc>
          <w:tcPr>
            <w:tcW w:w="3103" w:type="dxa"/>
            <w:vAlign w:val="center"/>
          </w:tcPr>
          <w:p w14:paraId="113FD216">
            <w:pPr>
              <w:pStyle w:val="122"/>
              <w:snapToGrid w:val="0"/>
              <w:spacing w:line="480" w:lineRule="atLeast"/>
              <w:ind w:firstLine="0" w:firstLineChars="0"/>
              <w:jc w:val="center"/>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简</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要</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内</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容</w:t>
            </w:r>
          </w:p>
        </w:tc>
      </w:tr>
      <w:tr w14:paraId="291D66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2A806924">
            <w:pPr>
              <w:pStyle w:val="122"/>
              <w:snapToGrid w:val="0"/>
              <w:spacing w:line="480" w:lineRule="atLeast"/>
              <w:ind w:firstLine="199" w:firstLineChars="83"/>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1</w:t>
            </w:r>
          </w:p>
        </w:tc>
        <w:tc>
          <w:tcPr>
            <w:tcW w:w="1163" w:type="dxa"/>
            <w:vAlign w:val="center"/>
          </w:tcPr>
          <w:p w14:paraId="1B4E5D53">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2713" w:type="dxa"/>
            <w:vAlign w:val="center"/>
          </w:tcPr>
          <w:p w14:paraId="285F0B6D">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1258" w:type="dxa"/>
            <w:vAlign w:val="center"/>
          </w:tcPr>
          <w:p w14:paraId="61461901">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3103" w:type="dxa"/>
            <w:vAlign w:val="center"/>
          </w:tcPr>
          <w:p w14:paraId="593A3558">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r>
      <w:tr w14:paraId="4F83BE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67E209CB">
            <w:pPr>
              <w:pStyle w:val="122"/>
              <w:snapToGrid w:val="0"/>
              <w:spacing w:line="480" w:lineRule="atLeast"/>
              <w:ind w:firstLine="199" w:firstLineChars="83"/>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2</w:t>
            </w:r>
          </w:p>
        </w:tc>
        <w:tc>
          <w:tcPr>
            <w:tcW w:w="1163" w:type="dxa"/>
            <w:vAlign w:val="center"/>
          </w:tcPr>
          <w:p w14:paraId="659EAC9A">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2713" w:type="dxa"/>
            <w:vAlign w:val="center"/>
          </w:tcPr>
          <w:p w14:paraId="13507374">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1258" w:type="dxa"/>
            <w:vAlign w:val="center"/>
          </w:tcPr>
          <w:p w14:paraId="1069E503">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3103" w:type="dxa"/>
            <w:vAlign w:val="center"/>
          </w:tcPr>
          <w:p w14:paraId="49835C96">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r>
      <w:tr w14:paraId="10565D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0C371166">
            <w:pPr>
              <w:pStyle w:val="122"/>
              <w:snapToGrid w:val="0"/>
              <w:spacing w:line="480" w:lineRule="atLeast"/>
              <w:ind w:firstLine="199" w:firstLineChars="83"/>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3</w:t>
            </w:r>
          </w:p>
        </w:tc>
        <w:tc>
          <w:tcPr>
            <w:tcW w:w="1163" w:type="dxa"/>
            <w:vAlign w:val="center"/>
          </w:tcPr>
          <w:p w14:paraId="37A33705">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2713" w:type="dxa"/>
            <w:vAlign w:val="center"/>
          </w:tcPr>
          <w:p w14:paraId="0B8280CE">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1258" w:type="dxa"/>
            <w:vAlign w:val="center"/>
          </w:tcPr>
          <w:p w14:paraId="289404FA">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3103" w:type="dxa"/>
            <w:vAlign w:val="center"/>
          </w:tcPr>
          <w:p w14:paraId="518FAFC1">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r>
      <w:tr w14:paraId="7FD600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5C405312">
            <w:pPr>
              <w:pStyle w:val="122"/>
              <w:snapToGrid w:val="0"/>
              <w:spacing w:line="480" w:lineRule="atLeast"/>
              <w:ind w:firstLine="199" w:firstLineChars="83"/>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4</w:t>
            </w:r>
          </w:p>
        </w:tc>
        <w:tc>
          <w:tcPr>
            <w:tcW w:w="1163" w:type="dxa"/>
            <w:vAlign w:val="center"/>
          </w:tcPr>
          <w:p w14:paraId="2ABFB255">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2713" w:type="dxa"/>
            <w:vAlign w:val="center"/>
          </w:tcPr>
          <w:p w14:paraId="172923B9">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1258" w:type="dxa"/>
            <w:vAlign w:val="center"/>
          </w:tcPr>
          <w:p w14:paraId="204C3691">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3103" w:type="dxa"/>
            <w:vAlign w:val="center"/>
          </w:tcPr>
          <w:p w14:paraId="26D621A8">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r>
      <w:tr w14:paraId="105212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4FE6991D">
            <w:pPr>
              <w:pStyle w:val="122"/>
              <w:snapToGrid w:val="0"/>
              <w:spacing w:line="480" w:lineRule="atLeast"/>
              <w:ind w:firstLine="199" w:firstLineChars="83"/>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5</w:t>
            </w:r>
          </w:p>
        </w:tc>
        <w:tc>
          <w:tcPr>
            <w:tcW w:w="1163" w:type="dxa"/>
            <w:vAlign w:val="center"/>
          </w:tcPr>
          <w:p w14:paraId="5C8CDA8E">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2713" w:type="dxa"/>
            <w:vAlign w:val="center"/>
          </w:tcPr>
          <w:p w14:paraId="22A95E71">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1258" w:type="dxa"/>
            <w:vAlign w:val="center"/>
          </w:tcPr>
          <w:p w14:paraId="5698DB42">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3103" w:type="dxa"/>
            <w:vAlign w:val="center"/>
          </w:tcPr>
          <w:p w14:paraId="41205462">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r>
      <w:tr w14:paraId="27FA49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379DF0EE">
            <w:pPr>
              <w:pStyle w:val="122"/>
              <w:snapToGrid w:val="0"/>
              <w:spacing w:line="480" w:lineRule="atLeast"/>
              <w:ind w:firstLine="199" w:firstLineChars="83"/>
              <w:rPr>
                <w:rFonts w:ascii="Times New Roman" w:hAnsi="Times New Roman" w:eastAsiaTheme="minorEastAsia"/>
                <w:color w:val="000000" w:themeColor="text1"/>
                <w:sz w:val="24"/>
                <w:szCs w:val="24"/>
                <w14:textFill>
                  <w14:solidFill>
                    <w14:schemeClr w14:val="tx1"/>
                  </w14:solidFill>
                </w14:textFill>
              </w:rPr>
            </w:pPr>
          </w:p>
        </w:tc>
        <w:tc>
          <w:tcPr>
            <w:tcW w:w="1163" w:type="dxa"/>
            <w:vAlign w:val="center"/>
          </w:tcPr>
          <w:p w14:paraId="4130A829">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2713" w:type="dxa"/>
            <w:vAlign w:val="center"/>
          </w:tcPr>
          <w:p w14:paraId="02B01499">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1258" w:type="dxa"/>
            <w:vAlign w:val="center"/>
          </w:tcPr>
          <w:p w14:paraId="3812F40B">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c>
          <w:tcPr>
            <w:tcW w:w="3103" w:type="dxa"/>
            <w:vAlign w:val="center"/>
          </w:tcPr>
          <w:p w14:paraId="4A292842">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tc>
      </w:tr>
    </w:tbl>
    <w:p w14:paraId="47ED8DBE">
      <w:pPr>
        <w:pStyle w:val="22"/>
        <w:adjustRightInd w:val="0"/>
        <w:snapToGrid w:val="0"/>
        <w:spacing w:line="360" w:lineRule="auto"/>
        <w:rPr>
          <w:rFonts w:ascii="Times New Roman" w:hAnsi="Times New Roman"/>
          <w:color w:val="000000" w:themeColor="text1"/>
          <w:szCs w:val="21"/>
          <w14:textFill>
            <w14:solidFill>
              <w14:schemeClr w14:val="tx1"/>
            </w14:solidFill>
          </w14:textFill>
        </w:rPr>
      </w:pPr>
    </w:p>
    <w:p w14:paraId="7F63972C">
      <w:pPr>
        <w:pStyle w:val="122"/>
        <w:snapToGrid w:val="0"/>
        <w:spacing w:line="480" w:lineRule="atLeast"/>
        <w:ind w:firstLine="4080" w:firstLineChars="170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投标方：</w:t>
      </w:r>
      <w:r>
        <w:rPr>
          <w:rFonts w:ascii="Times New Roman" w:hAnsi="Times New Roman" w:eastAsiaTheme="minorEastAsia"/>
          <w:color w:val="000000" w:themeColor="text1"/>
          <w:sz w:val="24"/>
          <w:szCs w:val="24"/>
          <w:u w:val="single"/>
          <w14:textFill>
            <w14:solidFill>
              <w14:schemeClr w14:val="tx1"/>
            </w14:solidFill>
          </w14:textFill>
        </w:rPr>
        <w:t xml:space="preserve">             </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盖章：</w:t>
      </w:r>
    </w:p>
    <w:p w14:paraId="2AAB7B6E">
      <w:pPr>
        <w:snapToGrid w:val="0"/>
        <w:spacing w:line="480" w:lineRule="atLeast"/>
        <w:ind w:left="480" w:hanging="480" w:hanging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注：投标方应将所供设备与本规范有差异之处，无论优于或劣于本技术规范的要求，均应填写在上表中，如不填写技术偏差表则被视为完全满足本技术规范的要求。</w:t>
      </w:r>
    </w:p>
    <w:p w14:paraId="0FAAFBF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p>
    <w:bookmarkEnd w:id="41"/>
    <w:bookmarkEnd w:id="42"/>
    <w:bookmarkEnd w:id="53"/>
    <w:p w14:paraId="2D90CD68">
      <w:pPr>
        <w:pStyle w:val="2"/>
        <w:keepNext w:val="0"/>
        <w:keepLines w:val="0"/>
        <w:spacing w:line="480" w:lineRule="atLeast"/>
        <w:ind w:right="0" w:rightChars="0" w:firstLine="482" w:firstLineChars="200"/>
        <w:rPr>
          <w:rStyle w:val="55"/>
          <w:rFonts w:eastAsiaTheme="minorEastAsia"/>
          <w:b/>
          <w:bCs/>
          <w:color w:val="000000" w:themeColor="text1"/>
          <w:sz w:val="24"/>
          <w:szCs w:val="24"/>
          <w14:textFill>
            <w14:solidFill>
              <w14:schemeClr w14:val="tx1"/>
            </w14:solidFill>
          </w14:textFill>
        </w:rPr>
      </w:pPr>
      <w:bookmarkStart w:id="64" w:name="_Toc278226475"/>
      <w:bookmarkStart w:id="65" w:name="_Toc279850588"/>
      <w:bookmarkStart w:id="66" w:name="_Toc282788470"/>
      <w:bookmarkStart w:id="67" w:name="_Toc526079147"/>
      <w:bookmarkStart w:id="68" w:name="_Toc526064863"/>
      <w:bookmarkStart w:id="69" w:name="_Toc526079253"/>
      <w:bookmarkStart w:id="70" w:name="_Toc279850175"/>
      <w:bookmarkStart w:id="71" w:name="_Toc220074662"/>
      <w:r>
        <w:rPr>
          <w:rStyle w:val="55"/>
          <w:rFonts w:eastAsiaTheme="minorEastAsia"/>
          <w:b/>
          <w:bCs/>
          <w:color w:val="000000" w:themeColor="text1"/>
          <w:sz w:val="24"/>
          <w:szCs w:val="24"/>
          <w14:textFill>
            <w14:solidFill>
              <w14:schemeClr w14:val="tx1"/>
            </w14:solidFill>
          </w14:textFill>
        </w:rPr>
        <w:t>表5  技术参数响应表</w:t>
      </w:r>
      <w:bookmarkEnd w:id="64"/>
      <w:bookmarkEnd w:id="65"/>
      <w:bookmarkEnd w:id="66"/>
      <w:bookmarkEnd w:id="67"/>
      <w:bookmarkEnd w:id="68"/>
      <w:bookmarkEnd w:id="69"/>
      <w:bookmarkEnd w:id="70"/>
      <w:bookmarkEnd w:id="71"/>
    </w:p>
    <w:p w14:paraId="696CD5AA">
      <w:pPr>
        <w:snapToGrid w:val="0"/>
        <w:spacing w:line="480" w:lineRule="atLeast"/>
        <w:jc w:val="center"/>
        <w:outlineLvl w:val="1"/>
        <w:rPr>
          <w:b/>
          <w:color w:val="000000" w:themeColor="text1"/>
          <w:sz w:val="24"/>
          <w:szCs w:val="24"/>
          <w14:textFill>
            <w14:solidFill>
              <w14:schemeClr w14:val="tx1"/>
            </w14:solidFill>
          </w14:textFill>
        </w:rPr>
      </w:pPr>
      <w:bookmarkStart w:id="72" w:name="_Toc389231060"/>
      <w:bookmarkStart w:id="73" w:name="_Toc279850598"/>
      <w:bookmarkStart w:id="74" w:name="_Toc279850185"/>
      <w:bookmarkStart w:id="75" w:name="_Toc389230937"/>
      <w:r>
        <w:rPr>
          <w:rFonts w:hint="eastAsia"/>
          <w:b/>
          <w:color w:val="000000" w:themeColor="text1"/>
          <w:sz w:val="24"/>
          <w:szCs w:val="24"/>
          <w14:textFill>
            <w14:solidFill>
              <w14:schemeClr w14:val="tx1"/>
            </w14:solidFill>
          </w14:textFill>
        </w:rPr>
        <w:t>多联机空调机组（各系统分开填写）</w:t>
      </w:r>
    </w:p>
    <w:tbl>
      <w:tblPr>
        <w:tblStyle w:val="41"/>
        <w:tblW w:w="43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3276"/>
        <w:gridCol w:w="3697"/>
        <w:gridCol w:w="876"/>
      </w:tblGrid>
      <w:tr w14:paraId="39466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blHeader/>
          <w:jc w:val="center"/>
        </w:trPr>
        <w:tc>
          <w:tcPr>
            <w:tcW w:w="2087" w:type="pct"/>
            <w:vAlign w:val="center"/>
          </w:tcPr>
          <w:p w14:paraId="0F4DD0D9">
            <w:pPr>
              <w:snapToGrid w:val="0"/>
              <w:spacing w:line="480" w:lineRule="atLeast"/>
              <w:jc w:val="center"/>
              <w:rPr>
                <w:rFonts w:ascii="宋体" w:hAnsi="宋体"/>
                <w:szCs w:val="24"/>
              </w:rPr>
            </w:pPr>
            <w:r>
              <w:rPr>
                <w:rFonts w:hint="eastAsia" w:ascii="宋体" w:hAnsi="宋体"/>
                <w:szCs w:val="24"/>
              </w:rPr>
              <w:t>项</w:t>
            </w:r>
            <w:r>
              <w:rPr>
                <w:rFonts w:ascii="宋体" w:hAnsi="宋体"/>
                <w:szCs w:val="24"/>
              </w:rPr>
              <w:t xml:space="preserve">  </w:t>
            </w:r>
            <w:r>
              <w:rPr>
                <w:rFonts w:hint="eastAsia" w:ascii="宋体" w:hAnsi="宋体"/>
                <w:szCs w:val="24"/>
              </w:rPr>
              <w:t>目</w:t>
            </w:r>
          </w:p>
        </w:tc>
        <w:tc>
          <w:tcPr>
            <w:tcW w:w="2355" w:type="pct"/>
            <w:vAlign w:val="center"/>
          </w:tcPr>
          <w:p w14:paraId="3751D280">
            <w:pPr>
              <w:snapToGrid w:val="0"/>
              <w:spacing w:line="480" w:lineRule="atLeast"/>
              <w:jc w:val="center"/>
              <w:rPr>
                <w:rFonts w:ascii="宋体" w:hAnsi="宋体"/>
                <w:szCs w:val="24"/>
              </w:rPr>
            </w:pPr>
            <w:r>
              <w:rPr>
                <w:rFonts w:hint="eastAsia" w:ascii="宋体" w:hAnsi="宋体"/>
                <w:szCs w:val="24"/>
              </w:rPr>
              <w:t>技术参数或说明</w:t>
            </w:r>
          </w:p>
        </w:tc>
        <w:tc>
          <w:tcPr>
            <w:tcW w:w="558" w:type="pct"/>
            <w:vAlign w:val="center"/>
          </w:tcPr>
          <w:p w14:paraId="59053EC8">
            <w:pPr>
              <w:snapToGrid w:val="0"/>
              <w:spacing w:line="480" w:lineRule="atLeast"/>
              <w:jc w:val="center"/>
              <w:rPr>
                <w:rFonts w:ascii="宋体" w:hAnsi="宋体"/>
                <w:szCs w:val="24"/>
              </w:rPr>
            </w:pPr>
            <w:r>
              <w:rPr>
                <w:rFonts w:hint="eastAsia" w:ascii="宋体" w:hAnsi="宋体"/>
                <w:szCs w:val="24"/>
              </w:rPr>
              <w:t>单</w:t>
            </w:r>
            <w:r>
              <w:rPr>
                <w:rFonts w:ascii="宋体" w:hAnsi="宋体"/>
                <w:szCs w:val="24"/>
              </w:rPr>
              <w:t xml:space="preserve">  </w:t>
            </w:r>
            <w:r>
              <w:rPr>
                <w:rFonts w:hint="eastAsia" w:ascii="宋体" w:hAnsi="宋体"/>
                <w:szCs w:val="24"/>
              </w:rPr>
              <w:t>位</w:t>
            </w:r>
          </w:p>
        </w:tc>
      </w:tr>
      <w:tr w14:paraId="50830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000" w:type="pct"/>
            <w:gridSpan w:val="3"/>
            <w:vAlign w:val="center"/>
          </w:tcPr>
          <w:p w14:paraId="5CEB78B8">
            <w:pPr>
              <w:snapToGrid w:val="0"/>
              <w:spacing w:line="480" w:lineRule="atLeast"/>
              <w:rPr>
                <w:rFonts w:ascii="宋体" w:hAnsi="宋体"/>
                <w:sz w:val="24"/>
                <w:szCs w:val="24"/>
              </w:rPr>
            </w:pPr>
            <w:r>
              <w:rPr>
                <w:rFonts w:hint="eastAsia" w:ascii="宋体" w:hAnsi="宋体"/>
                <w:b/>
                <w:sz w:val="24"/>
                <w:szCs w:val="24"/>
              </w:rPr>
              <w:t>室外机 1/2/…</w:t>
            </w:r>
          </w:p>
        </w:tc>
      </w:tr>
      <w:tr w14:paraId="5F4D7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4E31F56B">
            <w:pPr>
              <w:snapToGrid w:val="0"/>
              <w:spacing w:line="480" w:lineRule="atLeast"/>
              <w:jc w:val="left"/>
              <w:rPr>
                <w:rFonts w:ascii="宋体" w:hAnsi="宋体"/>
                <w:sz w:val="24"/>
                <w:szCs w:val="24"/>
              </w:rPr>
            </w:pPr>
            <w:r>
              <w:rPr>
                <w:rFonts w:hint="eastAsia" w:ascii="宋体" w:hAnsi="宋体"/>
                <w:sz w:val="24"/>
                <w:szCs w:val="24"/>
              </w:rPr>
              <w:t>型号</w:t>
            </w:r>
          </w:p>
        </w:tc>
        <w:tc>
          <w:tcPr>
            <w:tcW w:w="2355" w:type="pct"/>
            <w:vAlign w:val="center"/>
          </w:tcPr>
          <w:p w14:paraId="6DA0DCF7">
            <w:pPr>
              <w:snapToGrid w:val="0"/>
              <w:spacing w:line="480" w:lineRule="atLeast"/>
              <w:jc w:val="center"/>
              <w:rPr>
                <w:rFonts w:ascii="宋体" w:hAnsi="宋体"/>
                <w:sz w:val="24"/>
                <w:szCs w:val="24"/>
              </w:rPr>
            </w:pPr>
          </w:p>
        </w:tc>
        <w:tc>
          <w:tcPr>
            <w:tcW w:w="558" w:type="pct"/>
            <w:vAlign w:val="center"/>
          </w:tcPr>
          <w:p w14:paraId="4F49DA6E">
            <w:pPr>
              <w:snapToGrid w:val="0"/>
              <w:spacing w:line="480" w:lineRule="atLeast"/>
              <w:jc w:val="center"/>
              <w:rPr>
                <w:rFonts w:ascii="宋体" w:hAnsi="宋体"/>
                <w:sz w:val="24"/>
                <w:szCs w:val="24"/>
              </w:rPr>
            </w:pPr>
          </w:p>
        </w:tc>
      </w:tr>
      <w:tr w14:paraId="29CF9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3A65ABE8">
            <w:pPr>
              <w:snapToGrid w:val="0"/>
              <w:spacing w:line="480" w:lineRule="atLeast"/>
              <w:jc w:val="left"/>
              <w:rPr>
                <w:rFonts w:ascii="宋体" w:hAnsi="宋体"/>
                <w:sz w:val="24"/>
                <w:szCs w:val="24"/>
              </w:rPr>
            </w:pPr>
            <w:r>
              <w:rPr>
                <w:rFonts w:hint="eastAsia" w:ascii="宋体" w:hAnsi="宋体"/>
                <w:sz w:val="24"/>
                <w:szCs w:val="24"/>
              </w:rPr>
              <w:t>数量</w:t>
            </w:r>
          </w:p>
        </w:tc>
        <w:tc>
          <w:tcPr>
            <w:tcW w:w="2355" w:type="pct"/>
            <w:vAlign w:val="center"/>
          </w:tcPr>
          <w:p w14:paraId="6980B912">
            <w:pPr>
              <w:snapToGrid w:val="0"/>
              <w:spacing w:line="480" w:lineRule="atLeast"/>
              <w:jc w:val="center"/>
              <w:rPr>
                <w:rFonts w:ascii="宋体" w:hAnsi="宋体"/>
                <w:sz w:val="24"/>
                <w:szCs w:val="24"/>
              </w:rPr>
            </w:pPr>
          </w:p>
        </w:tc>
        <w:tc>
          <w:tcPr>
            <w:tcW w:w="558" w:type="pct"/>
            <w:vAlign w:val="center"/>
          </w:tcPr>
          <w:p w14:paraId="0A48E6EC">
            <w:pPr>
              <w:snapToGrid w:val="0"/>
              <w:spacing w:line="480" w:lineRule="atLeast"/>
              <w:jc w:val="center"/>
              <w:rPr>
                <w:rFonts w:ascii="宋体" w:hAnsi="宋体"/>
                <w:sz w:val="24"/>
                <w:szCs w:val="24"/>
              </w:rPr>
            </w:pPr>
            <w:r>
              <w:rPr>
                <w:rFonts w:hint="eastAsia" w:ascii="宋体" w:hAnsi="宋体"/>
                <w:sz w:val="24"/>
                <w:szCs w:val="24"/>
              </w:rPr>
              <w:t>台</w:t>
            </w:r>
          </w:p>
        </w:tc>
      </w:tr>
      <w:tr w14:paraId="11C92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1BE53A42">
            <w:pPr>
              <w:snapToGrid w:val="0"/>
              <w:spacing w:line="480" w:lineRule="atLeast"/>
              <w:jc w:val="left"/>
              <w:rPr>
                <w:rFonts w:ascii="宋体" w:hAnsi="宋体"/>
                <w:sz w:val="24"/>
                <w:szCs w:val="24"/>
              </w:rPr>
            </w:pPr>
            <w:r>
              <w:rPr>
                <w:rFonts w:hint="eastAsia" w:ascii="宋体" w:hAnsi="宋体"/>
                <w:sz w:val="24"/>
                <w:szCs w:val="24"/>
              </w:rPr>
              <w:t>制造商</w:t>
            </w:r>
          </w:p>
        </w:tc>
        <w:tc>
          <w:tcPr>
            <w:tcW w:w="2355" w:type="pct"/>
            <w:vAlign w:val="center"/>
          </w:tcPr>
          <w:p w14:paraId="43F8C015">
            <w:pPr>
              <w:snapToGrid w:val="0"/>
              <w:spacing w:line="480" w:lineRule="atLeast"/>
              <w:jc w:val="center"/>
              <w:rPr>
                <w:rFonts w:ascii="宋体" w:hAnsi="宋体"/>
                <w:sz w:val="24"/>
                <w:szCs w:val="24"/>
              </w:rPr>
            </w:pPr>
          </w:p>
        </w:tc>
        <w:tc>
          <w:tcPr>
            <w:tcW w:w="558" w:type="pct"/>
            <w:vAlign w:val="center"/>
          </w:tcPr>
          <w:p w14:paraId="38EDB1C2">
            <w:pPr>
              <w:snapToGrid w:val="0"/>
              <w:spacing w:line="480" w:lineRule="atLeast"/>
              <w:jc w:val="center"/>
              <w:rPr>
                <w:rFonts w:ascii="宋体" w:hAnsi="宋体"/>
                <w:sz w:val="24"/>
                <w:szCs w:val="24"/>
              </w:rPr>
            </w:pPr>
          </w:p>
        </w:tc>
      </w:tr>
      <w:tr w14:paraId="048B6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6D0DC819">
            <w:pPr>
              <w:snapToGrid w:val="0"/>
              <w:spacing w:line="480" w:lineRule="atLeast"/>
              <w:jc w:val="left"/>
              <w:rPr>
                <w:rFonts w:ascii="宋体" w:hAnsi="宋体"/>
                <w:sz w:val="24"/>
                <w:szCs w:val="24"/>
              </w:rPr>
            </w:pPr>
            <w:r>
              <w:rPr>
                <w:rFonts w:ascii="宋体" w:hAnsi="宋体"/>
                <w:sz w:val="24"/>
                <w:szCs w:val="24"/>
              </w:rPr>
              <w:t>IPLV</w:t>
            </w:r>
          </w:p>
        </w:tc>
        <w:tc>
          <w:tcPr>
            <w:tcW w:w="2355" w:type="pct"/>
            <w:vAlign w:val="center"/>
          </w:tcPr>
          <w:p w14:paraId="44C263D6">
            <w:pPr>
              <w:snapToGrid w:val="0"/>
              <w:spacing w:line="480" w:lineRule="atLeast"/>
              <w:jc w:val="center"/>
              <w:rPr>
                <w:rFonts w:ascii="宋体" w:hAnsi="宋体"/>
                <w:sz w:val="24"/>
                <w:szCs w:val="24"/>
              </w:rPr>
            </w:pPr>
          </w:p>
        </w:tc>
        <w:tc>
          <w:tcPr>
            <w:tcW w:w="558" w:type="pct"/>
            <w:vAlign w:val="center"/>
          </w:tcPr>
          <w:p w14:paraId="707CF336">
            <w:pPr>
              <w:snapToGrid w:val="0"/>
              <w:spacing w:line="480" w:lineRule="atLeast"/>
              <w:jc w:val="center"/>
              <w:rPr>
                <w:rFonts w:ascii="宋体" w:hAnsi="宋体"/>
                <w:sz w:val="24"/>
                <w:szCs w:val="24"/>
              </w:rPr>
            </w:pPr>
          </w:p>
        </w:tc>
      </w:tr>
      <w:tr w14:paraId="5658E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72654896">
            <w:pPr>
              <w:snapToGrid w:val="0"/>
              <w:spacing w:line="480" w:lineRule="atLeast"/>
              <w:jc w:val="left"/>
              <w:rPr>
                <w:rFonts w:ascii="宋体" w:hAnsi="宋体"/>
                <w:sz w:val="24"/>
                <w:szCs w:val="24"/>
              </w:rPr>
            </w:pPr>
            <w:r>
              <w:rPr>
                <w:rFonts w:hint="eastAsia" w:ascii="宋体" w:hAnsi="宋体"/>
                <w:sz w:val="24"/>
                <w:szCs w:val="24"/>
              </w:rPr>
              <w:t>机组名义制冷量</w:t>
            </w:r>
          </w:p>
        </w:tc>
        <w:tc>
          <w:tcPr>
            <w:tcW w:w="2355" w:type="pct"/>
            <w:vAlign w:val="center"/>
          </w:tcPr>
          <w:p w14:paraId="329E9D87">
            <w:pPr>
              <w:snapToGrid w:val="0"/>
              <w:spacing w:line="480" w:lineRule="atLeast"/>
              <w:jc w:val="center"/>
              <w:rPr>
                <w:rFonts w:ascii="宋体" w:hAnsi="宋体"/>
                <w:sz w:val="24"/>
                <w:szCs w:val="24"/>
              </w:rPr>
            </w:pPr>
          </w:p>
        </w:tc>
        <w:tc>
          <w:tcPr>
            <w:tcW w:w="558" w:type="pct"/>
            <w:vAlign w:val="center"/>
          </w:tcPr>
          <w:p w14:paraId="0A0E016A">
            <w:pPr>
              <w:snapToGrid w:val="0"/>
              <w:spacing w:line="480" w:lineRule="atLeast"/>
              <w:jc w:val="center"/>
              <w:rPr>
                <w:rFonts w:ascii="宋体" w:hAnsi="宋体"/>
                <w:sz w:val="24"/>
                <w:szCs w:val="24"/>
              </w:rPr>
            </w:pPr>
            <w:r>
              <w:rPr>
                <w:rFonts w:ascii="宋体" w:hAnsi="宋体"/>
                <w:sz w:val="24"/>
                <w:szCs w:val="24"/>
              </w:rPr>
              <w:t>kW</w:t>
            </w:r>
          </w:p>
        </w:tc>
      </w:tr>
      <w:tr w14:paraId="44304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2C12AEDE">
            <w:pPr>
              <w:snapToGrid w:val="0"/>
              <w:spacing w:line="480" w:lineRule="atLeast"/>
              <w:jc w:val="left"/>
              <w:rPr>
                <w:rFonts w:ascii="宋体" w:hAnsi="宋体"/>
                <w:sz w:val="24"/>
                <w:szCs w:val="24"/>
              </w:rPr>
            </w:pPr>
            <w:r>
              <w:rPr>
                <w:rFonts w:hint="eastAsia" w:ascii="宋体" w:hAnsi="宋体"/>
                <w:sz w:val="24"/>
                <w:szCs w:val="24"/>
              </w:rPr>
              <w:t>机组名义制热量</w:t>
            </w:r>
          </w:p>
        </w:tc>
        <w:tc>
          <w:tcPr>
            <w:tcW w:w="2355" w:type="pct"/>
            <w:vAlign w:val="center"/>
          </w:tcPr>
          <w:p w14:paraId="63CB53F6">
            <w:pPr>
              <w:snapToGrid w:val="0"/>
              <w:spacing w:line="480" w:lineRule="atLeast"/>
              <w:jc w:val="center"/>
              <w:rPr>
                <w:rFonts w:ascii="宋体" w:hAnsi="宋体"/>
                <w:sz w:val="24"/>
                <w:szCs w:val="24"/>
              </w:rPr>
            </w:pPr>
          </w:p>
        </w:tc>
        <w:tc>
          <w:tcPr>
            <w:tcW w:w="558" w:type="pct"/>
            <w:vAlign w:val="center"/>
          </w:tcPr>
          <w:p w14:paraId="0A60F1FE">
            <w:pPr>
              <w:snapToGrid w:val="0"/>
              <w:spacing w:line="480" w:lineRule="atLeast"/>
              <w:jc w:val="center"/>
              <w:rPr>
                <w:rFonts w:ascii="宋体" w:hAnsi="宋体"/>
                <w:sz w:val="24"/>
                <w:szCs w:val="24"/>
              </w:rPr>
            </w:pPr>
            <w:r>
              <w:rPr>
                <w:rFonts w:ascii="宋体" w:hAnsi="宋体"/>
                <w:sz w:val="24"/>
                <w:szCs w:val="24"/>
              </w:rPr>
              <w:t>kW</w:t>
            </w:r>
          </w:p>
        </w:tc>
      </w:tr>
      <w:tr w14:paraId="42B39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0B1858A0">
            <w:pPr>
              <w:snapToGrid w:val="0"/>
              <w:spacing w:line="480" w:lineRule="atLeast"/>
              <w:jc w:val="left"/>
              <w:rPr>
                <w:rFonts w:ascii="宋体" w:hAnsi="宋体"/>
                <w:sz w:val="24"/>
                <w:szCs w:val="24"/>
              </w:rPr>
            </w:pPr>
            <w:r>
              <w:rPr>
                <w:rFonts w:hint="eastAsia" w:ascii="宋体" w:hAnsi="宋体"/>
                <w:sz w:val="24"/>
                <w:szCs w:val="24"/>
              </w:rPr>
              <w:t>冷量/热量调节范围</w:t>
            </w:r>
          </w:p>
        </w:tc>
        <w:tc>
          <w:tcPr>
            <w:tcW w:w="2355" w:type="pct"/>
            <w:vAlign w:val="center"/>
          </w:tcPr>
          <w:p w14:paraId="400CB02A">
            <w:pPr>
              <w:snapToGrid w:val="0"/>
              <w:spacing w:line="480" w:lineRule="atLeast"/>
              <w:jc w:val="center"/>
              <w:rPr>
                <w:rFonts w:ascii="宋体" w:hAnsi="宋体"/>
                <w:sz w:val="24"/>
                <w:szCs w:val="24"/>
              </w:rPr>
            </w:pPr>
          </w:p>
        </w:tc>
        <w:tc>
          <w:tcPr>
            <w:tcW w:w="558" w:type="pct"/>
            <w:vAlign w:val="center"/>
          </w:tcPr>
          <w:p w14:paraId="41CF2462">
            <w:pPr>
              <w:snapToGrid w:val="0"/>
              <w:spacing w:line="480" w:lineRule="atLeast"/>
              <w:jc w:val="center"/>
              <w:rPr>
                <w:rFonts w:ascii="宋体" w:hAnsi="宋体"/>
                <w:sz w:val="24"/>
                <w:szCs w:val="24"/>
              </w:rPr>
            </w:pPr>
            <w:r>
              <w:rPr>
                <w:rFonts w:hint="eastAsia" w:ascii="宋体" w:hAnsi="宋体"/>
                <w:sz w:val="24"/>
                <w:szCs w:val="24"/>
              </w:rPr>
              <w:t>%</w:t>
            </w:r>
          </w:p>
        </w:tc>
      </w:tr>
      <w:tr w14:paraId="3F0C2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7EC2F432">
            <w:pPr>
              <w:snapToGrid w:val="0"/>
              <w:spacing w:line="480" w:lineRule="atLeast"/>
              <w:jc w:val="left"/>
              <w:rPr>
                <w:rFonts w:ascii="宋体" w:hAnsi="宋体"/>
                <w:sz w:val="24"/>
                <w:szCs w:val="24"/>
              </w:rPr>
            </w:pPr>
            <w:r>
              <w:rPr>
                <w:rFonts w:hint="eastAsia" w:ascii="宋体" w:hAnsi="宋体"/>
                <w:sz w:val="24"/>
                <w:szCs w:val="24"/>
              </w:rPr>
              <w:t>机组名义制冷额定功率</w:t>
            </w:r>
          </w:p>
        </w:tc>
        <w:tc>
          <w:tcPr>
            <w:tcW w:w="2355" w:type="pct"/>
            <w:vAlign w:val="center"/>
          </w:tcPr>
          <w:p w14:paraId="181F1675">
            <w:pPr>
              <w:snapToGrid w:val="0"/>
              <w:spacing w:line="480" w:lineRule="atLeast"/>
              <w:jc w:val="center"/>
              <w:rPr>
                <w:rFonts w:ascii="宋体" w:hAnsi="宋体"/>
                <w:sz w:val="24"/>
                <w:szCs w:val="24"/>
              </w:rPr>
            </w:pPr>
          </w:p>
        </w:tc>
        <w:tc>
          <w:tcPr>
            <w:tcW w:w="558" w:type="pct"/>
            <w:vAlign w:val="center"/>
          </w:tcPr>
          <w:p w14:paraId="7BAD3661">
            <w:pPr>
              <w:snapToGrid w:val="0"/>
              <w:spacing w:line="480" w:lineRule="atLeast"/>
              <w:jc w:val="center"/>
              <w:rPr>
                <w:rFonts w:ascii="宋体" w:hAnsi="宋体"/>
                <w:sz w:val="24"/>
                <w:szCs w:val="24"/>
              </w:rPr>
            </w:pPr>
            <w:r>
              <w:rPr>
                <w:rFonts w:ascii="宋体" w:hAnsi="宋体"/>
                <w:sz w:val="24"/>
                <w:szCs w:val="24"/>
              </w:rPr>
              <w:t>kW</w:t>
            </w:r>
          </w:p>
        </w:tc>
      </w:tr>
      <w:tr w14:paraId="2A550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50B68758">
            <w:pPr>
              <w:snapToGrid w:val="0"/>
              <w:spacing w:line="480" w:lineRule="atLeast"/>
              <w:jc w:val="left"/>
              <w:rPr>
                <w:rFonts w:ascii="宋体" w:hAnsi="宋体"/>
                <w:sz w:val="24"/>
                <w:szCs w:val="24"/>
              </w:rPr>
            </w:pPr>
            <w:r>
              <w:rPr>
                <w:rFonts w:hint="eastAsia" w:ascii="宋体" w:hAnsi="宋体"/>
                <w:sz w:val="24"/>
                <w:szCs w:val="24"/>
              </w:rPr>
              <w:t>机组名义制热额定功率</w:t>
            </w:r>
          </w:p>
        </w:tc>
        <w:tc>
          <w:tcPr>
            <w:tcW w:w="2355" w:type="pct"/>
            <w:vAlign w:val="center"/>
          </w:tcPr>
          <w:p w14:paraId="05732B84">
            <w:pPr>
              <w:snapToGrid w:val="0"/>
              <w:spacing w:line="480" w:lineRule="atLeast"/>
              <w:jc w:val="center"/>
              <w:rPr>
                <w:rFonts w:ascii="宋体" w:hAnsi="宋体"/>
                <w:sz w:val="24"/>
                <w:szCs w:val="24"/>
              </w:rPr>
            </w:pPr>
          </w:p>
        </w:tc>
        <w:tc>
          <w:tcPr>
            <w:tcW w:w="558" w:type="pct"/>
            <w:vAlign w:val="center"/>
          </w:tcPr>
          <w:p w14:paraId="2E5913B0">
            <w:pPr>
              <w:snapToGrid w:val="0"/>
              <w:spacing w:line="480" w:lineRule="atLeast"/>
              <w:jc w:val="center"/>
              <w:rPr>
                <w:rFonts w:ascii="宋体" w:hAnsi="宋体"/>
                <w:sz w:val="24"/>
                <w:szCs w:val="24"/>
              </w:rPr>
            </w:pPr>
            <w:r>
              <w:rPr>
                <w:rFonts w:ascii="宋体" w:hAnsi="宋体"/>
                <w:sz w:val="24"/>
                <w:szCs w:val="24"/>
              </w:rPr>
              <w:t>kW</w:t>
            </w:r>
          </w:p>
        </w:tc>
      </w:tr>
      <w:tr w14:paraId="2612A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1B9E4915">
            <w:pPr>
              <w:snapToGrid w:val="0"/>
              <w:spacing w:line="480" w:lineRule="atLeast"/>
              <w:jc w:val="left"/>
              <w:rPr>
                <w:rFonts w:ascii="宋体" w:hAnsi="宋体"/>
                <w:sz w:val="24"/>
                <w:szCs w:val="24"/>
              </w:rPr>
            </w:pPr>
            <w:r>
              <w:rPr>
                <w:rFonts w:hint="eastAsia" w:ascii="宋体" w:hAnsi="宋体"/>
                <w:sz w:val="24"/>
                <w:szCs w:val="24"/>
              </w:rPr>
              <w:t>机组最大运行功率</w:t>
            </w:r>
          </w:p>
        </w:tc>
        <w:tc>
          <w:tcPr>
            <w:tcW w:w="2355" w:type="pct"/>
            <w:vAlign w:val="center"/>
          </w:tcPr>
          <w:p w14:paraId="22667D80">
            <w:pPr>
              <w:snapToGrid w:val="0"/>
              <w:spacing w:line="480" w:lineRule="atLeast"/>
              <w:jc w:val="center"/>
              <w:rPr>
                <w:rFonts w:ascii="宋体" w:hAnsi="宋体"/>
                <w:sz w:val="24"/>
                <w:szCs w:val="24"/>
              </w:rPr>
            </w:pPr>
          </w:p>
        </w:tc>
        <w:tc>
          <w:tcPr>
            <w:tcW w:w="558" w:type="pct"/>
            <w:vAlign w:val="center"/>
          </w:tcPr>
          <w:p w14:paraId="50E96D4B">
            <w:pPr>
              <w:snapToGrid w:val="0"/>
              <w:spacing w:line="480" w:lineRule="atLeast"/>
              <w:jc w:val="center"/>
              <w:rPr>
                <w:rFonts w:ascii="宋体" w:hAnsi="宋体"/>
                <w:sz w:val="24"/>
                <w:szCs w:val="24"/>
              </w:rPr>
            </w:pPr>
            <w:r>
              <w:rPr>
                <w:rFonts w:ascii="宋体" w:hAnsi="宋体"/>
                <w:sz w:val="24"/>
                <w:szCs w:val="24"/>
              </w:rPr>
              <w:t>kW</w:t>
            </w:r>
          </w:p>
        </w:tc>
      </w:tr>
      <w:tr w14:paraId="0F45A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35DA6F16">
            <w:pPr>
              <w:snapToGrid w:val="0"/>
              <w:spacing w:line="480" w:lineRule="atLeast"/>
              <w:jc w:val="left"/>
              <w:rPr>
                <w:rFonts w:ascii="宋体" w:hAnsi="宋体"/>
                <w:sz w:val="24"/>
                <w:szCs w:val="24"/>
              </w:rPr>
            </w:pPr>
            <w:r>
              <w:rPr>
                <w:rFonts w:hint="eastAsia" w:ascii="宋体" w:hAnsi="宋体"/>
                <w:sz w:val="24"/>
                <w:szCs w:val="24"/>
              </w:rPr>
              <w:t>机组最大启动电流</w:t>
            </w:r>
          </w:p>
        </w:tc>
        <w:tc>
          <w:tcPr>
            <w:tcW w:w="2355" w:type="pct"/>
            <w:vAlign w:val="center"/>
          </w:tcPr>
          <w:p w14:paraId="17E47F5A">
            <w:pPr>
              <w:snapToGrid w:val="0"/>
              <w:spacing w:line="480" w:lineRule="atLeast"/>
              <w:jc w:val="center"/>
              <w:rPr>
                <w:rFonts w:ascii="宋体" w:hAnsi="宋体"/>
                <w:sz w:val="24"/>
                <w:szCs w:val="24"/>
              </w:rPr>
            </w:pPr>
          </w:p>
        </w:tc>
        <w:tc>
          <w:tcPr>
            <w:tcW w:w="558" w:type="pct"/>
            <w:vAlign w:val="center"/>
          </w:tcPr>
          <w:p w14:paraId="33F669CD">
            <w:pPr>
              <w:snapToGrid w:val="0"/>
              <w:spacing w:line="480" w:lineRule="atLeast"/>
              <w:jc w:val="center"/>
              <w:rPr>
                <w:rFonts w:ascii="宋体" w:hAnsi="宋体"/>
                <w:sz w:val="24"/>
                <w:szCs w:val="24"/>
              </w:rPr>
            </w:pPr>
            <w:r>
              <w:rPr>
                <w:rFonts w:ascii="宋体" w:hAnsi="宋体"/>
                <w:sz w:val="24"/>
                <w:szCs w:val="24"/>
              </w:rPr>
              <w:t>A</w:t>
            </w:r>
          </w:p>
        </w:tc>
      </w:tr>
      <w:tr w14:paraId="7A0BF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7E884166">
            <w:pPr>
              <w:snapToGrid w:val="0"/>
              <w:spacing w:line="480" w:lineRule="atLeast"/>
              <w:jc w:val="left"/>
              <w:rPr>
                <w:rFonts w:ascii="宋体" w:hAnsi="宋体"/>
                <w:sz w:val="24"/>
                <w:szCs w:val="24"/>
              </w:rPr>
            </w:pPr>
            <w:r>
              <w:rPr>
                <w:rFonts w:hint="eastAsia" w:ascii="宋体" w:hAnsi="宋体"/>
                <w:sz w:val="24"/>
                <w:szCs w:val="24"/>
              </w:rPr>
              <w:t>制冷剂及其重量</w:t>
            </w:r>
          </w:p>
        </w:tc>
        <w:tc>
          <w:tcPr>
            <w:tcW w:w="2355" w:type="pct"/>
            <w:vAlign w:val="center"/>
          </w:tcPr>
          <w:p w14:paraId="4C41D8B2">
            <w:pPr>
              <w:snapToGrid w:val="0"/>
              <w:spacing w:line="480" w:lineRule="atLeast"/>
              <w:jc w:val="center"/>
              <w:rPr>
                <w:rFonts w:ascii="宋体" w:hAnsi="宋体"/>
                <w:sz w:val="24"/>
                <w:szCs w:val="24"/>
              </w:rPr>
            </w:pPr>
          </w:p>
        </w:tc>
        <w:tc>
          <w:tcPr>
            <w:tcW w:w="558" w:type="pct"/>
            <w:vAlign w:val="center"/>
          </w:tcPr>
          <w:p w14:paraId="1522FB36">
            <w:pPr>
              <w:snapToGrid w:val="0"/>
              <w:spacing w:line="480" w:lineRule="atLeast"/>
              <w:jc w:val="center"/>
              <w:rPr>
                <w:rFonts w:ascii="宋体" w:hAnsi="宋体"/>
                <w:sz w:val="24"/>
                <w:szCs w:val="24"/>
              </w:rPr>
            </w:pPr>
            <w:r>
              <w:rPr>
                <w:rFonts w:ascii="宋体" w:hAnsi="宋体"/>
                <w:sz w:val="24"/>
                <w:szCs w:val="24"/>
              </w:rPr>
              <w:t>kg</w:t>
            </w:r>
          </w:p>
        </w:tc>
      </w:tr>
      <w:tr w14:paraId="5B093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375869F8">
            <w:pPr>
              <w:snapToGrid w:val="0"/>
              <w:spacing w:line="480" w:lineRule="atLeast"/>
              <w:jc w:val="left"/>
              <w:rPr>
                <w:rFonts w:ascii="宋体" w:hAnsi="宋体"/>
                <w:sz w:val="24"/>
                <w:szCs w:val="24"/>
              </w:rPr>
            </w:pPr>
            <w:r>
              <w:rPr>
                <w:rFonts w:hint="eastAsia" w:ascii="宋体" w:hAnsi="宋体"/>
                <w:sz w:val="24"/>
                <w:szCs w:val="24"/>
              </w:rPr>
              <w:t>机组总运行重量</w:t>
            </w:r>
          </w:p>
        </w:tc>
        <w:tc>
          <w:tcPr>
            <w:tcW w:w="2355" w:type="pct"/>
            <w:vAlign w:val="center"/>
          </w:tcPr>
          <w:p w14:paraId="55E63346">
            <w:pPr>
              <w:snapToGrid w:val="0"/>
              <w:spacing w:line="480" w:lineRule="atLeast"/>
              <w:jc w:val="center"/>
              <w:rPr>
                <w:rFonts w:ascii="宋体" w:hAnsi="宋体"/>
                <w:sz w:val="24"/>
                <w:szCs w:val="24"/>
              </w:rPr>
            </w:pPr>
          </w:p>
        </w:tc>
        <w:tc>
          <w:tcPr>
            <w:tcW w:w="558" w:type="pct"/>
            <w:vAlign w:val="center"/>
          </w:tcPr>
          <w:p w14:paraId="7B49D8A5">
            <w:pPr>
              <w:snapToGrid w:val="0"/>
              <w:spacing w:line="480" w:lineRule="atLeast"/>
              <w:jc w:val="center"/>
              <w:rPr>
                <w:rFonts w:ascii="宋体" w:hAnsi="宋体"/>
                <w:sz w:val="24"/>
                <w:szCs w:val="24"/>
              </w:rPr>
            </w:pPr>
            <w:r>
              <w:rPr>
                <w:rFonts w:ascii="宋体" w:hAnsi="宋体"/>
                <w:sz w:val="24"/>
                <w:szCs w:val="24"/>
              </w:rPr>
              <w:t>kg</w:t>
            </w:r>
          </w:p>
        </w:tc>
      </w:tr>
      <w:tr w14:paraId="25361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0BC6FC54">
            <w:pPr>
              <w:snapToGrid w:val="0"/>
              <w:spacing w:line="480" w:lineRule="atLeast"/>
              <w:jc w:val="left"/>
              <w:rPr>
                <w:rFonts w:ascii="宋体" w:hAnsi="宋体"/>
                <w:sz w:val="24"/>
                <w:szCs w:val="24"/>
              </w:rPr>
            </w:pPr>
            <w:r>
              <w:rPr>
                <w:rFonts w:hint="eastAsia" w:ascii="宋体" w:hAnsi="宋体"/>
                <w:sz w:val="24"/>
                <w:szCs w:val="24"/>
              </w:rPr>
              <w:t>机组总尺寸</w:t>
            </w:r>
            <w:r>
              <w:rPr>
                <w:rFonts w:ascii="宋体" w:hAnsi="宋体"/>
                <w:sz w:val="24"/>
                <w:szCs w:val="24"/>
              </w:rPr>
              <w:t>(</w:t>
            </w:r>
            <w:r>
              <w:rPr>
                <w:rFonts w:hint="eastAsia" w:ascii="宋体" w:hAnsi="宋体"/>
                <w:sz w:val="24"/>
                <w:szCs w:val="24"/>
              </w:rPr>
              <w:t>长</w:t>
            </w:r>
            <w:r>
              <w:rPr>
                <w:rFonts w:ascii="宋体" w:hAnsi="宋体"/>
                <w:sz w:val="24"/>
                <w:szCs w:val="24"/>
              </w:rPr>
              <w:t>×</w:t>
            </w:r>
            <w:r>
              <w:rPr>
                <w:rFonts w:hint="eastAsia" w:ascii="宋体" w:hAnsi="宋体"/>
                <w:sz w:val="24"/>
                <w:szCs w:val="24"/>
              </w:rPr>
              <w:t>宽</w:t>
            </w:r>
            <w:r>
              <w:rPr>
                <w:rFonts w:ascii="宋体" w:hAnsi="宋体"/>
                <w:sz w:val="24"/>
                <w:szCs w:val="24"/>
              </w:rPr>
              <w:t>×</w:t>
            </w:r>
            <w:r>
              <w:rPr>
                <w:rFonts w:hint="eastAsia" w:ascii="宋体" w:hAnsi="宋体"/>
                <w:sz w:val="24"/>
                <w:szCs w:val="24"/>
              </w:rPr>
              <w:t>高</w:t>
            </w:r>
            <w:r>
              <w:rPr>
                <w:rFonts w:ascii="宋体" w:hAnsi="宋体"/>
                <w:sz w:val="24"/>
                <w:szCs w:val="24"/>
              </w:rPr>
              <w:t>)</w:t>
            </w:r>
          </w:p>
        </w:tc>
        <w:tc>
          <w:tcPr>
            <w:tcW w:w="2355" w:type="pct"/>
            <w:vAlign w:val="center"/>
          </w:tcPr>
          <w:p w14:paraId="6BCADB9C">
            <w:pPr>
              <w:snapToGrid w:val="0"/>
              <w:spacing w:line="480" w:lineRule="atLeast"/>
              <w:jc w:val="center"/>
              <w:rPr>
                <w:rFonts w:ascii="宋体" w:hAnsi="宋体"/>
                <w:sz w:val="24"/>
                <w:szCs w:val="24"/>
              </w:rPr>
            </w:pPr>
          </w:p>
        </w:tc>
        <w:tc>
          <w:tcPr>
            <w:tcW w:w="558" w:type="pct"/>
            <w:vAlign w:val="center"/>
          </w:tcPr>
          <w:p w14:paraId="6057D93F">
            <w:pPr>
              <w:snapToGrid w:val="0"/>
              <w:spacing w:line="480" w:lineRule="atLeast"/>
              <w:jc w:val="center"/>
              <w:rPr>
                <w:rFonts w:ascii="宋体" w:hAnsi="宋体"/>
                <w:sz w:val="24"/>
                <w:szCs w:val="24"/>
              </w:rPr>
            </w:pPr>
            <w:r>
              <w:rPr>
                <w:rFonts w:ascii="宋体" w:hAnsi="宋体"/>
                <w:sz w:val="24"/>
                <w:szCs w:val="24"/>
              </w:rPr>
              <w:t>mm</w:t>
            </w:r>
          </w:p>
        </w:tc>
      </w:tr>
      <w:tr w14:paraId="2B2B7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280A38A4">
            <w:pPr>
              <w:snapToGrid w:val="0"/>
              <w:spacing w:line="480" w:lineRule="atLeast"/>
              <w:jc w:val="left"/>
              <w:rPr>
                <w:rFonts w:ascii="宋体" w:hAnsi="宋体"/>
                <w:b/>
                <w:sz w:val="24"/>
                <w:szCs w:val="24"/>
              </w:rPr>
            </w:pPr>
            <w:r>
              <w:rPr>
                <w:rFonts w:hint="eastAsia" w:ascii="宋体" w:hAnsi="宋体"/>
                <w:b/>
                <w:sz w:val="24"/>
                <w:szCs w:val="24"/>
              </w:rPr>
              <w:t>蒸发器</w:t>
            </w:r>
          </w:p>
        </w:tc>
        <w:tc>
          <w:tcPr>
            <w:tcW w:w="2355" w:type="pct"/>
            <w:vAlign w:val="center"/>
          </w:tcPr>
          <w:p w14:paraId="2B2BB7A2">
            <w:pPr>
              <w:snapToGrid w:val="0"/>
              <w:spacing w:line="480" w:lineRule="atLeast"/>
              <w:jc w:val="center"/>
              <w:rPr>
                <w:rFonts w:ascii="宋体" w:hAnsi="宋体"/>
                <w:b/>
                <w:sz w:val="24"/>
                <w:szCs w:val="24"/>
              </w:rPr>
            </w:pPr>
          </w:p>
        </w:tc>
        <w:tc>
          <w:tcPr>
            <w:tcW w:w="558" w:type="pct"/>
            <w:vAlign w:val="center"/>
          </w:tcPr>
          <w:p w14:paraId="47308357">
            <w:pPr>
              <w:snapToGrid w:val="0"/>
              <w:spacing w:line="480" w:lineRule="atLeast"/>
              <w:jc w:val="center"/>
              <w:rPr>
                <w:rFonts w:ascii="宋体" w:hAnsi="宋体"/>
                <w:b/>
                <w:sz w:val="24"/>
                <w:szCs w:val="24"/>
              </w:rPr>
            </w:pPr>
          </w:p>
        </w:tc>
      </w:tr>
      <w:tr w14:paraId="512D2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3C9B0962">
            <w:pPr>
              <w:snapToGrid w:val="0"/>
              <w:spacing w:line="480" w:lineRule="atLeast"/>
              <w:jc w:val="left"/>
              <w:rPr>
                <w:rFonts w:ascii="宋体" w:hAnsi="宋体"/>
                <w:sz w:val="24"/>
                <w:szCs w:val="24"/>
              </w:rPr>
            </w:pPr>
            <w:r>
              <w:rPr>
                <w:rFonts w:hint="eastAsia" w:ascii="宋体" w:hAnsi="宋体"/>
                <w:sz w:val="24"/>
                <w:szCs w:val="24"/>
              </w:rPr>
              <w:t>冷冻水入口温度</w:t>
            </w:r>
          </w:p>
        </w:tc>
        <w:tc>
          <w:tcPr>
            <w:tcW w:w="2355" w:type="pct"/>
            <w:vAlign w:val="center"/>
          </w:tcPr>
          <w:p w14:paraId="22C3BC29">
            <w:pPr>
              <w:snapToGrid w:val="0"/>
              <w:spacing w:line="480" w:lineRule="atLeast"/>
              <w:jc w:val="center"/>
              <w:rPr>
                <w:rFonts w:ascii="宋体" w:hAnsi="宋体"/>
                <w:sz w:val="24"/>
                <w:szCs w:val="24"/>
              </w:rPr>
            </w:pPr>
          </w:p>
        </w:tc>
        <w:tc>
          <w:tcPr>
            <w:tcW w:w="558" w:type="pct"/>
            <w:vAlign w:val="center"/>
          </w:tcPr>
          <w:p w14:paraId="4A163647">
            <w:pPr>
              <w:snapToGrid w:val="0"/>
              <w:spacing w:line="480" w:lineRule="atLeast"/>
              <w:jc w:val="center"/>
              <w:rPr>
                <w:rFonts w:ascii="宋体" w:hAnsi="宋体"/>
                <w:sz w:val="24"/>
                <w:szCs w:val="24"/>
              </w:rPr>
            </w:pPr>
            <w:r>
              <w:rPr>
                <w:rFonts w:hint="eastAsia" w:ascii="宋体" w:hAnsi="宋体" w:cs="宋体"/>
                <w:sz w:val="24"/>
                <w:szCs w:val="24"/>
              </w:rPr>
              <w:t>℃</w:t>
            </w:r>
          </w:p>
        </w:tc>
      </w:tr>
      <w:tr w14:paraId="259BD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4BAF1A55">
            <w:pPr>
              <w:snapToGrid w:val="0"/>
              <w:spacing w:line="480" w:lineRule="atLeast"/>
              <w:jc w:val="left"/>
              <w:rPr>
                <w:rFonts w:ascii="宋体" w:hAnsi="宋体"/>
                <w:sz w:val="24"/>
                <w:szCs w:val="24"/>
              </w:rPr>
            </w:pPr>
            <w:r>
              <w:rPr>
                <w:rFonts w:hint="eastAsia" w:ascii="宋体" w:hAnsi="宋体"/>
                <w:sz w:val="24"/>
                <w:szCs w:val="24"/>
              </w:rPr>
              <w:t>冷冻水出口温度</w:t>
            </w:r>
          </w:p>
        </w:tc>
        <w:tc>
          <w:tcPr>
            <w:tcW w:w="2355" w:type="pct"/>
            <w:vAlign w:val="center"/>
          </w:tcPr>
          <w:p w14:paraId="179209EB">
            <w:pPr>
              <w:snapToGrid w:val="0"/>
              <w:spacing w:line="480" w:lineRule="atLeast"/>
              <w:jc w:val="center"/>
              <w:rPr>
                <w:rFonts w:ascii="宋体" w:hAnsi="宋体"/>
                <w:sz w:val="24"/>
                <w:szCs w:val="24"/>
              </w:rPr>
            </w:pPr>
          </w:p>
        </w:tc>
        <w:tc>
          <w:tcPr>
            <w:tcW w:w="558" w:type="pct"/>
            <w:vAlign w:val="center"/>
          </w:tcPr>
          <w:p w14:paraId="58934A72">
            <w:pPr>
              <w:snapToGrid w:val="0"/>
              <w:spacing w:line="480" w:lineRule="atLeast"/>
              <w:jc w:val="center"/>
              <w:rPr>
                <w:rFonts w:ascii="宋体" w:hAnsi="宋体"/>
                <w:sz w:val="24"/>
                <w:szCs w:val="24"/>
              </w:rPr>
            </w:pPr>
            <w:r>
              <w:rPr>
                <w:rFonts w:hint="eastAsia" w:ascii="宋体" w:hAnsi="宋体" w:cs="宋体"/>
                <w:sz w:val="24"/>
                <w:szCs w:val="24"/>
              </w:rPr>
              <w:t>℃</w:t>
            </w:r>
          </w:p>
        </w:tc>
      </w:tr>
      <w:tr w14:paraId="790F6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67442A70">
            <w:pPr>
              <w:snapToGrid w:val="0"/>
              <w:spacing w:line="480" w:lineRule="atLeast"/>
              <w:jc w:val="left"/>
              <w:rPr>
                <w:rFonts w:ascii="宋体" w:hAnsi="宋体"/>
                <w:sz w:val="24"/>
                <w:szCs w:val="24"/>
              </w:rPr>
            </w:pPr>
            <w:r>
              <w:rPr>
                <w:rFonts w:hint="eastAsia" w:ascii="宋体" w:hAnsi="宋体"/>
                <w:sz w:val="24"/>
                <w:szCs w:val="24"/>
              </w:rPr>
              <w:t>冷冻水总流量</w:t>
            </w:r>
          </w:p>
        </w:tc>
        <w:tc>
          <w:tcPr>
            <w:tcW w:w="2355" w:type="pct"/>
            <w:vAlign w:val="center"/>
          </w:tcPr>
          <w:p w14:paraId="3D1CEAD2">
            <w:pPr>
              <w:snapToGrid w:val="0"/>
              <w:spacing w:line="480" w:lineRule="atLeast"/>
              <w:jc w:val="center"/>
              <w:rPr>
                <w:rFonts w:ascii="宋体" w:hAnsi="宋体"/>
                <w:sz w:val="24"/>
                <w:szCs w:val="24"/>
              </w:rPr>
            </w:pPr>
          </w:p>
        </w:tc>
        <w:tc>
          <w:tcPr>
            <w:tcW w:w="558" w:type="pct"/>
            <w:vAlign w:val="center"/>
          </w:tcPr>
          <w:p w14:paraId="196955DB">
            <w:pPr>
              <w:snapToGrid w:val="0"/>
              <w:spacing w:line="480" w:lineRule="atLeast"/>
              <w:jc w:val="center"/>
              <w:rPr>
                <w:rFonts w:ascii="宋体" w:hAnsi="宋体"/>
                <w:sz w:val="24"/>
                <w:szCs w:val="24"/>
              </w:rPr>
            </w:pPr>
            <w:r>
              <w:rPr>
                <w:rFonts w:ascii="宋体" w:hAnsi="宋体"/>
                <w:sz w:val="24"/>
                <w:szCs w:val="24"/>
              </w:rPr>
              <w:t>m</w:t>
            </w:r>
            <w:r>
              <w:rPr>
                <w:rFonts w:ascii="宋体" w:hAnsi="宋体"/>
                <w:sz w:val="24"/>
                <w:szCs w:val="24"/>
                <w:vertAlign w:val="superscript"/>
              </w:rPr>
              <w:t>3</w:t>
            </w:r>
            <w:r>
              <w:rPr>
                <w:rFonts w:ascii="宋体" w:hAnsi="宋体"/>
                <w:sz w:val="24"/>
                <w:szCs w:val="24"/>
              </w:rPr>
              <w:t>/h</w:t>
            </w:r>
          </w:p>
        </w:tc>
      </w:tr>
      <w:tr w14:paraId="4E451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5E967B45">
            <w:pPr>
              <w:snapToGrid w:val="0"/>
              <w:spacing w:line="480" w:lineRule="atLeast"/>
              <w:jc w:val="left"/>
              <w:rPr>
                <w:rFonts w:ascii="宋体" w:hAnsi="宋体"/>
                <w:sz w:val="24"/>
                <w:szCs w:val="24"/>
              </w:rPr>
            </w:pPr>
            <w:r>
              <w:rPr>
                <w:rFonts w:hint="eastAsia" w:ascii="宋体" w:hAnsi="宋体"/>
                <w:sz w:val="24"/>
                <w:szCs w:val="24"/>
              </w:rPr>
              <w:t>污垢系数</w:t>
            </w:r>
          </w:p>
        </w:tc>
        <w:tc>
          <w:tcPr>
            <w:tcW w:w="2355" w:type="pct"/>
            <w:vAlign w:val="center"/>
          </w:tcPr>
          <w:p w14:paraId="4E03DCE8">
            <w:pPr>
              <w:snapToGrid w:val="0"/>
              <w:spacing w:line="480" w:lineRule="atLeast"/>
              <w:jc w:val="center"/>
              <w:rPr>
                <w:rFonts w:ascii="宋体" w:hAnsi="宋体"/>
                <w:sz w:val="24"/>
                <w:szCs w:val="24"/>
              </w:rPr>
            </w:pPr>
          </w:p>
        </w:tc>
        <w:tc>
          <w:tcPr>
            <w:tcW w:w="558" w:type="pct"/>
            <w:vAlign w:val="center"/>
          </w:tcPr>
          <w:p w14:paraId="053E9E21">
            <w:pPr>
              <w:snapToGrid w:val="0"/>
              <w:spacing w:line="480" w:lineRule="atLeast"/>
              <w:jc w:val="center"/>
              <w:rPr>
                <w:rFonts w:ascii="宋体" w:hAnsi="宋体"/>
                <w:sz w:val="24"/>
                <w:szCs w:val="24"/>
              </w:rPr>
            </w:pPr>
          </w:p>
        </w:tc>
      </w:tr>
      <w:tr w14:paraId="686A5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4B795305">
            <w:pPr>
              <w:snapToGrid w:val="0"/>
              <w:spacing w:line="480" w:lineRule="atLeast"/>
              <w:jc w:val="left"/>
              <w:rPr>
                <w:rFonts w:ascii="宋体" w:hAnsi="宋体"/>
                <w:sz w:val="24"/>
                <w:szCs w:val="24"/>
              </w:rPr>
            </w:pPr>
            <w:r>
              <w:rPr>
                <w:rFonts w:hint="eastAsia" w:ascii="宋体" w:hAnsi="宋体"/>
                <w:sz w:val="24"/>
                <w:szCs w:val="24"/>
              </w:rPr>
              <w:t>最大水压降</w:t>
            </w:r>
          </w:p>
        </w:tc>
        <w:tc>
          <w:tcPr>
            <w:tcW w:w="2355" w:type="pct"/>
            <w:vAlign w:val="center"/>
          </w:tcPr>
          <w:p w14:paraId="0872CC59">
            <w:pPr>
              <w:snapToGrid w:val="0"/>
              <w:spacing w:line="480" w:lineRule="atLeast"/>
              <w:jc w:val="center"/>
              <w:rPr>
                <w:rFonts w:ascii="宋体" w:hAnsi="宋体"/>
                <w:sz w:val="24"/>
                <w:szCs w:val="24"/>
              </w:rPr>
            </w:pPr>
          </w:p>
        </w:tc>
        <w:tc>
          <w:tcPr>
            <w:tcW w:w="558" w:type="pct"/>
            <w:vAlign w:val="center"/>
          </w:tcPr>
          <w:p w14:paraId="37162A87">
            <w:pPr>
              <w:snapToGrid w:val="0"/>
              <w:spacing w:line="480" w:lineRule="atLeast"/>
              <w:jc w:val="center"/>
              <w:rPr>
                <w:rFonts w:ascii="宋体" w:hAnsi="宋体"/>
                <w:sz w:val="24"/>
                <w:szCs w:val="24"/>
              </w:rPr>
            </w:pPr>
            <w:r>
              <w:rPr>
                <w:rFonts w:ascii="宋体" w:hAnsi="宋体"/>
                <w:sz w:val="24"/>
                <w:szCs w:val="24"/>
              </w:rPr>
              <w:t>kPa</w:t>
            </w:r>
          </w:p>
        </w:tc>
      </w:tr>
      <w:tr w14:paraId="337D7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53E71E83">
            <w:pPr>
              <w:snapToGrid w:val="0"/>
              <w:spacing w:line="480" w:lineRule="atLeast"/>
              <w:jc w:val="left"/>
              <w:rPr>
                <w:rFonts w:ascii="宋体" w:hAnsi="宋体"/>
                <w:sz w:val="24"/>
                <w:szCs w:val="24"/>
              </w:rPr>
            </w:pPr>
            <w:r>
              <w:rPr>
                <w:rFonts w:hint="eastAsia" w:ascii="宋体" w:hAnsi="宋体"/>
                <w:sz w:val="24"/>
                <w:szCs w:val="24"/>
              </w:rPr>
              <w:t>接口管径</w:t>
            </w:r>
          </w:p>
        </w:tc>
        <w:tc>
          <w:tcPr>
            <w:tcW w:w="2355" w:type="pct"/>
            <w:vAlign w:val="center"/>
          </w:tcPr>
          <w:p w14:paraId="648A6D6A">
            <w:pPr>
              <w:snapToGrid w:val="0"/>
              <w:spacing w:line="480" w:lineRule="atLeast"/>
              <w:jc w:val="center"/>
              <w:rPr>
                <w:rFonts w:ascii="宋体" w:hAnsi="宋体"/>
                <w:sz w:val="24"/>
                <w:szCs w:val="24"/>
              </w:rPr>
            </w:pPr>
          </w:p>
        </w:tc>
        <w:tc>
          <w:tcPr>
            <w:tcW w:w="558" w:type="pct"/>
            <w:vAlign w:val="center"/>
          </w:tcPr>
          <w:p w14:paraId="2D9475F1">
            <w:pPr>
              <w:snapToGrid w:val="0"/>
              <w:spacing w:line="480" w:lineRule="atLeast"/>
              <w:jc w:val="center"/>
              <w:rPr>
                <w:rFonts w:ascii="宋体" w:hAnsi="宋体"/>
                <w:sz w:val="24"/>
                <w:szCs w:val="24"/>
              </w:rPr>
            </w:pPr>
            <w:r>
              <w:rPr>
                <w:rFonts w:ascii="宋体" w:hAnsi="宋体"/>
                <w:sz w:val="24"/>
                <w:szCs w:val="24"/>
              </w:rPr>
              <w:t>mm</w:t>
            </w:r>
          </w:p>
        </w:tc>
      </w:tr>
      <w:tr w14:paraId="1FA0E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6E5B3330">
            <w:pPr>
              <w:snapToGrid w:val="0"/>
              <w:spacing w:line="480" w:lineRule="atLeast"/>
              <w:jc w:val="left"/>
              <w:rPr>
                <w:rFonts w:ascii="宋体" w:hAnsi="宋体"/>
                <w:sz w:val="24"/>
                <w:szCs w:val="24"/>
              </w:rPr>
            </w:pPr>
            <w:r>
              <w:rPr>
                <w:rFonts w:hint="eastAsia" w:ascii="宋体" w:hAnsi="宋体"/>
                <w:sz w:val="24"/>
                <w:szCs w:val="24"/>
              </w:rPr>
              <w:t>换热管外径</w:t>
            </w:r>
            <w:r>
              <w:rPr>
                <w:rFonts w:ascii="宋体" w:hAnsi="宋体"/>
                <w:sz w:val="24"/>
                <w:szCs w:val="24"/>
              </w:rPr>
              <w:t>/</w:t>
            </w:r>
            <w:r>
              <w:rPr>
                <w:rFonts w:hint="eastAsia" w:ascii="宋体" w:hAnsi="宋体"/>
                <w:sz w:val="24"/>
                <w:szCs w:val="24"/>
              </w:rPr>
              <w:t>厚度</w:t>
            </w:r>
          </w:p>
        </w:tc>
        <w:tc>
          <w:tcPr>
            <w:tcW w:w="2355" w:type="pct"/>
            <w:vAlign w:val="center"/>
          </w:tcPr>
          <w:p w14:paraId="3BC7B68B">
            <w:pPr>
              <w:snapToGrid w:val="0"/>
              <w:spacing w:line="480" w:lineRule="atLeast"/>
              <w:jc w:val="center"/>
              <w:rPr>
                <w:rFonts w:ascii="宋体" w:hAnsi="宋体"/>
                <w:sz w:val="24"/>
                <w:szCs w:val="24"/>
              </w:rPr>
            </w:pPr>
          </w:p>
        </w:tc>
        <w:tc>
          <w:tcPr>
            <w:tcW w:w="558" w:type="pct"/>
            <w:vAlign w:val="center"/>
          </w:tcPr>
          <w:p w14:paraId="77B2C0F1">
            <w:pPr>
              <w:snapToGrid w:val="0"/>
              <w:spacing w:line="480" w:lineRule="atLeast"/>
              <w:jc w:val="center"/>
              <w:rPr>
                <w:rFonts w:ascii="宋体" w:hAnsi="宋体"/>
                <w:sz w:val="24"/>
                <w:szCs w:val="24"/>
              </w:rPr>
            </w:pPr>
            <w:r>
              <w:rPr>
                <w:rFonts w:ascii="宋体" w:hAnsi="宋体"/>
                <w:sz w:val="24"/>
                <w:szCs w:val="24"/>
              </w:rPr>
              <w:t>mm</w:t>
            </w:r>
          </w:p>
        </w:tc>
      </w:tr>
      <w:tr w14:paraId="3E4CE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7A6D9B2A">
            <w:pPr>
              <w:snapToGrid w:val="0"/>
              <w:spacing w:line="480" w:lineRule="atLeast"/>
              <w:jc w:val="left"/>
              <w:rPr>
                <w:rFonts w:ascii="宋体" w:hAnsi="宋体"/>
                <w:sz w:val="24"/>
                <w:szCs w:val="24"/>
              </w:rPr>
            </w:pPr>
            <w:r>
              <w:rPr>
                <w:rFonts w:hint="eastAsia" w:ascii="宋体" w:hAnsi="宋体"/>
                <w:sz w:val="24"/>
                <w:szCs w:val="24"/>
              </w:rPr>
              <w:t>水侧设计压力</w:t>
            </w:r>
          </w:p>
        </w:tc>
        <w:tc>
          <w:tcPr>
            <w:tcW w:w="2355" w:type="pct"/>
            <w:vAlign w:val="center"/>
          </w:tcPr>
          <w:p w14:paraId="59E68A33">
            <w:pPr>
              <w:snapToGrid w:val="0"/>
              <w:spacing w:line="480" w:lineRule="atLeast"/>
              <w:jc w:val="center"/>
              <w:rPr>
                <w:rFonts w:ascii="宋体" w:hAnsi="宋体"/>
                <w:sz w:val="24"/>
                <w:szCs w:val="24"/>
              </w:rPr>
            </w:pPr>
          </w:p>
        </w:tc>
        <w:tc>
          <w:tcPr>
            <w:tcW w:w="558" w:type="pct"/>
            <w:vAlign w:val="center"/>
          </w:tcPr>
          <w:p w14:paraId="7C50AEC0">
            <w:pPr>
              <w:snapToGrid w:val="0"/>
              <w:spacing w:line="480" w:lineRule="atLeast"/>
              <w:jc w:val="center"/>
              <w:rPr>
                <w:rFonts w:ascii="宋体" w:hAnsi="宋体"/>
                <w:sz w:val="24"/>
                <w:szCs w:val="24"/>
              </w:rPr>
            </w:pPr>
            <w:r>
              <w:rPr>
                <w:rFonts w:ascii="宋体" w:hAnsi="宋体"/>
                <w:sz w:val="24"/>
                <w:szCs w:val="24"/>
              </w:rPr>
              <w:t>MPa</w:t>
            </w:r>
          </w:p>
        </w:tc>
      </w:tr>
      <w:tr w14:paraId="5AF44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287947D6">
            <w:pPr>
              <w:snapToGrid w:val="0"/>
              <w:spacing w:line="480" w:lineRule="atLeast"/>
              <w:jc w:val="left"/>
              <w:rPr>
                <w:rFonts w:ascii="宋体" w:hAnsi="宋体"/>
                <w:sz w:val="24"/>
                <w:szCs w:val="24"/>
              </w:rPr>
            </w:pPr>
            <w:r>
              <w:rPr>
                <w:rFonts w:hint="eastAsia" w:ascii="宋体" w:hAnsi="宋体"/>
                <w:sz w:val="24"/>
                <w:szCs w:val="24"/>
              </w:rPr>
              <w:t>制冷剂侧设计压力</w:t>
            </w:r>
          </w:p>
        </w:tc>
        <w:tc>
          <w:tcPr>
            <w:tcW w:w="2355" w:type="pct"/>
            <w:vAlign w:val="center"/>
          </w:tcPr>
          <w:p w14:paraId="4FC5B41C">
            <w:pPr>
              <w:snapToGrid w:val="0"/>
              <w:spacing w:line="480" w:lineRule="atLeast"/>
              <w:jc w:val="center"/>
              <w:rPr>
                <w:rFonts w:ascii="宋体" w:hAnsi="宋体"/>
                <w:sz w:val="24"/>
                <w:szCs w:val="24"/>
              </w:rPr>
            </w:pPr>
          </w:p>
        </w:tc>
        <w:tc>
          <w:tcPr>
            <w:tcW w:w="558" w:type="pct"/>
            <w:vAlign w:val="center"/>
          </w:tcPr>
          <w:p w14:paraId="6E9B6811">
            <w:pPr>
              <w:snapToGrid w:val="0"/>
              <w:spacing w:line="480" w:lineRule="atLeast"/>
              <w:jc w:val="center"/>
              <w:rPr>
                <w:rFonts w:ascii="宋体" w:hAnsi="宋体"/>
                <w:sz w:val="24"/>
                <w:szCs w:val="24"/>
              </w:rPr>
            </w:pPr>
            <w:r>
              <w:rPr>
                <w:rFonts w:ascii="宋体" w:hAnsi="宋体"/>
                <w:sz w:val="24"/>
                <w:szCs w:val="24"/>
              </w:rPr>
              <w:t>MPa</w:t>
            </w:r>
          </w:p>
        </w:tc>
      </w:tr>
      <w:tr w14:paraId="54372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67A6DDD1">
            <w:pPr>
              <w:snapToGrid w:val="0"/>
              <w:spacing w:line="480" w:lineRule="atLeast"/>
              <w:jc w:val="left"/>
              <w:rPr>
                <w:rFonts w:ascii="宋体" w:hAnsi="宋体"/>
                <w:b/>
                <w:sz w:val="24"/>
                <w:szCs w:val="24"/>
              </w:rPr>
            </w:pPr>
            <w:r>
              <w:rPr>
                <w:rFonts w:hint="eastAsia"/>
                <w:b/>
                <w:sz w:val="24"/>
                <w:szCs w:val="24"/>
              </w:rPr>
              <w:t>风冷冷凝器</w:t>
            </w:r>
          </w:p>
        </w:tc>
        <w:tc>
          <w:tcPr>
            <w:tcW w:w="2355" w:type="pct"/>
            <w:vAlign w:val="center"/>
          </w:tcPr>
          <w:p w14:paraId="07988E2B">
            <w:pPr>
              <w:snapToGrid w:val="0"/>
              <w:spacing w:line="480" w:lineRule="atLeast"/>
              <w:jc w:val="center"/>
              <w:rPr>
                <w:rFonts w:ascii="宋体" w:hAnsi="宋体"/>
                <w:sz w:val="24"/>
                <w:szCs w:val="24"/>
              </w:rPr>
            </w:pPr>
          </w:p>
        </w:tc>
        <w:tc>
          <w:tcPr>
            <w:tcW w:w="558" w:type="pct"/>
            <w:vAlign w:val="center"/>
          </w:tcPr>
          <w:p w14:paraId="0292C90A">
            <w:pPr>
              <w:snapToGrid w:val="0"/>
              <w:spacing w:line="480" w:lineRule="atLeast"/>
              <w:jc w:val="center"/>
              <w:rPr>
                <w:rFonts w:ascii="宋体" w:hAnsi="宋体"/>
                <w:sz w:val="24"/>
                <w:szCs w:val="24"/>
              </w:rPr>
            </w:pPr>
          </w:p>
        </w:tc>
      </w:tr>
      <w:tr w14:paraId="5D552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62FAD82B">
            <w:pPr>
              <w:snapToGrid w:val="0"/>
              <w:spacing w:line="480" w:lineRule="atLeast"/>
              <w:jc w:val="left"/>
              <w:rPr>
                <w:rFonts w:ascii="宋体" w:hAnsi="宋体"/>
                <w:sz w:val="24"/>
                <w:szCs w:val="24"/>
              </w:rPr>
            </w:pPr>
            <w:r>
              <w:rPr>
                <w:sz w:val="24"/>
                <w:szCs w:val="24"/>
              </w:rPr>
              <w:t>进风干球温度</w:t>
            </w:r>
          </w:p>
        </w:tc>
        <w:tc>
          <w:tcPr>
            <w:tcW w:w="2355" w:type="pct"/>
            <w:vAlign w:val="center"/>
          </w:tcPr>
          <w:p w14:paraId="4C43C7CE">
            <w:pPr>
              <w:snapToGrid w:val="0"/>
              <w:spacing w:line="480" w:lineRule="atLeast"/>
              <w:jc w:val="center"/>
              <w:rPr>
                <w:rFonts w:ascii="宋体" w:hAnsi="宋体"/>
                <w:sz w:val="24"/>
                <w:szCs w:val="24"/>
              </w:rPr>
            </w:pPr>
          </w:p>
        </w:tc>
        <w:tc>
          <w:tcPr>
            <w:tcW w:w="558" w:type="pct"/>
            <w:vAlign w:val="center"/>
          </w:tcPr>
          <w:p w14:paraId="5F551009">
            <w:pPr>
              <w:snapToGrid w:val="0"/>
              <w:spacing w:line="480" w:lineRule="atLeast"/>
              <w:jc w:val="center"/>
              <w:rPr>
                <w:rFonts w:ascii="宋体" w:hAnsi="宋体"/>
                <w:sz w:val="24"/>
                <w:szCs w:val="24"/>
              </w:rPr>
            </w:pPr>
            <w:r>
              <w:rPr>
                <w:rFonts w:hint="eastAsia" w:ascii="宋体" w:hAnsi="宋体" w:cs="宋体"/>
                <w:sz w:val="24"/>
                <w:szCs w:val="24"/>
              </w:rPr>
              <w:t>℃</w:t>
            </w:r>
          </w:p>
        </w:tc>
      </w:tr>
      <w:tr w14:paraId="24428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25C068AB">
            <w:pPr>
              <w:snapToGrid w:val="0"/>
              <w:spacing w:line="480" w:lineRule="atLeast"/>
              <w:jc w:val="left"/>
              <w:rPr>
                <w:rFonts w:ascii="宋体" w:hAnsi="宋体"/>
                <w:sz w:val="24"/>
                <w:szCs w:val="24"/>
              </w:rPr>
            </w:pPr>
            <w:r>
              <w:rPr>
                <w:sz w:val="24"/>
                <w:szCs w:val="24"/>
              </w:rPr>
              <w:t>进风湿球温度</w:t>
            </w:r>
          </w:p>
        </w:tc>
        <w:tc>
          <w:tcPr>
            <w:tcW w:w="2355" w:type="pct"/>
            <w:vAlign w:val="center"/>
          </w:tcPr>
          <w:p w14:paraId="617C276F">
            <w:pPr>
              <w:snapToGrid w:val="0"/>
              <w:spacing w:line="480" w:lineRule="atLeast"/>
              <w:jc w:val="center"/>
              <w:rPr>
                <w:rFonts w:ascii="宋体" w:hAnsi="宋体"/>
                <w:sz w:val="24"/>
                <w:szCs w:val="24"/>
              </w:rPr>
            </w:pPr>
          </w:p>
        </w:tc>
        <w:tc>
          <w:tcPr>
            <w:tcW w:w="558" w:type="pct"/>
            <w:vAlign w:val="center"/>
          </w:tcPr>
          <w:p w14:paraId="7301B9D1">
            <w:pPr>
              <w:snapToGrid w:val="0"/>
              <w:spacing w:line="480" w:lineRule="atLeast"/>
              <w:jc w:val="center"/>
              <w:rPr>
                <w:rFonts w:ascii="宋体" w:hAnsi="宋体"/>
                <w:sz w:val="24"/>
                <w:szCs w:val="24"/>
              </w:rPr>
            </w:pPr>
            <w:r>
              <w:rPr>
                <w:rFonts w:hint="eastAsia" w:ascii="宋体" w:hAnsi="宋体" w:cs="宋体"/>
                <w:sz w:val="24"/>
                <w:szCs w:val="24"/>
              </w:rPr>
              <w:t>℃</w:t>
            </w:r>
          </w:p>
        </w:tc>
      </w:tr>
      <w:tr w14:paraId="43F5F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275DCDB4">
            <w:pPr>
              <w:snapToGrid w:val="0"/>
              <w:spacing w:line="480" w:lineRule="atLeast"/>
              <w:jc w:val="left"/>
              <w:rPr>
                <w:rFonts w:ascii="宋体" w:hAnsi="宋体"/>
                <w:sz w:val="24"/>
                <w:szCs w:val="24"/>
              </w:rPr>
            </w:pPr>
            <w:r>
              <w:rPr>
                <w:sz w:val="24"/>
                <w:szCs w:val="24"/>
              </w:rPr>
              <w:t>进风极端最高温度</w:t>
            </w:r>
          </w:p>
        </w:tc>
        <w:tc>
          <w:tcPr>
            <w:tcW w:w="2355" w:type="pct"/>
            <w:vAlign w:val="center"/>
          </w:tcPr>
          <w:p w14:paraId="54A931C7">
            <w:pPr>
              <w:snapToGrid w:val="0"/>
              <w:spacing w:line="480" w:lineRule="atLeast"/>
              <w:jc w:val="center"/>
              <w:rPr>
                <w:rFonts w:ascii="宋体" w:hAnsi="宋体"/>
                <w:sz w:val="24"/>
                <w:szCs w:val="24"/>
              </w:rPr>
            </w:pPr>
          </w:p>
        </w:tc>
        <w:tc>
          <w:tcPr>
            <w:tcW w:w="558" w:type="pct"/>
            <w:vAlign w:val="center"/>
          </w:tcPr>
          <w:p w14:paraId="79E792C1">
            <w:pPr>
              <w:snapToGrid w:val="0"/>
              <w:spacing w:line="480" w:lineRule="atLeast"/>
              <w:jc w:val="center"/>
              <w:rPr>
                <w:rFonts w:ascii="宋体" w:hAnsi="宋体"/>
                <w:sz w:val="24"/>
                <w:szCs w:val="24"/>
              </w:rPr>
            </w:pPr>
            <w:r>
              <w:rPr>
                <w:rFonts w:hint="eastAsia" w:ascii="宋体" w:hAnsi="宋体" w:cs="宋体"/>
                <w:sz w:val="24"/>
                <w:szCs w:val="24"/>
              </w:rPr>
              <w:t>℃</w:t>
            </w:r>
          </w:p>
        </w:tc>
      </w:tr>
      <w:tr w14:paraId="6555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4D70392D">
            <w:pPr>
              <w:snapToGrid w:val="0"/>
              <w:spacing w:line="480" w:lineRule="atLeast"/>
              <w:jc w:val="left"/>
              <w:rPr>
                <w:rFonts w:ascii="宋体" w:hAnsi="宋体"/>
                <w:sz w:val="24"/>
                <w:szCs w:val="24"/>
              </w:rPr>
            </w:pPr>
            <w:r>
              <w:rPr>
                <w:sz w:val="24"/>
                <w:szCs w:val="24"/>
              </w:rPr>
              <w:t>进风极端最低温度</w:t>
            </w:r>
          </w:p>
        </w:tc>
        <w:tc>
          <w:tcPr>
            <w:tcW w:w="2355" w:type="pct"/>
            <w:vAlign w:val="center"/>
          </w:tcPr>
          <w:p w14:paraId="654E4E9C">
            <w:pPr>
              <w:snapToGrid w:val="0"/>
              <w:spacing w:line="480" w:lineRule="atLeast"/>
              <w:jc w:val="center"/>
              <w:rPr>
                <w:rFonts w:ascii="宋体" w:hAnsi="宋体"/>
                <w:sz w:val="24"/>
                <w:szCs w:val="24"/>
              </w:rPr>
            </w:pPr>
          </w:p>
        </w:tc>
        <w:tc>
          <w:tcPr>
            <w:tcW w:w="558" w:type="pct"/>
            <w:vAlign w:val="center"/>
          </w:tcPr>
          <w:p w14:paraId="082A99A8">
            <w:pPr>
              <w:snapToGrid w:val="0"/>
              <w:spacing w:line="480" w:lineRule="atLeast"/>
              <w:jc w:val="center"/>
              <w:rPr>
                <w:rFonts w:ascii="宋体" w:hAnsi="宋体"/>
                <w:sz w:val="24"/>
                <w:szCs w:val="24"/>
              </w:rPr>
            </w:pPr>
            <w:r>
              <w:rPr>
                <w:rFonts w:hint="eastAsia" w:ascii="宋体" w:hAnsi="宋体" w:cs="宋体"/>
                <w:sz w:val="24"/>
                <w:szCs w:val="24"/>
              </w:rPr>
              <w:t>℃</w:t>
            </w:r>
          </w:p>
        </w:tc>
      </w:tr>
      <w:tr w14:paraId="2BA9D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1A3C3165">
            <w:pPr>
              <w:snapToGrid w:val="0"/>
              <w:spacing w:line="480" w:lineRule="atLeast"/>
              <w:jc w:val="left"/>
              <w:rPr>
                <w:rFonts w:ascii="宋体" w:hAnsi="宋体"/>
                <w:sz w:val="24"/>
                <w:szCs w:val="24"/>
              </w:rPr>
            </w:pPr>
            <w:r>
              <w:rPr>
                <w:sz w:val="24"/>
                <w:szCs w:val="24"/>
              </w:rPr>
              <w:t>制冷剂回路数</w:t>
            </w:r>
          </w:p>
        </w:tc>
        <w:tc>
          <w:tcPr>
            <w:tcW w:w="2355" w:type="pct"/>
            <w:vAlign w:val="center"/>
          </w:tcPr>
          <w:p w14:paraId="123F9EE6">
            <w:pPr>
              <w:snapToGrid w:val="0"/>
              <w:spacing w:line="480" w:lineRule="atLeast"/>
              <w:jc w:val="center"/>
              <w:rPr>
                <w:rFonts w:ascii="宋体" w:hAnsi="宋体"/>
                <w:sz w:val="24"/>
                <w:szCs w:val="24"/>
              </w:rPr>
            </w:pPr>
          </w:p>
        </w:tc>
        <w:tc>
          <w:tcPr>
            <w:tcW w:w="558" w:type="pct"/>
            <w:vAlign w:val="center"/>
          </w:tcPr>
          <w:p w14:paraId="2DBFA1AA">
            <w:pPr>
              <w:snapToGrid w:val="0"/>
              <w:spacing w:line="480" w:lineRule="atLeast"/>
              <w:jc w:val="center"/>
              <w:rPr>
                <w:rFonts w:ascii="宋体" w:hAnsi="宋体"/>
                <w:sz w:val="24"/>
                <w:szCs w:val="24"/>
              </w:rPr>
            </w:pPr>
          </w:p>
        </w:tc>
      </w:tr>
      <w:tr w14:paraId="4A551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2D5827E2">
            <w:pPr>
              <w:snapToGrid w:val="0"/>
              <w:spacing w:line="480" w:lineRule="atLeast"/>
              <w:jc w:val="left"/>
              <w:rPr>
                <w:rFonts w:ascii="宋体" w:hAnsi="宋体"/>
                <w:sz w:val="24"/>
                <w:szCs w:val="24"/>
              </w:rPr>
            </w:pPr>
            <w:r>
              <w:rPr>
                <w:sz w:val="24"/>
                <w:szCs w:val="24"/>
              </w:rPr>
              <w:t>冷凝器排数</w:t>
            </w:r>
          </w:p>
        </w:tc>
        <w:tc>
          <w:tcPr>
            <w:tcW w:w="2355" w:type="pct"/>
            <w:vAlign w:val="center"/>
          </w:tcPr>
          <w:p w14:paraId="29FEDDC6">
            <w:pPr>
              <w:snapToGrid w:val="0"/>
              <w:spacing w:line="480" w:lineRule="atLeast"/>
              <w:jc w:val="center"/>
              <w:rPr>
                <w:rFonts w:ascii="宋体" w:hAnsi="宋体"/>
                <w:sz w:val="24"/>
                <w:szCs w:val="24"/>
              </w:rPr>
            </w:pPr>
          </w:p>
        </w:tc>
        <w:tc>
          <w:tcPr>
            <w:tcW w:w="558" w:type="pct"/>
            <w:vAlign w:val="center"/>
          </w:tcPr>
          <w:p w14:paraId="318EB226">
            <w:pPr>
              <w:snapToGrid w:val="0"/>
              <w:spacing w:line="480" w:lineRule="atLeast"/>
              <w:jc w:val="center"/>
              <w:rPr>
                <w:rFonts w:ascii="宋体" w:hAnsi="宋体"/>
                <w:sz w:val="24"/>
                <w:szCs w:val="24"/>
              </w:rPr>
            </w:pPr>
          </w:p>
        </w:tc>
      </w:tr>
      <w:tr w14:paraId="24B83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3E855451">
            <w:pPr>
              <w:snapToGrid w:val="0"/>
              <w:spacing w:line="480" w:lineRule="atLeast"/>
              <w:jc w:val="left"/>
              <w:rPr>
                <w:rFonts w:ascii="宋体" w:hAnsi="宋体"/>
                <w:sz w:val="24"/>
                <w:szCs w:val="24"/>
              </w:rPr>
            </w:pPr>
            <w:r>
              <w:rPr>
                <w:sz w:val="24"/>
                <w:szCs w:val="24"/>
              </w:rPr>
              <w:t>管材及厚度</w:t>
            </w:r>
          </w:p>
        </w:tc>
        <w:tc>
          <w:tcPr>
            <w:tcW w:w="2355" w:type="pct"/>
            <w:vAlign w:val="center"/>
          </w:tcPr>
          <w:p w14:paraId="1C007FFE">
            <w:pPr>
              <w:snapToGrid w:val="0"/>
              <w:spacing w:line="480" w:lineRule="atLeast"/>
              <w:jc w:val="center"/>
              <w:rPr>
                <w:rFonts w:ascii="宋体" w:hAnsi="宋体"/>
                <w:sz w:val="24"/>
                <w:szCs w:val="24"/>
              </w:rPr>
            </w:pPr>
          </w:p>
        </w:tc>
        <w:tc>
          <w:tcPr>
            <w:tcW w:w="558" w:type="pct"/>
            <w:vAlign w:val="center"/>
          </w:tcPr>
          <w:p w14:paraId="5A3B0192">
            <w:pPr>
              <w:snapToGrid w:val="0"/>
              <w:spacing w:line="480" w:lineRule="atLeast"/>
              <w:jc w:val="center"/>
              <w:rPr>
                <w:rFonts w:ascii="宋体" w:hAnsi="宋体"/>
                <w:sz w:val="24"/>
                <w:szCs w:val="24"/>
              </w:rPr>
            </w:pPr>
            <w:r>
              <w:rPr>
                <w:sz w:val="24"/>
                <w:szCs w:val="24"/>
              </w:rPr>
              <w:t>mm</w:t>
            </w:r>
          </w:p>
        </w:tc>
      </w:tr>
      <w:tr w14:paraId="7CDA2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4A278E7B">
            <w:pPr>
              <w:snapToGrid w:val="0"/>
              <w:spacing w:line="480" w:lineRule="atLeast"/>
              <w:jc w:val="left"/>
              <w:rPr>
                <w:rFonts w:ascii="宋体" w:hAnsi="宋体"/>
                <w:sz w:val="24"/>
                <w:szCs w:val="24"/>
              </w:rPr>
            </w:pPr>
            <w:r>
              <w:rPr>
                <w:sz w:val="24"/>
                <w:szCs w:val="24"/>
              </w:rPr>
              <w:t>翅片间距</w:t>
            </w:r>
          </w:p>
        </w:tc>
        <w:tc>
          <w:tcPr>
            <w:tcW w:w="2355" w:type="pct"/>
            <w:vAlign w:val="center"/>
          </w:tcPr>
          <w:p w14:paraId="6A91E5F0">
            <w:pPr>
              <w:snapToGrid w:val="0"/>
              <w:spacing w:line="480" w:lineRule="atLeast"/>
              <w:jc w:val="center"/>
              <w:rPr>
                <w:rFonts w:ascii="宋体" w:hAnsi="宋体"/>
                <w:sz w:val="24"/>
                <w:szCs w:val="24"/>
              </w:rPr>
            </w:pPr>
          </w:p>
        </w:tc>
        <w:tc>
          <w:tcPr>
            <w:tcW w:w="558" w:type="pct"/>
            <w:vAlign w:val="center"/>
          </w:tcPr>
          <w:p w14:paraId="7A2F1F8C">
            <w:pPr>
              <w:snapToGrid w:val="0"/>
              <w:spacing w:line="480" w:lineRule="atLeast"/>
              <w:jc w:val="center"/>
              <w:rPr>
                <w:rFonts w:ascii="宋体" w:hAnsi="宋体"/>
                <w:sz w:val="24"/>
                <w:szCs w:val="24"/>
              </w:rPr>
            </w:pPr>
            <w:r>
              <w:rPr>
                <w:sz w:val="24"/>
                <w:szCs w:val="24"/>
              </w:rPr>
              <w:t>mm</w:t>
            </w:r>
          </w:p>
        </w:tc>
      </w:tr>
      <w:tr w14:paraId="03C95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57D4484A">
            <w:pPr>
              <w:snapToGrid w:val="0"/>
              <w:spacing w:line="480" w:lineRule="atLeast"/>
              <w:jc w:val="left"/>
              <w:rPr>
                <w:rFonts w:ascii="宋体" w:hAnsi="宋体"/>
                <w:sz w:val="24"/>
                <w:szCs w:val="24"/>
              </w:rPr>
            </w:pPr>
            <w:r>
              <w:rPr>
                <w:sz w:val="24"/>
                <w:szCs w:val="24"/>
              </w:rPr>
              <w:t>翅片厚度</w:t>
            </w:r>
          </w:p>
        </w:tc>
        <w:tc>
          <w:tcPr>
            <w:tcW w:w="2355" w:type="pct"/>
            <w:vAlign w:val="center"/>
          </w:tcPr>
          <w:p w14:paraId="05E62DB5">
            <w:pPr>
              <w:snapToGrid w:val="0"/>
              <w:spacing w:line="480" w:lineRule="atLeast"/>
              <w:jc w:val="center"/>
              <w:rPr>
                <w:rFonts w:ascii="宋体" w:hAnsi="宋体"/>
                <w:sz w:val="24"/>
                <w:szCs w:val="24"/>
              </w:rPr>
            </w:pPr>
          </w:p>
        </w:tc>
        <w:tc>
          <w:tcPr>
            <w:tcW w:w="558" w:type="pct"/>
            <w:vAlign w:val="center"/>
          </w:tcPr>
          <w:p w14:paraId="6A741EAA">
            <w:pPr>
              <w:snapToGrid w:val="0"/>
              <w:spacing w:line="480" w:lineRule="atLeast"/>
              <w:jc w:val="center"/>
              <w:rPr>
                <w:rFonts w:ascii="宋体" w:hAnsi="宋体"/>
                <w:sz w:val="24"/>
                <w:szCs w:val="24"/>
              </w:rPr>
            </w:pPr>
            <w:r>
              <w:rPr>
                <w:sz w:val="24"/>
                <w:szCs w:val="24"/>
              </w:rPr>
              <w:t>mm</w:t>
            </w:r>
          </w:p>
        </w:tc>
      </w:tr>
      <w:tr w14:paraId="1630E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5EEEF7FD">
            <w:pPr>
              <w:snapToGrid w:val="0"/>
              <w:spacing w:line="480" w:lineRule="atLeast"/>
              <w:jc w:val="left"/>
              <w:rPr>
                <w:rFonts w:ascii="宋体" w:hAnsi="宋体"/>
                <w:sz w:val="24"/>
                <w:szCs w:val="24"/>
              </w:rPr>
            </w:pPr>
            <w:r>
              <w:rPr>
                <w:sz w:val="24"/>
                <w:szCs w:val="24"/>
              </w:rPr>
              <w:t>冷凝器迎风面积</w:t>
            </w:r>
          </w:p>
        </w:tc>
        <w:tc>
          <w:tcPr>
            <w:tcW w:w="2355" w:type="pct"/>
            <w:vAlign w:val="center"/>
          </w:tcPr>
          <w:p w14:paraId="10AC7C0E">
            <w:pPr>
              <w:snapToGrid w:val="0"/>
              <w:spacing w:line="480" w:lineRule="atLeast"/>
              <w:jc w:val="center"/>
              <w:rPr>
                <w:rFonts w:ascii="宋体" w:hAnsi="宋体"/>
                <w:sz w:val="24"/>
                <w:szCs w:val="24"/>
              </w:rPr>
            </w:pPr>
          </w:p>
        </w:tc>
        <w:tc>
          <w:tcPr>
            <w:tcW w:w="558" w:type="pct"/>
            <w:vAlign w:val="center"/>
          </w:tcPr>
          <w:p w14:paraId="441FE214">
            <w:pPr>
              <w:snapToGrid w:val="0"/>
              <w:spacing w:line="480" w:lineRule="atLeast"/>
              <w:jc w:val="center"/>
              <w:rPr>
                <w:rFonts w:ascii="宋体" w:hAnsi="宋体"/>
                <w:sz w:val="24"/>
                <w:szCs w:val="24"/>
              </w:rPr>
            </w:pPr>
            <w:r>
              <w:rPr>
                <w:sz w:val="24"/>
                <w:szCs w:val="24"/>
              </w:rPr>
              <w:t>m2</w:t>
            </w:r>
          </w:p>
        </w:tc>
      </w:tr>
      <w:tr w14:paraId="7E7F4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6E166E0C">
            <w:pPr>
              <w:snapToGrid w:val="0"/>
              <w:spacing w:line="480" w:lineRule="atLeast"/>
              <w:jc w:val="left"/>
              <w:rPr>
                <w:rFonts w:ascii="宋体" w:hAnsi="宋体"/>
                <w:sz w:val="24"/>
                <w:szCs w:val="24"/>
              </w:rPr>
            </w:pPr>
            <w:r>
              <w:rPr>
                <w:sz w:val="24"/>
                <w:szCs w:val="24"/>
              </w:rPr>
              <w:t>风机型式</w:t>
            </w:r>
          </w:p>
        </w:tc>
        <w:tc>
          <w:tcPr>
            <w:tcW w:w="2355" w:type="pct"/>
            <w:vAlign w:val="center"/>
          </w:tcPr>
          <w:p w14:paraId="6D88C029">
            <w:pPr>
              <w:snapToGrid w:val="0"/>
              <w:spacing w:line="480" w:lineRule="atLeast"/>
              <w:jc w:val="center"/>
              <w:rPr>
                <w:rFonts w:ascii="宋体" w:hAnsi="宋体"/>
                <w:sz w:val="24"/>
                <w:szCs w:val="24"/>
              </w:rPr>
            </w:pPr>
          </w:p>
        </w:tc>
        <w:tc>
          <w:tcPr>
            <w:tcW w:w="558" w:type="pct"/>
            <w:vAlign w:val="center"/>
          </w:tcPr>
          <w:p w14:paraId="3240E433">
            <w:pPr>
              <w:snapToGrid w:val="0"/>
              <w:spacing w:line="480" w:lineRule="atLeast"/>
              <w:jc w:val="center"/>
              <w:rPr>
                <w:rFonts w:ascii="宋体" w:hAnsi="宋体"/>
                <w:sz w:val="24"/>
                <w:szCs w:val="24"/>
              </w:rPr>
            </w:pPr>
          </w:p>
        </w:tc>
      </w:tr>
      <w:tr w14:paraId="1A11D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7348CBAF">
            <w:pPr>
              <w:snapToGrid w:val="0"/>
              <w:spacing w:line="480" w:lineRule="atLeast"/>
              <w:jc w:val="left"/>
              <w:rPr>
                <w:rFonts w:ascii="宋体" w:hAnsi="宋体"/>
                <w:sz w:val="24"/>
                <w:szCs w:val="24"/>
              </w:rPr>
            </w:pPr>
            <w:r>
              <w:rPr>
                <w:sz w:val="24"/>
                <w:szCs w:val="24"/>
              </w:rPr>
              <w:t>风机制造商</w:t>
            </w:r>
          </w:p>
        </w:tc>
        <w:tc>
          <w:tcPr>
            <w:tcW w:w="2355" w:type="pct"/>
            <w:vAlign w:val="center"/>
          </w:tcPr>
          <w:p w14:paraId="4ABAE4B2">
            <w:pPr>
              <w:snapToGrid w:val="0"/>
              <w:spacing w:line="480" w:lineRule="atLeast"/>
              <w:jc w:val="center"/>
              <w:rPr>
                <w:rFonts w:ascii="宋体" w:hAnsi="宋体"/>
                <w:sz w:val="24"/>
                <w:szCs w:val="24"/>
              </w:rPr>
            </w:pPr>
          </w:p>
        </w:tc>
        <w:tc>
          <w:tcPr>
            <w:tcW w:w="558" w:type="pct"/>
            <w:vAlign w:val="center"/>
          </w:tcPr>
          <w:p w14:paraId="7EE45EB2">
            <w:pPr>
              <w:snapToGrid w:val="0"/>
              <w:spacing w:line="480" w:lineRule="atLeast"/>
              <w:jc w:val="center"/>
              <w:rPr>
                <w:rFonts w:ascii="宋体" w:hAnsi="宋体"/>
                <w:sz w:val="24"/>
                <w:szCs w:val="24"/>
              </w:rPr>
            </w:pPr>
          </w:p>
        </w:tc>
      </w:tr>
      <w:tr w14:paraId="2ADFB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38970330">
            <w:pPr>
              <w:snapToGrid w:val="0"/>
              <w:spacing w:line="480" w:lineRule="atLeast"/>
              <w:jc w:val="left"/>
              <w:rPr>
                <w:rFonts w:ascii="宋体" w:hAnsi="宋体"/>
                <w:sz w:val="24"/>
                <w:szCs w:val="24"/>
              </w:rPr>
            </w:pPr>
            <w:r>
              <w:rPr>
                <w:sz w:val="24"/>
                <w:szCs w:val="24"/>
              </w:rPr>
              <w:t>风机驱动方式</w:t>
            </w:r>
          </w:p>
        </w:tc>
        <w:tc>
          <w:tcPr>
            <w:tcW w:w="2355" w:type="pct"/>
            <w:vAlign w:val="center"/>
          </w:tcPr>
          <w:p w14:paraId="14621338">
            <w:pPr>
              <w:snapToGrid w:val="0"/>
              <w:spacing w:line="480" w:lineRule="atLeast"/>
              <w:jc w:val="center"/>
              <w:rPr>
                <w:rFonts w:ascii="宋体" w:hAnsi="宋体"/>
                <w:sz w:val="24"/>
                <w:szCs w:val="24"/>
              </w:rPr>
            </w:pPr>
          </w:p>
        </w:tc>
        <w:tc>
          <w:tcPr>
            <w:tcW w:w="558" w:type="pct"/>
            <w:vAlign w:val="center"/>
          </w:tcPr>
          <w:p w14:paraId="11880976">
            <w:pPr>
              <w:snapToGrid w:val="0"/>
              <w:spacing w:line="480" w:lineRule="atLeast"/>
              <w:jc w:val="center"/>
              <w:rPr>
                <w:rFonts w:ascii="宋体" w:hAnsi="宋体"/>
                <w:sz w:val="24"/>
                <w:szCs w:val="24"/>
              </w:rPr>
            </w:pPr>
          </w:p>
        </w:tc>
      </w:tr>
      <w:tr w14:paraId="24DA3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6479663B">
            <w:pPr>
              <w:snapToGrid w:val="0"/>
              <w:spacing w:line="480" w:lineRule="atLeast"/>
              <w:jc w:val="left"/>
              <w:rPr>
                <w:rFonts w:ascii="宋体" w:hAnsi="宋体"/>
                <w:sz w:val="24"/>
                <w:szCs w:val="24"/>
              </w:rPr>
            </w:pPr>
            <w:r>
              <w:rPr>
                <w:sz w:val="24"/>
                <w:szCs w:val="24"/>
              </w:rPr>
              <w:t>风机数量</w:t>
            </w:r>
          </w:p>
        </w:tc>
        <w:tc>
          <w:tcPr>
            <w:tcW w:w="2355" w:type="pct"/>
            <w:vAlign w:val="center"/>
          </w:tcPr>
          <w:p w14:paraId="2053C27F">
            <w:pPr>
              <w:snapToGrid w:val="0"/>
              <w:spacing w:line="480" w:lineRule="atLeast"/>
              <w:jc w:val="center"/>
              <w:rPr>
                <w:rFonts w:ascii="宋体" w:hAnsi="宋体"/>
                <w:sz w:val="24"/>
                <w:szCs w:val="24"/>
              </w:rPr>
            </w:pPr>
          </w:p>
        </w:tc>
        <w:tc>
          <w:tcPr>
            <w:tcW w:w="558" w:type="pct"/>
            <w:vAlign w:val="center"/>
          </w:tcPr>
          <w:p w14:paraId="48594C8A">
            <w:pPr>
              <w:snapToGrid w:val="0"/>
              <w:spacing w:line="480" w:lineRule="atLeast"/>
              <w:jc w:val="center"/>
              <w:rPr>
                <w:rFonts w:ascii="宋体" w:hAnsi="宋体"/>
                <w:sz w:val="24"/>
                <w:szCs w:val="24"/>
              </w:rPr>
            </w:pPr>
            <w:r>
              <w:rPr>
                <w:sz w:val="24"/>
                <w:szCs w:val="24"/>
              </w:rPr>
              <w:t>台</w:t>
            </w:r>
          </w:p>
        </w:tc>
      </w:tr>
      <w:tr w14:paraId="3343D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61C220AF">
            <w:pPr>
              <w:snapToGrid w:val="0"/>
              <w:spacing w:line="480" w:lineRule="atLeast"/>
              <w:jc w:val="left"/>
              <w:rPr>
                <w:rFonts w:ascii="宋体" w:hAnsi="宋体"/>
                <w:sz w:val="24"/>
                <w:szCs w:val="24"/>
              </w:rPr>
            </w:pPr>
            <w:r>
              <w:rPr>
                <w:sz w:val="24"/>
                <w:szCs w:val="24"/>
              </w:rPr>
              <w:t>单台风机风量</w:t>
            </w:r>
          </w:p>
        </w:tc>
        <w:tc>
          <w:tcPr>
            <w:tcW w:w="2355" w:type="pct"/>
            <w:vAlign w:val="center"/>
          </w:tcPr>
          <w:p w14:paraId="6F6CCDB6">
            <w:pPr>
              <w:snapToGrid w:val="0"/>
              <w:spacing w:line="480" w:lineRule="atLeast"/>
              <w:jc w:val="center"/>
              <w:rPr>
                <w:rFonts w:ascii="宋体" w:hAnsi="宋体"/>
                <w:sz w:val="24"/>
                <w:szCs w:val="24"/>
              </w:rPr>
            </w:pPr>
          </w:p>
        </w:tc>
        <w:tc>
          <w:tcPr>
            <w:tcW w:w="558" w:type="pct"/>
            <w:vAlign w:val="center"/>
          </w:tcPr>
          <w:p w14:paraId="3C1CADC9">
            <w:pPr>
              <w:snapToGrid w:val="0"/>
              <w:spacing w:line="480" w:lineRule="atLeast"/>
              <w:jc w:val="center"/>
              <w:rPr>
                <w:rFonts w:ascii="宋体" w:hAnsi="宋体"/>
                <w:sz w:val="24"/>
                <w:szCs w:val="24"/>
              </w:rPr>
            </w:pPr>
            <w:r>
              <w:rPr>
                <w:sz w:val="24"/>
                <w:szCs w:val="24"/>
              </w:rPr>
              <w:t>m</w:t>
            </w:r>
            <w:r>
              <w:rPr>
                <w:sz w:val="24"/>
                <w:szCs w:val="24"/>
                <w:vertAlign w:val="superscript"/>
              </w:rPr>
              <w:t>3</w:t>
            </w:r>
            <w:r>
              <w:rPr>
                <w:sz w:val="24"/>
                <w:szCs w:val="24"/>
              </w:rPr>
              <w:t>/h</w:t>
            </w:r>
          </w:p>
        </w:tc>
      </w:tr>
      <w:tr w14:paraId="555CF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4D7A63B6">
            <w:pPr>
              <w:snapToGrid w:val="0"/>
              <w:spacing w:line="480" w:lineRule="atLeast"/>
              <w:jc w:val="left"/>
              <w:rPr>
                <w:rFonts w:ascii="宋体" w:hAnsi="宋体"/>
                <w:sz w:val="24"/>
                <w:szCs w:val="24"/>
              </w:rPr>
            </w:pPr>
            <w:r>
              <w:rPr>
                <w:sz w:val="24"/>
                <w:szCs w:val="24"/>
              </w:rPr>
              <w:t>单台冷水机组总风量</w:t>
            </w:r>
          </w:p>
        </w:tc>
        <w:tc>
          <w:tcPr>
            <w:tcW w:w="2355" w:type="pct"/>
            <w:vAlign w:val="center"/>
          </w:tcPr>
          <w:p w14:paraId="6B5022A5">
            <w:pPr>
              <w:snapToGrid w:val="0"/>
              <w:spacing w:line="480" w:lineRule="atLeast"/>
              <w:jc w:val="center"/>
              <w:rPr>
                <w:rFonts w:ascii="宋体" w:hAnsi="宋体"/>
                <w:sz w:val="24"/>
                <w:szCs w:val="24"/>
              </w:rPr>
            </w:pPr>
          </w:p>
        </w:tc>
        <w:tc>
          <w:tcPr>
            <w:tcW w:w="558" w:type="pct"/>
            <w:vAlign w:val="center"/>
          </w:tcPr>
          <w:p w14:paraId="7C4DF27F">
            <w:pPr>
              <w:snapToGrid w:val="0"/>
              <w:spacing w:line="480" w:lineRule="atLeast"/>
              <w:jc w:val="center"/>
              <w:rPr>
                <w:rFonts w:ascii="宋体" w:hAnsi="宋体"/>
                <w:sz w:val="24"/>
                <w:szCs w:val="24"/>
              </w:rPr>
            </w:pPr>
            <w:r>
              <w:rPr>
                <w:sz w:val="24"/>
                <w:szCs w:val="24"/>
              </w:rPr>
              <w:t>m</w:t>
            </w:r>
            <w:r>
              <w:rPr>
                <w:sz w:val="24"/>
                <w:szCs w:val="24"/>
                <w:vertAlign w:val="superscript"/>
              </w:rPr>
              <w:t>3</w:t>
            </w:r>
            <w:r>
              <w:rPr>
                <w:sz w:val="24"/>
                <w:szCs w:val="24"/>
              </w:rPr>
              <w:t>/h</w:t>
            </w:r>
          </w:p>
        </w:tc>
      </w:tr>
      <w:tr w14:paraId="73CE2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6B22B5D5">
            <w:pPr>
              <w:snapToGrid w:val="0"/>
              <w:spacing w:line="480" w:lineRule="atLeast"/>
              <w:jc w:val="left"/>
              <w:rPr>
                <w:rFonts w:ascii="宋体" w:hAnsi="宋体"/>
                <w:b/>
                <w:sz w:val="24"/>
                <w:szCs w:val="24"/>
              </w:rPr>
            </w:pPr>
            <w:r>
              <w:rPr>
                <w:rFonts w:hint="eastAsia" w:ascii="宋体" w:hAnsi="宋体"/>
                <w:b/>
                <w:sz w:val="24"/>
                <w:szCs w:val="24"/>
              </w:rPr>
              <w:t>压缩机</w:t>
            </w:r>
          </w:p>
        </w:tc>
        <w:tc>
          <w:tcPr>
            <w:tcW w:w="2355" w:type="pct"/>
            <w:vAlign w:val="center"/>
          </w:tcPr>
          <w:p w14:paraId="2DA690EF">
            <w:pPr>
              <w:snapToGrid w:val="0"/>
              <w:spacing w:line="480" w:lineRule="atLeast"/>
              <w:jc w:val="center"/>
              <w:rPr>
                <w:rFonts w:ascii="宋体" w:hAnsi="宋体"/>
                <w:b/>
                <w:sz w:val="24"/>
                <w:szCs w:val="24"/>
              </w:rPr>
            </w:pPr>
          </w:p>
        </w:tc>
        <w:tc>
          <w:tcPr>
            <w:tcW w:w="558" w:type="pct"/>
            <w:vAlign w:val="center"/>
          </w:tcPr>
          <w:p w14:paraId="6A12F1AB">
            <w:pPr>
              <w:snapToGrid w:val="0"/>
              <w:spacing w:line="480" w:lineRule="atLeast"/>
              <w:jc w:val="center"/>
              <w:rPr>
                <w:rFonts w:ascii="宋体" w:hAnsi="宋体"/>
                <w:b/>
                <w:sz w:val="24"/>
                <w:szCs w:val="24"/>
              </w:rPr>
            </w:pPr>
          </w:p>
        </w:tc>
      </w:tr>
      <w:tr w14:paraId="08E5E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479F3B78">
            <w:pPr>
              <w:snapToGrid w:val="0"/>
              <w:spacing w:line="480" w:lineRule="atLeast"/>
              <w:jc w:val="left"/>
              <w:rPr>
                <w:rFonts w:ascii="宋体" w:hAnsi="宋体"/>
                <w:sz w:val="24"/>
                <w:szCs w:val="24"/>
              </w:rPr>
            </w:pPr>
            <w:r>
              <w:rPr>
                <w:rFonts w:hint="eastAsia" w:ascii="宋体" w:hAnsi="宋体"/>
                <w:sz w:val="24"/>
                <w:szCs w:val="24"/>
              </w:rPr>
              <w:t>压缩机型式</w:t>
            </w:r>
          </w:p>
        </w:tc>
        <w:tc>
          <w:tcPr>
            <w:tcW w:w="2355" w:type="pct"/>
            <w:vAlign w:val="center"/>
          </w:tcPr>
          <w:p w14:paraId="42B958AA">
            <w:pPr>
              <w:snapToGrid w:val="0"/>
              <w:spacing w:line="480" w:lineRule="atLeast"/>
              <w:jc w:val="center"/>
              <w:rPr>
                <w:rFonts w:ascii="宋体" w:hAnsi="宋体"/>
                <w:sz w:val="24"/>
                <w:szCs w:val="24"/>
              </w:rPr>
            </w:pPr>
          </w:p>
        </w:tc>
        <w:tc>
          <w:tcPr>
            <w:tcW w:w="558" w:type="pct"/>
            <w:vAlign w:val="center"/>
          </w:tcPr>
          <w:p w14:paraId="5B8B4514">
            <w:pPr>
              <w:snapToGrid w:val="0"/>
              <w:spacing w:line="480" w:lineRule="atLeast"/>
              <w:jc w:val="center"/>
              <w:rPr>
                <w:rFonts w:ascii="宋体" w:hAnsi="宋体"/>
                <w:sz w:val="24"/>
                <w:szCs w:val="24"/>
              </w:rPr>
            </w:pPr>
          </w:p>
        </w:tc>
      </w:tr>
      <w:tr w14:paraId="09157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773BE083">
            <w:pPr>
              <w:snapToGrid w:val="0"/>
              <w:spacing w:line="480" w:lineRule="atLeast"/>
              <w:jc w:val="left"/>
              <w:rPr>
                <w:rFonts w:ascii="宋体" w:hAnsi="宋体"/>
                <w:sz w:val="24"/>
                <w:szCs w:val="24"/>
              </w:rPr>
            </w:pPr>
            <w:r>
              <w:rPr>
                <w:rFonts w:hint="eastAsia" w:ascii="宋体" w:hAnsi="宋体"/>
                <w:sz w:val="24"/>
                <w:szCs w:val="24"/>
              </w:rPr>
              <w:t>压缩机制造商</w:t>
            </w:r>
          </w:p>
        </w:tc>
        <w:tc>
          <w:tcPr>
            <w:tcW w:w="2355" w:type="pct"/>
            <w:vAlign w:val="center"/>
          </w:tcPr>
          <w:p w14:paraId="4F20FBF2">
            <w:pPr>
              <w:snapToGrid w:val="0"/>
              <w:spacing w:line="480" w:lineRule="atLeast"/>
              <w:jc w:val="center"/>
              <w:rPr>
                <w:rFonts w:ascii="宋体" w:hAnsi="宋体"/>
                <w:sz w:val="24"/>
                <w:szCs w:val="24"/>
              </w:rPr>
            </w:pPr>
          </w:p>
        </w:tc>
        <w:tc>
          <w:tcPr>
            <w:tcW w:w="558" w:type="pct"/>
            <w:vAlign w:val="center"/>
          </w:tcPr>
          <w:p w14:paraId="3F6E6495">
            <w:pPr>
              <w:snapToGrid w:val="0"/>
              <w:spacing w:line="480" w:lineRule="atLeast"/>
              <w:jc w:val="center"/>
              <w:rPr>
                <w:rFonts w:ascii="宋体" w:hAnsi="宋体"/>
                <w:sz w:val="24"/>
                <w:szCs w:val="24"/>
              </w:rPr>
            </w:pPr>
          </w:p>
        </w:tc>
      </w:tr>
      <w:tr w14:paraId="320BD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168FD6A5">
            <w:pPr>
              <w:snapToGrid w:val="0"/>
              <w:spacing w:line="480" w:lineRule="atLeast"/>
              <w:jc w:val="left"/>
              <w:rPr>
                <w:rFonts w:ascii="宋体" w:hAnsi="宋体"/>
                <w:sz w:val="24"/>
                <w:szCs w:val="24"/>
              </w:rPr>
            </w:pPr>
            <w:r>
              <w:rPr>
                <w:rFonts w:hint="eastAsia" w:ascii="宋体" w:hAnsi="宋体"/>
                <w:sz w:val="24"/>
                <w:szCs w:val="24"/>
              </w:rPr>
              <w:t>最大输入功率</w:t>
            </w:r>
          </w:p>
        </w:tc>
        <w:tc>
          <w:tcPr>
            <w:tcW w:w="2355" w:type="pct"/>
            <w:vAlign w:val="center"/>
          </w:tcPr>
          <w:p w14:paraId="272A23DA">
            <w:pPr>
              <w:snapToGrid w:val="0"/>
              <w:spacing w:line="480" w:lineRule="atLeast"/>
              <w:jc w:val="center"/>
              <w:rPr>
                <w:rFonts w:ascii="宋体" w:hAnsi="宋体"/>
                <w:sz w:val="24"/>
                <w:szCs w:val="24"/>
              </w:rPr>
            </w:pPr>
          </w:p>
        </w:tc>
        <w:tc>
          <w:tcPr>
            <w:tcW w:w="558" w:type="pct"/>
            <w:vAlign w:val="center"/>
          </w:tcPr>
          <w:p w14:paraId="16AE269C">
            <w:pPr>
              <w:snapToGrid w:val="0"/>
              <w:spacing w:line="480" w:lineRule="atLeast"/>
              <w:jc w:val="center"/>
              <w:rPr>
                <w:rFonts w:ascii="宋体" w:hAnsi="宋体"/>
                <w:sz w:val="24"/>
                <w:szCs w:val="24"/>
              </w:rPr>
            </w:pPr>
            <w:r>
              <w:rPr>
                <w:rFonts w:ascii="宋体" w:hAnsi="宋体"/>
                <w:sz w:val="24"/>
                <w:szCs w:val="24"/>
              </w:rPr>
              <w:t>kW</w:t>
            </w:r>
          </w:p>
        </w:tc>
      </w:tr>
      <w:tr w14:paraId="059F6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0C010837">
            <w:pPr>
              <w:snapToGrid w:val="0"/>
              <w:spacing w:line="480" w:lineRule="atLeast"/>
              <w:jc w:val="left"/>
              <w:rPr>
                <w:rFonts w:ascii="宋体" w:hAnsi="宋体"/>
                <w:sz w:val="24"/>
                <w:szCs w:val="24"/>
              </w:rPr>
            </w:pPr>
            <w:r>
              <w:rPr>
                <w:rFonts w:hint="eastAsia" w:ascii="宋体" w:hAnsi="宋体"/>
                <w:sz w:val="24"/>
                <w:szCs w:val="24"/>
              </w:rPr>
              <w:t>机组负荷调节范围</w:t>
            </w:r>
          </w:p>
        </w:tc>
        <w:tc>
          <w:tcPr>
            <w:tcW w:w="2355" w:type="pct"/>
            <w:vAlign w:val="center"/>
          </w:tcPr>
          <w:p w14:paraId="1EA4D5C9">
            <w:pPr>
              <w:snapToGrid w:val="0"/>
              <w:spacing w:line="480" w:lineRule="atLeast"/>
              <w:jc w:val="center"/>
              <w:rPr>
                <w:rFonts w:ascii="宋体" w:hAnsi="宋体"/>
                <w:sz w:val="24"/>
                <w:szCs w:val="24"/>
              </w:rPr>
            </w:pPr>
          </w:p>
        </w:tc>
        <w:tc>
          <w:tcPr>
            <w:tcW w:w="558" w:type="pct"/>
            <w:vAlign w:val="center"/>
          </w:tcPr>
          <w:p w14:paraId="34AA5584">
            <w:pPr>
              <w:snapToGrid w:val="0"/>
              <w:spacing w:line="480" w:lineRule="atLeast"/>
              <w:jc w:val="center"/>
              <w:rPr>
                <w:rFonts w:ascii="宋体" w:hAnsi="宋体"/>
                <w:sz w:val="24"/>
                <w:szCs w:val="24"/>
              </w:rPr>
            </w:pPr>
            <w:r>
              <w:rPr>
                <w:rFonts w:ascii="宋体" w:hAnsi="宋体"/>
                <w:sz w:val="24"/>
                <w:szCs w:val="24"/>
              </w:rPr>
              <w:t>%</w:t>
            </w:r>
          </w:p>
        </w:tc>
      </w:tr>
      <w:tr w14:paraId="416B8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4F1C88F3">
            <w:pPr>
              <w:snapToGrid w:val="0"/>
              <w:spacing w:line="480" w:lineRule="atLeast"/>
              <w:jc w:val="left"/>
              <w:rPr>
                <w:rFonts w:ascii="宋体" w:hAnsi="宋体"/>
                <w:b/>
                <w:sz w:val="24"/>
                <w:szCs w:val="24"/>
              </w:rPr>
            </w:pPr>
            <w:r>
              <w:rPr>
                <w:rFonts w:hint="eastAsia" w:ascii="宋体" w:hAnsi="宋体"/>
                <w:b/>
                <w:sz w:val="24"/>
                <w:szCs w:val="24"/>
              </w:rPr>
              <w:t>电磁阀</w:t>
            </w:r>
          </w:p>
        </w:tc>
        <w:tc>
          <w:tcPr>
            <w:tcW w:w="2355" w:type="pct"/>
            <w:vAlign w:val="center"/>
          </w:tcPr>
          <w:p w14:paraId="14BEB124">
            <w:pPr>
              <w:pStyle w:val="7"/>
              <w:keepNext w:val="0"/>
              <w:keepLines w:val="0"/>
              <w:numPr>
                <w:ilvl w:val="2"/>
                <w:numId w:val="0"/>
              </w:numPr>
              <w:snapToGrid w:val="0"/>
              <w:spacing w:before="0" w:after="0" w:line="480" w:lineRule="atLeast"/>
              <w:jc w:val="center"/>
              <w:rPr>
                <w:rFonts w:ascii="宋体" w:hAnsi="宋体"/>
                <w:b w:val="0"/>
                <w:sz w:val="24"/>
                <w:szCs w:val="24"/>
              </w:rPr>
            </w:pPr>
          </w:p>
        </w:tc>
        <w:tc>
          <w:tcPr>
            <w:tcW w:w="558" w:type="pct"/>
            <w:vAlign w:val="center"/>
          </w:tcPr>
          <w:p w14:paraId="729E63E7">
            <w:pPr>
              <w:pStyle w:val="7"/>
              <w:keepNext w:val="0"/>
              <w:keepLines w:val="0"/>
              <w:numPr>
                <w:ilvl w:val="2"/>
                <w:numId w:val="0"/>
              </w:numPr>
              <w:snapToGrid w:val="0"/>
              <w:spacing w:before="0" w:after="0" w:line="480" w:lineRule="atLeast"/>
              <w:jc w:val="center"/>
              <w:rPr>
                <w:rFonts w:ascii="宋体" w:hAnsi="宋体"/>
                <w:b w:val="0"/>
                <w:sz w:val="24"/>
                <w:szCs w:val="24"/>
              </w:rPr>
            </w:pPr>
          </w:p>
        </w:tc>
      </w:tr>
      <w:tr w14:paraId="284E8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561105C5">
            <w:pPr>
              <w:snapToGrid w:val="0"/>
              <w:spacing w:line="480" w:lineRule="atLeast"/>
              <w:jc w:val="left"/>
              <w:rPr>
                <w:rFonts w:ascii="宋体" w:hAnsi="宋体"/>
                <w:sz w:val="24"/>
                <w:szCs w:val="24"/>
              </w:rPr>
            </w:pPr>
            <w:r>
              <w:rPr>
                <w:rFonts w:hint="eastAsia" w:ascii="宋体" w:hAnsi="宋体"/>
                <w:sz w:val="24"/>
                <w:szCs w:val="24"/>
              </w:rPr>
              <w:t>电磁阀型式</w:t>
            </w:r>
          </w:p>
        </w:tc>
        <w:tc>
          <w:tcPr>
            <w:tcW w:w="2355" w:type="pct"/>
            <w:vAlign w:val="center"/>
          </w:tcPr>
          <w:p w14:paraId="661742E9">
            <w:pPr>
              <w:snapToGrid w:val="0"/>
              <w:spacing w:line="480" w:lineRule="atLeast"/>
              <w:jc w:val="center"/>
              <w:rPr>
                <w:rFonts w:ascii="宋体" w:hAnsi="宋体"/>
                <w:sz w:val="24"/>
                <w:szCs w:val="24"/>
              </w:rPr>
            </w:pPr>
          </w:p>
        </w:tc>
        <w:tc>
          <w:tcPr>
            <w:tcW w:w="558" w:type="pct"/>
            <w:vAlign w:val="center"/>
          </w:tcPr>
          <w:p w14:paraId="256ED783">
            <w:pPr>
              <w:snapToGrid w:val="0"/>
              <w:spacing w:line="480" w:lineRule="atLeast"/>
              <w:jc w:val="center"/>
              <w:rPr>
                <w:rFonts w:ascii="宋体" w:hAnsi="宋体"/>
                <w:sz w:val="24"/>
                <w:szCs w:val="24"/>
              </w:rPr>
            </w:pPr>
          </w:p>
        </w:tc>
      </w:tr>
      <w:tr w14:paraId="4278A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66CBCFB6">
            <w:pPr>
              <w:snapToGrid w:val="0"/>
              <w:spacing w:line="480" w:lineRule="atLeast"/>
              <w:jc w:val="left"/>
              <w:rPr>
                <w:rFonts w:ascii="宋体" w:hAnsi="宋体"/>
                <w:sz w:val="24"/>
                <w:szCs w:val="24"/>
              </w:rPr>
            </w:pPr>
            <w:r>
              <w:rPr>
                <w:rFonts w:hint="eastAsia" w:ascii="宋体" w:hAnsi="宋体"/>
                <w:sz w:val="24"/>
                <w:szCs w:val="24"/>
              </w:rPr>
              <w:t>电磁阀制造商</w:t>
            </w:r>
          </w:p>
        </w:tc>
        <w:tc>
          <w:tcPr>
            <w:tcW w:w="2355" w:type="pct"/>
            <w:vAlign w:val="center"/>
          </w:tcPr>
          <w:p w14:paraId="33EC77BF">
            <w:pPr>
              <w:snapToGrid w:val="0"/>
              <w:spacing w:line="480" w:lineRule="atLeast"/>
              <w:jc w:val="center"/>
              <w:rPr>
                <w:rFonts w:ascii="宋体" w:hAnsi="宋体"/>
                <w:sz w:val="24"/>
                <w:szCs w:val="24"/>
              </w:rPr>
            </w:pPr>
          </w:p>
        </w:tc>
        <w:tc>
          <w:tcPr>
            <w:tcW w:w="558" w:type="pct"/>
            <w:vAlign w:val="center"/>
          </w:tcPr>
          <w:p w14:paraId="11BAB32E">
            <w:pPr>
              <w:snapToGrid w:val="0"/>
              <w:spacing w:line="480" w:lineRule="atLeast"/>
              <w:jc w:val="center"/>
              <w:rPr>
                <w:rFonts w:ascii="宋体" w:hAnsi="宋体"/>
                <w:sz w:val="24"/>
                <w:szCs w:val="24"/>
              </w:rPr>
            </w:pPr>
          </w:p>
        </w:tc>
      </w:tr>
      <w:tr w14:paraId="2763B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29E715F2">
            <w:pPr>
              <w:snapToGrid w:val="0"/>
              <w:spacing w:line="480" w:lineRule="atLeast"/>
              <w:jc w:val="left"/>
              <w:rPr>
                <w:rFonts w:ascii="宋体" w:hAnsi="宋体"/>
                <w:b/>
                <w:sz w:val="24"/>
                <w:szCs w:val="24"/>
              </w:rPr>
            </w:pPr>
            <w:r>
              <w:rPr>
                <w:rFonts w:hint="eastAsia" w:ascii="宋体" w:hAnsi="宋体"/>
                <w:b/>
                <w:sz w:val="24"/>
                <w:szCs w:val="24"/>
              </w:rPr>
              <w:t>噪音值</w:t>
            </w:r>
            <w:r>
              <w:rPr>
                <w:rFonts w:ascii="宋体" w:hAnsi="宋体"/>
                <w:b/>
                <w:sz w:val="24"/>
                <w:szCs w:val="24"/>
              </w:rPr>
              <w:t>(</w:t>
            </w:r>
            <w:r>
              <w:rPr>
                <w:rFonts w:hint="eastAsia" w:ascii="宋体" w:hAnsi="宋体"/>
                <w:b/>
                <w:sz w:val="24"/>
                <w:szCs w:val="24"/>
              </w:rPr>
              <w:t>声压级</w:t>
            </w:r>
            <w:r>
              <w:rPr>
                <w:rFonts w:ascii="宋体" w:hAnsi="宋体"/>
                <w:b/>
                <w:sz w:val="24"/>
                <w:szCs w:val="24"/>
              </w:rPr>
              <w:t>)</w:t>
            </w:r>
          </w:p>
        </w:tc>
        <w:tc>
          <w:tcPr>
            <w:tcW w:w="2355" w:type="pct"/>
            <w:vAlign w:val="center"/>
          </w:tcPr>
          <w:p w14:paraId="2141ADE5">
            <w:pPr>
              <w:snapToGrid w:val="0"/>
              <w:spacing w:line="480" w:lineRule="atLeast"/>
              <w:jc w:val="center"/>
              <w:rPr>
                <w:rFonts w:ascii="宋体" w:hAnsi="宋体"/>
                <w:b/>
                <w:sz w:val="24"/>
                <w:szCs w:val="24"/>
              </w:rPr>
            </w:pPr>
          </w:p>
        </w:tc>
        <w:tc>
          <w:tcPr>
            <w:tcW w:w="558" w:type="pct"/>
            <w:vAlign w:val="center"/>
          </w:tcPr>
          <w:p w14:paraId="6FB900E1">
            <w:pPr>
              <w:snapToGrid w:val="0"/>
              <w:spacing w:line="480" w:lineRule="atLeast"/>
              <w:jc w:val="center"/>
              <w:rPr>
                <w:rFonts w:ascii="宋体" w:hAnsi="宋体"/>
                <w:b/>
                <w:sz w:val="24"/>
                <w:szCs w:val="24"/>
              </w:rPr>
            </w:pPr>
            <w:r>
              <w:rPr>
                <w:rFonts w:ascii="宋体" w:hAnsi="宋体"/>
                <w:sz w:val="24"/>
                <w:szCs w:val="24"/>
              </w:rPr>
              <w:t>dB(A)</w:t>
            </w:r>
          </w:p>
        </w:tc>
      </w:tr>
      <w:tr w14:paraId="0F439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387D3FBF">
            <w:pPr>
              <w:snapToGrid w:val="0"/>
              <w:spacing w:line="480" w:lineRule="atLeast"/>
              <w:jc w:val="left"/>
              <w:rPr>
                <w:rFonts w:ascii="宋体" w:hAnsi="宋体"/>
                <w:sz w:val="24"/>
                <w:szCs w:val="24"/>
              </w:rPr>
            </w:pPr>
            <w:r>
              <w:rPr>
                <w:rFonts w:hint="eastAsia" w:ascii="宋体" w:hAnsi="宋体"/>
                <w:b/>
                <w:sz w:val="24"/>
                <w:szCs w:val="24"/>
              </w:rPr>
              <w:t>机组振动值</w:t>
            </w:r>
          </w:p>
        </w:tc>
        <w:tc>
          <w:tcPr>
            <w:tcW w:w="2355" w:type="pct"/>
            <w:vAlign w:val="center"/>
          </w:tcPr>
          <w:p w14:paraId="3803673E">
            <w:pPr>
              <w:snapToGrid w:val="0"/>
              <w:spacing w:line="480" w:lineRule="atLeast"/>
              <w:jc w:val="center"/>
              <w:rPr>
                <w:rFonts w:ascii="宋体" w:hAnsi="宋体"/>
                <w:sz w:val="24"/>
                <w:szCs w:val="24"/>
              </w:rPr>
            </w:pPr>
          </w:p>
        </w:tc>
        <w:tc>
          <w:tcPr>
            <w:tcW w:w="558" w:type="pct"/>
            <w:vAlign w:val="center"/>
          </w:tcPr>
          <w:p w14:paraId="759C7BBA">
            <w:pPr>
              <w:snapToGrid w:val="0"/>
              <w:spacing w:line="480" w:lineRule="atLeast"/>
              <w:jc w:val="center"/>
              <w:rPr>
                <w:rFonts w:ascii="宋体" w:hAnsi="宋体"/>
                <w:sz w:val="24"/>
                <w:szCs w:val="24"/>
              </w:rPr>
            </w:pPr>
            <w:r>
              <w:rPr>
                <w:rFonts w:ascii="宋体" w:hAnsi="宋体"/>
                <w:sz w:val="24"/>
                <w:szCs w:val="24"/>
              </w:rPr>
              <w:sym w:font="Symbol" w:char="F06D"/>
            </w:r>
            <w:r>
              <w:rPr>
                <w:rFonts w:ascii="宋体" w:hAnsi="宋体"/>
                <w:sz w:val="24"/>
                <w:szCs w:val="24"/>
              </w:rPr>
              <w:t>m</w:t>
            </w:r>
          </w:p>
        </w:tc>
      </w:tr>
      <w:tr w14:paraId="2E228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2EEB668A">
            <w:pPr>
              <w:snapToGrid w:val="0"/>
              <w:spacing w:line="480" w:lineRule="atLeast"/>
              <w:jc w:val="left"/>
              <w:rPr>
                <w:rFonts w:ascii="宋体" w:hAnsi="宋体"/>
                <w:b/>
                <w:sz w:val="24"/>
                <w:szCs w:val="24"/>
              </w:rPr>
            </w:pPr>
            <w:r>
              <w:rPr>
                <w:rFonts w:hint="eastAsia" w:ascii="宋体" w:hAnsi="宋体"/>
                <w:b/>
                <w:sz w:val="24"/>
                <w:szCs w:val="24"/>
              </w:rPr>
              <w:t>机组运行环境</w:t>
            </w:r>
          </w:p>
        </w:tc>
        <w:tc>
          <w:tcPr>
            <w:tcW w:w="2355" w:type="pct"/>
            <w:vAlign w:val="center"/>
          </w:tcPr>
          <w:p w14:paraId="17C99B4B">
            <w:pPr>
              <w:pStyle w:val="7"/>
              <w:keepNext w:val="0"/>
              <w:keepLines w:val="0"/>
              <w:numPr>
                <w:ilvl w:val="2"/>
                <w:numId w:val="0"/>
              </w:numPr>
              <w:snapToGrid w:val="0"/>
              <w:spacing w:before="0" w:after="0" w:line="480" w:lineRule="atLeast"/>
              <w:jc w:val="center"/>
              <w:rPr>
                <w:rFonts w:ascii="宋体" w:hAnsi="宋体"/>
                <w:b w:val="0"/>
                <w:sz w:val="24"/>
                <w:szCs w:val="24"/>
              </w:rPr>
            </w:pPr>
          </w:p>
        </w:tc>
        <w:tc>
          <w:tcPr>
            <w:tcW w:w="558" w:type="pct"/>
            <w:vAlign w:val="center"/>
          </w:tcPr>
          <w:p w14:paraId="2C5759F3">
            <w:pPr>
              <w:pStyle w:val="7"/>
              <w:keepNext w:val="0"/>
              <w:keepLines w:val="0"/>
              <w:numPr>
                <w:ilvl w:val="2"/>
                <w:numId w:val="0"/>
              </w:numPr>
              <w:snapToGrid w:val="0"/>
              <w:spacing w:before="0" w:after="0" w:line="480" w:lineRule="atLeast"/>
              <w:jc w:val="center"/>
              <w:rPr>
                <w:rFonts w:ascii="宋体" w:hAnsi="宋体"/>
                <w:b w:val="0"/>
                <w:sz w:val="24"/>
                <w:szCs w:val="24"/>
              </w:rPr>
            </w:pPr>
          </w:p>
        </w:tc>
      </w:tr>
      <w:tr w14:paraId="41810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7CACEFDB">
            <w:pPr>
              <w:snapToGrid w:val="0"/>
              <w:spacing w:line="480" w:lineRule="atLeast"/>
              <w:jc w:val="left"/>
              <w:rPr>
                <w:rFonts w:ascii="宋体" w:hAnsi="宋体"/>
                <w:sz w:val="24"/>
                <w:szCs w:val="24"/>
              </w:rPr>
            </w:pPr>
            <w:r>
              <w:rPr>
                <w:rFonts w:hint="eastAsia" w:ascii="宋体" w:hAnsi="宋体"/>
                <w:sz w:val="24"/>
                <w:szCs w:val="24"/>
              </w:rPr>
              <w:t>环境大气压力</w:t>
            </w:r>
            <w:r>
              <w:rPr>
                <w:rFonts w:ascii="宋体" w:hAnsi="宋体"/>
                <w:sz w:val="24"/>
                <w:szCs w:val="24"/>
              </w:rPr>
              <w:t>(</w:t>
            </w:r>
            <w:r>
              <w:rPr>
                <w:rFonts w:hint="eastAsia" w:ascii="宋体" w:hAnsi="宋体"/>
                <w:sz w:val="24"/>
                <w:szCs w:val="24"/>
              </w:rPr>
              <w:t>冬季</w:t>
            </w:r>
            <w:r>
              <w:rPr>
                <w:rFonts w:ascii="宋体" w:hAnsi="宋体"/>
                <w:sz w:val="24"/>
                <w:szCs w:val="24"/>
              </w:rPr>
              <w:t>/</w:t>
            </w:r>
            <w:r>
              <w:rPr>
                <w:rFonts w:hint="eastAsia" w:ascii="宋体" w:hAnsi="宋体"/>
                <w:sz w:val="24"/>
                <w:szCs w:val="24"/>
              </w:rPr>
              <w:t>夏季</w:t>
            </w:r>
            <w:r>
              <w:rPr>
                <w:rFonts w:ascii="宋体" w:hAnsi="宋体"/>
                <w:sz w:val="24"/>
                <w:szCs w:val="24"/>
              </w:rPr>
              <w:t>)</w:t>
            </w:r>
          </w:p>
        </w:tc>
        <w:tc>
          <w:tcPr>
            <w:tcW w:w="2355" w:type="pct"/>
            <w:vAlign w:val="center"/>
          </w:tcPr>
          <w:p w14:paraId="117AA92F">
            <w:pPr>
              <w:snapToGrid w:val="0"/>
              <w:spacing w:line="480" w:lineRule="atLeast"/>
              <w:jc w:val="center"/>
              <w:rPr>
                <w:rFonts w:ascii="宋体" w:hAnsi="宋体"/>
                <w:sz w:val="24"/>
                <w:szCs w:val="24"/>
              </w:rPr>
            </w:pPr>
          </w:p>
        </w:tc>
        <w:tc>
          <w:tcPr>
            <w:tcW w:w="558" w:type="pct"/>
            <w:vAlign w:val="center"/>
          </w:tcPr>
          <w:p w14:paraId="29B93708">
            <w:pPr>
              <w:snapToGrid w:val="0"/>
              <w:spacing w:line="480" w:lineRule="atLeast"/>
              <w:jc w:val="center"/>
              <w:rPr>
                <w:rFonts w:ascii="宋体" w:hAnsi="宋体"/>
                <w:sz w:val="24"/>
                <w:szCs w:val="24"/>
              </w:rPr>
            </w:pPr>
            <w:r>
              <w:rPr>
                <w:rFonts w:ascii="宋体" w:hAnsi="宋体"/>
                <w:sz w:val="24"/>
                <w:szCs w:val="24"/>
              </w:rPr>
              <w:t>mbar</w:t>
            </w:r>
          </w:p>
        </w:tc>
      </w:tr>
      <w:tr w14:paraId="728F5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0E271B28">
            <w:pPr>
              <w:snapToGrid w:val="0"/>
              <w:spacing w:line="480" w:lineRule="atLeast"/>
              <w:jc w:val="left"/>
              <w:rPr>
                <w:rFonts w:ascii="宋体" w:hAnsi="宋体"/>
                <w:sz w:val="24"/>
                <w:szCs w:val="24"/>
              </w:rPr>
            </w:pPr>
            <w:r>
              <w:rPr>
                <w:rFonts w:hint="eastAsia" w:ascii="宋体" w:hAnsi="宋体"/>
                <w:sz w:val="24"/>
                <w:szCs w:val="24"/>
              </w:rPr>
              <w:t>环境空气干球温度</w:t>
            </w:r>
            <w:r>
              <w:rPr>
                <w:rFonts w:ascii="宋体" w:hAnsi="宋体"/>
                <w:sz w:val="24"/>
                <w:szCs w:val="24"/>
              </w:rPr>
              <w:t>(</w:t>
            </w:r>
            <w:r>
              <w:rPr>
                <w:rFonts w:hint="eastAsia" w:ascii="宋体" w:hAnsi="宋体"/>
                <w:sz w:val="24"/>
                <w:szCs w:val="24"/>
              </w:rPr>
              <w:t>最高</w:t>
            </w:r>
            <w:r>
              <w:rPr>
                <w:rFonts w:ascii="宋体" w:hAnsi="宋体"/>
                <w:sz w:val="24"/>
                <w:szCs w:val="24"/>
              </w:rPr>
              <w:t>/</w:t>
            </w:r>
            <w:r>
              <w:rPr>
                <w:rFonts w:hint="eastAsia" w:ascii="宋体" w:hAnsi="宋体"/>
                <w:sz w:val="24"/>
                <w:szCs w:val="24"/>
              </w:rPr>
              <w:t>最低</w:t>
            </w:r>
            <w:r>
              <w:rPr>
                <w:rFonts w:ascii="宋体" w:hAnsi="宋体"/>
                <w:sz w:val="24"/>
                <w:szCs w:val="24"/>
              </w:rPr>
              <w:t>)</w:t>
            </w:r>
          </w:p>
        </w:tc>
        <w:tc>
          <w:tcPr>
            <w:tcW w:w="2355" w:type="pct"/>
            <w:vAlign w:val="center"/>
          </w:tcPr>
          <w:p w14:paraId="0D498A14">
            <w:pPr>
              <w:snapToGrid w:val="0"/>
              <w:spacing w:line="480" w:lineRule="atLeast"/>
              <w:jc w:val="center"/>
              <w:rPr>
                <w:rFonts w:ascii="宋体" w:hAnsi="宋体"/>
                <w:sz w:val="24"/>
                <w:szCs w:val="24"/>
              </w:rPr>
            </w:pPr>
          </w:p>
        </w:tc>
        <w:tc>
          <w:tcPr>
            <w:tcW w:w="558" w:type="pct"/>
            <w:vAlign w:val="center"/>
          </w:tcPr>
          <w:p w14:paraId="5942CBC0">
            <w:pPr>
              <w:snapToGrid w:val="0"/>
              <w:spacing w:line="480" w:lineRule="atLeast"/>
              <w:jc w:val="center"/>
              <w:rPr>
                <w:rFonts w:ascii="宋体" w:hAnsi="宋体"/>
                <w:sz w:val="24"/>
                <w:szCs w:val="24"/>
              </w:rPr>
            </w:pPr>
            <w:r>
              <w:rPr>
                <w:rFonts w:hint="eastAsia" w:ascii="宋体" w:hAnsi="宋体" w:cs="宋体"/>
                <w:sz w:val="24"/>
                <w:szCs w:val="24"/>
              </w:rPr>
              <w:t>℃</w:t>
            </w:r>
          </w:p>
        </w:tc>
      </w:tr>
      <w:tr w14:paraId="69F18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011E392E">
            <w:pPr>
              <w:snapToGrid w:val="0"/>
              <w:spacing w:line="480" w:lineRule="atLeast"/>
              <w:jc w:val="left"/>
              <w:rPr>
                <w:rFonts w:ascii="宋体" w:hAnsi="宋体"/>
                <w:sz w:val="24"/>
                <w:szCs w:val="24"/>
              </w:rPr>
            </w:pPr>
            <w:r>
              <w:rPr>
                <w:rFonts w:hint="eastAsia" w:ascii="宋体" w:hAnsi="宋体"/>
                <w:sz w:val="24"/>
                <w:szCs w:val="24"/>
              </w:rPr>
              <w:t>环境空气相对湿度</w:t>
            </w:r>
            <w:r>
              <w:rPr>
                <w:rFonts w:ascii="宋体" w:hAnsi="宋体"/>
                <w:sz w:val="24"/>
                <w:szCs w:val="24"/>
              </w:rPr>
              <w:t>(</w:t>
            </w:r>
            <w:r>
              <w:rPr>
                <w:rFonts w:hint="eastAsia" w:ascii="宋体" w:hAnsi="宋体"/>
                <w:sz w:val="24"/>
                <w:szCs w:val="24"/>
              </w:rPr>
              <w:t>最高</w:t>
            </w:r>
            <w:r>
              <w:rPr>
                <w:rFonts w:ascii="宋体" w:hAnsi="宋体"/>
                <w:sz w:val="24"/>
                <w:szCs w:val="24"/>
              </w:rPr>
              <w:t>/</w:t>
            </w:r>
            <w:r>
              <w:rPr>
                <w:rFonts w:hint="eastAsia" w:ascii="宋体" w:hAnsi="宋体"/>
                <w:sz w:val="24"/>
                <w:szCs w:val="24"/>
              </w:rPr>
              <w:t>最低</w:t>
            </w:r>
            <w:r>
              <w:rPr>
                <w:rFonts w:ascii="宋体" w:hAnsi="宋体"/>
                <w:sz w:val="24"/>
                <w:szCs w:val="24"/>
              </w:rPr>
              <w:t>)</w:t>
            </w:r>
          </w:p>
        </w:tc>
        <w:tc>
          <w:tcPr>
            <w:tcW w:w="2355" w:type="pct"/>
            <w:vAlign w:val="center"/>
          </w:tcPr>
          <w:p w14:paraId="7F843B0D">
            <w:pPr>
              <w:snapToGrid w:val="0"/>
              <w:spacing w:line="480" w:lineRule="atLeast"/>
              <w:jc w:val="center"/>
              <w:rPr>
                <w:rFonts w:ascii="宋体" w:hAnsi="宋体"/>
                <w:sz w:val="24"/>
                <w:szCs w:val="24"/>
              </w:rPr>
            </w:pPr>
          </w:p>
        </w:tc>
        <w:tc>
          <w:tcPr>
            <w:tcW w:w="558" w:type="pct"/>
            <w:vAlign w:val="center"/>
          </w:tcPr>
          <w:p w14:paraId="0EDA5B69">
            <w:pPr>
              <w:snapToGrid w:val="0"/>
              <w:spacing w:line="480" w:lineRule="atLeast"/>
              <w:jc w:val="center"/>
              <w:rPr>
                <w:rFonts w:ascii="宋体" w:hAnsi="宋体"/>
                <w:sz w:val="24"/>
                <w:szCs w:val="24"/>
              </w:rPr>
            </w:pPr>
            <w:r>
              <w:rPr>
                <w:rFonts w:ascii="宋体" w:hAnsi="宋体"/>
                <w:sz w:val="24"/>
                <w:szCs w:val="24"/>
              </w:rPr>
              <w:t>%</w:t>
            </w:r>
          </w:p>
        </w:tc>
      </w:tr>
      <w:tr w14:paraId="46B5B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000" w:type="pct"/>
            <w:gridSpan w:val="3"/>
            <w:vAlign w:val="center"/>
          </w:tcPr>
          <w:p w14:paraId="7237188D">
            <w:pPr>
              <w:snapToGrid w:val="0"/>
              <w:spacing w:line="480" w:lineRule="atLeast"/>
              <w:rPr>
                <w:rFonts w:ascii="宋体" w:hAnsi="宋体"/>
                <w:sz w:val="24"/>
                <w:szCs w:val="24"/>
              </w:rPr>
            </w:pPr>
            <w:r>
              <w:rPr>
                <w:rFonts w:hint="eastAsia" w:ascii="宋体" w:hAnsi="宋体"/>
                <w:b/>
                <w:sz w:val="24"/>
                <w:szCs w:val="24"/>
              </w:rPr>
              <w:t>室内机1/2/…</w:t>
            </w:r>
          </w:p>
        </w:tc>
      </w:tr>
      <w:tr w14:paraId="6D067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4563AA62">
            <w:pPr>
              <w:snapToGrid w:val="0"/>
              <w:spacing w:line="480" w:lineRule="atLeast"/>
              <w:jc w:val="left"/>
              <w:rPr>
                <w:rFonts w:ascii="宋体" w:hAnsi="宋体"/>
                <w:sz w:val="24"/>
                <w:szCs w:val="24"/>
              </w:rPr>
            </w:pPr>
            <w:r>
              <w:rPr>
                <w:rFonts w:hint="eastAsia" w:ascii="宋体" w:hAnsi="宋体"/>
                <w:sz w:val="24"/>
                <w:szCs w:val="24"/>
              </w:rPr>
              <w:t>型号</w:t>
            </w:r>
          </w:p>
        </w:tc>
        <w:tc>
          <w:tcPr>
            <w:tcW w:w="2355" w:type="pct"/>
            <w:vAlign w:val="center"/>
          </w:tcPr>
          <w:p w14:paraId="1B8C5B41">
            <w:pPr>
              <w:snapToGrid w:val="0"/>
              <w:spacing w:line="480" w:lineRule="atLeast"/>
              <w:jc w:val="center"/>
              <w:rPr>
                <w:rFonts w:ascii="宋体" w:hAnsi="宋体"/>
                <w:sz w:val="24"/>
                <w:szCs w:val="24"/>
              </w:rPr>
            </w:pPr>
          </w:p>
        </w:tc>
        <w:tc>
          <w:tcPr>
            <w:tcW w:w="558" w:type="pct"/>
            <w:vAlign w:val="center"/>
          </w:tcPr>
          <w:p w14:paraId="7295846F">
            <w:pPr>
              <w:snapToGrid w:val="0"/>
              <w:spacing w:line="480" w:lineRule="atLeast"/>
              <w:jc w:val="center"/>
              <w:rPr>
                <w:rFonts w:ascii="宋体" w:hAnsi="宋体"/>
                <w:sz w:val="24"/>
                <w:szCs w:val="24"/>
              </w:rPr>
            </w:pPr>
          </w:p>
        </w:tc>
      </w:tr>
      <w:tr w14:paraId="77E80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2CE41798">
            <w:pPr>
              <w:snapToGrid w:val="0"/>
              <w:spacing w:line="480" w:lineRule="atLeast"/>
              <w:jc w:val="left"/>
              <w:rPr>
                <w:rFonts w:ascii="宋体" w:hAnsi="宋体"/>
                <w:sz w:val="24"/>
                <w:szCs w:val="24"/>
              </w:rPr>
            </w:pPr>
            <w:r>
              <w:rPr>
                <w:rFonts w:hint="eastAsia" w:ascii="宋体" w:hAnsi="宋体"/>
                <w:sz w:val="24"/>
                <w:szCs w:val="24"/>
              </w:rPr>
              <w:t>数量</w:t>
            </w:r>
          </w:p>
        </w:tc>
        <w:tc>
          <w:tcPr>
            <w:tcW w:w="2355" w:type="pct"/>
            <w:vAlign w:val="center"/>
          </w:tcPr>
          <w:p w14:paraId="4569DFE2">
            <w:pPr>
              <w:snapToGrid w:val="0"/>
              <w:spacing w:line="480" w:lineRule="atLeast"/>
              <w:jc w:val="center"/>
              <w:rPr>
                <w:rFonts w:ascii="宋体" w:hAnsi="宋体"/>
                <w:sz w:val="24"/>
                <w:szCs w:val="24"/>
              </w:rPr>
            </w:pPr>
          </w:p>
        </w:tc>
        <w:tc>
          <w:tcPr>
            <w:tcW w:w="558" w:type="pct"/>
            <w:vAlign w:val="center"/>
          </w:tcPr>
          <w:p w14:paraId="09BECDC0">
            <w:pPr>
              <w:snapToGrid w:val="0"/>
              <w:spacing w:line="480" w:lineRule="atLeast"/>
              <w:jc w:val="center"/>
              <w:rPr>
                <w:rFonts w:ascii="宋体" w:hAnsi="宋体"/>
                <w:sz w:val="24"/>
                <w:szCs w:val="24"/>
              </w:rPr>
            </w:pPr>
          </w:p>
        </w:tc>
      </w:tr>
      <w:tr w14:paraId="31499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1A7213A8">
            <w:pPr>
              <w:snapToGrid w:val="0"/>
              <w:spacing w:line="480" w:lineRule="atLeast"/>
              <w:jc w:val="left"/>
              <w:rPr>
                <w:rFonts w:ascii="宋体" w:hAnsi="宋体"/>
                <w:sz w:val="24"/>
                <w:szCs w:val="24"/>
              </w:rPr>
            </w:pPr>
            <w:r>
              <w:rPr>
                <w:rFonts w:hint="eastAsia" w:ascii="宋体" w:hAnsi="宋体"/>
                <w:sz w:val="24"/>
                <w:szCs w:val="24"/>
              </w:rPr>
              <w:t>制冷量</w:t>
            </w:r>
          </w:p>
        </w:tc>
        <w:tc>
          <w:tcPr>
            <w:tcW w:w="2355" w:type="pct"/>
            <w:vAlign w:val="center"/>
          </w:tcPr>
          <w:p w14:paraId="2568CD34">
            <w:pPr>
              <w:snapToGrid w:val="0"/>
              <w:spacing w:line="480" w:lineRule="atLeast"/>
              <w:jc w:val="center"/>
              <w:rPr>
                <w:rFonts w:ascii="宋体" w:hAnsi="宋体"/>
                <w:sz w:val="24"/>
                <w:szCs w:val="24"/>
              </w:rPr>
            </w:pPr>
          </w:p>
        </w:tc>
        <w:tc>
          <w:tcPr>
            <w:tcW w:w="558" w:type="pct"/>
            <w:vAlign w:val="center"/>
          </w:tcPr>
          <w:p w14:paraId="40950E12">
            <w:pPr>
              <w:snapToGrid w:val="0"/>
              <w:spacing w:line="480" w:lineRule="atLeast"/>
              <w:jc w:val="center"/>
              <w:rPr>
                <w:rFonts w:ascii="宋体" w:hAnsi="宋体"/>
                <w:sz w:val="24"/>
                <w:szCs w:val="24"/>
              </w:rPr>
            </w:pPr>
            <w:r>
              <w:rPr>
                <w:rFonts w:hint="eastAsia" w:ascii="宋体" w:hAnsi="宋体"/>
                <w:sz w:val="24"/>
                <w:szCs w:val="24"/>
              </w:rPr>
              <w:t>kW</w:t>
            </w:r>
          </w:p>
        </w:tc>
      </w:tr>
      <w:tr w14:paraId="3DDE0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6FE4808C">
            <w:pPr>
              <w:snapToGrid w:val="0"/>
              <w:spacing w:line="480" w:lineRule="atLeast"/>
              <w:jc w:val="left"/>
              <w:rPr>
                <w:rFonts w:ascii="宋体" w:hAnsi="宋体"/>
                <w:sz w:val="24"/>
                <w:szCs w:val="24"/>
              </w:rPr>
            </w:pPr>
            <w:r>
              <w:rPr>
                <w:rFonts w:hint="eastAsia" w:ascii="宋体" w:hAnsi="宋体"/>
                <w:sz w:val="24"/>
                <w:szCs w:val="24"/>
              </w:rPr>
              <w:t>制热量</w:t>
            </w:r>
          </w:p>
        </w:tc>
        <w:tc>
          <w:tcPr>
            <w:tcW w:w="2355" w:type="pct"/>
            <w:vAlign w:val="center"/>
          </w:tcPr>
          <w:p w14:paraId="2C246DE0">
            <w:pPr>
              <w:snapToGrid w:val="0"/>
              <w:spacing w:line="480" w:lineRule="atLeast"/>
              <w:jc w:val="center"/>
              <w:rPr>
                <w:rFonts w:ascii="宋体" w:hAnsi="宋体"/>
                <w:sz w:val="24"/>
                <w:szCs w:val="24"/>
              </w:rPr>
            </w:pPr>
          </w:p>
        </w:tc>
        <w:tc>
          <w:tcPr>
            <w:tcW w:w="558" w:type="pct"/>
            <w:vAlign w:val="center"/>
          </w:tcPr>
          <w:p w14:paraId="0C97FD53">
            <w:pPr>
              <w:snapToGrid w:val="0"/>
              <w:spacing w:line="480" w:lineRule="atLeast"/>
              <w:jc w:val="center"/>
              <w:rPr>
                <w:rFonts w:ascii="宋体" w:hAnsi="宋体"/>
                <w:sz w:val="24"/>
                <w:szCs w:val="24"/>
              </w:rPr>
            </w:pPr>
            <w:r>
              <w:rPr>
                <w:rFonts w:hint="eastAsia" w:ascii="宋体" w:hAnsi="宋体"/>
                <w:sz w:val="24"/>
                <w:szCs w:val="24"/>
              </w:rPr>
              <w:t>kW</w:t>
            </w:r>
          </w:p>
        </w:tc>
      </w:tr>
      <w:tr w14:paraId="78D23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0B07691F">
            <w:pPr>
              <w:snapToGrid w:val="0"/>
              <w:spacing w:line="480" w:lineRule="atLeast"/>
              <w:jc w:val="left"/>
              <w:rPr>
                <w:rFonts w:ascii="宋体" w:hAnsi="宋体"/>
                <w:sz w:val="24"/>
                <w:szCs w:val="24"/>
              </w:rPr>
            </w:pPr>
            <w:r>
              <w:rPr>
                <w:rFonts w:hint="eastAsia" w:ascii="宋体" w:hAnsi="宋体"/>
                <w:sz w:val="24"/>
                <w:szCs w:val="24"/>
              </w:rPr>
              <w:t>循环风量</w:t>
            </w:r>
          </w:p>
        </w:tc>
        <w:tc>
          <w:tcPr>
            <w:tcW w:w="2355" w:type="pct"/>
            <w:vAlign w:val="center"/>
          </w:tcPr>
          <w:p w14:paraId="36587605">
            <w:pPr>
              <w:snapToGrid w:val="0"/>
              <w:spacing w:line="480" w:lineRule="atLeast"/>
              <w:jc w:val="center"/>
              <w:rPr>
                <w:rFonts w:ascii="宋体" w:hAnsi="宋体"/>
                <w:sz w:val="24"/>
                <w:szCs w:val="24"/>
              </w:rPr>
            </w:pPr>
          </w:p>
        </w:tc>
        <w:tc>
          <w:tcPr>
            <w:tcW w:w="558" w:type="pct"/>
            <w:vAlign w:val="center"/>
          </w:tcPr>
          <w:p w14:paraId="7AB47AA6">
            <w:pPr>
              <w:snapToGrid w:val="0"/>
              <w:spacing w:line="480" w:lineRule="atLeast"/>
              <w:jc w:val="center"/>
              <w:rPr>
                <w:rFonts w:ascii="宋体" w:hAnsi="宋体"/>
                <w:sz w:val="24"/>
                <w:szCs w:val="24"/>
              </w:rPr>
            </w:pPr>
            <w:r>
              <w:rPr>
                <w:sz w:val="24"/>
                <w:szCs w:val="24"/>
              </w:rPr>
              <w:t>m</w:t>
            </w:r>
            <w:r>
              <w:rPr>
                <w:sz w:val="24"/>
                <w:szCs w:val="24"/>
                <w:vertAlign w:val="superscript"/>
              </w:rPr>
              <w:t>3</w:t>
            </w:r>
            <w:r>
              <w:rPr>
                <w:sz w:val="24"/>
                <w:szCs w:val="24"/>
              </w:rPr>
              <w:t>/h</w:t>
            </w:r>
          </w:p>
        </w:tc>
      </w:tr>
      <w:tr w14:paraId="3F579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3336138F">
            <w:pPr>
              <w:snapToGrid w:val="0"/>
              <w:spacing w:line="480" w:lineRule="atLeast"/>
              <w:jc w:val="left"/>
              <w:rPr>
                <w:rFonts w:ascii="宋体" w:hAnsi="宋体"/>
                <w:sz w:val="24"/>
                <w:szCs w:val="24"/>
              </w:rPr>
            </w:pPr>
            <w:r>
              <w:rPr>
                <w:rFonts w:hint="eastAsia" w:ascii="宋体" w:hAnsi="宋体"/>
                <w:sz w:val="24"/>
                <w:szCs w:val="24"/>
              </w:rPr>
              <w:t>机外静压</w:t>
            </w:r>
          </w:p>
        </w:tc>
        <w:tc>
          <w:tcPr>
            <w:tcW w:w="2355" w:type="pct"/>
            <w:vAlign w:val="center"/>
          </w:tcPr>
          <w:p w14:paraId="3C9919CF">
            <w:pPr>
              <w:snapToGrid w:val="0"/>
              <w:spacing w:line="480" w:lineRule="atLeast"/>
              <w:jc w:val="center"/>
              <w:rPr>
                <w:rFonts w:ascii="宋体" w:hAnsi="宋体"/>
                <w:sz w:val="24"/>
                <w:szCs w:val="24"/>
              </w:rPr>
            </w:pPr>
          </w:p>
        </w:tc>
        <w:tc>
          <w:tcPr>
            <w:tcW w:w="558" w:type="pct"/>
            <w:vAlign w:val="center"/>
          </w:tcPr>
          <w:p w14:paraId="587FF144">
            <w:pPr>
              <w:snapToGrid w:val="0"/>
              <w:spacing w:line="480" w:lineRule="atLeast"/>
              <w:jc w:val="center"/>
              <w:rPr>
                <w:rFonts w:ascii="宋体" w:hAnsi="宋体"/>
                <w:sz w:val="24"/>
                <w:szCs w:val="24"/>
              </w:rPr>
            </w:pPr>
            <w:r>
              <w:rPr>
                <w:rFonts w:hint="eastAsia" w:ascii="宋体" w:hAnsi="宋体"/>
                <w:sz w:val="24"/>
                <w:szCs w:val="24"/>
              </w:rPr>
              <w:t>Pa</w:t>
            </w:r>
          </w:p>
        </w:tc>
      </w:tr>
      <w:tr w14:paraId="350C8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1EBF3CC6">
            <w:pPr>
              <w:snapToGrid w:val="0"/>
              <w:spacing w:line="480" w:lineRule="atLeast"/>
              <w:jc w:val="left"/>
              <w:rPr>
                <w:rFonts w:ascii="宋体" w:hAnsi="宋体"/>
                <w:sz w:val="24"/>
                <w:szCs w:val="24"/>
              </w:rPr>
            </w:pPr>
            <w:r>
              <w:rPr>
                <w:rFonts w:hint="eastAsia" w:ascii="宋体" w:hAnsi="宋体" w:cs="宋体"/>
                <w:sz w:val="24"/>
                <w:szCs w:val="24"/>
              </w:rPr>
              <w:t>冷凝排水管接口尺寸</w:t>
            </w:r>
          </w:p>
        </w:tc>
        <w:tc>
          <w:tcPr>
            <w:tcW w:w="2355" w:type="pct"/>
            <w:vAlign w:val="center"/>
          </w:tcPr>
          <w:p w14:paraId="298B384B">
            <w:pPr>
              <w:snapToGrid w:val="0"/>
              <w:spacing w:line="480" w:lineRule="atLeast"/>
              <w:jc w:val="center"/>
              <w:rPr>
                <w:rFonts w:ascii="宋体" w:hAnsi="宋体"/>
                <w:sz w:val="24"/>
                <w:szCs w:val="24"/>
              </w:rPr>
            </w:pPr>
          </w:p>
        </w:tc>
        <w:tc>
          <w:tcPr>
            <w:tcW w:w="558" w:type="pct"/>
            <w:vAlign w:val="center"/>
          </w:tcPr>
          <w:p w14:paraId="5CFB7035">
            <w:pPr>
              <w:snapToGrid w:val="0"/>
              <w:spacing w:line="480" w:lineRule="atLeast"/>
              <w:jc w:val="center"/>
              <w:rPr>
                <w:rFonts w:ascii="宋体" w:hAnsi="宋体"/>
                <w:sz w:val="24"/>
                <w:szCs w:val="24"/>
              </w:rPr>
            </w:pPr>
            <w:r>
              <w:rPr>
                <w:rFonts w:hint="eastAsia" w:ascii="宋体" w:hAnsi="宋体"/>
                <w:sz w:val="24"/>
                <w:szCs w:val="24"/>
              </w:rPr>
              <w:t>mm</w:t>
            </w:r>
          </w:p>
        </w:tc>
      </w:tr>
      <w:tr w14:paraId="6CA7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3DCC3782">
            <w:pPr>
              <w:snapToGrid w:val="0"/>
              <w:spacing w:line="480" w:lineRule="atLeast"/>
              <w:jc w:val="left"/>
              <w:rPr>
                <w:rFonts w:ascii="宋体" w:hAnsi="宋体"/>
                <w:sz w:val="24"/>
                <w:szCs w:val="24"/>
              </w:rPr>
            </w:pPr>
            <w:r>
              <w:rPr>
                <w:rFonts w:hint="eastAsia" w:ascii="宋体" w:hAnsi="宋体" w:cs="宋体"/>
                <w:sz w:val="24"/>
                <w:szCs w:val="24"/>
              </w:rPr>
              <w:t>冷凝水盘材质</w:t>
            </w:r>
          </w:p>
        </w:tc>
        <w:tc>
          <w:tcPr>
            <w:tcW w:w="2355" w:type="pct"/>
            <w:vAlign w:val="center"/>
          </w:tcPr>
          <w:p w14:paraId="5E7A4A12">
            <w:pPr>
              <w:snapToGrid w:val="0"/>
              <w:spacing w:line="480" w:lineRule="atLeast"/>
              <w:jc w:val="center"/>
              <w:rPr>
                <w:rFonts w:ascii="宋体" w:hAnsi="宋体"/>
                <w:sz w:val="24"/>
                <w:szCs w:val="24"/>
              </w:rPr>
            </w:pPr>
          </w:p>
        </w:tc>
        <w:tc>
          <w:tcPr>
            <w:tcW w:w="558" w:type="pct"/>
            <w:vAlign w:val="center"/>
          </w:tcPr>
          <w:p w14:paraId="14787832">
            <w:pPr>
              <w:snapToGrid w:val="0"/>
              <w:spacing w:line="480" w:lineRule="atLeast"/>
              <w:jc w:val="center"/>
              <w:rPr>
                <w:rFonts w:ascii="宋体" w:hAnsi="宋体"/>
                <w:sz w:val="24"/>
                <w:szCs w:val="24"/>
              </w:rPr>
            </w:pPr>
          </w:p>
        </w:tc>
      </w:tr>
      <w:tr w14:paraId="752E7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7F4803B5">
            <w:pPr>
              <w:snapToGrid w:val="0"/>
              <w:spacing w:line="480" w:lineRule="atLeast"/>
              <w:jc w:val="left"/>
              <w:rPr>
                <w:rFonts w:ascii="宋体" w:hAnsi="宋体"/>
                <w:sz w:val="24"/>
                <w:szCs w:val="24"/>
              </w:rPr>
            </w:pPr>
            <w:r>
              <w:rPr>
                <w:rFonts w:hint="eastAsia" w:ascii="宋体" w:hAnsi="宋体"/>
                <w:sz w:val="24"/>
                <w:szCs w:val="24"/>
              </w:rPr>
              <w:t>机组运行功率</w:t>
            </w:r>
          </w:p>
        </w:tc>
        <w:tc>
          <w:tcPr>
            <w:tcW w:w="2355" w:type="pct"/>
            <w:vAlign w:val="center"/>
          </w:tcPr>
          <w:p w14:paraId="08C33610">
            <w:pPr>
              <w:snapToGrid w:val="0"/>
              <w:spacing w:line="480" w:lineRule="atLeast"/>
              <w:jc w:val="center"/>
              <w:rPr>
                <w:rFonts w:ascii="宋体" w:hAnsi="宋体"/>
                <w:sz w:val="24"/>
                <w:szCs w:val="24"/>
              </w:rPr>
            </w:pPr>
          </w:p>
        </w:tc>
        <w:tc>
          <w:tcPr>
            <w:tcW w:w="558" w:type="pct"/>
            <w:vAlign w:val="center"/>
          </w:tcPr>
          <w:p w14:paraId="43FDA84D">
            <w:pPr>
              <w:snapToGrid w:val="0"/>
              <w:spacing w:line="480" w:lineRule="atLeast"/>
              <w:jc w:val="center"/>
              <w:rPr>
                <w:rFonts w:ascii="宋体" w:hAnsi="宋体"/>
                <w:sz w:val="24"/>
                <w:szCs w:val="24"/>
              </w:rPr>
            </w:pPr>
            <w:r>
              <w:rPr>
                <w:rFonts w:ascii="宋体" w:hAnsi="宋体"/>
                <w:sz w:val="24"/>
                <w:szCs w:val="24"/>
              </w:rPr>
              <w:t>kW</w:t>
            </w:r>
          </w:p>
        </w:tc>
      </w:tr>
      <w:tr w14:paraId="5E872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138E5DD9">
            <w:pPr>
              <w:snapToGrid w:val="0"/>
              <w:spacing w:line="480" w:lineRule="atLeast"/>
              <w:jc w:val="left"/>
              <w:rPr>
                <w:rFonts w:ascii="宋体" w:hAnsi="宋体"/>
                <w:sz w:val="24"/>
                <w:szCs w:val="24"/>
              </w:rPr>
            </w:pPr>
            <w:r>
              <w:rPr>
                <w:rFonts w:hint="eastAsia" w:ascii="宋体" w:hAnsi="宋体"/>
                <w:sz w:val="24"/>
                <w:szCs w:val="24"/>
              </w:rPr>
              <w:t>机组启动电流</w:t>
            </w:r>
          </w:p>
        </w:tc>
        <w:tc>
          <w:tcPr>
            <w:tcW w:w="2355" w:type="pct"/>
            <w:vAlign w:val="center"/>
          </w:tcPr>
          <w:p w14:paraId="57B2F791">
            <w:pPr>
              <w:snapToGrid w:val="0"/>
              <w:spacing w:line="480" w:lineRule="atLeast"/>
              <w:jc w:val="center"/>
              <w:rPr>
                <w:rFonts w:ascii="宋体" w:hAnsi="宋体"/>
                <w:sz w:val="24"/>
                <w:szCs w:val="24"/>
              </w:rPr>
            </w:pPr>
          </w:p>
        </w:tc>
        <w:tc>
          <w:tcPr>
            <w:tcW w:w="558" w:type="pct"/>
            <w:vAlign w:val="center"/>
          </w:tcPr>
          <w:p w14:paraId="07D05630">
            <w:pPr>
              <w:snapToGrid w:val="0"/>
              <w:spacing w:line="480" w:lineRule="atLeast"/>
              <w:jc w:val="center"/>
              <w:rPr>
                <w:rFonts w:ascii="宋体" w:hAnsi="宋体"/>
                <w:sz w:val="24"/>
                <w:szCs w:val="24"/>
              </w:rPr>
            </w:pPr>
            <w:r>
              <w:rPr>
                <w:rFonts w:ascii="宋体" w:hAnsi="宋体"/>
                <w:sz w:val="24"/>
                <w:szCs w:val="24"/>
              </w:rPr>
              <w:t>A</w:t>
            </w:r>
          </w:p>
        </w:tc>
      </w:tr>
      <w:tr w14:paraId="4EDFD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010E3FCA">
            <w:pPr>
              <w:snapToGrid w:val="0"/>
              <w:spacing w:line="480" w:lineRule="atLeast"/>
              <w:jc w:val="left"/>
              <w:rPr>
                <w:rFonts w:ascii="宋体" w:hAnsi="宋体"/>
                <w:sz w:val="24"/>
                <w:szCs w:val="24"/>
              </w:rPr>
            </w:pPr>
            <w:r>
              <w:rPr>
                <w:rFonts w:hint="eastAsia" w:ascii="宋体" w:hAnsi="宋体"/>
                <w:sz w:val="24"/>
                <w:szCs w:val="24"/>
              </w:rPr>
              <w:t>制冷剂及其重量</w:t>
            </w:r>
          </w:p>
        </w:tc>
        <w:tc>
          <w:tcPr>
            <w:tcW w:w="2355" w:type="pct"/>
            <w:vAlign w:val="center"/>
          </w:tcPr>
          <w:p w14:paraId="1AB1CB3A">
            <w:pPr>
              <w:snapToGrid w:val="0"/>
              <w:spacing w:line="480" w:lineRule="atLeast"/>
              <w:jc w:val="center"/>
              <w:rPr>
                <w:rFonts w:ascii="宋体" w:hAnsi="宋体"/>
                <w:sz w:val="24"/>
                <w:szCs w:val="24"/>
              </w:rPr>
            </w:pPr>
          </w:p>
        </w:tc>
        <w:tc>
          <w:tcPr>
            <w:tcW w:w="558" w:type="pct"/>
            <w:vAlign w:val="center"/>
          </w:tcPr>
          <w:p w14:paraId="31CE354E">
            <w:pPr>
              <w:snapToGrid w:val="0"/>
              <w:spacing w:line="480" w:lineRule="atLeast"/>
              <w:jc w:val="center"/>
              <w:rPr>
                <w:rFonts w:ascii="宋体" w:hAnsi="宋体"/>
                <w:sz w:val="24"/>
                <w:szCs w:val="24"/>
              </w:rPr>
            </w:pPr>
            <w:r>
              <w:rPr>
                <w:rFonts w:ascii="宋体" w:hAnsi="宋体"/>
                <w:sz w:val="24"/>
                <w:szCs w:val="24"/>
              </w:rPr>
              <w:t>kg</w:t>
            </w:r>
          </w:p>
        </w:tc>
      </w:tr>
      <w:tr w14:paraId="59754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7B4A1607">
            <w:pPr>
              <w:snapToGrid w:val="0"/>
              <w:spacing w:line="480" w:lineRule="atLeast"/>
              <w:jc w:val="left"/>
              <w:rPr>
                <w:rFonts w:ascii="宋体" w:hAnsi="宋体"/>
                <w:sz w:val="24"/>
                <w:szCs w:val="24"/>
              </w:rPr>
            </w:pPr>
            <w:r>
              <w:rPr>
                <w:rFonts w:hint="eastAsia" w:ascii="宋体" w:hAnsi="宋体"/>
                <w:sz w:val="24"/>
                <w:szCs w:val="24"/>
              </w:rPr>
              <w:t>机组总运行重量</w:t>
            </w:r>
          </w:p>
        </w:tc>
        <w:tc>
          <w:tcPr>
            <w:tcW w:w="2355" w:type="pct"/>
            <w:vAlign w:val="center"/>
          </w:tcPr>
          <w:p w14:paraId="643C0B91">
            <w:pPr>
              <w:snapToGrid w:val="0"/>
              <w:spacing w:line="480" w:lineRule="atLeast"/>
              <w:jc w:val="center"/>
              <w:rPr>
                <w:rFonts w:ascii="宋体" w:hAnsi="宋体"/>
                <w:sz w:val="24"/>
                <w:szCs w:val="24"/>
              </w:rPr>
            </w:pPr>
          </w:p>
        </w:tc>
        <w:tc>
          <w:tcPr>
            <w:tcW w:w="558" w:type="pct"/>
            <w:vAlign w:val="center"/>
          </w:tcPr>
          <w:p w14:paraId="6E94B1C9">
            <w:pPr>
              <w:snapToGrid w:val="0"/>
              <w:spacing w:line="480" w:lineRule="atLeast"/>
              <w:jc w:val="center"/>
              <w:rPr>
                <w:rFonts w:ascii="宋体" w:hAnsi="宋体"/>
                <w:sz w:val="24"/>
                <w:szCs w:val="24"/>
              </w:rPr>
            </w:pPr>
            <w:r>
              <w:rPr>
                <w:rFonts w:ascii="宋体" w:hAnsi="宋体"/>
                <w:sz w:val="24"/>
                <w:szCs w:val="24"/>
              </w:rPr>
              <w:t>kg</w:t>
            </w:r>
          </w:p>
        </w:tc>
      </w:tr>
      <w:tr w14:paraId="68EFA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03FFEF7F">
            <w:pPr>
              <w:snapToGrid w:val="0"/>
              <w:spacing w:line="480" w:lineRule="atLeast"/>
              <w:jc w:val="left"/>
              <w:rPr>
                <w:rFonts w:ascii="宋体" w:hAnsi="宋体"/>
                <w:sz w:val="24"/>
                <w:szCs w:val="24"/>
              </w:rPr>
            </w:pPr>
            <w:r>
              <w:rPr>
                <w:rFonts w:hint="eastAsia" w:ascii="宋体" w:hAnsi="宋体"/>
                <w:sz w:val="24"/>
                <w:szCs w:val="24"/>
              </w:rPr>
              <w:t>机组总尺寸</w:t>
            </w:r>
            <w:r>
              <w:rPr>
                <w:rFonts w:ascii="宋体" w:hAnsi="宋体"/>
                <w:sz w:val="24"/>
                <w:szCs w:val="24"/>
              </w:rPr>
              <w:t>(</w:t>
            </w:r>
            <w:r>
              <w:rPr>
                <w:rFonts w:hint="eastAsia" w:ascii="宋体" w:hAnsi="宋体"/>
                <w:sz w:val="24"/>
                <w:szCs w:val="24"/>
              </w:rPr>
              <w:t>长</w:t>
            </w:r>
            <w:r>
              <w:rPr>
                <w:rFonts w:ascii="宋体" w:hAnsi="宋体"/>
                <w:sz w:val="24"/>
                <w:szCs w:val="24"/>
              </w:rPr>
              <w:t>×</w:t>
            </w:r>
            <w:r>
              <w:rPr>
                <w:rFonts w:hint="eastAsia" w:ascii="宋体" w:hAnsi="宋体"/>
                <w:sz w:val="24"/>
                <w:szCs w:val="24"/>
              </w:rPr>
              <w:t>宽</w:t>
            </w:r>
            <w:r>
              <w:rPr>
                <w:rFonts w:ascii="宋体" w:hAnsi="宋体"/>
                <w:sz w:val="24"/>
                <w:szCs w:val="24"/>
              </w:rPr>
              <w:t>×</w:t>
            </w:r>
            <w:r>
              <w:rPr>
                <w:rFonts w:hint="eastAsia" w:ascii="宋体" w:hAnsi="宋体"/>
                <w:sz w:val="24"/>
                <w:szCs w:val="24"/>
              </w:rPr>
              <w:t>高</w:t>
            </w:r>
            <w:r>
              <w:rPr>
                <w:rFonts w:ascii="宋体" w:hAnsi="宋体"/>
                <w:sz w:val="24"/>
                <w:szCs w:val="24"/>
              </w:rPr>
              <w:t>)</w:t>
            </w:r>
          </w:p>
        </w:tc>
        <w:tc>
          <w:tcPr>
            <w:tcW w:w="2355" w:type="pct"/>
            <w:vAlign w:val="center"/>
          </w:tcPr>
          <w:p w14:paraId="0C938ED7">
            <w:pPr>
              <w:snapToGrid w:val="0"/>
              <w:spacing w:line="480" w:lineRule="atLeast"/>
              <w:jc w:val="center"/>
              <w:rPr>
                <w:rFonts w:ascii="宋体" w:hAnsi="宋体"/>
                <w:sz w:val="24"/>
                <w:szCs w:val="24"/>
              </w:rPr>
            </w:pPr>
          </w:p>
        </w:tc>
        <w:tc>
          <w:tcPr>
            <w:tcW w:w="558" w:type="pct"/>
            <w:vAlign w:val="center"/>
          </w:tcPr>
          <w:p w14:paraId="13DB8E52">
            <w:pPr>
              <w:snapToGrid w:val="0"/>
              <w:spacing w:line="480" w:lineRule="atLeast"/>
              <w:jc w:val="center"/>
              <w:rPr>
                <w:rFonts w:ascii="宋体" w:hAnsi="宋体"/>
                <w:sz w:val="24"/>
                <w:szCs w:val="24"/>
              </w:rPr>
            </w:pPr>
            <w:r>
              <w:rPr>
                <w:rFonts w:ascii="宋体" w:hAnsi="宋体"/>
                <w:sz w:val="24"/>
                <w:szCs w:val="24"/>
              </w:rPr>
              <w:t>mm</w:t>
            </w:r>
          </w:p>
        </w:tc>
      </w:tr>
      <w:tr w14:paraId="6EEAC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4DC59D46">
            <w:pPr>
              <w:snapToGrid w:val="0"/>
              <w:spacing w:line="480" w:lineRule="atLeast"/>
              <w:jc w:val="left"/>
              <w:rPr>
                <w:rFonts w:ascii="宋体" w:hAnsi="宋体"/>
                <w:sz w:val="24"/>
                <w:szCs w:val="24"/>
              </w:rPr>
            </w:pPr>
            <w:r>
              <w:rPr>
                <w:rFonts w:hint="eastAsia" w:ascii="宋体" w:hAnsi="宋体"/>
                <w:b/>
                <w:sz w:val="24"/>
                <w:szCs w:val="24"/>
              </w:rPr>
              <w:t>噪音值</w:t>
            </w:r>
            <w:r>
              <w:rPr>
                <w:rFonts w:ascii="宋体" w:hAnsi="宋体"/>
                <w:b/>
                <w:sz w:val="24"/>
                <w:szCs w:val="24"/>
              </w:rPr>
              <w:t>(</w:t>
            </w:r>
            <w:r>
              <w:rPr>
                <w:rFonts w:hint="eastAsia" w:ascii="宋体" w:hAnsi="宋体"/>
                <w:b/>
                <w:sz w:val="24"/>
                <w:szCs w:val="24"/>
              </w:rPr>
              <w:t>声压级</w:t>
            </w:r>
            <w:r>
              <w:rPr>
                <w:rFonts w:ascii="宋体" w:hAnsi="宋体"/>
                <w:b/>
                <w:sz w:val="24"/>
                <w:szCs w:val="24"/>
              </w:rPr>
              <w:t>)</w:t>
            </w:r>
          </w:p>
        </w:tc>
        <w:tc>
          <w:tcPr>
            <w:tcW w:w="2355" w:type="pct"/>
            <w:vAlign w:val="center"/>
          </w:tcPr>
          <w:p w14:paraId="312F6DFB">
            <w:pPr>
              <w:snapToGrid w:val="0"/>
              <w:spacing w:line="480" w:lineRule="atLeast"/>
              <w:jc w:val="center"/>
              <w:rPr>
                <w:rFonts w:ascii="宋体" w:hAnsi="宋体"/>
                <w:sz w:val="24"/>
                <w:szCs w:val="24"/>
              </w:rPr>
            </w:pPr>
          </w:p>
        </w:tc>
        <w:tc>
          <w:tcPr>
            <w:tcW w:w="558" w:type="pct"/>
            <w:vAlign w:val="center"/>
          </w:tcPr>
          <w:p w14:paraId="039B1113">
            <w:pPr>
              <w:snapToGrid w:val="0"/>
              <w:spacing w:line="480" w:lineRule="atLeast"/>
              <w:jc w:val="center"/>
              <w:rPr>
                <w:rFonts w:ascii="宋体" w:hAnsi="宋体"/>
                <w:sz w:val="24"/>
                <w:szCs w:val="24"/>
              </w:rPr>
            </w:pPr>
            <w:r>
              <w:rPr>
                <w:rFonts w:ascii="宋体" w:hAnsi="宋体"/>
                <w:sz w:val="24"/>
                <w:szCs w:val="24"/>
              </w:rPr>
              <w:t>dB(A)</w:t>
            </w:r>
          </w:p>
        </w:tc>
      </w:tr>
      <w:tr w14:paraId="61A04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3FBC5A0E">
            <w:pPr>
              <w:snapToGrid w:val="0"/>
              <w:spacing w:line="480" w:lineRule="atLeast"/>
              <w:jc w:val="left"/>
              <w:rPr>
                <w:rFonts w:ascii="宋体" w:hAnsi="宋体"/>
                <w:sz w:val="24"/>
                <w:szCs w:val="24"/>
              </w:rPr>
            </w:pPr>
            <w:r>
              <w:rPr>
                <w:rFonts w:hint="eastAsia" w:ascii="宋体" w:hAnsi="宋体"/>
                <w:b/>
                <w:sz w:val="24"/>
                <w:szCs w:val="24"/>
              </w:rPr>
              <w:t>机组运行环境</w:t>
            </w:r>
          </w:p>
        </w:tc>
        <w:tc>
          <w:tcPr>
            <w:tcW w:w="2355" w:type="pct"/>
            <w:vAlign w:val="center"/>
          </w:tcPr>
          <w:p w14:paraId="37D79EA2">
            <w:pPr>
              <w:snapToGrid w:val="0"/>
              <w:spacing w:line="480" w:lineRule="atLeast"/>
              <w:jc w:val="center"/>
              <w:rPr>
                <w:rFonts w:ascii="宋体" w:hAnsi="宋体"/>
                <w:sz w:val="24"/>
                <w:szCs w:val="24"/>
              </w:rPr>
            </w:pPr>
          </w:p>
        </w:tc>
        <w:tc>
          <w:tcPr>
            <w:tcW w:w="558" w:type="pct"/>
            <w:vAlign w:val="center"/>
          </w:tcPr>
          <w:p w14:paraId="65ED74A2">
            <w:pPr>
              <w:snapToGrid w:val="0"/>
              <w:spacing w:line="480" w:lineRule="atLeast"/>
              <w:jc w:val="center"/>
              <w:rPr>
                <w:rFonts w:ascii="宋体" w:hAnsi="宋体"/>
                <w:sz w:val="24"/>
                <w:szCs w:val="24"/>
              </w:rPr>
            </w:pPr>
          </w:p>
        </w:tc>
      </w:tr>
      <w:tr w14:paraId="7E34A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5C894B32">
            <w:pPr>
              <w:snapToGrid w:val="0"/>
              <w:spacing w:line="480" w:lineRule="atLeast"/>
              <w:jc w:val="left"/>
              <w:rPr>
                <w:rFonts w:ascii="宋体" w:hAnsi="宋体"/>
                <w:sz w:val="24"/>
                <w:szCs w:val="24"/>
              </w:rPr>
            </w:pPr>
            <w:r>
              <w:rPr>
                <w:rFonts w:hint="eastAsia" w:ascii="宋体" w:hAnsi="宋体"/>
                <w:sz w:val="24"/>
                <w:szCs w:val="24"/>
              </w:rPr>
              <w:t>环境大气压力</w:t>
            </w:r>
            <w:r>
              <w:rPr>
                <w:rFonts w:ascii="宋体" w:hAnsi="宋体"/>
                <w:sz w:val="24"/>
                <w:szCs w:val="24"/>
              </w:rPr>
              <w:t>(</w:t>
            </w:r>
            <w:r>
              <w:rPr>
                <w:rFonts w:hint="eastAsia" w:ascii="宋体" w:hAnsi="宋体"/>
                <w:sz w:val="24"/>
                <w:szCs w:val="24"/>
              </w:rPr>
              <w:t>冬季</w:t>
            </w:r>
            <w:r>
              <w:rPr>
                <w:rFonts w:ascii="宋体" w:hAnsi="宋体"/>
                <w:sz w:val="24"/>
                <w:szCs w:val="24"/>
              </w:rPr>
              <w:t>/</w:t>
            </w:r>
            <w:r>
              <w:rPr>
                <w:rFonts w:hint="eastAsia" w:ascii="宋体" w:hAnsi="宋体"/>
                <w:sz w:val="24"/>
                <w:szCs w:val="24"/>
              </w:rPr>
              <w:t>夏季</w:t>
            </w:r>
            <w:r>
              <w:rPr>
                <w:rFonts w:ascii="宋体" w:hAnsi="宋体"/>
                <w:sz w:val="24"/>
                <w:szCs w:val="24"/>
              </w:rPr>
              <w:t>)</w:t>
            </w:r>
          </w:p>
        </w:tc>
        <w:tc>
          <w:tcPr>
            <w:tcW w:w="2355" w:type="pct"/>
            <w:vAlign w:val="center"/>
          </w:tcPr>
          <w:p w14:paraId="1A16A431">
            <w:pPr>
              <w:snapToGrid w:val="0"/>
              <w:spacing w:line="480" w:lineRule="atLeast"/>
              <w:jc w:val="center"/>
              <w:rPr>
                <w:rFonts w:ascii="宋体" w:hAnsi="宋体"/>
                <w:sz w:val="24"/>
                <w:szCs w:val="24"/>
              </w:rPr>
            </w:pPr>
          </w:p>
        </w:tc>
        <w:tc>
          <w:tcPr>
            <w:tcW w:w="558" w:type="pct"/>
            <w:vAlign w:val="center"/>
          </w:tcPr>
          <w:p w14:paraId="71A5BC45">
            <w:pPr>
              <w:snapToGrid w:val="0"/>
              <w:spacing w:line="480" w:lineRule="atLeast"/>
              <w:jc w:val="center"/>
              <w:rPr>
                <w:rFonts w:ascii="宋体" w:hAnsi="宋体"/>
                <w:sz w:val="24"/>
                <w:szCs w:val="24"/>
              </w:rPr>
            </w:pPr>
            <w:r>
              <w:rPr>
                <w:rFonts w:ascii="宋体" w:hAnsi="宋体"/>
                <w:sz w:val="24"/>
                <w:szCs w:val="24"/>
              </w:rPr>
              <w:t>mbar</w:t>
            </w:r>
          </w:p>
        </w:tc>
      </w:tr>
      <w:tr w14:paraId="62146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44E11A62">
            <w:pPr>
              <w:snapToGrid w:val="0"/>
              <w:spacing w:line="480" w:lineRule="atLeast"/>
              <w:jc w:val="left"/>
              <w:rPr>
                <w:rFonts w:ascii="宋体" w:hAnsi="宋体"/>
                <w:sz w:val="24"/>
                <w:szCs w:val="24"/>
              </w:rPr>
            </w:pPr>
            <w:r>
              <w:rPr>
                <w:rFonts w:hint="eastAsia" w:ascii="宋体" w:hAnsi="宋体"/>
                <w:sz w:val="24"/>
                <w:szCs w:val="24"/>
              </w:rPr>
              <w:t>环境空气干球温度</w:t>
            </w:r>
            <w:r>
              <w:rPr>
                <w:rFonts w:ascii="宋体" w:hAnsi="宋体"/>
                <w:sz w:val="24"/>
                <w:szCs w:val="24"/>
              </w:rPr>
              <w:t>(</w:t>
            </w:r>
            <w:r>
              <w:rPr>
                <w:rFonts w:hint="eastAsia" w:ascii="宋体" w:hAnsi="宋体"/>
                <w:sz w:val="24"/>
                <w:szCs w:val="24"/>
              </w:rPr>
              <w:t>最高</w:t>
            </w:r>
            <w:r>
              <w:rPr>
                <w:rFonts w:ascii="宋体" w:hAnsi="宋体"/>
                <w:sz w:val="24"/>
                <w:szCs w:val="24"/>
              </w:rPr>
              <w:t>/</w:t>
            </w:r>
            <w:r>
              <w:rPr>
                <w:rFonts w:hint="eastAsia" w:ascii="宋体" w:hAnsi="宋体"/>
                <w:sz w:val="24"/>
                <w:szCs w:val="24"/>
              </w:rPr>
              <w:t>最低</w:t>
            </w:r>
            <w:r>
              <w:rPr>
                <w:rFonts w:ascii="宋体" w:hAnsi="宋体"/>
                <w:sz w:val="24"/>
                <w:szCs w:val="24"/>
              </w:rPr>
              <w:t>)</w:t>
            </w:r>
          </w:p>
        </w:tc>
        <w:tc>
          <w:tcPr>
            <w:tcW w:w="2355" w:type="pct"/>
            <w:vAlign w:val="center"/>
          </w:tcPr>
          <w:p w14:paraId="0ABDEE68">
            <w:pPr>
              <w:snapToGrid w:val="0"/>
              <w:spacing w:line="480" w:lineRule="atLeast"/>
              <w:jc w:val="center"/>
              <w:rPr>
                <w:rFonts w:ascii="宋体" w:hAnsi="宋体"/>
                <w:sz w:val="24"/>
                <w:szCs w:val="24"/>
              </w:rPr>
            </w:pPr>
          </w:p>
        </w:tc>
        <w:tc>
          <w:tcPr>
            <w:tcW w:w="558" w:type="pct"/>
            <w:vAlign w:val="center"/>
          </w:tcPr>
          <w:p w14:paraId="336FC63A">
            <w:pPr>
              <w:snapToGrid w:val="0"/>
              <w:spacing w:line="480" w:lineRule="atLeast"/>
              <w:jc w:val="center"/>
              <w:rPr>
                <w:rFonts w:ascii="宋体" w:hAnsi="宋体"/>
                <w:sz w:val="24"/>
                <w:szCs w:val="24"/>
              </w:rPr>
            </w:pPr>
            <w:r>
              <w:rPr>
                <w:rFonts w:hint="eastAsia" w:ascii="宋体" w:hAnsi="宋体" w:cs="宋体"/>
                <w:sz w:val="24"/>
                <w:szCs w:val="24"/>
              </w:rPr>
              <w:t>℃</w:t>
            </w:r>
          </w:p>
        </w:tc>
      </w:tr>
      <w:tr w14:paraId="1A46C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87" w:type="pct"/>
            <w:vAlign w:val="center"/>
          </w:tcPr>
          <w:p w14:paraId="4497E987">
            <w:pPr>
              <w:snapToGrid w:val="0"/>
              <w:spacing w:line="480" w:lineRule="atLeast"/>
              <w:jc w:val="left"/>
              <w:rPr>
                <w:rFonts w:ascii="宋体" w:hAnsi="宋体"/>
                <w:sz w:val="24"/>
                <w:szCs w:val="24"/>
              </w:rPr>
            </w:pPr>
            <w:r>
              <w:rPr>
                <w:rFonts w:hint="eastAsia" w:ascii="宋体" w:hAnsi="宋体"/>
                <w:sz w:val="24"/>
                <w:szCs w:val="24"/>
              </w:rPr>
              <w:t>环境空气相对湿度</w:t>
            </w:r>
            <w:r>
              <w:rPr>
                <w:rFonts w:ascii="宋体" w:hAnsi="宋体"/>
                <w:sz w:val="24"/>
                <w:szCs w:val="24"/>
              </w:rPr>
              <w:t>(</w:t>
            </w:r>
            <w:r>
              <w:rPr>
                <w:rFonts w:hint="eastAsia" w:ascii="宋体" w:hAnsi="宋体"/>
                <w:sz w:val="24"/>
                <w:szCs w:val="24"/>
              </w:rPr>
              <w:t>最高</w:t>
            </w:r>
            <w:r>
              <w:rPr>
                <w:rFonts w:ascii="宋体" w:hAnsi="宋体"/>
                <w:sz w:val="24"/>
                <w:szCs w:val="24"/>
              </w:rPr>
              <w:t>/</w:t>
            </w:r>
            <w:r>
              <w:rPr>
                <w:rFonts w:hint="eastAsia" w:ascii="宋体" w:hAnsi="宋体"/>
                <w:sz w:val="24"/>
                <w:szCs w:val="24"/>
              </w:rPr>
              <w:t>最低</w:t>
            </w:r>
            <w:r>
              <w:rPr>
                <w:rFonts w:ascii="宋体" w:hAnsi="宋体"/>
                <w:sz w:val="24"/>
                <w:szCs w:val="24"/>
              </w:rPr>
              <w:t>)</w:t>
            </w:r>
          </w:p>
        </w:tc>
        <w:tc>
          <w:tcPr>
            <w:tcW w:w="2355" w:type="pct"/>
            <w:vAlign w:val="center"/>
          </w:tcPr>
          <w:p w14:paraId="12E6AAC0">
            <w:pPr>
              <w:snapToGrid w:val="0"/>
              <w:spacing w:line="480" w:lineRule="atLeast"/>
              <w:jc w:val="center"/>
              <w:rPr>
                <w:rFonts w:ascii="宋体" w:hAnsi="宋体"/>
                <w:sz w:val="24"/>
                <w:szCs w:val="24"/>
              </w:rPr>
            </w:pPr>
          </w:p>
        </w:tc>
        <w:tc>
          <w:tcPr>
            <w:tcW w:w="558" w:type="pct"/>
            <w:vAlign w:val="center"/>
          </w:tcPr>
          <w:p w14:paraId="36313EE6">
            <w:pPr>
              <w:snapToGrid w:val="0"/>
              <w:spacing w:line="480" w:lineRule="atLeast"/>
              <w:jc w:val="center"/>
              <w:rPr>
                <w:rFonts w:ascii="宋体" w:hAnsi="宋体" w:cs="宋体"/>
                <w:sz w:val="24"/>
                <w:szCs w:val="24"/>
              </w:rPr>
            </w:pPr>
            <w:r>
              <w:rPr>
                <w:rFonts w:ascii="宋体" w:hAnsi="宋体"/>
                <w:sz w:val="24"/>
                <w:szCs w:val="24"/>
              </w:rPr>
              <w:t>%</w:t>
            </w:r>
          </w:p>
        </w:tc>
      </w:tr>
    </w:tbl>
    <w:p w14:paraId="63FE6CDE">
      <w:pPr>
        <w:snapToGrid w:val="0"/>
        <w:spacing w:line="480" w:lineRule="atLeast"/>
        <w:jc w:val="center"/>
        <w:rPr>
          <w:rFonts w:eastAsiaTheme="minorEastAsia"/>
          <w:b/>
          <w:color w:val="000000" w:themeColor="text1"/>
          <w:sz w:val="24"/>
          <w:szCs w:val="24"/>
          <w14:textFill>
            <w14:solidFill>
              <w14:schemeClr w14:val="tx1"/>
            </w14:solidFill>
          </w14:textFill>
        </w:rPr>
      </w:pPr>
    </w:p>
    <w:bookmarkEnd w:id="72"/>
    <w:bookmarkEnd w:id="73"/>
    <w:bookmarkEnd w:id="74"/>
    <w:bookmarkEnd w:id="75"/>
    <w:p w14:paraId="0AC998FB">
      <w:pPr>
        <w:snapToGrid w:val="0"/>
        <w:spacing w:line="480" w:lineRule="atLeast"/>
        <w:jc w:val="center"/>
        <w:outlineLvl w:val="1"/>
        <w:rPr>
          <w:b/>
          <w:color w:val="000000" w:themeColor="text1"/>
          <w:sz w:val="24"/>
          <w:szCs w:val="24"/>
          <w14:textFill>
            <w14:solidFill>
              <w14:schemeClr w14:val="tx1"/>
            </w14:solidFill>
          </w14:textFill>
        </w:rPr>
      </w:pPr>
      <w:bookmarkStart w:id="76" w:name="_Toc391558982"/>
      <w:bookmarkEnd w:id="76"/>
      <w:bookmarkStart w:id="77" w:name="_Toc389230952"/>
      <w:bookmarkEnd w:id="77"/>
      <w:bookmarkStart w:id="78" w:name="_Toc389230951"/>
      <w:bookmarkEnd w:id="78"/>
      <w:bookmarkStart w:id="79" w:name="_Toc391559070"/>
      <w:bookmarkEnd w:id="79"/>
      <w:bookmarkStart w:id="80" w:name="_Toc391559071"/>
      <w:bookmarkEnd w:id="80"/>
      <w:bookmarkStart w:id="81" w:name="_Toc391461055"/>
      <w:bookmarkEnd w:id="81"/>
      <w:bookmarkStart w:id="82" w:name="_Toc389231074"/>
      <w:bookmarkEnd w:id="82"/>
      <w:bookmarkStart w:id="83" w:name="_Toc391558983"/>
      <w:bookmarkEnd w:id="83"/>
      <w:bookmarkStart w:id="84" w:name="_Toc389231075"/>
      <w:bookmarkEnd w:id="84"/>
      <w:bookmarkStart w:id="85" w:name="_Toc391461056"/>
      <w:bookmarkEnd w:id="85"/>
      <w:bookmarkStart w:id="86" w:name="_Toc220074669"/>
      <w:bookmarkStart w:id="87" w:name="_Toc389230947"/>
      <w:bookmarkStart w:id="88" w:name="_Toc279850213"/>
      <w:bookmarkStart w:id="89" w:name="_Toc57984081"/>
      <w:bookmarkStart w:id="90" w:name="_Toc279850626"/>
      <w:bookmarkStart w:id="91" w:name="_Toc389231070"/>
      <w:bookmarkStart w:id="92" w:name="_Toc10675"/>
      <w:bookmarkStart w:id="93" w:name="_Toc10578"/>
      <w:bookmarkStart w:id="94" w:name="_Toc29310"/>
      <w:bookmarkStart w:id="95" w:name="_Toc282788471"/>
      <w:bookmarkStart w:id="96" w:name="_Toc278226490"/>
      <w:bookmarkStart w:id="97" w:name="_Toc279850630"/>
      <w:bookmarkStart w:id="98" w:name="_Toc279850217"/>
      <w:bookmarkStart w:id="99" w:name="_Toc526064864"/>
      <w:bookmarkStart w:id="100" w:name="_Toc155113115"/>
      <w:r>
        <w:rPr>
          <w:rFonts w:hint="eastAsia"/>
          <w:b/>
          <w:color w:val="000000" w:themeColor="text1"/>
          <w:sz w:val="24"/>
          <w:szCs w:val="24"/>
          <w14:textFill>
            <w14:solidFill>
              <w14:schemeClr w14:val="tx1"/>
            </w14:solidFill>
          </w14:textFill>
        </w:rPr>
        <w:t>风机盘管</w:t>
      </w:r>
      <w:bookmarkEnd w:id="86"/>
      <w:bookmarkEnd w:id="87"/>
      <w:bookmarkEnd w:id="88"/>
      <w:bookmarkEnd w:id="89"/>
      <w:bookmarkEnd w:id="90"/>
      <w:bookmarkEnd w:id="91"/>
    </w:p>
    <w:tbl>
      <w:tblPr>
        <w:tblStyle w:val="41"/>
        <w:tblW w:w="9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820"/>
        <w:gridCol w:w="3188"/>
        <w:gridCol w:w="1065"/>
      </w:tblGrid>
      <w:tr w14:paraId="05303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72FE85E2">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目</w:t>
            </w:r>
          </w:p>
        </w:tc>
        <w:tc>
          <w:tcPr>
            <w:tcW w:w="3188" w:type="dxa"/>
          </w:tcPr>
          <w:p w14:paraId="296331DA">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技术参数或说明</w:t>
            </w:r>
          </w:p>
        </w:tc>
        <w:tc>
          <w:tcPr>
            <w:tcW w:w="1065" w:type="dxa"/>
            <w:vAlign w:val="center"/>
          </w:tcPr>
          <w:p w14:paraId="5D7C50AF">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单</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位</w:t>
            </w:r>
          </w:p>
        </w:tc>
      </w:tr>
      <w:tr w14:paraId="299FC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25C528E9">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总则</w:t>
            </w:r>
          </w:p>
        </w:tc>
        <w:tc>
          <w:tcPr>
            <w:tcW w:w="3188" w:type="dxa"/>
          </w:tcPr>
          <w:p w14:paraId="17BF3A21">
            <w:pPr>
              <w:spacing w:line="360" w:lineRule="auto"/>
              <w:rPr>
                <w:rFonts w:ascii="宋体" w:hAnsi="宋体"/>
                <w:color w:val="000000" w:themeColor="text1"/>
                <w:sz w:val="24"/>
                <w:szCs w:val="24"/>
                <w14:textFill>
                  <w14:solidFill>
                    <w14:schemeClr w14:val="tx1"/>
                  </w14:solidFill>
                </w14:textFill>
              </w:rPr>
            </w:pPr>
          </w:p>
        </w:tc>
        <w:tc>
          <w:tcPr>
            <w:tcW w:w="1065" w:type="dxa"/>
            <w:vAlign w:val="center"/>
          </w:tcPr>
          <w:p w14:paraId="1E25C268">
            <w:pPr>
              <w:spacing w:line="360" w:lineRule="auto"/>
              <w:jc w:val="center"/>
              <w:rPr>
                <w:rFonts w:ascii="宋体" w:hAnsi="宋体"/>
                <w:color w:val="000000" w:themeColor="text1"/>
                <w:sz w:val="24"/>
                <w:szCs w:val="24"/>
                <w14:textFill>
                  <w14:solidFill>
                    <w14:schemeClr w14:val="tx1"/>
                  </w14:solidFill>
                </w14:textFill>
              </w:rPr>
            </w:pPr>
          </w:p>
        </w:tc>
      </w:tr>
      <w:tr w14:paraId="2D3C1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72D5D857">
            <w:pPr>
              <w:spacing w:line="360" w:lineRule="auto"/>
              <w:rPr>
                <w:rFonts w:ascii="宋体" w:hAnsi="宋体"/>
                <w:color w:val="000000" w:themeColor="text1"/>
                <w:kern w:val="20"/>
                <w:position w:val="-6"/>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机组型式</w:t>
            </w:r>
          </w:p>
        </w:tc>
        <w:tc>
          <w:tcPr>
            <w:tcW w:w="3188" w:type="dxa"/>
          </w:tcPr>
          <w:p w14:paraId="10D98688">
            <w:pPr>
              <w:spacing w:line="360" w:lineRule="auto"/>
              <w:rPr>
                <w:rFonts w:ascii="宋体" w:hAnsi="宋体"/>
                <w:color w:val="000000" w:themeColor="text1"/>
                <w:sz w:val="24"/>
                <w:szCs w:val="24"/>
                <w14:textFill>
                  <w14:solidFill>
                    <w14:schemeClr w14:val="tx1"/>
                  </w14:solidFill>
                </w14:textFill>
              </w:rPr>
            </w:pPr>
          </w:p>
        </w:tc>
        <w:tc>
          <w:tcPr>
            <w:tcW w:w="1065" w:type="dxa"/>
            <w:vAlign w:val="center"/>
          </w:tcPr>
          <w:p w14:paraId="040ACBE1">
            <w:pPr>
              <w:spacing w:line="360" w:lineRule="auto"/>
              <w:jc w:val="center"/>
              <w:rPr>
                <w:rFonts w:ascii="宋体" w:hAnsi="宋体"/>
                <w:color w:val="000000" w:themeColor="text1"/>
                <w:sz w:val="24"/>
                <w:szCs w:val="24"/>
                <w14:textFill>
                  <w14:solidFill>
                    <w14:schemeClr w14:val="tx1"/>
                  </w14:solidFill>
                </w14:textFill>
              </w:rPr>
            </w:pPr>
          </w:p>
        </w:tc>
      </w:tr>
      <w:tr w14:paraId="48A36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3E99EF44">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机组台数</w:t>
            </w:r>
          </w:p>
        </w:tc>
        <w:tc>
          <w:tcPr>
            <w:tcW w:w="3188" w:type="dxa"/>
          </w:tcPr>
          <w:p w14:paraId="327CDF0B">
            <w:pPr>
              <w:spacing w:line="360" w:lineRule="auto"/>
              <w:rPr>
                <w:rFonts w:ascii="宋体" w:hAnsi="宋体"/>
                <w:color w:val="000000" w:themeColor="text1"/>
                <w:sz w:val="24"/>
                <w:szCs w:val="24"/>
                <w14:textFill>
                  <w14:solidFill>
                    <w14:schemeClr w14:val="tx1"/>
                  </w14:solidFill>
                </w14:textFill>
              </w:rPr>
            </w:pPr>
          </w:p>
        </w:tc>
        <w:tc>
          <w:tcPr>
            <w:tcW w:w="1065" w:type="dxa"/>
            <w:vAlign w:val="center"/>
          </w:tcPr>
          <w:p w14:paraId="7B856C94">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台</w:t>
            </w:r>
          </w:p>
        </w:tc>
      </w:tr>
      <w:tr w14:paraId="49FBB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75C80D32">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风量</w:t>
            </w:r>
          </w:p>
        </w:tc>
        <w:tc>
          <w:tcPr>
            <w:tcW w:w="3188" w:type="dxa"/>
          </w:tcPr>
          <w:p w14:paraId="16AF3259">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5A2B4B7C">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m</w:t>
            </w:r>
            <w:r>
              <w:rPr>
                <w:rFonts w:ascii="宋体" w:hAnsi="宋体"/>
                <w:color w:val="000000" w:themeColor="text1"/>
                <w:sz w:val="24"/>
                <w:szCs w:val="24"/>
                <w:vertAlign w:val="superscript"/>
                <w14:textFill>
                  <w14:solidFill>
                    <w14:schemeClr w14:val="tx1"/>
                  </w14:solidFill>
                </w14:textFill>
              </w:rPr>
              <w:t>3</w:t>
            </w:r>
            <w:r>
              <w:rPr>
                <w:rFonts w:ascii="宋体" w:hAnsi="宋体"/>
                <w:color w:val="000000" w:themeColor="text1"/>
                <w:sz w:val="24"/>
                <w:szCs w:val="24"/>
                <w14:textFill>
                  <w14:solidFill>
                    <w14:schemeClr w14:val="tx1"/>
                  </w14:solidFill>
                </w14:textFill>
              </w:rPr>
              <w:t>/h</w:t>
            </w:r>
          </w:p>
        </w:tc>
      </w:tr>
      <w:tr w14:paraId="35538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585BC2D9">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余压</w:t>
            </w:r>
          </w:p>
        </w:tc>
        <w:tc>
          <w:tcPr>
            <w:tcW w:w="3188" w:type="dxa"/>
          </w:tcPr>
          <w:p w14:paraId="534EF6B7">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175BBC4D">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Pa</w:t>
            </w:r>
          </w:p>
        </w:tc>
      </w:tr>
      <w:tr w14:paraId="4B6EE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604B7844">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制冷量</w:t>
            </w:r>
          </w:p>
        </w:tc>
        <w:tc>
          <w:tcPr>
            <w:tcW w:w="3188" w:type="dxa"/>
          </w:tcPr>
          <w:p w14:paraId="4A51C216">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3D8FA9B9">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kW</w:t>
            </w:r>
          </w:p>
        </w:tc>
      </w:tr>
      <w:tr w14:paraId="6133D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79D2E5AD">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加热量</w:t>
            </w:r>
          </w:p>
        </w:tc>
        <w:tc>
          <w:tcPr>
            <w:tcW w:w="3188" w:type="dxa"/>
          </w:tcPr>
          <w:p w14:paraId="2AC21D87">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73F38B4C">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kW </w:t>
            </w:r>
          </w:p>
        </w:tc>
      </w:tr>
      <w:tr w14:paraId="32FAE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1D12C896">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辅助电加热量（如有）</w:t>
            </w:r>
          </w:p>
        </w:tc>
        <w:tc>
          <w:tcPr>
            <w:tcW w:w="3188" w:type="dxa"/>
          </w:tcPr>
          <w:p w14:paraId="74A5EE77">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1CBA527B">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kW</w:t>
            </w:r>
          </w:p>
        </w:tc>
      </w:tr>
      <w:tr w14:paraId="55D8B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5E797B9E">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机组输入功率</w:t>
            </w:r>
          </w:p>
        </w:tc>
        <w:tc>
          <w:tcPr>
            <w:tcW w:w="3188" w:type="dxa"/>
          </w:tcPr>
          <w:p w14:paraId="758849B7">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0880F236">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kW</w:t>
            </w:r>
          </w:p>
        </w:tc>
      </w:tr>
      <w:tr w14:paraId="2A3A9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76042740">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壳体材料</w:t>
            </w:r>
          </w:p>
        </w:tc>
        <w:tc>
          <w:tcPr>
            <w:tcW w:w="3188" w:type="dxa"/>
          </w:tcPr>
          <w:p w14:paraId="1862B139">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1D358BA3">
            <w:pPr>
              <w:spacing w:line="360" w:lineRule="auto"/>
              <w:ind w:right="113"/>
              <w:jc w:val="center"/>
              <w:rPr>
                <w:rFonts w:ascii="宋体" w:hAnsi="宋体"/>
                <w:color w:val="000000" w:themeColor="text1"/>
                <w:sz w:val="24"/>
                <w:szCs w:val="24"/>
                <w14:textFill>
                  <w14:solidFill>
                    <w14:schemeClr w14:val="tx1"/>
                  </w14:solidFill>
                </w14:textFill>
              </w:rPr>
            </w:pPr>
          </w:p>
        </w:tc>
      </w:tr>
      <w:tr w14:paraId="757BE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2558031F">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涂层颜色</w:t>
            </w:r>
          </w:p>
        </w:tc>
        <w:tc>
          <w:tcPr>
            <w:tcW w:w="3188" w:type="dxa"/>
          </w:tcPr>
          <w:p w14:paraId="3C7C8CBC">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112FE549">
            <w:pPr>
              <w:spacing w:line="360" w:lineRule="auto"/>
              <w:ind w:right="113"/>
              <w:jc w:val="center"/>
              <w:rPr>
                <w:rFonts w:ascii="宋体" w:hAnsi="宋体"/>
                <w:color w:val="000000" w:themeColor="text1"/>
                <w:sz w:val="24"/>
                <w:szCs w:val="24"/>
                <w14:textFill>
                  <w14:solidFill>
                    <w14:schemeClr w14:val="tx1"/>
                  </w14:solidFill>
                </w14:textFill>
              </w:rPr>
            </w:pPr>
          </w:p>
        </w:tc>
      </w:tr>
      <w:tr w14:paraId="56996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2D0B50C3">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机组尺寸</w:t>
            </w:r>
          </w:p>
        </w:tc>
        <w:tc>
          <w:tcPr>
            <w:tcW w:w="3188" w:type="dxa"/>
          </w:tcPr>
          <w:p w14:paraId="262626E0">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20AE37A5">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mm</w:t>
            </w:r>
          </w:p>
        </w:tc>
      </w:tr>
      <w:tr w14:paraId="7AA9D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561F645A">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机组重量</w:t>
            </w:r>
          </w:p>
        </w:tc>
        <w:tc>
          <w:tcPr>
            <w:tcW w:w="3188" w:type="dxa"/>
          </w:tcPr>
          <w:p w14:paraId="0D59BD6B">
            <w:pPr>
              <w:tabs>
                <w:tab w:val="left" w:pos="4860"/>
              </w:tabs>
              <w:spacing w:line="360" w:lineRule="auto"/>
              <w:rPr>
                <w:rFonts w:ascii="宋体" w:hAnsi="宋体"/>
                <w:color w:val="000000" w:themeColor="text1"/>
                <w:sz w:val="24"/>
                <w:szCs w:val="24"/>
                <w14:textFill>
                  <w14:solidFill>
                    <w14:schemeClr w14:val="tx1"/>
                  </w14:solidFill>
                </w14:textFill>
              </w:rPr>
            </w:pPr>
          </w:p>
        </w:tc>
        <w:tc>
          <w:tcPr>
            <w:tcW w:w="1065" w:type="dxa"/>
            <w:vAlign w:val="center"/>
          </w:tcPr>
          <w:p w14:paraId="46C47ADA">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kg</w:t>
            </w:r>
          </w:p>
        </w:tc>
      </w:tr>
      <w:tr w14:paraId="41BE2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60328B5F">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风机</w:t>
            </w:r>
          </w:p>
        </w:tc>
        <w:tc>
          <w:tcPr>
            <w:tcW w:w="3188" w:type="dxa"/>
          </w:tcPr>
          <w:p w14:paraId="0E19A889">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09634E43">
            <w:pPr>
              <w:spacing w:line="360" w:lineRule="auto"/>
              <w:ind w:right="113"/>
              <w:jc w:val="center"/>
              <w:rPr>
                <w:rFonts w:ascii="宋体" w:hAnsi="宋体"/>
                <w:color w:val="000000" w:themeColor="text1"/>
                <w:sz w:val="24"/>
                <w:szCs w:val="24"/>
                <w14:textFill>
                  <w14:solidFill>
                    <w14:schemeClr w14:val="tx1"/>
                  </w14:solidFill>
                </w14:textFill>
              </w:rPr>
            </w:pPr>
          </w:p>
        </w:tc>
      </w:tr>
      <w:tr w14:paraId="3A2DE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36D9AA44">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风机型式</w:t>
            </w:r>
            <w:r>
              <w:rPr>
                <w:rFonts w:ascii="宋体" w:hAnsi="宋体"/>
                <w:color w:val="000000" w:themeColor="text1"/>
                <w:sz w:val="24"/>
                <w:szCs w:val="24"/>
                <w14:textFill>
                  <w14:solidFill>
                    <w14:schemeClr w14:val="tx1"/>
                  </w14:solidFill>
                </w14:textFill>
              </w:rPr>
              <w:t>/型号</w:t>
            </w:r>
          </w:p>
        </w:tc>
        <w:tc>
          <w:tcPr>
            <w:tcW w:w="3188" w:type="dxa"/>
          </w:tcPr>
          <w:p w14:paraId="5765D1A3">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7828395F">
            <w:pPr>
              <w:spacing w:line="360" w:lineRule="auto"/>
              <w:ind w:right="113"/>
              <w:jc w:val="center"/>
              <w:rPr>
                <w:rFonts w:ascii="宋体" w:hAnsi="宋体"/>
                <w:color w:val="000000" w:themeColor="text1"/>
                <w:sz w:val="24"/>
                <w:szCs w:val="24"/>
                <w14:textFill>
                  <w14:solidFill>
                    <w14:schemeClr w14:val="tx1"/>
                  </w14:solidFill>
                </w14:textFill>
              </w:rPr>
            </w:pPr>
          </w:p>
        </w:tc>
      </w:tr>
      <w:tr w14:paraId="27FB4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0DCD202E">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风机制造厂商</w:t>
            </w:r>
          </w:p>
        </w:tc>
        <w:tc>
          <w:tcPr>
            <w:tcW w:w="3188" w:type="dxa"/>
          </w:tcPr>
          <w:p w14:paraId="11584E25">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03BA9539">
            <w:pPr>
              <w:spacing w:line="360" w:lineRule="auto"/>
              <w:ind w:right="113"/>
              <w:jc w:val="center"/>
              <w:rPr>
                <w:rFonts w:ascii="宋体" w:hAnsi="宋体"/>
                <w:color w:val="000000" w:themeColor="text1"/>
                <w:sz w:val="24"/>
                <w:szCs w:val="24"/>
                <w14:textFill>
                  <w14:solidFill>
                    <w14:schemeClr w14:val="tx1"/>
                  </w14:solidFill>
                </w14:textFill>
              </w:rPr>
            </w:pPr>
          </w:p>
        </w:tc>
      </w:tr>
      <w:tr w14:paraId="5AC77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6EB39FF2">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驱动方式</w:t>
            </w:r>
          </w:p>
        </w:tc>
        <w:tc>
          <w:tcPr>
            <w:tcW w:w="3188" w:type="dxa"/>
          </w:tcPr>
          <w:p w14:paraId="7C0BFCFF">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72F5CD07">
            <w:pPr>
              <w:spacing w:line="360" w:lineRule="auto"/>
              <w:ind w:right="113"/>
              <w:jc w:val="center"/>
              <w:rPr>
                <w:rFonts w:ascii="宋体" w:hAnsi="宋体"/>
                <w:color w:val="000000" w:themeColor="text1"/>
                <w:sz w:val="24"/>
                <w:szCs w:val="24"/>
                <w14:textFill>
                  <w14:solidFill>
                    <w14:schemeClr w14:val="tx1"/>
                  </w14:solidFill>
                </w14:textFill>
              </w:rPr>
            </w:pPr>
          </w:p>
        </w:tc>
      </w:tr>
      <w:tr w14:paraId="4B59E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307763C2">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风机转速</w:t>
            </w:r>
          </w:p>
        </w:tc>
        <w:tc>
          <w:tcPr>
            <w:tcW w:w="3188" w:type="dxa"/>
          </w:tcPr>
          <w:p w14:paraId="6F3AE722">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41C20581">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r.p.m</w:t>
            </w:r>
          </w:p>
        </w:tc>
      </w:tr>
      <w:tr w14:paraId="121D2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53E4CE65">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设计空气密度下空气流量</w:t>
            </w:r>
          </w:p>
        </w:tc>
        <w:tc>
          <w:tcPr>
            <w:tcW w:w="3188" w:type="dxa"/>
          </w:tcPr>
          <w:p w14:paraId="0BCECC8A">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1789876D">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m</w:t>
            </w:r>
            <w:r>
              <w:rPr>
                <w:rFonts w:ascii="宋体" w:hAnsi="宋体"/>
                <w:color w:val="000000" w:themeColor="text1"/>
                <w:sz w:val="24"/>
                <w:szCs w:val="24"/>
                <w:vertAlign w:val="superscript"/>
                <w14:textFill>
                  <w14:solidFill>
                    <w14:schemeClr w14:val="tx1"/>
                  </w14:solidFill>
                </w14:textFill>
              </w:rPr>
              <w:t>3</w:t>
            </w:r>
            <w:r>
              <w:rPr>
                <w:rFonts w:ascii="宋体" w:hAnsi="宋体"/>
                <w:color w:val="000000" w:themeColor="text1"/>
                <w:sz w:val="24"/>
                <w:szCs w:val="24"/>
                <w14:textFill>
                  <w14:solidFill>
                    <w14:schemeClr w14:val="tx1"/>
                  </w14:solidFill>
                </w14:textFill>
              </w:rPr>
              <w:t>/h</w:t>
            </w:r>
          </w:p>
        </w:tc>
      </w:tr>
      <w:tr w14:paraId="28400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03F0880A">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全</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压</w:t>
            </w:r>
          </w:p>
        </w:tc>
        <w:tc>
          <w:tcPr>
            <w:tcW w:w="3188" w:type="dxa"/>
          </w:tcPr>
          <w:p w14:paraId="3D9F9A36">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2EEBD466">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Pa</w:t>
            </w:r>
          </w:p>
        </w:tc>
      </w:tr>
      <w:tr w14:paraId="2E890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vAlign w:val="center"/>
          </w:tcPr>
          <w:p w14:paraId="245DF3D1">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外壳材料</w:t>
            </w:r>
          </w:p>
        </w:tc>
        <w:tc>
          <w:tcPr>
            <w:tcW w:w="3188" w:type="dxa"/>
          </w:tcPr>
          <w:p w14:paraId="435F4F06">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3A677890">
            <w:pPr>
              <w:spacing w:line="360" w:lineRule="auto"/>
              <w:ind w:right="113"/>
              <w:jc w:val="center"/>
              <w:rPr>
                <w:rFonts w:ascii="宋体" w:hAnsi="宋体"/>
                <w:color w:val="000000" w:themeColor="text1"/>
                <w:sz w:val="24"/>
                <w:szCs w:val="24"/>
                <w14:textFill>
                  <w14:solidFill>
                    <w14:schemeClr w14:val="tx1"/>
                  </w14:solidFill>
                </w14:textFill>
              </w:rPr>
            </w:pPr>
          </w:p>
        </w:tc>
      </w:tr>
      <w:tr w14:paraId="7AB34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vAlign w:val="center"/>
          </w:tcPr>
          <w:p w14:paraId="437F69C0">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叶轮材料</w:t>
            </w:r>
          </w:p>
        </w:tc>
        <w:tc>
          <w:tcPr>
            <w:tcW w:w="3188" w:type="dxa"/>
          </w:tcPr>
          <w:p w14:paraId="0A08B65C">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0B48961B">
            <w:pPr>
              <w:spacing w:line="360" w:lineRule="auto"/>
              <w:ind w:right="113"/>
              <w:jc w:val="center"/>
              <w:rPr>
                <w:rFonts w:ascii="宋体" w:hAnsi="宋体"/>
                <w:color w:val="000000" w:themeColor="text1"/>
                <w:sz w:val="24"/>
                <w:szCs w:val="24"/>
                <w14:textFill>
                  <w14:solidFill>
                    <w14:schemeClr w14:val="tx1"/>
                  </w14:solidFill>
                </w14:textFill>
              </w:rPr>
            </w:pPr>
          </w:p>
        </w:tc>
      </w:tr>
      <w:tr w14:paraId="1E73C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vAlign w:val="center"/>
          </w:tcPr>
          <w:p w14:paraId="71D5B74F">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轴材料</w:t>
            </w:r>
          </w:p>
        </w:tc>
        <w:tc>
          <w:tcPr>
            <w:tcW w:w="3188" w:type="dxa"/>
          </w:tcPr>
          <w:p w14:paraId="2EE64B16">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53DB485C">
            <w:pPr>
              <w:spacing w:line="360" w:lineRule="auto"/>
              <w:ind w:right="113"/>
              <w:jc w:val="center"/>
              <w:rPr>
                <w:rFonts w:ascii="宋体" w:hAnsi="宋体"/>
                <w:color w:val="000000" w:themeColor="text1"/>
                <w:sz w:val="24"/>
                <w:szCs w:val="24"/>
                <w14:textFill>
                  <w14:solidFill>
                    <w14:schemeClr w14:val="tx1"/>
                  </w14:solidFill>
                </w14:textFill>
              </w:rPr>
            </w:pPr>
          </w:p>
        </w:tc>
      </w:tr>
      <w:tr w14:paraId="7F02E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3BF960B7">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电动机</w:t>
            </w:r>
          </w:p>
        </w:tc>
        <w:tc>
          <w:tcPr>
            <w:tcW w:w="3188" w:type="dxa"/>
          </w:tcPr>
          <w:p w14:paraId="69001C21">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4443FB0D">
            <w:pPr>
              <w:spacing w:line="360" w:lineRule="auto"/>
              <w:ind w:right="113"/>
              <w:jc w:val="center"/>
              <w:rPr>
                <w:rFonts w:ascii="宋体" w:hAnsi="宋体"/>
                <w:color w:val="000000" w:themeColor="text1"/>
                <w:sz w:val="24"/>
                <w:szCs w:val="24"/>
                <w14:textFill>
                  <w14:solidFill>
                    <w14:schemeClr w14:val="tx1"/>
                  </w14:solidFill>
                </w14:textFill>
              </w:rPr>
            </w:pPr>
          </w:p>
        </w:tc>
      </w:tr>
      <w:tr w14:paraId="698D5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2E296FA0">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电机型式</w:t>
            </w:r>
            <w:r>
              <w:rPr>
                <w:rFonts w:ascii="宋体" w:hAnsi="宋体"/>
                <w:color w:val="000000" w:themeColor="text1"/>
                <w:sz w:val="24"/>
                <w:szCs w:val="24"/>
                <w14:textFill>
                  <w14:solidFill>
                    <w14:schemeClr w14:val="tx1"/>
                  </w14:solidFill>
                </w14:textFill>
              </w:rPr>
              <w:t>/型号</w:t>
            </w:r>
          </w:p>
        </w:tc>
        <w:tc>
          <w:tcPr>
            <w:tcW w:w="3188" w:type="dxa"/>
          </w:tcPr>
          <w:p w14:paraId="06AC2B77">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160C1BA5">
            <w:pPr>
              <w:spacing w:line="360" w:lineRule="auto"/>
              <w:ind w:right="113"/>
              <w:jc w:val="center"/>
              <w:rPr>
                <w:rFonts w:ascii="宋体" w:hAnsi="宋体"/>
                <w:color w:val="000000" w:themeColor="text1"/>
                <w:sz w:val="24"/>
                <w:szCs w:val="24"/>
                <w14:textFill>
                  <w14:solidFill>
                    <w14:schemeClr w14:val="tx1"/>
                  </w14:solidFill>
                </w14:textFill>
              </w:rPr>
            </w:pPr>
          </w:p>
        </w:tc>
      </w:tr>
      <w:tr w14:paraId="1D7E6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6D72C297">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电机制造厂商</w:t>
            </w:r>
          </w:p>
        </w:tc>
        <w:tc>
          <w:tcPr>
            <w:tcW w:w="3188" w:type="dxa"/>
          </w:tcPr>
          <w:p w14:paraId="669FF97D">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22331A23">
            <w:pPr>
              <w:spacing w:line="360" w:lineRule="auto"/>
              <w:ind w:right="113"/>
              <w:jc w:val="center"/>
              <w:rPr>
                <w:rFonts w:ascii="宋体" w:hAnsi="宋体"/>
                <w:color w:val="000000" w:themeColor="text1"/>
                <w:sz w:val="24"/>
                <w:szCs w:val="24"/>
                <w14:textFill>
                  <w14:solidFill>
                    <w14:schemeClr w14:val="tx1"/>
                  </w14:solidFill>
                </w14:textFill>
              </w:rPr>
            </w:pPr>
          </w:p>
        </w:tc>
      </w:tr>
      <w:tr w14:paraId="2E52D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168889F3">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电源</w:t>
            </w:r>
          </w:p>
        </w:tc>
        <w:tc>
          <w:tcPr>
            <w:tcW w:w="3188" w:type="dxa"/>
          </w:tcPr>
          <w:p w14:paraId="0F20D9D7">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7A51C72C">
            <w:pPr>
              <w:spacing w:line="360" w:lineRule="auto"/>
              <w:ind w:right="113"/>
              <w:jc w:val="center"/>
              <w:rPr>
                <w:rFonts w:ascii="宋体" w:hAnsi="宋体"/>
                <w:color w:val="000000" w:themeColor="text1"/>
                <w:sz w:val="24"/>
                <w:szCs w:val="24"/>
                <w14:textFill>
                  <w14:solidFill>
                    <w14:schemeClr w14:val="tx1"/>
                  </w14:solidFill>
                </w14:textFill>
              </w:rPr>
            </w:pPr>
            <w:r>
              <w:rPr>
                <w:color w:val="000000" w:themeColor="text1"/>
                <w:szCs w:val="21"/>
                <w14:textFill>
                  <w14:solidFill>
                    <w14:schemeClr w14:val="tx1"/>
                  </w14:solidFill>
                </w14:textFill>
              </w:rPr>
              <w:t>V/P/Hz</w:t>
            </w:r>
          </w:p>
        </w:tc>
      </w:tr>
      <w:tr w14:paraId="487E4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3B922964">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电机功率</w:t>
            </w:r>
          </w:p>
        </w:tc>
        <w:tc>
          <w:tcPr>
            <w:tcW w:w="3188" w:type="dxa"/>
          </w:tcPr>
          <w:p w14:paraId="714AB818">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5A855798">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kW</w:t>
            </w:r>
          </w:p>
        </w:tc>
      </w:tr>
      <w:tr w14:paraId="45D75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30178300">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绝缘等级</w:t>
            </w:r>
          </w:p>
        </w:tc>
        <w:tc>
          <w:tcPr>
            <w:tcW w:w="3188" w:type="dxa"/>
          </w:tcPr>
          <w:p w14:paraId="11095591">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2E2468DA">
            <w:pPr>
              <w:spacing w:line="360" w:lineRule="auto"/>
              <w:ind w:right="113"/>
              <w:jc w:val="center"/>
              <w:rPr>
                <w:rFonts w:ascii="宋体" w:hAnsi="宋体"/>
                <w:color w:val="000000" w:themeColor="text1"/>
                <w:sz w:val="24"/>
                <w:szCs w:val="24"/>
                <w14:textFill>
                  <w14:solidFill>
                    <w14:schemeClr w14:val="tx1"/>
                  </w14:solidFill>
                </w14:textFill>
              </w:rPr>
            </w:pPr>
          </w:p>
        </w:tc>
      </w:tr>
      <w:tr w14:paraId="73A26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70375DFD">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冷却盘管</w:t>
            </w:r>
          </w:p>
        </w:tc>
        <w:tc>
          <w:tcPr>
            <w:tcW w:w="3188" w:type="dxa"/>
          </w:tcPr>
          <w:p w14:paraId="171DB4EA">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69B22E2D">
            <w:pPr>
              <w:spacing w:line="360" w:lineRule="auto"/>
              <w:ind w:right="113"/>
              <w:jc w:val="center"/>
              <w:rPr>
                <w:rFonts w:ascii="宋体" w:hAnsi="宋体"/>
                <w:color w:val="000000" w:themeColor="text1"/>
                <w:sz w:val="24"/>
                <w:szCs w:val="24"/>
                <w14:textFill>
                  <w14:solidFill>
                    <w14:schemeClr w14:val="tx1"/>
                  </w14:solidFill>
                </w14:textFill>
              </w:rPr>
            </w:pPr>
          </w:p>
        </w:tc>
      </w:tr>
      <w:tr w14:paraId="79F0C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380551ED">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型式</w:t>
            </w:r>
          </w:p>
        </w:tc>
        <w:tc>
          <w:tcPr>
            <w:tcW w:w="3188" w:type="dxa"/>
          </w:tcPr>
          <w:p w14:paraId="3F24B582">
            <w:pPr>
              <w:spacing w:line="360" w:lineRule="auto"/>
              <w:rPr>
                <w:rFonts w:ascii="宋体" w:hAnsi="宋体"/>
                <w:color w:val="000000" w:themeColor="text1"/>
                <w:sz w:val="24"/>
                <w:szCs w:val="24"/>
                <w14:textFill>
                  <w14:solidFill>
                    <w14:schemeClr w14:val="tx1"/>
                  </w14:solidFill>
                </w14:textFill>
              </w:rPr>
            </w:pPr>
          </w:p>
        </w:tc>
        <w:tc>
          <w:tcPr>
            <w:tcW w:w="1065" w:type="dxa"/>
            <w:vAlign w:val="center"/>
          </w:tcPr>
          <w:p w14:paraId="7E540FD8">
            <w:pPr>
              <w:spacing w:line="360" w:lineRule="auto"/>
              <w:ind w:right="113"/>
              <w:jc w:val="center"/>
              <w:rPr>
                <w:rFonts w:ascii="宋体" w:hAnsi="宋体"/>
                <w:color w:val="000000" w:themeColor="text1"/>
                <w:sz w:val="24"/>
                <w:szCs w:val="24"/>
                <w14:textFill>
                  <w14:solidFill>
                    <w14:schemeClr w14:val="tx1"/>
                  </w14:solidFill>
                </w14:textFill>
              </w:rPr>
            </w:pPr>
          </w:p>
        </w:tc>
      </w:tr>
      <w:tr w14:paraId="5A61E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24FF1860">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盘管材质</w:t>
            </w:r>
          </w:p>
        </w:tc>
        <w:tc>
          <w:tcPr>
            <w:tcW w:w="3188" w:type="dxa"/>
          </w:tcPr>
          <w:p w14:paraId="6956D10C">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429E9FB6">
            <w:pPr>
              <w:spacing w:line="360" w:lineRule="auto"/>
              <w:ind w:right="113"/>
              <w:jc w:val="center"/>
              <w:rPr>
                <w:rFonts w:ascii="宋体" w:hAnsi="宋体"/>
                <w:color w:val="000000" w:themeColor="text1"/>
                <w:sz w:val="24"/>
                <w:szCs w:val="24"/>
                <w14:textFill>
                  <w14:solidFill>
                    <w14:schemeClr w14:val="tx1"/>
                  </w14:solidFill>
                </w14:textFill>
              </w:rPr>
            </w:pPr>
          </w:p>
        </w:tc>
      </w:tr>
      <w:tr w14:paraId="38A63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78FEDAA8">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冷水进口温度</w:t>
            </w:r>
          </w:p>
        </w:tc>
        <w:tc>
          <w:tcPr>
            <w:tcW w:w="3188" w:type="dxa"/>
          </w:tcPr>
          <w:p w14:paraId="64174575">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6BD07F08">
            <w:pPr>
              <w:spacing w:line="360" w:lineRule="auto"/>
              <w:ind w:right="113"/>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p>
        </w:tc>
      </w:tr>
      <w:tr w14:paraId="24C4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5B379C0F">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冷水出口温度</w:t>
            </w:r>
          </w:p>
        </w:tc>
        <w:tc>
          <w:tcPr>
            <w:tcW w:w="3188" w:type="dxa"/>
          </w:tcPr>
          <w:p w14:paraId="7F6ADBB0">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417AF2E3">
            <w:pPr>
              <w:spacing w:line="360" w:lineRule="auto"/>
              <w:ind w:right="113"/>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p>
        </w:tc>
      </w:tr>
      <w:tr w14:paraId="1CDBB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2B87728B">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全热冷量</w:t>
            </w:r>
          </w:p>
        </w:tc>
        <w:tc>
          <w:tcPr>
            <w:tcW w:w="3188" w:type="dxa"/>
          </w:tcPr>
          <w:p w14:paraId="06421B56">
            <w:pPr>
              <w:spacing w:line="360" w:lineRule="auto"/>
              <w:rPr>
                <w:rFonts w:ascii="宋体" w:hAnsi="宋体"/>
                <w:color w:val="000000" w:themeColor="text1"/>
                <w:sz w:val="24"/>
                <w:szCs w:val="24"/>
                <w14:textFill>
                  <w14:solidFill>
                    <w14:schemeClr w14:val="tx1"/>
                  </w14:solidFill>
                </w14:textFill>
              </w:rPr>
            </w:pPr>
          </w:p>
        </w:tc>
        <w:tc>
          <w:tcPr>
            <w:tcW w:w="1065" w:type="dxa"/>
            <w:vAlign w:val="center"/>
          </w:tcPr>
          <w:p w14:paraId="311F67BE">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kW</w:t>
            </w:r>
          </w:p>
        </w:tc>
      </w:tr>
      <w:tr w14:paraId="63F94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33496D64">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显热冷量</w:t>
            </w:r>
          </w:p>
        </w:tc>
        <w:tc>
          <w:tcPr>
            <w:tcW w:w="3188" w:type="dxa"/>
          </w:tcPr>
          <w:p w14:paraId="22F66DAC">
            <w:pPr>
              <w:spacing w:line="360" w:lineRule="auto"/>
              <w:rPr>
                <w:rFonts w:ascii="宋体" w:hAnsi="宋体"/>
                <w:color w:val="000000" w:themeColor="text1"/>
                <w:sz w:val="24"/>
                <w:szCs w:val="24"/>
                <w14:textFill>
                  <w14:solidFill>
                    <w14:schemeClr w14:val="tx1"/>
                  </w14:solidFill>
                </w14:textFill>
              </w:rPr>
            </w:pPr>
          </w:p>
        </w:tc>
        <w:tc>
          <w:tcPr>
            <w:tcW w:w="1065" w:type="dxa"/>
            <w:vAlign w:val="center"/>
          </w:tcPr>
          <w:p w14:paraId="62DA18E1">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kW</w:t>
            </w:r>
          </w:p>
        </w:tc>
      </w:tr>
      <w:tr w14:paraId="37F1B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6E51BB62">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冷水流量</w:t>
            </w:r>
          </w:p>
        </w:tc>
        <w:tc>
          <w:tcPr>
            <w:tcW w:w="3188" w:type="dxa"/>
          </w:tcPr>
          <w:p w14:paraId="508E8A6C">
            <w:pPr>
              <w:spacing w:line="360" w:lineRule="auto"/>
              <w:rPr>
                <w:rFonts w:ascii="宋体" w:hAnsi="宋体"/>
                <w:color w:val="000000" w:themeColor="text1"/>
                <w:sz w:val="24"/>
                <w:szCs w:val="24"/>
                <w14:textFill>
                  <w14:solidFill>
                    <w14:schemeClr w14:val="tx1"/>
                  </w14:solidFill>
                </w14:textFill>
              </w:rPr>
            </w:pPr>
          </w:p>
        </w:tc>
        <w:tc>
          <w:tcPr>
            <w:tcW w:w="1065" w:type="dxa"/>
            <w:vAlign w:val="center"/>
          </w:tcPr>
          <w:p w14:paraId="076139C3">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m</w:t>
            </w:r>
            <w:r>
              <w:rPr>
                <w:rFonts w:ascii="宋体" w:hAnsi="宋体"/>
                <w:color w:val="000000" w:themeColor="text1"/>
                <w:sz w:val="24"/>
                <w:szCs w:val="24"/>
                <w:vertAlign w:val="superscript"/>
                <w14:textFill>
                  <w14:solidFill>
                    <w14:schemeClr w14:val="tx1"/>
                  </w14:solidFill>
                </w14:textFill>
              </w:rPr>
              <w:t>3</w:t>
            </w:r>
            <w:r>
              <w:rPr>
                <w:rFonts w:ascii="宋体" w:hAnsi="宋体"/>
                <w:color w:val="000000" w:themeColor="text1"/>
                <w:sz w:val="24"/>
                <w:szCs w:val="24"/>
                <w14:textFill>
                  <w14:solidFill>
                    <w14:schemeClr w14:val="tx1"/>
                  </w14:solidFill>
                </w14:textFill>
              </w:rPr>
              <w:t>/h</w:t>
            </w:r>
          </w:p>
        </w:tc>
      </w:tr>
      <w:tr w14:paraId="16280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4E02785C">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水压降</w:t>
            </w:r>
          </w:p>
        </w:tc>
        <w:tc>
          <w:tcPr>
            <w:tcW w:w="3188" w:type="dxa"/>
          </w:tcPr>
          <w:p w14:paraId="4FD052B6">
            <w:pPr>
              <w:spacing w:line="360" w:lineRule="auto"/>
              <w:rPr>
                <w:rFonts w:ascii="宋体" w:hAnsi="宋体"/>
                <w:color w:val="000000" w:themeColor="text1"/>
                <w:sz w:val="24"/>
                <w:szCs w:val="24"/>
                <w14:textFill>
                  <w14:solidFill>
                    <w14:schemeClr w14:val="tx1"/>
                  </w14:solidFill>
                </w14:textFill>
              </w:rPr>
            </w:pPr>
          </w:p>
        </w:tc>
        <w:tc>
          <w:tcPr>
            <w:tcW w:w="1065" w:type="dxa"/>
            <w:vAlign w:val="center"/>
          </w:tcPr>
          <w:p w14:paraId="06020289">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kPa</w:t>
            </w:r>
          </w:p>
        </w:tc>
      </w:tr>
      <w:tr w14:paraId="517D3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1811CB61">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盘管排数</w:t>
            </w:r>
          </w:p>
        </w:tc>
        <w:tc>
          <w:tcPr>
            <w:tcW w:w="3188" w:type="dxa"/>
          </w:tcPr>
          <w:p w14:paraId="7DB3F7E4">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7C39D3BF">
            <w:pPr>
              <w:spacing w:line="360" w:lineRule="auto"/>
              <w:ind w:right="113"/>
              <w:jc w:val="center"/>
              <w:rPr>
                <w:rFonts w:ascii="宋体" w:hAnsi="宋体"/>
                <w:color w:val="000000" w:themeColor="text1"/>
                <w:sz w:val="24"/>
                <w:szCs w:val="24"/>
                <w14:textFill>
                  <w14:solidFill>
                    <w14:schemeClr w14:val="tx1"/>
                  </w14:solidFill>
                </w14:textFill>
              </w:rPr>
            </w:pPr>
          </w:p>
        </w:tc>
      </w:tr>
      <w:tr w14:paraId="4DC92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4AFC03C7">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盘管供回水管接口尺寸</w:t>
            </w:r>
          </w:p>
        </w:tc>
        <w:tc>
          <w:tcPr>
            <w:tcW w:w="3188" w:type="dxa"/>
          </w:tcPr>
          <w:p w14:paraId="4129D20B">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7C6BC749">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mm</w:t>
            </w:r>
          </w:p>
        </w:tc>
      </w:tr>
      <w:tr w14:paraId="1D3E1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39C8F39E">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冷凝排水管接口尺寸</w:t>
            </w:r>
          </w:p>
        </w:tc>
        <w:tc>
          <w:tcPr>
            <w:tcW w:w="3188" w:type="dxa"/>
          </w:tcPr>
          <w:p w14:paraId="6D36B5E2">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66EC95DC">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mm</w:t>
            </w:r>
          </w:p>
        </w:tc>
      </w:tr>
      <w:tr w14:paraId="64BB8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71C6F8C3">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冷凝水盘材质</w:t>
            </w:r>
          </w:p>
        </w:tc>
        <w:tc>
          <w:tcPr>
            <w:tcW w:w="3188" w:type="dxa"/>
          </w:tcPr>
          <w:p w14:paraId="79423876">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7C7D0F29">
            <w:pPr>
              <w:spacing w:line="360" w:lineRule="auto"/>
              <w:ind w:right="113"/>
              <w:jc w:val="center"/>
              <w:rPr>
                <w:rFonts w:ascii="宋体" w:hAnsi="宋体"/>
                <w:color w:val="000000" w:themeColor="text1"/>
                <w:sz w:val="24"/>
                <w:szCs w:val="24"/>
                <w14:textFill>
                  <w14:solidFill>
                    <w14:schemeClr w14:val="tx1"/>
                  </w14:solidFill>
                </w14:textFill>
              </w:rPr>
            </w:pPr>
          </w:p>
        </w:tc>
      </w:tr>
      <w:tr w14:paraId="639A1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085CF026">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空气过滤器</w:t>
            </w:r>
          </w:p>
        </w:tc>
        <w:tc>
          <w:tcPr>
            <w:tcW w:w="3188" w:type="dxa"/>
          </w:tcPr>
          <w:p w14:paraId="70758E9C">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68ECE856">
            <w:pPr>
              <w:spacing w:line="360" w:lineRule="auto"/>
              <w:ind w:right="113"/>
              <w:jc w:val="center"/>
              <w:rPr>
                <w:rFonts w:ascii="宋体" w:hAnsi="宋体"/>
                <w:color w:val="000000" w:themeColor="text1"/>
                <w:sz w:val="24"/>
                <w:szCs w:val="24"/>
                <w14:textFill>
                  <w14:solidFill>
                    <w14:schemeClr w14:val="tx1"/>
                  </w14:solidFill>
                </w14:textFill>
              </w:rPr>
            </w:pPr>
          </w:p>
        </w:tc>
      </w:tr>
      <w:tr w14:paraId="5B6B2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29EC63D5">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过滤器型式</w:t>
            </w:r>
          </w:p>
        </w:tc>
        <w:tc>
          <w:tcPr>
            <w:tcW w:w="3188" w:type="dxa"/>
          </w:tcPr>
          <w:p w14:paraId="6CBEB087">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6A871630">
            <w:pPr>
              <w:spacing w:line="360" w:lineRule="auto"/>
              <w:ind w:right="113"/>
              <w:jc w:val="center"/>
              <w:rPr>
                <w:rFonts w:ascii="宋体" w:hAnsi="宋体"/>
                <w:color w:val="000000" w:themeColor="text1"/>
                <w:sz w:val="24"/>
                <w:szCs w:val="24"/>
                <w14:textFill>
                  <w14:solidFill>
                    <w14:schemeClr w14:val="tx1"/>
                  </w14:solidFill>
                </w14:textFill>
              </w:rPr>
            </w:pPr>
          </w:p>
        </w:tc>
      </w:tr>
      <w:tr w14:paraId="3915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389F88CE">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过滤效率（重量计）</w:t>
            </w:r>
          </w:p>
        </w:tc>
        <w:tc>
          <w:tcPr>
            <w:tcW w:w="3188" w:type="dxa"/>
          </w:tcPr>
          <w:p w14:paraId="5B5016A2">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2A812FDA">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w:t>
            </w:r>
          </w:p>
        </w:tc>
      </w:tr>
      <w:tr w14:paraId="1A373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08EA0BD0">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过滤器材料</w:t>
            </w:r>
          </w:p>
        </w:tc>
        <w:tc>
          <w:tcPr>
            <w:tcW w:w="3188" w:type="dxa"/>
          </w:tcPr>
          <w:p w14:paraId="15D3DB7E">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7B983BB3">
            <w:pPr>
              <w:spacing w:line="360" w:lineRule="auto"/>
              <w:ind w:right="113"/>
              <w:jc w:val="center"/>
              <w:rPr>
                <w:rFonts w:ascii="宋体" w:hAnsi="宋体"/>
                <w:color w:val="000000" w:themeColor="text1"/>
                <w:sz w:val="24"/>
                <w:szCs w:val="24"/>
                <w14:textFill>
                  <w14:solidFill>
                    <w14:schemeClr w14:val="tx1"/>
                  </w14:solidFill>
                </w14:textFill>
              </w:rPr>
            </w:pPr>
          </w:p>
        </w:tc>
      </w:tr>
      <w:tr w14:paraId="6FA8A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52E3BAFA">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过滤器初阻力</w:t>
            </w:r>
          </w:p>
        </w:tc>
        <w:tc>
          <w:tcPr>
            <w:tcW w:w="3188" w:type="dxa"/>
          </w:tcPr>
          <w:p w14:paraId="0588E031">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6F0D6355">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Pa</w:t>
            </w:r>
          </w:p>
        </w:tc>
      </w:tr>
      <w:tr w14:paraId="6CC11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33625A36">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过滤器终阻力</w:t>
            </w:r>
          </w:p>
        </w:tc>
        <w:tc>
          <w:tcPr>
            <w:tcW w:w="3188" w:type="dxa"/>
          </w:tcPr>
          <w:p w14:paraId="5F2B9691">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263C276C">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Pa</w:t>
            </w:r>
          </w:p>
        </w:tc>
      </w:tr>
      <w:tr w14:paraId="61BCF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47E3F202">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噪声数据</w:t>
            </w:r>
          </w:p>
        </w:tc>
        <w:tc>
          <w:tcPr>
            <w:tcW w:w="3188" w:type="dxa"/>
          </w:tcPr>
          <w:p w14:paraId="0EC820C1">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2E9D406A">
            <w:pPr>
              <w:spacing w:line="360" w:lineRule="auto"/>
              <w:ind w:right="113"/>
              <w:jc w:val="center"/>
              <w:rPr>
                <w:rFonts w:ascii="宋体" w:hAnsi="宋体"/>
                <w:color w:val="000000" w:themeColor="text1"/>
                <w:sz w:val="24"/>
                <w:szCs w:val="24"/>
                <w14:textFill>
                  <w14:solidFill>
                    <w14:schemeClr w14:val="tx1"/>
                  </w14:solidFill>
                </w14:textFill>
              </w:rPr>
            </w:pPr>
          </w:p>
        </w:tc>
      </w:tr>
      <w:tr w14:paraId="2BA99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exact"/>
        </w:trPr>
        <w:tc>
          <w:tcPr>
            <w:tcW w:w="4820" w:type="dxa"/>
          </w:tcPr>
          <w:p w14:paraId="28ED823B">
            <w:pPr>
              <w:spacing w:line="360" w:lineRule="auto"/>
              <w:ind w:right="113"/>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声压级</w:t>
            </w:r>
          </w:p>
        </w:tc>
        <w:tc>
          <w:tcPr>
            <w:tcW w:w="3188" w:type="dxa"/>
          </w:tcPr>
          <w:p w14:paraId="3AA9E3C8">
            <w:pPr>
              <w:spacing w:line="360" w:lineRule="auto"/>
              <w:ind w:right="113"/>
              <w:rPr>
                <w:rFonts w:ascii="宋体" w:hAnsi="宋体"/>
                <w:color w:val="000000" w:themeColor="text1"/>
                <w:sz w:val="24"/>
                <w:szCs w:val="24"/>
                <w14:textFill>
                  <w14:solidFill>
                    <w14:schemeClr w14:val="tx1"/>
                  </w14:solidFill>
                </w14:textFill>
              </w:rPr>
            </w:pPr>
          </w:p>
        </w:tc>
        <w:tc>
          <w:tcPr>
            <w:tcW w:w="1065" w:type="dxa"/>
            <w:vAlign w:val="center"/>
          </w:tcPr>
          <w:p w14:paraId="22943B09">
            <w:pPr>
              <w:spacing w:line="360" w:lineRule="auto"/>
              <w:ind w:right="113"/>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dB(A)</w:t>
            </w:r>
          </w:p>
        </w:tc>
      </w:tr>
    </w:tbl>
    <w:p w14:paraId="7DC211F3">
      <w:pPr>
        <w:tabs>
          <w:tab w:val="left" w:pos="560"/>
          <w:tab w:val="left" w:pos="709"/>
        </w:tabs>
        <w:snapToGrid w:val="0"/>
        <w:spacing w:line="480" w:lineRule="atLeast"/>
        <w:jc w:val="center"/>
        <w:outlineLvl w:val="1"/>
        <w:rPr>
          <w:b/>
          <w:sz w:val="24"/>
          <w:szCs w:val="24"/>
        </w:rPr>
      </w:pPr>
      <w:bookmarkStart w:id="101" w:name="_Toc526080484"/>
      <w:bookmarkStart w:id="102" w:name="_Toc449424583"/>
      <w:bookmarkStart w:id="103" w:name="_Toc220074670"/>
      <w:bookmarkStart w:id="104" w:name="_Toc446345573"/>
      <w:bookmarkStart w:id="105" w:name="_Toc57984082"/>
      <w:r>
        <w:rPr>
          <w:rFonts w:hint="eastAsia"/>
          <w:b/>
          <w:sz w:val="24"/>
          <w:szCs w:val="24"/>
        </w:rPr>
        <w:t>柜式空调机组</w:t>
      </w:r>
      <w:r>
        <w:rPr>
          <w:b/>
          <w:sz w:val="24"/>
          <w:szCs w:val="24"/>
        </w:rPr>
        <w:t>(</w:t>
      </w:r>
      <w:r>
        <w:rPr>
          <w:rFonts w:hint="eastAsia"/>
          <w:b/>
          <w:sz w:val="24"/>
          <w:szCs w:val="24"/>
        </w:rPr>
        <w:t>含防爆新风机</w:t>
      </w:r>
      <w:r>
        <w:rPr>
          <w:b/>
          <w:sz w:val="24"/>
          <w:szCs w:val="24"/>
        </w:rPr>
        <w:t>)</w:t>
      </w:r>
      <w:bookmarkEnd w:id="101"/>
      <w:bookmarkEnd w:id="102"/>
      <w:bookmarkEnd w:id="103"/>
      <w:bookmarkEnd w:id="104"/>
      <w:bookmarkEnd w:id="105"/>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256"/>
        <w:gridCol w:w="3607"/>
        <w:gridCol w:w="1263"/>
      </w:tblGrid>
      <w:tr w14:paraId="2E6E5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blHeader/>
          <w:jc w:val="center"/>
        </w:trPr>
        <w:tc>
          <w:tcPr>
            <w:tcW w:w="4256" w:type="dxa"/>
            <w:vAlign w:val="center"/>
          </w:tcPr>
          <w:p w14:paraId="193781FA">
            <w:pPr>
              <w:tabs>
                <w:tab w:val="left" w:pos="2340"/>
              </w:tabs>
              <w:snapToGrid w:val="0"/>
              <w:spacing w:line="480" w:lineRule="atLeast"/>
              <w:jc w:val="center"/>
              <w:rPr>
                <w:rFonts w:ascii="Calibri" w:hAnsi="Calibri"/>
                <w:b/>
                <w:sz w:val="24"/>
                <w:szCs w:val="24"/>
              </w:rPr>
            </w:pPr>
            <w:r>
              <w:rPr>
                <w:rFonts w:hint="eastAsia" w:ascii="Calibri" w:hAnsi="Calibri"/>
                <w:b/>
                <w:sz w:val="24"/>
                <w:szCs w:val="24"/>
              </w:rPr>
              <w:t>项</w:t>
            </w:r>
            <w:r>
              <w:rPr>
                <w:rFonts w:ascii="Calibri" w:hAnsi="Calibri"/>
                <w:b/>
                <w:sz w:val="24"/>
                <w:szCs w:val="24"/>
              </w:rPr>
              <w:t xml:space="preserve">    </w:t>
            </w:r>
            <w:r>
              <w:rPr>
                <w:rFonts w:hint="eastAsia" w:ascii="Calibri" w:hAnsi="Calibri"/>
                <w:b/>
                <w:sz w:val="24"/>
                <w:szCs w:val="24"/>
              </w:rPr>
              <w:t>目</w:t>
            </w:r>
          </w:p>
        </w:tc>
        <w:tc>
          <w:tcPr>
            <w:tcW w:w="3607" w:type="dxa"/>
            <w:vAlign w:val="center"/>
          </w:tcPr>
          <w:p w14:paraId="0182207A">
            <w:pPr>
              <w:tabs>
                <w:tab w:val="left" w:pos="2340"/>
              </w:tabs>
              <w:snapToGrid w:val="0"/>
              <w:spacing w:line="480" w:lineRule="atLeast"/>
              <w:jc w:val="center"/>
              <w:rPr>
                <w:rFonts w:ascii="Calibri" w:hAnsi="Calibri"/>
                <w:b/>
                <w:sz w:val="24"/>
                <w:szCs w:val="24"/>
              </w:rPr>
            </w:pPr>
            <w:r>
              <w:rPr>
                <w:rFonts w:hint="eastAsia" w:ascii="Calibri" w:hAnsi="Calibri"/>
                <w:b/>
                <w:sz w:val="24"/>
                <w:szCs w:val="24"/>
              </w:rPr>
              <w:t>技术参数或说明</w:t>
            </w:r>
          </w:p>
        </w:tc>
        <w:tc>
          <w:tcPr>
            <w:tcW w:w="1263" w:type="dxa"/>
            <w:vAlign w:val="center"/>
          </w:tcPr>
          <w:p w14:paraId="782494D3">
            <w:pPr>
              <w:tabs>
                <w:tab w:val="left" w:pos="2340"/>
              </w:tabs>
              <w:snapToGrid w:val="0"/>
              <w:spacing w:line="480" w:lineRule="atLeast"/>
              <w:jc w:val="center"/>
              <w:rPr>
                <w:rFonts w:ascii="Calibri" w:hAnsi="Calibri"/>
                <w:b/>
                <w:sz w:val="24"/>
                <w:szCs w:val="24"/>
              </w:rPr>
            </w:pPr>
            <w:r>
              <w:rPr>
                <w:rFonts w:hint="eastAsia" w:ascii="Calibri" w:hAnsi="Calibri"/>
                <w:b/>
                <w:sz w:val="24"/>
                <w:szCs w:val="24"/>
              </w:rPr>
              <w:t>单位</w:t>
            </w:r>
          </w:p>
        </w:tc>
      </w:tr>
      <w:tr w14:paraId="5C604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5B380FD4">
            <w:pPr>
              <w:tabs>
                <w:tab w:val="left" w:pos="2340"/>
              </w:tabs>
              <w:snapToGrid w:val="0"/>
              <w:spacing w:line="480" w:lineRule="atLeast"/>
              <w:jc w:val="left"/>
              <w:rPr>
                <w:rFonts w:ascii="Calibri" w:hAnsi="Calibri"/>
                <w:b/>
                <w:sz w:val="24"/>
                <w:szCs w:val="24"/>
              </w:rPr>
            </w:pPr>
            <w:r>
              <w:rPr>
                <w:rFonts w:hint="eastAsia" w:ascii="Calibri" w:hAnsi="Calibri"/>
                <w:b/>
                <w:sz w:val="24"/>
                <w:szCs w:val="24"/>
              </w:rPr>
              <w:t>总则</w:t>
            </w:r>
          </w:p>
        </w:tc>
        <w:tc>
          <w:tcPr>
            <w:tcW w:w="3607" w:type="dxa"/>
            <w:vAlign w:val="center"/>
          </w:tcPr>
          <w:p w14:paraId="10C40FAF">
            <w:pPr>
              <w:tabs>
                <w:tab w:val="left" w:pos="2340"/>
              </w:tabs>
              <w:snapToGrid w:val="0"/>
              <w:spacing w:line="480" w:lineRule="atLeast"/>
              <w:jc w:val="left"/>
              <w:rPr>
                <w:rFonts w:ascii="Calibri" w:hAnsi="Calibri"/>
                <w:sz w:val="24"/>
                <w:szCs w:val="24"/>
              </w:rPr>
            </w:pPr>
          </w:p>
        </w:tc>
        <w:tc>
          <w:tcPr>
            <w:tcW w:w="1263" w:type="dxa"/>
            <w:vAlign w:val="center"/>
          </w:tcPr>
          <w:p w14:paraId="4C9A73FB">
            <w:pPr>
              <w:tabs>
                <w:tab w:val="left" w:pos="2340"/>
              </w:tabs>
              <w:snapToGrid w:val="0"/>
              <w:spacing w:line="480" w:lineRule="atLeast"/>
              <w:jc w:val="center"/>
              <w:rPr>
                <w:rFonts w:ascii="Calibri" w:hAnsi="Calibri"/>
                <w:sz w:val="24"/>
                <w:szCs w:val="24"/>
              </w:rPr>
            </w:pPr>
          </w:p>
        </w:tc>
      </w:tr>
      <w:tr w14:paraId="76EDB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73D096FF">
            <w:pPr>
              <w:tabs>
                <w:tab w:val="left" w:pos="2340"/>
              </w:tabs>
              <w:snapToGrid w:val="0"/>
              <w:spacing w:line="480" w:lineRule="atLeast"/>
              <w:jc w:val="left"/>
              <w:rPr>
                <w:rFonts w:ascii="Calibri" w:hAnsi="Calibri"/>
                <w:sz w:val="24"/>
                <w:szCs w:val="24"/>
              </w:rPr>
            </w:pPr>
            <w:r>
              <w:rPr>
                <w:rFonts w:hint="eastAsia" w:ascii="Calibri" w:hAnsi="Calibri"/>
                <w:sz w:val="24"/>
                <w:szCs w:val="24"/>
              </w:rPr>
              <w:t>机组型式</w:t>
            </w:r>
          </w:p>
        </w:tc>
        <w:tc>
          <w:tcPr>
            <w:tcW w:w="3607" w:type="dxa"/>
            <w:vAlign w:val="center"/>
          </w:tcPr>
          <w:p w14:paraId="243D99CB">
            <w:pPr>
              <w:tabs>
                <w:tab w:val="left" w:pos="2340"/>
              </w:tabs>
              <w:snapToGrid w:val="0"/>
              <w:spacing w:line="480" w:lineRule="atLeast"/>
              <w:jc w:val="left"/>
              <w:rPr>
                <w:rFonts w:ascii="Calibri" w:hAnsi="Calibri"/>
                <w:sz w:val="24"/>
                <w:szCs w:val="24"/>
              </w:rPr>
            </w:pPr>
          </w:p>
        </w:tc>
        <w:tc>
          <w:tcPr>
            <w:tcW w:w="1263" w:type="dxa"/>
            <w:vAlign w:val="center"/>
          </w:tcPr>
          <w:p w14:paraId="6A41BC9D">
            <w:pPr>
              <w:tabs>
                <w:tab w:val="left" w:pos="2340"/>
              </w:tabs>
              <w:snapToGrid w:val="0"/>
              <w:spacing w:line="480" w:lineRule="atLeast"/>
              <w:jc w:val="center"/>
              <w:rPr>
                <w:rFonts w:ascii="Calibri" w:hAnsi="Calibri"/>
                <w:sz w:val="24"/>
                <w:szCs w:val="24"/>
              </w:rPr>
            </w:pPr>
          </w:p>
        </w:tc>
      </w:tr>
      <w:tr w14:paraId="0F4B5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17CE7663">
            <w:pPr>
              <w:tabs>
                <w:tab w:val="left" w:pos="2340"/>
              </w:tabs>
              <w:snapToGrid w:val="0"/>
              <w:spacing w:line="480" w:lineRule="atLeast"/>
              <w:jc w:val="left"/>
              <w:rPr>
                <w:rFonts w:ascii="Calibri" w:hAnsi="Calibri"/>
                <w:sz w:val="24"/>
                <w:szCs w:val="24"/>
              </w:rPr>
            </w:pPr>
            <w:r>
              <w:rPr>
                <w:rFonts w:hint="eastAsia" w:ascii="Calibri" w:hAnsi="Calibri"/>
                <w:sz w:val="24"/>
                <w:szCs w:val="24"/>
              </w:rPr>
              <w:t>机组台数</w:t>
            </w:r>
          </w:p>
        </w:tc>
        <w:tc>
          <w:tcPr>
            <w:tcW w:w="3607" w:type="dxa"/>
            <w:vAlign w:val="center"/>
          </w:tcPr>
          <w:p w14:paraId="66A05F7F">
            <w:pPr>
              <w:tabs>
                <w:tab w:val="left" w:pos="2340"/>
              </w:tabs>
              <w:snapToGrid w:val="0"/>
              <w:spacing w:line="480" w:lineRule="atLeast"/>
              <w:jc w:val="left"/>
              <w:rPr>
                <w:rFonts w:ascii="Calibri" w:hAnsi="Calibri"/>
                <w:sz w:val="24"/>
                <w:szCs w:val="24"/>
              </w:rPr>
            </w:pPr>
          </w:p>
        </w:tc>
        <w:tc>
          <w:tcPr>
            <w:tcW w:w="1263" w:type="dxa"/>
            <w:vAlign w:val="center"/>
          </w:tcPr>
          <w:p w14:paraId="317C796F">
            <w:pPr>
              <w:tabs>
                <w:tab w:val="left" w:pos="2340"/>
              </w:tabs>
              <w:snapToGrid w:val="0"/>
              <w:spacing w:line="480" w:lineRule="atLeast"/>
              <w:jc w:val="center"/>
              <w:rPr>
                <w:rFonts w:ascii="Calibri" w:hAnsi="Calibri"/>
                <w:sz w:val="24"/>
                <w:szCs w:val="24"/>
              </w:rPr>
            </w:pPr>
            <w:r>
              <w:rPr>
                <w:rFonts w:hint="eastAsia" w:ascii="Calibri" w:hAnsi="Calibri"/>
                <w:sz w:val="24"/>
                <w:szCs w:val="24"/>
              </w:rPr>
              <w:t>台</w:t>
            </w:r>
          </w:p>
        </w:tc>
      </w:tr>
      <w:tr w14:paraId="58A66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58A95350">
            <w:pPr>
              <w:tabs>
                <w:tab w:val="left" w:pos="2340"/>
              </w:tabs>
              <w:snapToGrid w:val="0"/>
              <w:spacing w:line="480" w:lineRule="atLeast"/>
              <w:jc w:val="left"/>
              <w:rPr>
                <w:rFonts w:ascii="Calibri" w:hAnsi="Calibri"/>
                <w:sz w:val="24"/>
                <w:szCs w:val="24"/>
              </w:rPr>
            </w:pPr>
            <w:r>
              <w:rPr>
                <w:rFonts w:hint="eastAsia" w:ascii="Calibri" w:hAnsi="Calibri"/>
                <w:sz w:val="24"/>
                <w:szCs w:val="24"/>
              </w:rPr>
              <w:t>机组总运行重量</w:t>
            </w:r>
          </w:p>
        </w:tc>
        <w:tc>
          <w:tcPr>
            <w:tcW w:w="3607" w:type="dxa"/>
            <w:vAlign w:val="center"/>
          </w:tcPr>
          <w:p w14:paraId="72EE0BD6">
            <w:pPr>
              <w:tabs>
                <w:tab w:val="left" w:pos="2340"/>
              </w:tabs>
              <w:snapToGrid w:val="0"/>
              <w:spacing w:line="480" w:lineRule="atLeast"/>
              <w:jc w:val="left"/>
              <w:rPr>
                <w:rFonts w:ascii="Calibri" w:hAnsi="Calibri"/>
                <w:sz w:val="24"/>
                <w:szCs w:val="24"/>
              </w:rPr>
            </w:pPr>
          </w:p>
        </w:tc>
        <w:tc>
          <w:tcPr>
            <w:tcW w:w="1263" w:type="dxa"/>
            <w:vAlign w:val="center"/>
          </w:tcPr>
          <w:p w14:paraId="31490089">
            <w:pPr>
              <w:tabs>
                <w:tab w:val="left" w:pos="2340"/>
              </w:tabs>
              <w:snapToGrid w:val="0"/>
              <w:spacing w:line="480" w:lineRule="atLeast"/>
              <w:jc w:val="center"/>
              <w:rPr>
                <w:rFonts w:ascii="Calibri" w:hAnsi="Calibri"/>
                <w:sz w:val="24"/>
                <w:szCs w:val="24"/>
              </w:rPr>
            </w:pPr>
            <w:r>
              <w:rPr>
                <w:rFonts w:ascii="Calibri" w:hAnsi="Calibri"/>
                <w:sz w:val="24"/>
                <w:szCs w:val="24"/>
              </w:rPr>
              <w:t>kg</w:t>
            </w:r>
          </w:p>
        </w:tc>
      </w:tr>
      <w:tr w14:paraId="2D733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0206EED5">
            <w:pPr>
              <w:tabs>
                <w:tab w:val="left" w:pos="2340"/>
              </w:tabs>
              <w:snapToGrid w:val="0"/>
              <w:spacing w:line="480" w:lineRule="atLeast"/>
              <w:jc w:val="left"/>
              <w:rPr>
                <w:rFonts w:ascii="Calibri" w:hAnsi="Calibri"/>
                <w:sz w:val="24"/>
                <w:szCs w:val="24"/>
              </w:rPr>
            </w:pPr>
            <w:r>
              <w:rPr>
                <w:rFonts w:hint="eastAsia" w:ascii="Calibri" w:hAnsi="Calibri"/>
                <w:sz w:val="24"/>
                <w:szCs w:val="24"/>
              </w:rPr>
              <w:t>风量</w:t>
            </w:r>
          </w:p>
        </w:tc>
        <w:tc>
          <w:tcPr>
            <w:tcW w:w="3607" w:type="dxa"/>
            <w:vAlign w:val="center"/>
          </w:tcPr>
          <w:p w14:paraId="5F0503EB">
            <w:pPr>
              <w:tabs>
                <w:tab w:val="left" w:pos="2340"/>
              </w:tabs>
              <w:snapToGrid w:val="0"/>
              <w:spacing w:line="480" w:lineRule="atLeast"/>
              <w:jc w:val="left"/>
              <w:rPr>
                <w:rFonts w:ascii="Calibri" w:hAnsi="Calibri"/>
                <w:sz w:val="24"/>
                <w:szCs w:val="24"/>
              </w:rPr>
            </w:pPr>
          </w:p>
        </w:tc>
        <w:tc>
          <w:tcPr>
            <w:tcW w:w="1263" w:type="dxa"/>
            <w:vAlign w:val="center"/>
          </w:tcPr>
          <w:p w14:paraId="5E744475">
            <w:pPr>
              <w:tabs>
                <w:tab w:val="left" w:pos="2340"/>
              </w:tabs>
              <w:snapToGrid w:val="0"/>
              <w:spacing w:line="480" w:lineRule="atLeast"/>
              <w:jc w:val="center"/>
              <w:rPr>
                <w:rFonts w:ascii="Calibri" w:hAnsi="Calibri"/>
                <w:sz w:val="24"/>
                <w:szCs w:val="24"/>
              </w:rPr>
            </w:pPr>
            <w:r>
              <w:rPr>
                <w:rFonts w:ascii="Calibri" w:hAnsi="Calibri"/>
                <w:sz w:val="24"/>
                <w:szCs w:val="24"/>
              </w:rPr>
              <w:t>m3/h</w:t>
            </w:r>
          </w:p>
        </w:tc>
      </w:tr>
      <w:tr w14:paraId="389BA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3826665A">
            <w:pPr>
              <w:tabs>
                <w:tab w:val="left" w:pos="2340"/>
              </w:tabs>
              <w:snapToGrid w:val="0"/>
              <w:spacing w:line="480" w:lineRule="atLeast"/>
              <w:jc w:val="left"/>
              <w:rPr>
                <w:rFonts w:ascii="Calibri" w:hAnsi="Calibri"/>
                <w:sz w:val="24"/>
                <w:szCs w:val="24"/>
              </w:rPr>
            </w:pPr>
            <w:r>
              <w:rPr>
                <w:rFonts w:hint="eastAsia" w:ascii="Calibri" w:hAnsi="Calibri"/>
                <w:sz w:val="24"/>
                <w:szCs w:val="24"/>
              </w:rPr>
              <w:t>余压</w:t>
            </w:r>
          </w:p>
        </w:tc>
        <w:tc>
          <w:tcPr>
            <w:tcW w:w="3607" w:type="dxa"/>
            <w:vAlign w:val="center"/>
          </w:tcPr>
          <w:p w14:paraId="34314D88">
            <w:pPr>
              <w:tabs>
                <w:tab w:val="left" w:pos="2340"/>
              </w:tabs>
              <w:snapToGrid w:val="0"/>
              <w:spacing w:line="480" w:lineRule="atLeast"/>
              <w:jc w:val="left"/>
              <w:rPr>
                <w:rFonts w:ascii="Calibri" w:hAnsi="Calibri"/>
                <w:sz w:val="24"/>
                <w:szCs w:val="24"/>
              </w:rPr>
            </w:pPr>
          </w:p>
        </w:tc>
        <w:tc>
          <w:tcPr>
            <w:tcW w:w="1263" w:type="dxa"/>
            <w:vAlign w:val="center"/>
          </w:tcPr>
          <w:p w14:paraId="62783525">
            <w:pPr>
              <w:tabs>
                <w:tab w:val="left" w:pos="2340"/>
              </w:tabs>
              <w:snapToGrid w:val="0"/>
              <w:spacing w:line="480" w:lineRule="atLeast"/>
              <w:jc w:val="center"/>
              <w:rPr>
                <w:rFonts w:ascii="Calibri" w:hAnsi="Calibri"/>
                <w:sz w:val="24"/>
                <w:szCs w:val="24"/>
              </w:rPr>
            </w:pPr>
            <w:r>
              <w:rPr>
                <w:rFonts w:ascii="Calibri" w:hAnsi="Calibri"/>
                <w:sz w:val="24"/>
                <w:szCs w:val="24"/>
              </w:rPr>
              <w:t>Pa</w:t>
            </w:r>
          </w:p>
        </w:tc>
      </w:tr>
      <w:tr w14:paraId="339FB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46160C07">
            <w:pPr>
              <w:tabs>
                <w:tab w:val="left" w:pos="2340"/>
              </w:tabs>
              <w:snapToGrid w:val="0"/>
              <w:spacing w:line="480" w:lineRule="atLeast"/>
              <w:jc w:val="left"/>
              <w:rPr>
                <w:rFonts w:ascii="Calibri" w:hAnsi="Calibri"/>
                <w:sz w:val="24"/>
                <w:szCs w:val="24"/>
              </w:rPr>
            </w:pPr>
            <w:r>
              <w:rPr>
                <w:rFonts w:hint="eastAsia" w:ascii="Calibri" w:hAnsi="Calibri"/>
                <w:sz w:val="24"/>
                <w:szCs w:val="24"/>
              </w:rPr>
              <w:t>制冷量</w:t>
            </w:r>
          </w:p>
        </w:tc>
        <w:tc>
          <w:tcPr>
            <w:tcW w:w="3607" w:type="dxa"/>
            <w:vAlign w:val="center"/>
          </w:tcPr>
          <w:p w14:paraId="56D83B43">
            <w:pPr>
              <w:tabs>
                <w:tab w:val="left" w:pos="2340"/>
              </w:tabs>
              <w:snapToGrid w:val="0"/>
              <w:spacing w:line="480" w:lineRule="atLeast"/>
              <w:jc w:val="left"/>
              <w:rPr>
                <w:rFonts w:ascii="Calibri" w:hAnsi="Calibri"/>
                <w:sz w:val="24"/>
                <w:szCs w:val="24"/>
              </w:rPr>
            </w:pPr>
          </w:p>
        </w:tc>
        <w:tc>
          <w:tcPr>
            <w:tcW w:w="1263" w:type="dxa"/>
            <w:vAlign w:val="center"/>
          </w:tcPr>
          <w:p w14:paraId="4066678F">
            <w:pPr>
              <w:tabs>
                <w:tab w:val="left" w:pos="2340"/>
              </w:tabs>
              <w:snapToGrid w:val="0"/>
              <w:spacing w:line="480" w:lineRule="atLeast"/>
              <w:jc w:val="center"/>
              <w:rPr>
                <w:rFonts w:ascii="Calibri" w:hAnsi="Calibri"/>
                <w:sz w:val="24"/>
                <w:szCs w:val="24"/>
              </w:rPr>
            </w:pPr>
            <w:r>
              <w:rPr>
                <w:rFonts w:ascii="Calibri" w:hAnsi="Calibri"/>
                <w:sz w:val="24"/>
                <w:szCs w:val="24"/>
              </w:rPr>
              <w:t>kW</w:t>
            </w:r>
          </w:p>
        </w:tc>
      </w:tr>
      <w:tr w14:paraId="4517D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11B75441">
            <w:pPr>
              <w:tabs>
                <w:tab w:val="left" w:pos="2340"/>
              </w:tabs>
              <w:snapToGrid w:val="0"/>
              <w:spacing w:line="480" w:lineRule="atLeast"/>
              <w:jc w:val="left"/>
              <w:rPr>
                <w:rFonts w:ascii="Calibri" w:hAnsi="Calibri"/>
                <w:sz w:val="24"/>
                <w:szCs w:val="24"/>
              </w:rPr>
            </w:pPr>
            <w:r>
              <w:rPr>
                <w:rFonts w:hint="eastAsia" w:ascii="Calibri" w:hAnsi="Calibri"/>
                <w:sz w:val="24"/>
                <w:szCs w:val="24"/>
              </w:rPr>
              <w:t>加热量</w:t>
            </w:r>
          </w:p>
        </w:tc>
        <w:tc>
          <w:tcPr>
            <w:tcW w:w="3607" w:type="dxa"/>
            <w:vAlign w:val="center"/>
          </w:tcPr>
          <w:p w14:paraId="412802A7">
            <w:pPr>
              <w:tabs>
                <w:tab w:val="left" w:pos="2340"/>
              </w:tabs>
              <w:snapToGrid w:val="0"/>
              <w:spacing w:line="480" w:lineRule="atLeast"/>
              <w:jc w:val="left"/>
              <w:rPr>
                <w:rFonts w:ascii="Calibri" w:hAnsi="Calibri"/>
                <w:sz w:val="24"/>
                <w:szCs w:val="24"/>
              </w:rPr>
            </w:pPr>
          </w:p>
        </w:tc>
        <w:tc>
          <w:tcPr>
            <w:tcW w:w="1263" w:type="dxa"/>
            <w:vAlign w:val="center"/>
          </w:tcPr>
          <w:p w14:paraId="36FA8D9F">
            <w:pPr>
              <w:tabs>
                <w:tab w:val="left" w:pos="2340"/>
              </w:tabs>
              <w:snapToGrid w:val="0"/>
              <w:spacing w:line="480" w:lineRule="atLeast"/>
              <w:jc w:val="center"/>
              <w:rPr>
                <w:rFonts w:ascii="Calibri" w:hAnsi="Calibri"/>
                <w:sz w:val="24"/>
                <w:szCs w:val="24"/>
              </w:rPr>
            </w:pPr>
            <w:r>
              <w:rPr>
                <w:rFonts w:ascii="Calibri" w:hAnsi="Calibri"/>
                <w:sz w:val="24"/>
                <w:szCs w:val="24"/>
              </w:rPr>
              <w:t>kW</w:t>
            </w:r>
          </w:p>
        </w:tc>
      </w:tr>
      <w:tr w14:paraId="2E7B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3E58B1C0">
            <w:pPr>
              <w:tabs>
                <w:tab w:val="left" w:pos="2340"/>
              </w:tabs>
              <w:snapToGrid w:val="0"/>
              <w:spacing w:line="480" w:lineRule="atLeast"/>
              <w:jc w:val="left"/>
              <w:rPr>
                <w:rFonts w:ascii="Calibri" w:hAnsi="Calibri"/>
                <w:sz w:val="24"/>
                <w:szCs w:val="24"/>
              </w:rPr>
            </w:pPr>
            <w:r>
              <w:rPr>
                <w:rFonts w:hint="eastAsia" w:ascii="Calibri" w:hAnsi="Calibri"/>
                <w:sz w:val="24"/>
                <w:szCs w:val="24"/>
              </w:rPr>
              <w:t>机组输入功率</w:t>
            </w:r>
          </w:p>
        </w:tc>
        <w:tc>
          <w:tcPr>
            <w:tcW w:w="3607" w:type="dxa"/>
            <w:vAlign w:val="center"/>
          </w:tcPr>
          <w:p w14:paraId="6BA7ED43">
            <w:pPr>
              <w:tabs>
                <w:tab w:val="left" w:pos="2340"/>
              </w:tabs>
              <w:snapToGrid w:val="0"/>
              <w:spacing w:line="480" w:lineRule="atLeast"/>
              <w:jc w:val="left"/>
              <w:rPr>
                <w:rFonts w:ascii="Calibri" w:hAnsi="Calibri"/>
                <w:sz w:val="24"/>
                <w:szCs w:val="24"/>
              </w:rPr>
            </w:pPr>
          </w:p>
        </w:tc>
        <w:tc>
          <w:tcPr>
            <w:tcW w:w="1263" w:type="dxa"/>
            <w:vAlign w:val="center"/>
          </w:tcPr>
          <w:p w14:paraId="24460D5E">
            <w:pPr>
              <w:tabs>
                <w:tab w:val="left" w:pos="2340"/>
              </w:tabs>
              <w:snapToGrid w:val="0"/>
              <w:spacing w:line="480" w:lineRule="atLeast"/>
              <w:jc w:val="center"/>
              <w:rPr>
                <w:rFonts w:ascii="Calibri" w:hAnsi="Calibri"/>
                <w:sz w:val="24"/>
                <w:szCs w:val="24"/>
              </w:rPr>
            </w:pPr>
            <w:r>
              <w:rPr>
                <w:rFonts w:ascii="Calibri" w:hAnsi="Calibri"/>
                <w:sz w:val="24"/>
                <w:szCs w:val="24"/>
              </w:rPr>
              <w:t>kW</w:t>
            </w:r>
          </w:p>
        </w:tc>
      </w:tr>
      <w:tr w14:paraId="38426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5371843E">
            <w:pPr>
              <w:tabs>
                <w:tab w:val="left" w:pos="2340"/>
              </w:tabs>
              <w:snapToGrid w:val="0"/>
              <w:spacing w:line="480" w:lineRule="atLeast"/>
              <w:jc w:val="left"/>
              <w:rPr>
                <w:rFonts w:ascii="Calibri" w:hAnsi="Calibri"/>
                <w:sz w:val="24"/>
                <w:szCs w:val="24"/>
              </w:rPr>
            </w:pPr>
            <w:r>
              <w:rPr>
                <w:rFonts w:hint="eastAsia" w:ascii="Calibri" w:hAnsi="Calibri"/>
                <w:sz w:val="24"/>
                <w:szCs w:val="24"/>
              </w:rPr>
              <w:t>涂层颜色</w:t>
            </w:r>
          </w:p>
        </w:tc>
        <w:tc>
          <w:tcPr>
            <w:tcW w:w="3607" w:type="dxa"/>
            <w:vAlign w:val="center"/>
          </w:tcPr>
          <w:p w14:paraId="44EB3330">
            <w:pPr>
              <w:tabs>
                <w:tab w:val="left" w:pos="2340"/>
              </w:tabs>
              <w:snapToGrid w:val="0"/>
              <w:spacing w:line="480" w:lineRule="atLeast"/>
              <w:jc w:val="left"/>
              <w:rPr>
                <w:rFonts w:ascii="Calibri" w:hAnsi="Calibri"/>
                <w:sz w:val="24"/>
                <w:szCs w:val="24"/>
              </w:rPr>
            </w:pPr>
          </w:p>
        </w:tc>
        <w:tc>
          <w:tcPr>
            <w:tcW w:w="1263" w:type="dxa"/>
            <w:vAlign w:val="center"/>
          </w:tcPr>
          <w:p w14:paraId="0E178B29">
            <w:pPr>
              <w:tabs>
                <w:tab w:val="left" w:pos="2340"/>
              </w:tabs>
              <w:snapToGrid w:val="0"/>
              <w:spacing w:line="480" w:lineRule="atLeast"/>
              <w:jc w:val="center"/>
              <w:rPr>
                <w:rFonts w:ascii="Calibri" w:hAnsi="Calibri"/>
                <w:sz w:val="24"/>
                <w:szCs w:val="24"/>
              </w:rPr>
            </w:pPr>
          </w:p>
        </w:tc>
      </w:tr>
      <w:tr w14:paraId="4DE9B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672C8601">
            <w:pPr>
              <w:tabs>
                <w:tab w:val="left" w:pos="2340"/>
              </w:tabs>
              <w:snapToGrid w:val="0"/>
              <w:spacing w:line="480" w:lineRule="atLeast"/>
              <w:jc w:val="left"/>
              <w:rPr>
                <w:rFonts w:ascii="Calibri" w:hAnsi="Calibri"/>
                <w:sz w:val="24"/>
                <w:szCs w:val="24"/>
              </w:rPr>
            </w:pPr>
            <w:r>
              <w:rPr>
                <w:rFonts w:hint="eastAsia" w:ascii="Calibri" w:hAnsi="Calibri"/>
                <w:sz w:val="24"/>
                <w:szCs w:val="24"/>
              </w:rPr>
              <w:t>机组尺寸</w:t>
            </w:r>
          </w:p>
        </w:tc>
        <w:tc>
          <w:tcPr>
            <w:tcW w:w="3607" w:type="dxa"/>
            <w:vAlign w:val="center"/>
          </w:tcPr>
          <w:p w14:paraId="321DCBBA">
            <w:pPr>
              <w:tabs>
                <w:tab w:val="left" w:pos="2340"/>
              </w:tabs>
              <w:snapToGrid w:val="0"/>
              <w:spacing w:line="480" w:lineRule="atLeast"/>
              <w:jc w:val="left"/>
              <w:rPr>
                <w:rFonts w:ascii="Calibri" w:hAnsi="Calibri"/>
                <w:sz w:val="24"/>
                <w:szCs w:val="24"/>
              </w:rPr>
            </w:pPr>
          </w:p>
        </w:tc>
        <w:tc>
          <w:tcPr>
            <w:tcW w:w="1263" w:type="dxa"/>
            <w:vAlign w:val="center"/>
          </w:tcPr>
          <w:p w14:paraId="3C1D5F9C">
            <w:pPr>
              <w:tabs>
                <w:tab w:val="left" w:pos="2340"/>
              </w:tabs>
              <w:snapToGrid w:val="0"/>
              <w:spacing w:line="480" w:lineRule="atLeast"/>
              <w:jc w:val="center"/>
              <w:rPr>
                <w:rFonts w:ascii="Calibri" w:hAnsi="Calibri"/>
                <w:sz w:val="24"/>
                <w:szCs w:val="24"/>
              </w:rPr>
            </w:pPr>
            <w:r>
              <w:rPr>
                <w:rFonts w:ascii="Calibri" w:hAnsi="Calibri"/>
                <w:sz w:val="24"/>
                <w:szCs w:val="24"/>
              </w:rPr>
              <w:t>mm</w:t>
            </w:r>
          </w:p>
        </w:tc>
      </w:tr>
      <w:tr w14:paraId="0D37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1929B282">
            <w:pPr>
              <w:tabs>
                <w:tab w:val="left" w:pos="2340"/>
              </w:tabs>
              <w:snapToGrid w:val="0"/>
              <w:spacing w:line="480" w:lineRule="atLeast"/>
              <w:jc w:val="left"/>
              <w:rPr>
                <w:rFonts w:ascii="Calibri" w:hAnsi="Calibri"/>
                <w:sz w:val="24"/>
                <w:szCs w:val="24"/>
              </w:rPr>
            </w:pPr>
            <w:r>
              <w:rPr>
                <w:rFonts w:hint="eastAsia" w:ascii="Calibri" w:hAnsi="Calibri"/>
                <w:sz w:val="24"/>
                <w:szCs w:val="24"/>
              </w:rPr>
              <w:t>最小储存时间</w:t>
            </w:r>
          </w:p>
        </w:tc>
        <w:tc>
          <w:tcPr>
            <w:tcW w:w="3607" w:type="dxa"/>
            <w:vAlign w:val="center"/>
          </w:tcPr>
          <w:p w14:paraId="6FB1EA88">
            <w:pPr>
              <w:tabs>
                <w:tab w:val="left" w:pos="2340"/>
              </w:tabs>
              <w:snapToGrid w:val="0"/>
              <w:spacing w:line="480" w:lineRule="atLeast"/>
              <w:jc w:val="left"/>
              <w:rPr>
                <w:rFonts w:ascii="Calibri" w:hAnsi="Calibri"/>
                <w:sz w:val="24"/>
                <w:szCs w:val="24"/>
              </w:rPr>
            </w:pPr>
          </w:p>
        </w:tc>
        <w:tc>
          <w:tcPr>
            <w:tcW w:w="1263" w:type="dxa"/>
            <w:vAlign w:val="center"/>
          </w:tcPr>
          <w:p w14:paraId="177F6449">
            <w:pPr>
              <w:tabs>
                <w:tab w:val="left" w:pos="2340"/>
              </w:tabs>
              <w:snapToGrid w:val="0"/>
              <w:spacing w:line="480" w:lineRule="atLeast"/>
              <w:jc w:val="center"/>
              <w:rPr>
                <w:rFonts w:ascii="Calibri" w:hAnsi="Calibri"/>
                <w:sz w:val="24"/>
                <w:szCs w:val="24"/>
              </w:rPr>
            </w:pPr>
            <w:r>
              <w:rPr>
                <w:rFonts w:hint="eastAsia" w:ascii="Calibri" w:hAnsi="Calibri"/>
                <w:sz w:val="24"/>
                <w:szCs w:val="24"/>
              </w:rPr>
              <w:t>月</w:t>
            </w:r>
          </w:p>
        </w:tc>
      </w:tr>
      <w:tr w14:paraId="07121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1341A761">
            <w:pPr>
              <w:tabs>
                <w:tab w:val="left" w:pos="2340"/>
              </w:tabs>
              <w:snapToGrid w:val="0"/>
              <w:spacing w:line="480" w:lineRule="atLeast"/>
              <w:jc w:val="left"/>
              <w:rPr>
                <w:rFonts w:ascii="Calibri" w:hAnsi="Calibri"/>
                <w:sz w:val="24"/>
                <w:szCs w:val="24"/>
              </w:rPr>
            </w:pPr>
            <w:r>
              <w:rPr>
                <w:rFonts w:hint="eastAsia" w:ascii="Calibri" w:hAnsi="Calibri"/>
                <w:sz w:val="24"/>
                <w:szCs w:val="24"/>
              </w:rPr>
              <w:t>机组装运重量</w:t>
            </w:r>
          </w:p>
        </w:tc>
        <w:tc>
          <w:tcPr>
            <w:tcW w:w="3607" w:type="dxa"/>
            <w:vAlign w:val="center"/>
          </w:tcPr>
          <w:p w14:paraId="58BEDF79">
            <w:pPr>
              <w:tabs>
                <w:tab w:val="left" w:pos="2340"/>
              </w:tabs>
              <w:snapToGrid w:val="0"/>
              <w:spacing w:line="480" w:lineRule="atLeast"/>
              <w:jc w:val="left"/>
              <w:rPr>
                <w:rFonts w:ascii="Calibri" w:hAnsi="Calibri"/>
                <w:sz w:val="24"/>
                <w:szCs w:val="24"/>
              </w:rPr>
            </w:pPr>
          </w:p>
        </w:tc>
        <w:tc>
          <w:tcPr>
            <w:tcW w:w="1263" w:type="dxa"/>
            <w:vAlign w:val="center"/>
          </w:tcPr>
          <w:p w14:paraId="2D8FF761">
            <w:pPr>
              <w:tabs>
                <w:tab w:val="left" w:pos="2340"/>
              </w:tabs>
              <w:snapToGrid w:val="0"/>
              <w:spacing w:line="480" w:lineRule="atLeast"/>
              <w:jc w:val="center"/>
              <w:rPr>
                <w:rFonts w:ascii="Calibri" w:hAnsi="Calibri"/>
                <w:sz w:val="24"/>
                <w:szCs w:val="24"/>
              </w:rPr>
            </w:pPr>
            <w:r>
              <w:rPr>
                <w:rFonts w:ascii="Calibri" w:hAnsi="Calibri"/>
                <w:sz w:val="24"/>
                <w:szCs w:val="24"/>
              </w:rPr>
              <w:t>kg</w:t>
            </w:r>
          </w:p>
        </w:tc>
      </w:tr>
      <w:tr w14:paraId="45E4C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5BF943DE">
            <w:pPr>
              <w:tabs>
                <w:tab w:val="left" w:pos="2340"/>
              </w:tabs>
              <w:snapToGrid w:val="0"/>
              <w:spacing w:line="480" w:lineRule="atLeast"/>
              <w:jc w:val="left"/>
              <w:rPr>
                <w:rFonts w:ascii="Calibri" w:hAnsi="Calibri"/>
                <w:b/>
                <w:sz w:val="24"/>
                <w:szCs w:val="24"/>
              </w:rPr>
            </w:pPr>
            <w:r>
              <w:rPr>
                <w:rFonts w:hint="eastAsia" w:ascii="Calibri" w:hAnsi="Calibri"/>
                <w:b/>
                <w:sz w:val="24"/>
                <w:szCs w:val="24"/>
              </w:rPr>
              <w:t>风机</w:t>
            </w:r>
          </w:p>
        </w:tc>
        <w:tc>
          <w:tcPr>
            <w:tcW w:w="3607" w:type="dxa"/>
            <w:vAlign w:val="center"/>
          </w:tcPr>
          <w:p w14:paraId="04AD9184">
            <w:pPr>
              <w:tabs>
                <w:tab w:val="left" w:pos="2340"/>
              </w:tabs>
              <w:snapToGrid w:val="0"/>
              <w:spacing w:line="480" w:lineRule="atLeast"/>
              <w:jc w:val="left"/>
              <w:rPr>
                <w:rFonts w:ascii="Calibri" w:hAnsi="Calibri"/>
                <w:sz w:val="24"/>
                <w:szCs w:val="24"/>
              </w:rPr>
            </w:pPr>
          </w:p>
        </w:tc>
        <w:tc>
          <w:tcPr>
            <w:tcW w:w="1263" w:type="dxa"/>
            <w:vAlign w:val="center"/>
          </w:tcPr>
          <w:p w14:paraId="11B41DB8">
            <w:pPr>
              <w:tabs>
                <w:tab w:val="left" w:pos="2340"/>
              </w:tabs>
              <w:snapToGrid w:val="0"/>
              <w:spacing w:line="480" w:lineRule="atLeast"/>
              <w:jc w:val="center"/>
              <w:rPr>
                <w:rFonts w:ascii="Calibri" w:hAnsi="Calibri"/>
                <w:sz w:val="24"/>
                <w:szCs w:val="24"/>
              </w:rPr>
            </w:pPr>
          </w:p>
        </w:tc>
      </w:tr>
      <w:tr w14:paraId="067DA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74DE5AE0">
            <w:pPr>
              <w:tabs>
                <w:tab w:val="left" w:pos="2340"/>
              </w:tabs>
              <w:snapToGrid w:val="0"/>
              <w:spacing w:line="480" w:lineRule="atLeast"/>
              <w:jc w:val="left"/>
              <w:rPr>
                <w:rFonts w:ascii="Calibri" w:hAnsi="Calibri"/>
                <w:sz w:val="24"/>
                <w:szCs w:val="24"/>
              </w:rPr>
            </w:pPr>
            <w:r>
              <w:rPr>
                <w:rFonts w:hint="eastAsia" w:ascii="Calibri" w:hAnsi="Calibri"/>
                <w:sz w:val="24"/>
                <w:szCs w:val="24"/>
              </w:rPr>
              <w:t>风机型号</w:t>
            </w:r>
          </w:p>
        </w:tc>
        <w:tc>
          <w:tcPr>
            <w:tcW w:w="3607" w:type="dxa"/>
            <w:vAlign w:val="center"/>
          </w:tcPr>
          <w:p w14:paraId="115128C2">
            <w:pPr>
              <w:tabs>
                <w:tab w:val="left" w:pos="2340"/>
              </w:tabs>
              <w:snapToGrid w:val="0"/>
              <w:spacing w:line="480" w:lineRule="atLeast"/>
              <w:jc w:val="left"/>
              <w:rPr>
                <w:rFonts w:ascii="Calibri" w:hAnsi="Calibri"/>
                <w:sz w:val="24"/>
                <w:szCs w:val="24"/>
              </w:rPr>
            </w:pPr>
          </w:p>
        </w:tc>
        <w:tc>
          <w:tcPr>
            <w:tcW w:w="1263" w:type="dxa"/>
            <w:vAlign w:val="center"/>
          </w:tcPr>
          <w:p w14:paraId="719544CF">
            <w:pPr>
              <w:tabs>
                <w:tab w:val="left" w:pos="2340"/>
              </w:tabs>
              <w:snapToGrid w:val="0"/>
              <w:spacing w:line="480" w:lineRule="atLeast"/>
              <w:jc w:val="center"/>
              <w:rPr>
                <w:rFonts w:ascii="Calibri" w:hAnsi="Calibri"/>
                <w:sz w:val="24"/>
                <w:szCs w:val="24"/>
              </w:rPr>
            </w:pPr>
          </w:p>
        </w:tc>
      </w:tr>
      <w:tr w14:paraId="18F06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1E196ECB">
            <w:pPr>
              <w:tabs>
                <w:tab w:val="left" w:pos="2340"/>
              </w:tabs>
              <w:snapToGrid w:val="0"/>
              <w:spacing w:line="480" w:lineRule="atLeast"/>
              <w:jc w:val="left"/>
              <w:rPr>
                <w:rFonts w:ascii="Calibri" w:hAnsi="Calibri"/>
                <w:sz w:val="24"/>
                <w:szCs w:val="24"/>
              </w:rPr>
            </w:pPr>
            <w:r>
              <w:rPr>
                <w:rFonts w:hint="eastAsia" w:ascii="Calibri" w:hAnsi="Calibri"/>
                <w:sz w:val="24"/>
                <w:szCs w:val="24"/>
              </w:rPr>
              <w:t>风机制造厂商</w:t>
            </w:r>
          </w:p>
        </w:tc>
        <w:tc>
          <w:tcPr>
            <w:tcW w:w="3607" w:type="dxa"/>
            <w:vAlign w:val="center"/>
          </w:tcPr>
          <w:p w14:paraId="50BC28A1">
            <w:pPr>
              <w:tabs>
                <w:tab w:val="left" w:pos="2340"/>
              </w:tabs>
              <w:snapToGrid w:val="0"/>
              <w:spacing w:line="480" w:lineRule="atLeast"/>
              <w:jc w:val="left"/>
              <w:rPr>
                <w:rFonts w:ascii="Calibri" w:hAnsi="Calibri"/>
                <w:sz w:val="24"/>
                <w:szCs w:val="24"/>
              </w:rPr>
            </w:pPr>
          </w:p>
        </w:tc>
        <w:tc>
          <w:tcPr>
            <w:tcW w:w="1263" w:type="dxa"/>
            <w:vAlign w:val="center"/>
          </w:tcPr>
          <w:p w14:paraId="5D6F7BE2">
            <w:pPr>
              <w:tabs>
                <w:tab w:val="left" w:pos="2340"/>
              </w:tabs>
              <w:snapToGrid w:val="0"/>
              <w:spacing w:line="480" w:lineRule="atLeast"/>
              <w:jc w:val="center"/>
              <w:rPr>
                <w:rFonts w:ascii="Calibri" w:hAnsi="Calibri"/>
                <w:sz w:val="24"/>
                <w:szCs w:val="24"/>
              </w:rPr>
            </w:pPr>
          </w:p>
        </w:tc>
      </w:tr>
      <w:tr w14:paraId="580AD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5A9E523B">
            <w:pPr>
              <w:tabs>
                <w:tab w:val="left" w:pos="2340"/>
              </w:tabs>
              <w:snapToGrid w:val="0"/>
              <w:spacing w:line="480" w:lineRule="atLeast"/>
              <w:jc w:val="left"/>
              <w:rPr>
                <w:rFonts w:ascii="Calibri" w:hAnsi="Calibri"/>
                <w:sz w:val="24"/>
                <w:szCs w:val="24"/>
              </w:rPr>
            </w:pPr>
            <w:r>
              <w:rPr>
                <w:rFonts w:hint="eastAsia" w:ascii="Calibri" w:hAnsi="Calibri"/>
                <w:sz w:val="24"/>
                <w:szCs w:val="24"/>
              </w:rPr>
              <w:t>驱动方式</w:t>
            </w:r>
          </w:p>
        </w:tc>
        <w:tc>
          <w:tcPr>
            <w:tcW w:w="3607" w:type="dxa"/>
            <w:vAlign w:val="center"/>
          </w:tcPr>
          <w:p w14:paraId="06C575CF">
            <w:pPr>
              <w:tabs>
                <w:tab w:val="left" w:pos="2340"/>
              </w:tabs>
              <w:snapToGrid w:val="0"/>
              <w:spacing w:line="480" w:lineRule="atLeast"/>
              <w:jc w:val="left"/>
              <w:rPr>
                <w:rFonts w:ascii="Calibri" w:hAnsi="Calibri"/>
                <w:sz w:val="24"/>
                <w:szCs w:val="24"/>
              </w:rPr>
            </w:pPr>
          </w:p>
        </w:tc>
        <w:tc>
          <w:tcPr>
            <w:tcW w:w="1263" w:type="dxa"/>
            <w:vAlign w:val="center"/>
          </w:tcPr>
          <w:p w14:paraId="6045278A">
            <w:pPr>
              <w:tabs>
                <w:tab w:val="left" w:pos="2340"/>
              </w:tabs>
              <w:snapToGrid w:val="0"/>
              <w:spacing w:line="480" w:lineRule="atLeast"/>
              <w:jc w:val="center"/>
              <w:rPr>
                <w:rFonts w:ascii="Calibri" w:hAnsi="Calibri"/>
                <w:sz w:val="24"/>
                <w:szCs w:val="24"/>
              </w:rPr>
            </w:pPr>
          </w:p>
        </w:tc>
      </w:tr>
      <w:tr w14:paraId="03B82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3246752B">
            <w:pPr>
              <w:tabs>
                <w:tab w:val="left" w:pos="2340"/>
              </w:tabs>
              <w:snapToGrid w:val="0"/>
              <w:spacing w:line="480" w:lineRule="atLeast"/>
              <w:jc w:val="left"/>
              <w:rPr>
                <w:rFonts w:ascii="Calibri" w:hAnsi="Calibri"/>
                <w:sz w:val="24"/>
                <w:szCs w:val="24"/>
              </w:rPr>
            </w:pPr>
            <w:r>
              <w:rPr>
                <w:rFonts w:hint="eastAsia" w:ascii="Calibri" w:hAnsi="Calibri"/>
                <w:sz w:val="24"/>
                <w:szCs w:val="24"/>
              </w:rPr>
              <w:t>风机转速</w:t>
            </w:r>
          </w:p>
        </w:tc>
        <w:tc>
          <w:tcPr>
            <w:tcW w:w="3607" w:type="dxa"/>
            <w:vAlign w:val="center"/>
          </w:tcPr>
          <w:p w14:paraId="5409B2E9">
            <w:pPr>
              <w:tabs>
                <w:tab w:val="left" w:pos="2340"/>
              </w:tabs>
              <w:snapToGrid w:val="0"/>
              <w:spacing w:line="480" w:lineRule="atLeast"/>
              <w:jc w:val="left"/>
              <w:rPr>
                <w:rFonts w:ascii="Calibri" w:hAnsi="Calibri"/>
                <w:sz w:val="24"/>
                <w:szCs w:val="24"/>
              </w:rPr>
            </w:pPr>
          </w:p>
        </w:tc>
        <w:tc>
          <w:tcPr>
            <w:tcW w:w="1263" w:type="dxa"/>
            <w:vAlign w:val="center"/>
          </w:tcPr>
          <w:p w14:paraId="132168A4">
            <w:pPr>
              <w:tabs>
                <w:tab w:val="left" w:pos="2340"/>
              </w:tabs>
              <w:snapToGrid w:val="0"/>
              <w:spacing w:line="480" w:lineRule="atLeast"/>
              <w:jc w:val="center"/>
              <w:rPr>
                <w:rFonts w:ascii="Calibri" w:hAnsi="Calibri"/>
                <w:sz w:val="24"/>
                <w:szCs w:val="24"/>
              </w:rPr>
            </w:pPr>
            <w:r>
              <w:rPr>
                <w:rFonts w:ascii="Calibri" w:hAnsi="Calibri"/>
                <w:sz w:val="24"/>
                <w:szCs w:val="24"/>
              </w:rPr>
              <w:t>r.p.m</w:t>
            </w:r>
          </w:p>
        </w:tc>
      </w:tr>
      <w:tr w14:paraId="2591E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4AB594C3">
            <w:pPr>
              <w:tabs>
                <w:tab w:val="left" w:pos="2340"/>
              </w:tabs>
              <w:snapToGrid w:val="0"/>
              <w:spacing w:line="480" w:lineRule="atLeast"/>
              <w:jc w:val="left"/>
              <w:rPr>
                <w:rFonts w:ascii="Calibri" w:hAnsi="Calibri"/>
                <w:sz w:val="24"/>
                <w:szCs w:val="24"/>
              </w:rPr>
            </w:pPr>
            <w:r>
              <w:rPr>
                <w:rFonts w:hint="eastAsia" w:ascii="Calibri" w:hAnsi="Calibri"/>
                <w:sz w:val="24"/>
                <w:szCs w:val="24"/>
              </w:rPr>
              <w:t>轴承寿命</w:t>
            </w:r>
          </w:p>
        </w:tc>
        <w:tc>
          <w:tcPr>
            <w:tcW w:w="3607" w:type="dxa"/>
            <w:vAlign w:val="center"/>
          </w:tcPr>
          <w:p w14:paraId="3318D435">
            <w:pPr>
              <w:tabs>
                <w:tab w:val="left" w:pos="2340"/>
              </w:tabs>
              <w:snapToGrid w:val="0"/>
              <w:spacing w:line="480" w:lineRule="atLeast"/>
              <w:jc w:val="left"/>
              <w:rPr>
                <w:rFonts w:ascii="Calibri" w:hAnsi="Calibri"/>
                <w:sz w:val="24"/>
                <w:szCs w:val="24"/>
              </w:rPr>
            </w:pPr>
          </w:p>
        </w:tc>
        <w:tc>
          <w:tcPr>
            <w:tcW w:w="1263" w:type="dxa"/>
            <w:vAlign w:val="center"/>
          </w:tcPr>
          <w:p w14:paraId="5A91C726">
            <w:pPr>
              <w:tabs>
                <w:tab w:val="left" w:pos="2340"/>
              </w:tabs>
              <w:snapToGrid w:val="0"/>
              <w:spacing w:line="480" w:lineRule="atLeast"/>
              <w:jc w:val="center"/>
              <w:rPr>
                <w:rFonts w:ascii="Calibri" w:hAnsi="Calibri"/>
                <w:sz w:val="24"/>
                <w:szCs w:val="24"/>
              </w:rPr>
            </w:pPr>
            <w:r>
              <w:rPr>
                <w:rFonts w:ascii="Calibri" w:hAnsi="Calibri"/>
                <w:sz w:val="24"/>
                <w:szCs w:val="24"/>
              </w:rPr>
              <w:t>h</w:t>
            </w:r>
          </w:p>
        </w:tc>
      </w:tr>
      <w:tr w14:paraId="2A669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69F5064E">
            <w:pPr>
              <w:tabs>
                <w:tab w:val="left" w:pos="2340"/>
              </w:tabs>
              <w:snapToGrid w:val="0"/>
              <w:spacing w:line="480" w:lineRule="atLeast"/>
              <w:jc w:val="left"/>
              <w:rPr>
                <w:rFonts w:ascii="Calibri" w:hAnsi="Calibri"/>
                <w:sz w:val="24"/>
                <w:szCs w:val="24"/>
              </w:rPr>
            </w:pPr>
            <w:r>
              <w:rPr>
                <w:rFonts w:hint="eastAsia" w:ascii="Calibri" w:hAnsi="Calibri"/>
                <w:sz w:val="24"/>
                <w:szCs w:val="24"/>
              </w:rPr>
              <w:t>轴承型式及品牌</w:t>
            </w:r>
          </w:p>
        </w:tc>
        <w:tc>
          <w:tcPr>
            <w:tcW w:w="3607" w:type="dxa"/>
            <w:vAlign w:val="center"/>
          </w:tcPr>
          <w:p w14:paraId="77FFD193">
            <w:pPr>
              <w:tabs>
                <w:tab w:val="left" w:pos="2340"/>
              </w:tabs>
              <w:snapToGrid w:val="0"/>
              <w:spacing w:line="480" w:lineRule="atLeast"/>
              <w:jc w:val="left"/>
              <w:rPr>
                <w:rFonts w:ascii="Calibri" w:hAnsi="Calibri"/>
                <w:sz w:val="24"/>
                <w:szCs w:val="24"/>
              </w:rPr>
            </w:pPr>
          </w:p>
        </w:tc>
        <w:tc>
          <w:tcPr>
            <w:tcW w:w="1263" w:type="dxa"/>
            <w:vAlign w:val="center"/>
          </w:tcPr>
          <w:p w14:paraId="2C17DC2E">
            <w:pPr>
              <w:tabs>
                <w:tab w:val="left" w:pos="2340"/>
              </w:tabs>
              <w:snapToGrid w:val="0"/>
              <w:spacing w:line="480" w:lineRule="atLeast"/>
              <w:jc w:val="center"/>
              <w:rPr>
                <w:rFonts w:ascii="Calibri" w:hAnsi="Calibri"/>
                <w:sz w:val="24"/>
                <w:szCs w:val="24"/>
              </w:rPr>
            </w:pPr>
          </w:p>
        </w:tc>
      </w:tr>
      <w:tr w14:paraId="37ECE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3D371117">
            <w:pPr>
              <w:tabs>
                <w:tab w:val="left" w:pos="2340"/>
              </w:tabs>
              <w:snapToGrid w:val="0"/>
              <w:spacing w:line="480" w:lineRule="atLeast"/>
              <w:jc w:val="left"/>
              <w:rPr>
                <w:rFonts w:ascii="Calibri" w:hAnsi="Calibri"/>
                <w:sz w:val="24"/>
                <w:szCs w:val="24"/>
              </w:rPr>
            </w:pPr>
            <w:r>
              <w:rPr>
                <w:rFonts w:hint="eastAsia" w:ascii="Calibri" w:hAnsi="Calibri"/>
                <w:sz w:val="24"/>
                <w:szCs w:val="24"/>
              </w:rPr>
              <w:t>设计空气密度下空气流量</w:t>
            </w:r>
          </w:p>
        </w:tc>
        <w:tc>
          <w:tcPr>
            <w:tcW w:w="3607" w:type="dxa"/>
            <w:vAlign w:val="center"/>
          </w:tcPr>
          <w:p w14:paraId="0497626C">
            <w:pPr>
              <w:tabs>
                <w:tab w:val="left" w:pos="2340"/>
              </w:tabs>
              <w:snapToGrid w:val="0"/>
              <w:spacing w:line="480" w:lineRule="atLeast"/>
              <w:jc w:val="left"/>
              <w:rPr>
                <w:rFonts w:ascii="Calibri" w:hAnsi="Calibri"/>
                <w:sz w:val="24"/>
                <w:szCs w:val="24"/>
              </w:rPr>
            </w:pPr>
          </w:p>
        </w:tc>
        <w:tc>
          <w:tcPr>
            <w:tcW w:w="1263" w:type="dxa"/>
            <w:vAlign w:val="center"/>
          </w:tcPr>
          <w:p w14:paraId="3EA76C27">
            <w:pPr>
              <w:tabs>
                <w:tab w:val="left" w:pos="2340"/>
              </w:tabs>
              <w:snapToGrid w:val="0"/>
              <w:spacing w:line="480" w:lineRule="atLeast"/>
              <w:jc w:val="center"/>
              <w:rPr>
                <w:rFonts w:ascii="Calibri" w:hAnsi="Calibri"/>
                <w:sz w:val="24"/>
                <w:szCs w:val="24"/>
              </w:rPr>
            </w:pPr>
            <w:r>
              <w:rPr>
                <w:rFonts w:ascii="Calibri" w:hAnsi="Calibri"/>
                <w:sz w:val="24"/>
                <w:szCs w:val="24"/>
              </w:rPr>
              <w:t>m3/h</w:t>
            </w:r>
          </w:p>
        </w:tc>
      </w:tr>
      <w:tr w14:paraId="576C4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15686BF0">
            <w:pPr>
              <w:tabs>
                <w:tab w:val="left" w:pos="2340"/>
              </w:tabs>
              <w:snapToGrid w:val="0"/>
              <w:spacing w:line="480" w:lineRule="atLeast"/>
              <w:jc w:val="left"/>
              <w:rPr>
                <w:rFonts w:ascii="Calibri" w:hAnsi="Calibri"/>
                <w:sz w:val="24"/>
                <w:szCs w:val="24"/>
              </w:rPr>
            </w:pPr>
            <w:r>
              <w:rPr>
                <w:rFonts w:hint="eastAsia" w:ascii="Calibri" w:hAnsi="Calibri"/>
                <w:sz w:val="24"/>
                <w:szCs w:val="24"/>
              </w:rPr>
              <w:t>全</w:t>
            </w:r>
            <w:r>
              <w:rPr>
                <w:rFonts w:ascii="Calibri" w:hAnsi="Calibri"/>
                <w:sz w:val="24"/>
                <w:szCs w:val="24"/>
              </w:rPr>
              <w:t xml:space="preserve">  </w:t>
            </w:r>
            <w:r>
              <w:rPr>
                <w:rFonts w:hint="eastAsia" w:ascii="Calibri" w:hAnsi="Calibri"/>
                <w:sz w:val="24"/>
                <w:szCs w:val="24"/>
              </w:rPr>
              <w:t>压</w:t>
            </w:r>
          </w:p>
        </w:tc>
        <w:tc>
          <w:tcPr>
            <w:tcW w:w="3607" w:type="dxa"/>
            <w:vAlign w:val="center"/>
          </w:tcPr>
          <w:p w14:paraId="62019E57">
            <w:pPr>
              <w:tabs>
                <w:tab w:val="left" w:pos="2340"/>
              </w:tabs>
              <w:snapToGrid w:val="0"/>
              <w:spacing w:line="480" w:lineRule="atLeast"/>
              <w:jc w:val="left"/>
              <w:rPr>
                <w:rFonts w:ascii="Calibri" w:hAnsi="Calibri"/>
                <w:sz w:val="24"/>
                <w:szCs w:val="24"/>
              </w:rPr>
            </w:pPr>
          </w:p>
        </w:tc>
        <w:tc>
          <w:tcPr>
            <w:tcW w:w="1263" w:type="dxa"/>
            <w:vAlign w:val="center"/>
          </w:tcPr>
          <w:p w14:paraId="73246CBC">
            <w:pPr>
              <w:tabs>
                <w:tab w:val="left" w:pos="2340"/>
              </w:tabs>
              <w:snapToGrid w:val="0"/>
              <w:spacing w:line="480" w:lineRule="atLeast"/>
              <w:jc w:val="center"/>
              <w:rPr>
                <w:rFonts w:ascii="Calibri" w:hAnsi="Calibri"/>
                <w:sz w:val="24"/>
                <w:szCs w:val="24"/>
              </w:rPr>
            </w:pPr>
            <w:r>
              <w:rPr>
                <w:rFonts w:ascii="Calibri" w:hAnsi="Calibri"/>
                <w:sz w:val="24"/>
                <w:szCs w:val="24"/>
              </w:rPr>
              <w:t>Pa</w:t>
            </w:r>
          </w:p>
        </w:tc>
      </w:tr>
      <w:tr w14:paraId="30D11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712633F5">
            <w:pPr>
              <w:tabs>
                <w:tab w:val="left" w:pos="2340"/>
              </w:tabs>
              <w:snapToGrid w:val="0"/>
              <w:spacing w:line="480" w:lineRule="atLeast"/>
              <w:jc w:val="left"/>
              <w:rPr>
                <w:rFonts w:ascii="Calibri" w:hAnsi="Calibri"/>
                <w:sz w:val="24"/>
                <w:szCs w:val="24"/>
              </w:rPr>
            </w:pPr>
            <w:r>
              <w:rPr>
                <w:rFonts w:hint="eastAsia" w:ascii="Calibri" w:hAnsi="Calibri"/>
                <w:sz w:val="24"/>
                <w:szCs w:val="24"/>
              </w:rPr>
              <w:t>外壳材料</w:t>
            </w:r>
          </w:p>
        </w:tc>
        <w:tc>
          <w:tcPr>
            <w:tcW w:w="3607" w:type="dxa"/>
            <w:vAlign w:val="center"/>
          </w:tcPr>
          <w:p w14:paraId="61A42A33">
            <w:pPr>
              <w:tabs>
                <w:tab w:val="left" w:pos="2340"/>
              </w:tabs>
              <w:snapToGrid w:val="0"/>
              <w:spacing w:line="480" w:lineRule="atLeast"/>
              <w:jc w:val="left"/>
              <w:rPr>
                <w:rFonts w:ascii="Calibri" w:hAnsi="Calibri"/>
                <w:sz w:val="24"/>
                <w:szCs w:val="24"/>
              </w:rPr>
            </w:pPr>
          </w:p>
        </w:tc>
        <w:tc>
          <w:tcPr>
            <w:tcW w:w="1263" w:type="dxa"/>
            <w:vAlign w:val="center"/>
          </w:tcPr>
          <w:p w14:paraId="71F3CB74">
            <w:pPr>
              <w:tabs>
                <w:tab w:val="left" w:pos="2340"/>
              </w:tabs>
              <w:snapToGrid w:val="0"/>
              <w:spacing w:line="480" w:lineRule="atLeast"/>
              <w:jc w:val="center"/>
              <w:rPr>
                <w:rFonts w:ascii="Calibri" w:hAnsi="Calibri"/>
                <w:sz w:val="24"/>
                <w:szCs w:val="24"/>
              </w:rPr>
            </w:pPr>
          </w:p>
        </w:tc>
      </w:tr>
      <w:tr w14:paraId="5CE56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601334A5">
            <w:pPr>
              <w:tabs>
                <w:tab w:val="left" w:pos="2340"/>
              </w:tabs>
              <w:snapToGrid w:val="0"/>
              <w:spacing w:line="480" w:lineRule="atLeast"/>
              <w:jc w:val="left"/>
              <w:rPr>
                <w:rFonts w:ascii="Calibri" w:hAnsi="Calibri"/>
                <w:sz w:val="24"/>
                <w:szCs w:val="24"/>
              </w:rPr>
            </w:pPr>
            <w:r>
              <w:rPr>
                <w:rFonts w:hint="eastAsia" w:ascii="Calibri" w:hAnsi="Calibri"/>
                <w:sz w:val="24"/>
                <w:szCs w:val="24"/>
              </w:rPr>
              <w:t>叶轮材料</w:t>
            </w:r>
          </w:p>
        </w:tc>
        <w:tc>
          <w:tcPr>
            <w:tcW w:w="3607" w:type="dxa"/>
            <w:vAlign w:val="center"/>
          </w:tcPr>
          <w:p w14:paraId="5BD78B2F">
            <w:pPr>
              <w:tabs>
                <w:tab w:val="left" w:pos="2340"/>
              </w:tabs>
              <w:snapToGrid w:val="0"/>
              <w:spacing w:line="480" w:lineRule="atLeast"/>
              <w:jc w:val="left"/>
              <w:rPr>
                <w:rFonts w:ascii="Calibri" w:hAnsi="Calibri"/>
                <w:sz w:val="24"/>
                <w:szCs w:val="24"/>
              </w:rPr>
            </w:pPr>
          </w:p>
        </w:tc>
        <w:tc>
          <w:tcPr>
            <w:tcW w:w="1263" w:type="dxa"/>
            <w:vAlign w:val="center"/>
          </w:tcPr>
          <w:p w14:paraId="770383D4">
            <w:pPr>
              <w:tabs>
                <w:tab w:val="left" w:pos="2340"/>
              </w:tabs>
              <w:snapToGrid w:val="0"/>
              <w:spacing w:line="480" w:lineRule="atLeast"/>
              <w:jc w:val="center"/>
              <w:rPr>
                <w:rFonts w:ascii="Calibri" w:hAnsi="Calibri"/>
                <w:sz w:val="24"/>
                <w:szCs w:val="24"/>
              </w:rPr>
            </w:pPr>
          </w:p>
        </w:tc>
      </w:tr>
      <w:tr w14:paraId="5616A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6703F705">
            <w:pPr>
              <w:tabs>
                <w:tab w:val="left" w:pos="2340"/>
              </w:tabs>
              <w:snapToGrid w:val="0"/>
              <w:spacing w:line="480" w:lineRule="atLeast"/>
              <w:jc w:val="left"/>
              <w:rPr>
                <w:rFonts w:ascii="Calibri" w:hAnsi="Calibri"/>
                <w:sz w:val="24"/>
                <w:szCs w:val="24"/>
              </w:rPr>
            </w:pPr>
            <w:r>
              <w:rPr>
                <w:rFonts w:hint="eastAsia" w:ascii="Calibri" w:hAnsi="Calibri"/>
                <w:sz w:val="24"/>
                <w:szCs w:val="24"/>
              </w:rPr>
              <w:t>轴材料</w:t>
            </w:r>
          </w:p>
        </w:tc>
        <w:tc>
          <w:tcPr>
            <w:tcW w:w="3607" w:type="dxa"/>
            <w:vAlign w:val="center"/>
          </w:tcPr>
          <w:p w14:paraId="1E28758D">
            <w:pPr>
              <w:tabs>
                <w:tab w:val="left" w:pos="2340"/>
              </w:tabs>
              <w:snapToGrid w:val="0"/>
              <w:spacing w:line="480" w:lineRule="atLeast"/>
              <w:jc w:val="left"/>
              <w:rPr>
                <w:rFonts w:ascii="Calibri" w:hAnsi="Calibri"/>
                <w:sz w:val="24"/>
                <w:szCs w:val="24"/>
              </w:rPr>
            </w:pPr>
          </w:p>
        </w:tc>
        <w:tc>
          <w:tcPr>
            <w:tcW w:w="1263" w:type="dxa"/>
            <w:vAlign w:val="center"/>
          </w:tcPr>
          <w:p w14:paraId="113269EF">
            <w:pPr>
              <w:tabs>
                <w:tab w:val="left" w:pos="2340"/>
              </w:tabs>
              <w:snapToGrid w:val="0"/>
              <w:spacing w:line="480" w:lineRule="atLeast"/>
              <w:jc w:val="center"/>
              <w:rPr>
                <w:rFonts w:ascii="Calibri" w:hAnsi="Calibri"/>
                <w:sz w:val="24"/>
                <w:szCs w:val="24"/>
              </w:rPr>
            </w:pPr>
          </w:p>
        </w:tc>
      </w:tr>
      <w:tr w14:paraId="4E695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3D6FABE5">
            <w:pPr>
              <w:tabs>
                <w:tab w:val="left" w:pos="2340"/>
              </w:tabs>
              <w:snapToGrid w:val="0"/>
              <w:spacing w:line="480" w:lineRule="atLeast"/>
              <w:jc w:val="left"/>
              <w:rPr>
                <w:rFonts w:ascii="Calibri" w:hAnsi="Calibri"/>
                <w:sz w:val="24"/>
                <w:szCs w:val="24"/>
              </w:rPr>
            </w:pPr>
            <w:r>
              <w:rPr>
                <w:rFonts w:hint="eastAsia" w:ascii="Calibri" w:hAnsi="Calibri"/>
                <w:sz w:val="24"/>
                <w:szCs w:val="24"/>
              </w:rPr>
              <w:t>涂层</w:t>
            </w:r>
            <w:r>
              <w:rPr>
                <w:rFonts w:ascii="Calibri" w:hAnsi="Calibri"/>
                <w:sz w:val="24"/>
                <w:szCs w:val="24"/>
              </w:rPr>
              <w:t>/</w:t>
            </w:r>
            <w:r>
              <w:rPr>
                <w:rFonts w:hint="eastAsia" w:ascii="Calibri" w:hAnsi="Calibri"/>
                <w:sz w:val="24"/>
                <w:szCs w:val="24"/>
              </w:rPr>
              <w:t>颜色</w:t>
            </w:r>
          </w:p>
        </w:tc>
        <w:tc>
          <w:tcPr>
            <w:tcW w:w="3607" w:type="dxa"/>
            <w:vAlign w:val="center"/>
          </w:tcPr>
          <w:p w14:paraId="002256D9">
            <w:pPr>
              <w:tabs>
                <w:tab w:val="left" w:pos="2340"/>
              </w:tabs>
              <w:snapToGrid w:val="0"/>
              <w:spacing w:line="480" w:lineRule="atLeast"/>
              <w:jc w:val="left"/>
              <w:rPr>
                <w:rFonts w:ascii="Calibri" w:hAnsi="Calibri"/>
                <w:sz w:val="24"/>
                <w:szCs w:val="24"/>
              </w:rPr>
            </w:pPr>
          </w:p>
        </w:tc>
        <w:tc>
          <w:tcPr>
            <w:tcW w:w="1263" w:type="dxa"/>
            <w:vAlign w:val="center"/>
          </w:tcPr>
          <w:p w14:paraId="406A7077">
            <w:pPr>
              <w:tabs>
                <w:tab w:val="left" w:pos="2340"/>
              </w:tabs>
              <w:snapToGrid w:val="0"/>
              <w:spacing w:line="480" w:lineRule="atLeast"/>
              <w:jc w:val="center"/>
              <w:rPr>
                <w:rFonts w:ascii="Calibri" w:hAnsi="Calibri"/>
                <w:sz w:val="24"/>
                <w:szCs w:val="24"/>
              </w:rPr>
            </w:pPr>
          </w:p>
        </w:tc>
      </w:tr>
      <w:tr w14:paraId="11934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39408ED1">
            <w:pPr>
              <w:tabs>
                <w:tab w:val="left" w:pos="2340"/>
              </w:tabs>
              <w:snapToGrid w:val="0"/>
              <w:spacing w:line="480" w:lineRule="atLeast"/>
              <w:jc w:val="left"/>
              <w:rPr>
                <w:rFonts w:ascii="Calibri" w:hAnsi="Calibri"/>
                <w:b/>
                <w:sz w:val="24"/>
                <w:szCs w:val="24"/>
              </w:rPr>
            </w:pPr>
            <w:r>
              <w:rPr>
                <w:rFonts w:hint="eastAsia" w:ascii="Calibri" w:hAnsi="Calibri"/>
                <w:b/>
                <w:sz w:val="24"/>
                <w:szCs w:val="24"/>
              </w:rPr>
              <w:t>电动机</w:t>
            </w:r>
          </w:p>
        </w:tc>
        <w:tc>
          <w:tcPr>
            <w:tcW w:w="3607" w:type="dxa"/>
            <w:vAlign w:val="center"/>
          </w:tcPr>
          <w:p w14:paraId="7CB3BA7E">
            <w:pPr>
              <w:tabs>
                <w:tab w:val="left" w:pos="2340"/>
              </w:tabs>
              <w:snapToGrid w:val="0"/>
              <w:spacing w:line="480" w:lineRule="atLeast"/>
              <w:jc w:val="left"/>
              <w:rPr>
                <w:rFonts w:ascii="Calibri" w:hAnsi="Calibri"/>
                <w:sz w:val="24"/>
                <w:szCs w:val="24"/>
              </w:rPr>
            </w:pPr>
          </w:p>
        </w:tc>
        <w:tc>
          <w:tcPr>
            <w:tcW w:w="1263" w:type="dxa"/>
            <w:vAlign w:val="center"/>
          </w:tcPr>
          <w:p w14:paraId="16067A6C">
            <w:pPr>
              <w:tabs>
                <w:tab w:val="left" w:pos="2340"/>
              </w:tabs>
              <w:snapToGrid w:val="0"/>
              <w:spacing w:line="480" w:lineRule="atLeast"/>
              <w:jc w:val="center"/>
              <w:rPr>
                <w:rFonts w:ascii="Calibri" w:hAnsi="Calibri"/>
                <w:sz w:val="24"/>
                <w:szCs w:val="24"/>
              </w:rPr>
            </w:pPr>
          </w:p>
        </w:tc>
      </w:tr>
      <w:tr w14:paraId="25683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59B5A0A1">
            <w:pPr>
              <w:tabs>
                <w:tab w:val="left" w:pos="2340"/>
              </w:tabs>
              <w:snapToGrid w:val="0"/>
              <w:spacing w:line="480" w:lineRule="atLeast"/>
              <w:jc w:val="left"/>
              <w:rPr>
                <w:rFonts w:ascii="Calibri" w:hAnsi="Calibri"/>
                <w:sz w:val="24"/>
                <w:szCs w:val="24"/>
              </w:rPr>
            </w:pPr>
            <w:r>
              <w:rPr>
                <w:rFonts w:hint="eastAsia" w:ascii="Calibri" w:hAnsi="Calibri"/>
                <w:sz w:val="24"/>
                <w:szCs w:val="24"/>
              </w:rPr>
              <w:t>电机型号及制造厂</w:t>
            </w:r>
          </w:p>
        </w:tc>
        <w:tc>
          <w:tcPr>
            <w:tcW w:w="3607" w:type="dxa"/>
            <w:vAlign w:val="center"/>
          </w:tcPr>
          <w:p w14:paraId="27E02AD0">
            <w:pPr>
              <w:tabs>
                <w:tab w:val="left" w:pos="2340"/>
              </w:tabs>
              <w:snapToGrid w:val="0"/>
              <w:spacing w:line="480" w:lineRule="atLeast"/>
              <w:jc w:val="left"/>
              <w:rPr>
                <w:rFonts w:ascii="Calibri" w:hAnsi="Calibri"/>
                <w:sz w:val="24"/>
                <w:szCs w:val="24"/>
              </w:rPr>
            </w:pPr>
          </w:p>
        </w:tc>
        <w:tc>
          <w:tcPr>
            <w:tcW w:w="1263" w:type="dxa"/>
            <w:vAlign w:val="center"/>
          </w:tcPr>
          <w:p w14:paraId="5DD73DBC">
            <w:pPr>
              <w:tabs>
                <w:tab w:val="left" w:pos="2340"/>
              </w:tabs>
              <w:snapToGrid w:val="0"/>
              <w:spacing w:line="480" w:lineRule="atLeast"/>
              <w:jc w:val="center"/>
              <w:rPr>
                <w:rFonts w:ascii="Calibri" w:hAnsi="Calibri"/>
                <w:sz w:val="24"/>
                <w:szCs w:val="24"/>
              </w:rPr>
            </w:pPr>
          </w:p>
        </w:tc>
      </w:tr>
      <w:tr w14:paraId="0992F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2AF04BDA">
            <w:pPr>
              <w:tabs>
                <w:tab w:val="left" w:pos="2340"/>
              </w:tabs>
              <w:snapToGrid w:val="0"/>
              <w:spacing w:line="480" w:lineRule="atLeast"/>
              <w:jc w:val="left"/>
              <w:rPr>
                <w:rFonts w:ascii="Calibri" w:hAnsi="Calibri"/>
                <w:sz w:val="24"/>
                <w:szCs w:val="24"/>
              </w:rPr>
            </w:pPr>
            <w:r>
              <w:rPr>
                <w:rFonts w:hint="eastAsia" w:ascii="Calibri" w:hAnsi="Calibri"/>
                <w:sz w:val="24"/>
                <w:szCs w:val="24"/>
              </w:rPr>
              <w:t>连续运行时间</w:t>
            </w:r>
          </w:p>
        </w:tc>
        <w:tc>
          <w:tcPr>
            <w:tcW w:w="3607" w:type="dxa"/>
            <w:vAlign w:val="center"/>
          </w:tcPr>
          <w:p w14:paraId="5F9AAE74">
            <w:pPr>
              <w:tabs>
                <w:tab w:val="left" w:pos="2340"/>
              </w:tabs>
              <w:snapToGrid w:val="0"/>
              <w:spacing w:line="480" w:lineRule="atLeast"/>
              <w:jc w:val="left"/>
              <w:rPr>
                <w:rFonts w:ascii="Calibri" w:hAnsi="Calibri"/>
                <w:sz w:val="24"/>
                <w:szCs w:val="24"/>
              </w:rPr>
            </w:pPr>
          </w:p>
        </w:tc>
        <w:tc>
          <w:tcPr>
            <w:tcW w:w="1263" w:type="dxa"/>
            <w:vAlign w:val="center"/>
          </w:tcPr>
          <w:p w14:paraId="4C238430">
            <w:pPr>
              <w:tabs>
                <w:tab w:val="left" w:pos="2340"/>
              </w:tabs>
              <w:snapToGrid w:val="0"/>
              <w:spacing w:line="480" w:lineRule="atLeast"/>
              <w:jc w:val="center"/>
              <w:rPr>
                <w:rFonts w:ascii="Calibri" w:hAnsi="Calibri"/>
                <w:sz w:val="24"/>
                <w:szCs w:val="24"/>
              </w:rPr>
            </w:pPr>
            <w:r>
              <w:rPr>
                <w:rFonts w:ascii="Calibri" w:hAnsi="Calibri"/>
                <w:sz w:val="24"/>
                <w:szCs w:val="24"/>
              </w:rPr>
              <w:t>hr.</w:t>
            </w:r>
          </w:p>
        </w:tc>
      </w:tr>
      <w:tr w14:paraId="4E8C5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66EADD61">
            <w:pPr>
              <w:tabs>
                <w:tab w:val="left" w:pos="2340"/>
              </w:tabs>
              <w:snapToGrid w:val="0"/>
              <w:spacing w:line="480" w:lineRule="atLeast"/>
              <w:jc w:val="left"/>
              <w:rPr>
                <w:rFonts w:ascii="Calibri" w:hAnsi="Calibri"/>
                <w:sz w:val="24"/>
                <w:szCs w:val="24"/>
              </w:rPr>
            </w:pPr>
            <w:r>
              <w:rPr>
                <w:rFonts w:hint="eastAsia" w:ascii="Calibri" w:hAnsi="Calibri"/>
                <w:sz w:val="24"/>
                <w:szCs w:val="24"/>
              </w:rPr>
              <w:t>电机铭牌功率</w:t>
            </w:r>
          </w:p>
        </w:tc>
        <w:tc>
          <w:tcPr>
            <w:tcW w:w="3607" w:type="dxa"/>
            <w:vAlign w:val="center"/>
          </w:tcPr>
          <w:p w14:paraId="5B3BAEC6">
            <w:pPr>
              <w:tabs>
                <w:tab w:val="left" w:pos="2340"/>
              </w:tabs>
              <w:snapToGrid w:val="0"/>
              <w:spacing w:line="480" w:lineRule="atLeast"/>
              <w:jc w:val="left"/>
              <w:rPr>
                <w:rFonts w:ascii="Calibri" w:hAnsi="Calibri"/>
                <w:sz w:val="24"/>
                <w:szCs w:val="24"/>
              </w:rPr>
            </w:pPr>
          </w:p>
        </w:tc>
        <w:tc>
          <w:tcPr>
            <w:tcW w:w="1263" w:type="dxa"/>
            <w:vAlign w:val="center"/>
          </w:tcPr>
          <w:p w14:paraId="1BACC849">
            <w:pPr>
              <w:tabs>
                <w:tab w:val="left" w:pos="2340"/>
              </w:tabs>
              <w:snapToGrid w:val="0"/>
              <w:spacing w:line="480" w:lineRule="atLeast"/>
              <w:jc w:val="center"/>
              <w:rPr>
                <w:rFonts w:ascii="Calibri" w:hAnsi="Calibri"/>
                <w:sz w:val="24"/>
                <w:szCs w:val="24"/>
              </w:rPr>
            </w:pPr>
            <w:r>
              <w:rPr>
                <w:rFonts w:ascii="Calibri" w:hAnsi="Calibri"/>
                <w:sz w:val="24"/>
                <w:szCs w:val="24"/>
              </w:rPr>
              <w:t>kW</w:t>
            </w:r>
          </w:p>
        </w:tc>
      </w:tr>
      <w:tr w14:paraId="35C8F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77FE7F4A">
            <w:pPr>
              <w:tabs>
                <w:tab w:val="left" w:pos="2340"/>
              </w:tabs>
              <w:snapToGrid w:val="0"/>
              <w:spacing w:line="480" w:lineRule="atLeast"/>
              <w:jc w:val="left"/>
              <w:rPr>
                <w:rFonts w:ascii="Calibri" w:hAnsi="Calibri"/>
                <w:sz w:val="24"/>
                <w:szCs w:val="24"/>
              </w:rPr>
            </w:pPr>
            <w:r>
              <w:rPr>
                <w:rFonts w:hint="eastAsia" w:ascii="Calibri" w:hAnsi="Calibri"/>
                <w:sz w:val="24"/>
                <w:szCs w:val="24"/>
              </w:rPr>
              <w:t>转速</w:t>
            </w:r>
            <w:r>
              <w:rPr>
                <w:rFonts w:ascii="Calibri" w:hAnsi="Calibri"/>
                <w:sz w:val="24"/>
                <w:szCs w:val="24"/>
              </w:rPr>
              <w:t>/</w:t>
            </w:r>
            <w:r>
              <w:rPr>
                <w:rFonts w:hint="eastAsia" w:ascii="Calibri" w:hAnsi="Calibri"/>
                <w:sz w:val="24"/>
                <w:szCs w:val="24"/>
              </w:rPr>
              <w:t>满负荷</w:t>
            </w:r>
          </w:p>
        </w:tc>
        <w:tc>
          <w:tcPr>
            <w:tcW w:w="3607" w:type="dxa"/>
            <w:vAlign w:val="center"/>
          </w:tcPr>
          <w:p w14:paraId="7966204E">
            <w:pPr>
              <w:tabs>
                <w:tab w:val="left" w:pos="2340"/>
              </w:tabs>
              <w:snapToGrid w:val="0"/>
              <w:spacing w:line="480" w:lineRule="atLeast"/>
              <w:jc w:val="left"/>
              <w:rPr>
                <w:rFonts w:ascii="Calibri" w:hAnsi="Calibri"/>
                <w:sz w:val="24"/>
                <w:szCs w:val="24"/>
              </w:rPr>
            </w:pPr>
          </w:p>
        </w:tc>
        <w:tc>
          <w:tcPr>
            <w:tcW w:w="1263" w:type="dxa"/>
            <w:vAlign w:val="center"/>
          </w:tcPr>
          <w:p w14:paraId="5DF25C3A">
            <w:pPr>
              <w:tabs>
                <w:tab w:val="left" w:pos="2340"/>
              </w:tabs>
              <w:snapToGrid w:val="0"/>
              <w:spacing w:line="480" w:lineRule="atLeast"/>
              <w:jc w:val="center"/>
              <w:rPr>
                <w:rFonts w:ascii="Calibri" w:hAnsi="Calibri"/>
                <w:sz w:val="24"/>
                <w:szCs w:val="24"/>
              </w:rPr>
            </w:pPr>
            <w:r>
              <w:rPr>
                <w:rFonts w:ascii="Calibri" w:hAnsi="Calibri"/>
                <w:sz w:val="24"/>
                <w:szCs w:val="24"/>
              </w:rPr>
              <w:t>r.p.m</w:t>
            </w:r>
          </w:p>
        </w:tc>
      </w:tr>
      <w:tr w14:paraId="36965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7A6D1209">
            <w:pPr>
              <w:tabs>
                <w:tab w:val="left" w:pos="2340"/>
              </w:tabs>
              <w:snapToGrid w:val="0"/>
              <w:spacing w:line="480" w:lineRule="atLeast"/>
              <w:jc w:val="left"/>
              <w:rPr>
                <w:rFonts w:ascii="Calibri" w:hAnsi="Calibri"/>
                <w:sz w:val="24"/>
                <w:szCs w:val="24"/>
              </w:rPr>
            </w:pPr>
            <w:r>
              <w:rPr>
                <w:rFonts w:hint="eastAsia" w:ascii="Calibri" w:hAnsi="Calibri"/>
                <w:sz w:val="24"/>
                <w:szCs w:val="24"/>
              </w:rPr>
              <w:t>铭牌启动电压</w:t>
            </w:r>
          </w:p>
        </w:tc>
        <w:tc>
          <w:tcPr>
            <w:tcW w:w="3607" w:type="dxa"/>
            <w:vAlign w:val="center"/>
          </w:tcPr>
          <w:p w14:paraId="4559E7D1">
            <w:pPr>
              <w:tabs>
                <w:tab w:val="left" w:pos="2340"/>
              </w:tabs>
              <w:snapToGrid w:val="0"/>
              <w:spacing w:line="480" w:lineRule="atLeast"/>
              <w:jc w:val="left"/>
              <w:rPr>
                <w:rFonts w:ascii="Calibri" w:hAnsi="Calibri"/>
                <w:sz w:val="24"/>
                <w:szCs w:val="24"/>
              </w:rPr>
            </w:pPr>
          </w:p>
        </w:tc>
        <w:tc>
          <w:tcPr>
            <w:tcW w:w="1263" w:type="dxa"/>
            <w:vAlign w:val="center"/>
          </w:tcPr>
          <w:p w14:paraId="251F2334">
            <w:pPr>
              <w:tabs>
                <w:tab w:val="left" w:pos="2340"/>
              </w:tabs>
              <w:snapToGrid w:val="0"/>
              <w:spacing w:line="480" w:lineRule="atLeast"/>
              <w:jc w:val="center"/>
              <w:rPr>
                <w:rFonts w:ascii="Calibri" w:hAnsi="Calibri"/>
                <w:sz w:val="24"/>
                <w:szCs w:val="24"/>
              </w:rPr>
            </w:pPr>
          </w:p>
        </w:tc>
      </w:tr>
      <w:tr w14:paraId="3F635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40F0CA9D">
            <w:pPr>
              <w:tabs>
                <w:tab w:val="left" w:pos="2340"/>
              </w:tabs>
              <w:snapToGrid w:val="0"/>
              <w:spacing w:line="480" w:lineRule="atLeast"/>
              <w:jc w:val="left"/>
              <w:rPr>
                <w:rFonts w:ascii="Calibri" w:hAnsi="Calibri"/>
                <w:sz w:val="24"/>
                <w:szCs w:val="24"/>
              </w:rPr>
            </w:pPr>
            <w:r>
              <w:rPr>
                <w:rFonts w:hint="eastAsia" w:ascii="Calibri" w:hAnsi="Calibri"/>
                <w:sz w:val="24"/>
                <w:szCs w:val="24"/>
              </w:rPr>
              <w:t>电流</w:t>
            </w:r>
          </w:p>
        </w:tc>
        <w:tc>
          <w:tcPr>
            <w:tcW w:w="3607" w:type="dxa"/>
            <w:vAlign w:val="center"/>
          </w:tcPr>
          <w:p w14:paraId="7099CF16">
            <w:pPr>
              <w:tabs>
                <w:tab w:val="left" w:pos="2340"/>
              </w:tabs>
              <w:snapToGrid w:val="0"/>
              <w:spacing w:line="480" w:lineRule="atLeast"/>
              <w:jc w:val="left"/>
              <w:rPr>
                <w:rFonts w:ascii="Calibri" w:hAnsi="Calibri"/>
                <w:sz w:val="24"/>
                <w:szCs w:val="24"/>
              </w:rPr>
            </w:pPr>
          </w:p>
        </w:tc>
        <w:tc>
          <w:tcPr>
            <w:tcW w:w="1263" w:type="dxa"/>
            <w:vAlign w:val="center"/>
          </w:tcPr>
          <w:p w14:paraId="57AA67F7">
            <w:pPr>
              <w:tabs>
                <w:tab w:val="left" w:pos="2340"/>
              </w:tabs>
              <w:snapToGrid w:val="0"/>
              <w:spacing w:line="480" w:lineRule="atLeast"/>
              <w:jc w:val="center"/>
              <w:rPr>
                <w:rFonts w:ascii="Calibri" w:hAnsi="Calibri"/>
                <w:sz w:val="24"/>
                <w:szCs w:val="24"/>
              </w:rPr>
            </w:pPr>
          </w:p>
        </w:tc>
      </w:tr>
      <w:tr w14:paraId="3C644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61A6FAE5">
            <w:pPr>
              <w:tabs>
                <w:tab w:val="left" w:pos="2340"/>
              </w:tabs>
              <w:snapToGrid w:val="0"/>
              <w:spacing w:line="480" w:lineRule="atLeast"/>
              <w:jc w:val="left"/>
              <w:rPr>
                <w:rFonts w:ascii="Calibri" w:hAnsi="Calibri"/>
                <w:sz w:val="24"/>
                <w:szCs w:val="24"/>
              </w:rPr>
            </w:pPr>
            <w:r>
              <w:rPr>
                <w:rFonts w:hint="eastAsia" w:ascii="Calibri" w:hAnsi="Calibri"/>
                <w:sz w:val="24"/>
                <w:szCs w:val="24"/>
              </w:rPr>
              <w:t>环境温度</w:t>
            </w:r>
          </w:p>
        </w:tc>
        <w:tc>
          <w:tcPr>
            <w:tcW w:w="3607" w:type="dxa"/>
            <w:vAlign w:val="center"/>
          </w:tcPr>
          <w:p w14:paraId="5DF4129C">
            <w:pPr>
              <w:tabs>
                <w:tab w:val="left" w:pos="2340"/>
              </w:tabs>
              <w:snapToGrid w:val="0"/>
              <w:spacing w:line="480" w:lineRule="atLeast"/>
              <w:jc w:val="left"/>
              <w:rPr>
                <w:rFonts w:ascii="Calibri" w:hAnsi="Calibri"/>
                <w:sz w:val="24"/>
                <w:szCs w:val="24"/>
              </w:rPr>
            </w:pPr>
          </w:p>
        </w:tc>
        <w:tc>
          <w:tcPr>
            <w:tcW w:w="1263" w:type="dxa"/>
            <w:vAlign w:val="center"/>
          </w:tcPr>
          <w:p w14:paraId="777AC854">
            <w:pPr>
              <w:tabs>
                <w:tab w:val="left" w:pos="2340"/>
              </w:tabs>
              <w:snapToGrid w:val="0"/>
              <w:spacing w:line="480" w:lineRule="atLeast"/>
              <w:jc w:val="center"/>
              <w:rPr>
                <w:rFonts w:ascii="Calibri" w:hAnsi="Calibri"/>
                <w:sz w:val="24"/>
                <w:szCs w:val="24"/>
              </w:rPr>
            </w:pPr>
            <w:r>
              <w:rPr>
                <w:rFonts w:hint="eastAsia" w:ascii="宋体" w:hAnsi="宋体" w:cs="宋体"/>
                <w:sz w:val="24"/>
                <w:szCs w:val="24"/>
              </w:rPr>
              <w:t>℃</w:t>
            </w:r>
          </w:p>
        </w:tc>
      </w:tr>
      <w:tr w14:paraId="6609B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6D11A73A">
            <w:pPr>
              <w:tabs>
                <w:tab w:val="left" w:pos="2340"/>
              </w:tabs>
              <w:snapToGrid w:val="0"/>
              <w:spacing w:line="480" w:lineRule="atLeast"/>
              <w:jc w:val="left"/>
              <w:rPr>
                <w:rFonts w:ascii="Calibri" w:hAnsi="Calibri"/>
                <w:sz w:val="24"/>
                <w:szCs w:val="24"/>
              </w:rPr>
            </w:pPr>
            <w:r>
              <w:rPr>
                <w:rFonts w:hint="eastAsia" w:ascii="Calibri" w:hAnsi="Calibri"/>
                <w:sz w:val="24"/>
                <w:szCs w:val="24"/>
              </w:rPr>
              <w:t>绕组温升</w:t>
            </w:r>
          </w:p>
        </w:tc>
        <w:tc>
          <w:tcPr>
            <w:tcW w:w="3607" w:type="dxa"/>
            <w:vAlign w:val="center"/>
          </w:tcPr>
          <w:p w14:paraId="5949445F">
            <w:pPr>
              <w:tabs>
                <w:tab w:val="left" w:pos="2340"/>
              </w:tabs>
              <w:snapToGrid w:val="0"/>
              <w:spacing w:line="480" w:lineRule="atLeast"/>
              <w:jc w:val="left"/>
              <w:rPr>
                <w:rFonts w:ascii="Calibri" w:hAnsi="Calibri"/>
                <w:sz w:val="24"/>
                <w:szCs w:val="24"/>
              </w:rPr>
            </w:pPr>
          </w:p>
        </w:tc>
        <w:tc>
          <w:tcPr>
            <w:tcW w:w="1263" w:type="dxa"/>
            <w:vAlign w:val="center"/>
          </w:tcPr>
          <w:p w14:paraId="6AD0C45B">
            <w:pPr>
              <w:tabs>
                <w:tab w:val="left" w:pos="2340"/>
              </w:tabs>
              <w:snapToGrid w:val="0"/>
              <w:spacing w:line="480" w:lineRule="atLeast"/>
              <w:jc w:val="center"/>
              <w:rPr>
                <w:rFonts w:ascii="Calibri" w:hAnsi="Calibri"/>
                <w:sz w:val="24"/>
                <w:szCs w:val="24"/>
              </w:rPr>
            </w:pPr>
            <w:r>
              <w:rPr>
                <w:rFonts w:hint="eastAsia" w:ascii="宋体" w:hAnsi="宋体" w:cs="宋体"/>
                <w:sz w:val="24"/>
                <w:szCs w:val="24"/>
              </w:rPr>
              <w:t>℃</w:t>
            </w:r>
          </w:p>
        </w:tc>
      </w:tr>
      <w:tr w14:paraId="5F111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1E4CC870">
            <w:pPr>
              <w:tabs>
                <w:tab w:val="left" w:pos="2340"/>
              </w:tabs>
              <w:snapToGrid w:val="0"/>
              <w:spacing w:line="480" w:lineRule="atLeast"/>
              <w:jc w:val="left"/>
              <w:rPr>
                <w:rFonts w:ascii="Calibri" w:hAnsi="Calibri"/>
                <w:sz w:val="24"/>
                <w:szCs w:val="24"/>
              </w:rPr>
            </w:pPr>
            <w:r>
              <w:rPr>
                <w:rFonts w:hint="eastAsia" w:ascii="Calibri" w:hAnsi="Calibri"/>
                <w:sz w:val="24"/>
                <w:szCs w:val="24"/>
              </w:rPr>
              <w:t>绝缘等级</w:t>
            </w:r>
          </w:p>
        </w:tc>
        <w:tc>
          <w:tcPr>
            <w:tcW w:w="3607" w:type="dxa"/>
            <w:vAlign w:val="center"/>
          </w:tcPr>
          <w:p w14:paraId="02B22EE2">
            <w:pPr>
              <w:tabs>
                <w:tab w:val="left" w:pos="2340"/>
              </w:tabs>
              <w:snapToGrid w:val="0"/>
              <w:spacing w:line="480" w:lineRule="atLeast"/>
              <w:jc w:val="left"/>
              <w:rPr>
                <w:rFonts w:ascii="Calibri" w:hAnsi="Calibri"/>
                <w:sz w:val="24"/>
                <w:szCs w:val="24"/>
              </w:rPr>
            </w:pPr>
          </w:p>
        </w:tc>
        <w:tc>
          <w:tcPr>
            <w:tcW w:w="1263" w:type="dxa"/>
            <w:vAlign w:val="center"/>
          </w:tcPr>
          <w:p w14:paraId="08BD3E71">
            <w:pPr>
              <w:tabs>
                <w:tab w:val="left" w:pos="2340"/>
              </w:tabs>
              <w:snapToGrid w:val="0"/>
              <w:spacing w:line="480" w:lineRule="atLeast"/>
              <w:jc w:val="center"/>
              <w:rPr>
                <w:rFonts w:ascii="Calibri" w:hAnsi="Calibri"/>
                <w:sz w:val="24"/>
                <w:szCs w:val="24"/>
              </w:rPr>
            </w:pPr>
          </w:p>
        </w:tc>
      </w:tr>
      <w:tr w14:paraId="29C44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2E27A469">
            <w:pPr>
              <w:tabs>
                <w:tab w:val="left" w:pos="2340"/>
              </w:tabs>
              <w:snapToGrid w:val="0"/>
              <w:spacing w:line="480" w:lineRule="atLeast"/>
              <w:jc w:val="left"/>
              <w:rPr>
                <w:rFonts w:ascii="Calibri" w:hAnsi="Calibri"/>
                <w:sz w:val="24"/>
                <w:szCs w:val="24"/>
              </w:rPr>
            </w:pPr>
            <w:r>
              <w:rPr>
                <w:rFonts w:hint="eastAsia" w:ascii="Calibri" w:hAnsi="Calibri"/>
                <w:sz w:val="24"/>
                <w:szCs w:val="24"/>
              </w:rPr>
              <w:t>轴承型号</w:t>
            </w:r>
          </w:p>
        </w:tc>
        <w:tc>
          <w:tcPr>
            <w:tcW w:w="3607" w:type="dxa"/>
            <w:vAlign w:val="center"/>
          </w:tcPr>
          <w:p w14:paraId="41DB250A">
            <w:pPr>
              <w:tabs>
                <w:tab w:val="left" w:pos="2340"/>
              </w:tabs>
              <w:snapToGrid w:val="0"/>
              <w:spacing w:line="480" w:lineRule="atLeast"/>
              <w:jc w:val="left"/>
              <w:rPr>
                <w:rFonts w:ascii="Calibri" w:hAnsi="Calibri"/>
                <w:sz w:val="24"/>
                <w:szCs w:val="24"/>
              </w:rPr>
            </w:pPr>
          </w:p>
        </w:tc>
        <w:tc>
          <w:tcPr>
            <w:tcW w:w="1263" w:type="dxa"/>
            <w:vAlign w:val="center"/>
          </w:tcPr>
          <w:p w14:paraId="0F28C2C2">
            <w:pPr>
              <w:tabs>
                <w:tab w:val="left" w:pos="2340"/>
              </w:tabs>
              <w:snapToGrid w:val="0"/>
              <w:spacing w:line="480" w:lineRule="atLeast"/>
              <w:jc w:val="center"/>
              <w:rPr>
                <w:rFonts w:ascii="Calibri" w:hAnsi="Calibri"/>
                <w:sz w:val="24"/>
                <w:szCs w:val="24"/>
              </w:rPr>
            </w:pPr>
          </w:p>
        </w:tc>
      </w:tr>
      <w:tr w14:paraId="10E95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69494023">
            <w:pPr>
              <w:tabs>
                <w:tab w:val="left" w:pos="2340"/>
              </w:tabs>
              <w:snapToGrid w:val="0"/>
              <w:spacing w:line="480" w:lineRule="atLeast"/>
              <w:jc w:val="left"/>
              <w:rPr>
                <w:rFonts w:ascii="Calibri" w:hAnsi="Calibri"/>
                <w:sz w:val="24"/>
                <w:szCs w:val="24"/>
              </w:rPr>
            </w:pPr>
            <w:r>
              <w:rPr>
                <w:rFonts w:hint="eastAsia" w:ascii="Calibri" w:hAnsi="Calibri"/>
                <w:sz w:val="24"/>
                <w:szCs w:val="24"/>
              </w:rPr>
              <w:t>轴承形式（滑动、滚动、止推等）及</w:t>
            </w:r>
            <w:bookmarkStart w:id="875" w:name="_GoBack"/>
            <w:r>
              <w:rPr>
                <w:rFonts w:hint="eastAsia" w:ascii="Calibri" w:hAnsi="Calibri"/>
                <w:sz w:val="24"/>
                <w:szCs w:val="24"/>
              </w:rPr>
              <w:t>品牌</w:t>
            </w:r>
            <w:bookmarkEnd w:id="875"/>
          </w:p>
        </w:tc>
        <w:tc>
          <w:tcPr>
            <w:tcW w:w="3607" w:type="dxa"/>
            <w:vAlign w:val="center"/>
          </w:tcPr>
          <w:p w14:paraId="3A2E7314">
            <w:pPr>
              <w:tabs>
                <w:tab w:val="left" w:pos="2340"/>
              </w:tabs>
              <w:snapToGrid w:val="0"/>
              <w:spacing w:line="480" w:lineRule="atLeast"/>
              <w:jc w:val="left"/>
              <w:rPr>
                <w:rFonts w:ascii="Calibri" w:hAnsi="Calibri"/>
                <w:sz w:val="24"/>
                <w:szCs w:val="24"/>
              </w:rPr>
            </w:pPr>
          </w:p>
        </w:tc>
        <w:tc>
          <w:tcPr>
            <w:tcW w:w="1263" w:type="dxa"/>
            <w:vAlign w:val="center"/>
          </w:tcPr>
          <w:p w14:paraId="2301A37A">
            <w:pPr>
              <w:tabs>
                <w:tab w:val="left" w:pos="2340"/>
              </w:tabs>
              <w:snapToGrid w:val="0"/>
              <w:spacing w:line="480" w:lineRule="atLeast"/>
              <w:jc w:val="center"/>
              <w:rPr>
                <w:rFonts w:ascii="Calibri" w:hAnsi="Calibri"/>
                <w:sz w:val="24"/>
                <w:szCs w:val="24"/>
              </w:rPr>
            </w:pPr>
          </w:p>
        </w:tc>
      </w:tr>
      <w:tr w14:paraId="5EC4C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62D4CE27">
            <w:pPr>
              <w:tabs>
                <w:tab w:val="left" w:pos="2340"/>
              </w:tabs>
              <w:snapToGrid w:val="0"/>
              <w:spacing w:line="480" w:lineRule="atLeast"/>
              <w:jc w:val="left"/>
              <w:rPr>
                <w:rFonts w:ascii="Calibri" w:hAnsi="Calibri"/>
                <w:sz w:val="24"/>
                <w:szCs w:val="24"/>
              </w:rPr>
            </w:pPr>
            <w:r>
              <w:rPr>
                <w:rFonts w:hint="eastAsia" w:ascii="Calibri" w:hAnsi="Calibri"/>
                <w:sz w:val="24"/>
                <w:szCs w:val="24"/>
              </w:rPr>
              <w:t>轴承寿命</w:t>
            </w:r>
          </w:p>
        </w:tc>
        <w:tc>
          <w:tcPr>
            <w:tcW w:w="3607" w:type="dxa"/>
            <w:vAlign w:val="center"/>
          </w:tcPr>
          <w:p w14:paraId="18F58D41">
            <w:pPr>
              <w:tabs>
                <w:tab w:val="left" w:pos="2340"/>
              </w:tabs>
              <w:snapToGrid w:val="0"/>
              <w:spacing w:line="480" w:lineRule="atLeast"/>
              <w:jc w:val="left"/>
              <w:rPr>
                <w:rFonts w:ascii="Calibri" w:hAnsi="Calibri"/>
                <w:sz w:val="24"/>
                <w:szCs w:val="24"/>
              </w:rPr>
            </w:pPr>
          </w:p>
        </w:tc>
        <w:tc>
          <w:tcPr>
            <w:tcW w:w="1263" w:type="dxa"/>
            <w:vAlign w:val="center"/>
          </w:tcPr>
          <w:p w14:paraId="1F38BD59">
            <w:pPr>
              <w:tabs>
                <w:tab w:val="left" w:pos="2340"/>
              </w:tabs>
              <w:snapToGrid w:val="0"/>
              <w:spacing w:line="480" w:lineRule="atLeast"/>
              <w:jc w:val="center"/>
              <w:rPr>
                <w:rFonts w:ascii="Calibri" w:hAnsi="Calibri"/>
                <w:sz w:val="24"/>
                <w:szCs w:val="24"/>
              </w:rPr>
            </w:pPr>
            <w:r>
              <w:rPr>
                <w:rFonts w:hint="eastAsia" w:ascii="Calibri" w:hAnsi="Calibri"/>
                <w:sz w:val="24"/>
                <w:szCs w:val="24"/>
              </w:rPr>
              <w:t>年</w:t>
            </w:r>
          </w:p>
        </w:tc>
      </w:tr>
      <w:tr w14:paraId="03057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3DBE61D5">
            <w:pPr>
              <w:tabs>
                <w:tab w:val="left" w:pos="2340"/>
              </w:tabs>
              <w:snapToGrid w:val="0"/>
              <w:spacing w:line="480" w:lineRule="atLeast"/>
              <w:jc w:val="left"/>
              <w:rPr>
                <w:rFonts w:ascii="Calibri" w:hAnsi="Calibri"/>
                <w:sz w:val="24"/>
                <w:szCs w:val="24"/>
              </w:rPr>
            </w:pPr>
            <w:r>
              <w:rPr>
                <w:rFonts w:hint="eastAsia" w:ascii="Calibri" w:hAnsi="Calibri"/>
                <w:sz w:val="24"/>
                <w:szCs w:val="24"/>
              </w:rPr>
              <w:t>轴承最小无人维修期</w:t>
            </w:r>
          </w:p>
        </w:tc>
        <w:tc>
          <w:tcPr>
            <w:tcW w:w="3607" w:type="dxa"/>
            <w:vAlign w:val="center"/>
          </w:tcPr>
          <w:p w14:paraId="4BBC0A29">
            <w:pPr>
              <w:tabs>
                <w:tab w:val="left" w:pos="2340"/>
              </w:tabs>
              <w:snapToGrid w:val="0"/>
              <w:spacing w:line="480" w:lineRule="atLeast"/>
              <w:jc w:val="left"/>
              <w:rPr>
                <w:rFonts w:ascii="Calibri" w:hAnsi="Calibri"/>
                <w:sz w:val="24"/>
                <w:szCs w:val="24"/>
              </w:rPr>
            </w:pPr>
          </w:p>
        </w:tc>
        <w:tc>
          <w:tcPr>
            <w:tcW w:w="1263" w:type="dxa"/>
            <w:vAlign w:val="center"/>
          </w:tcPr>
          <w:p w14:paraId="07DEA250">
            <w:pPr>
              <w:tabs>
                <w:tab w:val="left" w:pos="2340"/>
              </w:tabs>
              <w:snapToGrid w:val="0"/>
              <w:spacing w:line="480" w:lineRule="atLeast"/>
              <w:jc w:val="center"/>
              <w:rPr>
                <w:rFonts w:ascii="Calibri" w:hAnsi="Calibri"/>
                <w:sz w:val="24"/>
                <w:szCs w:val="24"/>
              </w:rPr>
            </w:pPr>
            <w:r>
              <w:rPr>
                <w:rFonts w:ascii="Calibri" w:hAnsi="Calibri"/>
                <w:sz w:val="24"/>
                <w:szCs w:val="24"/>
              </w:rPr>
              <w:t>h</w:t>
            </w:r>
          </w:p>
        </w:tc>
      </w:tr>
      <w:tr w14:paraId="141E6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04563C31">
            <w:pPr>
              <w:tabs>
                <w:tab w:val="left" w:pos="2340"/>
              </w:tabs>
              <w:snapToGrid w:val="0"/>
              <w:spacing w:line="480" w:lineRule="atLeast"/>
              <w:jc w:val="left"/>
              <w:rPr>
                <w:rFonts w:ascii="Calibri" w:hAnsi="Calibri"/>
                <w:sz w:val="24"/>
                <w:szCs w:val="24"/>
              </w:rPr>
            </w:pPr>
            <w:r>
              <w:rPr>
                <w:rFonts w:hint="eastAsia" w:ascii="Calibri" w:hAnsi="Calibri"/>
                <w:sz w:val="24"/>
                <w:szCs w:val="24"/>
              </w:rPr>
              <w:t>电机重量</w:t>
            </w:r>
          </w:p>
        </w:tc>
        <w:tc>
          <w:tcPr>
            <w:tcW w:w="3607" w:type="dxa"/>
            <w:vAlign w:val="center"/>
          </w:tcPr>
          <w:p w14:paraId="7B4FD387">
            <w:pPr>
              <w:tabs>
                <w:tab w:val="left" w:pos="2340"/>
              </w:tabs>
              <w:snapToGrid w:val="0"/>
              <w:spacing w:line="480" w:lineRule="atLeast"/>
              <w:jc w:val="left"/>
              <w:rPr>
                <w:rFonts w:ascii="Calibri" w:hAnsi="Calibri"/>
                <w:sz w:val="24"/>
                <w:szCs w:val="24"/>
              </w:rPr>
            </w:pPr>
          </w:p>
        </w:tc>
        <w:tc>
          <w:tcPr>
            <w:tcW w:w="1263" w:type="dxa"/>
            <w:vAlign w:val="center"/>
          </w:tcPr>
          <w:p w14:paraId="4072EDED">
            <w:pPr>
              <w:tabs>
                <w:tab w:val="left" w:pos="2340"/>
              </w:tabs>
              <w:snapToGrid w:val="0"/>
              <w:spacing w:line="480" w:lineRule="atLeast"/>
              <w:jc w:val="center"/>
              <w:rPr>
                <w:rFonts w:ascii="Calibri" w:hAnsi="Calibri"/>
                <w:sz w:val="24"/>
                <w:szCs w:val="24"/>
              </w:rPr>
            </w:pPr>
            <w:r>
              <w:rPr>
                <w:rFonts w:ascii="Calibri" w:hAnsi="Calibri"/>
                <w:sz w:val="24"/>
                <w:szCs w:val="24"/>
              </w:rPr>
              <w:t>kg</w:t>
            </w:r>
          </w:p>
        </w:tc>
      </w:tr>
      <w:tr w14:paraId="051B1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6E3338F6">
            <w:pPr>
              <w:tabs>
                <w:tab w:val="left" w:pos="2340"/>
              </w:tabs>
              <w:snapToGrid w:val="0"/>
              <w:spacing w:line="480" w:lineRule="atLeast"/>
              <w:jc w:val="left"/>
              <w:rPr>
                <w:rFonts w:ascii="Calibri" w:hAnsi="Calibri"/>
                <w:b/>
                <w:sz w:val="24"/>
                <w:szCs w:val="24"/>
              </w:rPr>
            </w:pPr>
            <w:r>
              <w:rPr>
                <w:rFonts w:hint="eastAsia" w:ascii="Calibri" w:hAnsi="Calibri"/>
                <w:b/>
                <w:sz w:val="24"/>
                <w:szCs w:val="24"/>
              </w:rPr>
              <w:t>冷却盘管</w:t>
            </w:r>
          </w:p>
        </w:tc>
        <w:tc>
          <w:tcPr>
            <w:tcW w:w="3607" w:type="dxa"/>
            <w:vAlign w:val="center"/>
          </w:tcPr>
          <w:p w14:paraId="3E1D369E">
            <w:pPr>
              <w:tabs>
                <w:tab w:val="left" w:pos="2340"/>
              </w:tabs>
              <w:snapToGrid w:val="0"/>
              <w:spacing w:line="480" w:lineRule="atLeast"/>
              <w:jc w:val="left"/>
              <w:rPr>
                <w:rFonts w:ascii="Calibri" w:hAnsi="Calibri"/>
                <w:sz w:val="24"/>
                <w:szCs w:val="24"/>
              </w:rPr>
            </w:pPr>
          </w:p>
        </w:tc>
        <w:tc>
          <w:tcPr>
            <w:tcW w:w="1263" w:type="dxa"/>
            <w:vAlign w:val="center"/>
          </w:tcPr>
          <w:p w14:paraId="01C531FB">
            <w:pPr>
              <w:tabs>
                <w:tab w:val="left" w:pos="2340"/>
              </w:tabs>
              <w:snapToGrid w:val="0"/>
              <w:spacing w:line="480" w:lineRule="atLeast"/>
              <w:jc w:val="center"/>
              <w:rPr>
                <w:rFonts w:ascii="Calibri" w:hAnsi="Calibri"/>
                <w:sz w:val="24"/>
                <w:szCs w:val="24"/>
              </w:rPr>
            </w:pPr>
          </w:p>
        </w:tc>
      </w:tr>
      <w:tr w14:paraId="5940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7A62242E">
            <w:pPr>
              <w:tabs>
                <w:tab w:val="left" w:pos="2340"/>
              </w:tabs>
              <w:snapToGrid w:val="0"/>
              <w:spacing w:line="480" w:lineRule="atLeast"/>
              <w:jc w:val="left"/>
              <w:rPr>
                <w:rFonts w:ascii="Calibri" w:hAnsi="Calibri"/>
                <w:sz w:val="24"/>
                <w:szCs w:val="24"/>
              </w:rPr>
            </w:pPr>
            <w:r>
              <w:rPr>
                <w:rFonts w:hint="eastAsia" w:ascii="Calibri" w:hAnsi="Calibri"/>
                <w:sz w:val="24"/>
                <w:szCs w:val="24"/>
              </w:rPr>
              <w:t>冷热介质</w:t>
            </w:r>
          </w:p>
        </w:tc>
        <w:tc>
          <w:tcPr>
            <w:tcW w:w="3607" w:type="dxa"/>
            <w:vAlign w:val="center"/>
          </w:tcPr>
          <w:p w14:paraId="2212F742">
            <w:pPr>
              <w:tabs>
                <w:tab w:val="left" w:pos="2340"/>
              </w:tabs>
              <w:snapToGrid w:val="0"/>
              <w:spacing w:line="480" w:lineRule="atLeast"/>
              <w:jc w:val="left"/>
              <w:rPr>
                <w:rFonts w:ascii="Calibri" w:hAnsi="Calibri"/>
                <w:sz w:val="24"/>
                <w:szCs w:val="24"/>
              </w:rPr>
            </w:pPr>
          </w:p>
        </w:tc>
        <w:tc>
          <w:tcPr>
            <w:tcW w:w="1263" w:type="dxa"/>
            <w:vAlign w:val="center"/>
          </w:tcPr>
          <w:p w14:paraId="4CA46196">
            <w:pPr>
              <w:tabs>
                <w:tab w:val="left" w:pos="2340"/>
              </w:tabs>
              <w:snapToGrid w:val="0"/>
              <w:spacing w:line="480" w:lineRule="atLeast"/>
              <w:jc w:val="center"/>
              <w:rPr>
                <w:rFonts w:ascii="Calibri" w:hAnsi="Calibri"/>
                <w:sz w:val="24"/>
                <w:szCs w:val="24"/>
              </w:rPr>
            </w:pPr>
          </w:p>
        </w:tc>
      </w:tr>
      <w:tr w14:paraId="1D924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1FD47BDE">
            <w:pPr>
              <w:tabs>
                <w:tab w:val="left" w:pos="2340"/>
              </w:tabs>
              <w:snapToGrid w:val="0"/>
              <w:spacing w:line="480" w:lineRule="atLeast"/>
              <w:jc w:val="left"/>
              <w:rPr>
                <w:rFonts w:ascii="Calibri" w:hAnsi="Calibri"/>
                <w:sz w:val="24"/>
                <w:szCs w:val="24"/>
              </w:rPr>
            </w:pPr>
            <w:r>
              <w:rPr>
                <w:rFonts w:hint="eastAsia" w:ascii="Calibri" w:hAnsi="Calibri"/>
                <w:sz w:val="24"/>
                <w:szCs w:val="24"/>
              </w:rPr>
              <w:t>型式</w:t>
            </w:r>
          </w:p>
        </w:tc>
        <w:tc>
          <w:tcPr>
            <w:tcW w:w="3607" w:type="dxa"/>
            <w:vAlign w:val="center"/>
          </w:tcPr>
          <w:p w14:paraId="35A0C0D3">
            <w:pPr>
              <w:tabs>
                <w:tab w:val="left" w:pos="2340"/>
              </w:tabs>
              <w:snapToGrid w:val="0"/>
              <w:spacing w:line="480" w:lineRule="atLeast"/>
              <w:jc w:val="left"/>
              <w:rPr>
                <w:rFonts w:ascii="Calibri" w:hAnsi="Calibri"/>
                <w:sz w:val="24"/>
                <w:szCs w:val="24"/>
              </w:rPr>
            </w:pPr>
          </w:p>
        </w:tc>
        <w:tc>
          <w:tcPr>
            <w:tcW w:w="1263" w:type="dxa"/>
            <w:vAlign w:val="center"/>
          </w:tcPr>
          <w:p w14:paraId="73123BEF">
            <w:pPr>
              <w:tabs>
                <w:tab w:val="left" w:pos="2340"/>
              </w:tabs>
              <w:snapToGrid w:val="0"/>
              <w:spacing w:line="480" w:lineRule="atLeast"/>
              <w:jc w:val="center"/>
              <w:rPr>
                <w:rFonts w:ascii="Calibri" w:hAnsi="Calibri"/>
                <w:sz w:val="24"/>
                <w:szCs w:val="24"/>
              </w:rPr>
            </w:pPr>
          </w:p>
        </w:tc>
      </w:tr>
      <w:tr w14:paraId="2CBAC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0F80F4C7">
            <w:pPr>
              <w:tabs>
                <w:tab w:val="left" w:pos="2340"/>
              </w:tabs>
              <w:snapToGrid w:val="0"/>
              <w:spacing w:line="480" w:lineRule="atLeast"/>
              <w:jc w:val="left"/>
              <w:rPr>
                <w:rFonts w:ascii="Calibri" w:hAnsi="Calibri"/>
                <w:sz w:val="24"/>
                <w:szCs w:val="24"/>
              </w:rPr>
            </w:pPr>
            <w:r>
              <w:rPr>
                <w:rFonts w:hint="eastAsia" w:ascii="Calibri" w:hAnsi="Calibri"/>
                <w:sz w:val="24"/>
                <w:szCs w:val="24"/>
              </w:rPr>
              <w:t>进口空气温度（干球</w:t>
            </w:r>
            <w:r>
              <w:rPr>
                <w:rFonts w:ascii="Calibri" w:hAnsi="Calibri"/>
                <w:sz w:val="24"/>
                <w:szCs w:val="24"/>
              </w:rPr>
              <w:t>/</w:t>
            </w:r>
            <w:r>
              <w:rPr>
                <w:rFonts w:hint="eastAsia" w:ascii="Calibri" w:hAnsi="Calibri"/>
                <w:sz w:val="24"/>
                <w:szCs w:val="24"/>
              </w:rPr>
              <w:t>湿球）</w:t>
            </w:r>
          </w:p>
        </w:tc>
        <w:tc>
          <w:tcPr>
            <w:tcW w:w="3607" w:type="dxa"/>
            <w:vAlign w:val="center"/>
          </w:tcPr>
          <w:p w14:paraId="613B2F63">
            <w:pPr>
              <w:tabs>
                <w:tab w:val="left" w:pos="2340"/>
              </w:tabs>
              <w:snapToGrid w:val="0"/>
              <w:spacing w:line="480" w:lineRule="atLeast"/>
              <w:jc w:val="left"/>
              <w:rPr>
                <w:rFonts w:ascii="Calibri" w:hAnsi="Calibri"/>
                <w:sz w:val="24"/>
                <w:szCs w:val="24"/>
              </w:rPr>
            </w:pPr>
          </w:p>
        </w:tc>
        <w:tc>
          <w:tcPr>
            <w:tcW w:w="1263" w:type="dxa"/>
            <w:vAlign w:val="center"/>
          </w:tcPr>
          <w:p w14:paraId="3695D28A">
            <w:pPr>
              <w:tabs>
                <w:tab w:val="left" w:pos="2340"/>
              </w:tabs>
              <w:snapToGrid w:val="0"/>
              <w:spacing w:line="480" w:lineRule="atLeast"/>
              <w:jc w:val="center"/>
              <w:rPr>
                <w:rFonts w:ascii="Calibri" w:hAnsi="Calibri"/>
                <w:sz w:val="24"/>
                <w:szCs w:val="24"/>
              </w:rPr>
            </w:pPr>
            <w:r>
              <w:rPr>
                <w:rFonts w:hint="eastAsia" w:ascii="宋体" w:hAnsi="宋体" w:cs="宋体"/>
                <w:sz w:val="24"/>
                <w:szCs w:val="24"/>
              </w:rPr>
              <w:t>℃</w:t>
            </w:r>
          </w:p>
        </w:tc>
      </w:tr>
      <w:tr w14:paraId="7AF77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15B173A8">
            <w:pPr>
              <w:tabs>
                <w:tab w:val="left" w:pos="2340"/>
              </w:tabs>
              <w:snapToGrid w:val="0"/>
              <w:spacing w:line="480" w:lineRule="atLeast"/>
              <w:jc w:val="left"/>
              <w:rPr>
                <w:rFonts w:ascii="Calibri" w:hAnsi="Calibri"/>
                <w:sz w:val="24"/>
                <w:szCs w:val="24"/>
              </w:rPr>
            </w:pPr>
            <w:r>
              <w:rPr>
                <w:rFonts w:hint="eastAsia" w:ascii="Calibri" w:hAnsi="Calibri"/>
                <w:sz w:val="24"/>
                <w:szCs w:val="24"/>
              </w:rPr>
              <w:t>出口空气温度（干球</w:t>
            </w:r>
            <w:r>
              <w:rPr>
                <w:rFonts w:ascii="Calibri" w:hAnsi="Calibri"/>
                <w:sz w:val="24"/>
                <w:szCs w:val="24"/>
              </w:rPr>
              <w:t>/</w:t>
            </w:r>
            <w:r>
              <w:rPr>
                <w:rFonts w:hint="eastAsia" w:ascii="Calibri" w:hAnsi="Calibri"/>
                <w:sz w:val="24"/>
                <w:szCs w:val="24"/>
              </w:rPr>
              <w:t>湿球）</w:t>
            </w:r>
          </w:p>
        </w:tc>
        <w:tc>
          <w:tcPr>
            <w:tcW w:w="3607" w:type="dxa"/>
            <w:vAlign w:val="center"/>
          </w:tcPr>
          <w:p w14:paraId="53AEC434">
            <w:pPr>
              <w:tabs>
                <w:tab w:val="left" w:pos="2340"/>
              </w:tabs>
              <w:snapToGrid w:val="0"/>
              <w:spacing w:line="480" w:lineRule="atLeast"/>
              <w:jc w:val="left"/>
              <w:rPr>
                <w:rFonts w:ascii="Calibri" w:hAnsi="Calibri"/>
                <w:sz w:val="24"/>
                <w:szCs w:val="24"/>
              </w:rPr>
            </w:pPr>
          </w:p>
        </w:tc>
        <w:tc>
          <w:tcPr>
            <w:tcW w:w="1263" w:type="dxa"/>
            <w:vAlign w:val="center"/>
          </w:tcPr>
          <w:p w14:paraId="72A9E65D">
            <w:pPr>
              <w:tabs>
                <w:tab w:val="left" w:pos="2340"/>
              </w:tabs>
              <w:snapToGrid w:val="0"/>
              <w:spacing w:line="480" w:lineRule="atLeast"/>
              <w:jc w:val="center"/>
              <w:rPr>
                <w:rFonts w:ascii="Calibri" w:hAnsi="Calibri"/>
                <w:sz w:val="24"/>
                <w:szCs w:val="24"/>
              </w:rPr>
            </w:pPr>
            <w:r>
              <w:rPr>
                <w:rFonts w:hint="eastAsia" w:ascii="宋体" w:hAnsi="宋体" w:cs="宋体"/>
                <w:sz w:val="24"/>
                <w:szCs w:val="24"/>
              </w:rPr>
              <w:t>℃</w:t>
            </w:r>
          </w:p>
        </w:tc>
      </w:tr>
      <w:tr w14:paraId="70D6F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02C60ECE">
            <w:pPr>
              <w:tabs>
                <w:tab w:val="left" w:pos="2340"/>
              </w:tabs>
              <w:snapToGrid w:val="0"/>
              <w:spacing w:line="480" w:lineRule="atLeast"/>
              <w:jc w:val="left"/>
              <w:rPr>
                <w:rFonts w:ascii="Calibri" w:hAnsi="Calibri"/>
                <w:sz w:val="24"/>
                <w:szCs w:val="24"/>
              </w:rPr>
            </w:pPr>
            <w:r>
              <w:rPr>
                <w:rFonts w:hint="eastAsia" w:ascii="Calibri" w:hAnsi="Calibri"/>
                <w:sz w:val="24"/>
                <w:szCs w:val="24"/>
              </w:rPr>
              <w:t>空气流量</w:t>
            </w:r>
          </w:p>
        </w:tc>
        <w:tc>
          <w:tcPr>
            <w:tcW w:w="3607" w:type="dxa"/>
            <w:vAlign w:val="center"/>
          </w:tcPr>
          <w:p w14:paraId="0332943C">
            <w:pPr>
              <w:tabs>
                <w:tab w:val="left" w:pos="2340"/>
              </w:tabs>
              <w:snapToGrid w:val="0"/>
              <w:spacing w:line="480" w:lineRule="atLeast"/>
              <w:jc w:val="left"/>
              <w:rPr>
                <w:rFonts w:ascii="Calibri" w:hAnsi="Calibri"/>
                <w:sz w:val="24"/>
                <w:szCs w:val="24"/>
              </w:rPr>
            </w:pPr>
          </w:p>
        </w:tc>
        <w:tc>
          <w:tcPr>
            <w:tcW w:w="1263" w:type="dxa"/>
            <w:vAlign w:val="center"/>
          </w:tcPr>
          <w:p w14:paraId="466D7965">
            <w:pPr>
              <w:tabs>
                <w:tab w:val="left" w:pos="2340"/>
              </w:tabs>
              <w:snapToGrid w:val="0"/>
              <w:spacing w:line="480" w:lineRule="atLeast"/>
              <w:jc w:val="center"/>
              <w:rPr>
                <w:rFonts w:ascii="Calibri" w:hAnsi="Calibri"/>
                <w:sz w:val="24"/>
                <w:szCs w:val="24"/>
              </w:rPr>
            </w:pPr>
            <w:r>
              <w:rPr>
                <w:rFonts w:ascii="Calibri" w:hAnsi="Calibri"/>
                <w:sz w:val="24"/>
                <w:szCs w:val="24"/>
              </w:rPr>
              <w:t>m3/h</w:t>
            </w:r>
          </w:p>
        </w:tc>
      </w:tr>
      <w:tr w14:paraId="747DB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0327591E">
            <w:pPr>
              <w:tabs>
                <w:tab w:val="left" w:pos="2340"/>
              </w:tabs>
              <w:snapToGrid w:val="0"/>
              <w:spacing w:line="480" w:lineRule="atLeast"/>
              <w:jc w:val="left"/>
              <w:rPr>
                <w:rFonts w:ascii="Calibri" w:hAnsi="Calibri"/>
                <w:sz w:val="24"/>
                <w:szCs w:val="24"/>
              </w:rPr>
            </w:pPr>
            <w:r>
              <w:rPr>
                <w:rFonts w:hint="eastAsia" w:ascii="Calibri" w:hAnsi="Calibri"/>
                <w:sz w:val="24"/>
                <w:szCs w:val="24"/>
              </w:rPr>
              <w:t>空气压降</w:t>
            </w:r>
          </w:p>
        </w:tc>
        <w:tc>
          <w:tcPr>
            <w:tcW w:w="3607" w:type="dxa"/>
            <w:vAlign w:val="center"/>
          </w:tcPr>
          <w:p w14:paraId="17927D09">
            <w:pPr>
              <w:tabs>
                <w:tab w:val="left" w:pos="2340"/>
              </w:tabs>
              <w:snapToGrid w:val="0"/>
              <w:spacing w:line="480" w:lineRule="atLeast"/>
              <w:jc w:val="left"/>
              <w:rPr>
                <w:rFonts w:ascii="Calibri" w:hAnsi="Calibri"/>
                <w:sz w:val="24"/>
                <w:szCs w:val="24"/>
              </w:rPr>
            </w:pPr>
          </w:p>
        </w:tc>
        <w:tc>
          <w:tcPr>
            <w:tcW w:w="1263" w:type="dxa"/>
            <w:vAlign w:val="center"/>
          </w:tcPr>
          <w:p w14:paraId="69D39165">
            <w:pPr>
              <w:tabs>
                <w:tab w:val="left" w:pos="2340"/>
              </w:tabs>
              <w:snapToGrid w:val="0"/>
              <w:spacing w:line="480" w:lineRule="atLeast"/>
              <w:jc w:val="center"/>
              <w:rPr>
                <w:rFonts w:ascii="Calibri" w:hAnsi="Calibri"/>
                <w:sz w:val="24"/>
                <w:szCs w:val="24"/>
              </w:rPr>
            </w:pPr>
            <w:r>
              <w:rPr>
                <w:rFonts w:ascii="Calibri" w:hAnsi="Calibri"/>
                <w:sz w:val="24"/>
                <w:szCs w:val="24"/>
              </w:rPr>
              <w:t>Pa</w:t>
            </w:r>
          </w:p>
        </w:tc>
      </w:tr>
      <w:tr w14:paraId="63F95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163C1CCB">
            <w:pPr>
              <w:tabs>
                <w:tab w:val="left" w:pos="2340"/>
              </w:tabs>
              <w:snapToGrid w:val="0"/>
              <w:spacing w:line="480" w:lineRule="atLeast"/>
              <w:jc w:val="left"/>
              <w:rPr>
                <w:rFonts w:ascii="Calibri" w:hAnsi="Calibri"/>
                <w:sz w:val="24"/>
                <w:szCs w:val="24"/>
              </w:rPr>
            </w:pPr>
            <w:r>
              <w:rPr>
                <w:rFonts w:hint="eastAsia" w:ascii="Calibri" w:hAnsi="Calibri"/>
                <w:sz w:val="24"/>
                <w:szCs w:val="24"/>
              </w:rPr>
              <w:t>全热冷量</w:t>
            </w:r>
          </w:p>
        </w:tc>
        <w:tc>
          <w:tcPr>
            <w:tcW w:w="3607" w:type="dxa"/>
            <w:vAlign w:val="center"/>
          </w:tcPr>
          <w:p w14:paraId="1B2957AA">
            <w:pPr>
              <w:tabs>
                <w:tab w:val="left" w:pos="2340"/>
              </w:tabs>
              <w:snapToGrid w:val="0"/>
              <w:spacing w:line="480" w:lineRule="atLeast"/>
              <w:jc w:val="left"/>
              <w:rPr>
                <w:rFonts w:ascii="Calibri" w:hAnsi="Calibri"/>
                <w:sz w:val="24"/>
                <w:szCs w:val="24"/>
              </w:rPr>
            </w:pPr>
          </w:p>
        </w:tc>
        <w:tc>
          <w:tcPr>
            <w:tcW w:w="1263" w:type="dxa"/>
            <w:vAlign w:val="center"/>
          </w:tcPr>
          <w:p w14:paraId="1C14C5EA">
            <w:pPr>
              <w:tabs>
                <w:tab w:val="left" w:pos="2340"/>
              </w:tabs>
              <w:snapToGrid w:val="0"/>
              <w:spacing w:line="480" w:lineRule="atLeast"/>
              <w:jc w:val="center"/>
              <w:rPr>
                <w:rFonts w:ascii="Calibri" w:hAnsi="Calibri"/>
                <w:sz w:val="24"/>
                <w:szCs w:val="24"/>
              </w:rPr>
            </w:pPr>
            <w:r>
              <w:rPr>
                <w:rFonts w:ascii="Calibri" w:hAnsi="Calibri"/>
                <w:sz w:val="24"/>
                <w:szCs w:val="24"/>
              </w:rPr>
              <w:t>kW</w:t>
            </w:r>
          </w:p>
        </w:tc>
      </w:tr>
      <w:tr w14:paraId="300E2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70373D5F">
            <w:pPr>
              <w:tabs>
                <w:tab w:val="left" w:pos="2340"/>
              </w:tabs>
              <w:snapToGrid w:val="0"/>
              <w:spacing w:line="480" w:lineRule="atLeast"/>
              <w:jc w:val="left"/>
              <w:rPr>
                <w:rFonts w:ascii="Calibri" w:hAnsi="Calibri"/>
                <w:sz w:val="24"/>
                <w:szCs w:val="24"/>
              </w:rPr>
            </w:pPr>
            <w:r>
              <w:rPr>
                <w:rFonts w:hint="eastAsia" w:ascii="Calibri" w:hAnsi="Calibri"/>
                <w:sz w:val="24"/>
                <w:szCs w:val="24"/>
              </w:rPr>
              <w:t>显热冷量</w:t>
            </w:r>
          </w:p>
        </w:tc>
        <w:tc>
          <w:tcPr>
            <w:tcW w:w="3607" w:type="dxa"/>
            <w:vAlign w:val="center"/>
          </w:tcPr>
          <w:p w14:paraId="123A4E7D">
            <w:pPr>
              <w:tabs>
                <w:tab w:val="left" w:pos="2340"/>
              </w:tabs>
              <w:snapToGrid w:val="0"/>
              <w:spacing w:line="480" w:lineRule="atLeast"/>
              <w:jc w:val="left"/>
              <w:rPr>
                <w:rFonts w:ascii="Calibri" w:hAnsi="Calibri"/>
                <w:sz w:val="24"/>
                <w:szCs w:val="24"/>
              </w:rPr>
            </w:pPr>
          </w:p>
        </w:tc>
        <w:tc>
          <w:tcPr>
            <w:tcW w:w="1263" w:type="dxa"/>
            <w:vAlign w:val="center"/>
          </w:tcPr>
          <w:p w14:paraId="61E1D751">
            <w:pPr>
              <w:tabs>
                <w:tab w:val="left" w:pos="2340"/>
              </w:tabs>
              <w:snapToGrid w:val="0"/>
              <w:spacing w:line="480" w:lineRule="atLeast"/>
              <w:jc w:val="center"/>
              <w:rPr>
                <w:rFonts w:ascii="Calibri" w:hAnsi="Calibri"/>
                <w:sz w:val="24"/>
                <w:szCs w:val="24"/>
              </w:rPr>
            </w:pPr>
            <w:r>
              <w:rPr>
                <w:rFonts w:ascii="Calibri" w:hAnsi="Calibri"/>
                <w:sz w:val="24"/>
                <w:szCs w:val="24"/>
              </w:rPr>
              <w:t>kW</w:t>
            </w:r>
          </w:p>
        </w:tc>
      </w:tr>
      <w:tr w14:paraId="4F843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2A7A7B36">
            <w:pPr>
              <w:tabs>
                <w:tab w:val="left" w:pos="2340"/>
              </w:tabs>
              <w:snapToGrid w:val="0"/>
              <w:spacing w:line="480" w:lineRule="atLeast"/>
              <w:jc w:val="left"/>
              <w:rPr>
                <w:rFonts w:ascii="Calibri" w:hAnsi="Calibri"/>
                <w:sz w:val="24"/>
                <w:szCs w:val="24"/>
              </w:rPr>
            </w:pPr>
            <w:r>
              <w:rPr>
                <w:rFonts w:hint="eastAsia" w:ascii="Calibri" w:hAnsi="Calibri"/>
                <w:sz w:val="24"/>
                <w:szCs w:val="24"/>
              </w:rPr>
              <w:t>表面面积</w:t>
            </w:r>
          </w:p>
        </w:tc>
        <w:tc>
          <w:tcPr>
            <w:tcW w:w="3607" w:type="dxa"/>
            <w:vAlign w:val="center"/>
          </w:tcPr>
          <w:p w14:paraId="37D57DEA">
            <w:pPr>
              <w:tabs>
                <w:tab w:val="left" w:pos="2340"/>
              </w:tabs>
              <w:snapToGrid w:val="0"/>
              <w:spacing w:line="480" w:lineRule="atLeast"/>
              <w:jc w:val="left"/>
              <w:rPr>
                <w:rFonts w:ascii="Calibri" w:hAnsi="Calibri"/>
                <w:sz w:val="24"/>
                <w:szCs w:val="24"/>
              </w:rPr>
            </w:pPr>
          </w:p>
        </w:tc>
        <w:tc>
          <w:tcPr>
            <w:tcW w:w="1263" w:type="dxa"/>
            <w:vAlign w:val="center"/>
          </w:tcPr>
          <w:p w14:paraId="144C55CC">
            <w:pPr>
              <w:tabs>
                <w:tab w:val="left" w:pos="2340"/>
              </w:tabs>
              <w:snapToGrid w:val="0"/>
              <w:spacing w:line="480" w:lineRule="atLeast"/>
              <w:jc w:val="center"/>
              <w:rPr>
                <w:rFonts w:ascii="Calibri" w:hAnsi="Calibri"/>
                <w:sz w:val="24"/>
                <w:szCs w:val="24"/>
              </w:rPr>
            </w:pPr>
            <w:r>
              <w:rPr>
                <w:rFonts w:ascii="Calibri" w:hAnsi="Calibri"/>
                <w:sz w:val="24"/>
                <w:szCs w:val="24"/>
              </w:rPr>
              <w:t>m2</w:t>
            </w:r>
          </w:p>
        </w:tc>
      </w:tr>
      <w:tr w14:paraId="2679B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1EB7586A">
            <w:pPr>
              <w:tabs>
                <w:tab w:val="left" w:pos="2340"/>
              </w:tabs>
              <w:snapToGrid w:val="0"/>
              <w:spacing w:line="480" w:lineRule="atLeast"/>
              <w:jc w:val="left"/>
              <w:rPr>
                <w:rFonts w:ascii="Calibri" w:hAnsi="Calibri"/>
                <w:sz w:val="24"/>
                <w:szCs w:val="24"/>
              </w:rPr>
            </w:pPr>
            <w:r>
              <w:rPr>
                <w:rFonts w:hint="eastAsia" w:ascii="Calibri" w:hAnsi="Calibri"/>
                <w:sz w:val="24"/>
                <w:szCs w:val="24"/>
              </w:rPr>
              <w:t>面风速</w:t>
            </w:r>
          </w:p>
        </w:tc>
        <w:tc>
          <w:tcPr>
            <w:tcW w:w="3607" w:type="dxa"/>
            <w:vAlign w:val="center"/>
          </w:tcPr>
          <w:p w14:paraId="7AC78C1B">
            <w:pPr>
              <w:tabs>
                <w:tab w:val="left" w:pos="2340"/>
              </w:tabs>
              <w:snapToGrid w:val="0"/>
              <w:spacing w:line="480" w:lineRule="atLeast"/>
              <w:jc w:val="left"/>
              <w:rPr>
                <w:rFonts w:ascii="Calibri" w:hAnsi="Calibri"/>
                <w:sz w:val="24"/>
                <w:szCs w:val="24"/>
              </w:rPr>
            </w:pPr>
          </w:p>
        </w:tc>
        <w:tc>
          <w:tcPr>
            <w:tcW w:w="1263" w:type="dxa"/>
            <w:vAlign w:val="center"/>
          </w:tcPr>
          <w:p w14:paraId="5456F173">
            <w:pPr>
              <w:tabs>
                <w:tab w:val="left" w:pos="2340"/>
              </w:tabs>
              <w:snapToGrid w:val="0"/>
              <w:spacing w:line="480" w:lineRule="atLeast"/>
              <w:jc w:val="center"/>
              <w:rPr>
                <w:rFonts w:ascii="Calibri" w:hAnsi="Calibri"/>
                <w:sz w:val="24"/>
                <w:szCs w:val="24"/>
              </w:rPr>
            </w:pPr>
            <w:r>
              <w:rPr>
                <w:rFonts w:ascii="Calibri" w:hAnsi="Calibri"/>
                <w:sz w:val="24"/>
                <w:szCs w:val="24"/>
              </w:rPr>
              <w:t>m/s</w:t>
            </w:r>
          </w:p>
        </w:tc>
      </w:tr>
      <w:tr w14:paraId="6232B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2742EC53">
            <w:pPr>
              <w:tabs>
                <w:tab w:val="left" w:pos="2340"/>
              </w:tabs>
              <w:snapToGrid w:val="0"/>
              <w:spacing w:line="480" w:lineRule="atLeast"/>
              <w:jc w:val="left"/>
              <w:rPr>
                <w:rFonts w:ascii="Calibri" w:hAnsi="Calibri"/>
                <w:sz w:val="24"/>
                <w:szCs w:val="24"/>
              </w:rPr>
            </w:pPr>
            <w:r>
              <w:rPr>
                <w:rFonts w:hint="eastAsia" w:ascii="Calibri" w:hAnsi="Calibri"/>
                <w:sz w:val="24"/>
                <w:szCs w:val="24"/>
              </w:rPr>
              <w:t>冷水进口温度</w:t>
            </w:r>
          </w:p>
        </w:tc>
        <w:tc>
          <w:tcPr>
            <w:tcW w:w="3607" w:type="dxa"/>
            <w:vAlign w:val="center"/>
          </w:tcPr>
          <w:p w14:paraId="4D70FF19">
            <w:pPr>
              <w:tabs>
                <w:tab w:val="left" w:pos="2340"/>
              </w:tabs>
              <w:snapToGrid w:val="0"/>
              <w:spacing w:line="480" w:lineRule="atLeast"/>
              <w:jc w:val="left"/>
              <w:rPr>
                <w:rFonts w:ascii="Calibri" w:hAnsi="Calibri"/>
                <w:sz w:val="24"/>
                <w:szCs w:val="24"/>
              </w:rPr>
            </w:pPr>
          </w:p>
        </w:tc>
        <w:tc>
          <w:tcPr>
            <w:tcW w:w="1263" w:type="dxa"/>
            <w:vAlign w:val="center"/>
          </w:tcPr>
          <w:p w14:paraId="02F73ED9">
            <w:pPr>
              <w:tabs>
                <w:tab w:val="left" w:pos="2340"/>
              </w:tabs>
              <w:snapToGrid w:val="0"/>
              <w:spacing w:line="480" w:lineRule="atLeast"/>
              <w:jc w:val="center"/>
              <w:rPr>
                <w:rFonts w:ascii="Calibri" w:hAnsi="Calibri"/>
                <w:sz w:val="24"/>
                <w:szCs w:val="24"/>
              </w:rPr>
            </w:pPr>
            <w:r>
              <w:rPr>
                <w:rFonts w:hint="eastAsia" w:ascii="宋体" w:hAnsi="宋体" w:cs="宋体"/>
                <w:sz w:val="24"/>
                <w:szCs w:val="24"/>
              </w:rPr>
              <w:t>℃</w:t>
            </w:r>
          </w:p>
        </w:tc>
      </w:tr>
      <w:tr w14:paraId="18ACE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4EFDF6E9">
            <w:pPr>
              <w:tabs>
                <w:tab w:val="left" w:pos="2340"/>
              </w:tabs>
              <w:snapToGrid w:val="0"/>
              <w:spacing w:line="480" w:lineRule="atLeast"/>
              <w:jc w:val="left"/>
              <w:rPr>
                <w:rFonts w:ascii="Calibri" w:hAnsi="Calibri"/>
                <w:sz w:val="24"/>
                <w:szCs w:val="24"/>
              </w:rPr>
            </w:pPr>
            <w:r>
              <w:rPr>
                <w:rFonts w:hint="eastAsia" w:ascii="Calibri" w:hAnsi="Calibri"/>
                <w:sz w:val="24"/>
                <w:szCs w:val="24"/>
              </w:rPr>
              <w:t>冷水出口温度</w:t>
            </w:r>
          </w:p>
        </w:tc>
        <w:tc>
          <w:tcPr>
            <w:tcW w:w="3607" w:type="dxa"/>
            <w:vAlign w:val="center"/>
          </w:tcPr>
          <w:p w14:paraId="7FF6161E">
            <w:pPr>
              <w:tabs>
                <w:tab w:val="left" w:pos="2340"/>
              </w:tabs>
              <w:snapToGrid w:val="0"/>
              <w:spacing w:line="480" w:lineRule="atLeast"/>
              <w:jc w:val="left"/>
              <w:rPr>
                <w:rFonts w:ascii="Calibri" w:hAnsi="Calibri"/>
                <w:sz w:val="24"/>
                <w:szCs w:val="24"/>
              </w:rPr>
            </w:pPr>
          </w:p>
        </w:tc>
        <w:tc>
          <w:tcPr>
            <w:tcW w:w="1263" w:type="dxa"/>
            <w:vAlign w:val="center"/>
          </w:tcPr>
          <w:p w14:paraId="1EBB760F">
            <w:pPr>
              <w:tabs>
                <w:tab w:val="left" w:pos="2340"/>
              </w:tabs>
              <w:snapToGrid w:val="0"/>
              <w:spacing w:line="480" w:lineRule="atLeast"/>
              <w:jc w:val="center"/>
              <w:rPr>
                <w:rFonts w:ascii="Calibri" w:hAnsi="Calibri"/>
                <w:sz w:val="24"/>
                <w:szCs w:val="24"/>
              </w:rPr>
            </w:pPr>
            <w:r>
              <w:rPr>
                <w:rFonts w:hint="eastAsia" w:ascii="宋体" w:hAnsi="宋体" w:cs="宋体"/>
                <w:sz w:val="24"/>
                <w:szCs w:val="24"/>
              </w:rPr>
              <w:t>℃</w:t>
            </w:r>
          </w:p>
        </w:tc>
      </w:tr>
      <w:tr w14:paraId="138E2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3CF3F670">
            <w:pPr>
              <w:tabs>
                <w:tab w:val="left" w:pos="2340"/>
              </w:tabs>
              <w:snapToGrid w:val="0"/>
              <w:spacing w:line="480" w:lineRule="atLeast"/>
              <w:jc w:val="left"/>
              <w:rPr>
                <w:rFonts w:ascii="Calibri" w:hAnsi="Calibri"/>
                <w:sz w:val="24"/>
                <w:szCs w:val="24"/>
              </w:rPr>
            </w:pPr>
            <w:r>
              <w:rPr>
                <w:rFonts w:hint="eastAsia" w:ascii="Calibri" w:hAnsi="Calibri"/>
                <w:sz w:val="24"/>
                <w:szCs w:val="24"/>
              </w:rPr>
              <w:t>冷水流量</w:t>
            </w:r>
          </w:p>
        </w:tc>
        <w:tc>
          <w:tcPr>
            <w:tcW w:w="3607" w:type="dxa"/>
            <w:vAlign w:val="center"/>
          </w:tcPr>
          <w:p w14:paraId="7641F3F0">
            <w:pPr>
              <w:tabs>
                <w:tab w:val="left" w:pos="2340"/>
              </w:tabs>
              <w:snapToGrid w:val="0"/>
              <w:spacing w:line="480" w:lineRule="atLeast"/>
              <w:jc w:val="left"/>
              <w:rPr>
                <w:rFonts w:ascii="Calibri" w:hAnsi="Calibri"/>
                <w:sz w:val="24"/>
                <w:szCs w:val="24"/>
              </w:rPr>
            </w:pPr>
          </w:p>
        </w:tc>
        <w:tc>
          <w:tcPr>
            <w:tcW w:w="1263" w:type="dxa"/>
            <w:vAlign w:val="center"/>
          </w:tcPr>
          <w:p w14:paraId="5B382271">
            <w:pPr>
              <w:tabs>
                <w:tab w:val="left" w:pos="2340"/>
              </w:tabs>
              <w:snapToGrid w:val="0"/>
              <w:spacing w:line="480" w:lineRule="atLeast"/>
              <w:jc w:val="center"/>
              <w:rPr>
                <w:rFonts w:ascii="Calibri" w:hAnsi="Calibri"/>
                <w:sz w:val="24"/>
                <w:szCs w:val="24"/>
              </w:rPr>
            </w:pPr>
            <w:r>
              <w:rPr>
                <w:rFonts w:ascii="Calibri" w:hAnsi="Calibri"/>
                <w:sz w:val="24"/>
                <w:szCs w:val="24"/>
              </w:rPr>
              <w:t>m3/h</w:t>
            </w:r>
          </w:p>
        </w:tc>
      </w:tr>
      <w:tr w14:paraId="7A795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4F16D3EA">
            <w:pPr>
              <w:tabs>
                <w:tab w:val="left" w:pos="2340"/>
              </w:tabs>
              <w:snapToGrid w:val="0"/>
              <w:spacing w:line="480" w:lineRule="atLeast"/>
              <w:jc w:val="left"/>
              <w:rPr>
                <w:rFonts w:ascii="Calibri" w:hAnsi="Calibri"/>
                <w:sz w:val="24"/>
                <w:szCs w:val="24"/>
              </w:rPr>
            </w:pPr>
            <w:r>
              <w:rPr>
                <w:rFonts w:hint="eastAsia" w:ascii="Calibri" w:hAnsi="Calibri"/>
                <w:sz w:val="24"/>
                <w:szCs w:val="24"/>
              </w:rPr>
              <w:t>水压降</w:t>
            </w:r>
          </w:p>
        </w:tc>
        <w:tc>
          <w:tcPr>
            <w:tcW w:w="3607" w:type="dxa"/>
            <w:vAlign w:val="center"/>
          </w:tcPr>
          <w:p w14:paraId="39CC8BB4">
            <w:pPr>
              <w:tabs>
                <w:tab w:val="left" w:pos="2340"/>
              </w:tabs>
              <w:snapToGrid w:val="0"/>
              <w:spacing w:line="480" w:lineRule="atLeast"/>
              <w:jc w:val="left"/>
              <w:rPr>
                <w:rFonts w:ascii="Calibri" w:hAnsi="Calibri"/>
                <w:sz w:val="24"/>
                <w:szCs w:val="24"/>
              </w:rPr>
            </w:pPr>
          </w:p>
        </w:tc>
        <w:tc>
          <w:tcPr>
            <w:tcW w:w="1263" w:type="dxa"/>
            <w:vAlign w:val="center"/>
          </w:tcPr>
          <w:p w14:paraId="77184E1B">
            <w:pPr>
              <w:tabs>
                <w:tab w:val="left" w:pos="2340"/>
              </w:tabs>
              <w:snapToGrid w:val="0"/>
              <w:spacing w:line="480" w:lineRule="atLeast"/>
              <w:jc w:val="center"/>
              <w:rPr>
                <w:rFonts w:ascii="Calibri" w:hAnsi="Calibri"/>
                <w:sz w:val="24"/>
                <w:szCs w:val="24"/>
              </w:rPr>
            </w:pPr>
            <w:r>
              <w:rPr>
                <w:rFonts w:ascii="Calibri" w:hAnsi="Calibri"/>
                <w:sz w:val="24"/>
                <w:szCs w:val="24"/>
              </w:rPr>
              <w:t>kPa</w:t>
            </w:r>
          </w:p>
        </w:tc>
      </w:tr>
      <w:tr w14:paraId="3DF7C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1C86EC4A">
            <w:pPr>
              <w:tabs>
                <w:tab w:val="left" w:pos="2340"/>
              </w:tabs>
              <w:snapToGrid w:val="0"/>
              <w:spacing w:line="480" w:lineRule="atLeast"/>
              <w:jc w:val="left"/>
              <w:rPr>
                <w:rFonts w:ascii="Calibri" w:hAnsi="Calibri"/>
                <w:sz w:val="24"/>
                <w:szCs w:val="24"/>
              </w:rPr>
            </w:pPr>
            <w:r>
              <w:rPr>
                <w:rFonts w:hint="eastAsia" w:ascii="Calibri" w:hAnsi="Calibri"/>
                <w:sz w:val="24"/>
                <w:szCs w:val="24"/>
              </w:rPr>
              <w:t>盘管排数</w:t>
            </w:r>
          </w:p>
        </w:tc>
        <w:tc>
          <w:tcPr>
            <w:tcW w:w="3607" w:type="dxa"/>
            <w:vAlign w:val="center"/>
          </w:tcPr>
          <w:p w14:paraId="7F23938B">
            <w:pPr>
              <w:tabs>
                <w:tab w:val="left" w:pos="2340"/>
              </w:tabs>
              <w:snapToGrid w:val="0"/>
              <w:spacing w:line="480" w:lineRule="atLeast"/>
              <w:jc w:val="left"/>
              <w:rPr>
                <w:rFonts w:ascii="Calibri" w:hAnsi="Calibri"/>
                <w:sz w:val="24"/>
                <w:szCs w:val="24"/>
              </w:rPr>
            </w:pPr>
          </w:p>
        </w:tc>
        <w:tc>
          <w:tcPr>
            <w:tcW w:w="1263" w:type="dxa"/>
            <w:vAlign w:val="center"/>
          </w:tcPr>
          <w:p w14:paraId="12E03256">
            <w:pPr>
              <w:tabs>
                <w:tab w:val="left" w:pos="2340"/>
              </w:tabs>
              <w:snapToGrid w:val="0"/>
              <w:spacing w:line="480" w:lineRule="atLeast"/>
              <w:jc w:val="center"/>
              <w:rPr>
                <w:rFonts w:ascii="Calibri" w:hAnsi="Calibri"/>
                <w:sz w:val="24"/>
                <w:szCs w:val="24"/>
              </w:rPr>
            </w:pPr>
          </w:p>
        </w:tc>
      </w:tr>
      <w:tr w14:paraId="3CC7B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65279ED3">
            <w:pPr>
              <w:tabs>
                <w:tab w:val="left" w:pos="2340"/>
              </w:tabs>
              <w:snapToGrid w:val="0"/>
              <w:spacing w:line="480" w:lineRule="atLeast"/>
              <w:jc w:val="left"/>
              <w:rPr>
                <w:rFonts w:ascii="Calibri" w:hAnsi="Calibri"/>
                <w:sz w:val="24"/>
                <w:szCs w:val="24"/>
              </w:rPr>
            </w:pPr>
            <w:r>
              <w:rPr>
                <w:rFonts w:hint="eastAsia" w:ascii="Calibri" w:hAnsi="Calibri"/>
                <w:sz w:val="24"/>
                <w:szCs w:val="24"/>
              </w:rPr>
              <w:t>盘管供回水管接口尺寸（管径</w:t>
            </w:r>
            <w:r>
              <w:rPr>
                <w:rFonts w:ascii="Calibri" w:hAnsi="Calibri"/>
                <w:sz w:val="24"/>
                <w:szCs w:val="24"/>
              </w:rPr>
              <w:t>/</w:t>
            </w:r>
            <w:r>
              <w:rPr>
                <w:rFonts w:hint="eastAsia" w:ascii="Calibri" w:hAnsi="Calibri"/>
                <w:sz w:val="24"/>
                <w:szCs w:val="24"/>
              </w:rPr>
              <w:t>型式）</w:t>
            </w:r>
          </w:p>
        </w:tc>
        <w:tc>
          <w:tcPr>
            <w:tcW w:w="3607" w:type="dxa"/>
            <w:vAlign w:val="center"/>
          </w:tcPr>
          <w:p w14:paraId="3C04E888">
            <w:pPr>
              <w:tabs>
                <w:tab w:val="left" w:pos="2340"/>
              </w:tabs>
              <w:snapToGrid w:val="0"/>
              <w:spacing w:line="480" w:lineRule="atLeast"/>
              <w:jc w:val="left"/>
              <w:rPr>
                <w:rFonts w:ascii="Calibri" w:hAnsi="Calibri"/>
                <w:sz w:val="24"/>
                <w:szCs w:val="24"/>
              </w:rPr>
            </w:pPr>
          </w:p>
        </w:tc>
        <w:tc>
          <w:tcPr>
            <w:tcW w:w="1263" w:type="dxa"/>
            <w:vAlign w:val="center"/>
          </w:tcPr>
          <w:p w14:paraId="2359881E">
            <w:pPr>
              <w:tabs>
                <w:tab w:val="left" w:pos="2340"/>
              </w:tabs>
              <w:snapToGrid w:val="0"/>
              <w:spacing w:line="480" w:lineRule="atLeast"/>
              <w:jc w:val="center"/>
              <w:rPr>
                <w:rFonts w:ascii="Calibri" w:hAnsi="Calibri"/>
                <w:sz w:val="24"/>
                <w:szCs w:val="24"/>
              </w:rPr>
            </w:pPr>
          </w:p>
        </w:tc>
      </w:tr>
      <w:tr w14:paraId="6965B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53E3FF3B">
            <w:pPr>
              <w:tabs>
                <w:tab w:val="left" w:pos="2340"/>
              </w:tabs>
              <w:snapToGrid w:val="0"/>
              <w:spacing w:line="480" w:lineRule="atLeast"/>
              <w:jc w:val="left"/>
              <w:rPr>
                <w:rFonts w:ascii="Calibri" w:hAnsi="Calibri"/>
                <w:sz w:val="24"/>
                <w:szCs w:val="24"/>
              </w:rPr>
            </w:pPr>
            <w:r>
              <w:rPr>
                <w:rFonts w:hint="eastAsia" w:ascii="Calibri" w:hAnsi="Calibri"/>
                <w:sz w:val="24"/>
                <w:szCs w:val="24"/>
              </w:rPr>
              <w:t>盘管排水管接口尺寸（管径</w:t>
            </w:r>
            <w:r>
              <w:rPr>
                <w:rFonts w:ascii="Calibri" w:hAnsi="Calibri"/>
                <w:sz w:val="24"/>
                <w:szCs w:val="24"/>
              </w:rPr>
              <w:t>/</w:t>
            </w:r>
            <w:r>
              <w:rPr>
                <w:rFonts w:hint="eastAsia" w:ascii="Calibri" w:hAnsi="Calibri"/>
                <w:sz w:val="24"/>
                <w:szCs w:val="24"/>
              </w:rPr>
              <w:t>型式）</w:t>
            </w:r>
          </w:p>
        </w:tc>
        <w:tc>
          <w:tcPr>
            <w:tcW w:w="3607" w:type="dxa"/>
            <w:vAlign w:val="center"/>
          </w:tcPr>
          <w:p w14:paraId="6CC36102">
            <w:pPr>
              <w:tabs>
                <w:tab w:val="left" w:pos="2340"/>
              </w:tabs>
              <w:snapToGrid w:val="0"/>
              <w:spacing w:line="480" w:lineRule="atLeast"/>
              <w:jc w:val="left"/>
              <w:rPr>
                <w:rFonts w:ascii="Calibri" w:hAnsi="Calibri"/>
                <w:sz w:val="24"/>
                <w:szCs w:val="24"/>
              </w:rPr>
            </w:pPr>
          </w:p>
        </w:tc>
        <w:tc>
          <w:tcPr>
            <w:tcW w:w="1263" w:type="dxa"/>
            <w:vAlign w:val="center"/>
          </w:tcPr>
          <w:p w14:paraId="1E6D7D1E">
            <w:pPr>
              <w:tabs>
                <w:tab w:val="left" w:pos="2340"/>
              </w:tabs>
              <w:snapToGrid w:val="0"/>
              <w:spacing w:line="480" w:lineRule="atLeast"/>
              <w:jc w:val="center"/>
              <w:rPr>
                <w:rFonts w:ascii="Calibri" w:hAnsi="Calibri"/>
                <w:sz w:val="24"/>
                <w:szCs w:val="24"/>
              </w:rPr>
            </w:pPr>
          </w:p>
        </w:tc>
      </w:tr>
      <w:tr w14:paraId="4B879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7E33D36F">
            <w:pPr>
              <w:tabs>
                <w:tab w:val="left" w:pos="2340"/>
              </w:tabs>
              <w:snapToGrid w:val="0"/>
              <w:spacing w:line="480" w:lineRule="atLeast"/>
              <w:jc w:val="left"/>
              <w:rPr>
                <w:rFonts w:ascii="Calibri" w:hAnsi="Calibri"/>
                <w:sz w:val="24"/>
                <w:szCs w:val="24"/>
              </w:rPr>
            </w:pPr>
            <w:r>
              <w:rPr>
                <w:rFonts w:hint="eastAsia" w:ascii="Calibri" w:hAnsi="Calibri"/>
                <w:sz w:val="24"/>
                <w:szCs w:val="24"/>
              </w:rPr>
              <w:t>盘管放气管接口尺寸（管径</w:t>
            </w:r>
            <w:r>
              <w:rPr>
                <w:rFonts w:ascii="Calibri" w:hAnsi="Calibri"/>
                <w:sz w:val="24"/>
                <w:szCs w:val="24"/>
              </w:rPr>
              <w:t>/</w:t>
            </w:r>
            <w:r>
              <w:rPr>
                <w:rFonts w:hint="eastAsia" w:ascii="Calibri" w:hAnsi="Calibri"/>
                <w:sz w:val="24"/>
                <w:szCs w:val="24"/>
              </w:rPr>
              <w:t>型式）</w:t>
            </w:r>
          </w:p>
        </w:tc>
        <w:tc>
          <w:tcPr>
            <w:tcW w:w="3607" w:type="dxa"/>
            <w:vAlign w:val="center"/>
          </w:tcPr>
          <w:p w14:paraId="25434A94">
            <w:pPr>
              <w:tabs>
                <w:tab w:val="left" w:pos="2340"/>
              </w:tabs>
              <w:snapToGrid w:val="0"/>
              <w:spacing w:line="480" w:lineRule="atLeast"/>
              <w:jc w:val="left"/>
              <w:rPr>
                <w:rFonts w:ascii="Calibri" w:hAnsi="Calibri"/>
                <w:sz w:val="24"/>
                <w:szCs w:val="24"/>
              </w:rPr>
            </w:pPr>
          </w:p>
        </w:tc>
        <w:tc>
          <w:tcPr>
            <w:tcW w:w="1263" w:type="dxa"/>
            <w:vAlign w:val="center"/>
          </w:tcPr>
          <w:p w14:paraId="2190CFFB">
            <w:pPr>
              <w:tabs>
                <w:tab w:val="left" w:pos="2340"/>
              </w:tabs>
              <w:snapToGrid w:val="0"/>
              <w:spacing w:line="480" w:lineRule="atLeast"/>
              <w:jc w:val="center"/>
              <w:rPr>
                <w:rFonts w:ascii="Calibri" w:hAnsi="Calibri"/>
                <w:sz w:val="24"/>
                <w:szCs w:val="24"/>
              </w:rPr>
            </w:pPr>
          </w:p>
        </w:tc>
      </w:tr>
      <w:tr w14:paraId="45CEA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2CA6EFF8">
            <w:pPr>
              <w:tabs>
                <w:tab w:val="left" w:pos="2340"/>
              </w:tabs>
              <w:snapToGrid w:val="0"/>
              <w:spacing w:line="480" w:lineRule="atLeast"/>
              <w:jc w:val="left"/>
              <w:rPr>
                <w:rFonts w:ascii="Calibri" w:hAnsi="Calibri"/>
                <w:sz w:val="24"/>
                <w:szCs w:val="24"/>
              </w:rPr>
            </w:pPr>
            <w:r>
              <w:rPr>
                <w:rFonts w:hint="eastAsia" w:ascii="Calibri" w:hAnsi="Calibri"/>
                <w:sz w:val="24"/>
                <w:szCs w:val="24"/>
              </w:rPr>
              <w:t>介质侧污垢阻力</w:t>
            </w:r>
          </w:p>
        </w:tc>
        <w:tc>
          <w:tcPr>
            <w:tcW w:w="3607" w:type="dxa"/>
            <w:vAlign w:val="center"/>
          </w:tcPr>
          <w:p w14:paraId="1B50BE49">
            <w:pPr>
              <w:tabs>
                <w:tab w:val="left" w:pos="2340"/>
              </w:tabs>
              <w:snapToGrid w:val="0"/>
              <w:spacing w:line="480" w:lineRule="atLeast"/>
              <w:jc w:val="left"/>
              <w:rPr>
                <w:rFonts w:ascii="Calibri" w:hAnsi="Calibri"/>
                <w:sz w:val="24"/>
                <w:szCs w:val="24"/>
              </w:rPr>
            </w:pPr>
          </w:p>
        </w:tc>
        <w:tc>
          <w:tcPr>
            <w:tcW w:w="1263" w:type="dxa"/>
            <w:vAlign w:val="center"/>
          </w:tcPr>
          <w:p w14:paraId="03A0AB0C">
            <w:pPr>
              <w:tabs>
                <w:tab w:val="left" w:pos="2340"/>
              </w:tabs>
              <w:snapToGrid w:val="0"/>
              <w:spacing w:line="480" w:lineRule="atLeast"/>
              <w:jc w:val="center"/>
              <w:rPr>
                <w:rFonts w:ascii="Calibri" w:hAnsi="Calibri"/>
                <w:sz w:val="24"/>
                <w:szCs w:val="24"/>
              </w:rPr>
            </w:pPr>
            <w:r>
              <w:rPr>
                <w:rFonts w:ascii="Calibri" w:hAnsi="Calibri"/>
                <w:sz w:val="24"/>
                <w:szCs w:val="24"/>
              </w:rPr>
              <w:t>Pa</w:t>
            </w:r>
          </w:p>
        </w:tc>
      </w:tr>
      <w:tr w14:paraId="75DA4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2496138F">
            <w:pPr>
              <w:tabs>
                <w:tab w:val="left" w:pos="2340"/>
              </w:tabs>
              <w:snapToGrid w:val="0"/>
              <w:spacing w:line="480" w:lineRule="atLeast"/>
              <w:jc w:val="left"/>
              <w:rPr>
                <w:rFonts w:ascii="Calibri" w:hAnsi="Calibri"/>
                <w:sz w:val="24"/>
                <w:szCs w:val="24"/>
              </w:rPr>
            </w:pPr>
            <w:r>
              <w:rPr>
                <w:rFonts w:hint="eastAsia" w:ascii="Calibri" w:hAnsi="Calibri"/>
                <w:sz w:val="24"/>
                <w:szCs w:val="24"/>
              </w:rPr>
              <w:t>盘管材质</w:t>
            </w:r>
          </w:p>
        </w:tc>
        <w:tc>
          <w:tcPr>
            <w:tcW w:w="3607" w:type="dxa"/>
            <w:vAlign w:val="center"/>
          </w:tcPr>
          <w:p w14:paraId="2C79286C">
            <w:pPr>
              <w:tabs>
                <w:tab w:val="left" w:pos="2340"/>
              </w:tabs>
              <w:snapToGrid w:val="0"/>
              <w:spacing w:line="480" w:lineRule="atLeast"/>
              <w:jc w:val="left"/>
              <w:rPr>
                <w:rFonts w:ascii="Calibri" w:hAnsi="Calibri"/>
                <w:sz w:val="24"/>
                <w:szCs w:val="24"/>
              </w:rPr>
            </w:pPr>
          </w:p>
        </w:tc>
        <w:tc>
          <w:tcPr>
            <w:tcW w:w="1263" w:type="dxa"/>
            <w:vAlign w:val="center"/>
          </w:tcPr>
          <w:p w14:paraId="3F10780C">
            <w:pPr>
              <w:tabs>
                <w:tab w:val="left" w:pos="2340"/>
              </w:tabs>
              <w:snapToGrid w:val="0"/>
              <w:spacing w:line="480" w:lineRule="atLeast"/>
              <w:jc w:val="center"/>
              <w:rPr>
                <w:rFonts w:ascii="Calibri" w:hAnsi="Calibri"/>
                <w:sz w:val="24"/>
                <w:szCs w:val="24"/>
              </w:rPr>
            </w:pPr>
            <w:r>
              <w:rPr>
                <w:rFonts w:ascii="Calibri" w:hAnsi="Calibri"/>
                <w:sz w:val="24"/>
                <w:szCs w:val="24"/>
              </w:rPr>
              <w:t>Pa</w:t>
            </w:r>
          </w:p>
        </w:tc>
      </w:tr>
      <w:tr w14:paraId="51015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5140544F">
            <w:pPr>
              <w:tabs>
                <w:tab w:val="left" w:pos="2340"/>
              </w:tabs>
              <w:snapToGrid w:val="0"/>
              <w:spacing w:line="480" w:lineRule="atLeast"/>
              <w:jc w:val="left"/>
              <w:rPr>
                <w:rFonts w:ascii="Calibri" w:hAnsi="Calibri"/>
                <w:b/>
                <w:sz w:val="24"/>
                <w:szCs w:val="24"/>
              </w:rPr>
            </w:pPr>
            <w:r>
              <w:rPr>
                <w:rFonts w:hint="eastAsia" w:ascii="Calibri" w:hAnsi="Calibri"/>
                <w:b/>
                <w:sz w:val="24"/>
                <w:szCs w:val="24"/>
              </w:rPr>
              <w:t>空气过滤器</w:t>
            </w:r>
          </w:p>
        </w:tc>
        <w:tc>
          <w:tcPr>
            <w:tcW w:w="3607" w:type="dxa"/>
            <w:vAlign w:val="center"/>
          </w:tcPr>
          <w:p w14:paraId="2BEF4553">
            <w:pPr>
              <w:tabs>
                <w:tab w:val="left" w:pos="2340"/>
              </w:tabs>
              <w:snapToGrid w:val="0"/>
              <w:spacing w:line="480" w:lineRule="atLeast"/>
              <w:jc w:val="left"/>
              <w:rPr>
                <w:rFonts w:ascii="Calibri" w:hAnsi="Calibri"/>
                <w:sz w:val="24"/>
                <w:szCs w:val="24"/>
              </w:rPr>
            </w:pPr>
          </w:p>
        </w:tc>
        <w:tc>
          <w:tcPr>
            <w:tcW w:w="1263" w:type="dxa"/>
            <w:vAlign w:val="center"/>
          </w:tcPr>
          <w:p w14:paraId="154346D7">
            <w:pPr>
              <w:tabs>
                <w:tab w:val="left" w:pos="2340"/>
              </w:tabs>
              <w:snapToGrid w:val="0"/>
              <w:spacing w:line="480" w:lineRule="atLeast"/>
              <w:jc w:val="center"/>
              <w:rPr>
                <w:rFonts w:ascii="Calibri" w:hAnsi="Calibri"/>
                <w:sz w:val="24"/>
                <w:szCs w:val="24"/>
              </w:rPr>
            </w:pPr>
          </w:p>
        </w:tc>
      </w:tr>
      <w:tr w14:paraId="46B96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3B693FB7">
            <w:pPr>
              <w:tabs>
                <w:tab w:val="left" w:pos="2340"/>
              </w:tabs>
              <w:snapToGrid w:val="0"/>
              <w:spacing w:line="480" w:lineRule="atLeast"/>
              <w:jc w:val="left"/>
              <w:rPr>
                <w:rFonts w:ascii="Calibri" w:hAnsi="Calibri"/>
                <w:sz w:val="24"/>
                <w:szCs w:val="24"/>
              </w:rPr>
            </w:pPr>
            <w:r>
              <w:rPr>
                <w:rFonts w:hint="eastAsia" w:ascii="Calibri" w:hAnsi="Calibri"/>
                <w:sz w:val="24"/>
                <w:szCs w:val="24"/>
              </w:rPr>
              <w:t>过滤器制造厂</w:t>
            </w:r>
          </w:p>
        </w:tc>
        <w:tc>
          <w:tcPr>
            <w:tcW w:w="3607" w:type="dxa"/>
            <w:vAlign w:val="center"/>
          </w:tcPr>
          <w:p w14:paraId="4FBE2C04">
            <w:pPr>
              <w:tabs>
                <w:tab w:val="left" w:pos="2340"/>
              </w:tabs>
              <w:snapToGrid w:val="0"/>
              <w:spacing w:line="480" w:lineRule="atLeast"/>
              <w:jc w:val="left"/>
              <w:rPr>
                <w:rFonts w:ascii="Calibri" w:hAnsi="Calibri"/>
                <w:sz w:val="24"/>
                <w:szCs w:val="24"/>
              </w:rPr>
            </w:pPr>
          </w:p>
        </w:tc>
        <w:tc>
          <w:tcPr>
            <w:tcW w:w="1263" w:type="dxa"/>
            <w:vAlign w:val="center"/>
          </w:tcPr>
          <w:p w14:paraId="4DAB7BCE">
            <w:pPr>
              <w:tabs>
                <w:tab w:val="left" w:pos="2340"/>
              </w:tabs>
              <w:snapToGrid w:val="0"/>
              <w:spacing w:line="480" w:lineRule="atLeast"/>
              <w:jc w:val="center"/>
              <w:rPr>
                <w:rFonts w:ascii="Calibri" w:hAnsi="Calibri"/>
                <w:sz w:val="24"/>
                <w:szCs w:val="24"/>
              </w:rPr>
            </w:pPr>
          </w:p>
        </w:tc>
      </w:tr>
      <w:tr w14:paraId="157CB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527D6180">
            <w:pPr>
              <w:tabs>
                <w:tab w:val="left" w:pos="2340"/>
              </w:tabs>
              <w:snapToGrid w:val="0"/>
              <w:spacing w:line="480" w:lineRule="atLeast"/>
              <w:jc w:val="left"/>
              <w:rPr>
                <w:rFonts w:ascii="Calibri" w:hAnsi="Calibri"/>
                <w:sz w:val="24"/>
                <w:szCs w:val="24"/>
              </w:rPr>
            </w:pPr>
            <w:r>
              <w:rPr>
                <w:rFonts w:hint="eastAsia" w:ascii="Calibri" w:hAnsi="Calibri"/>
                <w:sz w:val="24"/>
                <w:szCs w:val="24"/>
              </w:rPr>
              <w:t>过滤器型式</w:t>
            </w:r>
          </w:p>
        </w:tc>
        <w:tc>
          <w:tcPr>
            <w:tcW w:w="3607" w:type="dxa"/>
            <w:vAlign w:val="center"/>
          </w:tcPr>
          <w:p w14:paraId="2F1251EE">
            <w:pPr>
              <w:tabs>
                <w:tab w:val="left" w:pos="2340"/>
              </w:tabs>
              <w:snapToGrid w:val="0"/>
              <w:spacing w:line="480" w:lineRule="atLeast"/>
              <w:jc w:val="left"/>
              <w:rPr>
                <w:rFonts w:ascii="Calibri" w:hAnsi="Calibri"/>
                <w:sz w:val="24"/>
                <w:szCs w:val="24"/>
              </w:rPr>
            </w:pPr>
          </w:p>
        </w:tc>
        <w:tc>
          <w:tcPr>
            <w:tcW w:w="1263" w:type="dxa"/>
            <w:vAlign w:val="center"/>
          </w:tcPr>
          <w:p w14:paraId="6CDDD68C">
            <w:pPr>
              <w:tabs>
                <w:tab w:val="left" w:pos="2340"/>
              </w:tabs>
              <w:snapToGrid w:val="0"/>
              <w:spacing w:line="480" w:lineRule="atLeast"/>
              <w:jc w:val="center"/>
              <w:rPr>
                <w:rFonts w:ascii="Calibri" w:hAnsi="Calibri"/>
                <w:sz w:val="24"/>
                <w:szCs w:val="24"/>
              </w:rPr>
            </w:pPr>
          </w:p>
        </w:tc>
      </w:tr>
      <w:tr w14:paraId="400FE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6C7E3070">
            <w:pPr>
              <w:tabs>
                <w:tab w:val="left" w:pos="2340"/>
              </w:tabs>
              <w:snapToGrid w:val="0"/>
              <w:spacing w:line="480" w:lineRule="atLeast"/>
              <w:jc w:val="left"/>
              <w:rPr>
                <w:rFonts w:ascii="Calibri" w:hAnsi="Calibri"/>
                <w:sz w:val="24"/>
                <w:szCs w:val="24"/>
              </w:rPr>
            </w:pPr>
            <w:r>
              <w:rPr>
                <w:rFonts w:hint="eastAsia" w:ascii="Calibri" w:hAnsi="Calibri"/>
                <w:sz w:val="24"/>
                <w:szCs w:val="24"/>
              </w:rPr>
              <w:t>过滤效率（重量计）</w:t>
            </w:r>
          </w:p>
        </w:tc>
        <w:tc>
          <w:tcPr>
            <w:tcW w:w="3607" w:type="dxa"/>
            <w:vAlign w:val="center"/>
          </w:tcPr>
          <w:p w14:paraId="40152196">
            <w:pPr>
              <w:tabs>
                <w:tab w:val="left" w:pos="2340"/>
              </w:tabs>
              <w:snapToGrid w:val="0"/>
              <w:spacing w:line="480" w:lineRule="atLeast"/>
              <w:jc w:val="left"/>
              <w:rPr>
                <w:rFonts w:ascii="Calibri" w:hAnsi="Calibri"/>
                <w:sz w:val="24"/>
                <w:szCs w:val="24"/>
              </w:rPr>
            </w:pPr>
          </w:p>
        </w:tc>
        <w:tc>
          <w:tcPr>
            <w:tcW w:w="1263" w:type="dxa"/>
            <w:vAlign w:val="center"/>
          </w:tcPr>
          <w:p w14:paraId="05B65CB9">
            <w:pPr>
              <w:tabs>
                <w:tab w:val="left" w:pos="2340"/>
              </w:tabs>
              <w:snapToGrid w:val="0"/>
              <w:spacing w:line="480" w:lineRule="atLeast"/>
              <w:jc w:val="center"/>
              <w:rPr>
                <w:rFonts w:ascii="Calibri" w:hAnsi="Calibri"/>
                <w:sz w:val="24"/>
                <w:szCs w:val="24"/>
              </w:rPr>
            </w:pPr>
            <w:r>
              <w:rPr>
                <w:rFonts w:ascii="Calibri" w:hAnsi="Calibri"/>
                <w:sz w:val="24"/>
                <w:szCs w:val="24"/>
              </w:rPr>
              <w:t>%</w:t>
            </w:r>
          </w:p>
        </w:tc>
      </w:tr>
      <w:tr w14:paraId="645D6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3D4008FE">
            <w:pPr>
              <w:tabs>
                <w:tab w:val="left" w:pos="2340"/>
              </w:tabs>
              <w:snapToGrid w:val="0"/>
              <w:spacing w:line="480" w:lineRule="atLeast"/>
              <w:jc w:val="left"/>
              <w:rPr>
                <w:rFonts w:ascii="Calibri" w:hAnsi="Calibri"/>
                <w:sz w:val="24"/>
                <w:szCs w:val="24"/>
              </w:rPr>
            </w:pPr>
            <w:r>
              <w:rPr>
                <w:rFonts w:hint="eastAsia" w:ascii="Calibri" w:hAnsi="Calibri"/>
                <w:sz w:val="24"/>
                <w:szCs w:val="24"/>
              </w:rPr>
              <w:t>尺寸</w:t>
            </w:r>
          </w:p>
        </w:tc>
        <w:tc>
          <w:tcPr>
            <w:tcW w:w="3607" w:type="dxa"/>
            <w:vAlign w:val="center"/>
          </w:tcPr>
          <w:p w14:paraId="5CA5D914">
            <w:pPr>
              <w:tabs>
                <w:tab w:val="left" w:pos="2340"/>
              </w:tabs>
              <w:snapToGrid w:val="0"/>
              <w:spacing w:line="480" w:lineRule="atLeast"/>
              <w:jc w:val="left"/>
              <w:rPr>
                <w:rFonts w:ascii="Calibri" w:hAnsi="Calibri"/>
                <w:sz w:val="24"/>
                <w:szCs w:val="24"/>
              </w:rPr>
            </w:pPr>
          </w:p>
        </w:tc>
        <w:tc>
          <w:tcPr>
            <w:tcW w:w="1263" w:type="dxa"/>
            <w:vAlign w:val="center"/>
          </w:tcPr>
          <w:p w14:paraId="6185C82E">
            <w:pPr>
              <w:tabs>
                <w:tab w:val="left" w:pos="2340"/>
              </w:tabs>
              <w:snapToGrid w:val="0"/>
              <w:spacing w:line="480" w:lineRule="atLeast"/>
              <w:jc w:val="center"/>
              <w:rPr>
                <w:rFonts w:ascii="Calibri" w:hAnsi="Calibri"/>
                <w:sz w:val="24"/>
                <w:szCs w:val="24"/>
              </w:rPr>
            </w:pPr>
            <w:r>
              <w:rPr>
                <w:rFonts w:ascii="Calibri" w:hAnsi="Calibri"/>
                <w:sz w:val="24"/>
                <w:szCs w:val="24"/>
              </w:rPr>
              <w:t>mm</w:t>
            </w:r>
          </w:p>
        </w:tc>
      </w:tr>
      <w:tr w14:paraId="6E56E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6E312105">
            <w:pPr>
              <w:tabs>
                <w:tab w:val="left" w:pos="2340"/>
              </w:tabs>
              <w:snapToGrid w:val="0"/>
              <w:spacing w:line="480" w:lineRule="atLeast"/>
              <w:jc w:val="left"/>
              <w:rPr>
                <w:rFonts w:ascii="Calibri" w:hAnsi="Calibri"/>
                <w:sz w:val="24"/>
                <w:szCs w:val="24"/>
              </w:rPr>
            </w:pPr>
            <w:r>
              <w:rPr>
                <w:rFonts w:hint="eastAsia" w:ascii="Calibri" w:hAnsi="Calibri"/>
                <w:sz w:val="24"/>
                <w:szCs w:val="24"/>
              </w:rPr>
              <w:t>表面风速</w:t>
            </w:r>
          </w:p>
        </w:tc>
        <w:tc>
          <w:tcPr>
            <w:tcW w:w="3607" w:type="dxa"/>
            <w:vAlign w:val="center"/>
          </w:tcPr>
          <w:p w14:paraId="6DCCC0B0">
            <w:pPr>
              <w:tabs>
                <w:tab w:val="left" w:pos="2340"/>
              </w:tabs>
              <w:snapToGrid w:val="0"/>
              <w:spacing w:line="480" w:lineRule="atLeast"/>
              <w:jc w:val="left"/>
              <w:rPr>
                <w:rFonts w:ascii="Calibri" w:hAnsi="Calibri"/>
                <w:sz w:val="24"/>
                <w:szCs w:val="24"/>
              </w:rPr>
            </w:pPr>
          </w:p>
        </w:tc>
        <w:tc>
          <w:tcPr>
            <w:tcW w:w="1263" w:type="dxa"/>
            <w:vAlign w:val="center"/>
          </w:tcPr>
          <w:p w14:paraId="63091426">
            <w:pPr>
              <w:tabs>
                <w:tab w:val="left" w:pos="2340"/>
              </w:tabs>
              <w:snapToGrid w:val="0"/>
              <w:spacing w:line="480" w:lineRule="atLeast"/>
              <w:jc w:val="center"/>
              <w:rPr>
                <w:rFonts w:ascii="Calibri" w:hAnsi="Calibri"/>
                <w:sz w:val="24"/>
                <w:szCs w:val="24"/>
              </w:rPr>
            </w:pPr>
            <w:r>
              <w:rPr>
                <w:rFonts w:ascii="Calibri" w:hAnsi="Calibri"/>
                <w:sz w:val="24"/>
                <w:szCs w:val="24"/>
              </w:rPr>
              <w:t>m/s</w:t>
            </w:r>
          </w:p>
        </w:tc>
      </w:tr>
      <w:tr w14:paraId="60250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17960E82">
            <w:pPr>
              <w:tabs>
                <w:tab w:val="left" w:pos="2340"/>
              </w:tabs>
              <w:snapToGrid w:val="0"/>
              <w:spacing w:line="480" w:lineRule="atLeast"/>
              <w:jc w:val="left"/>
              <w:rPr>
                <w:rFonts w:ascii="Calibri" w:hAnsi="Calibri"/>
                <w:sz w:val="24"/>
                <w:szCs w:val="24"/>
              </w:rPr>
            </w:pPr>
            <w:r>
              <w:rPr>
                <w:rFonts w:hint="eastAsia" w:ascii="Calibri" w:hAnsi="Calibri"/>
                <w:sz w:val="24"/>
                <w:szCs w:val="24"/>
              </w:rPr>
              <w:t>过滤器材料</w:t>
            </w:r>
          </w:p>
        </w:tc>
        <w:tc>
          <w:tcPr>
            <w:tcW w:w="3607" w:type="dxa"/>
            <w:vAlign w:val="center"/>
          </w:tcPr>
          <w:p w14:paraId="72B745E6">
            <w:pPr>
              <w:tabs>
                <w:tab w:val="left" w:pos="2340"/>
              </w:tabs>
              <w:snapToGrid w:val="0"/>
              <w:spacing w:line="480" w:lineRule="atLeast"/>
              <w:jc w:val="left"/>
              <w:rPr>
                <w:rFonts w:ascii="Calibri" w:hAnsi="Calibri"/>
                <w:sz w:val="24"/>
                <w:szCs w:val="24"/>
              </w:rPr>
            </w:pPr>
          </w:p>
        </w:tc>
        <w:tc>
          <w:tcPr>
            <w:tcW w:w="1263" w:type="dxa"/>
            <w:vAlign w:val="center"/>
          </w:tcPr>
          <w:p w14:paraId="7C017CFD">
            <w:pPr>
              <w:tabs>
                <w:tab w:val="left" w:pos="2340"/>
              </w:tabs>
              <w:snapToGrid w:val="0"/>
              <w:spacing w:line="480" w:lineRule="atLeast"/>
              <w:jc w:val="center"/>
              <w:rPr>
                <w:rFonts w:ascii="Calibri" w:hAnsi="Calibri"/>
                <w:sz w:val="24"/>
                <w:szCs w:val="24"/>
              </w:rPr>
            </w:pPr>
          </w:p>
        </w:tc>
      </w:tr>
      <w:tr w14:paraId="2AE8F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0694F62E">
            <w:pPr>
              <w:tabs>
                <w:tab w:val="left" w:pos="2340"/>
              </w:tabs>
              <w:snapToGrid w:val="0"/>
              <w:spacing w:line="480" w:lineRule="atLeast"/>
              <w:jc w:val="left"/>
              <w:rPr>
                <w:rFonts w:ascii="Calibri" w:hAnsi="Calibri"/>
                <w:sz w:val="24"/>
                <w:szCs w:val="24"/>
              </w:rPr>
            </w:pPr>
            <w:r>
              <w:rPr>
                <w:rFonts w:hint="eastAsia" w:ascii="Calibri" w:hAnsi="Calibri"/>
                <w:sz w:val="24"/>
                <w:szCs w:val="24"/>
              </w:rPr>
              <w:t>过滤器初阻力</w:t>
            </w:r>
          </w:p>
        </w:tc>
        <w:tc>
          <w:tcPr>
            <w:tcW w:w="3607" w:type="dxa"/>
            <w:vAlign w:val="center"/>
          </w:tcPr>
          <w:p w14:paraId="1BB4FB36">
            <w:pPr>
              <w:tabs>
                <w:tab w:val="left" w:pos="2340"/>
              </w:tabs>
              <w:snapToGrid w:val="0"/>
              <w:spacing w:line="480" w:lineRule="atLeast"/>
              <w:jc w:val="left"/>
              <w:rPr>
                <w:rFonts w:ascii="Calibri" w:hAnsi="Calibri"/>
                <w:sz w:val="24"/>
                <w:szCs w:val="24"/>
              </w:rPr>
            </w:pPr>
          </w:p>
        </w:tc>
        <w:tc>
          <w:tcPr>
            <w:tcW w:w="1263" w:type="dxa"/>
            <w:vAlign w:val="center"/>
          </w:tcPr>
          <w:p w14:paraId="0915F873">
            <w:pPr>
              <w:tabs>
                <w:tab w:val="left" w:pos="2340"/>
              </w:tabs>
              <w:snapToGrid w:val="0"/>
              <w:spacing w:line="480" w:lineRule="atLeast"/>
              <w:jc w:val="center"/>
              <w:rPr>
                <w:rFonts w:ascii="Calibri" w:hAnsi="Calibri"/>
                <w:sz w:val="24"/>
                <w:szCs w:val="24"/>
              </w:rPr>
            </w:pPr>
            <w:r>
              <w:rPr>
                <w:rFonts w:ascii="Calibri" w:hAnsi="Calibri"/>
                <w:sz w:val="24"/>
                <w:szCs w:val="24"/>
              </w:rPr>
              <w:t>Pa</w:t>
            </w:r>
          </w:p>
        </w:tc>
      </w:tr>
      <w:tr w14:paraId="45E45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4794881F">
            <w:pPr>
              <w:tabs>
                <w:tab w:val="left" w:pos="2340"/>
              </w:tabs>
              <w:snapToGrid w:val="0"/>
              <w:spacing w:line="480" w:lineRule="atLeast"/>
              <w:jc w:val="left"/>
              <w:rPr>
                <w:rFonts w:ascii="Calibri" w:hAnsi="Calibri"/>
                <w:sz w:val="24"/>
                <w:szCs w:val="24"/>
              </w:rPr>
            </w:pPr>
            <w:r>
              <w:rPr>
                <w:rFonts w:hint="eastAsia" w:ascii="Calibri" w:hAnsi="Calibri"/>
                <w:sz w:val="24"/>
                <w:szCs w:val="24"/>
              </w:rPr>
              <w:t>过滤器终阻力</w:t>
            </w:r>
          </w:p>
        </w:tc>
        <w:tc>
          <w:tcPr>
            <w:tcW w:w="3607" w:type="dxa"/>
            <w:vAlign w:val="center"/>
          </w:tcPr>
          <w:p w14:paraId="2836F99C">
            <w:pPr>
              <w:tabs>
                <w:tab w:val="left" w:pos="2340"/>
              </w:tabs>
              <w:snapToGrid w:val="0"/>
              <w:spacing w:line="480" w:lineRule="atLeast"/>
              <w:jc w:val="left"/>
              <w:rPr>
                <w:rFonts w:ascii="Calibri" w:hAnsi="Calibri"/>
                <w:sz w:val="24"/>
                <w:szCs w:val="24"/>
              </w:rPr>
            </w:pPr>
          </w:p>
        </w:tc>
        <w:tc>
          <w:tcPr>
            <w:tcW w:w="1263" w:type="dxa"/>
            <w:vAlign w:val="center"/>
          </w:tcPr>
          <w:p w14:paraId="6012A22C">
            <w:pPr>
              <w:tabs>
                <w:tab w:val="left" w:pos="2340"/>
              </w:tabs>
              <w:snapToGrid w:val="0"/>
              <w:spacing w:line="480" w:lineRule="atLeast"/>
              <w:jc w:val="center"/>
              <w:rPr>
                <w:rFonts w:ascii="Calibri" w:hAnsi="Calibri"/>
                <w:sz w:val="24"/>
                <w:szCs w:val="24"/>
              </w:rPr>
            </w:pPr>
            <w:r>
              <w:rPr>
                <w:rFonts w:ascii="Calibri" w:hAnsi="Calibri"/>
                <w:sz w:val="24"/>
                <w:szCs w:val="24"/>
              </w:rPr>
              <w:t>Pa</w:t>
            </w:r>
          </w:p>
        </w:tc>
      </w:tr>
      <w:tr w14:paraId="3E7C1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64DB7130">
            <w:pPr>
              <w:tabs>
                <w:tab w:val="left" w:pos="2340"/>
              </w:tabs>
              <w:snapToGrid w:val="0"/>
              <w:spacing w:line="480" w:lineRule="atLeast"/>
              <w:jc w:val="left"/>
              <w:rPr>
                <w:rFonts w:ascii="Calibri" w:hAnsi="Calibri"/>
                <w:b/>
                <w:sz w:val="24"/>
                <w:szCs w:val="24"/>
              </w:rPr>
            </w:pPr>
            <w:r>
              <w:rPr>
                <w:rFonts w:hint="eastAsia" w:ascii="Calibri" w:hAnsi="Calibri"/>
                <w:b/>
                <w:sz w:val="24"/>
                <w:szCs w:val="24"/>
              </w:rPr>
              <w:t>噪声数据</w:t>
            </w:r>
          </w:p>
        </w:tc>
        <w:tc>
          <w:tcPr>
            <w:tcW w:w="3607" w:type="dxa"/>
            <w:vAlign w:val="center"/>
          </w:tcPr>
          <w:p w14:paraId="51923D11">
            <w:pPr>
              <w:tabs>
                <w:tab w:val="left" w:pos="2340"/>
              </w:tabs>
              <w:snapToGrid w:val="0"/>
              <w:spacing w:line="480" w:lineRule="atLeast"/>
              <w:jc w:val="left"/>
              <w:rPr>
                <w:rFonts w:ascii="Calibri" w:hAnsi="Calibri"/>
                <w:sz w:val="24"/>
                <w:szCs w:val="24"/>
              </w:rPr>
            </w:pPr>
          </w:p>
        </w:tc>
        <w:tc>
          <w:tcPr>
            <w:tcW w:w="1263" w:type="dxa"/>
            <w:vAlign w:val="center"/>
          </w:tcPr>
          <w:p w14:paraId="723D8DF7">
            <w:pPr>
              <w:tabs>
                <w:tab w:val="left" w:pos="2340"/>
              </w:tabs>
              <w:snapToGrid w:val="0"/>
              <w:spacing w:line="480" w:lineRule="atLeast"/>
              <w:jc w:val="center"/>
              <w:rPr>
                <w:rFonts w:ascii="Calibri" w:hAnsi="Calibri"/>
                <w:sz w:val="24"/>
                <w:szCs w:val="24"/>
              </w:rPr>
            </w:pPr>
          </w:p>
        </w:tc>
      </w:tr>
      <w:tr w14:paraId="1880A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3AE2008C">
            <w:pPr>
              <w:tabs>
                <w:tab w:val="left" w:pos="2340"/>
              </w:tabs>
              <w:snapToGrid w:val="0"/>
              <w:spacing w:line="480" w:lineRule="atLeast"/>
              <w:jc w:val="left"/>
              <w:rPr>
                <w:rFonts w:ascii="Calibri" w:hAnsi="Calibri"/>
                <w:sz w:val="24"/>
                <w:szCs w:val="24"/>
              </w:rPr>
            </w:pPr>
            <w:r>
              <w:rPr>
                <w:rFonts w:hint="eastAsia" w:ascii="Calibri" w:hAnsi="Calibri"/>
                <w:sz w:val="24"/>
                <w:szCs w:val="24"/>
              </w:rPr>
              <w:t>声压级</w:t>
            </w:r>
          </w:p>
        </w:tc>
        <w:tc>
          <w:tcPr>
            <w:tcW w:w="3607" w:type="dxa"/>
            <w:vAlign w:val="center"/>
          </w:tcPr>
          <w:p w14:paraId="0B3BC3D8">
            <w:pPr>
              <w:tabs>
                <w:tab w:val="left" w:pos="2340"/>
              </w:tabs>
              <w:snapToGrid w:val="0"/>
              <w:spacing w:line="480" w:lineRule="atLeast"/>
              <w:jc w:val="left"/>
              <w:rPr>
                <w:rFonts w:ascii="Calibri" w:hAnsi="Calibri"/>
                <w:sz w:val="24"/>
                <w:szCs w:val="24"/>
              </w:rPr>
            </w:pPr>
          </w:p>
        </w:tc>
        <w:tc>
          <w:tcPr>
            <w:tcW w:w="1263" w:type="dxa"/>
            <w:vAlign w:val="center"/>
          </w:tcPr>
          <w:p w14:paraId="0ED4E5CD">
            <w:pPr>
              <w:tabs>
                <w:tab w:val="left" w:pos="2340"/>
              </w:tabs>
              <w:snapToGrid w:val="0"/>
              <w:spacing w:line="480" w:lineRule="atLeast"/>
              <w:jc w:val="center"/>
              <w:rPr>
                <w:rFonts w:ascii="Calibri" w:hAnsi="Calibri"/>
                <w:sz w:val="24"/>
                <w:szCs w:val="24"/>
              </w:rPr>
            </w:pPr>
            <w:r>
              <w:rPr>
                <w:rFonts w:ascii="Calibri" w:hAnsi="Calibri"/>
                <w:sz w:val="24"/>
                <w:szCs w:val="24"/>
              </w:rPr>
              <w:t>dB(A)</w:t>
            </w:r>
          </w:p>
        </w:tc>
      </w:tr>
      <w:tr w14:paraId="593E5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19FABD7A">
            <w:pPr>
              <w:tabs>
                <w:tab w:val="left" w:pos="2340"/>
              </w:tabs>
              <w:snapToGrid w:val="0"/>
              <w:spacing w:line="480" w:lineRule="atLeast"/>
              <w:jc w:val="left"/>
              <w:rPr>
                <w:rFonts w:ascii="Calibri" w:hAnsi="Calibri"/>
                <w:sz w:val="24"/>
                <w:szCs w:val="24"/>
              </w:rPr>
            </w:pPr>
            <w:r>
              <w:rPr>
                <w:rFonts w:hint="eastAsia" w:ascii="Calibri" w:hAnsi="Calibri"/>
                <w:sz w:val="24"/>
                <w:szCs w:val="24"/>
              </w:rPr>
              <w:t>振动</w:t>
            </w:r>
          </w:p>
        </w:tc>
        <w:tc>
          <w:tcPr>
            <w:tcW w:w="3607" w:type="dxa"/>
            <w:vAlign w:val="center"/>
          </w:tcPr>
          <w:p w14:paraId="4343AFD0">
            <w:pPr>
              <w:tabs>
                <w:tab w:val="left" w:pos="2340"/>
              </w:tabs>
              <w:snapToGrid w:val="0"/>
              <w:spacing w:line="480" w:lineRule="atLeast"/>
              <w:jc w:val="left"/>
              <w:rPr>
                <w:rFonts w:ascii="Calibri" w:hAnsi="Calibri"/>
                <w:sz w:val="24"/>
                <w:szCs w:val="24"/>
              </w:rPr>
            </w:pPr>
          </w:p>
        </w:tc>
        <w:tc>
          <w:tcPr>
            <w:tcW w:w="1263" w:type="dxa"/>
            <w:vAlign w:val="center"/>
          </w:tcPr>
          <w:p w14:paraId="16BC84C6">
            <w:pPr>
              <w:tabs>
                <w:tab w:val="left" w:pos="2340"/>
              </w:tabs>
              <w:snapToGrid w:val="0"/>
              <w:spacing w:line="480" w:lineRule="atLeast"/>
              <w:jc w:val="center"/>
              <w:rPr>
                <w:rFonts w:ascii="Calibri" w:hAnsi="Calibri"/>
                <w:sz w:val="24"/>
                <w:szCs w:val="24"/>
              </w:rPr>
            </w:pPr>
            <w:r>
              <w:rPr>
                <w:rFonts w:ascii="Calibri" w:hAnsi="Calibri"/>
                <w:sz w:val="24"/>
                <w:szCs w:val="24"/>
              </w:rPr>
              <w:sym w:font="Symbol" w:char="F06D"/>
            </w:r>
            <w:r>
              <w:rPr>
                <w:rFonts w:ascii="Calibri" w:hAnsi="Calibri"/>
                <w:sz w:val="24"/>
                <w:szCs w:val="24"/>
              </w:rPr>
              <w:t>m</w:t>
            </w:r>
          </w:p>
        </w:tc>
      </w:tr>
      <w:tr w14:paraId="0E3A3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4834E164">
            <w:pPr>
              <w:tabs>
                <w:tab w:val="left" w:pos="2340"/>
              </w:tabs>
              <w:snapToGrid w:val="0"/>
              <w:spacing w:line="480" w:lineRule="atLeast"/>
              <w:jc w:val="left"/>
              <w:rPr>
                <w:rFonts w:ascii="Calibri" w:hAnsi="Calibri"/>
                <w:sz w:val="24"/>
                <w:szCs w:val="24"/>
              </w:rPr>
            </w:pPr>
            <w:r>
              <w:rPr>
                <w:rFonts w:hint="eastAsia" w:ascii="Calibri" w:hAnsi="Calibri"/>
                <w:sz w:val="24"/>
                <w:szCs w:val="24"/>
              </w:rPr>
              <w:t>防爆等级（包括设备本体、温控器、电动三通阀）</w:t>
            </w:r>
          </w:p>
        </w:tc>
        <w:tc>
          <w:tcPr>
            <w:tcW w:w="3607" w:type="dxa"/>
            <w:vAlign w:val="center"/>
          </w:tcPr>
          <w:p w14:paraId="2FB7987D">
            <w:pPr>
              <w:tabs>
                <w:tab w:val="left" w:pos="2340"/>
              </w:tabs>
              <w:snapToGrid w:val="0"/>
              <w:spacing w:line="480" w:lineRule="atLeast"/>
              <w:jc w:val="left"/>
              <w:rPr>
                <w:rFonts w:ascii="Calibri" w:hAnsi="Calibri"/>
                <w:sz w:val="24"/>
                <w:szCs w:val="24"/>
              </w:rPr>
            </w:pPr>
          </w:p>
        </w:tc>
        <w:tc>
          <w:tcPr>
            <w:tcW w:w="1263" w:type="dxa"/>
            <w:vAlign w:val="center"/>
          </w:tcPr>
          <w:p w14:paraId="3161C11D">
            <w:pPr>
              <w:tabs>
                <w:tab w:val="left" w:pos="2340"/>
              </w:tabs>
              <w:snapToGrid w:val="0"/>
              <w:spacing w:line="480" w:lineRule="atLeast"/>
              <w:jc w:val="center"/>
              <w:rPr>
                <w:rFonts w:ascii="Calibri" w:hAnsi="Calibri"/>
                <w:sz w:val="24"/>
                <w:szCs w:val="24"/>
              </w:rPr>
            </w:pPr>
            <w:r>
              <w:rPr>
                <w:rFonts w:hint="eastAsia" w:ascii="Calibri" w:hAnsi="Calibri"/>
                <w:sz w:val="24"/>
                <w:szCs w:val="24"/>
              </w:rPr>
              <w:t>防爆空调要求</w:t>
            </w:r>
          </w:p>
        </w:tc>
      </w:tr>
      <w:tr w14:paraId="586BA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6A57F1D6">
            <w:pPr>
              <w:tabs>
                <w:tab w:val="left" w:pos="2340"/>
              </w:tabs>
              <w:snapToGrid w:val="0"/>
              <w:spacing w:line="480" w:lineRule="atLeast"/>
              <w:jc w:val="left"/>
              <w:rPr>
                <w:rFonts w:ascii="Calibri" w:hAnsi="Calibri"/>
                <w:b/>
                <w:sz w:val="24"/>
                <w:szCs w:val="24"/>
              </w:rPr>
            </w:pPr>
            <w:r>
              <w:rPr>
                <w:rFonts w:hint="eastAsia" w:ascii="Calibri" w:hAnsi="Calibri"/>
                <w:b/>
                <w:sz w:val="24"/>
                <w:szCs w:val="24"/>
              </w:rPr>
              <w:t>储存环境</w:t>
            </w:r>
          </w:p>
        </w:tc>
        <w:tc>
          <w:tcPr>
            <w:tcW w:w="3607" w:type="dxa"/>
            <w:vAlign w:val="center"/>
          </w:tcPr>
          <w:p w14:paraId="4AE57D00">
            <w:pPr>
              <w:tabs>
                <w:tab w:val="left" w:pos="2340"/>
              </w:tabs>
              <w:snapToGrid w:val="0"/>
              <w:spacing w:line="480" w:lineRule="atLeast"/>
              <w:jc w:val="left"/>
              <w:rPr>
                <w:rFonts w:ascii="Calibri" w:hAnsi="Calibri"/>
                <w:sz w:val="24"/>
                <w:szCs w:val="24"/>
              </w:rPr>
            </w:pPr>
          </w:p>
        </w:tc>
        <w:tc>
          <w:tcPr>
            <w:tcW w:w="1263" w:type="dxa"/>
            <w:vAlign w:val="center"/>
          </w:tcPr>
          <w:p w14:paraId="60F9562B">
            <w:pPr>
              <w:tabs>
                <w:tab w:val="left" w:pos="2340"/>
              </w:tabs>
              <w:snapToGrid w:val="0"/>
              <w:spacing w:line="480" w:lineRule="atLeast"/>
              <w:jc w:val="center"/>
              <w:rPr>
                <w:rFonts w:ascii="Calibri" w:hAnsi="Calibri"/>
                <w:sz w:val="24"/>
                <w:szCs w:val="24"/>
              </w:rPr>
            </w:pPr>
          </w:p>
        </w:tc>
      </w:tr>
      <w:tr w14:paraId="2D662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34427A79">
            <w:pPr>
              <w:tabs>
                <w:tab w:val="left" w:pos="2340"/>
              </w:tabs>
              <w:snapToGrid w:val="0"/>
              <w:spacing w:line="480" w:lineRule="atLeast"/>
              <w:jc w:val="left"/>
              <w:rPr>
                <w:rFonts w:ascii="Calibri" w:hAnsi="Calibri"/>
                <w:sz w:val="24"/>
                <w:szCs w:val="24"/>
              </w:rPr>
            </w:pPr>
            <w:r>
              <w:rPr>
                <w:rFonts w:hint="eastAsia" w:ascii="Calibri" w:hAnsi="Calibri"/>
                <w:sz w:val="24"/>
                <w:szCs w:val="24"/>
              </w:rPr>
              <w:t>温度</w:t>
            </w:r>
            <w:r>
              <w:rPr>
                <w:rFonts w:ascii="Calibri" w:hAnsi="Calibri"/>
                <w:sz w:val="24"/>
                <w:szCs w:val="24"/>
              </w:rPr>
              <w:t xml:space="preserve">  </w:t>
            </w:r>
            <w:r>
              <w:rPr>
                <w:rFonts w:hint="eastAsia" w:ascii="Calibri" w:hAnsi="Calibri"/>
                <w:sz w:val="24"/>
                <w:szCs w:val="24"/>
              </w:rPr>
              <w:t>最高</w:t>
            </w:r>
            <w:r>
              <w:rPr>
                <w:rFonts w:ascii="Calibri" w:hAnsi="Calibri"/>
                <w:sz w:val="24"/>
                <w:szCs w:val="24"/>
              </w:rPr>
              <w:t>/</w:t>
            </w:r>
            <w:r>
              <w:rPr>
                <w:rFonts w:hint="eastAsia" w:ascii="Calibri" w:hAnsi="Calibri"/>
                <w:sz w:val="24"/>
                <w:szCs w:val="24"/>
              </w:rPr>
              <w:t>最低</w:t>
            </w:r>
          </w:p>
        </w:tc>
        <w:tc>
          <w:tcPr>
            <w:tcW w:w="3607" w:type="dxa"/>
            <w:vAlign w:val="center"/>
          </w:tcPr>
          <w:p w14:paraId="7561561C">
            <w:pPr>
              <w:tabs>
                <w:tab w:val="left" w:pos="2340"/>
              </w:tabs>
              <w:snapToGrid w:val="0"/>
              <w:spacing w:line="480" w:lineRule="atLeast"/>
              <w:jc w:val="left"/>
              <w:rPr>
                <w:rFonts w:ascii="Calibri" w:hAnsi="Calibri"/>
                <w:sz w:val="24"/>
                <w:szCs w:val="24"/>
              </w:rPr>
            </w:pPr>
          </w:p>
        </w:tc>
        <w:tc>
          <w:tcPr>
            <w:tcW w:w="1263" w:type="dxa"/>
            <w:vAlign w:val="center"/>
          </w:tcPr>
          <w:p w14:paraId="32316E6D">
            <w:pPr>
              <w:tabs>
                <w:tab w:val="left" w:pos="2340"/>
              </w:tabs>
              <w:snapToGrid w:val="0"/>
              <w:spacing w:line="480" w:lineRule="atLeast"/>
              <w:jc w:val="center"/>
              <w:rPr>
                <w:rFonts w:ascii="Calibri" w:hAnsi="Calibri"/>
                <w:sz w:val="24"/>
                <w:szCs w:val="24"/>
              </w:rPr>
            </w:pPr>
            <w:r>
              <w:rPr>
                <w:rFonts w:hint="eastAsia" w:ascii="宋体" w:hAnsi="宋体" w:cs="宋体"/>
                <w:sz w:val="24"/>
                <w:szCs w:val="24"/>
              </w:rPr>
              <w:t>℃</w:t>
            </w:r>
          </w:p>
        </w:tc>
      </w:tr>
      <w:tr w14:paraId="1125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256" w:type="dxa"/>
            <w:vAlign w:val="center"/>
          </w:tcPr>
          <w:p w14:paraId="4318C6F6">
            <w:pPr>
              <w:tabs>
                <w:tab w:val="left" w:pos="2340"/>
              </w:tabs>
              <w:snapToGrid w:val="0"/>
              <w:spacing w:line="480" w:lineRule="atLeast"/>
              <w:jc w:val="left"/>
              <w:rPr>
                <w:rFonts w:ascii="Calibri" w:hAnsi="Calibri"/>
                <w:sz w:val="24"/>
                <w:szCs w:val="24"/>
              </w:rPr>
            </w:pPr>
            <w:r>
              <w:rPr>
                <w:rFonts w:hint="eastAsia" w:ascii="Calibri" w:hAnsi="Calibri"/>
                <w:sz w:val="24"/>
                <w:szCs w:val="24"/>
              </w:rPr>
              <w:t>湿度</w:t>
            </w:r>
            <w:r>
              <w:rPr>
                <w:rFonts w:ascii="Calibri" w:hAnsi="Calibri"/>
                <w:sz w:val="24"/>
                <w:szCs w:val="24"/>
              </w:rPr>
              <w:t xml:space="preserve">  </w:t>
            </w:r>
            <w:r>
              <w:rPr>
                <w:rFonts w:hint="eastAsia" w:ascii="Calibri" w:hAnsi="Calibri"/>
                <w:sz w:val="24"/>
                <w:szCs w:val="24"/>
              </w:rPr>
              <w:t>最高</w:t>
            </w:r>
            <w:r>
              <w:rPr>
                <w:rFonts w:ascii="Calibri" w:hAnsi="Calibri"/>
                <w:sz w:val="24"/>
                <w:szCs w:val="24"/>
              </w:rPr>
              <w:t>/</w:t>
            </w:r>
            <w:r>
              <w:rPr>
                <w:rFonts w:hint="eastAsia" w:ascii="Calibri" w:hAnsi="Calibri"/>
                <w:sz w:val="24"/>
                <w:szCs w:val="24"/>
              </w:rPr>
              <w:t>最低</w:t>
            </w:r>
          </w:p>
        </w:tc>
        <w:tc>
          <w:tcPr>
            <w:tcW w:w="3607" w:type="dxa"/>
            <w:vAlign w:val="center"/>
          </w:tcPr>
          <w:p w14:paraId="2895B218">
            <w:pPr>
              <w:tabs>
                <w:tab w:val="left" w:pos="2340"/>
              </w:tabs>
              <w:snapToGrid w:val="0"/>
              <w:spacing w:line="480" w:lineRule="atLeast"/>
              <w:jc w:val="left"/>
              <w:rPr>
                <w:rFonts w:ascii="Calibri" w:hAnsi="Calibri"/>
                <w:sz w:val="24"/>
                <w:szCs w:val="24"/>
              </w:rPr>
            </w:pPr>
          </w:p>
        </w:tc>
        <w:tc>
          <w:tcPr>
            <w:tcW w:w="1263" w:type="dxa"/>
            <w:vAlign w:val="center"/>
          </w:tcPr>
          <w:p w14:paraId="11DE1DAF">
            <w:pPr>
              <w:tabs>
                <w:tab w:val="left" w:pos="2340"/>
              </w:tabs>
              <w:snapToGrid w:val="0"/>
              <w:spacing w:line="480" w:lineRule="atLeast"/>
              <w:jc w:val="center"/>
              <w:rPr>
                <w:rFonts w:ascii="Calibri" w:hAnsi="Calibri"/>
                <w:sz w:val="24"/>
                <w:szCs w:val="24"/>
              </w:rPr>
            </w:pPr>
            <w:r>
              <w:rPr>
                <w:rFonts w:ascii="Calibri" w:hAnsi="Calibri"/>
                <w:sz w:val="24"/>
                <w:szCs w:val="24"/>
              </w:rPr>
              <w:t>%</w:t>
            </w:r>
          </w:p>
        </w:tc>
      </w:tr>
    </w:tbl>
    <w:p w14:paraId="1A30F0AE">
      <w:pPr>
        <w:snapToGrid w:val="0"/>
        <w:spacing w:line="480" w:lineRule="atLeast"/>
        <w:ind w:firstLine="480" w:firstLineChars="200"/>
        <w:rPr>
          <w:color w:val="000000" w:themeColor="text1"/>
          <w:sz w:val="24"/>
          <w:szCs w:val="24"/>
          <w14:textFill>
            <w14:solidFill>
              <w14:schemeClr w14:val="tx1"/>
            </w14:solidFill>
          </w14:textFill>
        </w:rPr>
      </w:pPr>
    </w:p>
    <w:p w14:paraId="012C8496">
      <w:pPr>
        <w:snapToGrid w:val="0"/>
        <w:spacing w:line="480" w:lineRule="atLeast"/>
        <w:jc w:val="center"/>
        <w:outlineLvl w:val="1"/>
        <w:rPr>
          <w:b/>
          <w:color w:val="000000" w:themeColor="text1"/>
          <w:sz w:val="24"/>
          <w:szCs w:val="24"/>
          <w14:textFill>
            <w14:solidFill>
              <w14:schemeClr w14:val="tx1"/>
            </w14:solidFill>
          </w14:textFill>
        </w:rPr>
      </w:pPr>
      <w:bookmarkStart w:id="106" w:name="_Toc57984084"/>
      <w:bookmarkStart w:id="107" w:name="_Toc220074672"/>
      <w:r>
        <w:rPr>
          <w:rFonts w:hint="eastAsia"/>
          <w:b/>
          <w:color w:val="000000" w:themeColor="text1"/>
          <w:sz w:val="24"/>
          <w:szCs w:val="24"/>
          <w14:textFill>
            <w14:solidFill>
              <w14:schemeClr w14:val="tx1"/>
            </w14:solidFill>
          </w14:textFill>
        </w:rPr>
        <w:t>风冷热泵型单元式空调机</w:t>
      </w:r>
      <w:bookmarkEnd w:id="106"/>
      <w:bookmarkEnd w:id="107"/>
      <w:r>
        <w:rPr>
          <w:rFonts w:hint="eastAsia"/>
          <w:b/>
          <w:color w:val="000000" w:themeColor="text1"/>
          <w:sz w:val="24"/>
          <w:szCs w:val="24"/>
          <w14:textFill>
            <w14:solidFill>
              <w14:schemeClr w14:val="tx1"/>
            </w14:solidFill>
          </w14:textFill>
        </w:rPr>
        <w:t>/分体空调（含防爆空调）</w:t>
      </w:r>
    </w:p>
    <w:tbl>
      <w:tblPr>
        <w:tblStyle w:val="41"/>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656"/>
        <w:gridCol w:w="4558"/>
        <w:gridCol w:w="913"/>
      </w:tblGrid>
      <w:tr w14:paraId="67C6F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blHeader/>
          <w:jc w:val="center"/>
        </w:trPr>
        <w:tc>
          <w:tcPr>
            <w:tcW w:w="3656" w:type="dxa"/>
            <w:vAlign w:val="center"/>
          </w:tcPr>
          <w:p w14:paraId="23E7117C">
            <w:pPr>
              <w:snapToGrid w:val="0"/>
              <w:spacing w:line="480" w:lineRule="atLeast"/>
              <w:jc w:val="center"/>
              <w:outlineLvl w:val="1"/>
              <w:rPr>
                <w:color w:val="000000" w:themeColor="text1"/>
                <w:sz w:val="24"/>
                <w:szCs w:val="24"/>
                <w14:textFill>
                  <w14:solidFill>
                    <w14:schemeClr w14:val="tx1"/>
                  </w14:solidFill>
                </w14:textFill>
              </w:rPr>
            </w:pPr>
            <w:bookmarkStart w:id="108" w:name="_Toc57984085"/>
            <w:bookmarkStart w:id="109" w:name="_Toc220074673"/>
            <w:r>
              <w:rPr>
                <w:rFonts w:hint="eastAsia"/>
                <w:color w:val="000000" w:themeColor="text1"/>
                <w:sz w:val="24"/>
                <w:szCs w:val="24"/>
                <w14:textFill>
                  <w14:solidFill>
                    <w14:schemeClr w14:val="tx1"/>
                  </w14:solidFill>
                </w14:textFill>
              </w:rPr>
              <w:t>项</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目</w:t>
            </w:r>
            <w:bookmarkEnd w:id="108"/>
            <w:bookmarkEnd w:id="109"/>
          </w:p>
        </w:tc>
        <w:tc>
          <w:tcPr>
            <w:tcW w:w="4558" w:type="dxa"/>
            <w:vAlign w:val="center"/>
          </w:tcPr>
          <w:p w14:paraId="72969537">
            <w:pPr>
              <w:snapToGrid w:val="0"/>
              <w:spacing w:line="480" w:lineRule="atLeast"/>
              <w:jc w:val="center"/>
              <w:outlineLvl w:val="1"/>
              <w:rPr>
                <w:color w:val="000000" w:themeColor="text1"/>
                <w:sz w:val="24"/>
                <w:szCs w:val="24"/>
                <w14:textFill>
                  <w14:solidFill>
                    <w14:schemeClr w14:val="tx1"/>
                  </w14:solidFill>
                </w14:textFill>
              </w:rPr>
            </w:pPr>
            <w:bookmarkStart w:id="110" w:name="_Toc57984086"/>
            <w:bookmarkStart w:id="111" w:name="_Toc220074674"/>
            <w:r>
              <w:rPr>
                <w:rFonts w:hint="eastAsia"/>
                <w:color w:val="000000" w:themeColor="text1"/>
                <w:sz w:val="24"/>
                <w:szCs w:val="24"/>
                <w14:textFill>
                  <w14:solidFill>
                    <w14:schemeClr w14:val="tx1"/>
                  </w14:solidFill>
                </w14:textFill>
              </w:rPr>
              <w:t>技术参数或说明</w:t>
            </w:r>
            <w:bookmarkEnd w:id="110"/>
            <w:bookmarkEnd w:id="111"/>
          </w:p>
        </w:tc>
        <w:tc>
          <w:tcPr>
            <w:tcW w:w="913" w:type="dxa"/>
            <w:vAlign w:val="center"/>
          </w:tcPr>
          <w:p w14:paraId="15E75C27">
            <w:pPr>
              <w:snapToGrid w:val="0"/>
              <w:spacing w:line="480" w:lineRule="atLeast"/>
              <w:jc w:val="center"/>
              <w:outlineLvl w:val="1"/>
              <w:rPr>
                <w:color w:val="000000" w:themeColor="text1"/>
                <w:sz w:val="24"/>
                <w:szCs w:val="24"/>
                <w14:textFill>
                  <w14:solidFill>
                    <w14:schemeClr w14:val="tx1"/>
                  </w14:solidFill>
                </w14:textFill>
              </w:rPr>
            </w:pPr>
            <w:bookmarkStart w:id="112" w:name="_Toc57984087"/>
            <w:bookmarkStart w:id="113" w:name="_Toc220074675"/>
            <w:r>
              <w:rPr>
                <w:rFonts w:hint="eastAsia"/>
                <w:color w:val="000000" w:themeColor="text1"/>
                <w:sz w:val="24"/>
                <w:szCs w:val="24"/>
                <w14:textFill>
                  <w14:solidFill>
                    <w14:schemeClr w14:val="tx1"/>
                  </w14:solidFill>
                </w14:textFill>
              </w:rPr>
              <w:t>单位</w:t>
            </w:r>
            <w:bookmarkEnd w:id="112"/>
            <w:bookmarkEnd w:id="113"/>
          </w:p>
        </w:tc>
      </w:tr>
      <w:tr w14:paraId="452B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56B58B02">
            <w:pPr>
              <w:snapToGrid w:val="0"/>
              <w:spacing w:line="480" w:lineRule="atLeast"/>
              <w:jc w:val="center"/>
              <w:outlineLvl w:val="1"/>
              <w:rPr>
                <w:color w:val="000000" w:themeColor="text1"/>
                <w:sz w:val="24"/>
                <w:szCs w:val="24"/>
                <w14:textFill>
                  <w14:solidFill>
                    <w14:schemeClr w14:val="tx1"/>
                  </w14:solidFill>
                </w14:textFill>
              </w:rPr>
            </w:pPr>
            <w:bookmarkStart w:id="114" w:name="_Toc220074676"/>
            <w:bookmarkStart w:id="115" w:name="_Toc57984088"/>
            <w:r>
              <w:rPr>
                <w:rFonts w:hint="eastAsia"/>
                <w:color w:val="000000" w:themeColor="text1"/>
                <w:sz w:val="24"/>
                <w:szCs w:val="24"/>
                <w14:textFill>
                  <w14:solidFill>
                    <w14:schemeClr w14:val="tx1"/>
                  </w14:solidFill>
                </w14:textFill>
              </w:rPr>
              <w:t>设备型号</w:t>
            </w:r>
            <w:bookmarkEnd w:id="114"/>
            <w:bookmarkEnd w:id="115"/>
          </w:p>
        </w:tc>
        <w:tc>
          <w:tcPr>
            <w:tcW w:w="4558" w:type="dxa"/>
            <w:vAlign w:val="center"/>
          </w:tcPr>
          <w:p w14:paraId="0DA2BE25">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376552EE">
            <w:pPr>
              <w:snapToGrid w:val="0"/>
              <w:spacing w:line="480" w:lineRule="atLeast"/>
              <w:jc w:val="center"/>
              <w:outlineLvl w:val="1"/>
              <w:rPr>
                <w:color w:val="000000" w:themeColor="text1"/>
                <w:sz w:val="24"/>
                <w:szCs w:val="24"/>
                <w14:textFill>
                  <w14:solidFill>
                    <w14:schemeClr w14:val="tx1"/>
                  </w14:solidFill>
                </w14:textFill>
              </w:rPr>
            </w:pPr>
          </w:p>
        </w:tc>
      </w:tr>
      <w:tr w14:paraId="6A263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27FD81F1">
            <w:pPr>
              <w:snapToGrid w:val="0"/>
              <w:spacing w:line="480" w:lineRule="atLeast"/>
              <w:jc w:val="center"/>
              <w:outlineLvl w:val="1"/>
              <w:rPr>
                <w:color w:val="000000" w:themeColor="text1"/>
                <w:sz w:val="24"/>
                <w:szCs w:val="24"/>
                <w14:textFill>
                  <w14:solidFill>
                    <w14:schemeClr w14:val="tx1"/>
                  </w14:solidFill>
                </w14:textFill>
              </w:rPr>
            </w:pPr>
            <w:bookmarkStart w:id="116" w:name="_Toc220074677"/>
            <w:bookmarkStart w:id="117" w:name="_Toc57984089"/>
            <w:r>
              <w:rPr>
                <w:rFonts w:hint="eastAsia"/>
                <w:color w:val="000000" w:themeColor="text1"/>
                <w:sz w:val="24"/>
                <w:szCs w:val="24"/>
                <w14:textFill>
                  <w14:solidFill>
                    <w14:schemeClr w14:val="tx1"/>
                  </w14:solidFill>
                </w14:textFill>
              </w:rPr>
              <w:t>数量</w:t>
            </w:r>
            <w:bookmarkEnd w:id="116"/>
            <w:bookmarkEnd w:id="117"/>
          </w:p>
        </w:tc>
        <w:tc>
          <w:tcPr>
            <w:tcW w:w="4558" w:type="dxa"/>
            <w:vAlign w:val="center"/>
          </w:tcPr>
          <w:p w14:paraId="436EC21B">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0B19718F">
            <w:pPr>
              <w:snapToGrid w:val="0"/>
              <w:spacing w:line="480" w:lineRule="atLeast"/>
              <w:jc w:val="center"/>
              <w:outlineLvl w:val="1"/>
              <w:rPr>
                <w:color w:val="000000" w:themeColor="text1"/>
                <w:sz w:val="24"/>
                <w:szCs w:val="24"/>
                <w14:textFill>
                  <w14:solidFill>
                    <w14:schemeClr w14:val="tx1"/>
                  </w14:solidFill>
                </w14:textFill>
              </w:rPr>
            </w:pPr>
            <w:bookmarkStart w:id="118" w:name="_Toc57984090"/>
            <w:bookmarkStart w:id="119" w:name="_Toc220074678"/>
            <w:r>
              <w:rPr>
                <w:rFonts w:hint="eastAsia"/>
                <w:color w:val="000000" w:themeColor="text1"/>
                <w:sz w:val="24"/>
                <w:szCs w:val="24"/>
                <w14:textFill>
                  <w14:solidFill>
                    <w14:schemeClr w14:val="tx1"/>
                  </w14:solidFill>
                </w14:textFill>
              </w:rPr>
              <w:t>台</w:t>
            </w:r>
            <w:bookmarkEnd w:id="118"/>
            <w:bookmarkEnd w:id="119"/>
          </w:p>
        </w:tc>
      </w:tr>
      <w:tr w14:paraId="0663E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56F51014">
            <w:pPr>
              <w:snapToGrid w:val="0"/>
              <w:spacing w:line="480" w:lineRule="atLeast"/>
              <w:jc w:val="center"/>
              <w:outlineLvl w:val="1"/>
              <w:rPr>
                <w:color w:val="000000" w:themeColor="text1"/>
                <w:sz w:val="24"/>
                <w:szCs w:val="24"/>
                <w14:textFill>
                  <w14:solidFill>
                    <w14:schemeClr w14:val="tx1"/>
                  </w14:solidFill>
                </w14:textFill>
              </w:rPr>
            </w:pPr>
            <w:bookmarkStart w:id="120" w:name="_Toc57984091"/>
            <w:bookmarkStart w:id="121" w:name="_Toc220074679"/>
            <w:r>
              <w:rPr>
                <w:rFonts w:hint="eastAsia"/>
                <w:color w:val="000000" w:themeColor="text1"/>
                <w:sz w:val="24"/>
                <w:szCs w:val="24"/>
                <w14:textFill>
                  <w14:solidFill>
                    <w14:schemeClr w14:val="tx1"/>
                  </w14:solidFill>
                </w14:textFill>
              </w:rPr>
              <w:t>处理风量</w:t>
            </w:r>
            <w:bookmarkEnd w:id="120"/>
            <w:bookmarkEnd w:id="121"/>
          </w:p>
        </w:tc>
        <w:tc>
          <w:tcPr>
            <w:tcW w:w="4558" w:type="dxa"/>
            <w:vAlign w:val="center"/>
          </w:tcPr>
          <w:p w14:paraId="1276AA4E">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6D704069">
            <w:pPr>
              <w:snapToGrid w:val="0"/>
              <w:spacing w:line="480" w:lineRule="atLeast"/>
              <w:jc w:val="center"/>
              <w:outlineLvl w:val="1"/>
              <w:rPr>
                <w:color w:val="000000" w:themeColor="text1"/>
                <w:sz w:val="24"/>
                <w:szCs w:val="24"/>
                <w14:textFill>
                  <w14:solidFill>
                    <w14:schemeClr w14:val="tx1"/>
                  </w14:solidFill>
                </w14:textFill>
              </w:rPr>
            </w:pPr>
            <w:bookmarkStart w:id="122" w:name="_Toc220074680"/>
            <w:bookmarkStart w:id="123" w:name="_Toc57984092"/>
            <w:r>
              <w:rPr>
                <w:color w:val="000000" w:themeColor="text1"/>
                <w:sz w:val="24"/>
                <w:szCs w:val="24"/>
                <w14:textFill>
                  <w14:solidFill>
                    <w14:schemeClr w14:val="tx1"/>
                  </w14:solidFill>
                </w14:textFill>
              </w:rPr>
              <w:t>m3/h</w:t>
            </w:r>
            <w:bookmarkEnd w:id="122"/>
            <w:bookmarkEnd w:id="123"/>
          </w:p>
        </w:tc>
      </w:tr>
      <w:tr w14:paraId="766EC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40A1A472">
            <w:pPr>
              <w:snapToGrid w:val="0"/>
              <w:spacing w:line="480" w:lineRule="atLeast"/>
              <w:jc w:val="center"/>
              <w:outlineLvl w:val="1"/>
              <w:rPr>
                <w:color w:val="000000" w:themeColor="text1"/>
                <w:sz w:val="24"/>
                <w:szCs w:val="24"/>
                <w14:textFill>
                  <w14:solidFill>
                    <w14:schemeClr w14:val="tx1"/>
                  </w14:solidFill>
                </w14:textFill>
              </w:rPr>
            </w:pPr>
            <w:bookmarkStart w:id="124" w:name="_Toc220074681"/>
            <w:bookmarkStart w:id="125" w:name="_Toc57984093"/>
            <w:r>
              <w:rPr>
                <w:rFonts w:hint="eastAsia"/>
                <w:color w:val="000000" w:themeColor="text1"/>
                <w:sz w:val="24"/>
                <w:szCs w:val="24"/>
                <w14:textFill>
                  <w14:solidFill>
                    <w14:schemeClr w14:val="tx1"/>
                  </w14:solidFill>
                </w14:textFill>
              </w:rPr>
              <w:t>名义工况制冷量</w:t>
            </w:r>
            <w:bookmarkEnd w:id="124"/>
            <w:bookmarkEnd w:id="125"/>
          </w:p>
        </w:tc>
        <w:tc>
          <w:tcPr>
            <w:tcW w:w="4558" w:type="dxa"/>
            <w:vAlign w:val="center"/>
          </w:tcPr>
          <w:p w14:paraId="142E9085">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596AEF65">
            <w:pPr>
              <w:snapToGrid w:val="0"/>
              <w:spacing w:line="480" w:lineRule="atLeast"/>
              <w:jc w:val="center"/>
              <w:outlineLvl w:val="1"/>
              <w:rPr>
                <w:color w:val="000000" w:themeColor="text1"/>
                <w:sz w:val="24"/>
                <w:szCs w:val="24"/>
                <w14:textFill>
                  <w14:solidFill>
                    <w14:schemeClr w14:val="tx1"/>
                  </w14:solidFill>
                </w14:textFill>
              </w:rPr>
            </w:pPr>
            <w:bookmarkStart w:id="126" w:name="_Toc57984094"/>
            <w:bookmarkStart w:id="127" w:name="_Toc220074682"/>
            <w:r>
              <w:rPr>
                <w:color w:val="000000" w:themeColor="text1"/>
                <w:sz w:val="24"/>
                <w:szCs w:val="24"/>
                <w14:textFill>
                  <w14:solidFill>
                    <w14:schemeClr w14:val="tx1"/>
                  </w14:solidFill>
                </w14:textFill>
              </w:rPr>
              <w:t>kW</w:t>
            </w:r>
            <w:bookmarkEnd w:id="126"/>
            <w:bookmarkEnd w:id="127"/>
          </w:p>
        </w:tc>
      </w:tr>
      <w:tr w14:paraId="2277D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17737EF2">
            <w:pPr>
              <w:snapToGrid w:val="0"/>
              <w:spacing w:line="480" w:lineRule="atLeast"/>
              <w:jc w:val="center"/>
              <w:outlineLvl w:val="1"/>
              <w:rPr>
                <w:color w:val="000000" w:themeColor="text1"/>
                <w:sz w:val="24"/>
                <w:szCs w:val="24"/>
                <w14:textFill>
                  <w14:solidFill>
                    <w14:schemeClr w14:val="tx1"/>
                  </w14:solidFill>
                </w14:textFill>
              </w:rPr>
            </w:pPr>
            <w:bookmarkStart w:id="128" w:name="_Toc220074683"/>
            <w:r>
              <w:rPr>
                <w:rFonts w:hint="eastAsia"/>
                <w:color w:val="000000" w:themeColor="text1"/>
                <w:sz w:val="24"/>
                <w:szCs w:val="24"/>
                <w14:textFill>
                  <w14:solidFill>
                    <w14:schemeClr w14:val="tx1"/>
                  </w14:solidFill>
                </w14:textFill>
              </w:rPr>
              <w:t>名义工况制热量</w:t>
            </w:r>
            <w:bookmarkEnd w:id="128"/>
          </w:p>
        </w:tc>
        <w:tc>
          <w:tcPr>
            <w:tcW w:w="4558" w:type="dxa"/>
            <w:vAlign w:val="center"/>
          </w:tcPr>
          <w:p w14:paraId="44D9B6A5">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6F40C2A3">
            <w:pPr>
              <w:snapToGrid w:val="0"/>
              <w:spacing w:line="480" w:lineRule="atLeast"/>
              <w:jc w:val="center"/>
              <w:outlineLvl w:val="1"/>
              <w:rPr>
                <w:color w:val="000000" w:themeColor="text1"/>
                <w:sz w:val="24"/>
                <w:szCs w:val="24"/>
                <w14:textFill>
                  <w14:solidFill>
                    <w14:schemeClr w14:val="tx1"/>
                  </w14:solidFill>
                </w14:textFill>
              </w:rPr>
            </w:pPr>
            <w:bookmarkStart w:id="129" w:name="_Toc220074684"/>
            <w:r>
              <w:rPr>
                <w:color w:val="000000" w:themeColor="text1"/>
                <w:sz w:val="24"/>
                <w:szCs w:val="24"/>
                <w14:textFill>
                  <w14:solidFill>
                    <w14:schemeClr w14:val="tx1"/>
                  </w14:solidFill>
                </w14:textFill>
              </w:rPr>
              <w:t>kW</w:t>
            </w:r>
            <w:bookmarkEnd w:id="129"/>
          </w:p>
        </w:tc>
      </w:tr>
      <w:tr w14:paraId="7366E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13F707C3">
            <w:pPr>
              <w:snapToGrid w:val="0"/>
              <w:spacing w:line="480" w:lineRule="atLeast"/>
              <w:jc w:val="center"/>
              <w:outlineLvl w:val="1"/>
              <w:rPr>
                <w:color w:val="000000" w:themeColor="text1"/>
                <w:sz w:val="24"/>
                <w:szCs w:val="24"/>
                <w14:textFill>
                  <w14:solidFill>
                    <w14:schemeClr w14:val="tx1"/>
                  </w14:solidFill>
                </w14:textFill>
              </w:rPr>
            </w:pPr>
            <w:bookmarkStart w:id="130" w:name="_Toc220074685"/>
            <w:bookmarkStart w:id="131" w:name="_Toc57984095"/>
            <w:r>
              <w:rPr>
                <w:rFonts w:hint="eastAsia"/>
                <w:color w:val="000000" w:themeColor="text1"/>
                <w:sz w:val="24"/>
                <w:szCs w:val="24"/>
                <w14:textFill>
                  <w14:solidFill>
                    <w14:schemeClr w14:val="tx1"/>
                  </w14:solidFill>
                </w14:textFill>
              </w:rPr>
              <w:t>设计工况制冷量</w:t>
            </w:r>
            <w:bookmarkEnd w:id="130"/>
            <w:bookmarkEnd w:id="131"/>
          </w:p>
        </w:tc>
        <w:tc>
          <w:tcPr>
            <w:tcW w:w="4558" w:type="dxa"/>
            <w:vAlign w:val="center"/>
          </w:tcPr>
          <w:p w14:paraId="06F18628">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7AB4567D">
            <w:pPr>
              <w:snapToGrid w:val="0"/>
              <w:spacing w:line="480" w:lineRule="atLeast"/>
              <w:jc w:val="center"/>
              <w:outlineLvl w:val="1"/>
              <w:rPr>
                <w:color w:val="000000" w:themeColor="text1"/>
                <w:sz w:val="24"/>
                <w:szCs w:val="24"/>
                <w14:textFill>
                  <w14:solidFill>
                    <w14:schemeClr w14:val="tx1"/>
                  </w14:solidFill>
                </w14:textFill>
              </w:rPr>
            </w:pPr>
            <w:bookmarkStart w:id="132" w:name="_Toc57984096"/>
            <w:bookmarkStart w:id="133" w:name="_Toc220074686"/>
            <w:r>
              <w:rPr>
                <w:color w:val="000000" w:themeColor="text1"/>
                <w:sz w:val="24"/>
                <w:szCs w:val="24"/>
                <w14:textFill>
                  <w14:solidFill>
                    <w14:schemeClr w14:val="tx1"/>
                  </w14:solidFill>
                </w14:textFill>
              </w:rPr>
              <w:t>kW</w:t>
            </w:r>
            <w:bookmarkEnd w:id="132"/>
            <w:bookmarkEnd w:id="133"/>
          </w:p>
        </w:tc>
      </w:tr>
      <w:tr w14:paraId="32D61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4E76F5B9">
            <w:pPr>
              <w:snapToGrid w:val="0"/>
              <w:spacing w:line="480" w:lineRule="atLeast"/>
              <w:jc w:val="center"/>
              <w:outlineLvl w:val="1"/>
              <w:rPr>
                <w:color w:val="000000" w:themeColor="text1"/>
                <w:sz w:val="24"/>
                <w:szCs w:val="24"/>
                <w14:textFill>
                  <w14:solidFill>
                    <w14:schemeClr w14:val="tx1"/>
                  </w14:solidFill>
                </w14:textFill>
              </w:rPr>
            </w:pPr>
            <w:bookmarkStart w:id="134" w:name="_Toc220074687"/>
            <w:r>
              <w:rPr>
                <w:rFonts w:hint="eastAsia"/>
                <w:color w:val="000000" w:themeColor="text1"/>
                <w:sz w:val="24"/>
                <w:szCs w:val="24"/>
                <w14:textFill>
                  <w14:solidFill>
                    <w14:schemeClr w14:val="tx1"/>
                  </w14:solidFill>
                </w14:textFill>
              </w:rPr>
              <w:t>设计工况制热量</w:t>
            </w:r>
            <w:bookmarkEnd w:id="134"/>
          </w:p>
        </w:tc>
        <w:tc>
          <w:tcPr>
            <w:tcW w:w="4558" w:type="dxa"/>
            <w:vAlign w:val="center"/>
          </w:tcPr>
          <w:p w14:paraId="44BD99BE">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38BFD834">
            <w:pPr>
              <w:snapToGrid w:val="0"/>
              <w:spacing w:line="480" w:lineRule="atLeast"/>
              <w:jc w:val="center"/>
              <w:outlineLvl w:val="1"/>
              <w:rPr>
                <w:color w:val="000000" w:themeColor="text1"/>
                <w:sz w:val="24"/>
                <w:szCs w:val="24"/>
                <w14:textFill>
                  <w14:solidFill>
                    <w14:schemeClr w14:val="tx1"/>
                  </w14:solidFill>
                </w14:textFill>
              </w:rPr>
            </w:pPr>
            <w:bookmarkStart w:id="135" w:name="_Toc220074688"/>
            <w:r>
              <w:rPr>
                <w:color w:val="000000" w:themeColor="text1"/>
                <w:sz w:val="24"/>
                <w:szCs w:val="24"/>
                <w14:textFill>
                  <w14:solidFill>
                    <w14:schemeClr w14:val="tx1"/>
                  </w14:solidFill>
                </w14:textFill>
              </w:rPr>
              <w:t>kW</w:t>
            </w:r>
            <w:bookmarkEnd w:id="135"/>
          </w:p>
        </w:tc>
      </w:tr>
      <w:tr w14:paraId="370DD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4EE4E067">
            <w:pPr>
              <w:snapToGrid w:val="0"/>
              <w:spacing w:line="480" w:lineRule="atLeast"/>
              <w:jc w:val="center"/>
              <w:outlineLvl w:val="1"/>
              <w:rPr>
                <w:color w:val="000000" w:themeColor="text1"/>
                <w:sz w:val="24"/>
                <w:szCs w:val="24"/>
                <w14:textFill>
                  <w14:solidFill>
                    <w14:schemeClr w14:val="tx1"/>
                  </w14:solidFill>
                </w14:textFill>
              </w:rPr>
            </w:pPr>
            <w:bookmarkStart w:id="136" w:name="_Toc220074689"/>
            <w:bookmarkStart w:id="137" w:name="_Toc57984097"/>
            <w:r>
              <w:rPr>
                <w:rFonts w:hint="eastAsia"/>
                <w:color w:val="000000" w:themeColor="text1"/>
                <w:sz w:val="24"/>
                <w:szCs w:val="24"/>
                <w14:textFill>
                  <w14:solidFill>
                    <w14:schemeClr w14:val="tx1"/>
                  </w14:solidFill>
                </w14:textFill>
              </w:rPr>
              <w:t>机外余压</w:t>
            </w:r>
            <w:r>
              <w:rPr>
                <w:color w:val="000000" w:themeColor="text1"/>
                <w:sz w:val="24"/>
                <w:szCs w:val="24"/>
                <w14:textFill>
                  <w14:solidFill>
                    <w14:schemeClr w14:val="tx1"/>
                  </w14:solidFill>
                </w14:textFill>
              </w:rPr>
              <w:t>Pa</w:t>
            </w:r>
            <w:bookmarkEnd w:id="136"/>
            <w:bookmarkEnd w:id="137"/>
          </w:p>
        </w:tc>
        <w:tc>
          <w:tcPr>
            <w:tcW w:w="4558" w:type="dxa"/>
            <w:vAlign w:val="center"/>
          </w:tcPr>
          <w:p w14:paraId="3D81C1D5">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35F5F03B">
            <w:pPr>
              <w:snapToGrid w:val="0"/>
              <w:spacing w:line="480" w:lineRule="atLeast"/>
              <w:jc w:val="center"/>
              <w:outlineLvl w:val="1"/>
              <w:rPr>
                <w:color w:val="000000" w:themeColor="text1"/>
                <w:sz w:val="24"/>
                <w:szCs w:val="24"/>
                <w14:textFill>
                  <w14:solidFill>
                    <w14:schemeClr w14:val="tx1"/>
                  </w14:solidFill>
                </w14:textFill>
              </w:rPr>
            </w:pPr>
          </w:p>
        </w:tc>
      </w:tr>
      <w:tr w14:paraId="40E26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291DDC66">
            <w:pPr>
              <w:snapToGrid w:val="0"/>
              <w:spacing w:line="480" w:lineRule="atLeast"/>
              <w:jc w:val="center"/>
              <w:outlineLvl w:val="1"/>
              <w:rPr>
                <w:color w:val="000000" w:themeColor="text1"/>
                <w:sz w:val="24"/>
                <w:szCs w:val="24"/>
                <w14:textFill>
                  <w14:solidFill>
                    <w14:schemeClr w14:val="tx1"/>
                  </w14:solidFill>
                </w14:textFill>
              </w:rPr>
            </w:pPr>
            <w:bookmarkStart w:id="138" w:name="_Toc220074690"/>
            <w:bookmarkStart w:id="139" w:name="_Toc57984098"/>
            <w:r>
              <w:rPr>
                <w:rFonts w:hint="eastAsia"/>
                <w:color w:val="000000" w:themeColor="text1"/>
                <w:sz w:val="24"/>
                <w:szCs w:val="24"/>
                <w14:textFill>
                  <w14:solidFill>
                    <w14:schemeClr w14:val="tx1"/>
                  </w14:solidFill>
                </w14:textFill>
              </w:rPr>
              <w:t>机组输入功率（制冷时</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制热时）</w:t>
            </w:r>
            <w:bookmarkEnd w:id="138"/>
            <w:bookmarkEnd w:id="139"/>
          </w:p>
        </w:tc>
        <w:tc>
          <w:tcPr>
            <w:tcW w:w="4558" w:type="dxa"/>
            <w:vAlign w:val="center"/>
          </w:tcPr>
          <w:p w14:paraId="799CFC9C">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1693D86C">
            <w:pPr>
              <w:snapToGrid w:val="0"/>
              <w:spacing w:line="480" w:lineRule="atLeast"/>
              <w:jc w:val="center"/>
              <w:outlineLvl w:val="1"/>
              <w:rPr>
                <w:color w:val="000000" w:themeColor="text1"/>
                <w:sz w:val="24"/>
                <w:szCs w:val="24"/>
                <w14:textFill>
                  <w14:solidFill>
                    <w14:schemeClr w14:val="tx1"/>
                  </w14:solidFill>
                </w14:textFill>
              </w:rPr>
            </w:pPr>
            <w:bookmarkStart w:id="140" w:name="_Toc57984099"/>
            <w:bookmarkStart w:id="141" w:name="_Toc220074691"/>
            <w:r>
              <w:rPr>
                <w:color w:val="000000" w:themeColor="text1"/>
                <w:sz w:val="24"/>
                <w:szCs w:val="24"/>
                <w14:textFill>
                  <w14:solidFill>
                    <w14:schemeClr w14:val="tx1"/>
                  </w14:solidFill>
                </w14:textFill>
              </w:rPr>
              <w:t>kW</w:t>
            </w:r>
            <w:bookmarkEnd w:id="140"/>
            <w:bookmarkEnd w:id="141"/>
          </w:p>
        </w:tc>
      </w:tr>
      <w:tr w14:paraId="1EB71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47E9BC57">
            <w:pPr>
              <w:snapToGrid w:val="0"/>
              <w:spacing w:line="480" w:lineRule="atLeast"/>
              <w:jc w:val="center"/>
              <w:outlineLvl w:val="1"/>
              <w:rPr>
                <w:color w:val="000000" w:themeColor="text1"/>
                <w:sz w:val="24"/>
                <w:szCs w:val="24"/>
                <w14:textFill>
                  <w14:solidFill>
                    <w14:schemeClr w14:val="tx1"/>
                  </w14:solidFill>
                </w14:textFill>
              </w:rPr>
            </w:pPr>
            <w:bookmarkStart w:id="142" w:name="_Toc57984100"/>
            <w:bookmarkStart w:id="143" w:name="_Toc220074692"/>
            <w:r>
              <w:rPr>
                <w:rFonts w:hint="eastAsia"/>
                <w:color w:val="000000" w:themeColor="text1"/>
                <w:sz w:val="24"/>
                <w:szCs w:val="24"/>
                <w14:textFill>
                  <w14:solidFill>
                    <w14:schemeClr w14:val="tx1"/>
                  </w14:solidFill>
                </w14:textFill>
              </w:rPr>
              <w:t>机组</w:t>
            </w:r>
            <w:r>
              <w:rPr>
                <w:color w:val="000000" w:themeColor="text1"/>
                <w:sz w:val="24"/>
                <w:szCs w:val="24"/>
                <w14:textFill>
                  <w14:solidFill>
                    <w14:schemeClr w14:val="tx1"/>
                  </w14:solidFill>
                </w14:textFill>
              </w:rPr>
              <w:t>COP</w:t>
            </w:r>
            <w:r>
              <w:rPr>
                <w:rFonts w:hint="eastAsia"/>
                <w:color w:val="000000" w:themeColor="text1"/>
                <w:sz w:val="24"/>
                <w:szCs w:val="24"/>
                <w14:textFill>
                  <w14:solidFill>
                    <w14:schemeClr w14:val="tx1"/>
                  </w14:solidFill>
                </w14:textFill>
              </w:rPr>
              <w:t>值</w:t>
            </w:r>
            <w:bookmarkEnd w:id="142"/>
            <w:bookmarkEnd w:id="143"/>
          </w:p>
        </w:tc>
        <w:tc>
          <w:tcPr>
            <w:tcW w:w="4558" w:type="dxa"/>
            <w:vAlign w:val="center"/>
          </w:tcPr>
          <w:p w14:paraId="6CEB2866">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1479C63F">
            <w:pPr>
              <w:snapToGrid w:val="0"/>
              <w:spacing w:line="480" w:lineRule="atLeast"/>
              <w:jc w:val="center"/>
              <w:outlineLvl w:val="1"/>
              <w:rPr>
                <w:color w:val="000000" w:themeColor="text1"/>
                <w:sz w:val="24"/>
                <w:szCs w:val="24"/>
                <w14:textFill>
                  <w14:solidFill>
                    <w14:schemeClr w14:val="tx1"/>
                  </w14:solidFill>
                </w14:textFill>
              </w:rPr>
            </w:pPr>
          </w:p>
        </w:tc>
      </w:tr>
      <w:tr w14:paraId="31F59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70C6C5C4">
            <w:pPr>
              <w:snapToGrid w:val="0"/>
              <w:spacing w:line="480" w:lineRule="atLeast"/>
              <w:jc w:val="center"/>
              <w:outlineLvl w:val="1"/>
              <w:rPr>
                <w:color w:val="000000" w:themeColor="text1"/>
                <w:sz w:val="24"/>
                <w:szCs w:val="24"/>
                <w14:textFill>
                  <w14:solidFill>
                    <w14:schemeClr w14:val="tx1"/>
                  </w14:solidFill>
                </w14:textFill>
              </w:rPr>
            </w:pPr>
            <w:bookmarkStart w:id="144" w:name="_Toc220074693"/>
            <w:bookmarkStart w:id="145" w:name="_Toc57984101"/>
            <w:r>
              <w:rPr>
                <w:rFonts w:hint="eastAsia"/>
                <w:color w:val="000000" w:themeColor="text1"/>
                <w:sz w:val="24"/>
                <w:szCs w:val="24"/>
                <w14:textFill>
                  <w14:solidFill>
                    <w14:schemeClr w14:val="tx1"/>
                  </w14:solidFill>
                </w14:textFill>
              </w:rPr>
              <w:t>电源</w:t>
            </w:r>
            <w:bookmarkEnd w:id="144"/>
            <w:bookmarkEnd w:id="145"/>
          </w:p>
        </w:tc>
        <w:tc>
          <w:tcPr>
            <w:tcW w:w="4558" w:type="dxa"/>
            <w:vAlign w:val="center"/>
          </w:tcPr>
          <w:p w14:paraId="149DD416">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05DE086B">
            <w:pPr>
              <w:snapToGrid w:val="0"/>
              <w:spacing w:line="480" w:lineRule="atLeast"/>
              <w:jc w:val="center"/>
              <w:outlineLvl w:val="1"/>
              <w:rPr>
                <w:color w:val="000000" w:themeColor="text1"/>
                <w:sz w:val="24"/>
                <w:szCs w:val="24"/>
                <w14:textFill>
                  <w14:solidFill>
                    <w14:schemeClr w14:val="tx1"/>
                  </w14:solidFill>
                </w14:textFill>
              </w:rPr>
            </w:pPr>
          </w:p>
        </w:tc>
      </w:tr>
      <w:tr w14:paraId="545E8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36642AE1">
            <w:pPr>
              <w:snapToGrid w:val="0"/>
              <w:spacing w:line="480" w:lineRule="atLeast"/>
              <w:jc w:val="center"/>
              <w:outlineLvl w:val="1"/>
              <w:rPr>
                <w:color w:val="000000" w:themeColor="text1"/>
                <w:sz w:val="24"/>
                <w:szCs w:val="24"/>
                <w14:textFill>
                  <w14:solidFill>
                    <w14:schemeClr w14:val="tx1"/>
                  </w14:solidFill>
                </w14:textFill>
              </w:rPr>
            </w:pPr>
            <w:bookmarkStart w:id="146" w:name="_Toc220074694"/>
            <w:bookmarkStart w:id="147" w:name="_Toc57984102"/>
            <w:r>
              <w:rPr>
                <w:rFonts w:hint="eastAsia"/>
                <w:color w:val="000000" w:themeColor="text1"/>
                <w:sz w:val="24"/>
                <w:szCs w:val="24"/>
                <w14:textFill>
                  <w14:solidFill>
                    <w14:schemeClr w14:val="tx1"/>
                  </w14:solidFill>
                </w14:textFill>
              </w:rPr>
              <w:t>制冷剂</w:t>
            </w:r>
            <w:bookmarkEnd w:id="146"/>
            <w:bookmarkEnd w:id="147"/>
          </w:p>
        </w:tc>
        <w:tc>
          <w:tcPr>
            <w:tcW w:w="4558" w:type="dxa"/>
            <w:vAlign w:val="center"/>
          </w:tcPr>
          <w:p w14:paraId="3BCDBA54">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5E71F205">
            <w:pPr>
              <w:snapToGrid w:val="0"/>
              <w:spacing w:line="480" w:lineRule="atLeast"/>
              <w:jc w:val="center"/>
              <w:outlineLvl w:val="1"/>
              <w:rPr>
                <w:color w:val="000000" w:themeColor="text1"/>
                <w:sz w:val="24"/>
                <w:szCs w:val="24"/>
                <w14:textFill>
                  <w14:solidFill>
                    <w14:schemeClr w14:val="tx1"/>
                  </w14:solidFill>
                </w14:textFill>
              </w:rPr>
            </w:pPr>
          </w:p>
        </w:tc>
      </w:tr>
      <w:tr w14:paraId="747A9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4A046928">
            <w:pPr>
              <w:snapToGrid w:val="0"/>
              <w:spacing w:line="480" w:lineRule="atLeast"/>
              <w:jc w:val="center"/>
              <w:outlineLvl w:val="1"/>
              <w:rPr>
                <w:color w:val="000000" w:themeColor="text1"/>
                <w:sz w:val="24"/>
                <w:szCs w:val="24"/>
                <w14:textFill>
                  <w14:solidFill>
                    <w14:schemeClr w14:val="tx1"/>
                  </w14:solidFill>
                </w14:textFill>
              </w:rPr>
            </w:pPr>
            <w:bookmarkStart w:id="148" w:name="_Toc57984103"/>
            <w:bookmarkStart w:id="149" w:name="_Toc220074695"/>
            <w:r>
              <w:rPr>
                <w:rFonts w:hint="eastAsia"/>
                <w:color w:val="000000" w:themeColor="text1"/>
                <w:sz w:val="24"/>
                <w:szCs w:val="24"/>
                <w14:textFill>
                  <w14:solidFill>
                    <w14:schemeClr w14:val="tx1"/>
                  </w14:solidFill>
                </w14:textFill>
              </w:rPr>
              <w:t>送风口型式</w:t>
            </w:r>
            <w:bookmarkEnd w:id="148"/>
            <w:bookmarkEnd w:id="149"/>
          </w:p>
          <w:p w14:paraId="2643132D">
            <w:pPr>
              <w:snapToGrid w:val="0"/>
              <w:spacing w:line="480" w:lineRule="atLeast"/>
              <w:jc w:val="center"/>
              <w:outlineLvl w:val="1"/>
              <w:rPr>
                <w:color w:val="000000" w:themeColor="text1"/>
                <w:sz w:val="24"/>
                <w:szCs w:val="24"/>
                <w14:textFill>
                  <w14:solidFill>
                    <w14:schemeClr w14:val="tx1"/>
                  </w14:solidFill>
                </w14:textFill>
              </w:rPr>
            </w:pPr>
            <w:bookmarkStart w:id="150" w:name="_Toc57984104"/>
            <w:bookmarkStart w:id="151" w:name="_Toc220074696"/>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仅对明装型机组</w:t>
            </w:r>
            <w:r>
              <w:rPr>
                <w:color w:val="000000" w:themeColor="text1"/>
                <w:sz w:val="24"/>
                <w:szCs w:val="24"/>
                <w14:textFill>
                  <w14:solidFill>
                    <w14:schemeClr w14:val="tx1"/>
                  </w14:solidFill>
                </w14:textFill>
              </w:rPr>
              <w:t>)</w:t>
            </w:r>
            <w:bookmarkEnd w:id="150"/>
            <w:bookmarkEnd w:id="151"/>
          </w:p>
        </w:tc>
        <w:tc>
          <w:tcPr>
            <w:tcW w:w="4558" w:type="dxa"/>
            <w:vAlign w:val="center"/>
          </w:tcPr>
          <w:p w14:paraId="7643718C">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1467FDA6">
            <w:pPr>
              <w:snapToGrid w:val="0"/>
              <w:spacing w:line="480" w:lineRule="atLeast"/>
              <w:jc w:val="center"/>
              <w:outlineLvl w:val="1"/>
              <w:rPr>
                <w:color w:val="000000" w:themeColor="text1"/>
                <w:sz w:val="24"/>
                <w:szCs w:val="24"/>
                <w14:textFill>
                  <w14:solidFill>
                    <w14:schemeClr w14:val="tx1"/>
                  </w14:solidFill>
                </w14:textFill>
              </w:rPr>
            </w:pPr>
          </w:p>
        </w:tc>
      </w:tr>
      <w:tr w14:paraId="532D1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1D2B32A3">
            <w:pPr>
              <w:snapToGrid w:val="0"/>
              <w:spacing w:line="480" w:lineRule="atLeast"/>
              <w:jc w:val="center"/>
              <w:outlineLvl w:val="1"/>
              <w:rPr>
                <w:color w:val="000000" w:themeColor="text1"/>
                <w:sz w:val="24"/>
                <w:szCs w:val="24"/>
                <w14:textFill>
                  <w14:solidFill>
                    <w14:schemeClr w14:val="tx1"/>
                  </w14:solidFill>
                </w14:textFill>
              </w:rPr>
            </w:pPr>
            <w:bookmarkStart w:id="152" w:name="_Toc220074697"/>
            <w:bookmarkStart w:id="153" w:name="_Toc57984105"/>
            <w:r>
              <w:rPr>
                <w:rFonts w:hint="eastAsia"/>
                <w:color w:val="000000" w:themeColor="text1"/>
                <w:sz w:val="24"/>
                <w:szCs w:val="24"/>
                <w14:textFill>
                  <w14:solidFill>
                    <w14:schemeClr w14:val="tx1"/>
                  </w14:solidFill>
                </w14:textFill>
              </w:rPr>
              <w:t>送风口尺寸</w:t>
            </w:r>
            <w:bookmarkEnd w:id="152"/>
            <w:bookmarkEnd w:id="153"/>
          </w:p>
          <w:p w14:paraId="1D4257E1">
            <w:pPr>
              <w:snapToGrid w:val="0"/>
              <w:spacing w:line="480" w:lineRule="atLeast"/>
              <w:jc w:val="center"/>
              <w:outlineLvl w:val="1"/>
              <w:rPr>
                <w:color w:val="000000" w:themeColor="text1"/>
                <w:sz w:val="24"/>
                <w:szCs w:val="24"/>
                <w14:textFill>
                  <w14:solidFill>
                    <w14:schemeClr w14:val="tx1"/>
                  </w14:solidFill>
                </w14:textFill>
              </w:rPr>
            </w:pPr>
            <w:bookmarkStart w:id="154" w:name="_Toc57984106"/>
            <w:bookmarkStart w:id="155" w:name="_Toc220074698"/>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仅对明装型机组</w:t>
            </w:r>
            <w:r>
              <w:rPr>
                <w:color w:val="000000" w:themeColor="text1"/>
                <w:sz w:val="24"/>
                <w:szCs w:val="24"/>
                <w14:textFill>
                  <w14:solidFill>
                    <w14:schemeClr w14:val="tx1"/>
                  </w14:solidFill>
                </w14:textFill>
              </w:rPr>
              <w:t>)</w:t>
            </w:r>
            <w:bookmarkEnd w:id="154"/>
            <w:bookmarkEnd w:id="155"/>
          </w:p>
        </w:tc>
        <w:tc>
          <w:tcPr>
            <w:tcW w:w="4558" w:type="dxa"/>
            <w:vAlign w:val="center"/>
          </w:tcPr>
          <w:p w14:paraId="15322337">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3F7DAB9B">
            <w:pPr>
              <w:snapToGrid w:val="0"/>
              <w:spacing w:line="480" w:lineRule="atLeast"/>
              <w:jc w:val="center"/>
              <w:outlineLvl w:val="1"/>
              <w:rPr>
                <w:color w:val="000000" w:themeColor="text1"/>
                <w:sz w:val="24"/>
                <w:szCs w:val="24"/>
                <w14:textFill>
                  <w14:solidFill>
                    <w14:schemeClr w14:val="tx1"/>
                  </w14:solidFill>
                </w14:textFill>
              </w:rPr>
            </w:pPr>
            <w:bookmarkStart w:id="156" w:name="_Toc57984107"/>
            <w:bookmarkStart w:id="157" w:name="_Toc220074699"/>
            <w:r>
              <w:rPr>
                <w:color w:val="000000" w:themeColor="text1"/>
                <w:sz w:val="24"/>
                <w:szCs w:val="24"/>
                <w14:textFill>
                  <w14:solidFill>
                    <w14:schemeClr w14:val="tx1"/>
                  </w14:solidFill>
                </w14:textFill>
              </w:rPr>
              <w:t>mm</w:t>
            </w:r>
            <w:bookmarkEnd w:id="156"/>
            <w:bookmarkEnd w:id="157"/>
          </w:p>
        </w:tc>
      </w:tr>
      <w:tr w14:paraId="6A281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04B49126">
            <w:pPr>
              <w:snapToGrid w:val="0"/>
              <w:spacing w:line="480" w:lineRule="atLeast"/>
              <w:jc w:val="center"/>
              <w:outlineLvl w:val="1"/>
              <w:rPr>
                <w:color w:val="000000" w:themeColor="text1"/>
                <w:sz w:val="24"/>
                <w:szCs w:val="24"/>
                <w14:textFill>
                  <w14:solidFill>
                    <w14:schemeClr w14:val="tx1"/>
                  </w14:solidFill>
                </w14:textFill>
              </w:rPr>
            </w:pPr>
            <w:bookmarkStart w:id="158" w:name="_Toc57984108"/>
            <w:bookmarkStart w:id="159" w:name="_Toc220074700"/>
            <w:r>
              <w:rPr>
                <w:rFonts w:hint="eastAsia"/>
                <w:color w:val="000000" w:themeColor="text1"/>
                <w:sz w:val="24"/>
                <w:szCs w:val="24"/>
                <w14:textFill>
                  <w14:solidFill>
                    <w14:schemeClr w14:val="tx1"/>
                  </w14:solidFill>
                </w14:textFill>
              </w:rPr>
              <w:t>回风口型式</w:t>
            </w:r>
            <w:bookmarkEnd w:id="158"/>
            <w:bookmarkEnd w:id="159"/>
          </w:p>
          <w:p w14:paraId="1E311667">
            <w:pPr>
              <w:snapToGrid w:val="0"/>
              <w:spacing w:line="480" w:lineRule="atLeast"/>
              <w:jc w:val="center"/>
              <w:outlineLvl w:val="1"/>
              <w:rPr>
                <w:color w:val="000000" w:themeColor="text1"/>
                <w:sz w:val="24"/>
                <w:szCs w:val="24"/>
                <w14:textFill>
                  <w14:solidFill>
                    <w14:schemeClr w14:val="tx1"/>
                  </w14:solidFill>
                </w14:textFill>
              </w:rPr>
            </w:pPr>
            <w:bookmarkStart w:id="160" w:name="_Toc57984109"/>
            <w:bookmarkStart w:id="161" w:name="_Toc220074701"/>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仅对明装型机组</w:t>
            </w:r>
            <w:r>
              <w:rPr>
                <w:color w:val="000000" w:themeColor="text1"/>
                <w:sz w:val="24"/>
                <w:szCs w:val="24"/>
                <w14:textFill>
                  <w14:solidFill>
                    <w14:schemeClr w14:val="tx1"/>
                  </w14:solidFill>
                </w14:textFill>
              </w:rPr>
              <w:t>)</w:t>
            </w:r>
            <w:bookmarkEnd w:id="160"/>
            <w:bookmarkEnd w:id="161"/>
          </w:p>
        </w:tc>
        <w:tc>
          <w:tcPr>
            <w:tcW w:w="4558" w:type="dxa"/>
            <w:vAlign w:val="center"/>
          </w:tcPr>
          <w:p w14:paraId="5C353EB7">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01B3CF65">
            <w:pPr>
              <w:snapToGrid w:val="0"/>
              <w:spacing w:line="480" w:lineRule="atLeast"/>
              <w:jc w:val="center"/>
              <w:outlineLvl w:val="1"/>
              <w:rPr>
                <w:color w:val="000000" w:themeColor="text1"/>
                <w:sz w:val="24"/>
                <w:szCs w:val="24"/>
                <w14:textFill>
                  <w14:solidFill>
                    <w14:schemeClr w14:val="tx1"/>
                  </w14:solidFill>
                </w14:textFill>
              </w:rPr>
            </w:pPr>
          </w:p>
        </w:tc>
      </w:tr>
      <w:tr w14:paraId="15D59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1E4D78C7">
            <w:pPr>
              <w:snapToGrid w:val="0"/>
              <w:spacing w:line="480" w:lineRule="atLeast"/>
              <w:jc w:val="center"/>
              <w:outlineLvl w:val="1"/>
              <w:rPr>
                <w:color w:val="000000" w:themeColor="text1"/>
                <w:sz w:val="24"/>
                <w:szCs w:val="24"/>
                <w14:textFill>
                  <w14:solidFill>
                    <w14:schemeClr w14:val="tx1"/>
                  </w14:solidFill>
                </w14:textFill>
              </w:rPr>
            </w:pPr>
            <w:bookmarkStart w:id="162" w:name="_Toc220074702"/>
            <w:bookmarkStart w:id="163" w:name="_Toc57984110"/>
            <w:r>
              <w:rPr>
                <w:rFonts w:hint="eastAsia"/>
                <w:color w:val="000000" w:themeColor="text1"/>
                <w:sz w:val="24"/>
                <w:szCs w:val="24"/>
                <w14:textFill>
                  <w14:solidFill>
                    <w14:schemeClr w14:val="tx1"/>
                  </w14:solidFill>
                </w14:textFill>
              </w:rPr>
              <w:t>回风口尺寸</w:t>
            </w:r>
            <w:bookmarkEnd w:id="162"/>
            <w:bookmarkEnd w:id="163"/>
          </w:p>
          <w:p w14:paraId="1D1F3885">
            <w:pPr>
              <w:snapToGrid w:val="0"/>
              <w:spacing w:line="480" w:lineRule="atLeast"/>
              <w:jc w:val="center"/>
              <w:outlineLvl w:val="1"/>
              <w:rPr>
                <w:color w:val="000000" w:themeColor="text1"/>
                <w:sz w:val="24"/>
                <w:szCs w:val="24"/>
                <w14:textFill>
                  <w14:solidFill>
                    <w14:schemeClr w14:val="tx1"/>
                  </w14:solidFill>
                </w14:textFill>
              </w:rPr>
            </w:pPr>
            <w:bookmarkStart w:id="164" w:name="_Toc57984111"/>
            <w:bookmarkStart w:id="165" w:name="_Toc220074703"/>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仅对明装型机组</w:t>
            </w:r>
            <w:r>
              <w:rPr>
                <w:color w:val="000000" w:themeColor="text1"/>
                <w:sz w:val="24"/>
                <w:szCs w:val="24"/>
                <w14:textFill>
                  <w14:solidFill>
                    <w14:schemeClr w14:val="tx1"/>
                  </w14:solidFill>
                </w14:textFill>
              </w:rPr>
              <w:t>)</w:t>
            </w:r>
            <w:bookmarkEnd w:id="164"/>
            <w:bookmarkEnd w:id="165"/>
          </w:p>
        </w:tc>
        <w:tc>
          <w:tcPr>
            <w:tcW w:w="4558" w:type="dxa"/>
            <w:vAlign w:val="center"/>
          </w:tcPr>
          <w:p w14:paraId="51C81211">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036A0885">
            <w:pPr>
              <w:snapToGrid w:val="0"/>
              <w:spacing w:line="480" w:lineRule="atLeast"/>
              <w:jc w:val="center"/>
              <w:outlineLvl w:val="1"/>
              <w:rPr>
                <w:color w:val="000000" w:themeColor="text1"/>
                <w:sz w:val="24"/>
                <w:szCs w:val="24"/>
                <w14:textFill>
                  <w14:solidFill>
                    <w14:schemeClr w14:val="tx1"/>
                  </w14:solidFill>
                </w14:textFill>
              </w:rPr>
            </w:pPr>
            <w:bookmarkStart w:id="166" w:name="_Toc57984112"/>
            <w:bookmarkStart w:id="167" w:name="_Toc220074704"/>
            <w:r>
              <w:rPr>
                <w:color w:val="000000" w:themeColor="text1"/>
                <w:sz w:val="24"/>
                <w:szCs w:val="24"/>
                <w14:textFill>
                  <w14:solidFill>
                    <w14:schemeClr w14:val="tx1"/>
                  </w14:solidFill>
                </w14:textFill>
              </w:rPr>
              <w:t>mm</w:t>
            </w:r>
            <w:bookmarkEnd w:id="166"/>
            <w:bookmarkEnd w:id="167"/>
          </w:p>
        </w:tc>
      </w:tr>
      <w:tr w14:paraId="2DC42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3D223643">
            <w:pPr>
              <w:snapToGrid w:val="0"/>
              <w:spacing w:line="480" w:lineRule="atLeast"/>
              <w:jc w:val="center"/>
              <w:outlineLvl w:val="1"/>
              <w:rPr>
                <w:color w:val="000000" w:themeColor="text1"/>
                <w:sz w:val="24"/>
                <w:szCs w:val="24"/>
                <w14:textFill>
                  <w14:solidFill>
                    <w14:schemeClr w14:val="tx1"/>
                  </w14:solidFill>
                </w14:textFill>
              </w:rPr>
            </w:pPr>
            <w:bookmarkStart w:id="168" w:name="_Toc220074705"/>
            <w:bookmarkStart w:id="169" w:name="_Toc57984113"/>
            <w:r>
              <w:rPr>
                <w:rFonts w:hint="eastAsia"/>
                <w:color w:val="000000" w:themeColor="text1"/>
                <w:sz w:val="24"/>
                <w:szCs w:val="24"/>
                <w14:textFill>
                  <w14:solidFill>
                    <w14:schemeClr w14:val="tx1"/>
                  </w14:solidFill>
                </w14:textFill>
              </w:rPr>
              <w:t>设备净重</w:t>
            </w:r>
            <w:bookmarkEnd w:id="168"/>
            <w:bookmarkEnd w:id="169"/>
          </w:p>
          <w:p w14:paraId="64887DFB">
            <w:pPr>
              <w:snapToGrid w:val="0"/>
              <w:spacing w:line="480" w:lineRule="atLeast"/>
              <w:jc w:val="center"/>
              <w:outlineLvl w:val="1"/>
              <w:rPr>
                <w:color w:val="000000" w:themeColor="text1"/>
                <w:sz w:val="24"/>
                <w:szCs w:val="24"/>
                <w14:textFill>
                  <w14:solidFill>
                    <w14:schemeClr w14:val="tx1"/>
                  </w14:solidFill>
                </w14:textFill>
              </w:rPr>
            </w:pPr>
            <w:bookmarkStart w:id="170" w:name="_Toc57984114"/>
            <w:bookmarkStart w:id="171" w:name="_Toc220074706"/>
            <w:r>
              <w:rPr>
                <w:rFonts w:hint="eastAsia"/>
                <w:color w:val="000000" w:themeColor="text1"/>
                <w:sz w:val="24"/>
                <w:szCs w:val="24"/>
                <w14:textFill>
                  <w14:solidFill>
                    <w14:schemeClr w14:val="tx1"/>
                  </w14:solidFill>
                </w14:textFill>
              </w:rPr>
              <w:t>（室内机</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室外机）</w:t>
            </w:r>
            <w:bookmarkEnd w:id="170"/>
            <w:bookmarkEnd w:id="171"/>
          </w:p>
        </w:tc>
        <w:tc>
          <w:tcPr>
            <w:tcW w:w="4558" w:type="dxa"/>
            <w:vAlign w:val="center"/>
          </w:tcPr>
          <w:p w14:paraId="6355F7A0">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74098F1C">
            <w:pPr>
              <w:snapToGrid w:val="0"/>
              <w:spacing w:line="480" w:lineRule="atLeast"/>
              <w:jc w:val="center"/>
              <w:outlineLvl w:val="1"/>
              <w:rPr>
                <w:color w:val="000000" w:themeColor="text1"/>
                <w:sz w:val="24"/>
                <w:szCs w:val="24"/>
                <w14:textFill>
                  <w14:solidFill>
                    <w14:schemeClr w14:val="tx1"/>
                  </w14:solidFill>
                </w14:textFill>
              </w:rPr>
            </w:pPr>
            <w:bookmarkStart w:id="172" w:name="_Toc57984115"/>
            <w:bookmarkStart w:id="173" w:name="_Toc220074707"/>
            <w:r>
              <w:rPr>
                <w:color w:val="000000" w:themeColor="text1"/>
                <w:sz w:val="24"/>
                <w:szCs w:val="24"/>
                <w14:textFill>
                  <w14:solidFill>
                    <w14:schemeClr w14:val="tx1"/>
                  </w14:solidFill>
                </w14:textFill>
              </w:rPr>
              <w:t>kg</w:t>
            </w:r>
            <w:bookmarkEnd w:id="172"/>
            <w:bookmarkEnd w:id="173"/>
          </w:p>
        </w:tc>
      </w:tr>
      <w:tr w14:paraId="55674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59B7FB96">
            <w:pPr>
              <w:snapToGrid w:val="0"/>
              <w:spacing w:line="480" w:lineRule="atLeast"/>
              <w:jc w:val="center"/>
              <w:outlineLvl w:val="1"/>
              <w:rPr>
                <w:color w:val="000000" w:themeColor="text1"/>
                <w:sz w:val="24"/>
                <w:szCs w:val="24"/>
                <w14:textFill>
                  <w14:solidFill>
                    <w14:schemeClr w14:val="tx1"/>
                  </w14:solidFill>
                </w14:textFill>
              </w:rPr>
            </w:pPr>
            <w:bookmarkStart w:id="174" w:name="_Toc57984116"/>
            <w:bookmarkStart w:id="175" w:name="_Toc220074708"/>
            <w:r>
              <w:rPr>
                <w:rFonts w:hint="eastAsia"/>
                <w:color w:val="000000" w:themeColor="text1"/>
                <w:sz w:val="24"/>
                <w:szCs w:val="24"/>
                <w14:textFill>
                  <w14:solidFill>
                    <w14:schemeClr w14:val="tx1"/>
                  </w14:solidFill>
                </w14:textFill>
              </w:rPr>
              <w:t>设备外型尺寸</w:t>
            </w:r>
            <w:bookmarkEnd w:id="174"/>
            <w:bookmarkEnd w:id="175"/>
          </w:p>
          <w:p w14:paraId="023B9ED6">
            <w:pPr>
              <w:snapToGrid w:val="0"/>
              <w:spacing w:line="480" w:lineRule="atLeast"/>
              <w:jc w:val="center"/>
              <w:outlineLvl w:val="1"/>
              <w:rPr>
                <w:color w:val="000000" w:themeColor="text1"/>
                <w:sz w:val="24"/>
                <w:szCs w:val="24"/>
                <w14:textFill>
                  <w14:solidFill>
                    <w14:schemeClr w14:val="tx1"/>
                  </w14:solidFill>
                </w14:textFill>
              </w:rPr>
            </w:pPr>
            <w:bookmarkStart w:id="176" w:name="_Toc220074709"/>
            <w:bookmarkStart w:id="177" w:name="_Toc57984117"/>
            <w:r>
              <w:rPr>
                <w:rFonts w:hint="eastAsia"/>
                <w:color w:val="000000" w:themeColor="text1"/>
                <w:sz w:val="24"/>
                <w:szCs w:val="24"/>
                <w14:textFill>
                  <w14:solidFill>
                    <w14:schemeClr w14:val="tx1"/>
                  </w14:solidFill>
                </w14:textFill>
              </w:rPr>
              <w:t>（室内机</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室外机）</w:t>
            </w:r>
            <w:bookmarkEnd w:id="176"/>
            <w:bookmarkEnd w:id="177"/>
          </w:p>
        </w:tc>
        <w:tc>
          <w:tcPr>
            <w:tcW w:w="4558" w:type="dxa"/>
            <w:vAlign w:val="center"/>
          </w:tcPr>
          <w:p w14:paraId="44491617">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42E1397D">
            <w:pPr>
              <w:snapToGrid w:val="0"/>
              <w:spacing w:line="480" w:lineRule="atLeast"/>
              <w:jc w:val="center"/>
              <w:outlineLvl w:val="1"/>
              <w:rPr>
                <w:color w:val="000000" w:themeColor="text1"/>
                <w:sz w:val="24"/>
                <w:szCs w:val="24"/>
                <w14:textFill>
                  <w14:solidFill>
                    <w14:schemeClr w14:val="tx1"/>
                  </w14:solidFill>
                </w14:textFill>
              </w:rPr>
            </w:pPr>
            <w:bookmarkStart w:id="178" w:name="_Toc57984118"/>
            <w:bookmarkStart w:id="179" w:name="_Toc220074710"/>
            <w:r>
              <w:rPr>
                <w:color w:val="000000" w:themeColor="text1"/>
                <w:sz w:val="24"/>
                <w:szCs w:val="24"/>
                <w14:textFill>
                  <w14:solidFill>
                    <w14:schemeClr w14:val="tx1"/>
                  </w14:solidFill>
                </w14:textFill>
              </w:rPr>
              <w:t>mm</w:t>
            </w:r>
            <w:bookmarkEnd w:id="178"/>
            <w:bookmarkEnd w:id="179"/>
          </w:p>
        </w:tc>
      </w:tr>
      <w:tr w14:paraId="3FA4C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75E8F2CF">
            <w:pPr>
              <w:snapToGrid w:val="0"/>
              <w:spacing w:line="480" w:lineRule="atLeast"/>
              <w:jc w:val="center"/>
              <w:outlineLvl w:val="1"/>
              <w:rPr>
                <w:color w:val="000000" w:themeColor="text1"/>
                <w:sz w:val="24"/>
                <w:szCs w:val="24"/>
                <w14:textFill>
                  <w14:solidFill>
                    <w14:schemeClr w14:val="tx1"/>
                  </w14:solidFill>
                </w14:textFill>
              </w:rPr>
            </w:pPr>
            <w:bookmarkStart w:id="180" w:name="_Toc57984119"/>
            <w:bookmarkStart w:id="181" w:name="_Toc220074711"/>
            <w:r>
              <w:rPr>
                <w:rFonts w:hint="eastAsia"/>
                <w:color w:val="000000" w:themeColor="text1"/>
                <w:sz w:val="24"/>
                <w:szCs w:val="24"/>
                <w14:textFill>
                  <w14:solidFill>
                    <w14:schemeClr w14:val="tx1"/>
                  </w14:solidFill>
                </w14:textFill>
              </w:rPr>
              <w:t>噪声值</w:t>
            </w:r>
            <w:bookmarkEnd w:id="180"/>
            <w:bookmarkEnd w:id="181"/>
          </w:p>
          <w:p w14:paraId="04B7DDCC">
            <w:pPr>
              <w:snapToGrid w:val="0"/>
              <w:spacing w:line="480" w:lineRule="atLeast"/>
              <w:jc w:val="center"/>
              <w:outlineLvl w:val="1"/>
              <w:rPr>
                <w:color w:val="000000" w:themeColor="text1"/>
                <w:sz w:val="24"/>
                <w:szCs w:val="24"/>
                <w14:textFill>
                  <w14:solidFill>
                    <w14:schemeClr w14:val="tx1"/>
                  </w14:solidFill>
                </w14:textFill>
              </w:rPr>
            </w:pPr>
            <w:bookmarkStart w:id="182" w:name="_Toc57984120"/>
            <w:bookmarkStart w:id="183" w:name="_Toc220074712"/>
            <w:r>
              <w:rPr>
                <w:rFonts w:hint="eastAsia"/>
                <w:color w:val="000000" w:themeColor="text1"/>
                <w:sz w:val="24"/>
                <w:szCs w:val="24"/>
                <w14:textFill>
                  <w14:solidFill>
                    <w14:schemeClr w14:val="tx1"/>
                  </w14:solidFill>
                </w14:textFill>
              </w:rPr>
              <w:t>（室内机</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室外机）</w:t>
            </w:r>
            <w:bookmarkEnd w:id="182"/>
            <w:bookmarkEnd w:id="183"/>
          </w:p>
        </w:tc>
        <w:tc>
          <w:tcPr>
            <w:tcW w:w="4558" w:type="dxa"/>
            <w:vAlign w:val="center"/>
          </w:tcPr>
          <w:p w14:paraId="1CC4927C">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3C345B71">
            <w:pPr>
              <w:snapToGrid w:val="0"/>
              <w:spacing w:line="480" w:lineRule="atLeast"/>
              <w:jc w:val="center"/>
              <w:outlineLvl w:val="1"/>
              <w:rPr>
                <w:color w:val="000000" w:themeColor="text1"/>
                <w:sz w:val="24"/>
                <w:szCs w:val="24"/>
                <w14:textFill>
                  <w14:solidFill>
                    <w14:schemeClr w14:val="tx1"/>
                  </w14:solidFill>
                </w14:textFill>
              </w:rPr>
            </w:pPr>
            <w:bookmarkStart w:id="184" w:name="_Toc57984121"/>
            <w:bookmarkStart w:id="185" w:name="_Toc220074713"/>
            <w:r>
              <w:rPr>
                <w:color w:val="000000" w:themeColor="text1"/>
                <w:sz w:val="24"/>
                <w:szCs w:val="24"/>
                <w14:textFill>
                  <w14:solidFill>
                    <w14:schemeClr w14:val="tx1"/>
                  </w14:solidFill>
                </w14:textFill>
              </w:rPr>
              <w:t>dB(A)</w:t>
            </w:r>
            <w:bookmarkEnd w:id="184"/>
            <w:bookmarkEnd w:id="185"/>
          </w:p>
        </w:tc>
      </w:tr>
      <w:tr w14:paraId="4B03D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2E8B7F13">
            <w:pPr>
              <w:snapToGrid w:val="0"/>
              <w:spacing w:line="480" w:lineRule="atLeast"/>
              <w:jc w:val="center"/>
              <w:outlineLvl w:val="1"/>
              <w:rPr>
                <w:color w:val="000000" w:themeColor="text1"/>
                <w:sz w:val="24"/>
                <w:szCs w:val="24"/>
                <w14:textFill>
                  <w14:solidFill>
                    <w14:schemeClr w14:val="tx1"/>
                  </w14:solidFill>
                </w14:textFill>
              </w:rPr>
            </w:pPr>
            <w:bookmarkStart w:id="186" w:name="_Toc57984122"/>
            <w:bookmarkStart w:id="187" w:name="_Toc220074714"/>
            <w:r>
              <w:rPr>
                <w:rFonts w:hint="eastAsia"/>
                <w:color w:val="000000" w:themeColor="text1"/>
                <w:sz w:val="24"/>
                <w:szCs w:val="24"/>
                <w14:textFill>
                  <w14:solidFill>
                    <w14:schemeClr w14:val="tx1"/>
                  </w14:solidFill>
                </w14:textFill>
              </w:rPr>
              <w:t>框架材质</w:t>
            </w:r>
            <w:bookmarkEnd w:id="186"/>
            <w:bookmarkEnd w:id="187"/>
          </w:p>
        </w:tc>
        <w:tc>
          <w:tcPr>
            <w:tcW w:w="4558" w:type="dxa"/>
            <w:vAlign w:val="center"/>
          </w:tcPr>
          <w:p w14:paraId="3896D059">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0CC3B503">
            <w:pPr>
              <w:snapToGrid w:val="0"/>
              <w:spacing w:line="480" w:lineRule="atLeast"/>
              <w:jc w:val="center"/>
              <w:outlineLvl w:val="1"/>
              <w:rPr>
                <w:color w:val="000000" w:themeColor="text1"/>
                <w:sz w:val="24"/>
                <w:szCs w:val="24"/>
                <w14:textFill>
                  <w14:solidFill>
                    <w14:schemeClr w14:val="tx1"/>
                  </w14:solidFill>
                </w14:textFill>
              </w:rPr>
            </w:pPr>
          </w:p>
        </w:tc>
      </w:tr>
      <w:tr w14:paraId="161B1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6E3F49B6">
            <w:pPr>
              <w:snapToGrid w:val="0"/>
              <w:spacing w:line="480" w:lineRule="atLeast"/>
              <w:jc w:val="center"/>
              <w:outlineLvl w:val="1"/>
              <w:rPr>
                <w:color w:val="000000" w:themeColor="text1"/>
                <w:sz w:val="24"/>
                <w:szCs w:val="24"/>
                <w14:textFill>
                  <w14:solidFill>
                    <w14:schemeClr w14:val="tx1"/>
                  </w14:solidFill>
                </w14:textFill>
              </w:rPr>
            </w:pPr>
            <w:bookmarkStart w:id="188" w:name="_Toc220074715"/>
            <w:bookmarkStart w:id="189" w:name="_Toc57984123"/>
            <w:r>
              <w:rPr>
                <w:rFonts w:hint="eastAsia"/>
                <w:color w:val="000000" w:themeColor="text1"/>
                <w:sz w:val="24"/>
                <w:szCs w:val="24"/>
                <w14:textFill>
                  <w14:solidFill>
                    <w14:schemeClr w14:val="tx1"/>
                  </w14:solidFill>
                </w14:textFill>
              </w:rPr>
              <w:t>面板材质</w:t>
            </w:r>
            <w:bookmarkEnd w:id="188"/>
            <w:bookmarkEnd w:id="189"/>
          </w:p>
        </w:tc>
        <w:tc>
          <w:tcPr>
            <w:tcW w:w="4558" w:type="dxa"/>
            <w:vAlign w:val="center"/>
          </w:tcPr>
          <w:p w14:paraId="0CFBAE40">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2E588CB7">
            <w:pPr>
              <w:snapToGrid w:val="0"/>
              <w:spacing w:line="480" w:lineRule="atLeast"/>
              <w:jc w:val="center"/>
              <w:outlineLvl w:val="1"/>
              <w:rPr>
                <w:color w:val="000000" w:themeColor="text1"/>
                <w:sz w:val="24"/>
                <w:szCs w:val="24"/>
                <w14:textFill>
                  <w14:solidFill>
                    <w14:schemeClr w14:val="tx1"/>
                  </w14:solidFill>
                </w14:textFill>
              </w:rPr>
            </w:pPr>
          </w:p>
        </w:tc>
      </w:tr>
      <w:tr w14:paraId="3C298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29231F6C">
            <w:pPr>
              <w:snapToGrid w:val="0"/>
              <w:spacing w:line="480" w:lineRule="atLeast"/>
              <w:jc w:val="center"/>
              <w:outlineLvl w:val="1"/>
              <w:rPr>
                <w:color w:val="000000" w:themeColor="text1"/>
                <w:sz w:val="24"/>
                <w:szCs w:val="24"/>
                <w14:textFill>
                  <w14:solidFill>
                    <w14:schemeClr w14:val="tx1"/>
                  </w14:solidFill>
                </w14:textFill>
              </w:rPr>
            </w:pPr>
            <w:bookmarkStart w:id="190" w:name="_Toc220074716"/>
            <w:bookmarkStart w:id="191" w:name="_Toc57984124"/>
            <w:r>
              <w:rPr>
                <w:rFonts w:hint="eastAsia"/>
                <w:color w:val="000000" w:themeColor="text1"/>
                <w:sz w:val="24"/>
                <w:szCs w:val="24"/>
                <w14:textFill>
                  <w14:solidFill>
                    <w14:schemeClr w14:val="tx1"/>
                  </w14:solidFill>
                </w14:textFill>
              </w:rPr>
              <w:t>面板保温材料名称</w:t>
            </w:r>
            <w:bookmarkEnd w:id="190"/>
            <w:bookmarkEnd w:id="191"/>
          </w:p>
        </w:tc>
        <w:tc>
          <w:tcPr>
            <w:tcW w:w="4558" w:type="dxa"/>
            <w:vAlign w:val="center"/>
          </w:tcPr>
          <w:p w14:paraId="43792FAD">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1B26D797">
            <w:pPr>
              <w:snapToGrid w:val="0"/>
              <w:spacing w:line="480" w:lineRule="atLeast"/>
              <w:jc w:val="center"/>
              <w:outlineLvl w:val="1"/>
              <w:rPr>
                <w:color w:val="000000" w:themeColor="text1"/>
                <w:sz w:val="24"/>
                <w:szCs w:val="24"/>
                <w14:textFill>
                  <w14:solidFill>
                    <w14:schemeClr w14:val="tx1"/>
                  </w14:solidFill>
                </w14:textFill>
              </w:rPr>
            </w:pPr>
          </w:p>
        </w:tc>
      </w:tr>
      <w:tr w14:paraId="42A16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20A8D320">
            <w:pPr>
              <w:snapToGrid w:val="0"/>
              <w:spacing w:line="480" w:lineRule="atLeast"/>
              <w:jc w:val="center"/>
              <w:outlineLvl w:val="1"/>
              <w:rPr>
                <w:color w:val="000000" w:themeColor="text1"/>
                <w:sz w:val="24"/>
                <w:szCs w:val="24"/>
                <w14:textFill>
                  <w14:solidFill>
                    <w14:schemeClr w14:val="tx1"/>
                  </w14:solidFill>
                </w14:textFill>
              </w:rPr>
            </w:pPr>
            <w:bookmarkStart w:id="192" w:name="_Toc57984125"/>
            <w:bookmarkStart w:id="193" w:name="_Toc220074717"/>
            <w:r>
              <w:rPr>
                <w:rFonts w:hint="eastAsia"/>
                <w:color w:val="000000" w:themeColor="text1"/>
                <w:sz w:val="24"/>
                <w:szCs w:val="24"/>
                <w14:textFill>
                  <w14:solidFill>
                    <w14:schemeClr w14:val="tx1"/>
                  </w14:solidFill>
                </w14:textFill>
              </w:rPr>
              <w:t>保温材料导热系数</w:t>
            </w:r>
            <w:bookmarkEnd w:id="192"/>
            <w:bookmarkEnd w:id="193"/>
          </w:p>
        </w:tc>
        <w:tc>
          <w:tcPr>
            <w:tcW w:w="4558" w:type="dxa"/>
            <w:vAlign w:val="center"/>
          </w:tcPr>
          <w:p w14:paraId="07B8365D">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410A490E">
            <w:pPr>
              <w:snapToGrid w:val="0"/>
              <w:spacing w:line="480" w:lineRule="atLeast"/>
              <w:jc w:val="center"/>
              <w:outlineLvl w:val="1"/>
              <w:rPr>
                <w:color w:val="000000" w:themeColor="text1"/>
                <w:sz w:val="24"/>
                <w:szCs w:val="24"/>
                <w14:textFill>
                  <w14:solidFill>
                    <w14:schemeClr w14:val="tx1"/>
                  </w14:solidFill>
                </w14:textFill>
              </w:rPr>
            </w:pPr>
            <w:bookmarkStart w:id="194" w:name="_Toc57984126"/>
            <w:bookmarkStart w:id="195" w:name="_Toc220074718"/>
            <w:r>
              <w:rPr>
                <w:color w:val="000000" w:themeColor="text1"/>
                <w:sz w:val="24"/>
                <w:szCs w:val="24"/>
                <w14:textFill>
                  <w14:solidFill>
                    <w14:schemeClr w14:val="tx1"/>
                  </w14:solidFill>
                </w14:textFill>
              </w:rPr>
              <w:t>W/m·k</w:t>
            </w:r>
            <w:bookmarkEnd w:id="194"/>
            <w:bookmarkEnd w:id="195"/>
          </w:p>
        </w:tc>
      </w:tr>
      <w:tr w14:paraId="63DCC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45A8461C">
            <w:pPr>
              <w:snapToGrid w:val="0"/>
              <w:spacing w:line="480" w:lineRule="atLeast"/>
              <w:jc w:val="center"/>
              <w:outlineLvl w:val="1"/>
              <w:rPr>
                <w:color w:val="000000" w:themeColor="text1"/>
                <w:sz w:val="24"/>
                <w:szCs w:val="24"/>
                <w14:textFill>
                  <w14:solidFill>
                    <w14:schemeClr w14:val="tx1"/>
                  </w14:solidFill>
                </w14:textFill>
              </w:rPr>
            </w:pPr>
            <w:bookmarkStart w:id="196" w:name="_Toc57984127"/>
            <w:bookmarkStart w:id="197" w:name="_Toc220074719"/>
            <w:r>
              <w:rPr>
                <w:rFonts w:hint="eastAsia"/>
                <w:color w:val="000000" w:themeColor="text1"/>
                <w:sz w:val="24"/>
                <w:szCs w:val="24"/>
                <w14:textFill>
                  <w14:solidFill>
                    <w14:schemeClr w14:val="tx1"/>
                  </w14:solidFill>
                </w14:textFill>
              </w:rPr>
              <w:t>面板保温厚度</w:t>
            </w:r>
            <w:bookmarkEnd w:id="196"/>
            <w:bookmarkEnd w:id="197"/>
          </w:p>
        </w:tc>
        <w:tc>
          <w:tcPr>
            <w:tcW w:w="4558" w:type="dxa"/>
            <w:vAlign w:val="center"/>
          </w:tcPr>
          <w:p w14:paraId="63966EFF">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1D2D09C6">
            <w:pPr>
              <w:snapToGrid w:val="0"/>
              <w:spacing w:line="480" w:lineRule="atLeast"/>
              <w:jc w:val="center"/>
              <w:outlineLvl w:val="1"/>
              <w:rPr>
                <w:color w:val="000000" w:themeColor="text1"/>
                <w:sz w:val="24"/>
                <w:szCs w:val="24"/>
                <w14:textFill>
                  <w14:solidFill>
                    <w14:schemeClr w14:val="tx1"/>
                  </w14:solidFill>
                </w14:textFill>
              </w:rPr>
            </w:pPr>
          </w:p>
        </w:tc>
      </w:tr>
      <w:tr w14:paraId="66FA9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786937CB">
            <w:pPr>
              <w:snapToGrid w:val="0"/>
              <w:spacing w:line="480" w:lineRule="atLeast"/>
              <w:jc w:val="center"/>
              <w:outlineLvl w:val="1"/>
              <w:rPr>
                <w:color w:val="000000" w:themeColor="text1"/>
                <w:sz w:val="24"/>
                <w:szCs w:val="24"/>
                <w14:textFill>
                  <w14:solidFill>
                    <w14:schemeClr w14:val="tx1"/>
                  </w14:solidFill>
                </w14:textFill>
              </w:rPr>
            </w:pPr>
            <w:bookmarkStart w:id="198" w:name="_Toc220074720"/>
            <w:r>
              <w:rPr>
                <w:rFonts w:hint="eastAsia"/>
                <w:b/>
                <w:color w:val="000000" w:themeColor="text1"/>
                <w:sz w:val="24"/>
                <w:szCs w:val="24"/>
                <w14:textFill>
                  <w14:solidFill>
                    <w14:schemeClr w14:val="tx1"/>
                  </w14:solidFill>
                </w14:textFill>
              </w:rPr>
              <w:t>压缩机</w:t>
            </w:r>
            <w:bookmarkEnd w:id="198"/>
          </w:p>
        </w:tc>
        <w:tc>
          <w:tcPr>
            <w:tcW w:w="4558" w:type="dxa"/>
            <w:vAlign w:val="center"/>
          </w:tcPr>
          <w:p w14:paraId="778E6BD1">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2DCB2FEE">
            <w:pPr>
              <w:snapToGrid w:val="0"/>
              <w:spacing w:line="480" w:lineRule="atLeast"/>
              <w:jc w:val="center"/>
              <w:outlineLvl w:val="1"/>
              <w:rPr>
                <w:color w:val="000000" w:themeColor="text1"/>
                <w:sz w:val="24"/>
                <w:szCs w:val="24"/>
                <w14:textFill>
                  <w14:solidFill>
                    <w14:schemeClr w14:val="tx1"/>
                  </w14:solidFill>
                </w14:textFill>
              </w:rPr>
            </w:pPr>
          </w:p>
        </w:tc>
      </w:tr>
      <w:tr w14:paraId="434C0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2716E7DB">
            <w:pPr>
              <w:snapToGrid w:val="0"/>
              <w:spacing w:line="480" w:lineRule="atLeast"/>
              <w:jc w:val="center"/>
              <w:outlineLvl w:val="1"/>
              <w:rPr>
                <w:color w:val="000000" w:themeColor="text1"/>
                <w:sz w:val="24"/>
                <w:szCs w:val="24"/>
                <w14:textFill>
                  <w14:solidFill>
                    <w14:schemeClr w14:val="tx1"/>
                  </w14:solidFill>
                </w14:textFill>
              </w:rPr>
            </w:pPr>
            <w:bookmarkStart w:id="199" w:name="_Toc220074721"/>
            <w:bookmarkStart w:id="200" w:name="_Toc57984128"/>
            <w:r>
              <w:rPr>
                <w:rFonts w:hint="eastAsia"/>
                <w:color w:val="000000" w:themeColor="text1"/>
                <w:sz w:val="24"/>
                <w:szCs w:val="24"/>
                <w14:textFill>
                  <w14:solidFill>
                    <w14:schemeClr w14:val="tx1"/>
                  </w14:solidFill>
                </w14:textFill>
              </w:rPr>
              <w:t>压缩冷凝机组</w:t>
            </w:r>
            <w:bookmarkEnd w:id="199"/>
            <w:bookmarkEnd w:id="200"/>
          </w:p>
        </w:tc>
        <w:tc>
          <w:tcPr>
            <w:tcW w:w="4558" w:type="dxa"/>
            <w:vAlign w:val="center"/>
          </w:tcPr>
          <w:p w14:paraId="34C974E8">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2F96B289">
            <w:pPr>
              <w:snapToGrid w:val="0"/>
              <w:spacing w:line="480" w:lineRule="atLeast"/>
              <w:jc w:val="center"/>
              <w:outlineLvl w:val="1"/>
              <w:rPr>
                <w:color w:val="000000" w:themeColor="text1"/>
                <w:sz w:val="24"/>
                <w:szCs w:val="24"/>
                <w14:textFill>
                  <w14:solidFill>
                    <w14:schemeClr w14:val="tx1"/>
                  </w14:solidFill>
                </w14:textFill>
              </w:rPr>
            </w:pPr>
            <w:bookmarkStart w:id="201" w:name="_Toc220074722"/>
            <w:bookmarkStart w:id="202" w:name="_Toc57984129"/>
            <w:r>
              <w:rPr>
                <w:color w:val="000000" w:themeColor="text1"/>
                <w:sz w:val="24"/>
                <w:szCs w:val="24"/>
                <w14:textFill>
                  <w14:solidFill>
                    <w14:schemeClr w14:val="tx1"/>
                  </w14:solidFill>
                </w14:textFill>
              </w:rPr>
              <w:t>mm</w:t>
            </w:r>
            <w:bookmarkEnd w:id="201"/>
            <w:bookmarkEnd w:id="202"/>
          </w:p>
        </w:tc>
      </w:tr>
      <w:tr w14:paraId="1F78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576ED0F4">
            <w:pPr>
              <w:snapToGrid w:val="0"/>
              <w:spacing w:line="480" w:lineRule="atLeast"/>
              <w:jc w:val="center"/>
              <w:outlineLvl w:val="1"/>
              <w:rPr>
                <w:color w:val="000000" w:themeColor="text1"/>
                <w:sz w:val="24"/>
                <w:szCs w:val="24"/>
                <w14:textFill>
                  <w14:solidFill>
                    <w14:schemeClr w14:val="tx1"/>
                  </w14:solidFill>
                </w14:textFill>
              </w:rPr>
            </w:pPr>
            <w:bookmarkStart w:id="203" w:name="_Toc220074723"/>
            <w:bookmarkStart w:id="204" w:name="_Toc57984130"/>
            <w:r>
              <w:rPr>
                <w:rFonts w:hint="eastAsia"/>
                <w:color w:val="000000" w:themeColor="text1"/>
                <w:sz w:val="24"/>
                <w:szCs w:val="24"/>
                <w14:textFill>
                  <w14:solidFill>
                    <w14:schemeClr w14:val="tx1"/>
                  </w14:solidFill>
                </w14:textFill>
              </w:rPr>
              <w:t>压缩机型式</w:t>
            </w:r>
            <w:bookmarkEnd w:id="203"/>
            <w:bookmarkEnd w:id="204"/>
          </w:p>
        </w:tc>
        <w:tc>
          <w:tcPr>
            <w:tcW w:w="4558" w:type="dxa"/>
            <w:vAlign w:val="center"/>
          </w:tcPr>
          <w:p w14:paraId="51531408">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7B344641">
            <w:pPr>
              <w:snapToGrid w:val="0"/>
              <w:spacing w:line="480" w:lineRule="atLeast"/>
              <w:jc w:val="center"/>
              <w:outlineLvl w:val="1"/>
              <w:rPr>
                <w:color w:val="000000" w:themeColor="text1"/>
                <w:sz w:val="24"/>
                <w:szCs w:val="24"/>
                <w14:textFill>
                  <w14:solidFill>
                    <w14:schemeClr w14:val="tx1"/>
                  </w14:solidFill>
                </w14:textFill>
              </w:rPr>
            </w:pPr>
          </w:p>
        </w:tc>
      </w:tr>
      <w:tr w14:paraId="27950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5C840D4B">
            <w:pPr>
              <w:snapToGrid w:val="0"/>
              <w:spacing w:line="480" w:lineRule="atLeast"/>
              <w:jc w:val="center"/>
              <w:outlineLvl w:val="1"/>
              <w:rPr>
                <w:color w:val="000000" w:themeColor="text1"/>
                <w:sz w:val="24"/>
                <w:szCs w:val="24"/>
                <w14:textFill>
                  <w14:solidFill>
                    <w14:schemeClr w14:val="tx1"/>
                  </w14:solidFill>
                </w14:textFill>
              </w:rPr>
            </w:pPr>
            <w:bookmarkStart w:id="205" w:name="_Toc57984131"/>
            <w:bookmarkStart w:id="206" w:name="_Toc220074724"/>
            <w:r>
              <w:rPr>
                <w:rFonts w:hint="eastAsia"/>
                <w:color w:val="000000" w:themeColor="text1"/>
                <w:sz w:val="24"/>
                <w:szCs w:val="24"/>
                <w14:textFill>
                  <w14:solidFill>
                    <w14:schemeClr w14:val="tx1"/>
                  </w14:solidFill>
                </w14:textFill>
              </w:rPr>
              <w:t>压缩机型号</w:t>
            </w:r>
            <w:bookmarkEnd w:id="205"/>
            <w:bookmarkEnd w:id="206"/>
          </w:p>
        </w:tc>
        <w:tc>
          <w:tcPr>
            <w:tcW w:w="4558" w:type="dxa"/>
            <w:vAlign w:val="center"/>
          </w:tcPr>
          <w:p w14:paraId="50FEEAAF">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5E7E1FC0">
            <w:pPr>
              <w:snapToGrid w:val="0"/>
              <w:spacing w:line="480" w:lineRule="atLeast"/>
              <w:jc w:val="center"/>
              <w:outlineLvl w:val="1"/>
              <w:rPr>
                <w:color w:val="000000" w:themeColor="text1"/>
                <w:sz w:val="24"/>
                <w:szCs w:val="24"/>
                <w14:textFill>
                  <w14:solidFill>
                    <w14:schemeClr w14:val="tx1"/>
                  </w14:solidFill>
                </w14:textFill>
              </w:rPr>
            </w:pPr>
          </w:p>
        </w:tc>
      </w:tr>
      <w:tr w14:paraId="6EFBB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1AADB404">
            <w:pPr>
              <w:snapToGrid w:val="0"/>
              <w:spacing w:line="480" w:lineRule="atLeast"/>
              <w:jc w:val="center"/>
              <w:outlineLvl w:val="1"/>
              <w:rPr>
                <w:color w:val="000000" w:themeColor="text1"/>
                <w:sz w:val="24"/>
                <w:szCs w:val="24"/>
                <w14:textFill>
                  <w14:solidFill>
                    <w14:schemeClr w14:val="tx1"/>
                  </w14:solidFill>
                </w14:textFill>
              </w:rPr>
            </w:pPr>
            <w:bookmarkStart w:id="207" w:name="_Toc57984132"/>
            <w:bookmarkStart w:id="208" w:name="_Toc220074725"/>
            <w:r>
              <w:rPr>
                <w:rFonts w:hint="eastAsia"/>
                <w:color w:val="000000" w:themeColor="text1"/>
                <w:sz w:val="24"/>
                <w:szCs w:val="24"/>
                <w14:textFill>
                  <w14:solidFill>
                    <w14:schemeClr w14:val="tx1"/>
                  </w14:solidFill>
                </w14:textFill>
              </w:rPr>
              <w:t>压缩机制造商</w:t>
            </w:r>
            <w:bookmarkEnd w:id="207"/>
            <w:bookmarkEnd w:id="208"/>
          </w:p>
        </w:tc>
        <w:tc>
          <w:tcPr>
            <w:tcW w:w="4558" w:type="dxa"/>
            <w:vAlign w:val="center"/>
          </w:tcPr>
          <w:p w14:paraId="14DFB2A8">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64D58928">
            <w:pPr>
              <w:snapToGrid w:val="0"/>
              <w:spacing w:line="480" w:lineRule="atLeast"/>
              <w:jc w:val="center"/>
              <w:outlineLvl w:val="1"/>
              <w:rPr>
                <w:color w:val="000000" w:themeColor="text1"/>
                <w:sz w:val="24"/>
                <w:szCs w:val="24"/>
                <w14:textFill>
                  <w14:solidFill>
                    <w14:schemeClr w14:val="tx1"/>
                  </w14:solidFill>
                </w14:textFill>
              </w:rPr>
            </w:pPr>
          </w:p>
        </w:tc>
      </w:tr>
      <w:tr w14:paraId="06365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48CAD4E9">
            <w:pPr>
              <w:snapToGrid w:val="0"/>
              <w:spacing w:line="480" w:lineRule="atLeast"/>
              <w:jc w:val="center"/>
              <w:outlineLvl w:val="1"/>
              <w:rPr>
                <w:color w:val="000000" w:themeColor="text1"/>
                <w:sz w:val="24"/>
                <w:szCs w:val="24"/>
                <w14:textFill>
                  <w14:solidFill>
                    <w14:schemeClr w14:val="tx1"/>
                  </w14:solidFill>
                </w14:textFill>
              </w:rPr>
            </w:pPr>
            <w:bookmarkStart w:id="209" w:name="_Toc57984133"/>
            <w:bookmarkStart w:id="210" w:name="_Toc220074726"/>
            <w:r>
              <w:rPr>
                <w:rFonts w:hint="eastAsia"/>
                <w:color w:val="000000" w:themeColor="text1"/>
                <w:sz w:val="24"/>
                <w:szCs w:val="24"/>
                <w14:textFill>
                  <w14:solidFill>
                    <w14:schemeClr w14:val="tx1"/>
                  </w14:solidFill>
                </w14:textFill>
              </w:rPr>
              <w:t>最大输入功率</w:t>
            </w:r>
            <w:bookmarkEnd w:id="209"/>
            <w:bookmarkEnd w:id="210"/>
          </w:p>
        </w:tc>
        <w:tc>
          <w:tcPr>
            <w:tcW w:w="4558" w:type="dxa"/>
            <w:vAlign w:val="center"/>
          </w:tcPr>
          <w:p w14:paraId="2856DC91">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27586C10">
            <w:pPr>
              <w:snapToGrid w:val="0"/>
              <w:spacing w:line="480" w:lineRule="atLeast"/>
              <w:jc w:val="center"/>
              <w:outlineLvl w:val="1"/>
              <w:rPr>
                <w:color w:val="000000" w:themeColor="text1"/>
                <w:sz w:val="24"/>
                <w:szCs w:val="24"/>
                <w14:textFill>
                  <w14:solidFill>
                    <w14:schemeClr w14:val="tx1"/>
                  </w14:solidFill>
                </w14:textFill>
              </w:rPr>
            </w:pPr>
          </w:p>
        </w:tc>
      </w:tr>
      <w:tr w14:paraId="7159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6E97FC5C">
            <w:pPr>
              <w:snapToGrid w:val="0"/>
              <w:spacing w:line="480" w:lineRule="atLeast"/>
              <w:jc w:val="center"/>
              <w:outlineLvl w:val="1"/>
              <w:rPr>
                <w:color w:val="000000" w:themeColor="text1"/>
                <w:sz w:val="24"/>
                <w:szCs w:val="24"/>
                <w14:textFill>
                  <w14:solidFill>
                    <w14:schemeClr w14:val="tx1"/>
                  </w14:solidFill>
                </w14:textFill>
              </w:rPr>
            </w:pPr>
            <w:bookmarkStart w:id="211" w:name="_Toc57984134"/>
            <w:bookmarkStart w:id="212" w:name="_Toc220074727"/>
            <w:r>
              <w:rPr>
                <w:rFonts w:hint="eastAsia"/>
                <w:color w:val="000000" w:themeColor="text1"/>
                <w:sz w:val="24"/>
                <w:szCs w:val="24"/>
                <w14:textFill>
                  <w14:solidFill>
                    <w14:schemeClr w14:val="tx1"/>
                  </w14:solidFill>
                </w14:textFill>
              </w:rPr>
              <w:t>数量（单台空调配压缩机台数）</w:t>
            </w:r>
            <w:bookmarkEnd w:id="211"/>
            <w:bookmarkEnd w:id="212"/>
          </w:p>
        </w:tc>
        <w:tc>
          <w:tcPr>
            <w:tcW w:w="4558" w:type="dxa"/>
            <w:vAlign w:val="center"/>
          </w:tcPr>
          <w:p w14:paraId="57B956D2">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7C44AACD">
            <w:pPr>
              <w:snapToGrid w:val="0"/>
              <w:spacing w:line="480" w:lineRule="atLeast"/>
              <w:jc w:val="center"/>
              <w:outlineLvl w:val="1"/>
              <w:rPr>
                <w:color w:val="000000" w:themeColor="text1"/>
                <w:sz w:val="24"/>
                <w:szCs w:val="24"/>
                <w14:textFill>
                  <w14:solidFill>
                    <w14:schemeClr w14:val="tx1"/>
                  </w14:solidFill>
                </w14:textFill>
              </w:rPr>
            </w:pPr>
          </w:p>
        </w:tc>
      </w:tr>
      <w:tr w14:paraId="3D2FB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0D9C5503">
            <w:pPr>
              <w:snapToGrid w:val="0"/>
              <w:spacing w:line="480" w:lineRule="atLeast"/>
              <w:jc w:val="center"/>
              <w:outlineLvl w:val="1"/>
              <w:rPr>
                <w:color w:val="000000" w:themeColor="text1"/>
                <w:sz w:val="24"/>
                <w:szCs w:val="24"/>
                <w14:textFill>
                  <w14:solidFill>
                    <w14:schemeClr w14:val="tx1"/>
                  </w14:solidFill>
                </w14:textFill>
              </w:rPr>
            </w:pPr>
            <w:bookmarkStart w:id="213" w:name="_Toc220074728"/>
            <w:bookmarkStart w:id="214" w:name="_Toc57984135"/>
            <w:r>
              <w:rPr>
                <w:rFonts w:hint="eastAsia"/>
                <w:color w:val="000000" w:themeColor="text1"/>
                <w:sz w:val="24"/>
                <w:szCs w:val="24"/>
                <w14:textFill>
                  <w14:solidFill>
                    <w14:schemeClr w14:val="tx1"/>
                  </w14:solidFill>
                </w14:textFill>
              </w:rPr>
              <w:t>制冷剂回路数</w:t>
            </w:r>
            <w:bookmarkEnd w:id="213"/>
            <w:bookmarkEnd w:id="214"/>
          </w:p>
        </w:tc>
        <w:tc>
          <w:tcPr>
            <w:tcW w:w="4558" w:type="dxa"/>
            <w:vAlign w:val="center"/>
          </w:tcPr>
          <w:p w14:paraId="41761C3F">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6B2673A7">
            <w:pPr>
              <w:snapToGrid w:val="0"/>
              <w:spacing w:line="480" w:lineRule="atLeast"/>
              <w:jc w:val="center"/>
              <w:outlineLvl w:val="1"/>
              <w:rPr>
                <w:color w:val="000000" w:themeColor="text1"/>
                <w:sz w:val="24"/>
                <w:szCs w:val="24"/>
                <w14:textFill>
                  <w14:solidFill>
                    <w14:schemeClr w14:val="tx1"/>
                  </w14:solidFill>
                </w14:textFill>
              </w:rPr>
            </w:pPr>
          </w:p>
        </w:tc>
      </w:tr>
      <w:tr w14:paraId="26801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6A2E2178">
            <w:pPr>
              <w:snapToGrid w:val="0"/>
              <w:spacing w:line="480" w:lineRule="atLeast"/>
              <w:jc w:val="center"/>
              <w:outlineLvl w:val="1"/>
              <w:rPr>
                <w:color w:val="000000" w:themeColor="text1"/>
                <w:sz w:val="24"/>
                <w:szCs w:val="24"/>
                <w14:textFill>
                  <w14:solidFill>
                    <w14:schemeClr w14:val="tx1"/>
                  </w14:solidFill>
                </w14:textFill>
              </w:rPr>
            </w:pPr>
            <w:bookmarkStart w:id="215" w:name="_Toc220074729"/>
            <w:bookmarkStart w:id="216" w:name="_Toc57984136"/>
            <w:r>
              <w:rPr>
                <w:rFonts w:hint="eastAsia"/>
                <w:color w:val="000000" w:themeColor="text1"/>
                <w:sz w:val="24"/>
                <w:szCs w:val="24"/>
                <w14:textFill>
                  <w14:solidFill>
                    <w14:schemeClr w14:val="tx1"/>
                  </w14:solidFill>
                </w14:textFill>
              </w:rPr>
              <w:t>机组环境温度局限（进风极端最高工作温度）</w:t>
            </w:r>
            <w:bookmarkEnd w:id="215"/>
            <w:bookmarkEnd w:id="216"/>
          </w:p>
        </w:tc>
        <w:tc>
          <w:tcPr>
            <w:tcW w:w="4558" w:type="dxa"/>
            <w:vAlign w:val="center"/>
          </w:tcPr>
          <w:p w14:paraId="06C6E4CB">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1743FE50">
            <w:pPr>
              <w:snapToGrid w:val="0"/>
              <w:spacing w:line="480" w:lineRule="atLeast"/>
              <w:jc w:val="center"/>
              <w:outlineLvl w:val="1"/>
              <w:rPr>
                <w:color w:val="000000" w:themeColor="text1"/>
                <w:sz w:val="24"/>
                <w:szCs w:val="24"/>
                <w14:textFill>
                  <w14:solidFill>
                    <w14:schemeClr w14:val="tx1"/>
                  </w14:solidFill>
                </w14:textFill>
              </w:rPr>
            </w:pPr>
            <w:bookmarkStart w:id="217" w:name="_Toc57984137"/>
            <w:bookmarkStart w:id="218" w:name="_Toc220074730"/>
            <w:r>
              <w:rPr>
                <w:rFonts w:hint="eastAsia"/>
                <w:color w:val="000000" w:themeColor="text1"/>
                <w:sz w:val="24"/>
                <w:szCs w:val="24"/>
                <w14:textFill>
                  <w14:solidFill>
                    <w14:schemeClr w14:val="tx1"/>
                  </w14:solidFill>
                </w14:textFill>
              </w:rPr>
              <w:t>℃</w:t>
            </w:r>
            <w:bookmarkEnd w:id="217"/>
            <w:bookmarkEnd w:id="218"/>
          </w:p>
        </w:tc>
      </w:tr>
      <w:tr w14:paraId="1E851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26CF29E8">
            <w:pPr>
              <w:snapToGrid w:val="0"/>
              <w:spacing w:line="480" w:lineRule="atLeast"/>
              <w:jc w:val="center"/>
              <w:outlineLvl w:val="1"/>
              <w:rPr>
                <w:color w:val="000000" w:themeColor="text1"/>
                <w:sz w:val="24"/>
                <w:szCs w:val="24"/>
                <w14:textFill>
                  <w14:solidFill>
                    <w14:schemeClr w14:val="tx1"/>
                  </w14:solidFill>
                </w14:textFill>
              </w:rPr>
            </w:pPr>
            <w:bookmarkStart w:id="219" w:name="_Toc220074731"/>
            <w:r>
              <w:rPr>
                <w:rFonts w:hint="eastAsia"/>
                <w:b/>
                <w:color w:val="000000" w:themeColor="text1"/>
                <w:sz w:val="24"/>
                <w:szCs w:val="24"/>
                <w14:textFill>
                  <w14:solidFill>
                    <w14:schemeClr w14:val="tx1"/>
                  </w14:solidFill>
                </w14:textFill>
              </w:rPr>
              <w:t>冷凝器</w:t>
            </w:r>
            <w:bookmarkEnd w:id="219"/>
          </w:p>
        </w:tc>
        <w:tc>
          <w:tcPr>
            <w:tcW w:w="4558" w:type="dxa"/>
            <w:vAlign w:val="center"/>
          </w:tcPr>
          <w:p w14:paraId="74876B84">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0A3496AD">
            <w:pPr>
              <w:snapToGrid w:val="0"/>
              <w:spacing w:line="480" w:lineRule="atLeast"/>
              <w:jc w:val="center"/>
              <w:outlineLvl w:val="1"/>
              <w:rPr>
                <w:color w:val="000000" w:themeColor="text1"/>
                <w:sz w:val="24"/>
                <w:szCs w:val="24"/>
                <w14:textFill>
                  <w14:solidFill>
                    <w14:schemeClr w14:val="tx1"/>
                  </w14:solidFill>
                </w14:textFill>
              </w:rPr>
            </w:pPr>
          </w:p>
        </w:tc>
      </w:tr>
      <w:tr w14:paraId="72BEA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19FBD173">
            <w:pPr>
              <w:snapToGrid w:val="0"/>
              <w:spacing w:line="480" w:lineRule="atLeast"/>
              <w:jc w:val="center"/>
              <w:outlineLvl w:val="1"/>
              <w:rPr>
                <w:color w:val="000000" w:themeColor="text1"/>
                <w:sz w:val="24"/>
                <w:szCs w:val="24"/>
                <w14:textFill>
                  <w14:solidFill>
                    <w14:schemeClr w14:val="tx1"/>
                  </w14:solidFill>
                </w14:textFill>
              </w:rPr>
            </w:pPr>
            <w:bookmarkStart w:id="220" w:name="_Toc57984138"/>
            <w:bookmarkStart w:id="221" w:name="_Toc220074732"/>
            <w:r>
              <w:rPr>
                <w:rFonts w:hint="eastAsia"/>
                <w:color w:val="000000" w:themeColor="text1"/>
                <w:sz w:val="24"/>
                <w:szCs w:val="24"/>
                <w14:textFill>
                  <w14:solidFill>
                    <w14:schemeClr w14:val="tx1"/>
                  </w14:solidFill>
                </w14:textFill>
              </w:rPr>
              <w:t>冷凝器盘管排数</w:t>
            </w:r>
            <w:bookmarkEnd w:id="220"/>
            <w:bookmarkEnd w:id="221"/>
          </w:p>
        </w:tc>
        <w:tc>
          <w:tcPr>
            <w:tcW w:w="4558" w:type="dxa"/>
            <w:vAlign w:val="center"/>
          </w:tcPr>
          <w:p w14:paraId="6C9EE1B8">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264651D9">
            <w:pPr>
              <w:snapToGrid w:val="0"/>
              <w:spacing w:line="480" w:lineRule="atLeast"/>
              <w:jc w:val="center"/>
              <w:outlineLvl w:val="1"/>
              <w:rPr>
                <w:color w:val="000000" w:themeColor="text1"/>
                <w:sz w:val="24"/>
                <w:szCs w:val="24"/>
                <w14:textFill>
                  <w14:solidFill>
                    <w14:schemeClr w14:val="tx1"/>
                  </w14:solidFill>
                </w14:textFill>
              </w:rPr>
            </w:pPr>
          </w:p>
        </w:tc>
      </w:tr>
      <w:tr w14:paraId="1028D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17B30F8C">
            <w:pPr>
              <w:snapToGrid w:val="0"/>
              <w:spacing w:line="480" w:lineRule="atLeast"/>
              <w:jc w:val="center"/>
              <w:outlineLvl w:val="1"/>
              <w:rPr>
                <w:color w:val="000000" w:themeColor="text1"/>
                <w:sz w:val="24"/>
                <w:szCs w:val="24"/>
                <w14:textFill>
                  <w14:solidFill>
                    <w14:schemeClr w14:val="tx1"/>
                  </w14:solidFill>
                </w14:textFill>
              </w:rPr>
            </w:pPr>
            <w:bookmarkStart w:id="222" w:name="_Toc220074733"/>
            <w:bookmarkStart w:id="223" w:name="_Toc57984139"/>
            <w:r>
              <w:rPr>
                <w:rFonts w:hint="eastAsia"/>
                <w:color w:val="000000" w:themeColor="text1"/>
                <w:sz w:val="24"/>
                <w:szCs w:val="24"/>
                <w14:textFill>
                  <w14:solidFill>
                    <w14:schemeClr w14:val="tx1"/>
                  </w14:solidFill>
                </w14:textFill>
              </w:rPr>
              <w:t>盘管管材材质、管径及厚度</w:t>
            </w:r>
            <w:bookmarkEnd w:id="222"/>
            <w:bookmarkEnd w:id="223"/>
          </w:p>
        </w:tc>
        <w:tc>
          <w:tcPr>
            <w:tcW w:w="4558" w:type="dxa"/>
            <w:vAlign w:val="center"/>
          </w:tcPr>
          <w:p w14:paraId="4B681ABE">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73D6BD4B">
            <w:pPr>
              <w:snapToGrid w:val="0"/>
              <w:spacing w:line="480" w:lineRule="atLeast"/>
              <w:jc w:val="center"/>
              <w:outlineLvl w:val="1"/>
              <w:rPr>
                <w:color w:val="000000" w:themeColor="text1"/>
                <w:sz w:val="24"/>
                <w:szCs w:val="24"/>
                <w14:textFill>
                  <w14:solidFill>
                    <w14:schemeClr w14:val="tx1"/>
                  </w14:solidFill>
                </w14:textFill>
              </w:rPr>
            </w:pPr>
            <w:bookmarkStart w:id="224" w:name="_Toc220074734"/>
            <w:bookmarkStart w:id="225" w:name="_Toc57984140"/>
            <w:r>
              <w:rPr>
                <w:color w:val="000000" w:themeColor="text1"/>
                <w:sz w:val="24"/>
                <w:szCs w:val="24"/>
                <w14:textFill>
                  <w14:solidFill>
                    <w14:schemeClr w14:val="tx1"/>
                  </w14:solidFill>
                </w14:textFill>
              </w:rPr>
              <w:t>mm</w:t>
            </w:r>
            <w:bookmarkEnd w:id="224"/>
            <w:bookmarkEnd w:id="225"/>
          </w:p>
        </w:tc>
      </w:tr>
      <w:tr w14:paraId="31EC6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08E78084">
            <w:pPr>
              <w:snapToGrid w:val="0"/>
              <w:spacing w:line="480" w:lineRule="atLeast"/>
              <w:jc w:val="center"/>
              <w:outlineLvl w:val="1"/>
              <w:rPr>
                <w:color w:val="000000" w:themeColor="text1"/>
                <w:sz w:val="24"/>
                <w:szCs w:val="24"/>
                <w14:textFill>
                  <w14:solidFill>
                    <w14:schemeClr w14:val="tx1"/>
                  </w14:solidFill>
                </w14:textFill>
              </w:rPr>
            </w:pPr>
            <w:bookmarkStart w:id="226" w:name="_Toc220074735"/>
            <w:bookmarkStart w:id="227" w:name="_Toc57984141"/>
            <w:r>
              <w:rPr>
                <w:rFonts w:hint="eastAsia"/>
                <w:color w:val="000000" w:themeColor="text1"/>
                <w:sz w:val="24"/>
                <w:szCs w:val="24"/>
                <w14:textFill>
                  <w14:solidFill>
                    <w14:schemeClr w14:val="tx1"/>
                  </w14:solidFill>
                </w14:textFill>
              </w:rPr>
              <w:t>翅片型式、材质、厚度</w:t>
            </w:r>
            <w:bookmarkEnd w:id="226"/>
            <w:bookmarkEnd w:id="227"/>
          </w:p>
        </w:tc>
        <w:tc>
          <w:tcPr>
            <w:tcW w:w="4558" w:type="dxa"/>
            <w:vAlign w:val="center"/>
          </w:tcPr>
          <w:p w14:paraId="3439F74F">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2ED163BF">
            <w:pPr>
              <w:snapToGrid w:val="0"/>
              <w:spacing w:line="480" w:lineRule="atLeast"/>
              <w:jc w:val="center"/>
              <w:outlineLvl w:val="1"/>
              <w:rPr>
                <w:color w:val="000000" w:themeColor="text1"/>
                <w:sz w:val="24"/>
                <w:szCs w:val="24"/>
                <w14:textFill>
                  <w14:solidFill>
                    <w14:schemeClr w14:val="tx1"/>
                  </w14:solidFill>
                </w14:textFill>
              </w:rPr>
            </w:pPr>
            <w:bookmarkStart w:id="228" w:name="_Toc57984142"/>
            <w:bookmarkStart w:id="229" w:name="_Toc220074736"/>
            <w:r>
              <w:rPr>
                <w:color w:val="000000" w:themeColor="text1"/>
                <w:sz w:val="24"/>
                <w:szCs w:val="24"/>
                <w14:textFill>
                  <w14:solidFill>
                    <w14:schemeClr w14:val="tx1"/>
                  </w14:solidFill>
                </w14:textFill>
              </w:rPr>
              <w:t>mm</w:t>
            </w:r>
            <w:bookmarkEnd w:id="228"/>
            <w:bookmarkEnd w:id="229"/>
          </w:p>
        </w:tc>
      </w:tr>
      <w:tr w14:paraId="3876A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5601D998">
            <w:pPr>
              <w:snapToGrid w:val="0"/>
              <w:spacing w:line="480" w:lineRule="atLeast"/>
              <w:jc w:val="center"/>
              <w:outlineLvl w:val="1"/>
              <w:rPr>
                <w:color w:val="000000" w:themeColor="text1"/>
                <w:sz w:val="24"/>
                <w:szCs w:val="24"/>
                <w14:textFill>
                  <w14:solidFill>
                    <w14:schemeClr w14:val="tx1"/>
                  </w14:solidFill>
                </w14:textFill>
              </w:rPr>
            </w:pPr>
            <w:bookmarkStart w:id="230" w:name="_Toc57984143"/>
            <w:bookmarkStart w:id="231" w:name="_Toc220074737"/>
            <w:r>
              <w:rPr>
                <w:rFonts w:hint="eastAsia"/>
                <w:color w:val="000000" w:themeColor="text1"/>
                <w:sz w:val="24"/>
                <w:szCs w:val="24"/>
                <w14:textFill>
                  <w14:solidFill>
                    <w14:schemeClr w14:val="tx1"/>
                  </w14:solidFill>
                </w14:textFill>
              </w:rPr>
              <w:t>翅片间距</w:t>
            </w:r>
            <w:bookmarkEnd w:id="230"/>
            <w:bookmarkEnd w:id="231"/>
          </w:p>
        </w:tc>
        <w:tc>
          <w:tcPr>
            <w:tcW w:w="4558" w:type="dxa"/>
            <w:vAlign w:val="center"/>
          </w:tcPr>
          <w:p w14:paraId="20059036">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107A21FD">
            <w:pPr>
              <w:snapToGrid w:val="0"/>
              <w:spacing w:line="480" w:lineRule="atLeast"/>
              <w:jc w:val="center"/>
              <w:outlineLvl w:val="1"/>
              <w:rPr>
                <w:color w:val="000000" w:themeColor="text1"/>
                <w:sz w:val="24"/>
                <w:szCs w:val="24"/>
                <w14:textFill>
                  <w14:solidFill>
                    <w14:schemeClr w14:val="tx1"/>
                  </w14:solidFill>
                </w14:textFill>
              </w:rPr>
            </w:pPr>
            <w:bookmarkStart w:id="232" w:name="_Toc220074738"/>
            <w:bookmarkStart w:id="233" w:name="_Toc57984144"/>
            <w:r>
              <w:rPr>
                <w:color w:val="000000" w:themeColor="text1"/>
                <w:sz w:val="24"/>
                <w:szCs w:val="24"/>
                <w14:textFill>
                  <w14:solidFill>
                    <w14:schemeClr w14:val="tx1"/>
                  </w14:solidFill>
                </w14:textFill>
              </w:rPr>
              <w:t>mm</w:t>
            </w:r>
            <w:bookmarkEnd w:id="232"/>
            <w:bookmarkEnd w:id="233"/>
          </w:p>
        </w:tc>
      </w:tr>
      <w:tr w14:paraId="515CB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3BEA98A9">
            <w:pPr>
              <w:snapToGrid w:val="0"/>
              <w:spacing w:line="480" w:lineRule="atLeast"/>
              <w:jc w:val="center"/>
              <w:outlineLvl w:val="1"/>
              <w:rPr>
                <w:color w:val="000000" w:themeColor="text1"/>
                <w:sz w:val="24"/>
                <w:szCs w:val="24"/>
                <w14:textFill>
                  <w14:solidFill>
                    <w14:schemeClr w14:val="tx1"/>
                  </w14:solidFill>
                </w14:textFill>
              </w:rPr>
            </w:pPr>
            <w:bookmarkStart w:id="234" w:name="_Toc220074739"/>
            <w:bookmarkStart w:id="235" w:name="_Toc57984145"/>
            <w:r>
              <w:rPr>
                <w:rFonts w:hint="eastAsia"/>
                <w:color w:val="000000" w:themeColor="text1"/>
                <w:sz w:val="24"/>
                <w:szCs w:val="24"/>
                <w14:textFill>
                  <w14:solidFill>
                    <w14:schemeClr w14:val="tx1"/>
                  </w14:solidFill>
                </w14:textFill>
              </w:rPr>
              <w:t>冷凝器迎风面积</w:t>
            </w:r>
            <w:bookmarkEnd w:id="234"/>
            <w:bookmarkEnd w:id="235"/>
          </w:p>
        </w:tc>
        <w:tc>
          <w:tcPr>
            <w:tcW w:w="4558" w:type="dxa"/>
            <w:vAlign w:val="center"/>
          </w:tcPr>
          <w:p w14:paraId="31EF55B9">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45B87B3D">
            <w:pPr>
              <w:snapToGrid w:val="0"/>
              <w:spacing w:line="480" w:lineRule="atLeast"/>
              <w:jc w:val="center"/>
              <w:outlineLvl w:val="1"/>
              <w:rPr>
                <w:color w:val="000000" w:themeColor="text1"/>
                <w:sz w:val="24"/>
                <w:szCs w:val="24"/>
                <w14:textFill>
                  <w14:solidFill>
                    <w14:schemeClr w14:val="tx1"/>
                  </w14:solidFill>
                </w14:textFill>
              </w:rPr>
            </w:pPr>
            <w:bookmarkStart w:id="236" w:name="_Toc220074740"/>
            <w:bookmarkStart w:id="237" w:name="_Toc57984146"/>
            <w:r>
              <w:rPr>
                <w:color w:val="000000" w:themeColor="text1"/>
                <w:sz w:val="24"/>
                <w:szCs w:val="24"/>
                <w14:textFill>
                  <w14:solidFill>
                    <w14:schemeClr w14:val="tx1"/>
                  </w14:solidFill>
                </w14:textFill>
              </w:rPr>
              <w:t>m2</w:t>
            </w:r>
            <w:bookmarkEnd w:id="236"/>
            <w:bookmarkEnd w:id="237"/>
          </w:p>
        </w:tc>
      </w:tr>
      <w:tr w14:paraId="70D94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6CB03BCC">
            <w:pPr>
              <w:snapToGrid w:val="0"/>
              <w:spacing w:line="480" w:lineRule="atLeast"/>
              <w:jc w:val="center"/>
              <w:outlineLvl w:val="1"/>
              <w:rPr>
                <w:color w:val="000000" w:themeColor="text1"/>
                <w:sz w:val="24"/>
                <w:szCs w:val="24"/>
                <w14:textFill>
                  <w14:solidFill>
                    <w14:schemeClr w14:val="tx1"/>
                  </w14:solidFill>
                </w14:textFill>
              </w:rPr>
            </w:pPr>
            <w:bookmarkStart w:id="238" w:name="_Toc57984147"/>
            <w:bookmarkStart w:id="239" w:name="_Toc220074741"/>
            <w:r>
              <w:rPr>
                <w:rFonts w:hint="eastAsia"/>
                <w:color w:val="000000" w:themeColor="text1"/>
                <w:sz w:val="24"/>
                <w:szCs w:val="24"/>
                <w14:textFill>
                  <w14:solidFill>
                    <w14:schemeClr w14:val="tx1"/>
                  </w14:solidFill>
                </w14:textFill>
              </w:rPr>
              <w:t>冷凝风机制造商</w:t>
            </w:r>
            <w:bookmarkEnd w:id="238"/>
            <w:bookmarkEnd w:id="239"/>
          </w:p>
        </w:tc>
        <w:tc>
          <w:tcPr>
            <w:tcW w:w="4558" w:type="dxa"/>
            <w:vAlign w:val="center"/>
          </w:tcPr>
          <w:p w14:paraId="3FF2F34D">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666CA3EB">
            <w:pPr>
              <w:snapToGrid w:val="0"/>
              <w:spacing w:line="480" w:lineRule="atLeast"/>
              <w:jc w:val="center"/>
              <w:outlineLvl w:val="1"/>
              <w:rPr>
                <w:color w:val="000000" w:themeColor="text1"/>
                <w:sz w:val="24"/>
                <w:szCs w:val="24"/>
                <w14:textFill>
                  <w14:solidFill>
                    <w14:schemeClr w14:val="tx1"/>
                  </w14:solidFill>
                </w14:textFill>
              </w:rPr>
            </w:pPr>
          </w:p>
        </w:tc>
      </w:tr>
      <w:tr w14:paraId="504D3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5B242C3E">
            <w:pPr>
              <w:snapToGrid w:val="0"/>
              <w:spacing w:line="480" w:lineRule="atLeast"/>
              <w:jc w:val="center"/>
              <w:outlineLvl w:val="1"/>
              <w:rPr>
                <w:color w:val="000000" w:themeColor="text1"/>
                <w:sz w:val="24"/>
                <w:szCs w:val="24"/>
                <w14:textFill>
                  <w14:solidFill>
                    <w14:schemeClr w14:val="tx1"/>
                  </w14:solidFill>
                </w14:textFill>
              </w:rPr>
            </w:pPr>
            <w:bookmarkStart w:id="240" w:name="_Toc220074742"/>
            <w:bookmarkStart w:id="241" w:name="_Toc57984148"/>
            <w:r>
              <w:rPr>
                <w:rFonts w:hint="eastAsia"/>
                <w:color w:val="000000" w:themeColor="text1"/>
                <w:sz w:val="24"/>
                <w:szCs w:val="24"/>
                <w14:textFill>
                  <w14:solidFill>
                    <w14:schemeClr w14:val="tx1"/>
                  </w14:solidFill>
                </w14:textFill>
              </w:rPr>
              <w:t>风机型式</w:t>
            </w:r>
            <w:bookmarkEnd w:id="240"/>
            <w:bookmarkEnd w:id="241"/>
          </w:p>
        </w:tc>
        <w:tc>
          <w:tcPr>
            <w:tcW w:w="4558" w:type="dxa"/>
            <w:vAlign w:val="center"/>
          </w:tcPr>
          <w:p w14:paraId="15C23F16">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57FAEC6F">
            <w:pPr>
              <w:snapToGrid w:val="0"/>
              <w:spacing w:line="480" w:lineRule="atLeast"/>
              <w:jc w:val="center"/>
              <w:outlineLvl w:val="1"/>
              <w:rPr>
                <w:color w:val="000000" w:themeColor="text1"/>
                <w:sz w:val="24"/>
                <w:szCs w:val="24"/>
                <w14:textFill>
                  <w14:solidFill>
                    <w14:schemeClr w14:val="tx1"/>
                  </w14:solidFill>
                </w14:textFill>
              </w:rPr>
            </w:pPr>
          </w:p>
        </w:tc>
      </w:tr>
      <w:tr w14:paraId="11A08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3D1FF88D">
            <w:pPr>
              <w:snapToGrid w:val="0"/>
              <w:spacing w:line="480" w:lineRule="atLeast"/>
              <w:jc w:val="center"/>
              <w:outlineLvl w:val="1"/>
              <w:rPr>
                <w:color w:val="000000" w:themeColor="text1"/>
                <w:sz w:val="24"/>
                <w:szCs w:val="24"/>
                <w14:textFill>
                  <w14:solidFill>
                    <w14:schemeClr w14:val="tx1"/>
                  </w14:solidFill>
                </w14:textFill>
              </w:rPr>
            </w:pPr>
            <w:bookmarkStart w:id="242" w:name="_Toc57984149"/>
            <w:bookmarkStart w:id="243" w:name="_Toc220074743"/>
            <w:r>
              <w:rPr>
                <w:rFonts w:hint="eastAsia"/>
                <w:color w:val="000000" w:themeColor="text1"/>
                <w:sz w:val="24"/>
                <w:szCs w:val="24"/>
                <w14:textFill>
                  <w14:solidFill>
                    <w14:schemeClr w14:val="tx1"/>
                  </w14:solidFill>
                </w14:textFill>
              </w:rPr>
              <w:t>风机驱动方式</w:t>
            </w:r>
            <w:bookmarkEnd w:id="242"/>
            <w:bookmarkEnd w:id="243"/>
          </w:p>
        </w:tc>
        <w:tc>
          <w:tcPr>
            <w:tcW w:w="4558" w:type="dxa"/>
            <w:vAlign w:val="center"/>
          </w:tcPr>
          <w:p w14:paraId="0E8F12EA">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21D55EBF">
            <w:pPr>
              <w:snapToGrid w:val="0"/>
              <w:spacing w:line="480" w:lineRule="atLeast"/>
              <w:jc w:val="center"/>
              <w:outlineLvl w:val="1"/>
              <w:rPr>
                <w:color w:val="000000" w:themeColor="text1"/>
                <w:sz w:val="24"/>
                <w:szCs w:val="24"/>
                <w14:textFill>
                  <w14:solidFill>
                    <w14:schemeClr w14:val="tx1"/>
                  </w14:solidFill>
                </w14:textFill>
              </w:rPr>
            </w:pPr>
          </w:p>
        </w:tc>
      </w:tr>
      <w:tr w14:paraId="086F6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55747A82">
            <w:pPr>
              <w:snapToGrid w:val="0"/>
              <w:spacing w:line="480" w:lineRule="atLeast"/>
              <w:jc w:val="center"/>
              <w:outlineLvl w:val="1"/>
              <w:rPr>
                <w:color w:val="000000" w:themeColor="text1"/>
                <w:sz w:val="24"/>
                <w:szCs w:val="24"/>
                <w14:textFill>
                  <w14:solidFill>
                    <w14:schemeClr w14:val="tx1"/>
                  </w14:solidFill>
                </w14:textFill>
              </w:rPr>
            </w:pPr>
            <w:bookmarkStart w:id="244" w:name="_Toc220074744"/>
            <w:bookmarkStart w:id="245" w:name="_Toc57984150"/>
            <w:r>
              <w:rPr>
                <w:rFonts w:hint="eastAsia"/>
                <w:color w:val="000000" w:themeColor="text1"/>
                <w:sz w:val="24"/>
                <w:szCs w:val="24"/>
                <w14:textFill>
                  <w14:solidFill>
                    <w14:schemeClr w14:val="tx1"/>
                  </w14:solidFill>
                </w14:textFill>
              </w:rPr>
              <w:t>风机数量（单台空调配风机台数）</w:t>
            </w:r>
            <w:bookmarkEnd w:id="244"/>
            <w:bookmarkEnd w:id="245"/>
          </w:p>
        </w:tc>
        <w:tc>
          <w:tcPr>
            <w:tcW w:w="4558" w:type="dxa"/>
            <w:vAlign w:val="center"/>
          </w:tcPr>
          <w:p w14:paraId="708CA005">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5DE3D501">
            <w:pPr>
              <w:snapToGrid w:val="0"/>
              <w:spacing w:line="480" w:lineRule="atLeast"/>
              <w:jc w:val="center"/>
              <w:outlineLvl w:val="1"/>
              <w:rPr>
                <w:color w:val="000000" w:themeColor="text1"/>
                <w:sz w:val="24"/>
                <w:szCs w:val="24"/>
                <w14:textFill>
                  <w14:solidFill>
                    <w14:schemeClr w14:val="tx1"/>
                  </w14:solidFill>
                </w14:textFill>
              </w:rPr>
            </w:pPr>
          </w:p>
        </w:tc>
      </w:tr>
      <w:tr w14:paraId="17839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346F53E0">
            <w:pPr>
              <w:snapToGrid w:val="0"/>
              <w:spacing w:line="480" w:lineRule="atLeast"/>
              <w:jc w:val="center"/>
              <w:outlineLvl w:val="1"/>
              <w:rPr>
                <w:color w:val="000000" w:themeColor="text1"/>
                <w:sz w:val="24"/>
                <w:szCs w:val="24"/>
                <w14:textFill>
                  <w14:solidFill>
                    <w14:schemeClr w14:val="tx1"/>
                  </w14:solidFill>
                </w14:textFill>
              </w:rPr>
            </w:pPr>
            <w:bookmarkStart w:id="246" w:name="_Toc220074745"/>
            <w:bookmarkStart w:id="247" w:name="_Toc57984151"/>
            <w:r>
              <w:rPr>
                <w:rFonts w:hint="eastAsia"/>
                <w:color w:val="000000" w:themeColor="text1"/>
                <w:sz w:val="24"/>
                <w:szCs w:val="24"/>
                <w14:textFill>
                  <w14:solidFill>
                    <w14:schemeClr w14:val="tx1"/>
                  </w14:solidFill>
                </w14:textFill>
              </w:rPr>
              <w:t>风量（单台风机）</w:t>
            </w:r>
            <w:bookmarkEnd w:id="246"/>
            <w:bookmarkEnd w:id="247"/>
          </w:p>
        </w:tc>
        <w:tc>
          <w:tcPr>
            <w:tcW w:w="4558" w:type="dxa"/>
            <w:vAlign w:val="center"/>
          </w:tcPr>
          <w:p w14:paraId="2DF175E4">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23448A8A">
            <w:pPr>
              <w:snapToGrid w:val="0"/>
              <w:spacing w:line="480" w:lineRule="atLeast"/>
              <w:jc w:val="center"/>
              <w:outlineLvl w:val="1"/>
              <w:rPr>
                <w:color w:val="000000" w:themeColor="text1"/>
                <w:sz w:val="24"/>
                <w:szCs w:val="24"/>
                <w14:textFill>
                  <w14:solidFill>
                    <w14:schemeClr w14:val="tx1"/>
                  </w14:solidFill>
                </w14:textFill>
              </w:rPr>
            </w:pPr>
            <w:bookmarkStart w:id="248" w:name="_Toc220074746"/>
            <w:bookmarkStart w:id="249" w:name="_Toc57984152"/>
            <w:r>
              <w:rPr>
                <w:color w:val="000000" w:themeColor="text1"/>
                <w:sz w:val="24"/>
                <w:szCs w:val="24"/>
                <w14:textFill>
                  <w14:solidFill>
                    <w14:schemeClr w14:val="tx1"/>
                  </w14:solidFill>
                </w14:textFill>
              </w:rPr>
              <w:t>m3/h</w:t>
            </w:r>
            <w:bookmarkEnd w:id="248"/>
            <w:bookmarkEnd w:id="249"/>
          </w:p>
        </w:tc>
      </w:tr>
      <w:tr w14:paraId="7D26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2EC6A208">
            <w:pPr>
              <w:snapToGrid w:val="0"/>
              <w:spacing w:line="480" w:lineRule="atLeast"/>
              <w:jc w:val="center"/>
              <w:outlineLvl w:val="1"/>
              <w:rPr>
                <w:color w:val="000000" w:themeColor="text1"/>
                <w:sz w:val="24"/>
                <w:szCs w:val="24"/>
                <w14:textFill>
                  <w14:solidFill>
                    <w14:schemeClr w14:val="tx1"/>
                  </w14:solidFill>
                </w14:textFill>
              </w:rPr>
            </w:pPr>
            <w:bookmarkStart w:id="250" w:name="_Toc57984153"/>
            <w:bookmarkStart w:id="251" w:name="_Toc220074747"/>
            <w:r>
              <w:rPr>
                <w:rFonts w:hint="eastAsia"/>
                <w:color w:val="000000" w:themeColor="text1"/>
                <w:sz w:val="24"/>
                <w:szCs w:val="24"/>
                <w14:textFill>
                  <w14:solidFill>
                    <w14:schemeClr w14:val="tx1"/>
                  </w14:solidFill>
                </w14:textFill>
              </w:rPr>
              <w:t>风机转速</w:t>
            </w:r>
            <w:bookmarkEnd w:id="250"/>
            <w:bookmarkEnd w:id="251"/>
          </w:p>
        </w:tc>
        <w:tc>
          <w:tcPr>
            <w:tcW w:w="4558" w:type="dxa"/>
            <w:vAlign w:val="center"/>
          </w:tcPr>
          <w:p w14:paraId="1542CD1F">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3EC3EB4A">
            <w:pPr>
              <w:snapToGrid w:val="0"/>
              <w:spacing w:line="480" w:lineRule="atLeast"/>
              <w:jc w:val="center"/>
              <w:outlineLvl w:val="1"/>
              <w:rPr>
                <w:color w:val="000000" w:themeColor="text1"/>
                <w:sz w:val="24"/>
                <w:szCs w:val="24"/>
                <w14:textFill>
                  <w14:solidFill>
                    <w14:schemeClr w14:val="tx1"/>
                  </w14:solidFill>
                </w14:textFill>
              </w:rPr>
            </w:pPr>
            <w:bookmarkStart w:id="252" w:name="_Toc57984154"/>
            <w:bookmarkStart w:id="253" w:name="_Toc220074748"/>
            <w:r>
              <w:rPr>
                <w:color w:val="000000" w:themeColor="text1"/>
                <w:sz w:val="24"/>
                <w:szCs w:val="24"/>
                <w14:textFill>
                  <w14:solidFill>
                    <w14:schemeClr w14:val="tx1"/>
                  </w14:solidFill>
                </w14:textFill>
              </w:rPr>
              <w:t>r.p.m</w:t>
            </w:r>
            <w:bookmarkEnd w:id="252"/>
            <w:bookmarkEnd w:id="253"/>
          </w:p>
        </w:tc>
      </w:tr>
      <w:tr w14:paraId="1EE5D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403ACFFC">
            <w:pPr>
              <w:snapToGrid w:val="0"/>
              <w:spacing w:line="480" w:lineRule="atLeast"/>
              <w:jc w:val="center"/>
              <w:outlineLvl w:val="1"/>
              <w:rPr>
                <w:color w:val="000000" w:themeColor="text1"/>
                <w:sz w:val="24"/>
                <w:szCs w:val="24"/>
                <w14:textFill>
                  <w14:solidFill>
                    <w14:schemeClr w14:val="tx1"/>
                  </w14:solidFill>
                </w14:textFill>
              </w:rPr>
            </w:pPr>
            <w:bookmarkStart w:id="254" w:name="_Toc220074749"/>
            <w:bookmarkStart w:id="255" w:name="_Toc57984155"/>
            <w:r>
              <w:rPr>
                <w:rFonts w:hint="eastAsia"/>
                <w:color w:val="000000" w:themeColor="text1"/>
                <w:sz w:val="24"/>
                <w:szCs w:val="24"/>
                <w14:textFill>
                  <w14:solidFill>
                    <w14:schemeClr w14:val="tx1"/>
                  </w14:solidFill>
                </w14:textFill>
              </w:rPr>
              <w:t>风机输入功率（单台风机）</w:t>
            </w:r>
            <w:bookmarkEnd w:id="254"/>
            <w:bookmarkEnd w:id="255"/>
          </w:p>
        </w:tc>
        <w:tc>
          <w:tcPr>
            <w:tcW w:w="4558" w:type="dxa"/>
            <w:vAlign w:val="center"/>
          </w:tcPr>
          <w:p w14:paraId="2B49D196">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49FA3591">
            <w:pPr>
              <w:snapToGrid w:val="0"/>
              <w:spacing w:line="480" w:lineRule="atLeast"/>
              <w:jc w:val="center"/>
              <w:outlineLvl w:val="1"/>
              <w:rPr>
                <w:color w:val="000000" w:themeColor="text1"/>
                <w:sz w:val="24"/>
                <w:szCs w:val="24"/>
                <w14:textFill>
                  <w14:solidFill>
                    <w14:schemeClr w14:val="tx1"/>
                  </w14:solidFill>
                </w14:textFill>
              </w:rPr>
            </w:pPr>
            <w:bookmarkStart w:id="256" w:name="_Toc220074750"/>
            <w:bookmarkStart w:id="257" w:name="_Toc57984156"/>
            <w:r>
              <w:rPr>
                <w:color w:val="000000" w:themeColor="text1"/>
                <w:sz w:val="24"/>
                <w:szCs w:val="24"/>
                <w14:textFill>
                  <w14:solidFill>
                    <w14:schemeClr w14:val="tx1"/>
                  </w14:solidFill>
                </w14:textFill>
              </w:rPr>
              <w:t>kW</w:t>
            </w:r>
            <w:bookmarkEnd w:id="256"/>
            <w:bookmarkEnd w:id="257"/>
          </w:p>
        </w:tc>
      </w:tr>
      <w:tr w14:paraId="3816B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73C9A8C6">
            <w:pPr>
              <w:snapToGrid w:val="0"/>
              <w:spacing w:line="480" w:lineRule="atLeast"/>
              <w:jc w:val="center"/>
              <w:outlineLvl w:val="1"/>
              <w:rPr>
                <w:color w:val="000000" w:themeColor="text1"/>
                <w:sz w:val="24"/>
                <w:szCs w:val="24"/>
                <w14:textFill>
                  <w14:solidFill>
                    <w14:schemeClr w14:val="tx1"/>
                  </w14:solidFill>
                </w14:textFill>
              </w:rPr>
            </w:pPr>
            <w:bookmarkStart w:id="258" w:name="_Toc57984157"/>
            <w:bookmarkStart w:id="259" w:name="_Toc220074751"/>
            <w:r>
              <w:rPr>
                <w:rFonts w:hint="eastAsia"/>
                <w:color w:val="000000" w:themeColor="text1"/>
                <w:sz w:val="24"/>
                <w:szCs w:val="24"/>
                <w14:textFill>
                  <w14:solidFill>
                    <w14:schemeClr w14:val="tx1"/>
                  </w14:solidFill>
                </w14:textFill>
              </w:rPr>
              <w:t>总冷凝风量</w:t>
            </w:r>
            <w:bookmarkEnd w:id="258"/>
            <w:bookmarkEnd w:id="259"/>
          </w:p>
        </w:tc>
        <w:tc>
          <w:tcPr>
            <w:tcW w:w="4558" w:type="dxa"/>
            <w:vAlign w:val="center"/>
          </w:tcPr>
          <w:p w14:paraId="1A5CBA6E">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7268C33B">
            <w:pPr>
              <w:snapToGrid w:val="0"/>
              <w:spacing w:line="480" w:lineRule="atLeast"/>
              <w:jc w:val="center"/>
              <w:outlineLvl w:val="1"/>
              <w:rPr>
                <w:color w:val="000000" w:themeColor="text1"/>
                <w:sz w:val="24"/>
                <w:szCs w:val="24"/>
                <w14:textFill>
                  <w14:solidFill>
                    <w14:schemeClr w14:val="tx1"/>
                  </w14:solidFill>
                </w14:textFill>
              </w:rPr>
            </w:pPr>
            <w:bookmarkStart w:id="260" w:name="_Toc220074752"/>
            <w:bookmarkStart w:id="261" w:name="_Toc57984158"/>
            <w:r>
              <w:rPr>
                <w:color w:val="000000" w:themeColor="text1"/>
                <w:sz w:val="24"/>
                <w:szCs w:val="24"/>
                <w14:textFill>
                  <w14:solidFill>
                    <w14:schemeClr w14:val="tx1"/>
                  </w14:solidFill>
                </w14:textFill>
              </w:rPr>
              <w:t>m3/h</w:t>
            </w:r>
            <w:bookmarkEnd w:id="260"/>
            <w:bookmarkEnd w:id="261"/>
          </w:p>
        </w:tc>
      </w:tr>
      <w:tr w14:paraId="70B42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5A0E0B56">
            <w:pPr>
              <w:snapToGrid w:val="0"/>
              <w:spacing w:line="480" w:lineRule="atLeast"/>
              <w:jc w:val="center"/>
              <w:outlineLvl w:val="1"/>
              <w:rPr>
                <w:b/>
                <w:color w:val="000000" w:themeColor="text1"/>
                <w:sz w:val="24"/>
                <w:szCs w:val="24"/>
                <w14:textFill>
                  <w14:solidFill>
                    <w14:schemeClr w14:val="tx1"/>
                  </w14:solidFill>
                </w14:textFill>
              </w:rPr>
            </w:pPr>
            <w:bookmarkStart w:id="262" w:name="_Toc220074753"/>
            <w:bookmarkStart w:id="263" w:name="_Toc57984159"/>
            <w:r>
              <w:rPr>
                <w:rFonts w:hint="eastAsia"/>
                <w:b/>
                <w:color w:val="000000" w:themeColor="text1"/>
                <w:sz w:val="24"/>
                <w:szCs w:val="24"/>
                <w14:textFill>
                  <w14:solidFill>
                    <w14:schemeClr w14:val="tx1"/>
                  </w14:solidFill>
                </w14:textFill>
              </w:rPr>
              <w:t>蒸发器</w:t>
            </w:r>
            <w:bookmarkEnd w:id="262"/>
            <w:bookmarkEnd w:id="263"/>
          </w:p>
        </w:tc>
        <w:tc>
          <w:tcPr>
            <w:tcW w:w="4558" w:type="dxa"/>
            <w:vAlign w:val="center"/>
          </w:tcPr>
          <w:p w14:paraId="67D5C765">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0F4F4FC7">
            <w:pPr>
              <w:snapToGrid w:val="0"/>
              <w:spacing w:line="480" w:lineRule="atLeast"/>
              <w:jc w:val="center"/>
              <w:outlineLvl w:val="1"/>
              <w:rPr>
                <w:color w:val="000000" w:themeColor="text1"/>
                <w:sz w:val="24"/>
                <w:szCs w:val="24"/>
                <w14:textFill>
                  <w14:solidFill>
                    <w14:schemeClr w14:val="tx1"/>
                  </w14:solidFill>
                </w14:textFill>
              </w:rPr>
            </w:pPr>
          </w:p>
        </w:tc>
      </w:tr>
      <w:tr w14:paraId="72F03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4B9C9EA1">
            <w:pPr>
              <w:snapToGrid w:val="0"/>
              <w:spacing w:line="480" w:lineRule="atLeast"/>
              <w:jc w:val="center"/>
              <w:outlineLvl w:val="1"/>
              <w:rPr>
                <w:color w:val="000000" w:themeColor="text1"/>
                <w:sz w:val="24"/>
                <w:szCs w:val="24"/>
                <w14:textFill>
                  <w14:solidFill>
                    <w14:schemeClr w14:val="tx1"/>
                  </w14:solidFill>
                </w14:textFill>
              </w:rPr>
            </w:pPr>
            <w:bookmarkStart w:id="264" w:name="_Toc220074754"/>
            <w:bookmarkStart w:id="265" w:name="_Toc57984160"/>
            <w:r>
              <w:rPr>
                <w:rFonts w:hint="eastAsia"/>
                <w:color w:val="000000" w:themeColor="text1"/>
                <w:sz w:val="24"/>
                <w:szCs w:val="24"/>
                <w14:textFill>
                  <w14:solidFill>
                    <w14:schemeClr w14:val="tx1"/>
                  </w14:solidFill>
                </w14:textFill>
              </w:rPr>
              <w:t>蒸发器制造厂商</w:t>
            </w:r>
            <w:bookmarkEnd w:id="264"/>
            <w:bookmarkEnd w:id="265"/>
          </w:p>
        </w:tc>
        <w:tc>
          <w:tcPr>
            <w:tcW w:w="4558" w:type="dxa"/>
            <w:vAlign w:val="center"/>
          </w:tcPr>
          <w:p w14:paraId="527E57A3">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53F4D730">
            <w:pPr>
              <w:snapToGrid w:val="0"/>
              <w:spacing w:line="480" w:lineRule="atLeast"/>
              <w:jc w:val="center"/>
              <w:outlineLvl w:val="1"/>
              <w:rPr>
                <w:color w:val="000000" w:themeColor="text1"/>
                <w:sz w:val="24"/>
                <w:szCs w:val="24"/>
                <w14:textFill>
                  <w14:solidFill>
                    <w14:schemeClr w14:val="tx1"/>
                  </w14:solidFill>
                </w14:textFill>
              </w:rPr>
            </w:pPr>
          </w:p>
        </w:tc>
      </w:tr>
      <w:tr w14:paraId="1EAB9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048E65B9">
            <w:pPr>
              <w:snapToGrid w:val="0"/>
              <w:spacing w:line="480" w:lineRule="atLeast"/>
              <w:jc w:val="center"/>
              <w:outlineLvl w:val="1"/>
              <w:rPr>
                <w:color w:val="000000" w:themeColor="text1"/>
                <w:sz w:val="24"/>
                <w:szCs w:val="24"/>
                <w14:textFill>
                  <w14:solidFill>
                    <w14:schemeClr w14:val="tx1"/>
                  </w14:solidFill>
                </w14:textFill>
              </w:rPr>
            </w:pPr>
            <w:bookmarkStart w:id="266" w:name="_Toc220074755"/>
            <w:bookmarkStart w:id="267" w:name="_Toc57984161"/>
            <w:r>
              <w:rPr>
                <w:rFonts w:hint="eastAsia"/>
                <w:color w:val="000000" w:themeColor="text1"/>
                <w:sz w:val="24"/>
                <w:szCs w:val="24"/>
                <w14:textFill>
                  <w14:solidFill>
                    <w14:schemeClr w14:val="tx1"/>
                  </w14:solidFill>
                </w14:textFill>
              </w:rPr>
              <w:t>蒸发器盘管材质、管径及厚度</w:t>
            </w:r>
            <w:bookmarkEnd w:id="266"/>
            <w:bookmarkEnd w:id="267"/>
          </w:p>
        </w:tc>
        <w:tc>
          <w:tcPr>
            <w:tcW w:w="4558" w:type="dxa"/>
            <w:vAlign w:val="center"/>
          </w:tcPr>
          <w:p w14:paraId="65E12878">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09DA81A0">
            <w:pPr>
              <w:snapToGrid w:val="0"/>
              <w:spacing w:line="480" w:lineRule="atLeast"/>
              <w:jc w:val="center"/>
              <w:outlineLvl w:val="1"/>
              <w:rPr>
                <w:color w:val="000000" w:themeColor="text1"/>
                <w:sz w:val="24"/>
                <w:szCs w:val="24"/>
                <w14:textFill>
                  <w14:solidFill>
                    <w14:schemeClr w14:val="tx1"/>
                  </w14:solidFill>
                </w14:textFill>
              </w:rPr>
            </w:pPr>
            <w:bookmarkStart w:id="268" w:name="_Toc220074756"/>
            <w:bookmarkStart w:id="269" w:name="_Toc57984162"/>
            <w:r>
              <w:rPr>
                <w:color w:val="000000" w:themeColor="text1"/>
                <w:sz w:val="24"/>
                <w:szCs w:val="24"/>
                <w14:textFill>
                  <w14:solidFill>
                    <w14:schemeClr w14:val="tx1"/>
                  </w14:solidFill>
                </w14:textFill>
              </w:rPr>
              <w:t>mm</w:t>
            </w:r>
            <w:bookmarkEnd w:id="268"/>
            <w:bookmarkEnd w:id="269"/>
          </w:p>
        </w:tc>
      </w:tr>
      <w:tr w14:paraId="22843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38EDA538">
            <w:pPr>
              <w:snapToGrid w:val="0"/>
              <w:spacing w:line="480" w:lineRule="atLeast"/>
              <w:jc w:val="center"/>
              <w:outlineLvl w:val="1"/>
              <w:rPr>
                <w:color w:val="000000" w:themeColor="text1"/>
                <w:sz w:val="24"/>
                <w:szCs w:val="24"/>
                <w14:textFill>
                  <w14:solidFill>
                    <w14:schemeClr w14:val="tx1"/>
                  </w14:solidFill>
                </w14:textFill>
              </w:rPr>
            </w:pPr>
            <w:bookmarkStart w:id="270" w:name="_Toc57984163"/>
            <w:bookmarkStart w:id="271" w:name="_Toc220074757"/>
            <w:r>
              <w:rPr>
                <w:rFonts w:hint="eastAsia"/>
                <w:color w:val="000000" w:themeColor="text1"/>
                <w:sz w:val="24"/>
                <w:szCs w:val="24"/>
                <w14:textFill>
                  <w14:solidFill>
                    <w14:schemeClr w14:val="tx1"/>
                  </w14:solidFill>
                </w14:textFill>
              </w:rPr>
              <w:t>翅片型式、材质及厚度</w:t>
            </w:r>
            <w:bookmarkEnd w:id="270"/>
            <w:bookmarkEnd w:id="271"/>
          </w:p>
        </w:tc>
        <w:tc>
          <w:tcPr>
            <w:tcW w:w="4558" w:type="dxa"/>
            <w:vAlign w:val="center"/>
          </w:tcPr>
          <w:p w14:paraId="0FE818B5">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5608968B">
            <w:pPr>
              <w:snapToGrid w:val="0"/>
              <w:spacing w:line="480" w:lineRule="atLeast"/>
              <w:jc w:val="center"/>
              <w:outlineLvl w:val="1"/>
              <w:rPr>
                <w:color w:val="000000" w:themeColor="text1"/>
                <w:sz w:val="24"/>
                <w:szCs w:val="24"/>
                <w14:textFill>
                  <w14:solidFill>
                    <w14:schemeClr w14:val="tx1"/>
                  </w14:solidFill>
                </w14:textFill>
              </w:rPr>
            </w:pPr>
            <w:bookmarkStart w:id="272" w:name="_Toc220074758"/>
            <w:bookmarkStart w:id="273" w:name="_Toc57984164"/>
            <w:r>
              <w:rPr>
                <w:color w:val="000000" w:themeColor="text1"/>
                <w:sz w:val="24"/>
                <w:szCs w:val="24"/>
                <w14:textFill>
                  <w14:solidFill>
                    <w14:schemeClr w14:val="tx1"/>
                  </w14:solidFill>
                </w14:textFill>
              </w:rPr>
              <w:t>mm</w:t>
            </w:r>
            <w:bookmarkEnd w:id="272"/>
            <w:bookmarkEnd w:id="273"/>
          </w:p>
        </w:tc>
      </w:tr>
      <w:tr w14:paraId="1AEFA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44E1E2B0">
            <w:pPr>
              <w:snapToGrid w:val="0"/>
              <w:spacing w:line="480" w:lineRule="atLeast"/>
              <w:jc w:val="center"/>
              <w:outlineLvl w:val="1"/>
              <w:rPr>
                <w:color w:val="000000" w:themeColor="text1"/>
                <w:sz w:val="24"/>
                <w:szCs w:val="24"/>
                <w14:textFill>
                  <w14:solidFill>
                    <w14:schemeClr w14:val="tx1"/>
                  </w14:solidFill>
                </w14:textFill>
              </w:rPr>
            </w:pPr>
            <w:bookmarkStart w:id="274" w:name="_Toc220074759"/>
            <w:bookmarkStart w:id="275" w:name="_Toc57984165"/>
            <w:r>
              <w:rPr>
                <w:rFonts w:hint="eastAsia"/>
                <w:color w:val="000000" w:themeColor="text1"/>
                <w:sz w:val="24"/>
                <w:szCs w:val="24"/>
                <w14:textFill>
                  <w14:solidFill>
                    <w14:schemeClr w14:val="tx1"/>
                  </w14:solidFill>
                </w14:textFill>
              </w:rPr>
              <w:t>翅片间距</w:t>
            </w:r>
            <w:bookmarkEnd w:id="274"/>
            <w:bookmarkEnd w:id="275"/>
          </w:p>
        </w:tc>
        <w:tc>
          <w:tcPr>
            <w:tcW w:w="4558" w:type="dxa"/>
            <w:vAlign w:val="center"/>
          </w:tcPr>
          <w:p w14:paraId="28C25A5F">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4311BF96">
            <w:pPr>
              <w:snapToGrid w:val="0"/>
              <w:spacing w:line="480" w:lineRule="atLeast"/>
              <w:jc w:val="center"/>
              <w:outlineLvl w:val="1"/>
              <w:rPr>
                <w:color w:val="000000" w:themeColor="text1"/>
                <w:sz w:val="24"/>
                <w:szCs w:val="24"/>
                <w14:textFill>
                  <w14:solidFill>
                    <w14:schemeClr w14:val="tx1"/>
                  </w14:solidFill>
                </w14:textFill>
              </w:rPr>
            </w:pPr>
            <w:bookmarkStart w:id="276" w:name="_Toc57984166"/>
            <w:bookmarkStart w:id="277" w:name="_Toc220074760"/>
            <w:r>
              <w:rPr>
                <w:color w:val="000000" w:themeColor="text1"/>
                <w:sz w:val="24"/>
                <w:szCs w:val="24"/>
                <w14:textFill>
                  <w14:solidFill>
                    <w14:schemeClr w14:val="tx1"/>
                  </w14:solidFill>
                </w14:textFill>
              </w:rPr>
              <w:t>mm</w:t>
            </w:r>
            <w:bookmarkEnd w:id="276"/>
            <w:bookmarkEnd w:id="277"/>
          </w:p>
        </w:tc>
      </w:tr>
      <w:tr w14:paraId="7466D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76ACE854">
            <w:pPr>
              <w:snapToGrid w:val="0"/>
              <w:spacing w:line="480" w:lineRule="atLeast"/>
              <w:jc w:val="center"/>
              <w:outlineLvl w:val="1"/>
              <w:rPr>
                <w:color w:val="000000" w:themeColor="text1"/>
                <w:sz w:val="24"/>
                <w:szCs w:val="24"/>
                <w14:textFill>
                  <w14:solidFill>
                    <w14:schemeClr w14:val="tx1"/>
                  </w14:solidFill>
                </w14:textFill>
              </w:rPr>
            </w:pPr>
            <w:bookmarkStart w:id="278" w:name="_Toc220074761"/>
            <w:bookmarkStart w:id="279" w:name="_Toc57984167"/>
            <w:r>
              <w:rPr>
                <w:rFonts w:hint="eastAsia"/>
                <w:color w:val="000000" w:themeColor="text1"/>
                <w:sz w:val="24"/>
                <w:szCs w:val="24"/>
                <w14:textFill>
                  <w14:solidFill>
                    <w14:schemeClr w14:val="tx1"/>
                  </w14:solidFill>
                </w14:textFill>
              </w:rPr>
              <w:t>盘管排数</w:t>
            </w:r>
            <w:bookmarkEnd w:id="278"/>
            <w:bookmarkEnd w:id="279"/>
          </w:p>
        </w:tc>
        <w:tc>
          <w:tcPr>
            <w:tcW w:w="4558" w:type="dxa"/>
            <w:vAlign w:val="center"/>
          </w:tcPr>
          <w:p w14:paraId="6259CDA2">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2A32A814">
            <w:pPr>
              <w:snapToGrid w:val="0"/>
              <w:spacing w:line="480" w:lineRule="atLeast"/>
              <w:jc w:val="center"/>
              <w:outlineLvl w:val="1"/>
              <w:rPr>
                <w:color w:val="000000" w:themeColor="text1"/>
                <w:sz w:val="24"/>
                <w:szCs w:val="24"/>
                <w14:textFill>
                  <w14:solidFill>
                    <w14:schemeClr w14:val="tx1"/>
                  </w14:solidFill>
                </w14:textFill>
              </w:rPr>
            </w:pPr>
          </w:p>
        </w:tc>
      </w:tr>
      <w:tr w14:paraId="3958D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27E550DB">
            <w:pPr>
              <w:snapToGrid w:val="0"/>
              <w:spacing w:line="480" w:lineRule="atLeast"/>
              <w:jc w:val="center"/>
              <w:outlineLvl w:val="1"/>
              <w:rPr>
                <w:color w:val="000000" w:themeColor="text1"/>
                <w:sz w:val="24"/>
                <w:szCs w:val="24"/>
                <w14:textFill>
                  <w14:solidFill>
                    <w14:schemeClr w14:val="tx1"/>
                  </w14:solidFill>
                </w14:textFill>
              </w:rPr>
            </w:pPr>
            <w:bookmarkStart w:id="280" w:name="_Toc220074762"/>
            <w:bookmarkStart w:id="281" w:name="_Toc57984168"/>
            <w:r>
              <w:rPr>
                <w:rFonts w:hint="eastAsia"/>
                <w:color w:val="000000" w:themeColor="text1"/>
                <w:sz w:val="24"/>
                <w:szCs w:val="24"/>
                <w14:textFill>
                  <w14:solidFill>
                    <w14:schemeClr w14:val="tx1"/>
                  </w14:solidFill>
                </w14:textFill>
              </w:rPr>
              <w:t>迎风面积</w:t>
            </w:r>
            <w:bookmarkEnd w:id="280"/>
            <w:bookmarkEnd w:id="281"/>
          </w:p>
        </w:tc>
        <w:tc>
          <w:tcPr>
            <w:tcW w:w="4558" w:type="dxa"/>
            <w:vAlign w:val="center"/>
          </w:tcPr>
          <w:p w14:paraId="235BAB11">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0EBE65EC">
            <w:pPr>
              <w:snapToGrid w:val="0"/>
              <w:spacing w:line="480" w:lineRule="atLeast"/>
              <w:jc w:val="center"/>
              <w:outlineLvl w:val="1"/>
              <w:rPr>
                <w:color w:val="000000" w:themeColor="text1"/>
                <w:sz w:val="24"/>
                <w:szCs w:val="24"/>
                <w14:textFill>
                  <w14:solidFill>
                    <w14:schemeClr w14:val="tx1"/>
                  </w14:solidFill>
                </w14:textFill>
              </w:rPr>
            </w:pPr>
          </w:p>
        </w:tc>
      </w:tr>
      <w:tr w14:paraId="7C5D9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1F754864">
            <w:pPr>
              <w:snapToGrid w:val="0"/>
              <w:spacing w:line="480" w:lineRule="atLeast"/>
              <w:jc w:val="center"/>
              <w:outlineLvl w:val="1"/>
              <w:rPr>
                <w:color w:val="000000" w:themeColor="text1"/>
                <w:sz w:val="24"/>
                <w:szCs w:val="24"/>
                <w14:textFill>
                  <w14:solidFill>
                    <w14:schemeClr w14:val="tx1"/>
                  </w14:solidFill>
                </w14:textFill>
              </w:rPr>
            </w:pPr>
            <w:bookmarkStart w:id="282" w:name="_Toc220074763"/>
            <w:bookmarkStart w:id="283" w:name="_Toc57984169"/>
            <w:r>
              <w:rPr>
                <w:rFonts w:hint="eastAsia"/>
                <w:color w:val="000000" w:themeColor="text1"/>
                <w:sz w:val="24"/>
                <w:szCs w:val="24"/>
                <w14:textFill>
                  <w14:solidFill>
                    <w14:schemeClr w14:val="tx1"/>
                  </w14:solidFill>
                </w14:textFill>
              </w:rPr>
              <w:t>迎风面风速</w:t>
            </w:r>
            <w:bookmarkEnd w:id="282"/>
            <w:bookmarkEnd w:id="283"/>
          </w:p>
        </w:tc>
        <w:tc>
          <w:tcPr>
            <w:tcW w:w="4558" w:type="dxa"/>
            <w:vAlign w:val="center"/>
          </w:tcPr>
          <w:p w14:paraId="7166F087">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152660D5">
            <w:pPr>
              <w:snapToGrid w:val="0"/>
              <w:spacing w:line="480" w:lineRule="atLeast"/>
              <w:jc w:val="center"/>
              <w:outlineLvl w:val="1"/>
              <w:rPr>
                <w:color w:val="000000" w:themeColor="text1"/>
                <w:sz w:val="24"/>
                <w:szCs w:val="24"/>
                <w14:textFill>
                  <w14:solidFill>
                    <w14:schemeClr w14:val="tx1"/>
                  </w14:solidFill>
                </w14:textFill>
              </w:rPr>
            </w:pPr>
            <w:bookmarkStart w:id="284" w:name="_Toc57984170"/>
            <w:bookmarkStart w:id="285" w:name="_Toc220074764"/>
            <w:r>
              <w:rPr>
                <w:color w:val="000000" w:themeColor="text1"/>
                <w:sz w:val="24"/>
                <w:szCs w:val="24"/>
                <w14:textFill>
                  <w14:solidFill>
                    <w14:schemeClr w14:val="tx1"/>
                  </w14:solidFill>
                </w14:textFill>
              </w:rPr>
              <w:t>m/s</w:t>
            </w:r>
            <w:bookmarkEnd w:id="284"/>
            <w:bookmarkEnd w:id="285"/>
          </w:p>
        </w:tc>
      </w:tr>
      <w:tr w14:paraId="19880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2CF1C58A">
            <w:pPr>
              <w:snapToGrid w:val="0"/>
              <w:spacing w:line="480" w:lineRule="atLeast"/>
              <w:jc w:val="center"/>
              <w:outlineLvl w:val="1"/>
              <w:rPr>
                <w:b/>
                <w:color w:val="000000" w:themeColor="text1"/>
                <w:sz w:val="24"/>
                <w:szCs w:val="24"/>
                <w14:textFill>
                  <w14:solidFill>
                    <w14:schemeClr w14:val="tx1"/>
                  </w14:solidFill>
                </w14:textFill>
              </w:rPr>
            </w:pPr>
            <w:bookmarkStart w:id="286" w:name="_Toc220074765"/>
            <w:bookmarkStart w:id="287" w:name="_Toc57984171"/>
            <w:r>
              <w:rPr>
                <w:rFonts w:hint="eastAsia"/>
                <w:b/>
                <w:color w:val="000000" w:themeColor="text1"/>
                <w:sz w:val="24"/>
                <w:szCs w:val="24"/>
                <w14:textFill>
                  <w14:solidFill>
                    <w14:schemeClr w14:val="tx1"/>
                  </w14:solidFill>
                </w14:textFill>
              </w:rPr>
              <w:t>送风机</w:t>
            </w:r>
            <w:bookmarkEnd w:id="286"/>
            <w:bookmarkEnd w:id="287"/>
          </w:p>
        </w:tc>
        <w:tc>
          <w:tcPr>
            <w:tcW w:w="4558" w:type="dxa"/>
            <w:vAlign w:val="center"/>
          </w:tcPr>
          <w:p w14:paraId="5233FFCC">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2FE90595">
            <w:pPr>
              <w:snapToGrid w:val="0"/>
              <w:spacing w:line="480" w:lineRule="atLeast"/>
              <w:jc w:val="center"/>
              <w:outlineLvl w:val="1"/>
              <w:rPr>
                <w:color w:val="000000" w:themeColor="text1"/>
                <w:sz w:val="24"/>
                <w:szCs w:val="24"/>
                <w14:textFill>
                  <w14:solidFill>
                    <w14:schemeClr w14:val="tx1"/>
                  </w14:solidFill>
                </w14:textFill>
              </w:rPr>
            </w:pPr>
          </w:p>
        </w:tc>
      </w:tr>
      <w:tr w14:paraId="61549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11C5FC56">
            <w:pPr>
              <w:snapToGrid w:val="0"/>
              <w:spacing w:line="480" w:lineRule="atLeast"/>
              <w:jc w:val="center"/>
              <w:outlineLvl w:val="1"/>
              <w:rPr>
                <w:color w:val="000000" w:themeColor="text1"/>
                <w:sz w:val="24"/>
                <w:szCs w:val="24"/>
                <w14:textFill>
                  <w14:solidFill>
                    <w14:schemeClr w14:val="tx1"/>
                  </w14:solidFill>
                </w14:textFill>
              </w:rPr>
            </w:pPr>
            <w:bookmarkStart w:id="288" w:name="_Toc57984172"/>
            <w:bookmarkStart w:id="289" w:name="_Toc220074766"/>
            <w:r>
              <w:rPr>
                <w:rFonts w:hint="eastAsia"/>
                <w:color w:val="000000" w:themeColor="text1"/>
                <w:sz w:val="24"/>
                <w:szCs w:val="24"/>
                <w14:textFill>
                  <w14:solidFill>
                    <w14:schemeClr w14:val="tx1"/>
                  </w14:solidFill>
                </w14:textFill>
              </w:rPr>
              <w:t>送风机型号</w:t>
            </w:r>
            <w:bookmarkEnd w:id="288"/>
            <w:bookmarkEnd w:id="289"/>
          </w:p>
        </w:tc>
        <w:tc>
          <w:tcPr>
            <w:tcW w:w="4558" w:type="dxa"/>
            <w:vAlign w:val="center"/>
          </w:tcPr>
          <w:p w14:paraId="736E34FF">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65F41EF5">
            <w:pPr>
              <w:snapToGrid w:val="0"/>
              <w:spacing w:line="480" w:lineRule="atLeast"/>
              <w:jc w:val="center"/>
              <w:outlineLvl w:val="1"/>
              <w:rPr>
                <w:color w:val="000000" w:themeColor="text1"/>
                <w:sz w:val="24"/>
                <w:szCs w:val="24"/>
                <w14:textFill>
                  <w14:solidFill>
                    <w14:schemeClr w14:val="tx1"/>
                  </w14:solidFill>
                </w14:textFill>
              </w:rPr>
            </w:pPr>
          </w:p>
        </w:tc>
      </w:tr>
      <w:tr w14:paraId="746AC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04DDDA6A">
            <w:pPr>
              <w:snapToGrid w:val="0"/>
              <w:spacing w:line="480" w:lineRule="atLeast"/>
              <w:jc w:val="center"/>
              <w:outlineLvl w:val="1"/>
              <w:rPr>
                <w:color w:val="000000" w:themeColor="text1"/>
                <w:sz w:val="24"/>
                <w:szCs w:val="24"/>
                <w14:textFill>
                  <w14:solidFill>
                    <w14:schemeClr w14:val="tx1"/>
                  </w14:solidFill>
                </w14:textFill>
              </w:rPr>
            </w:pPr>
            <w:bookmarkStart w:id="290" w:name="_Toc220074767"/>
            <w:bookmarkStart w:id="291" w:name="_Toc57984173"/>
            <w:r>
              <w:rPr>
                <w:rFonts w:hint="eastAsia"/>
                <w:color w:val="000000" w:themeColor="text1"/>
                <w:sz w:val="24"/>
                <w:szCs w:val="24"/>
                <w14:textFill>
                  <w14:solidFill>
                    <w14:schemeClr w14:val="tx1"/>
                  </w14:solidFill>
                </w14:textFill>
              </w:rPr>
              <w:t>风机叶轮型式</w:t>
            </w:r>
            <w:bookmarkEnd w:id="290"/>
            <w:bookmarkEnd w:id="291"/>
          </w:p>
        </w:tc>
        <w:tc>
          <w:tcPr>
            <w:tcW w:w="4558" w:type="dxa"/>
            <w:vAlign w:val="center"/>
          </w:tcPr>
          <w:p w14:paraId="4E10C8BB">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74F19EEC">
            <w:pPr>
              <w:snapToGrid w:val="0"/>
              <w:spacing w:line="480" w:lineRule="atLeast"/>
              <w:jc w:val="center"/>
              <w:outlineLvl w:val="1"/>
              <w:rPr>
                <w:color w:val="000000" w:themeColor="text1"/>
                <w:sz w:val="24"/>
                <w:szCs w:val="24"/>
                <w14:textFill>
                  <w14:solidFill>
                    <w14:schemeClr w14:val="tx1"/>
                  </w14:solidFill>
                </w14:textFill>
              </w:rPr>
            </w:pPr>
          </w:p>
        </w:tc>
      </w:tr>
      <w:tr w14:paraId="64418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3E6D25A0">
            <w:pPr>
              <w:snapToGrid w:val="0"/>
              <w:spacing w:line="480" w:lineRule="atLeast"/>
              <w:jc w:val="center"/>
              <w:outlineLvl w:val="1"/>
              <w:rPr>
                <w:color w:val="000000" w:themeColor="text1"/>
                <w:sz w:val="24"/>
                <w:szCs w:val="24"/>
                <w14:textFill>
                  <w14:solidFill>
                    <w14:schemeClr w14:val="tx1"/>
                  </w14:solidFill>
                </w14:textFill>
              </w:rPr>
            </w:pPr>
            <w:bookmarkStart w:id="292" w:name="_Toc57984174"/>
            <w:bookmarkStart w:id="293" w:name="_Toc220074768"/>
            <w:r>
              <w:rPr>
                <w:rFonts w:hint="eastAsia"/>
                <w:color w:val="000000" w:themeColor="text1"/>
                <w:sz w:val="24"/>
                <w:szCs w:val="24"/>
                <w14:textFill>
                  <w14:solidFill>
                    <w14:schemeClr w14:val="tx1"/>
                  </w14:solidFill>
                </w14:textFill>
              </w:rPr>
              <w:t>风机制造厂</w:t>
            </w:r>
            <w:bookmarkEnd w:id="292"/>
            <w:bookmarkEnd w:id="293"/>
          </w:p>
        </w:tc>
        <w:tc>
          <w:tcPr>
            <w:tcW w:w="4558" w:type="dxa"/>
            <w:vAlign w:val="center"/>
          </w:tcPr>
          <w:p w14:paraId="7C494110">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21521021">
            <w:pPr>
              <w:snapToGrid w:val="0"/>
              <w:spacing w:line="480" w:lineRule="atLeast"/>
              <w:jc w:val="center"/>
              <w:outlineLvl w:val="1"/>
              <w:rPr>
                <w:color w:val="000000" w:themeColor="text1"/>
                <w:sz w:val="24"/>
                <w:szCs w:val="24"/>
                <w14:textFill>
                  <w14:solidFill>
                    <w14:schemeClr w14:val="tx1"/>
                  </w14:solidFill>
                </w14:textFill>
              </w:rPr>
            </w:pPr>
          </w:p>
        </w:tc>
      </w:tr>
      <w:tr w14:paraId="0C611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4197019F">
            <w:pPr>
              <w:snapToGrid w:val="0"/>
              <w:spacing w:line="480" w:lineRule="atLeast"/>
              <w:jc w:val="center"/>
              <w:outlineLvl w:val="1"/>
              <w:rPr>
                <w:color w:val="000000" w:themeColor="text1"/>
                <w:sz w:val="24"/>
                <w:szCs w:val="24"/>
                <w14:textFill>
                  <w14:solidFill>
                    <w14:schemeClr w14:val="tx1"/>
                  </w14:solidFill>
                </w14:textFill>
              </w:rPr>
            </w:pPr>
            <w:bookmarkStart w:id="294" w:name="_Toc220074769"/>
            <w:bookmarkStart w:id="295" w:name="_Toc57984175"/>
            <w:r>
              <w:rPr>
                <w:rFonts w:hint="eastAsia"/>
                <w:color w:val="000000" w:themeColor="text1"/>
                <w:sz w:val="24"/>
                <w:szCs w:val="24"/>
                <w14:textFill>
                  <w14:solidFill>
                    <w14:schemeClr w14:val="tx1"/>
                  </w14:solidFill>
                </w14:textFill>
              </w:rPr>
              <w:t>风机数量（单台空调配风机台数）</w:t>
            </w:r>
            <w:bookmarkEnd w:id="294"/>
            <w:bookmarkEnd w:id="295"/>
          </w:p>
        </w:tc>
        <w:tc>
          <w:tcPr>
            <w:tcW w:w="4558" w:type="dxa"/>
            <w:vAlign w:val="center"/>
          </w:tcPr>
          <w:p w14:paraId="592611F1">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248B3AF2">
            <w:pPr>
              <w:snapToGrid w:val="0"/>
              <w:spacing w:line="480" w:lineRule="atLeast"/>
              <w:jc w:val="center"/>
              <w:outlineLvl w:val="1"/>
              <w:rPr>
                <w:color w:val="000000" w:themeColor="text1"/>
                <w:sz w:val="24"/>
                <w:szCs w:val="24"/>
                <w14:textFill>
                  <w14:solidFill>
                    <w14:schemeClr w14:val="tx1"/>
                  </w14:solidFill>
                </w14:textFill>
              </w:rPr>
            </w:pPr>
          </w:p>
        </w:tc>
      </w:tr>
      <w:tr w14:paraId="211AC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0458747C">
            <w:pPr>
              <w:snapToGrid w:val="0"/>
              <w:spacing w:line="480" w:lineRule="atLeast"/>
              <w:jc w:val="center"/>
              <w:outlineLvl w:val="1"/>
              <w:rPr>
                <w:color w:val="000000" w:themeColor="text1"/>
                <w:sz w:val="24"/>
                <w:szCs w:val="24"/>
                <w14:textFill>
                  <w14:solidFill>
                    <w14:schemeClr w14:val="tx1"/>
                  </w14:solidFill>
                </w14:textFill>
              </w:rPr>
            </w:pPr>
            <w:bookmarkStart w:id="296" w:name="_Toc220074770"/>
            <w:bookmarkStart w:id="297" w:name="_Toc57984176"/>
            <w:r>
              <w:rPr>
                <w:rFonts w:hint="eastAsia"/>
                <w:color w:val="000000" w:themeColor="text1"/>
                <w:sz w:val="24"/>
                <w:szCs w:val="24"/>
                <w14:textFill>
                  <w14:solidFill>
                    <w14:schemeClr w14:val="tx1"/>
                  </w14:solidFill>
                </w14:textFill>
              </w:rPr>
              <w:t>风机风量（单台风机）</w:t>
            </w:r>
            <w:bookmarkEnd w:id="296"/>
            <w:bookmarkEnd w:id="297"/>
          </w:p>
        </w:tc>
        <w:tc>
          <w:tcPr>
            <w:tcW w:w="4558" w:type="dxa"/>
            <w:vAlign w:val="center"/>
          </w:tcPr>
          <w:p w14:paraId="50795E96">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5B2E7A68">
            <w:pPr>
              <w:snapToGrid w:val="0"/>
              <w:spacing w:line="480" w:lineRule="atLeast"/>
              <w:jc w:val="center"/>
              <w:outlineLvl w:val="1"/>
              <w:rPr>
                <w:color w:val="000000" w:themeColor="text1"/>
                <w:sz w:val="24"/>
                <w:szCs w:val="24"/>
                <w14:textFill>
                  <w14:solidFill>
                    <w14:schemeClr w14:val="tx1"/>
                  </w14:solidFill>
                </w14:textFill>
              </w:rPr>
            </w:pPr>
            <w:bookmarkStart w:id="298" w:name="_Toc57984177"/>
            <w:bookmarkStart w:id="299" w:name="_Toc220074771"/>
            <w:r>
              <w:rPr>
                <w:color w:val="000000" w:themeColor="text1"/>
                <w:sz w:val="24"/>
                <w:szCs w:val="24"/>
                <w14:textFill>
                  <w14:solidFill>
                    <w14:schemeClr w14:val="tx1"/>
                  </w14:solidFill>
                </w14:textFill>
              </w:rPr>
              <w:t>m3/h</w:t>
            </w:r>
            <w:bookmarkEnd w:id="298"/>
            <w:bookmarkEnd w:id="299"/>
          </w:p>
        </w:tc>
      </w:tr>
      <w:tr w14:paraId="6C65E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1A54C481">
            <w:pPr>
              <w:snapToGrid w:val="0"/>
              <w:spacing w:line="480" w:lineRule="atLeast"/>
              <w:jc w:val="center"/>
              <w:outlineLvl w:val="1"/>
              <w:rPr>
                <w:color w:val="000000" w:themeColor="text1"/>
                <w:sz w:val="24"/>
                <w:szCs w:val="24"/>
                <w14:textFill>
                  <w14:solidFill>
                    <w14:schemeClr w14:val="tx1"/>
                  </w14:solidFill>
                </w14:textFill>
              </w:rPr>
            </w:pPr>
            <w:bookmarkStart w:id="300" w:name="_Toc57984178"/>
            <w:bookmarkStart w:id="301" w:name="_Toc220074772"/>
            <w:r>
              <w:rPr>
                <w:rFonts w:hint="eastAsia"/>
                <w:color w:val="000000" w:themeColor="text1"/>
                <w:sz w:val="24"/>
                <w:szCs w:val="24"/>
                <w14:textFill>
                  <w14:solidFill>
                    <w14:schemeClr w14:val="tx1"/>
                  </w14:solidFill>
                </w14:textFill>
              </w:rPr>
              <w:t>风机全压</w:t>
            </w:r>
            <w:bookmarkEnd w:id="300"/>
            <w:bookmarkEnd w:id="301"/>
          </w:p>
        </w:tc>
        <w:tc>
          <w:tcPr>
            <w:tcW w:w="4558" w:type="dxa"/>
            <w:vAlign w:val="center"/>
          </w:tcPr>
          <w:p w14:paraId="41035777">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383F3876">
            <w:pPr>
              <w:snapToGrid w:val="0"/>
              <w:spacing w:line="480" w:lineRule="atLeast"/>
              <w:jc w:val="center"/>
              <w:outlineLvl w:val="1"/>
              <w:rPr>
                <w:color w:val="000000" w:themeColor="text1"/>
                <w:sz w:val="24"/>
                <w:szCs w:val="24"/>
                <w14:textFill>
                  <w14:solidFill>
                    <w14:schemeClr w14:val="tx1"/>
                  </w14:solidFill>
                </w14:textFill>
              </w:rPr>
            </w:pPr>
            <w:bookmarkStart w:id="302" w:name="_Toc57984179"/>
            <w:bookmarkStart w:id="303" w:name="_Toc220074773"/>
            <w:r>
              <w:rPr>
                <w:color w:val="000000" w:themeColor="text1"/>
                <w:sz w:val="24"/>
                <w:szCs w:val="24"/>
                <w14:textFill>
                  <w14:solidFill>
                    <w14:schemeClr w14:val="tx1"/>
                  </w14:solidFill>
                </w14:textFill>
              </w:rPr>
              <w:t>Pa</w:t>
            </w:r>
            <w:bookmarkEnd w:id="302"/>
            <w:bookmarkEnd w:id="303"/>
          </w:p>
        </w:tc>
      </w:tr>
      <w:tr w14:paraId="3B422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1BFFCAB4">
            <w:pPr>
              <w:snapToGrid w:val="0"/>
              <w:spacing w:line="480" w:lineRule="atLeast"/>
              <w:jc w:val="center"/>
              <w:outlineLvl w:val="1"/>
              <w:rPr>
                <w:color w:val="000000" w:themeColor="text1"/>
                <w:sz w:val="24"/>
                <w:szCs w:val="24"/>
                <w14:textFill>
                  <w14:solidFill>
                    <w14:schemeClr w14:val="tx1"/>
                  </w14:solidFill>
                </w14:textFill>
              </w:rPr>
            </w:pPr>
            <w:bookmarkStart w:id="304" w:name="_Toc220074774"/>
            <w:bookmarkStart w:id="305" w:name="_Toc57984180"/>
            <w:r>
              <w:rPr>
                <w:rFonts w:hint="eastAsia"/>
                <w:color w:val="000000" w:themeColor="text1"/>
                <w:sz w:val="24"/>
                <w:szCs w:val="24"/>
                <w14:textFill>
                  <w14:solidFill>
                    <w14:schemeClr w14:val="tx1"/>
                  </w14:solidFill>
                </w14:textFill>
              </w:rPr>
              <w:t>风机转速</w:t>
            </w:r>
            <w:bookmarkEnd w:id="304"/>
            <w:bookmarkEnd w:id="305"/>
          </w:p>
        </w:tc>
        <w:tc>
          <w:tcPr>
            <w:tcW w:w="4558" w:type="dxa"/>
            <w:vAlign w:val="center"/>
          </w:tcPr>
          <w:p w14:paraId="3F101E74">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686D116B">
            <w:pPr>
              <w:snapToGrid w:val="0"/>
              <w:spacing w:line="480" w:lineRule="atLeast"/>
              <w:jc w:val="center"/>
              <w:outlineLvl w:val="1"/>
              <w:rPr>
                <w:color w:val="000000" w:themeColor="text1"/>
                <w:sz w:val="24"/>
                <w:szCs w:val="24"/>
                <w14:textFill>
                  <w14:solidFill>
                    <w14:schemeClr w14:val="tx1"/>
                  </w14:solidFill>
                </w14:textFill>
              </w:rPr>
            </w:pPr>
            <w:bookmarkStart w:id="306" w:name="_Toc57984181"/>
            <w:bookmarkStart w:id="307" w:name="_Toc220074775"/>
            <w:r>
              <w:rPr>
                <w:color w:val="000000" w:themeColor="text1"/>
                <w:sz w:val="24"/>
                <w:szCs w:val="24"/>
                <w14:textFill>
                  <w14:solidFill>
                    <w14:schemeClr w14:val="tx1"/>
                  </w14:solidFill>
                </w14:textFill>
              </w:rPr>
              <w:t>r.p.m</w:t>
            </w:r>
            <w:bookmarkEnd w:id="306"/>
            <w:bookmarkEnd w:id="307"/>
          </w:p>
        </w:tc>
      </w:tr>
      <w:tr w14:paraId="02ADD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7416201C">
            <w:pPr>
              <w:snapToGrid w:val="0"/>
              <w:spacing w:line="480" w:lineRule="atLeast"/>
              <w:jc w:val="center"/>
              <w:outlineLvl w:val="1"/>
              <w:rPr>
                <w:color w:val="000000" w:themeColor="text1"/>
                <w:sz w:val="24"/>
                <w:szCs w:val="24"/>
                <w14:textFill>
                  <w14:solidFill>
                    <w14:schemeClr w14:val="tx1"/>
                  </w14:solidFill>
                </w14:textFill>
              </w:rPr>
            </w:pPr>
            <w:bookmarkStart w:id="308" w:name="_Toc220074776"/>
            <w:bookmarkStart w:id="309" w:name="_Toc57984182"/>
            <w:r>
              <w:rPr>
                <w:rFonts w:hint="eastAsia"/>
                <w:color w:val="000000" w:themeColor="text1"/>
                <w:sz w:val="24"/>
                <w:szCs w:val="24"/>
                <w14:textFill>
                  <w14:solidFill>
                    <w14:schemeClr w14:val="tx1"/>
                  </w14:solidFill>
                </w14:textFill>
              </w:rPr>
              <w:t>风机轴承型式</w:t>
            </w:r>
            <w:bookmarkEnd w:id="308"/>
            <w:bookmarkEnd w:id="309"/>
          </w:p>
        </w:tc>
        <w:tc>
          <w:tcPr>
            <w:tcW w:w="4558" w:type="dxa"/>
            <w:vAlign w:val="center"/>
          </w:tcPr>
          <w:p w14:paraId="0FDAC0B2">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561F1D24">
            <w:pPr>
              <w:snapToGrid w:val="0"/>
              <w:spacing w:line="480" w:lineRule="atLeast"/>
              <w:jc w:val="center"/>
              <w:outlineLvl w:val="1"/>
              <w:rPr>
                <w:color w:val="000000" w:themeColor="text1"/>
                <w:sz w:val="24"/>
                <w:szCs w:val="24"/>
                <w14:textFill>
                  <w14:solidFill>
                    <w14:schemeClr w14:val="tx1"/>
                  </w14:solidFill>
                </w14:textFill>
              </w:rPr>
            </w:pPr>
          </w:p>
        </w:tc>
      </w:tr>
      <w:tr w14:paraId="23B72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62DAD183">
            <w:pPr>
              <w:snapToGrid w:val="0"/>
              <w:spacing w:line="480" w:lineRule="atLeast"/>
              <w:jc w:val="center"/>
              <w:outlineLvl w:val="1"/>
              <w:rPr>
                <w:color w:val="000000" w:themeColor="text1"/>
                <w:sz w:val="24"/>
                <w:szCs w:val="24"/>
                <w14:textFill>
                  <w14:solidFill>
                    <w14:schemeClr w14:val="tx1"/>
                  </w14:solidFill>
                </w14:textFill>
              </w:rPr>
            </w:pPr>
            <w:bookmarkStart w:id="310" w:name="_Toc57984183"/>
            <w:bookmarkStart w:id="311" w:name="_Toc220074777"/>
            <w:r>
              <w:rPr>
                <w:rFonts w:hint="eastAsia"/>
                <w:color w:val="000000" w:themeColor="text1"/>
                <w:sz w:val="24"/>
                <w:szCs w:val="24"/>
                <w14:textFill>
                  <w14:solidFill>
                    <w14:schemeClr w14:val="tx1"/>
                  </w14:solidFill>
                </w14:textFill>
              </w:rPr>
              <w:t>风机轴承制造厂</w:t>
            </w:r>
            <w:bookmarkEnd w:id="310"/>
            <w:bookmarkEnd w:id="311"/>
          </w:p>
        </w:tc>
        <w:tc>
          <w:tcPr>
            <w:tcW w:w="4558" w:type="dxa"/>
            <w:vAlign w:val="center"/>
          </w:tcPr>
          <w:p w14:paraId="7FA47431">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630A7854">
            <w:pPr>
              <w:snapToGrid w:val="0"/>
              <w:spacing w:line="480" w:lineRule="atLeast"/>
              <w:jc w:val="center"/>
              <w:outlineLvl w:val="1"/>
              <w:rPr>
                <w:color w:val="000000" w:themeColor="text1"/>
                <w:sz w:val="24"/>
                <w:szCs w:val="24"/>
                <w14:textFill>
                  <w14:solidFill>
                    <w14:schemeClr w14:val="tx1"/>
                  </w14:solidFill>
                </w14:textFill>
              </w:rPr>
            </w:pPr>
          </w:p>
        </w:tc>
      </w:tr>
      <w:tr w14:paraId="7C7E5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44E721C2">
            <w:pPr>
              <w:snapToGrid w:val="0"/>
              <w:spacing w:line="480" w:lineRule="atLeast"/>
              <w:jc w:val="center"/>
              <w:outlineLvl w:val="1"/>
              <w:rPr>
                <w:color w:val="000000" w:themeColor="text1"/>
                <w:sz w:val="24"/>
                <w:szCs w:val="24"/>
                <w14:textFill>
                  <w14:solidFill>
                    <w14:schemeClr w14:val="tx1"/>
                  </w14:solidFill>
                </w14:textFill>
              </w:rPr>
            </w:pPr>
            <w:bookmarkStart w:id="312" w:name="_Toc57984184"/>
            <w:bookmarkStart w:id="313" w:name="_Toc220074778"/>
            <w:r>
              <w:rPr>
                <w:rFonts w:hint="eastAsia"/>
                <w:color w:val="000000" w:themeColor="text1"/>
                <w:sz w:val="24"/>
                <w:szCs w:val="24"/>
                <w14:textFill>
                  <w14:solidFill>
                    <w14:schemeClr w14:val="tx1"/>
                  </w14:solidFill>
                </w14:textFill>
              </w:rPr>
              <w:t>风机轴承寿命</w:t>
            </w:r>
            <w:bookmarkEnd w:id="312"/>
            <w:bookmarkEnd w:id="313"/>
          </w:p>
        </w:tc>
        <w:tc>
          <w:tcPr>
            <w:tcW w:w="4558" w:type="dxa"/>
            <w:vAlign w:val="center"/>
          </w:tcPr>
          <w:p w14:paraId="7206E976">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0E3759D8">
            <w:pPr>
              <w:snapToGrid w:val="0"/>
              <w:spacing w:line="480" w:lineRule="atLeast"/>
              <w:jc w:val="center"/>
              <w:outlineLvl w:val="1"/>
              <w:rPr>
                <w:color w:val="000000" w:themeColor="text1"/>
                <w:sz w:val="24"/>
                <w:szCs w:val="24"/>
                <w14:textFill>
                  <w14:solidFill>
                    <w14:schemeClr w14:val="tx1"/>
                  </w14:solidFill>
                </w14:textFill>
              </w:rPr>
            </w:pPr>
          </w:p>
        </w:tc>
      </w:tr>
      <w:tr w14:paraId="01DCF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16F2B297">
            <w:pPr>
              <w:snapToGrid w:val="0"/>
              <w:spacing w:line="480" w:lineRule="atLeast"/>
              <w:jc w:val="center"/>
              <w:outlineLvl w:val="1"/>
              <w:rPr>
                <w:color w:val="000000" w:themeColor="text1"/>
                <w:sz w:val="24"/>
                <w:szCs w:val="24"/>
                <w14:textFill>
                  <w14:solidFill>
                    <w14:schemeClr w14:val="tx1"/>
                  </w14:solidFill>
                </w14:textFill>
              </w:rPr>
            </w:pPr>
            <w:bookmarkStart w:id="314" w:name="_Toc220074779"/>
            <w:bookmarkStart w:id="315" w:name="_Toc57984185"/>
            <w:r>
              <w:rPr>
                <w:rFonts w:hint="eastAsia"/>
                <w:color w:val="000000" w:themeColor="text1"/>
                <w:sz w:val="24"/>
                <w:szCs w:val="24"/>
                <w14:textFill>
                  <w14:solidFill>
                    <w14:schemeClr w14:val="tx1"/>
                  </w14:solidFill>
                </w14:textFill>
              </w:rPr>
              <w:t>电机型号</w:t>
            </w:r>
            <w:bookmarkEnd w:id="314"/>
            <w:bookmarkEnd w:id="315"/>
          </w:p>
        </w:tc>
        <w:tc>
          <w:tcPr>
            <w:tcW w:w="4558" w:type="dxa"/>
            <w:vAlign w:val="center"/>
          </w:tcPr>
          <w:p w14:paraId="77BA0FB6">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37F9B68C">
            <w:pPr>
              <w:snapToGrid w:val="0"/>
              <w:spacing w:line="480" w:lineRule="atLeast"/>
              <w:jc w:val="center"/>
              <w:outlineLvl w:val="1"/>
              <w:rPr>
                <w:color w:val="000000" w:themeColor="text1"/>
                <w:sz w:val="24"/>
                <w:szCs w:val="24"/>
                <w14:textFill>
                  <w14:solidFill>
                    <w14:schemeClr w14:val="tx1"/>
                  </w14:solidFill>
                </w14:textFill>
              </w:rPr>
            </w:pPr>
          </w:p>
        </w:tc>
      </w:tr>
      <w:tr w14:paraId="754D3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14BF0A0C">
            <w:pPr>
              <w:snapToGrid w:val="0"/>
              <w:spacing w:line="480" w:lineRule="atLeast"/>
              <w:jc w:val="center"/>
              <w:outlineLvl w:val="1"/>
              <w:rPr>
                <w:color w:val="000000" w:themeColor="text1"/>
                <w:sz w:val="24"/>
                <w:szCs w:val="24"/>
                <w14:textFill>
                  <w14:solidFill>
                    <w14:schemeClr w14:val="tx1"/>
                  </w14:solidFill>
                </w14:textFill>
              </w:rPr>
            </w:pPr>
            <w:bookmarkStart w:id="316" w:name="_Toc57984186"/>
            <w:bookmarkStart w:id="317" w:name="_Toc220074780"/>
            <w:r>
              <w:rPr>
                <w:rFonts w:hint="eastAsia"/>
                <w:color w:val="000000" w:themeColor="text1"/>
                <w:sz w:val="24"/>
                <w:szCs w:val="24"/>
                <w14:textFill>
                  <w14:solidFill>
                    <w14:schemeClr w14:val="tx1"/>
                  </w14:solidFill>
                </w14:textFill>
              </w:rPr>
              <w:t>电机制造厂</w:t>
            </w:r>
            <w:bookmarkEnd w:id="316"/>
            <w:bookmarkEnd w:id="317"/>
          </w:p>
        </w:tc>
        <w:tc>
          <w:tcPr>
            <w:tcW w:w="4558" w:type="dxa"/>
            <w:vAlign w:val="center"/>
          </w:tcPr>
          <w:p w14:paraId="7FF1267B">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615E2F66">
            <w:pPr>
              <w:snapToGrid w:val="0"/>
              <w:spacing w:line="480" w:lineRule="atLeast"/>
              <w:jc w:val="center"/>
              <w:outlineLvl w:val="1"/>
              <w:rPr>
                <w:color w:val="000000" w:themeColor="text1"/>
                <w:sz w:val="24"/>
                <w:szCs w:val="24"/>
                <w14:textFill>
                  <w14:solidFill>
                    <w14:schemeClr w14:val="tx1"/>
                  </w14:solidFill>
                </w14:textFill>
              </w:rPr>
            </w:pPr>
          </w:p>
        </w:tc>
      </w:tr>
      <w:tr w14:paraId="36E1A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2EA35DA8">
            <w:pPr>
              <w:snapToGrid w:val="0"/>
              <w:spacing w:line="480" w:lineRule="atLeast"/>
              <w:jc w:val="center"/>
              <w:outlineLvl w:val="1"/>
              <w:rPr>
                <w:color w:val="000000" w:themeColor="text1"/>
                <w:sz w:val="24"/>
                <w:szCs w:val="24"/>
                <w14:textFill>
                  <w14:solidFill>
                    <w14:schemeClr w14:val="tx1"/>
                  </w14:solidFill>
                </w14:textFill>
              </w:rPr>
            </w:pPr>
            <w:bookmarkStart w:id="318" w:name="_Toc57984187"/>
            <w:bookmarkStart w:id="319" w:name="_Toc220074781"/>
            <w:r>
              <w:rPr>
                <w:rFonts w:hint="eastAsia"/>
                <w:color w:val="000000" w:themeColor="text1"/>
                <w:sz w:val="24"/>
                <w:szCs w:val="24"/>
                <w14:textFill>
                  <w14:solidFill>
                    <w14:schemeClr w14:val="tx1"/>
                  </w14:solidFill>
                </w14:textFill>
              </w:rPr>
              <w:t>电机功率</w:t>
            </w:r>
            <w:bookmarkEnd w:id="318"/>
            <w:bookmarkEnd w:id="319"/>
          </w:p>
        </w:tc>
        <w:tc>
          <w:tcPr>
            <w:tcW w:w="4558" w:type="dxa"/>
            <w:vAlign w:val="center"/>
          </w:tcPr>
          <w:p w14:paraId="4C4CC993">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38DDFA8C">
            <w:pPr>
              <w:snapToGrid w:val="0"/>
              <w:spacing w:line="480" w:lineRule="atLeast"/>
              <w:jc w:val="center"/>
              <w:outlineLvl w:val="1"/>
              <w:rPr>
                <w:color w:val="000000" w:themeColor="text1"/>
                <w:sz w:val="24"/>
                <w:szCs w:val="24"/>
                <w14:textFill>
                  <w14:solidFill>
                    <w14:schemeClr w14:val="tx1"/>
                  </w14:solidFill>
                </w14:textFill>
              </w:rPr>
            </w:pPr>
            <w:bookmarkStart w:id="320" w:name="_Toc220074782"/>
            <w:bookmarkStart w:id="321" w:name="_Toc57984188"/>
            <w:r>
              <w:rPr>
                <w:color w:val="000000" w:themeColor="text1"/>
                <w:sz w:val="24"/>
                <w:szCs w:val="24"/>
                <w14:textFill>
                  <w14:solidFill>
                    <w14:schemeClr w14:val="tx1"/>
                  </w14:solidFill>
                </w14:textFill>
              </w:rPr>
              <w:t>kW</w:t>
            </w:r>
            <w:bookmarkEnd w:id="320"/>
            <w:bookmarkEnd w:id="321"/>
          </w:p>
        </w:tc>
      </w:tr>
      <w:tr w14:paraId="58447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656" w:type="dxa"/>
            <w:vAlign w:val="center"/>
          </w:tcPr>
          <w:p w14:paraId="09D631ED">
            <w:pPr>
              <w:snapToGrid w:val="0"/>
              <w:spacing w:line="480" w:lineRule="atLeast"/>
              <w:jc w:val="center"/>
              <w:outlineLvl w:val="1"/>
              <w:rPr>
                <w:color w:val="000000" w:themeColor="text1"/>
                <w:sz w:val="24"/>
                <w:szCs w:val="24"/>
                <w14:textFill>
                  <w14:solidFill>
                    <w14:schemeClr w14:val="tx1"/>
                  </w14:solidFill>
                </w14:textFill>
              </w:rPr>
            </w:pPr>
            <w:bookmarkStart w:id="322" w:name="_Toc57984189"/>
            <w:bookmarkStart w:id="323" w:name="_Toc220074783"/>
            <w:r>
              <w:rPr>
                <w:rFonts w:hint="eastAsia"/>
                <w:color w:val="000000" w:themeColor="text1"/>
                <w:sz w:val="24"/>
                <w:szCs w:val="24"/>
                <w14:textFill>
                  <w14:solidFill>
                    <w14:schemeClr w14:val="tx1"/>
                  </w14:solidFill>
                </w14:textFill>
              </w:rPr>
              <w:t>电机转速</w:t>
            </w:r>
            <w:bookmarkEnd w:id="322"/>
            <w:bookmarkEnd w:id="323"/>
          </w:p>
        </w:tc>
        <w:tc>
          <w:tcPr>
            <w:tcW w:w="4558" w:type="dxa"/>
            <w:vAlign w:val="center"/>
          </w:tcPr>
          <w:p w14:paraId="794611C2">
            <w:pPr>
              <w:snapToGrid w:val="0"/>
              <w:spacing w:line="480" w:lineRule="atLeast"/>
              <w:jc w:val="center"/>
              <w:outlineLvl w:val="1"/>
              <w:rPr>
                <w:color w:val="000000" w:themeColor="text1"/>
                <w:sz w:val="24"/>
                <w:szCs w:val="24"/>
                <w14:textFill>
                  <w14:solidFill>
                    <w14:schemeClr w14:val="tx1"/>
                  </w14:solidFill>
                </w14:textFill>
              </w:rPr>
            </w:pPr>
          </w:p>
        </w:tc>
        <w:tc>
          <w:tcPr>
            <w:tcW w:w="913" w:type="dxa"/>
            <w:vAlign w:val="center"/>
          </w:tcPr>
          <w:p w14:paraId="10243651">
            <w:pPr>
              <w:snapToGrid w:val="0"/>
              <w:spacing w:line="480" w:lineRule="atLeast"/>
              <w:jc w:val="center"/>
              <w:outlineLvl w:val="1"/>
              <w:rPr>
                <w:color w:val="000000" w:themeColor="text1"/>
                <w:sz w:val="24"/>
                <w:szCs w:val="24"/>
                <w14:textFill>
                  <w14:solidFill>
                    <w14:schemeClr w14:val="tx1"/>
                  </w14:solidFill>
                </w14:textFill>
              </w:rPr>
            </w:pPr>
            <w:bookmarkStart w:id="324" w:name="_Toc220074784"/>
            <w:bookmarkStart w:id="325" w:name="_Toc57984190"/>
            <w:r>
              <w:rPr>
                <w:color w:val="000000" w:themeColor="text1"/>
                <w:sz w:val="24"/>
                <w:szCs w:val="24"/>
                <w14:textFill>
                  <w14:solidFill>
                    <w14:schemeClr w14:val="tx1"/>
                  </w14:solidFill>
                </w14:textFill>
              </w:rPr>
              <w:t>r.p.m</w:t>
            </w:r>
            <w:bookmarkEnd w:id="324"/>
            <w:bookmarkEnd w:id="325"/>
          </w:p>
        </w:tc>
      </w:tr>
    </w:tbl>
    <w:p w14:paraId="4509CE19">
      <w:pPr>
        <w:snapToGrid w:val="0"/>
        <w:spacing w:line="480" w:lineRule="atLeast"/>
        <w:jc w:val="center"/>
        <w:outlineLvl w:val="1"/>
        <w:rPr>
          <w:rFonts w:eastAsiaTheme="minorEastAsia"/>
          <w:b/>
          <w:color w:val="000000" w:themeColor="text1"/>
          <w:sz w:val="24"/>
          <w:szCs w:val="24"/>
          <w14:textFill>
            <w14:solidFill>
              <w14:schemeClr w14:val="tx1"/>
            </w14:solidFill>
          </w14:textFill>
        </w:rPr>
      </w:pPr>
      <w:bookmarkStart w:id="326" w:name="_Toc220074786"/>
      <w:bookmarkStart w:id="327" w:name="_Toc526080488"/>
      <w:bookmarkStart w:id="328" w:name="_Toc57984192"/>
      <w:bookmarkStart w:id="329" w:name="_Toc446345577"/>
      <w:bookmarkStart w:id="330" w:name="_Toc449424587"/>
      <w:r>
        <w:rPr>
          <w:rFonts w:hint="eastAsia" w:eastAsiaTheme="minorEastAsia"/>
          <w:b/>
          <w:color w:val="000000" w:themeColor="text1"/>
          <w:sz w:val="24"/>
          <w:szCs w:val="24"/>
          <w14:textFill>
            <w14:solidFill>
              <w14:schemeClr w14:val="tx1"/>
            </w14:solidFill>
          </w14:textFill>
        </w:rPr>
        <w:t>排烟风机</w:t>
      </w:r>
      <w:bookmarkEnd w:id="326"/>
    </w:p>
    <w:tbl>
      <w:tblPr>
        <w:tblStyle w:val="41"/>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731"/>
        <w:gridCol w:w="4131"/>
        <w:gridCol w:w="1265"/>
      </w:tblGrid>
      <w:tr w14:paraId="1E81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24346B54">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项</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目</w:t>
            </w:r>
          </w:p>
        </w:tc>
        <w:tc>
          <w:tcPr>
            <w:tcW w:w="4131" w:type="dxa"/>
            <w:vAlign w:val="center"/>
          </w:tcPr>
          <w:p w14:paraId="0A06429F">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技术参数或说明</w:t>
            </w:r>
          </w:p>
        </w:tc>
        <w:tc>
          <w:tcPr>
            <w:tcW w:w="1265" w:type="dxa"/>
            <w:vAlign w:val="center"/>
          </w:tcPr>
          <w:p w14:paraId="2D367DB8">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单</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位</w:t>
            </w:r>
          </w:p>
        </w:tc>
      </w:tr>
      <w:tr w14:paraId="496CF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719F9DE8">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风机型式</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型号</w:t>
            </w:r>
          </w:p>
        </w:tc>
        <w:tc>
          <w:tcPr>
            <w:tcW w:w="4131" w:type="dxa"/>
            <w:vAlign w:val="center"/>
          </w:tcPr>
          <w:p w14:paraId="1379B044">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3E6BD23B">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61E81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754F59D5">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风机制造商</w:t>
            </w:r>
          </w:p>
        </w:tc>
        <w:tc>
          <w:tcPr>
            <w:tcW w:w="4131" w:type="dxa"/>
            <w:vAlign w:val="center"/>
          </w:tcPr>
          <w:p w14:paraId="00362B3B">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39252ACF">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12F02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21177EE4">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风机风量</w:t>
            </w:r>
          </w:p>
        </w:tc>
        <w:tc>
          <w:tcPr>
            <w:tcW w:w="4131" w:type="dxa"/>
            <w:vAlign w:val="center"/>
          </w:tcPr>
          <w:p w14:paraId="1D6BBEC2">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4981C85B">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m</w:t>
            </w:r>
            <w:r>
              <w:rPr>
                <w:rFonts w:eastAsiaTheme="minorEastAsia"/>
                <w:color w:val="000000" w:themeColor="text1"/>
                <w:sz w:val="24"/>
                <w:szCs w:val="24"/>
                <w:vertAlign w:val="superscript"/>
                <w14:textFill>
                  <w14:solidFill>
                    <w14:schemeClr w14:val="tx1"/>
                  </w14:solidFill>
                </w14:textFill>
              </w:rPr>
              <w:t>3</w:t>
            </w:r>
            <w:r>
              <w:rPr>
                <w:rFonts w:eastAsiaTheme="minorEastAsia"/>
                <w:color w:val="000000" w:themeColor="text1"/>
                <w:sz w:val="24"/>
                <w:szCs w:val="24"/>
                <w14:textFill>
                  <w14:solidFill>
                    <w14:schemeClr w14:val="tx1"/>
                  </w14:solidFill>
                </w14:textFill>
              </w:rPr>
              <w:t>/h</w:t>
            </w:r>
          </w:p>
        </w:tc>
      </w:tr>
      <w:tr w14:paraId="3CF86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2228F8B4">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风机全压</w:t>
            </w:r>
          </w:p>
        </w:tc>
        <w:tc>
          <w:tcPr>
            <w:tcW w:w="4131" w:type="dxa"/>
            <w:vAlign w:val="center"/>
          </w:tcPr>
          <w:p w14:paraId="18D9CDA3">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76B29B30">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Pa</w:t>
            </w:r>
          </w:p>
        </w:tc>
      </w:tr>
      <w:tr w14:paraId="7F761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21162BD0">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电动机制造厂商</w:t>
            </w:r>
          </w:p>
        </w:tc>
        <w:tc>
          <w:tcPr>
            <w:tcW w:w="4131" w:type="dxa"/>
            <w:vAlign w:val="center"/>
          </w:tcPr>
          <w:p w14:paraId="6A9B87DA">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6BB7A65C">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48841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6FF98C5B">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电动机轴功率</w:t>
            </w:r>
          </w:p>
        </w:tc>
        <w:tc>
          <w:tcPr>
            <w:tcW w:w="4131" w:type="dxa"/>
            <w:vAlign w:val="center"/>
          </w:tcPr>
          <w:p w14:paraId="538A7046">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010218F5">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kW</w:t>
            </w:r>
          </w:p>
        </w:tc>
      </w:tr>
      <w:tr w14:paraId="65D45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0E2ED140">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电动机转速</w:t>
            </w:r>
          </w:p>
        </w:tc>
        <w:tc>
          <w:tcPr>
            <w:tcW w:w="4131" w:type="dxa"/>
            <w:vAlign w:val="center"/>
          </w:tcPr>
          <w:p w14:paraId="351E4344">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65075853">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r·p·m</w:t>
            </w:r>
          </w:p>
        </w:tc>
      </w:tr>
      <w:tr w14:paraId="1F2B3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1D83E176">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电源</w:t>
            </w:r>
          </w:p>
        </w:tc>
        <w:tc>
          <w:tcPr>
            <w:tcW w:w="4131" w:type="dxa"/>
            <w:vAlign w:val="center"/>
          </w:tcPr>
          <w:p w14:paraId="676D325F">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633263CA">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V/P/Hz</w:t>
            </w:r>
          </w:p>
        </w:tc>
      </w:tr>
      <w:tr w14:paraId="76413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570B2BD2">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轴承型式</w:t>
            </w:r>
          </w:p>
        </w:tc>
        <w:tc>
          <w:tcPr>
            <w:tcW w:w="4131" w:type="dxa"/>
            <w:vAlign w:val="center"/>
          </w:tcPr>
          <w:p w14:paraId="629CFD44">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3BACFBB6">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22E4D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401D7A18">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轴承寿命</w:t>
            </w:r>
          </w:p>
        </w:tc>
        <w:tc>
          <w:tcPr>
            <w:tcW w:w="4131" w:type="dxa"/>
            <w:vAlign w:val="center"/>
          </w:tcPr>
          <w:p w14:paraId="45E1BB91">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7FE58323">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h</w:t>
            </w:r>
          </w:p>
        </w:tc>
      </w:tr>
      <w:tr w14:paraId="5270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3F3D3223">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绝缘等级</w:t>
            </w:r>
          </w:p>
        </w:tc>
        <w:tc>
          <w:tcPr>
            <w:tcW w:w="4131" w:type="dxa"/>
            <w:vAlign w:val="center"/>
          </w:tcPr>
          <w:p w14:paraId="29B93C09">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4240FE82">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2CB69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46E536BC">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风机运行重量</w:t>
            </w:r>
          </w:p>
        </w:tc>
        <w:tc>
          <w:tcPr>
            <w:tcW w:w="4131" w:type="dxa"/>
            <w:vAlign w:val="center"/>
          </w:tcPr>
          <w:p w14:paraId="62719586">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3A821D9B">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kg</w:t>
            </w:r>
          </w:p>
        </w:tc>
      </w:tr>
      <w:tr w14:paraId="07A92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7458B0BE">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风机噪声（声压级）</w:t>
            </w:r>
          </w:p>
        </w:tc>
        <w:tc>
          <w:tcPr>
            <w:tcW w:w="4131" w:type="dxa"/>
            <w:vAlign w:val="center"/>
          </w:tcPr>
          <w:p w14:paraId="09815752">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41FFA6A7">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dB(A)</w:t>
            </w:r>
          </w:p>
        </w:tc>
      </w:tr>
      <w:tr w14:paraId="39B80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7E78B945">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壳体材质</w:t>
            </w:r>
          </w:p>
        </w:tc>
        <w:tc>
          <w:tcPr>
            <w:tcW w:w="4131" w:type="dxa"/>
            <w:vAlign w:val="center"/>
          </w:tcPr>
          <w:p w14:paraId="78687BDB">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5B64810F">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77BA4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64672469">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叶轮材质</w:t>
            </w:r>
          </w:p>
        </w:tc>
        <w:tc>
          <w:tcPr>
            <w:tcW w:w="4131" w:type="dxa"/>
            <w:vAlign w:val="center"/>
          </w:tcPr>
          <w:p w14:paraId="63ECC21C">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0CDF9094">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049EE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3F4A4ED0">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导叶轮材质</w:t>
            </w:r>
          </w:p>
        </w:tc>
        <w:tc>
          <w:tcPr>
            <w:tcW w:w="4131" w:type="dxa"/>
            <w:vAlign w:val="center"/>
          </w:tcPr>
          <w:p w14:paraId="20BE5E67">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42384AEB">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546EA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731" w:type="dxa"/>
            <w:vAlign w:val="center"/>
          </w:tcPr>
          <w:p w14:paraId="5F1F04B9">
            <w:pPr>
              <w:snapToGrid w:val="0"/>
              <w:spacing w:line="480" w:lineRule="atLeast"/>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机座材质</w:t>
            </w:r>
          </w:p>
        </w:tc>
        <w:tc>
          <w:tcPr>
            <w:tcW w:w="4131" w:type="dxa"/>
            <w:vAlign w:val="center"/>
          </w:tcPr>
          <w:p w14:paraId="4405058C">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65" w:type="dxa"/>
            <w:vAlign w:val="center"/>
          </w:tcPr>
          <w:p w14:paraId="0FB2AB9F">
            <w:pPr>
              <w:snapToGrid w:val="0"/>
              <w:spacing w:line="480" w:lineRule="atLeast"/>
              <w:jc w:val="center"/>
              <w:rPr>
                <w:rFonts w:eastAsiaTheme="minorEastAsia"/>
                <w:color w:val="000000" w:themeColor="text1"/>
                <w:sz w:val="24"/>
                <w:szCs w:val="24"/>
                <w14:textFill>
                  <w14:solidFill>
                    <w14:schemeClr w14:val="tx1"/>
                  </w14:solidFill>
                </w14:textFill>
              </w:rPr>
            </w:pPr>
          </w:p>
        </w:tc>
      </w:tr>
    </w:tbl>
    <w:p w14:paraId="02F3261D"/>
    <w:p w14:paraId="319C48A7">
      <w:pPr>
        <w:tabs>
          <w:tab w:val="left" w:pos="560"/>
          <w:tab w:val="left" w:pos="709"/>
        </w:tabs>
        <w:snapToGrid w:val="0"/>
        <w:spacing w:line="480" w:lineRule="atLeast"/>
        <w:ind w:left="569" w:hanging="569" w:hangingChars="236"/>
        <w:jc w:val="center"/>
        <w:outlineLvl w:val="1"/>
        <w:rPr>
          <w:b/>
          <w:sz w:val="24"/>
          <w:szCs w:val="24"/>
        </w:rPr>
      </w:pPr>
      <w:bookmarkStart w:id="331" w:name="_Toc220074787"/>
      <w:r>
        <w:rPr>
          <w:rFonts w:hint="eastAsia"/>
          <w:b/>
          <w:sz w:val="24"/>
          <w:szCs w:val="24"/>
        </w:rPr>
        <w:t>风机</w:t>
      </w:r>
      <w:bookmarkEnd w:id="327"/>
      <w:bookmarkEnd w:id="328"/>
      <w:bookmarkEnd w:id="329"/>
      <w:bookmarkEnd w:id="330"/>
      <w:r>
        <w:rPr>
          <w:rFonts w:hint="eastAsia"/>
          <w:b/>
          <w:sz w:val="24"/>
          <w:szCs w:val="24"/>
        </w:rPr>
        <w:t>（含轴流风机、箱式离心风机）</w:t>
      </w:r>
      <w:bookmarkEnd w:id="331"/>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368"/>
        <w:gridCol w:w="3495"/>
        <w:gridCol w:w="1263"/>
      </w:tblGrid>
      <w:tr w14:paraId="11466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blHeader/>
          <w:jc w:val="center"/>
        </w:trPr>
        <w:tc>
          <w:tcPr>
            <w:tcW w:w="4368" w:type="dxa"/>
            <w:vAlign w:val="center"/>
          </w:tcPr>
          <w:p w14:paraId="539BFA7F">
            <w:pPr>
              <w:tabs>
                <w:tab w:val="left" w:pos="2340"/>
              </w:tabs>
              <w:snapToGrid w:val="0"/>
              <w:spacing w:line="480" w:lineRule="atLeast"/>
              <w:jc w:val="center"/>
              <w:rPr>
                <w:rFonts w:ascii="Calibri" w:hAnsi="Calibri"/>
                <w:b/>
                <w:sz w:val="24"/>
                <w:szCs w:val="24"/>
              </w:rPr>
            </w:pPr>
            <w:r>
              <w:rPr>
                <w:rFonts w:hint="eastAsia" w:ascii="Calibri" w:hAnsi="Calibri"/>
                <w:b/>
                <w:sz w:val="24"/>
                <w:szCs w:val="24"/>
              </w:rPr>
              <w:t>项</w:t>
            </w:r>
            <w:r>
              <w:rPr>
                <w:rFonts w:ascii="Calibri" w:hAnsi="Calibri"/>
                <w:b/>
                <w:sz w:val="24"/>
                <w:szCs w:val="24"/>
              </w:rPr>
              <w:t xml:space="preserve">    </w:t>
            </w:r>
            <w:r>
              <w:rPr>
                <w:rFonts w:hint="eastAsia" w:ascii="Calibri" w:hAnsi="Calibri"/>
                <w:b/>
                <w:sz w:val="24"/>
                <w:szCs w:val="24"/>
              </w:rPr>
              <w:t>目</w:t>
            </w:r>
          </w:p>
        </w:tc>
        <w:tc>
          <w:tcPr>
            <w:tcW w:w="3495" w:type="dxa"/>
            <w:vAlign w:val="center"/>
          </w:tcPr>
          <w:p w14:paraId="21E5AD16">
            <w:pPr>
              <w:tabs>
                <w:tab w:val="left" w:pos="2340"/>
              </w:tabs>
              <w:snapToGrid w:val="0"/>
              <w:spacing w:line="480" w:lineRule="atLeast"/>
              <w:jc w:val="center"/>
              <w:rPr>
                <w:rFonts w:ascii="Calibri" w:hAnsi="Calibri"/>
                <w:b/>
                <w:sz w:val="24"/>
                <w:szCs w:val="24"/>
              </w:rPr>
            </w:pPr>
            <w:r>
              <w:rPr>
                <w:rFonts w:hint="eastAsia" w:ascii="Calibri" w:hAnsi="Calibri"/>
                <w:b/>
                <w:sz w:val="24"/>
                <w:szCs w:val="24"/>
              </w:rPr>
              <w:t>技术参数或说明</w:t>
            </w:r>
          </w:p>
        </w:tc>
        <w:tc>
          <w:tcPr>
            <w:tcW w:w="1263" w:type="dxa"/>
            <w:vAlign w:val="center"/>
          </w:tcPr>
          <w:p w14:paraId="032DDB65">
            <w:pPr>
              <w:tabs>
                <w:tab w:val="left" w:pos="2340"/>
              </w:tabs>
              <w:snapToGrid w:val="0"/>
              <w:spacing w:line="480" w:lineRule="atLeast"/>
              <w:jc w:val="center"/>
              <w:rPr>
                <w:rFonts w:ascii="Calibri" w:hAnsi="Calibri"/>
                <w:b/>
                <w:sz w:val="24"/>
                <w:szCs w:val="24"/>
              </w:rPr>
            </w:pPr>
            <w:r>
              <w:rPr>
                <w:rFonts w:hint="eastAsia" w:ascii="Calibri" w:hAnsi="Calibri"/>
                <w:b/>
                <w:sz w:val="24"/>
                <w:szCs w:val="24"/>
              </w:rPr>
              <w:t>单位</w:t>
            </w:r>
          </w:p>
        </w:tc>
      </w:tr>
      <w:tr w14:paraId="595AA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53E63CD4">
            <w:pPr>
              <w:tabs>
                <w:tab w:val="left" w:pos="2340"/>
              </w:tabs>
              <w:snapToGrid w:val="0"/>
              <w:spacing w:line="480" w:lineRule="atLeast"/>
              <w:jc w:val="left"/>
              <w:rPr>
                <w:rFonts w:ascii="Calibri" w:hAnsi="Calibri"/>
                <w:sz w:val="24"/>
                <w:szCs w:val="24"/>
              </w:rPr>
            </w:pPr>
            <w:r>
              <w:rPr>
                <w:rFonts w:hint="eastAsia" w:ascii="Calibri" w:hAnsi="Calibri"/>
                <w:sz w:val="24"/>
                <w:szCs w:val="24"/>
              </w:rPr>
              <w:t>总则</w:t>
            </w:r>
          </w:p>
        </w:tc>
        <w:tc>
          <w:tcPr>
            <w:tcW w:w="3495" w:type="dxa"/>
            <w:vAlign w:val="center"/>
          </w:tcPr>
          <w:p w14:paraId="42B884DB">
            <w:pPr>
              <w:tabs>
                <w:tab w:val="left" w:pos="2340"/>
              </w:tabs>
              <w:snapToGrid w:val="0"/>
              <w:spacing w:line="480" w:lineRule="atLeast"/>
              <w:jc w:val="left"/>
              <w:rPr>
                <w:rFonts w:ascii="Calibri" w:hAnsi="Calibri"/>
                <w:sz w:val="24"/>
                <w:szCs w:val="24"/>
                <w:shd w:val="pct10" w:color="auto" w:fill="FFFFFF"/>
              </w:rPr>
            </w:pPr>
          </w:p>
        </w:tc>
        <w:tc>
          <w:tcPr>
            <w:tcW w:w="1263" w:type="dxa"/>
            <w:vAlign w:val="center"/>
          </w:tcPr>
          <w:p w14:paraId="3BCD985B">
            <w:pPr>
              <w:tabs>
                <w:tab w:val="left" w:pos="2340"/>
              </w:tabs>
              <w:snapToGrid w:val="0"/>
              <w:spacing w:line="480" w:lineRule="atLeast"/>
              <w:jc w:val="center"/>
              <w:rPr>
                <w:rFonts w:ascii="Calibri" w:hAnsi="Calibri"/>
                <w:sz w:val="24"/>
                <w:szCs w:val="24"/>
              </w:rPr>
            </w:pPr>
          </w:p>
        </w:tc>
      </w:tr>
      <w:tr w14:paraId="638ED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0634203E">
            <w:pPr>
              <w:tabs>
                <w:tab w:val="left" w:pos="2340"/>
              </w:tabs>
              <w:snapToGrid w:val="0"/>
              <w:spacing w:line="480" w:lineRule="atLeast"/>
              <w:jc w:val="left"/>
              <w:rPr>
                <w:rFonts w:ascii="Calibri" w:hAnsi="Calibri"/>
                <w:sz w:val="24"/>
                <w:szCs w:val="24"/>
              </w:rPr>
            </w:pPr>
            <w:r>
              <w:rPr>
                <w:rFonts w:hint="eastAsia" w:ascii="Calibri" w:hAnsi="Calibri"/>
                <w:sz w:val="24"/>
                <w:szCs w:val="24"/>
              </w:rPr>
              <w:t>名称</w:t>
            </w:r>
          </w:p>
        </w:tc>
        <w:tc>
          <w:tcPr>
            <w:tcW w:w="3495" w:type="dxa"/>
            <w:vAlign w:val="center"/>
          </w:tcPr>
          <w:p w14:paraId="18C59589">
            <w:pPr>
              <w:tabs>
                <w:tab w:val="left" w:pos="2340"/>
              </w:tabs>
              <w:snapToGrid w:val="0"/>
              <w:spacing w:line="480" w:lineRule="atLeast"/>
              <w:jc w:val="left"/>
              <w:rPr>
                <w:rFonts w:ascii="Calibri" w:hAnsi="Calibri"/>
                <w:sz w:val="24"/>
                <w:szCs w:val="24"/>
                <w:shd w:val="pct10" w:color="auto" w:fill="FFFFFF"/>
              </w:rPr>
            </w:pPr>
          </w:p>
        </w:tc>
        <w:tc>
          <w:tcPr>
            <w:tcW w:w="1263" w:type="dxa"/>
            <w:vAlign w:val="center"/>
          </w:tcPr>
          <w:p w14:paraId="6F066648">
            <w:pPr>
              <w:tabs>
                <w:tab w:val="left" w:pos="2340"/>
              </w:tabs>
              <w:snapToGrid w:val="0"/>
              <w:spacing w:line="480" w:lineRule="atLeast"/>
              <w:jc w:val="center"/>
              <w:rPr>
                <w:rFonts w:ascii="Calibri" w:hAnsi="Calibri"/>
                <w:sz w:val="24"/>
                <w:szCs w:val="24"/>
              </w:rPr>
            </w:pPr>
          </w:p>
        </w:tc>
      </w:tr>
      <w:tr w14:paraId="695C6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7AC9EAAF">
            <w:pPr>
              <w:tabs>
                <w:tab w:val="left" w:pos="2340"/>
              </w:tabs>
              <w:snapToGrid w:val="0"/>
              <w:spacing w:line="480" w:lineRule="atLeast"/>
              <w:jc w:val="left"/>
              <w:rPr>
                <w:rFonts w:ascii="Calibri" w:hAnsi="Calibri"/>
                <w:sz w:val="24"/>
                <w:szCs w:val="24"/>
              </w:rPr>
            </w:pPr>
            <w:r>
              <w:rPr>
                <w:rFonts w:hint="eastAsia" w:ascii="Calibri" w:hAnsi="Calibri"/>
                <w:sz w:val="24"/>
                <w:szCs w:val="24"/>
              </w:rPr>
              <w:t>机组型式</w:t>
            </w:r>
          </w:p>
        </w:tc>
        <w:tc>
          <w:tcPr>
            <w:tcW w:w="3495" w:type="dxa"/>
            <w:vAlign w:val="center"/>
          </w:tcPr>
          <w:p w14:paraId="2F3D3C01">
            <w:pPr>
              <w:tabs>
                <w:tab w:val="left" w:pos="2340"/>
              </w:tabs>
              <w:snapToGrid w:val="0"/>
              <w:spacing w:line="480" w:lineRule="atLeast"/>
              <w:jc w:val="left"/>
              <w:rPr>
                <w:rFonts w:ascii="Calibri" w:hAnsi="Calibri"/>
                <w:sz w:val="24"/>
                <w:szCs w:val="24"/>
                <w:shd w:val="pct10" w:color="auto" w:fill="FFFFFF"/>
              </w:rPr>
            </w:pPr>
          </w:p>
        </w:tc>
        <w:tc>
          <w:tcPr>
            <w:tcW w:w="1263" w:type="dxa"/>
            <w:vAlign w:val="center"/>
          </w:tcPr>
          <w:p w14:paraId="5B33B2BA">
            <w:pPr>
              <w:tabs>
                <w:tab w:val="left" w:pos="2340"/>
              </w:tabs>
              <w:snapToGrid w:val="0"/>
              <w:spacing w:line="480" w:lineRule="atLeast"/>
              <w:jc w:val="center"/>
              <w:rPr>
                <w:rFonts w:ascii="Calibri" w:hAnsi="Calibri"/>
                <w:sz w:val="24"/>
                <w:szCs w:val="24"/>
              </w:rPr>
            </w:pPr>
          </w:p>
        </w:tc>
      </w:tr>
      <w:tr w14:paraId="2DCD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1889A2E1">
            <w:pPr>
              <w:tabs>
                <w:tab w:val="left" w:pos="2340"/>
              </w:tabs>
              <w:snapToGrid w:val="0"/>
              <w:spacing w:line="480" w:lineRule="atLeast"/>
              <w:jc w:val="left"/>
              <w:rPr>
                <w:rFonts w:ascii="Calibri" w:hAnsi="Calibri"/>
                <w:sz w:val="24"/>
                <w:szCs w:val="24"/>
              </w:rPr>
            </w:pPr>
            <w:r>
              <w:rPr>
                <w:rFonts w:hint="eastAsia" w:ascii="Calibri" w:hAnsi="Calibri"/>
                <w:sz w:val="24"/>
                <w:szCs w:val="24"/>
              </w:rPr>
              <w:t>制造厂家</w:t>
            </w:r>
          </w:p>
        </w:tc>
        <w:tc>
          <w:tcPr>
            <w:tcW w:w="3495" w:type="dxa"/>
            <w:vAlign w:val="center"/>
          </w:tcPr>
          <w:p w14:paraId="733A53AC">
            <w:pPr>
              <w:tabs>
                <w:tab w:val="left" w:pos="2340"/>
              </w:tabs>
              <w:snapToGrid w:val="0"/>
              <w:spacing w:line="480" w:lineRule="atLeast"/>
              <w:jc w:val="left"/>
              <w:rPr>
                <w:rFonts w:ascii="Calibri" w:hAnsi="Calibri"/>
                <w:sz w:val="24"/>
                <w:szCs w:val="24"/>
                <w:shd w:val="pct10" w:color="auto" w:fill="FFFFFF"/>
              </w:rPr>
            </w:pPr>
          </w:p>
        </w:tc>
        <w:tc>
          <w:tcPr>
            <w:tcW w:w="1263" w:type="dxa"/>
            <w:vAlign w:val="center"/>
          </w:tcPr>
          <w:p w14:paraId="1FA8E7B2">
            <w:pPr>
              <w:tabs>
                <w:tab w:val="left" w:pos="2340"/>
              </w:tabs>
              <w:snapToGrid w:val="0"/>
              <w:spacing w:line="480" w:lineRule="atLeast"/>
              <w:jc w:val="center"/>
              <w:rPr>
                <w:rFonts w:ascii="Calibri" w:hAnsi="Calibri"/>
                <w:sz w:val="24"/>
                <w:szCs w:val="24"/>
              </w:rPr>
            </w:pPr>
          </w:p>
        </w:tc>
      </w:tr>
      <w:tr w14:paraId="5F992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3943E4AE">
            <w:pPr>
              <w:tabs>
                <w:tab w:val="left" w:pos="2340"/>
              </w:tabs>
              <w:snapToGrid w:val="0"/>
              <w:spacing w:line="480" w:lineRule="atLeast"/>
              <w:jc w:val="left"/>
              <w:rPr>
                <w:rFonts w:ascii="Calibri" w:hAnsi="Calibri"/>
                <w:sz w:val="24"/>
                <w:szCs w:val="24"/>
              </w:rPr>
            </w:pPr>
            <w:r>
              <w:rPr>
                <w:rFonts w:hint="eastAsia" w:ascii="Calibri" w:hAnsi="Calibri"/>
                <w:sz w:val="24"/>
                <w:szCs w:val="24"/>
              </w:rPr>
              <w:t>风量</w:t>
            </w:r>
          </w:p>
        </w:tc>
        <w:tc>
          <w:tcPr>
            <w:tcW w:w="3495" w:type="dxa"/>
            <w:vAlign w:val="center"/>
          </w:tcPr>
          <w:p w14:paraId="7CA8B9B4">
            <w:pPr>
              <w:tabs>
                <w:tab w:val="left" w:pos="2340"/>
              </w:tabs>
              <w:snapToGrid w:val="0"/>
              <w:spacing w:line="480" w:lineRule="atLeast"/>
              <w:jc w:val="left"/>
              <w:rPr>
                <w:rFonts w:ascii="Calibri" w:hAnsi="Calibri"/>
                <w:sz w:val="24"/>
                <w:szCs w:val="24"/>
                <w:shd w:val="pct10" w:color="auto" w:fill="FFFFFF"/>
              </w:rPr>
            </w:pPr>
          </w:p>
        </w:tc>
        <w:tc>
          <w:tcPr>
            <w:tcW w:w="1263" w:type="dxa"/>
            <w:vAlign w:val="center"/>
          </w:tcPr>
          <w:p w14:paraId="6FE92E11">
            <w:pPr>
              <w:tabs>
                <w:tab w:val="left" w:pos="2340"/>
              </w:tabs>
              <w:snapToGrid w:val="0"/>
              <w:spacing w:line="480" w:lineRule="atLeast"/>
              <w:jc w:val="center"/>
              <w:rPr>
                <w:rFonts w:ascii="Calibri" w:hAnsi="Calibri"/>
                <w:sz w:val="24"/>
                <w:szCs w:val="24"/>
              </w:rPr>
            </w:pPr>
            <w:r>
              <w:rPr>
                <w:rFonts w:ascii="Calibri" w:hAnsi="Calibri"/>
                <w:sz w:val="24"/>
                <w:szCs w:val="24"/>
              </w:rPr>
              <w:t>m</w:t>
            </w:r>
            <w:r>
              <w:rPr>
                <w:rFonts w:ascii="Calibri" w:hAnsi="Calibri"/>
                <w:sz w:val="24"/>
                <w:szCs w:val="24"/>
                <w:vertAlign w:val="superscript"/>
              </w:rPr>
              <w:t>3</w:t>
            </w:r>
            <w:r>
              <w:rPr>
                <w:rFonts w:ascii="Calibri" w:hAnsi="Calibri"/>
                <w:sz w:val="24"/>
                <w:szCs w:val="24"/>
              </w:rPr>
              <w:t>/h</w:t>
            </w:r>
          </w:p>
        </w:tc>
      </w:tr>
      <w:tr w14:paraId="02443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12CB7510">
            <w:pPr>
              <w:tabs>
                <w:tab w:val="left" w:pos="2340"/>
              </w:tabs>
              <w:snapToGrid w:val="0"/>
              <w:spacing w:line="480" w:lineRule="atLeast"/>
              <w:jc w:val="left"/>
              <w:rPr>
                <w:rFonts w:ascii="Calibri" w:hAnsi="Calibri"/>
                <w:sz w:val="24"/>
                <w:szCs w:val="24"/>
              </w:rPr>
            </w:pPr>
            <w:r>
              <w:rPr>
                <w:rFonts w:hint="eastAsia" w:ascii="Calibri" w:hAnsi="Calibri"/>
                <w:sz w:val="24"/>
                <w:szCs w:val="24"/>
              </w:rPr>
              <w:t>最大外形尺寸（</w:t>
            </w:r>
            <w:r>
              <w:rPr>
                <w:rFonts w:ascii="Calibri" w:hAnsi="Calibri"/>
                <w:sz w:val="24"/>
                <w:szCs w:val="24"/>
              </w:rPr>
              <w:t>LxWxH</w:t>
            </w:r>
            <w:r>
              <w:rPr>
                <w:rFonts w:hint="eastAsia" w:ascii="Calibri" w:hAnsi="Calibri"/>
                <w:sz w:val="24"/>
                <w:szCs w:val="24"/>
              </w:rPr>
              <w:t>）</w:t>
            </w:r>
          </w:p>
        </w:tc>
        <w:tc>
          <w:tcPr>
            <w:tcW w:w="3495" w:type="dxa"/>
            <w:vAlign w:val="center"/>
          </w:tcPr>
          <w:p w14:paraId="22569306">
            <w:pPr>
              <w:tabs>
                <w:tab w:val="left" w:pos="2340"/>
              </w:tabs>
              <w:snapToGrid w:val="0"/>
              <w:spacing w:line="480" w:lineRule="atLeast"/>
              <w:jc w:val="left"/>
              <w:rPr>
                <w:rFonts w:ascii="Calibri" w:hAnsi="Calibri"/>
                <w:sz w:val="24"/>
                <w:szCs w:val="24"/>
                <w:shd w:val="pct10" w:color="auto" w:fill="FFFFFF"/>
              </w:rPr>
            </w:pPr>
          </w:p>
        </w:tc>
        <w:tc>
          <w:tcPr>
            <w:tcW w:w="1263" w:type="dxa"/>
            <w:vAlign w:val="center"/>
          </w:tcPr>
          <w:p w14:paraId="6E530719">
            <w:pPr>
              <w:tabs>
                <w:tab w:val="left" w:pos="2340"/>
              </w:tabs>
              <w:snapToGrid w:val="0"/>
              <w:spacing w:line="480" w:lineRule="atLeast"/>
              <w:jc w:val="center"/>
              <w:rPr>
                <w:rFonts w:ascii="Calibri" w:hAnsi="Calibri"/>
                <w:sz w:val="24"/>
                <w:szCs w:val="24"/>
              </w:rPr>
            </w:pPr>
            <w:r>
              <w:rPr>
                <w:rFonts w:ascii="Calibri" w:hAnsi="Calibri"/>
                <w:sz w:val="24"/>
                <w:szCs w:val="24"/>
              </w:rPr>
              <w:t>m</w:t>
            </w:r>
          </w:p>
        </w:tc>
      </w:tr>
      <w:tr w14:paraId="64AB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0D7BAB61">
            <w:pPr>
              <w:tabs>
                <w:tab w:val="left" w:pos="2340"/>
              </w:tabs>
              <w:snapToGrid w:val="0"/>
              <w:spacing w:line="480" w:lineRule="atLeast"/>
              <w:jc w:val="left"/>
              <w:rPr>
                <w:rFonts w:ascii="Calibri" w:hAnsi="Calibri"/>
                <w:sz w:val="24"/>
                <w:szCs w:val="24"/>
              </w:rPr>
            </w:pPr>
            <w:r>
              <w:rPr>
                <w:rFonts w:hint="eastAsia" w:ascii="Calibri" w:hAnsi="Calibri"/>
                <w:sz w:val="24"/>
                <w:szCs w:val="24"/>
              </w:rPr>
              <w:t>设备净重</w:t>
            </w:r>
          </w:p>
        </w:tc>
        <w:tc>
          <w:tcPr>
            <w:tcW w:w="3495" w:type="dxa"/>
            <w:vAlign w:val="center"/>
          </w:tcPr>
          <w:p w14:paraId="5C6A7052">
            <w:pPr>
              <w:tabs>
                <w:tab w:val="left" w:pos="2340"/>
              </w:tabs>
              <w:snapToGrid w:val="0"/>
              <w:spacing w:line="480" w:lineRule="atLeast"/>
              <w:jc w:val="left"/>
              <w:rPr>
                <w:rFonts w:ascii="Calibri" w:hAnsi="Calibri"/>
                <w:sz w:val="24"/>
                <w:szCs w:val="24"/>
                <w:shd w:val="pct10" w:color="auto" w:fill="FFFFFF"/>
              </w:rPr>
            </w:pPr>
          </w:p>
        </w:tc>
        <w:tc>
          <w:tcPr>
            <w:tcW w:w="1263" w:type="dxa"/>
            <w:vAlign w:val="center"/>
          </w:tcPr>
          <w:p w14:paraId="7A63E096">
            <w:pPr>
              <w:tabs>
                <w:tab w:val="left" w:pos="2340"/>
              </w:tabs>
              <w:snapToGrid w:val="0"/>
              <w:spacing w:line="480" w:lineRule="atLeast"/>
              <w:jc w:val="center"/>
              <w:rPr>
                <w:rFonts w:ascii="Calibri" w:hAnsi="Calibri"/>
                <w:sz w:val="24"/>
                <w:szCs w:val="24"/>
              </w:rPr>
            </w:pPr>
            <w:r>
              <w:rPr>
                <w:rFonts w:ascii="Calibri" w:hAnsi="Calibri"/>
                <w:sz w:val="24"/>
                <w:szCs w:val="24"/>
              </w:rPr>
              <w:t>kg</w:t>
            </w:r>
          </w:p>
        </w:tc>
      </w:tr>
      <w:tr w14:paraId="2406A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31282272">
            <w:pPr>
              <w:tabs>
                <w:tab w:val="left" w:pos="2340"/>
              </w:tabs>
              <w:snapToGrid w:val="0"/>
              <w:spacing w:line="480" w:lineRule="atLeast"/>
              <w:jc w:val="left"/>
              <w:rPr>
                <w:rFonts w:ascii="Calibri" w:hAnsi="Calibri"/>
                <w:sz w:val="24"/>
                <w:szCs w:val="24"/>
              </w:rPr>
            </w:pPr>
            <w:r>
              <w:rPr>
                <w:rFonts w:hint="eastAsia" w:ascii="Calibri" w:hAnsi="Calibri"/>
                <w:sz w:val="24"/>
                <w:szCs w:val="24"/>
              </w:rPr>
              <w:t>运行重量</w:t>
            </w:r>
          </w:p>
        </w:tc>
        <w:tc>
          <w:tcPr>
            <w:tcW w:w="3495" w:type="dxa"/>
            <w:vAlign w:val="center"/>
          </w:tcPr>
          <w:p w14:paraId="6BBE38B1">
            <w:pPr>
              <w:tabs>
                <w:tab w:val="left" w:pos="2340"/>
              </w:tabs>
              <w:snapToGrid w:val="0"/>
              <w:spacing w:line="480" w:lineRule="atLeast"/>
              <w:jc w:val="left"/>
              <w:rPr>
                <w:rFonts w:ascii="Calibri" w:hAnsi="Calibri"/>
                <w:sz w:val="24"/>
                <w:szCs w:val="24"/>
              </w:rPr>
            </w:pPr>
          </w:p>
        </w:tc>
        <w:tc>
          <w:tcPr>
            <w:tcW w:w="1263" w:type="dxa"/>
            <w:vAlign w:val="center"/>
          </w:tcPr>
          <w:p w14:paraId="7B91D0DD">
            <w:pPr>
              <w:tabs>
                <w:tab w:val="left" w:pos="2340"/>
              </w:tabs>
              <w:snapToGrid w:val="0"/>
              <w:spacing w:line="480" w:lineRule="atLeast"/>
              <w:jc w:val="center"/>
              <w:rPr>
                <w:rFonts w:ascii="Calibri" w:hAnsi="Calibri"/>
                <w:sz w:val="24"/>
                <w:szCs w:val="24"/>
              </w:rPr>
            </w:pPr>
            <w:r>
              <w:rPr>
                <w:rFonts w:ascii="Calibri" w:hAnsi="Calibri"/>
                <w:sz w:val="24"/>
                <w:szCs w:val="24"/>
              </w:rPr>
              <w:t>kg</w:t>
            </w:r>
          </w:p>
        </w:tc>
      </w:tr>
      <w:tr w14:paraId="70B54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2DD41501">
            <w:pPr>
              <w:tabs>
                <w:tab w:val="left" w:pos="2340"/>
              </w:tabs>
              <w:snapToGrid w:val="0"/>
              <w:spacing w:line="480" w:lineRule="atLeast"/>
              <w:jc w:val="left"/>
              <w:rPr>
                <w:rFonts w:ascii="Calibri" w:hAnsi="Calibri"/>
                <w:sz w:val="24"/>
                <w:szCs w:val="24"/>
              </w:rPr>
            </w:pPr>
            <w:r>
              <w:rPr>
                <w:rFonts w:hint="eastAsia" w:ascii="Calibri" w:hAnsi="Calibri"/>
                <w:sz w:val="24"/>
                <w:szCs w:val="24"/>
              </w:rPr>
              <w:t>机组最大单件重量</w:t>
            </w:r>
          </w:p>
        </w:tc>
        <w:tc>
          <w:tcPr>
            <w:tcW w:w="3495" w:type="dxa"/>
            <w:vAlign w:val="center"/>
          </w:tcPr>
          <w:p w14:paraId="3C36A0FA">
            <w:pPr>
              <w:tabs>
                <w:tab w:val="left" w:pos="2340"/>
              </w:tabs>
              <w:snapToGrid w:val="0"/>
              <w:spacing w:line="480" w:lineRule="atLeast"/>
              <w:jc w:val="left"/>
              <w:rPr>
                <w:rFonts w:ascii="Calibri" w:hAnsi="Calibri"/>
                <w:sz w:val="24"/>
                <w:szCs w:val="24"/>
              </w:rPr>
            </w:pPr>
          </w:p>
        </w:tc>
        <w:tc>
          <w:tcPr>
            <w:tcW w:w="1263" w:type="dxa"/>
            <w:vAlign w:val="center"/>
          </w:tcPr>
          <w:p w14:paraId="16CA79F4">
            <w:pPr>
              <w:tabs>
                <w:tab w:val="left" w:pos="2340"/>
              </w:tabs>
              <w:snapToGrid w:val="0"/>
              <w:spacing w:line="480" w:lineRule="atLeast"/>
              <w:jc w:val="center"/>
              <w:rPr>
                <w:rFonts w:ascii="Calibri" w:hAnsi="Calibri"/>
                <w:sz w:val="24"/>
                <w:szCs w:val="24"/>
              </w:rPr>
            </w:pPr>
            <w:r>
              <w:rPr>
                <w:rFonts w:ascii="Calibri" w:hAnsi="Calibri"/>
                <w:sz w:val="24"/>
                <w:szCs w:val="24"/>
              </w:rPr>
              <w:t>kg</w:t>
            </w:r>
          </w:p>
        </w:tc>
      </w:tr>
      <w:tr w14:paraId="1D320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75261101">
            <w:pPr>
              <w:tabs>
                <w:tab w:val="left" w:pos="2340"/>
              </w:tabs>
              <w:snapToGrid w:val="0"/>
              <w:spacing w:line="480" w:lineRule="atLeast"/>
              <w:jc w:val="left"/>
              <w:rPr>
                <w:rFonts w:ascii="Calibri" w:hAnsi="Calibri"/>
                <w:sz w:val="24"/>
                <w:szCs w:val="24"/>
              </w:rPr>
            </w:pPr>
            <w:r>
              <w:rPr>
                <w:rFonts w:hint="eastAsia" w:ascii="Calibri" w:hAnsi="Calibri"/>
                <w:sz w:val="24"/>
                <w:szCs w:val="24"/>
              </w:rPr>
              <w:t>距设备</w:t>
            </w:r>
            <w:r>
              <w:rPr>
                <w:rFonts w:ascii="Calibri" w:hAnsi="Calibri"/>
                <w:sz w:val="24"/>
                <w:szCs w:val="24"/>
              </w:rPr>
              <w:t>1.5m</w:t>
            </w:r>
            <w:r>
              <w:rPr>
                <w:rFonts w:hint="eastAsia" w:ascii="Calibri" w:hAnsi="Calibri"/>
                <w:sz w:val="24"/>
                <w:szCs w:val="24"/>
              </w:rPr>
              <w:t>和地面以上</w:t>
            </w:r>
            <w:r>
              <w:rPr>
                <w:rFonts w:ascii="Calibri" w:hAnsi="Calibri"/>
                <w:sz w:val="24"/>
                <w:szCs w:val="24"/>
              </w:rPr>
              <w:t>1.0m</w:t>
            </w:r>
            <w:r>
              <w:rPr>
                <w:rFonts w:hint="eastAsia" w:ascii="Calibri" w:hAnsi="Calibri"/>
                <w:sz w:val="24"/>
                <w:szCs w:val="24"/>
              </w:rPr>
              <w:t>处的噪声值</w:t>
            </w:r>
          </w:p>
        </w:tc>
        <w:tc>
          <w:tcPr>
            <w:tcW w:w="3495" w:type="dxa"/>
            <w:vAlign w:val="center"/>
          </w:tcPr>
          <w:p w14:paraId="5067501E">
            <w:pPr>
              <w:tabs>
                <w:tab w:val="left" w:pos="2340"/>
              </w:tabs>
              <w:snapToGrid w:val="0"/>
              <w:spacing w:line="480" w:lineRule="atLeast"/>
              <w:jc w:val="left"/>
              <w:rPr>
                <w:rFonts w:ascii="Calibri" w:hAnsi="Calibri"/>
                <w:sz w:val="24"/>
                <w:szCs w:val="24"/>
              </w:rPr>
            </w:pPr>
          </w:p>
        </w:tc>
        <w:tc>
          <w:tcPr>
            <w:tcW w:w="1263" w:type="dxa"/>
            <w:vAlign w:val="center"/>
          </w:tcPr>
          <w:p w14:paraId="26797960">
            <w:pPr>
              <w:tabs>
                <w:tab w:val="left" w:pos="2340"/>
              </w:tabs>
              <w:snapToGrid w:val="0"/>
              <w:spacing w:line="480" w:lineRule="atLeast"/>
              <w:jc w:val="center"/>
              <w:rPr>
                <w:rFonts w:ascii="Calibri" w:hAnsi="Calibri"/>
                <w:sz w:val="24"/>
                <w:szCs w:val="24"/>
              </w:rPr>
            </w:pPr>
            <w:r>
              <w:rPr>
                <w:rFonts w:ascii="Calibri" w:hAnsi="Calibri"/>
                <w:sz w:val="24"/>
                <w:szCs w:val="24"/>
              </w:rPr>
              <w:t>dB(A)</w:t>
            </w:r>
          </w:p>
        </w:tc>
      </w:tr>
      <w:tr w14:paraId="1AD0B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248E25FF">
            <w:pPr>
              <w:tabs>
                <w:tab w:val="left" w:pos="2340"/>
              </w:tabs>
              <w:snapToGrid w:val="0"/>
              <w:spacing w:line="480" w:lineRule="atLeast"/>
              <w:jc w:val="left"/>
              <w:rPr>
                <w:rFonts w:ascii="Calibri" w:hAnsi="Calibri"/>
                <w:sz w:val="24"/>
                <w:szCs w:val="24"/>
              </w:rPr>
            </w:pPr>
            <w:r>
              <w:rPr>
                <w:rFonts w:hint="eastAsia" w:ascii="Calibri" w:hAnsi="Calibri"/>
                <w:sz w:val="24"/>
                <w:szCs w:val="24"/>
              </w:rPr>
              <w:t>最低工作温度及相对湿度</w:t>
            </w:r>
          </w:p>
        </w:tc>
        <w:tc>
          <w:tcPr>
            <w:tcW w:w="3495" w:type="dxa"/>
            <w:vAlign w:val="center"/>
          </w:tcPr>
          <w:p w14:paraId="7C547C4D">
            <w:pPr>
              <w:tabs>
                <w:tab w:val="left" w:pos="2340"/>
              </w:tabs>
              <w:snapToGrid w:val="0"/>
              <w:spacing w:line="480" w:lineRule="atLeast"/>
              <w:jc w:val="left"/>
              <w:rPr>
                <w:rFonts w:ascii="Calibri" w:hAnsi="Calibri"/>
                <w:sz w:val="24"/>
                <w:szCs w:val="24"/>
              </w:rPr>
            </w:pPr>
          </w:p>
        </w:tc>
        <w:tc>
          <w:tcPr>
            <w:tcW w:w="1263" w:type="dxa"/>
            <w:vAlign w:val="center"/>
          </w:tcPr>
          <w:p w14:paraId="50319FEA">
            <w:pPr>
              <w:tabs>
                <w:tab w:val="left" w:pos="2340"/>
              </w:tabs>
              <w:snapToGrid w:val="0"/>
              <w:spacing w:line="480" w:lineRule="atLeast"/>
              <w:jc w:val="center"/>
              <w:rPr>
                <w:rFonts w:ascii="Calibri" w:hAnsi="Calibri"/>
                <w:sz w:val="24"/>
                <w:szCs w:val="24"/>
              </w:rPr>
            </w:pPr>
          </w:p>
        </w:tc>
      </w:tr>
      <w:tr w14:paraId="4FB1D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54FA54DD">
            <w:pPr>
              <w:tabs>
                <w:tab w:val="left" w:pos="2340"/>
              </w:tabs>
              <w:snapToGrid w:val="0"/>
              <w:spacing w:line="480" w:lineRule="atLeast"/>
              <w:jc w:val="left"/>
              <w:rPr>
                <w:rFonts w:ascii="Calibri" w:hAnsi="Calibri"/>
                <w:sz w:val="24"/>
                <w:szCs w:val="24"/>
              </w:rPr>
            </w:pPr>
            <w:r>
              <w:rPr>
                <w:rFonts w:hint="eastAsia" w:ascii="Calibri" w:hAnsi="Calibri"/>
                <w:sz w:val="24"/>
                <w:szCs w:val="24"/>
              </w:rPr>
              <w:t>最高工作温度及相对湿度</w:t>
            </w:r>
          </w:p>
        </w:tc>
        <w:tc>
          <w:tcPr>
            <w:tcW w:w="3495" w:type="dxa"/>
            <w:vAlign w:val="center"/>
          </w:tcPr>
          <w:p w14:paraId="229676BB">
            <w:pPr>
              <w:tabs>
                <w:tab w:val="left" w:pos="2340"/>
              </w:tabs>
              <w:snapToGrid w:val="0"/>
              <w:spacing w:line="480" w:lineRule="atLeast"/>
              <w:jc w:val="left"/>
              <w:rPr>
                <w:rFonts w:ascii="Calibri" w:hAnsi="Calibri"/>
                <w:sz w:val="24"/>
                <w:szCs w:val="24"/>
              </w:rPr>
            </w:pPr>
          </w:p>
        </w:tc>
        <w:tc>
          <w:tcPr>
            <w:tcW w:w="1263" w:type="dxa"/>
            <w:vAlign w:val="center"/>
          </w:tcPr>
          <w:p w14:paraId="0155B29D">
            <w:pPr>
              <w:tabs>
                <w:tab w:val="left" w:pos="2340"/>
              </w:tabs>
              <w:snapToGrid w:val="0"/>
              <w:spacing w:line="480" w:lineRule="atLeast"/>
              <w:jc w:val="center"/>
              <w:rPr>
                <w:rFonts w:ascii="Calibri" w:hAnsi="Calibri"/>
                <w:sz w:val="24"/>
                <w:szCs w:val="24"/>
              </w:rPr>
            </w:pPr>
          </w:p>
        </w:tc>
      </w:tr>
      <w:tr w14:paraId="183E6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750019A0">
            <w:pPr>
              <w:tabs>
                <w:tab w:val="left" w:pos="2340"/>
              </w:tabs>
              <w:snapToGrid w:val="0"/>
              <w:spacing w:line="480" w:lineRule="atLeast"/>
              <w:jc w:val="left"/>
              <w:rPr>
                <w:rFonts w:ascii="Calibri" w:hAnsi="Calibri"/>
                <w:sz w:val="24"/>
                <w:szCs w:val="24"/>
              </w:rPr>
            </w:pPr>
            <w:r>
              <w:rPr>
                <w:rFonts w:hint="eastAsia" w:ascii="Calibri" w:hAnsi="Calibri"/>
                <w:sz w:val="24"/>
                <w:szCs w:val="24"/>
              </w:rPr>
              <w:t>最大风荷载</w:t>
            </w:r>
          </w:p>
        </w:tc>
        <w:tc>
          <w:tcPr>
            <w:tcW w:w="3495" w:type="dxa"/>
            <w:vAlign w:val="center"/>
          </w:tcPr>
          <w:p w14:paraId="1FE3FDB9">
            <w:pPr>
              <w:tabs>
                <w:tab w:val="left" w:pos="2340"/>
              </w:tabs>
              <w:snapToGrid w:val="0"/>
              <w:spacing w:line="480" w:lineRule="atLeast"/>
              <w:jc w:val="left"/>
              <w:rPr>
                <w:rFonts w:ascii="Calibri" w:hAnsi="Calibri"/>
                <w:sz w:val="24"/>
                <w:szCs w:val="24"/>
              </w:rPr>
            </w:pPr>
          </w:p>
        </w:tc>
        <w:tc>
          <w:tcPr>
            <w:tcW w:w="1263" w:type="dxa"/>
            <w:vAlign w:val="center"/>
          </w:tcPr>
          <w:p w14:paraId="08895995">
            <w:pPr>
              <w:tabs>
                <w:tab w:val="left" w:pos="2340"/>
              </w:tabs>
              <w:snapToGrid w:val="0"/>
              <w:spacing w:line="480" w:lineRule="atLeast"/>
              <w:jc w:val="center"/>
              <w:rPr>
                <w:rFonts w:ascii="Calibri" w:hAnsi="Calibri"/>
                <w:sz w:val="24"/>
                <w:szCs w:val="24"/>
              </w:rPr>
            </w:pPr>
          </w:p>
        </w:tc>
      </w:tr>
      <w:tr w14:paraId="00246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2CC98898">
            <w:pPr>
              <w:tabs>
                <w:tab w:val="left" w:pos="2340"/>
              </w:tabs>
              <w:snapToGrid w:val="0"/>
              <w:spacing w:line="480" w:lineRule="atLeast"/>
              <w:jc w:val="left"/>
              <w:rPr>
                <w:rFonts w:ascii="Calibri" w:hAnsi="Calibri"/>
                <w:sz w:val="24"/>
                <w:szCs w:val="24"/>
              </w:rPr>
            </w:pPr>
            <w:r>
              <w:rPr>
                <w:rFonts w:hint="eastAsia" w:ascii="Calibri" w:hAnsi="Calibri"/>
                <w:sz w:val="24"/>
                <w:szCs w:val="24"/>
              </w:rPr>
              <w:t>最小储存时间</w:t>
            </w:r>
          </w:p>
        </w:tc>
        <w:tc>
          <w:tcPr>
            <w:tcW w:w="3495" w:type="dxa"/>
            <w:vAlign w:val="center"/>
          </w:tcPr>
          <w:p w14:paraId="4A89EA90">
            <w:pPr>
              <w:tabs>
                <w:tab w:val="left" w:pos="2340"/>
              </w:tabs>
              <w:snapToGrid w:val="0"/>
              <w:spacing w:line="480" w:lineRule="atLeast"/>
              <w:jc w:val="left"/>
              <w:rPr>
                <w:rFonts w:ascii="Calibri" w:hAnsi="Calibri"/>
                <w:sz w:val="24"/>
                <w:szCs w:val="24"/>
              </w:rPr>
            </w:pPr>
          </w:p>
        </w:tc>
        <w:tc>
          <w:tcPr>
            <w:tcW w:w="1263" w:type="dxa"/>
            <w:vAlign w:val="center"/>
          </w:tcPr>
          <w:p w14:paraId="27F86AC2">
            <w:pPr>
              <w:tabs>
                <w:tab w:val="left" w:pos="2340"/>
              </w:tabs>
              <w:snapToGrid w:val="0"/>
              <w:spacing w:line="480" w:lineRule="atLeast"/>
              <w:jc w:val="center"/>
              <w:rPr>
                <w:rFonts w:ascii="Calibri" w:hAnsi="Calibri"/>
                <w:sz w:val="24"/>
                <w:szCs w:val="24"/>
              </w:rPr>
            </w:pPr>
            <w:r>
              <w:rPr>
                <w:rFonts w:hint="eastAsia" w:ascii="Calibri" w:hAnsi="Calibri"/>
                <w:sz w:val="24"/>
                <w:szCs w:val="24"/>
              </w:rPr>
              <w:t>月</w:t>
            </w:r>
          </w:p>
        </w:tc>
      </w:tr>
      <w:tr w14:paraId="179EC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0EFC9E5F">
            <w:pPr>
              <w:tabs>
                <w:tab w:val="left" w:pos="2340"/>
              </w:tabs>
              <w:snapToGrid w:val="0"/>
              <w:spacing w:line="480" w:lineRule="atLeast"/>
              <w:jc w:val="left"/>
              <w:rPr>
                <w:rFonts w:ascii="Calibri" w:hAnsi="Calibri"/>
                <w:sz w:val="24"/>
                <w:szCs w:val="24"/>
              </w:rPr>
            </w:pPr>
            <w:r>
              <w:rPr>
                <w:rFonts w:hint="eastAsia" w:ascii="Calibri" w:hAnsi="Calibri"/>
                <w:sz w:val="24"/>
                <w:szCs w:val="24"/>
              </w:rPr>
              <w:t>机组运输重量</w:t>
            </w:r>
          </w:p>
        </w:tc>
        <w:tc>
          <w:tcPr>
            <w:tcW w:w="3495" w:type="dxa"/>
            <w:vAlign w:val="center"/>
          </w:tcPr>
          <w:p w14:paraId="0C5455C5">
            <w:pPr>
              <w:tabs>
                <w:tab w:val="left" w:pos="2340"/>
              </w:tabs>
              <w:snapToGrid w:val="0"/>
              <w:spacing w:line="480" w:lineRule="atLeast"/>
              <w:jc w:val="left"/>
              <w:rPr>
                <w:rFonts w:ascii="Calibri" w:hAnsi="Calibri"/>
                <w:sz w:val="24"/>
                <w:szCs w:val="24"/>
              </w:rPr>
            </w:pPr>
          </w:p>
        </w:tc>
        <w:tc>
          <w:tcPr>
            <w:tcW w:w="1263" w:type="dxa"/>
            <w:vAlign w:val="center"/>
          </w:tcPr>
          <w:p w14:paraId="1A6B0B57">
            <w:pPr>
              <w:tabs>
                <w:tab w:val="left" w:pos="2340"/>
              </w:tabs>
              <w:snapToGrid w:val="0"/>
              <w:spacing w:line="480" w:lineRule="atLeast"/>
              <w:jc w:val="center"/>
              <w:rPr>
                <w:rFonts w:ascii="Calibri" w:hAnsi="Calibri"/>
                <w:sz w:val="24"/>
                <w:szCs w:val="24"/>
              </w:rPr>
            </w:pPr>
            <w:r>
              <w:rPr>
                <w:rFonts w:ascii="Calibri" w:hAnsi="Calibri"/>
                <w:sz w:val="24"/>
                <w:szCs w:val="24"/>
              </w:rPr>
              <w:t>kg</w:t>
            </w:r>
          </w:p>
        </w:tc>
      </w:tr>
      <w:tr w14:paraId="37B91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41E07178">
            <w:pPr>
              <w:tabs>
                <w:tab w:val="left" w:pos="2340"/>
              </w:tabs>
              <w:snapToGrid w:val="0"/>
              <w:spacing w:line="480" w:lineRule="atLeast"/>
              <w:jc w:val="left"/>
              <w:rPr>
                <w:rFonts w:ascii="Calibri" w:hAnsi="Calibri"/>
                <w:sz w:val="24"/>
                <w:szCs w:val="24"/>
              </w:rPr>
            </w:pPr>
            <w:r>
              <w:rPr>
                <w:rFonts w:hint="eastAsia" w:ascii="Calibri" w:hAnsi="Calibri"/>
                <w:sz w:val="24"/>
                <w:szCs w:val="24"/>
              </w:rPr>
              <w:t>涂层颜色</w:t>
            </w:r>
          </w:p>
        </w:tc>
        <w:tc>
          <w:tcPr>
            <w:tcW w:w="3495" w:type="dxa"/>
            <w:vAlign w:val="center"/>
          </w:tcPr>
          <w:p w14:paraId="5A6DDA05">
            <w:pPr>
              <w:tabs>
                <w:tab w:val="left" w:pos="2340"/>
              </w:tabs>
              <w:snapToGrid w:val="0"/>
              <w:spacing w:line="480" w:lineRule="atLeast"/>
              <w:jc w:val="left"/>
              <w:rPr>
                <w:rFonts w:ascii="Calibri" w:hAnsi="Calibri"/>
                <w:sz w:val="24"/>
                <w:szCs w:val="24"/>
              </w:rPr>
            </w:pPr>
          </w:p>
        </w:tc>
        <w:tc>
          <w:tcPr>
            <w:tcW w:w="1263" w:type="dxa"/>
            <w:vAlign w:val="center"/>
          </w:tcPr>
          <w:p w14:paraId="4351E488">
            <w:pPr>
              <w:tabs>
                <w:tab w:val="left" w:pos="2340"/>
              </w:tabs>
              <w:snapToGrid w:val="0"/>
              <w:spacing w:line="480" w:lineRule="atLeast"/>
              <w:jc w:val="center"/>
              <w:rPr>
                <w:rFonts w:ascii="Calibri" w:hAnsi="Calibri"/>
                <w:sz w:val="24"/>
                <w:szCs w:val="24"/>
              </w:rPr>
            </w:pPr>
          </w:p>
        </w:tc>
      </w:tr>
      <w:tr w14:paraId="3A73A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5211CF7B">
            <w:pPr>
              <w:tabs>
                <w:tab w:val="left" w:pos="2340"/>
              </w:tabs>
              <w:snapToGrid w:val="0"/>
              <w:spacing w:line="480" w:lineRule="atLeast"/>
              <w:jc w:val="left"/>
              <w:rPr>
                <w:rFonts w:ascii="Calibri" w:hAnsi="Calibri"/>
                <w:sz w:val="24"/>
                <w:szCs w:val="24"/>
              </w:rPr>
            </w:pPr>
            <w:r>
              <w:rPr>
                <w:rFonts w:hint="eastAsia" w:ascii="Calibri" w:hAnsi="Calibri"/>
                <w:sz w:val="24"/>
                <w:szCs w:val="24"/>
              </w:rPr>
              <w:t>风机</w:t>
            </w:r>
          </w:p>
        </w:tc>
        <w:tc>
          <w:tcPr>
            <w:tcW w:w="3495" w:type="dxa"/>
            <w:vAlign w:val="center"/>
          </w:tcPr>
          <w:p w14:paraId="10517934">
            <w:pPr>
              <w:tabs>
                <w:tab w:val="left" w:pos="2340"/>
              </w:tabs>
              <w:snapToGrid w:val="0"/>
              <w:spacing w:line="480" w:lineRule="atLeast"/>
              <w:jc w:val="left"/>
              <w:rPr>
                <w:rFonts w:ascii="Calibri" w:hAnsi="Calibri"/>
                <w:sz w:val="24"/>
                <w:szCs w:val="24"/>
              </w:rPr>
            </w:pPr>
          </w:p>
        </w:tc>
        <w:tc>
          <w:tcPr>
            <w:tcW w:w="1263" w:type="dxa"/>
            <w:vAlign w:val="center"/>
          </w:tcPr>
          <w:p w14:paraId="20A3795D">
            <w:pPr>
              <w:tabs>
                <w:tab w:val="left" w:pos="2340"/>
              </w:tabs>
              <w:snapToGrid w:val="0"/>
              <w:spacing w:line="480" w:lineRule="atLeast"/>
              <w:jc w:val="center"/>
              <w:rPr>
                <w:rFonts w:ascii="Calibri" w:hAnsi="Calibri"/>
                <w:sz w:val="24"/>
                <w:szCs w:val="24"/>
              </w:rPr>
            </w:pPr>
          </w:p>
        </w:tc>
      </w:tr>
      <w:tr w14:paraId="053FB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01799EF0">
            <w:pPr>
              <w:tabs>
                <w:tab w:val="left" w:pos="2340"/>
              </w:tabs>
              <w:snapToGrid w:val="0"/>
              <w:spacing w:line="480" w:lineRule="atLeast"/>
              <w:jc w:val="left"/>
              <w:rPr>
                <w:rFonts w:ascii="Calibri" w:hAnsi="Calibri"/>
                <w:sz w:val="24"/>
                <w:szCs w:val="24"/>
              </w:rPr>
            </w:pPr>
            <w:r>
              <w:rPr>
                <w:rFonts w:hint="eastAsia" w:ascii="Calibri" w:hAnsi="Calibri"/>
                <w:sz w:val="24"/>
                <w:szCs w:val="24"/>
              </w:rPr>
              <w:t>风机型号</w:t>
            </w:r>
          </w:p>
        </w:tc>
        <w:tc>
          <w:tcPr>
            <w:tcW w:w="3495" w:type="dxa"/>
            <w:vAlign w:val="center"/>
          </w:tcPr>
          <w:p w14:paraId="31D2FCA9">
            <w:pPr>
              <w:tabs>
                <w:tab w:val="left" w:pos="2340"/>
              </w:tabs>
              <w:snapToGrid w:val="0"/>
              <w:spacing w:line="480" w:lineRule="atLeast"/>
              <w:jc w:val="left"/>
              <w:rPr>
                <w:rFonts w:ascii="Calibri" w:hAnsi="Calibri"/>
                <w:sz w:val="24"/>
                <w:szCs w:val="24"/>
              </w:rPr>
            </w:pPr>
          </w:p>
        </w:tc>
        <w:tc>
          <w:tcPr>
            <w:tcW w:w="1263" w:type="dxa"/>
            <w:vAlign w:val="center"/>
          </w:tcPr>
          <w:p w14:paraId="06339DF7">
            <w:pPr>
              <w:tabs>
                <w:tab w:val="left" w:pos="2340"/>
              </w:tabs>
              <w:snapToGrid w:val="0"/>
              <w:spacing w:line="480" w:lineRule="atLeast"/>
              <w:jc w:val="center"/>
              <w:rPr>
                <w:rFonts w:ascii="Calibri" w:hAnsi="Calibri"/>
                <w:sz w:val="24"/>
                <w:szCs w:val="24"/>
              </w:rPr>
            </w:pPr>
          </w:p>
        </w:tc>
      </w:tr>
      <w:tr w14:paraId="4219F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7990F4ED">
            <w:pPr>
              <w:tabs>
                <w:tab w:val="left" w:pos="2340"/>
              </w:tabs>
              <w:snapToGrid w:val="0"/>
              <w:spacing w:line="480" w:lineRule="atLeast"/>
              <w:jc w:val="left"/>
              <w:rPr>
                <w:rFonts w:ascii="Calibri" w:hAnsi="Calibri"/>
                <w:sz w:val="24"/>
                <w:szCs w:val="24"/>
              </w:rPr>
            </w:pPr>
            <w:r>
              <w:rPr>
                <w:rFonts w:hint="eastAsia" w:ascii="Calibri" w:hAnsi="Calibri"/>
                <w:sz w:val="24"/>
                <w:szCs w:val="24"/>
              </w:rPr>
              <w:t>风机制造厂家</w:t>
            </w:r>
          </w:p>
        </w:tc>
        <w:tc>
          <w:tcPr>
            <w:tcW w:w="3495" w:type="dxa"/>
            <w:vAlign w:val="center"/>
          </w:tcPr>
          <w:p w14:paraId="49112E2E">
            <w:pPr>
              <w:tabs>
                <w:tab w:val="left" w:pos="2340"/>
              </w:tabs>
              <w:snapToGrid w:val="0"/>
              <w:spacing w:line="480" w:lineRule="atLeast"/>
              <w:jc w:val="left"/>
              <w:rPr>
                <w:rFonts w:ascii="Calibri" w:hAnsi="Calibri"/>
                <w:sz w:val="24"/>
                <w:szCs w:val="24"/>
              </w:rPr>
            </w:pPr>
          </w:p>
        </w:tc>
        <w:tc>
          <w:tcPr>
            <w:tcW w:w="1263" w:type="dxa"/>
            <w:vAlign w:val="center"/>
          </w:tcPr>
          <w:p w14:paraId="33258988">
            <w:pPr>
              <w:tabs>
                <w:tab w:val="left" w:pos="2340"/>
              </w:tabs>
              <w:snapToGrid w:val="0"/>
              <w:spacing w:line="480" w:lineRule="atLeast"/>
              <w:jc w:val="center"/>
              <w:rPr>
                <w:rFonts w:ascii="Calibri" w:hAnsi="Calibri"/>
                <w:sz w:val="24"/>
                <w:szCs w:val="24"/>
              </w:rPr>
            </w:pPr>
          </w:p>
        </w:tc>
      </w:tr>
      <w:tr w14:paraId="6D4F9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787FF9F7">
            <w:pPr>
              <w:tabs>
                <w:tab w:val="left" w:pos="2340"/>
              </w:tabs>
              <w:snapToGrid w:val="0"/>
              <w:spacing w:line="480" w:lineRule="atLeast"/>
              <w:jc w:val="left"/>
              <w:rPr>
                <w:rFonts w:ascii="Calibri" w:hAnsi="Calibri"/>
                <w:sz w:val="24"/>
                <w:szCs w:val="24"/>
              </w:rPr>
            </w:pPr>
            <w:r>
              <w:rPr>
                <w:rFonts w:hint="eastAsia" w:ascii="Calibri" w:hAnsi="Calibri"/>
                <w:sz w:val="24"/>
                <w:szCs w:val="24"/>
              </w:rPr>
              <w:t>每台风机轴上的叶轮数目</w:t>
            </w:r>
          </w:p>
        </w:tc>
        <w:tc>
          <w:tcPr>
            <w:tcW w:w="3495" w:type="dxa"/>
            <w:vAlign w:val="center"/>
          </w:tcPr>
          <w:p w14:paraId="60A56321">
            <w:pPr>
              <w:tabs>
                <w:tab w:val="left" w:pos="2340"/>
              </w:tabs>
              <w:snapToGrid w:val="0"/>
              <w:spacing w:line="480" w:lineRule="atLeast"/>
              <w:jc w:val="left"/>
              <w:rPr>
                <w:rFonts w:ascii="Calibri" w:hAnsi="Calibri"/>
                <w:sz w:val="24"/>
                <w:szCs w:val="24"/>
              </w:rPr>
            </w:pPr>
          </w:p>
        </w:tc>
        <w:tc>
          <w:tcPr>
            <w:tcW w:w="1263" w:type="dxa"/>
            <w:vAlign w:val="center"/>
          </w:tcPr>
          <w:p w14:paraId="43D8C021">
            <w:pPr>
              <w:tabs>
                <w:tab w:val="left" w:pos="2340"/>
              </w:tabs>
              <w:snapToGrid w:val="0"/>
              <w:spacing w:line="480" w:lineRule="atLeast"/>
              <w:jc w:val="center"/>
              <w:rPr>
                <w:rFonts w:ascii="Calibri" w:hAnsi="Calibri"/>
                <w:sz w:val="24"/>
                <w:szCs w:val="24"/>
              </w:rPr>
            </w:pPr>
          </w:p>
        </w:tc>
      </w:tr>
      <w:tr w14:paraId="5C190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21212544">
            <w:pPr>
              <w:tabs>
                <w:tab w:val="left" w:pos="2340"/>
              </w:tabs>
              <w:snapToGrid w:val="0"/>
              <w:spacing w:line="480" w:lineRule="atLeast"/>
              <w:jc w:val="left"/>
              <w:rPr>
                <w:rFonts w:ascii="Calibri" w:hAnsi="Calibri"/>
                <w:sz w:val="24"/>
                <w:szCs w:val="24"/>
              </w:rPr>
            </w:pPr>
            <w:r>
              <w:rPr>
                <w:rFonts w:hint="eastAsia" w:ascii="Calibri" w:hAnsi="Calibri"/>
                <w:sz w:val="24"/>
                <w:szCs w:val="24"/>
              </w:rPr>
              <w:t>叶片形状</w:t>
            </w:r>
          </w:p>
        </w:tc>
        <w:tc>
          <w:tcPr>
            <w:tcW w:w="3495" w:type="dxa"/>
            <w:vAlign w:val="center"/>
          </w:tcPr>
          <w:p w14:paraId="0F9F6285">
            <w:pPr>
              <w:tabs>
                <w:tab w:val="left" w:pos="2340"/>
              </w:tabs>
              <w:snapToGrid w:val="0"/>
              <w:spacing w:line="480" w:lineRule="atLeast"/>
              <w:jc w:val="left"/>
              <w:rPr>
                <w:rFonts w:ascii="Calibri" w:hAnsi="Calibri"/>
                <w:sz w:val="24"/>
                <w:szCs w:val="24"/>
              </w:rPr>
            </w:pPr>
          </w:p>
        </w:tc>
        <w:tc>
          <w:tcPr>
            <w:tcW w:w="1263" w:type="dxa"/>
            <w:vAlign w:val="center"/>
          </w:tcPr>
          <w:p w14:paraId="7093405C">
            <w:pPr>
              <w:tabs>
                <w:tab w:val="left" w:pos="2340"/>
              </w:tabs>
              <w:snapToGrid w:val="0"/>
              <w:spacing w:line="480" w:lineRule="atLeast"/>
              <w:jc w:val="center"/>
              <w:rPr>
                <w:rFonts w:ascii="Calibri" w:hAnsi="Calibri"/>
                <w:sz w:val="24"/>
                <w:szCs w:val="24"/>
              </w:rPr>
            </w:pPr>
          </w:p>
        </w:tc>
      </w:tr>
      <w:tr w14:paraId="2837A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46CF99AA">
            <w:pPr>
              <w:tabs>
                <w:tab w:val="left" w:pos="2340"/>
              </w:tabs>
              <w:snapToGrid w:val="0"/>
              <w:spacing w:line="480" w:lineRule="atLeast"/>
              <w:jc w:val="left"/>
              <w:rPr>
                <w:rFonts w:ascii="Calibri" w:hAnsi="Calibri"/>
                <w:sz w:val="24"/>
                <w:szCs w:val="24"/>
              </w:rPr>
            </w:pPr>
            <w:r>
              <w:rPr>
                <w:rFonts w:hint="eastAsia" w:ascii="Calibri" w:hAnsi="Calibri"/>
                <w:sz w:val="24"/>
                <w:szCs w:val="24"/>
              </w:rPr>
              <w:t>送风方向</w:t>
            </w:r>
            <w:r>
              <w:rPr>
                <w:rFonts w:ascii="Calibri" w:hAnsi="Calibri"/>
                <w:sz w:val="24"/>
                <w:szCs w:val="24"/>
              </w:rPr>
              <w:t xml:space="preserve"> / </w:t>
            </w:r>
            <w:r>
              <w:rPr>
                <w:rFonts w:hint="eastAsia" w:ascii="Calibri" w:hAnsi="Calibri"/>
                <w:sz w:val="24"/>
                <w:szCs w:val="24"/>
              </w:rPr>
              <w:t>转向</w:t>
            </w:r>
          </w:p>
        </w:tc>
        <w:tc>
          <w:tcPr>
            <w:tcW w:w="3495" w:type="dxa"/>
            <w:vAlign w:val="center"/>
          </w:tcPr>
          <w:p w14:paraId="2546FACE">
            <w:pPr>
              <w:tabs>
                <w:tab w:val="left" w:pos="2340"/>
              </w:tabs>
              <w:snapToGrid w:val="0"/>
              <w:spacing w:line="480" w:lineRule="atLeast"/>
              <w:jc w:val="left"/>
              <w:rPr>
                <w:rFonts w:ascii="Calibri" w:hAnsi="Calibri"/>
                <w:sz w:val="24"/>
                <w:szCs w:val="24"/>
              </w:rPr>
            </w:pPr>
          </w:p>
        </w:tc>
        <w:tc>
          <w:tcPr>
            <w:tcW w:w="1263" w:type="dxa"/>
            <w:vAlign w:val="center"/>
          </w:tcPr>
          <w:p w14:paraId="2F1087D4">
            <w:pPr>
              <w:tabs>
                <w:tab w:val="left" w:pos="2340"/>
              </w:tabs>
              <w:snapToGrid w:val="0"/>
              <w:spacing w:line="480" w:lineRule="atLeast"/>
              <w:jc w:val="center"/>
              <w:rPr>
                <w:rFonts w:ascii="Calibri" w:hAnsi="Calibri"/>
                <w:sz w:val="24"/>
                <w:szCs w:val="24"/>
              </w:rPr>
            </w:pPr>
          </w:p>
        </w:tc>
      </w:tr>
      <w:tr w14:paraId="04F13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79D26FDC">
            <w:pPr>
              <w:tabs>
                <w:tab w:val="left" w:pos="2340"/>
              </w:tabs>
              <w:snapToGrid w:val="0"/>
              <w:spacing w:line="480" w:lineRule="atLeast"/>
              <w:jc w:val="left"/>
              <w:rPr>
                <w:rFonts w:ascii="Calibri" w:hAnsi="Calibri"/>
                <w:sz w:val="24"/>
                <w:szCs w:val="24"/>
              </w:rPr>
            </w:pPr>
            <w:r>
              <w:rPr>
                <w:rFonts w:hint="eastAsia" w:ascii="Calibri" w:hAnsi="Calibri"/>
                <w:sz w:val="24"/>
                <w:szCs w:val="24"/>
              </w:rPr>
              <w:t>叶轮直径</w:t>
            </w:r>
          </w:p>
        </w:tc>
        <w:tc>
          <w:tcPr>
            <w:tcW w:w="3495" w:type="dxa"/>
            <w:vAlign w:val="center"/>
          </w:tcPr>
          <w:p w14:paraId="191A3147">
            <w:pPr>
              <w:tabs>
                <w:tab w:val="left" w:pos="2340"/>
              </w:tabs>
              <w:snapToGrid w:val="0"/>
              <w:spacing w:line="480" w:lineRule="atLeast"/>
              <w:jc w:val="left"/>
              <w:rPr>
                <w:rFonts w:ascii="Calibri" w:hAnsi="Calibri"/>
                <w:sz w:val="24"/>
                <w:szCs w:val="24"/>
              </w:rPr>
            </w:pPr>
          </w:p>
        </w:tc>
        <w:tc>
          <w:tcPr>
            <w:tcW w:w="1263" w:type="dxa"/>
            <w:vAlign w:val="center"/>
          </w:tcPr>
          <w:p w14:paraId="1CE12911">
            <w:pPr>
              <w:tabs>
                <w:tab w:val="left" w:pos="2340"/>
              </w:tabs>
              <w:snapToGrid w:val="0"/>
              <w:spacing w:line="480" w:lineRule="atLeast"/>
              <w:jc w:val="center"/>
              <w:rPr>
                <w:rFonts w:ascii="Calibri" w:hAnsi="Calibri"/>
                <w:sz w:val="24"/>
                <w:szCs w:val="24"/>
              </w:rPr>
            </w:pPr>
            <w:r>
              <w:rPr>
                <w:rFonts w:ascii="Calibri" w:hAnsi="Calibri"/>
                <w:sz w:val="24"/>
                <w:szCs w:val="24"/>
              </w:rPr>
              <w:t>mm</w:t>
            </w:r>
          </w:p>
        </w:tc>
      </w:tr>
      <w:tr w14:paraId="35E3E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3476710E">
            <w:pPr>
              <w:tabs>
                <w:tab w:val="left" w:pos="2340"/>
              </w:tabs>
              <w:snapToGrid w:val="0"/>
              <w:spacing w:line="480" w:lineRule="atLeast"/>
              <w:jc w:val="left"/>
              <w:rPr>
                <w:rFonts w:ascii="Calibri" w:hAnsi="Calibri"/>
                <w:sz w:val="24"/>
                <w:szCs w:val="24"/>
              </w:rPr>
            </w:pPr>
            <w:r>
              <w:rPr>
                <w:rFonts w:hint="eastAsia" w:ascii="Calibri" w:hAnsi="Calibri"/>
                <w:sz w:val="24"/>
                <w:szCs w:val="24"/>
              </w:rPr>
              <w:t>驱动方式</w:t>
            </w:r>
          </w:p>
        </w:tc>
        <w:tc>
          <w:tcPr>
            <w:tcW w:w="3495" w:type="dxa"/>
            <w:vAlign w:val="center"/>
          </w:tcPr>
          <w:p w14:paraId="3EDBE5ED">
            <w:pPr>
              <w:tabs>
                <w:tab w:val="left" w:pos="2340"/>
              </w:tabs>
              <w:snapToGrid w:val="0"/>
              <w:spacing w:line="480" w:lineRule="atLeast"/>
              <w:jc w:val="left"/>
              <w:rPr>
                <w:rFonts w:ascii="Calibri" w:hAnsi="Calibri"/>
                <w:sz w:val="24"/>
                <w:szCs w:val="24"/>
              </w:rPr>
            </w:pPr>
          </w:p>
        </w:tc>
        <w:tc>
          <w:tcPr>
            <w:tcW w:w="1263" w:type="dxa"/>
            <w:vAlign w:val="center"/>
          </w:tcPr>
          <w:p w14:paraId="151085A6">
            <w:pPr>
              <w:tabs>
                <w:tab w:val="left" w:pos="2340"/>
              </w:tabs>
              <w:snapToGrid w:val="0"/>
              <w:spacing w:line="480" w:lineRule="atLeast"/>
              <w:jc w:val="center"/>
              <w:rPr>
                <w:rFonts w:ascii="Calibri" w:hAnsi="Calibri"/>
                <w:sz w:val="24"/>
                <w:szCs w:val="24"/>
              </w:rPr>
            </w:pPr>
          </w:p>
        </w:tc>
      </w:tr>
      <w:tr w14:paraId="0C402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0450ACE0">
            <w:pPr>
              <w:tabs>
                <w:tab w:val="left" w:pos="2340"/>
              </w:tabs>
              <w:snapToGrid w:val="0"/>
              <w:spacing w:line="480" w:lineRule="atLeast"/>
              <w:jc w:val="left"/>
              <w:rPr>
                <w:rFonts w:ascii="Calibri" w:hAnsi="Calibri"/>
                <w:sz w:val="24"/>
                <w:szCs w:val="24"/>
              </w:rPr>
            </w:pPr>
            <w:r>
              <w:rPr>
                <w:rFonts w:hint="eastAsia" w:ascii="Calibri" w:hAnsi="Calibri"/>
                <w:sz w:val="24"/>
                <w:szCs w:val="24"/>
              </w:rPr>
              <w:t>设计空气密度下空气流量</w:t>
            </w:r>
          </w:p>
        </w:tc>
        <w:tc>
          <w:tcPr>
            <w:tcW w:w="3495" w:type="dxa"/>
            <w:vAlign w:val="center"/>
          </w:tcPr>
          <w:p w14:paraId="2604AD26">
            <w:pPr>
              <w:tabs>
                <w:tab w:val="left" w:pos="2340"/>
              </w:tabs>
              <w:snapToGrid w:val="0"/>
              <w:spacing w:line="480" w:lineRule="atLeast"/>
              <w:jc w:val="left"/>
              <w:rPr>
                <w:rFonts w:ascii="Calibri" w:hAnsi="Calibri"/>
                <w:sz w:val="24"/>
                <w:szCs w:val="24"/>
              </w:rPr>
            </w:pPr>
          </w:p>
        </w:tc>
        <w:tc>
          <w:tcPr>
            <w:tcW w:w="1263" w:type="dxa"/>
            <w:vAlign w:val="center"/>
          </w:tcPr>
          <w:p w14:paraId="1C733EE2">
            <w:pPr>
              <w:tabs>
                <w:tab w:val="left" w:pos="2340"/>
              </w:tabs>
              <w:snapToGrid w:val="0"/>
              <w:spacing w:line="480" w:lineRule="atLeast"/>
              <w:jc w:val="center"/>
              <w:rPr>
                <w:rFonts w:ascii="Calibri" w:hAnsi="Calibri"/>
                <w:sz w:val="24"/>
                <w:szCs w:val="24"/>
              </w:rPr>
            </w:pPr>
            <w:r>
              <w:rPr>
                <w:rFonts w:ascii="Calibri" w:hAnsi="Calibri"/>
                <w:sz w:val="24"/>
                <w:szCs w:val="24"/>
              </w:rPr>
              <w:t>m</w:t>
            </w:r>
            <w:r>
              <w:rPr>
                <w:rFonts w:ascii="Calibri" w:hAnsi="Calibri"/>
                <w:sz w:val="24"/>
                <w:szCs w:val="24"/>
                <w:vertAlign w:val="superscript"/>
              </w:rPr>
              <w:t>3</w:t>
            </w:r>
            <w:r>
              <w:rPr>
                <w:rFonts w:ascii="Calibri" w:hAnsi="Calibri"/>
                <w:sz w:val="24"/>
                <w:szCs w:val="24"/>
              </w:rPr>
              <w:t>/h</w:t>
            </w:r>
          </w:p>
        </w:tc>
      </w:tr>
      <w:tr w14:paraId="35EB9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1336EA89">
            <w:pPr>
              <w:tabs>
                <w:tab w:val="left" w:pos="2340"/>
              </w:tabs>
              <w:snapToGrid w:val="0"/>
              <w:spacing w:line="480" w:lineRule="atLeast"/>
              <w:jc w:val="left"/>
              <w:rPr>
                <w:rFonts w:ascii="Calibri" w:hAnsi="Calibri"/>
                <w:sz w:val="24"/>
                <w:szCs w:val="24"/>
              </w:rPr>
            </w:pPr>
            <w:r>
              <w:rPr>
                <w:rFonts w:hint="eastAsia" w:ascii="Calibri" w:hAnsi="Calibri"/>
                <w:sz w:val="24"/>
                <w:szCs w:val="24"/>
              </w:rPr>
              <w:t>实际外部余压（静压）</w:t>
            </w:r>
          </w:p>
        </w:tc>
        <w:tc>
          <w:tcPr>
            <w:tcW w:w="3495" w:type="dxa"/>
            <w:vAlign w:val="center"/>
          </w:tcPr>
          <w:p w14:paraId="3CD034A1">
            <w:pPr>
              <w:tabs>
                <w:tab w:val="left" w:pos="2340"/>
              </w:tabs>
              <w:snapToGrid w:val="0"/>
              <w:spacing w:line="480" w:lineRule="atLeast"/>
              <w:jc w:val="left"/>
              <w:rPr>
                <w:rFonts w:ascii="Calibri" w:hAnsi="Calibri"/>
                <w:sz w:val="24"/>
                <w:szCs w:val="24"/>
              </w:rPr>
            </w:pPr>
          </w:p>
        </w:tc>
        <w:tc>
          <w:tcPr>
            <w:tcW w:w="1263" w:type="dxa"/>
            <w:vAlign w:val="center"/>
          </w:tcPr>
          <w:p w14:paraId="1A7FDA6F">
            <w:pPr>
              <w:tabs>
                <w:tab w:val="left" w:pos="2340"/>
              </w:tabs>
              <w:snapToGrid w:val="0"/>
              <w:spacing w:line="480" w:lineRule="atLeast"/>
              <w:jc w:val="center"/>
              <w:rPr>
                <w:rFonts w:ascii="Calibri" w:hAnsi="Calibri"/>
                <w:sz w:val="24"/>
                <w:szCs w:val="24"/>
              </w:rPr>
            </w:pPr>
            <w:r>
              <w:rPr>
                <w:rFonts w:ascii="Calibri" w:hAnsi="Calibri"/>
                <w:sz w:val="24"/>
                <w:szCs w:val="24"/>
              </w:rPr>
              <w:t>Pa</w:t>
            </w:r>
          </w:p>
        </w:tc>
      </w:tr>
      <w:tr w14:paraId="0954E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29BC9E84">
            <w:pPr>
              <w:tabs>
                <w:tab w:val="left" w:pos="2340"/>
              </w:tabs>
              <w:snapToGrid w:val="0"/>
              <w:spacing w:line="480" w:lineRule="atLeast"/>
              <w:jc w:val="left"/>
              <w:rPr>
                <w:rFonts w:ascii="Calibri" w:hAnsi="Calibri"/>
                <w:sz w:val="24"/>
                <w:szCs w:val="24"/>
              </w:rPr>
            </w:pPr>
            <w:r>
              <w:rPr>
                <w:rFonts w:hint="eastAsia" w:ascii="Calibri" w:hAnsi="Calibri"/>
                <w:sz w:val="24"/>
                <w:szCs w:val="24"/>
              </w:rPr>
              <w:t>实际内部损失压力（静压）</w:t>
            </w:r>
          </w:p>
        </w:tc>
        <w:tc>
          <w:tcPr>
            <w:tcW w:w="3495" w:type="dxa"/>
            <w:vAlign w:val="center"/>
          </w:tcPr>
          <w:p w14:paraId="4419E8B2">
            <w:pPr>
              <w:tabs>
                <w:tab w:val="left" w:pos="2340"/>
              </w:tabs>
              <w:snapToGrid w:val="0"/>
              <w:spacing w:line="480" w:lineRule="atLeast"/>
              <w:jc w:val="left"/>
              <w:rPr>
                <w:rFonts w:ascii="Calibri" w:hAnsi="Calibri"/>
                <w:sz w:val="24"/>
                <w:szCs w:val="24"/>
              </w:rPr>
            </w:pPr>
          </w:p>
        </w:tc>
        <w:tc>
          <w:tcPr>
            <w:tcW w:w="1263" w:type="dxa"/>
            <w:vAlign w:val="center"/>
          </w:tcPr>
          <w:p w14:paraId="3100DE17">
            <w:pPr>
              <w:tabs>
                <w:tab w:val="left" w:pos="2340"/>
              </w:tabs>
              <w:snapToGrid w:val="0"/>
              <w:spacing w:line="480" w:lineRule="atLeast"/>
              <w:jc w:val="center"/>
              <w:rPr>
                <w:rFonts w:ascii="Calibri" w:hAnsi="Calibri"/>
                <w:sz w:val="24"/>
                <w:szCs w:val="24"/>
              </w:rPr>
            </w:pPr>
            <w:r>
              <w:rPr>
                <w:rFonts w:ascii="Calibri" w:hAnsi="Calibri"/>
                <w:sz w:val="24"/>
                <w:szCs w:val="24"/>
              </w:rPr>
              <w:t>Pa</w:t>
            </w:r>
          </w:p>
        </w:tc>
      </w:tr>
      <w:tr w14:paraId="42863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1860F66B">
            <w:pPr>
              <w:tabs>
                <w:tab w:val="left" w:pos="2340"/>
              </w:tabs>
              <w:snapToGrid w:val="0"/>
              <w:spacing w:line="480" w:lineRule="atLeast"/>
              <w:jc w:val="left"/>
              <w:rPr>
                <w:rFonts w:ascii="Calibri" w:hAnsi="Calibri"/>
                <w:sz w:val="24"/>
                <w:szCs w:val="24"/>
              </w:rPr>
            </w:pPr>
            <w:r>
              <w:rPr>
                <w:rFonts w:hint="eastAsia" w:ascii="Calibri" w:hAnsi="Calibri"/>
                <w:sz w:val="24"/>
                <w:szCs w:val="24"/>
              </w:rPr>
              <w:t>实际风机静压</w:t>
            </w:r>
          </w:p>
        </w:tc>
        <w:tc>
          <w:tcPr>
            <w:tcW w:w="3495" w:type="dxa"/>
            <w:vAlign w:val="center"/>
          </w:tcPr>
          <w:p w14:paraId="5ADA364B">
            <w:pPr>
              <w:tabs>
                <w:tab w:val="left" w:pos="2340"/>
              </w:tabs>
              <w:snapToGrid w:val="0"/>
              <w:spacing w:line="480" w:lineRule="atLeast"/>
              <w:jc w:val="left"/>
              <w:rPr>
                <w:rFonts w:ascii="Calibri" w:hAnsi="Calibri"/>
                <w:sz w:val="24"/>
                <w:szCs w:val="24"/>
              </w:rPr>
            </w:pPr>
          </w:p>
        </w:tc>
        <w:tc>
          <w:tcPr>
            <w:tcW w:w="1263" w:type="dxa"/>
            <w:vAlign w:val="center"/>
          </w:tcPr>
          <w:p w14:paraId="0061C9C5">
            <w:pPr>
              <w:tabs>
                <w:tab w:val="left" w:pos="2340"/>
              </w:tabs>
              <w:snapToGrid w:val="0"/>
              <w:spacing w:line="480" w:lineRule="atLeast"/>
              <w:jc w:val="center"/>
              <w:rPr>
                <w:rFonts w:ascii="Calibri" w:hAnsi="Calibri"/>
                <w:sz w:val="24"/>
                <w:szCs w:val="24"/>
              </w:rPr>
            </w:pPr>
            <w:r>
              <w:rPr>
                <w:rFonts w:ascii="Calibri" w:hAnsi="Calibri"/>
                <w:sz w:val="24"/>
                <w:szCs w:val="24"/>
              </w:rPr>
              <w:t>Pa</w:t>
            </w:r>
          </w:p>
        </w:tc>
      </w:tr>
      <w:tr w14:paraId="66D04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329122F9">
            <w:pPr>
              <w:tabs>
                <w:tab w:val="left" w:pos="2340"/>
              </w:tabs>
              <w:snapToGrid w:val="0"/>
              <w:spacing w:line="480" w:lineRule="atLeast"/>
              <w:jc w:val="left"/>
              <w:rPr>
                <w:rFonts w:ascii="Calibri" w:hAnsi="Calibri"/>
                <w:sz w:val="24"/>
                <w:szCs w:val="24"/>
              </w:rPr>
            </w:pPr>
            <w:r>
              <w:rPr>
                <w:rFonts w:hint="eastAsia" w:ascii="Calibri" w:hAnsi="Calibri"/>
                <w:sz w:val="24"/>
                <w:szCs w:val="24"/>
              </w:rPr>
              <w:t>全压效率</w:t>
            </w:r>
          </w:p>
        </w:tc>
        <w:tc>
          <w:tcPr>
            <w:tcW w:w="3495" w:type="dxa"/>
            <w:vAlign w:val="center"/>
          </w:tcPr>
          <w:p w14:paraId="04F77B62">
            <w:pPr>
              <w:tabs>
                <w:tab w:val="left" w:pos="2340"/>
              </w:tabs>
              <w:snapToGrid w:val="0"/>
              <w:spacing w:line="480" w:lineRule="atLeast"/>
              <w:jc w:val="left"/>
              <w:rPr>
                <w:rFonts w:ascii="Calibri" w:hAnsi="Calibri"/>
                <w:sz w:val="24"/>
                <w:szCs w:val="24"/>
              </w:rPr>
            </w:pPr>
          </w:p>
        </w:tc>
        <w:tc>
          <w:tcPr>
            <w:tcW w:w="1263" w:type="dxa"/>
            <w:vAlign w:val="center"/>
          </w:tcPr>
          <w:p w14:paraId="254518AC">
            <w:pPr>
              <w:tabs>
                <w:tab w:val="left" w:pos="2340"/>
              </w:tabs>
              <w:snapToGrid w:val="0"/>
              <w:spacing w:line="480" w:lineRule="atLeast"/>
              <w:jc w:val="center"/>
              <w:rPr>
                <w:rFonts w:ascii="Calibri" w:hAnsi="Calibri"/>
                <w:sz w:val="24"/>
                <w:szCs w:val="24"/>
              </w:rPr>
            </w:pPr>
            <w:r>
              <w:rPr>
                <w:rFonts w:ascii="Calibri" w:hAnsi="Calibri"/>
                <w:sz w:val="24"/>
                <w:szCs w:val="24"/>
              </w:rPr>
              <w:t>%</w:t>
            </w:r>
          </w:p>
        </w:tc>
      </w:tr>
      <w:tr w14:paraId="58536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6088E8F4">
            <w:pPr>
              <w:tabs>
                <w:tab w:val="left" w:pos="2340"/>
              </w:tabs>
              <w:snapToGrid w:val="0"/>
              <w:spacing w:line="480" w:lineRule="atLeast"/>
              <w:jc w:val="left"/>
              <w:rPr>
                <w:rFonts w:ascii="Calibri" w:hAnsi="Calibri"/>
                <w:sz w:val="24"/>
                <w:szCs w:val="24"/>
              </w:rPr>
            </w:pPr>
            <w:r>
              <w:rPr>
                <w:rFonts w:hint="eastAsia" w:ascii="Calibri" w:hAnsi="Calibri"/>
                <w:sz w:val="24"/>
                <w:szCs w:val="24"/>
              </w:rPr>
              <w:t>风机出口风速</w:t>
            </w:r>
          </w:p>
        </w:tc>
        <w:tc>
          <w:tcPr>
            <w:tcW w:w="3495" w:type="dxa"/>
            <w:vAlign w:val="center"/>
          </w:tcPr>
          <w:p w14:paraId="7F5DC7D5">
            <w:pPr>
              <w:tabs>
                <w:tab w:val="left" w:pos="2340"/>
              </w:tabs>
              <w:snapToGrid w:val="0"/>
              <w:spacing w:line="480" w:lineRule="atLeast"/>
              <w:jc w:val="left"/>
              <w:rPr>
                <w:rFonts w:ascii="Calibri" w:hAnsi="Calibri"/>
                <w:sz w:val="24"/>
                <w:szCs w:val="24"/>
              </w:rPr>
            </w:pPr>
          </w:p>
        </w:tc>
        <w:tc>
          <w:tcPr>
            <w:tcW w:w="1263" w:type="dxa"/>
            <w:vAlign w:val="center"/>
          </w:tcPr>
          <w:p w14:paraId="4BC8257F">
            <w:pPr>
              <w:tabs>
                <w:tab w:val="left" w:pos="2340"/>
              </w:tabs>
              <w:snapToGrid w:val="0"/>
              <w:spacing w:line="480" w:lineRule="atLeast"/>
              <w:jc w:val="center"/>
              <w:rPr>
                <w:rFonts w:ascii="Calibri" w:hAnsi="Calibri"/>
                <w:sz w:val="24"/>
                <w:szCs w:val="24"/>
              </w:rPr>
            </w:pPr>
            <w:r>
              <w:rPr>
                <w:rFonts w:ascii="Calibri" w:hAnsi="Calibri"/>
                <w:sz w:val="24"/>
                <w:szCs w:val="24"/>
              </w:rPr>
              <w:t>m/s</w:t>
            </w:r>
          </w:p>
        </w:tc>
      </w:tr>
      <w:tr w14:paraId="079F2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11CAF9AA">
            <w:pPr>
              <w:tabs>
                <w:tab w:val="left" w:pos="2340"/>
              </w:tabs>
              <w:snapToGrid w:val="0"/>
              <w:spacing w:line="480" w:lineRule="atLeast"/>
              <w:jc w:val="left"/>
              <w:rPr>
                <w:rFonts w:ascii="Calibri" w:hAnsi="Calibri"/>
                <w:sz w:val="24"/>
                <w:szCs w:val="24"/>
              </w:rPr>
            </w:pPr>
            <w:r>
              <w:rPr>
                <w:rFonts w:hint="eastAsia" w:ascii="Calibri" w:hAnsi="Calibri"/>
                <w:sz w:val="24"/>
                <w:szCs w:val="24"/>
              </w:rPr>
              <w:t>风机转速</w:t>
            </w:r>
          </w:p>
        </w:tc>
        <w:tc>
          <w:tcPr>
            <w:tcW w:w="3495" w:type="dxa"/>
            <w:vAlign w:val="center"/>
          </w:tcPr>
          <w:p w14:paraId="32D8B02C">
            <w:pPr>
              <w:tabs>
                <w:tab w:val="left" w:pos="2340"/>
              </w:tabs>
              <w:snapToGrid w:val="0"/>
              <w:spacing w:line="480" w:lineRule="atLeast"/>
              <w:jc w:val="left"/>
              <w:rPr>
                <w:rFonts w:ascii="Calibri" w:hAnsi="Calibri"/>
                <w:sz w:val="24"/>
                <w:szCs w:val="24"/>
              </w:rPr>
            </w:pPr>
          </w:p>
        </w:tc>
        <w:tc>
          <w:tcPr>
            <w:tcW w:w="1263" w:type="dxa"/>
            <w:vAlign w:val="center"/>
          </w:tcPr>
          <w:p w14:paraId="3DEB516A">
            <w:pPr>
              <w:tabs>
                <w:tab w:val="left" w:pos="2340"/>
              </w:tabs>
              <w:snapToGrid w:val="0"/>
              <w:spacing w:line="480" w:lineRule="atLeast"/>
              <w:jc w:val="center"/>
              <w:rPr>
                <w:rFonts w:ascii="Calibri" w:hAnsi="Calibri"/>
                <w:sz w:val="24"/>
                <w:szCs w:val="24"/>
              </w:rPr>
            </w:pPr>
            <w:r>
              <w:rPr>
                <w:rFonts w:ascii="Calibri" w:hAnsi="Calibri"/>
                <w:sz w:val="24"/>
                <w:szCs w:val="24"/>
              </w:rPr>
              <w:t>r.p.m.</w:t>
            </w:r>
          </w:p>
        </w:tc>
      </w:tr>
      <w:tr w14:paraId="2D0B4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000D8C7E">
            <w:pPr>
              <w:tabs>
                <w:tab w:val="left" w:pos="2340"/>
              </w:tabs>
              <w:snapToGrid w:val="0"/>
              <w:spacing w:line="480" w:lineRule="atLeast"/>
              <w:jc w:val="left"/>
              <w:rPr>
                <w:rFonts w:ascii="Calibri" w:hAnsi="Calibri"/>
                <w:sz w:val="24"/>
                <w:szCs w:val="24"/>
              </w:rPr>
            </w:pPr>
            <w:r>
              <w:rPr>
                <w:rFonts w:hint="eastAsia" w:ascii="Calibri" w:hAnsi="Calibri"/>
                <w:sz w:val="24"/>
                <w:szCs w:val="24"/>
              </w:rPr>
              <w:t>设计空气密度下功率（包括驱动损失）</w:t>
            </w:r>
          </w:p>
        </w:tc>
        <w:tc>
          <w:tcPr>
            <w:tcW w:w="3495" w:type="dxa"/>
            <w:vAlign w:val="center"/>
          </w:tcPr>
          <w:p w14:paraId="22D36051">
            <w:pPr>
              <w:tabs>
                <w:tab w:val="left" w:pos="2340"/>
              </w:tabs>
              <w:snapToGrid w:val="0"/>
              <w:spacing w:line="480" w:lineRule="atLeast"/>
              <w:jc w:val="left"/>
              <w:rPr>
                <w:rFonts w:ascii="Calibri" w:hAnsi="Calibri"/>
                <w:sz w:val="24"/>
                <w:szCs w:val="24"/>
              </w:rPr>
            </w:pPr>
          </w:p>
        </w:tc>
        <w:tc>
          <w:tcPr>
            <w:tcW w:w="1263" w:type="dxa"/>
            <w:vAlign w:val="center"/>
          </w:tcPr>
          <w:p w14:paraId="2222D327">
            <w:pPr>
              <w:tabs>
                <w:tab w:val="left" w:pos="2340"/>
              </w:tabs>
              <w:snapToGrid w:val="0"/>
              <w:spacing w:line="480" w:lineRule="atLeast"/>
              <w:jc w:val="center"/>
              <w:rPr>
                <w:rFonts w:ascii="Calibri" w:hAnsi="Calibri"/>
                <w:sz w:val="24"/>
                <w:szCs w:val="24"/>
              </w:rPr>
            </w:pPr>
            <w:r>
              <w:rPr>
                <w:rFonts w:ascii="Calibri" w:hAnsi="Calibri"/>
                <w:sz w:val="24"/>
                <w:szCs w:val="24"/>
              </w:rPr>
              <w:t>kW</w:t>
            </w:r>
          </w:p>
        </w:tc>
      </w:tr>
      <w:tr w14:paraId="42C49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2534CC7D">
            <w:pPr>
              <w:tabs>
                <w:tab w:val="left" w:pos="2340"/>
              </w:tabs>
              <w:snapToGrid w:val="0"/>
              <w:spacing w:line="480" w:lineRule="atLeast"/>
              <w:jc w:val="left"/>
              <w:rPr>
                <w:rFonts w:ascii="Calibri" w:hAnsi="Calibri"/>
                <w:sz w:val="24"/>
                <w:szCs w:val="24"/>
              </w:rPr>
            </w:pPr>
            <w:r>
              <w:rPr>
                <w:rFonts w:hint="eastAsia" w:ascii="Calibri" w:hAnsi="Calibri"/>
                <w:sz w:val="24"/>
                <w:szCs w:val="24"/>
              </w:rPr>
              <w:t>实际空气密度下功率（包括驱动损失）</w:t>
            </w:r>
          </w:p>
        </w:tc>
        <w:tc>
          <w:tcPr>
            <w:tcW w:w="3495" w:type="dxa"/>
            <w:vAlign w:val="center"/>
          </w:tcPr>
          <w:p w14:paraId="7595AAA7">
            <w:pPr>
              <w:tabs>
                <w:tab w:val="left" w:pos="2340"/>
              </w:tabs>
              <w:snapToGrid w:val="0"/>
              <w:spacing w:line="480" w:lineRule="atLeast"/>
              <w:jc w:val="left"/>
              <w:rPr>
                <w:rFonts w:ascii="Calibri" w:hAnsi="Calibri"/>
                <w:sz w:val="24"/>
                <w:szCs w:val="24"/>
              </w:rPr>
            </w:pPr>
          </w:p>
        </w:tc>
        <w:tc>
          <w:tcPr>
            <w:tcW w:w="1263" w:type="dxa"/>
            <w:vAlign w:val="center"/>
          </w:tcPr>
          <w:p w14:paraId="09C0C14E">
            <w:pPr>
              <w:tabs>
                <w:tab w:val="left" w:pos="2340"/>
              </w:tabs>
              <w:snapToGrid w:val="0"/>
              <w:spacing w:line="480" w:lineRule="atLeast"/>
              <w:jc w:val="center"/>
              <w:rPr>
                <w:rFonts w:ascii="Calibri" w:hAnsi="Calibri"/>
                <w:sz w:val="24"/>
                <w:szCs w:val="24"/>
              </w:rPr>
            </w:pPr>
            <w:r>
              <w:rPr>
                <w:rFonts w:ascii="Calibri" w:hAnsi="Calibri"/>
                <w:sz w:val="24"/>
                <w:szCs w:val="24"/>
              </w:rPr>
              <w:t>kW</w:t>
            </w:r>
          </w:p>
        </w:tc>
      </w:tr>
      <w:tr w14:paraId="1BD4F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0A1DDFC0">
            <w:pPr>
              <w:tabs>
                <w:tab w:val="left" w:pos="2340"/>
              </w:tabs>
              <w:snapToGrid w:val="0"/>
              <w:spacing w:line="480" w:lineRule="atLeast"/>
              <w:jc w:val="left"/>
              <w:rPr>
                <w:rFonts w:ascii="Calibri" w:hAnsi="Calibri"/>
                <w:sz w:val="24"/>
                <w:szCs w:val="24"/>
              </w:rPr>
            </w:pPr>
            <w:r>
              <w:rPr>
                <w:rFonts w:hint="eastAsia" w:ascii="Calibri" w:hAnsi="Calibri"/>
                <w:sz w:val="24"/>
                <w:szCs w:val="24"/>
              </w:rPr>
              <w:t>风机轴承型号</w:t>
            </w:r>
          </w:p>
        </w:tc>
        <w:tc>
          <w:tcPr>
            <w:tcW w:w="3495" w:type="dxa"/>
            <w:vAlign w:val="center"/>
          </w:tcPr>
          <w:p w14:paraId="371D8F42">
            <w:pPr>
              <w:tabs>
                <w:tab w:val="left" w:pos="2340"/>
              </w:tabs>
              <w:snapToGrid w:val="0"/>
              <w:spacing w:line="480" w:lineRule="atLeast"/>
              <w:jc w:val="left"/>
              <w:rPr>
                <w:rFonts w:ascii="Calibri" w:hAnsi="Calibri"/>
                <w:sz w:val="24"/>
                <w:szCs w:val="24"/>
              </w:rPr>
            </w:pPr>
          </w:p>
        </w:tc>
        <w:tc>
          <w:tcPr>
            <w:tcW w:w="1263" w:type="dxa"/>
            <w:vAlign w:val="center"/>
          </w:tcPr>
          <w:p w14:paraId="040DADE6">
            <w:pPr>
              <w:tabs>
                <w:tab w:val="left" w:pos="2340"/>
              </w:tabs>
              <w:snapToGrid w:val="0"/>
              <w:spacing w:line="480" w:lineRule="atLeast"/>
              <w:jc w:val="center"/>
              <w:rPr>
                <w:rFonts w:ascii="Calibri" w:hAnsi="Calibri"/>
                <w:sz w:val="24"/>
                <w:szCs w:val="24"/>
              </w:rPr>
            </w:pPr>
          </w:p>
        </w:tc>
      </w:tr>
      <w:tr w14:paraId="635BF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54538C3C">
            <w:pPr>
              <w:tabs>
                <w:tab w:val="left" w:pos="2340"/>
              </w:tabs>
              <w:snapToGrid w:val="0"/>
              <w:spacing w:line="480" w:lineRule="atLeast"/>
              <w:jc w:val="left"/>
              <w:rPr>
                <w:rFonts w:ascii="Calibri" w:hAnsi="Calibri"/>
                <w:sz w:val="24"/>
                <w:szCs w:val="24"/>
              </w:rPr>
            </w:pPr>
            <w:r>
              <w:rPr>
                <w:rFonts w:hint="eastAsia" w:ascii="Calibri" w:hAnsi="Calibri"/>
                <w:sz w:val="24"/>
                <w:szCs w:val="24"/>
              </w:rPr>
              <w:t>风机轴承寿命</w:t>
            </w:r>
          </w:p>
        </w:tc>
        <w:tc>
          <w:tcPr>
            <w:tcW w:w="3495" w:type="dxa"/>
            <w:vAlign w:val="center"/>
          </w:tcPr>
          <w:p w14:paraId="2437BFC7">
            <w:pPr>
              <w:tabs>
                <w:tab w:val="left" w:pos="2340"/>
              </w:tabs>
              <w:snapToGrid w:val="0"/>
              <w:spacing w:line="480" w:lineRule="atLeast"/>
              <w:jc w:val="left"/>
              <w:rPr>
                <w:rFonts w:ascii="Calibri" w:hAnsi="Calibri"/>
                <w:sz w:val="24"/>
                <w:szCs w:val="24"/>
              </w:rPr>
            </w:pPr>
          </w:p>
        </w:tc>
        <w:tc>
          <w:tcPr>
            <w:tcW w:w="1263" w:type="dxa"/>
            <w:vAlign w:val="center"/>
          </w:tcPr>
          <w:p w14:paraId="09C4F0F1">
            <w:pPr>
              <w:tabs>
                <w:tab w:val="left" w:pos="2340"/>
              </w:tabs>
              <w:snapToGrid w:val="0"/>
              <w:spacing w:line="480" w:lineRule="atLeast"/>
              <w:jc w:val="center"/>
              <w:rPr>
                <w:rFonts w:ascii="Calibri" w:hAnsi="Calibri"/>
                <w:sz w:val="24"/>
                <w:szCs w:val="24"/>
              </w:rPr>
            </w:pPr>
            <w:r>
              <w:rPr>
                <w:rFonts w:ascii="Calibri" w:hAnsi="Calibri"/>
                <w:sz w:val="24"/>
                <w:szCs w:val="24"/>
              </w:rPr>
              <w:t>hr.</w:t>
            </w:r>
          </w:p>
        </w:tc>
      </w:tr>
      <w:tr w14:paraId="12089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593ED6A1">
            <w:pPr>
              <w:tabs>
                <w:tab w:val="left" w:pos="2340"/>
              </w:tabs>
              <w:snapToGrid w:val="0"/>
              <w:spacing w:line="480" w:lineRule="atLeast"/>
              <w:jc w:val="left"/>
              <w:rPr>
                <w:rFonts w:ascii="Calibri" w:hAnsi="Calibri"/>
                <w:sz w:val="24"/>
                <w:szCs w:val="24"/>
              </w:rPr>
            </w:pPr>
            <w:r>
              <w:rPr>
                <w:rFonts w:hint="eastAsia" w:ascii="Calibri" w:hAnsi="Calibri"/>
                <w:sz w:val="24"/>
                <w:szCs w:val="24"/>
              </w:rPr>
              <w:t>筒体材料</w:t>
            </w:r>
          </w:p>
        </w:tc>
        <w:tc>
          <w:tcPr>
            <w:tcW w:w="3495" w:type="dxa"/>
            <w:vAlign w:val="center"/>
          </w:tcPr>
          <w:p w14:paraId="5ABCD58C">
            <w:pPr>
              <w:tabs>
                <w:tab w:val="left" w:pos="2340"/>
              </w:tabs>
              <w:snapToGrid w:val="0"/>
              <w:spacing w:line="480" w:lineRule="atLeast"/>
              <w:jc w:val="left"/>
              <w:rPr>
                <w:rFonts w:ascii="Calibri" w:hAnsi="Calibri"/>
                <w:sz w:val="24"/>
                <w:szCs w:val="24"/>
              </w:rPr>
            </w:pPr>
          </w:p>
        </w:tc>
        <w:tc>
          <w:tcPr>
            <w:tcW w:w="1263" w:type="dxa"/>
            <w:vAlign w:val="center"/>
          </w:tcPr>
          <w:p w14:paraId="19594DC1">
            <w:pPr>
              <w:tabs>
                <w:tab w:val="left" w:pos="2340"/>
              </w:tabs>
              <w:snapToGrid w:val="0"/>
              <w:spacing w:line="480" w:lineRule="atLeast"/>
              <w:jc w:val="center"/>
              <w:rPr>
                <w:rFonts w:ascii="Calibri" w:hAnsi="Calibri"/>
                <w:sz w:val="24"/>
                <w:szCs w:val="24"/>
              </w:rPr>
            </w:pPr>
          </w:p>
        </w:tc>
      </w:tr>
      <w:tr w14:paraId="1348E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6F5CA451">
            <w:pPr>
              <w:tabs>
                <w:tab w:val="left" w:pos="2340"/>
              </w:tabs>
              <w:snapToGrid w:val="0"/>
              <w:spacing w:line="480" w:lineRule="atLeast"/>
              <w:jc w:val="left"/>
              <w:rPr>
                <w:rFonts w:ascii="Calibri" w:hAnsi="Calibri"/>
                <w:sz w:val="24"/>
                <w:szCs w:val="24"/>
              </w:rPr>
            </w:pPr>
            <w:r>
              <w:rPr>
                <w:rFonts w:hint="eastAsia" w:ascii="Calibri" w:hAnsi="Calibri"/>
                <w:sz w:val="24"/>
                <w:szCs w:val="24"/>
              </w:rPr>
              <w:t>叶轮材料</w:t>
            </w:r>
          </w:p>
        </w:tc>
        <w:tc>
          <w:tcPr>
            <w:tcW w:w="3495" w:type="dxa"/>
            <w:vAlign w:val="center"/>
          </w:tcPr>
          <w:p w14:paraId="5018B12F">
            <w:pPr>
              <w:tabs>
                <w:tab w:val="left" w:pos="2340"/>
              </w:tabs>
              <w:snapToGrid w:val="0"/>
              <w:spacing w:line="480" w:lineRule="atLeast"/>
              <w:jc w:val="left"/>
              <w:rPr>
                <w:rFonts w:ascii="Calibri" w:hAnsi="Calibri"/>
                <w:sz w:val="24"/>
                <w:szCs w:val="24"/>
              </w:rPr>
            </w:pPr>
          </w:p>
        </w:tc>
        <w:tc>
          <w:tcPr>
            <w:tcW w:w="1263" w:type="dxa"/>
            <w:vAlign w:val="center"/>
          </w:tcPr>
          <w:p w14:paraId="5E52385B">
            <w:pPr>
              <w:tabs>
                <w:tab w:val="left" w:pos="2340"/>
              </w:tabs>
              <w:snapToGrid w:val="0"/>
              <w:spacing w:line="480" w:lineRule="atLeast"/>
              <w:jc w:val="center"/>
              <w:rPr>
                <w:rFonts w:ascii="Calibri" w:hAnsi="Calibri"/>
                <w:sz w:val="24"/>
                <w:szCs w:val="24"/>
              </w:rPr>
            </w:pPr>
          </w:p>
        </w:tc>
      </w:tr>
      <w:tr w14:paraId="35883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6E751232">
            <w:pPr>
              <w:tabs>
                <w:tab w:val="left" w:pos="2340"/>
              </w:tabs>
              <w:snapToGrid w:val="0"/>
              <w:spacing w:line="480" w:lineRule="atLeast"/>
              <w:jc w:val="left"/>
              <w:rPr>
                <w:rFonts w:ascii="Calibri" w:hAnsi="Calibri"/>
                <w:sz w:val="24"/>
                <w:szCs w:val="24"/>
              </w:rPr>
            </w:pPr>
            <w:r>
              <w:rPr>
                <w:rFonts w:hint="eastAsia" w:ascii="Calibri" w:hAnsi="Calibri"/>
                <w:sz w:val="24"/>
                <w:szCs w:val="24"/>
              </w:rPr>
              <w:t>风动百叶材料</w:t>
            </w:r>
          </w:p>
        </w:tc>
        <w:tc>
          <w:tcPr>
            <w:tcW w:w="3495" w:type="dxa"/>
            <w:vAlign w:val="center"/>
          </w:tcPr>
          <w:p w14:paraId="1C47F69C">
            <w:pPr>
              <w:tabs>
                <w:tab w:val="left" w:pos="2340"/>
              </w:tabs>
              <w:snapToGrid w:val="0"/>
              <w:spacing w:line="480" w:lineRule="atLeast"/>
              <w:jc w:val="left"/>
              <w:rPr>
                <w:rFonts w:ascii="Calibri" w:hAnsi="Calibri"/>
                <w:sz w:val="24"/>
                <w:szCs w:val="24"/>
              </w:rPr>
            </w:pPr>
          </w:p>
        </w:tc>
        <w:tc>
          <w:tcPr>
            <w:tcW w:w="1263" w:type="dxa"/>
            <w:vAlign w:val="center"/>
          </w:tcPr>
          <w:p w14:paraId="0FCC8EA0">
            <w:pPr>
              <w:tabs>
                <w:tab w:val="left" w:pos="2340"/>
              </w:tabs>
              <w:snapToGrid w:val="0"/>
              <w:spacing w:line="480" w:lineRule="atLeast"/>
              <w:jc w:val="center"/>
              <w:rPr>
                <w:rFonts w:ascii="Calibri" w:hAnsi="Calibri"/>
                <w:sz w:val="24"/>
                <w:szCs w:val="24"/>
              </w:rPr>
            </w:pPr>
          </w:p>
        </w:tc>
      </w:tr>
      <w:tr w14:paraId="5514D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467F6929">
            <w:pPr>
              <w:tabs>
                <w:tab w:val="left" w:pos="2340"/>
              </w:tabs>
              <w:snapToGrid w:val="0"/>
              <w:spacing w:line="480" w:lineRule="atLeast"/>
              <w:jc w:val="left"/>
              <w:rPr>
                <w:rFonts w:ascii="Calibri" w:hAnsi="Calibri"/>
                <w:sz w:val="24"/>
                <w:szCs w:val="24"/>
              </w:rPr>
            </w:pPr>
            <w:r>
              <w:rPr>
                <w:rFonts w:hint="eastAsia" w:ascii="Calibri" w:hAnsi="Calibri"/>
                <w:sz w:val="24"/>
                <w:szCs w:val="24"/>
              </w:rPr>
              <w:t>风机基础材料</w:t>
            </w:r>
          </w:p>
        </w:tc>
        <w:tc>
          <w:tcPr>
            <w:tcW w:w="3495" w:type="dxa"/>
            <w:vAlign w:val="center"/>
          </w:tcPr>
          <w:p w14:paraId="20F23365">
            <w:pPr>
              <w:tabs>
                <w:tab w:val="left" w:pos="2340"/>
              </w:tabs>
              <w:snapToGrid w:val="0"/>
              <w:spacing w:line="480" w:lineRule="atLeast"/>
              <w:jc w:val="left"/>
              <w:rPr>
                <w:rFonts w:ascii="Calibri" w:hAnsi="Calibri"/>
                <w:sz w:val="24"/>
                <w:szCs w:val="24"/>
              </w:rPr>
            </w:pPr>
          </w:p>
        </w:tc>
        <w:tc>
          <w:tcPr>
            <w:tcW w:w="1263" w:type="dxa"/>
            <w:vAlign w:val="center"/>
          </w:tcPr>
          <w:p w14:paraId="06AA79F2">
            <w:pPr>
              <w:tabs>
                <w:tab w:val="left" w:pos="2340"/>
              </w:tabs>
              <w:snapToGrid w:val="0"/>
              <w:spacing w:line="480" w:lineRule="atLeast"/>
              <w:jc w:val="center"/>
              <w:rPr>
                <w:rFonts w:ascii="Calibri" w:hAnsi="Calibri"/>
                <w:sz w:val="24"/>
                <w:szCs w:val="24"/>
              </w:rPr>
            </w:pPr>
          </w:p>
        </w:tc>
      </w:tr>
      <w:tr w14:paraId="7D1E2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1C1448A7">
            <w:pPr>
              <w:tabs>
                <w:tab w:val="left" w:pos="2340"/>
              </w:tabs>
              <w:snapToGrid w:val="0"/>
              <w:spacing w:line="480" w:lineRule="atLeast"/>
              <w:jc w:val="left"/>
              <w:rPr>
                <w:rFonts w:ascii="Calibri" w:hAnsi="Calibri"/>
                <w:sz w:val="24"/>
                <w:szCs w:val="24"/>
              </w:rPr>
            </w:pPr>
            <w:r>
              <w:rPr>
                <w:rFonts w:hint="eastAsia" w:ascii="Calibri" w:hAnsi="Calibri"/>
                <w:sz w:val="24"/>
                <w:szCs w:val="24"/>
              </w:rPr>
              <w:t>轴材料</w:t>
            </w:r>
          </w:p>
        </w:tc>
        <w:tc>
          <w:tcPr>
            <w:tcW w:w="3495" w:type="dxa"/>
            <w:vAlign w:val="center"/>
          </w:tcPr>
          <w:p w14:paraId="5133F34D">
            <w:pPr>
              <w:tabs>
                <w:tab w:val="left" w:pos="2340"/>
              </w:tabs>
              <w:snapToGrid w:val="0"/>
              <w:spacing w:line="480" w:lineRule="atLeast"/>
              <w:jc w:val="left"/>
              <w:rPr>
                <w:rFonts w:ascii="Calibri" w:hAnsi="Calibri"/>
                <w:sz w:val="24"/>
                <w:szCs w:val="24"/>
              </w:rPr>
            </w:pPr>
          </w:p>
        </w:tc>
        <w:tc>
          <w:tcPr>
            <w:tcW w:w="1263" w:type="dxa"/>
            <w:vAlign w:val="center"/>
          </w:tcPr>
          <w:p w14:paraId="5109B97F">
            <w:pPr>
              <w:tabs>
                <w:tab w:val="left" w:pos="2340"/>
              </w:tabs>
              <w:snapToGrid w:val="0"/>
              <w:spacing w:line="480" w:lineRule="atLeast"/>
              <w:jc w:val="center"/>
              <w:rPr>
                <w:rFonts w:ascii="Calibri" w:hAnsi="Calibri"/>
                <w:sz w:val="24"/>
                <w:szCs w:val="24"/>
              </w:rPr>
            </w:pPr>
          </w:p>
        </w:tc>
      </w:tr>
      <w:tr w14:paraId="42B17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08A04CC3">
            <w:pPr>
              <w:tabs>
                <w:tab w:val="left" w:pos="2340"/>
              </w:tabs>
              <w:snapToGrid w:val="0"/>
              <w:spacing w:line="480" w:lineRule="atLeast"/>
              <w:jc w:val="left"/>
              <w:rPr>
                <w:rFonts w:ascii="Calibri" w:hAnsi="Calibri"/>
                <w:sz w:val="24"/>
                <w:szCs w:val="24"/>
              </w:rPr>
            </w:pPr>
            <w:r>
              <w:rPr>
                <w:rFonts w:hint="eastAsia" w:ascii="Calibri" w:hAnsi="Calibri"/>
                <w:sz w:val="24"/>
                <w:szCs w:val="24"/>
              </w:rPr>
              <w:t>支架材料</w:t>
            </w:r>
          </w:p>
        </w:tc>
        <w:tc>
          <w:tcPr>
            <w:tcW w:w="3495" w:type="dxa"/>
            <w:vAlign w:val="center"/>
          </w:tcPr>
          <w:p w14:paraId="08AD797C">
            <w:pPr>
              <w:tabs>
                <w:tab w:val="left" w:pos="2340"/>
              </w:tabs>
              <w:snapToGrid w:val="0"/>
              <w:spacing w:line="480" w:lineRule="atLeast"/>
              <w:jc w:val="left"/>
              <w:rPr>
                <w:rFonts w:ascii="Calibri" w:hAnsi="Calibri"/>
                <w:sz w:val="24"/>
                <w:szCs w:val="24"/>
              </w:rPr>
            </w:pPr>
          </w:p>
        </w:tc>
        <w:tc>
          <w:tcPr>
            <w:tcW w:w="1263" w:type="dxa"/>
            <w:vAlign w:val="center"/>
          </w:tcPr>
          <w:p w14:paraId="021A36B5">
            <w:pPr>
              <w:tabs>
                <w:tab w:val="left" w:pos="2340"/>
              </w:tabs>
              <w:snapToGrid w:val="0"/>
              <w:spacing w:line="480" w:lineRule="atLeast"/>
              <w:jc w:val="center"/>
              <w:rPr>
                <w:rFonts w:ascii="Calibri" w:hAnsi="Calibri"/>
                <w:sz w:val="24"/>
                <w:szCs w:val="24"/>
              </w:rPr>
            </w:pPr>
          </w:p>
        </w:tc>
      </w:tr>
      <w:tr w14:paraId="6E008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2DCD250A">
            <w:pPr>
              <w:tabs>
                <w:tab w:val="left" w:pos="2340"/>
              </w:tabs>
              <w:snapToGrid w:val="0"/>
              <w:spacing w:line="480" w:lineRule="atLeast"/>
              <w:jc w:val="left"/>
              <w:rPr>
                <w:rFonts w:ascii="Calibri" w:hAnsi="Calibri"/>
                <w:sz w:val="24"/>
                <w:szCs w:val="24"/>
              </w:rPr>
            </w:pPr>
            <w:r>
              <w:rPr>
                <w:rFonts w:hint="eastAsia" w:ascii="Calibri" w:hAnsi="Calibri"/>
                <w:sz w:val="24"/>
                <w:szCs w:val="24"/>
              </w:rPr>
              <w:t>防护罩材料</w:t>
            </w:r>
          </w:p>
        </w:tc>
        <w:tc>
          <w:tcPr>
            <w:tcW w:w="3495" w:type="dxa"/>
            <w:vAlign w:val="center"/>
          </w:tcPr>
          <w:p w14:paraId="3212B3C5">
            <w:pPr>
              <w:tabs>
                <w:tab w:val="left" w:pos="2340"/>
              </w:tabs>
              <w:snapToGrid w:val="0"/>
              <w:spacing w:line="480" w:lineRule="atLeast"/>
              <w:jc w:val="left"/>
              <w:rPr>
                <w:rFonts w:ascii="Calibri" w:hAnsi="Calibri"/>
                <w:sz w:val="24"/>
                <w:szCs w:val="24"/>
              </w:rPr>
            </w:pPr>
          </w:p>
        </w:tc>
        <w:tc>
          <w:tcPr>
            <w:tcW w:w="1263" w:type="dxa"/>
            <w:vAlign w:val="center"/>
          </w:tcPr>
          <w:p w14:paraId="12875CD1">
            <w:pPr>
              <w:tabs>
                <w:tab w:val="left" w:pos="2340"/>
              </w:tabs>
              <w:snapToGrid w:val="0"/>
              <w:spacing w:line="480" w:lineRule="atLeast"/>
              <w:jc w:val="center"/>
              <w:rPr>
                <w:rFonts w:ascii="Calibri" w:hAnsi="Calibri"/>
                <w:sz w:val="24"/>
                <w:szCs w:val="24"/>
              </w:rPr>
            </w:pPr>
          </w:p>
        </w:tc>
      </w:tr>
      <w:tr w14:paraId="31BF1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2521CA87">
            <w:pPr>
              <w:tabs>
                <w:tab w:val="left" w:pos="2340"/>
              </w:tabs>
              <w:snapToGrid w:val="0"/>
              <w:spacing w:line="480" w:lineRule="atLeast"/>
              <w:jc w:val="left"/>
              <w:rPr>
                <w:rFonts w:ascii="Calibri" w:hAnsi="Calibri"/>
                <w:sz w:val="24"/>
                <w:szCs w:val="24"/>
              </w:rPr>
            </w:pPr>
            <w:r>
              <w:rPr>
                <w:rFonts w:hint="eastAsia" w:ascii="Calibri" w:hAnsi="Calibri"/>
                <w:sz w:val="24"/>
                <w:szCs w:val="24"/>
              </w:rPr>
              <w:t>涂层</w:t>
            </w:r>
            <w:r>
              <w:rPr>
                <w:rFonts w:ascii="Calibri" w:hAnsi="Calibri"/>
                <w:sz w:val="24"/>
                <w:szCs w:val="24"/>
              </w:rPr>
              <w:t xml:space="preserve"> / </w:t>
            </w:r>
            <w:r>
              <w:rPr>
                <w:rFonts w:hint="eastAsia" w:ascii="Calibri" w:hAnsi="Calibri"/>
                <w:sz w:val="24"/>
                <w:szCs w:val="24"/>
              </w:rPr>
              <w:t>颜色</w:t>
            </w:r>
          </w:p>
        </w:tc>
        <w:tc>
          <w:tcPr>
            <w:tcW w:w="3495" w:type="dxa"/>
            <w:vAlign w:val="center"/>
          </w:tcPr>
          <w:p w14:paraId="1C6361C1">
            <w:pPr>
              <w:tabs>
                <w:tab w:val="left" w:pos="2340"/>
              </w:tabs>
              <w:snapToGrid w:val="0"/>
              <w:spacing w:line="480" w:lineRule="atLeast"/>
              <w:jc w:val="left"/>
              <w:rPr>
                <w:rFonts w:ascii="Calibri" w:hAnsi="Calibri"/>
                <w:sz w:val="24"/>
                <w:szCs w:val="24"/>
              </w:rPr>
            </w:pPr>
          </w:p>
        </w:tc>
        <w:tc>
          <w:tcPr>
            <w:tcW w:w="1263" w:type="dxa"/>
            <w:vAlign w:val="center"/>
          </w:tcPr>
          <w:p w14:paraId="2BA9F23F">
            <w:pPr>
              <w:tabs>
                <w:tab w:val="left" w:pos="2340"/>
              </w:tabs>
              <w:snapToGrid w:val="0"/>
              <w:spacing w:line="480" w:lineRule="atLeast"/>
              <w:jc w:val="center"/>
              <w:rPr>
                <w:rFonts w:ascii="Calibri" w:hAnsi="Calibri"/>
                <w:sz w:val="24"/>
                <w:szCs w:val="24"/>
              </w:rPr>
            </w:pPr>
          </w:p>
        </w:tc>
      </w:tr>
      <w:tr w14:paraId="08AF9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0B34C4D6">
            <w:pPr>
              <w:tabs>
                <w:tab w:val="left" w:pos="2340"/>
              </w:tabs>
              <w:snapToGrid w:val="0"/>
              <w:spacing w:line="480" w:lineRule="atLeast"/>
              <w:jc w:val="left"/>
              <w:rPr>
                <w:rFonts w:ascii="Calibri" w:hAnsi="Calibri"/>
                <w:sz w:val="24"/>
                <w:szCs w:val="24"/>
              </w:rPr>
            </w:pPr>
            <w:r>
              <w:rPr>
                <w:rFonts w:hint="eastAsia" w:ascii="Calibri" w:hAnsi="Calibri"/>
                <w:sz w:val="24"/>
                <w:szCs w:val="24"/>
              </w:rPr>
              <w:t>安全防护网材料</w:t>
            </w:r>
          </w:p>
        </w:tc>
        <w:tc>
          <w:tcPr>
            <w:tcW w:w="3495" w:type="dxa"/>
            <w:vAlign w:val="center"/>
          </w:tcPr>
          <w:p w14:paraId="02700D27">
            <w:pPr>
              <w:tabs>
                <w:tab w:val="left" w:pos="2340"/>
              </w:tabs>
              <w:snapToGrid w:val="0"/>
              <w:spacing w:line="480" w:lineRule="atLeast"/>
              <w:jc w:val="left"/>
              <w:rPr>
                <w:rFonts w:ascii="Calibri" w:hAnsi="Calibri"/>
                <w:sz w:val="24"/>
                <w:szCs w:val="24"/>
              </w:rPr>
            </w:pPr>
          </w:p>
        </w:tc>
        <w:tc>
          <w:tcPr>
            <w:tcW w:w="1263" w:type="dxa"/>
            <w:vAlign w:val="center"/>
          </w:tcPr>
          <w:p w14:paraId="1FB5489E">
            <w:pPr>
              <w:tabs>
                <w:tab w:val="left" w:pos="2340"/>
              </w:tabs>
              <w:snapToGrid w:val="0"/>
              <w:spacing w:line="480" w:lineRule="atLeast"/>
              <w:jc w:val="center"/>
              <w:rPr>
                <w:rFonts w:ascii="Calibri" w:hAnsi="Calibri"/>
                <w:sz w:val="24"/>
                <w:szCs w:val="24"/>
              </w:rPr>
            </w:pPr>
          </w:p>
        </w:tc>
      </w:tr>
      <w:tr w14:paraId="556BB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538446A2">
            <w:pPr>
              <w:tabs>
                <w:tab w:val="left" w:pos="2340"/>
              </w:tabs>
              <w:snapToGrid w:val="0"/>
              <w:spacing w:line="480" w:lineRule="atLeast"/>
              <w:jc w:val="left"/>
              <w:rPr>
                <w:rFonts w:ascii="Calibri" w:hAnsi="Calibri"/>
                <w:sz w:val="24"/>
                <w:szCs w:val="24"/>
              </w:rPr>
            </w:pPr>
            <w:r>
              <w:rPr>
                <w:rFonts w:hint="eastAsia" w:ascii="Calibri" w:hAnsi="Calibri"/>
                <w:sz w:val="24"/>
                <w:szCs w:val="24"/>
              </w:rPr>
              <w:t>涂层</w:t>
            </w:r>
            <w:r>
              <w:rPr>
                <w:rFonts w:ascii="Calibri" w:hAnsi="Calibri"/>
                <w:sz w:val="24"/>
                <w:szCs w:val="24"/>
              </w:rPr>
              <w:t xml:space="preserve"> / </w:t>
            </w:r>
            <w:r>
              <w:rPr>
                <w:rFonts w:hint="eastAsia" w:ascii="Calibri" w:hAnsi="Calibri"/>
                <w:sz w:val="24"/>
                <w:szCs w:val="24"/>
              </w:rPr>
              <w:t>颜色</w:t>
            </w:r>
          </w:p>
        </w:tc>
        <w:tc>
          <w:tcPr>
            <w:tcW w:w="3495" w:type="dxa"/>
            <w:vAlign w:val="center"/>
          </w:tcPr>
          <w:p w14:paraId="14968DDF">
            <w:pPr>
              <w:tabs>
                <w:tab w:val="left" w:pos="2340"/>
              </w:tabs>
              <w:snapToGrid w:val="0"/>
              <w:spacing w:line="480" w:lineRule="atLeast"/>
              <w:jc w:val="left"/>
              <w:rPr>
                <w:rFonts w:ascii="Calibri" w:hAnsi="Calibri"/>
                <w:sz w:val="24"/>
                <w:szCs w:val="24"/>
              </w:rPr>
            </w:pPr>
          </w:p>
        </w:tc>
        <w:tc>
          <w:tcPr>
            <w:tcW w:w="1263" w:type="dxa"/>
            <w:vAlign w:val="center"/>
          </w:tcPr>
          <w:p w14:paraId="6ECD4F65">
            <w:pPr>
              <w:tabs>
                <w:tab w:val="left" w:pos="2340"/>
              </w:tabs>
              <w:snapToGrid w:val="0"/>
              <w:spacing w:line="480" w:lineRule="atLeast"/>
              <w:jc w:val="center"/>
              <w:rPr>
                <w:rFonts w:ascii="Calibri" w:hAnsi="Calibri"/>
                <w:sz w:val="24"/>
                <w:szCs w:val="24"/>
              </w:rPr>
            </w:pPr>
          </w:p>
        </w:tc>
      </w:tr>
      <w:tr w14:paraId="6D202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2033DAFB">
            <w:pPr>
              <w:tabs>
                <w:tab w:val="left" w:pos="2340"/>
              </w:tabs>
              <w:snapToGrid w:val="0"/>
              <w:spacing w:line="480" w:lineRule="atLeast"/>
              <w:jc w:val="left"/>
              <w:rPr>
                <w:rFonts w:ascii="Calibri" w:hAnsi="Calibri"/>
                <w:sz w:val="24"/>
                <w:szCs w:val="24"/>
              </w:rPr>
            </w:pPr>
            <w:r>
              <w:rPr>
                <w:rFonts w:hint="eastAsia" w:ascii="Calibri" w:hAnsi="Calibri"/>
                <w:sz w:val="24"/>
                <w:szCs w:val="24"/>
              </w:rPr>
              <w:t>电动机</w:t>
            </w:r>
          </w:p>
        </w:tc>
        <w:tc>
          <w:tcPr>
            <w:tcW w:w="3495" w:type="dxa"/>
            <w:vAlign w:val="center"/>
          </w:tcPr>
          <w:p w14:paraId="006482E3">
            <w:pPr>
              <w:tabs>
                <w:tab w:val="left" w:pos="2340"/>
              </w:tabs>
              <w:snapToGrid w:val="0"/>
              <w:spacing w:line="480" w:lineRule="atLeast"/>
              <w:jc w:val="left"/>
              <w:rPr>
                <w:rFonts w:ascii="Calibri" w:hAnsi="Calibri"/>
                <w:sz w:val="24"/>
                <w:szCs w:val="24"/>
              </w:rPr>
            </w:pPr>
          </w:p>
        </w:tc>
        <w:tc>
          <w:tcPr>
            <w:tcW w:w="1263" w:type="dxa"/>
            <w:vAlign w:val="center"/>
          </w:tcPr>
          <w:p w14:paraId="2AFDFEAE">
            <w:pPr>
              <w:tabs>
                <w:tab w:val="left" w:pos="2340"/>
              </w:tabs>
              <w:snapToGrid w:val="0"/>
              <w:spacing w:line="480" w:lineRule="atLeast"/>
              <w:jc w:val="center"/>
              <w:rPr>
                <w:rFonts w:ascii="Calibri" w:hAnsi="Calibri"/>
                <w:sz w:val="24"/>
                <w:szCs w:val="24"/>
              </w:rPr>
            </w:pPr>
          </w:p>
        </w:tc>
      </w:tr>
      <w:tr w14:paraId="465AE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0567CFE6">
            <w:pPr>
              <w:tabs>
                <w:tab w:val="left" w:pos="2340"/>
              </w:tabs>
              <w:snapToGrid w:val="0"/>
              <w:spacing w:line="480" w:lineRule="atLeast"/>
              <w:jc w:val="left"/>
              <w:rPr>
                <w:rFonts w:ascii="Calibri" w:hAnsi="Calibri"/>
                <w:sz w:val="24"/>
                <w:szCs w:val="24"/>
              </w:rPr>
            </w:pPr>
            <w:r>
              <w:rPr>
                <w:rFonts w:hint="eastAsia" w:ascii="Calibri" w:hAnsi="Calibri"/>
                <w:sz w:val="24"/>
                <w:szCs w:val="24"/>
              </w:rPr>
              <w:t>电机型号</w:t>
            </w:r>
          </w:p>
        </w:tc>
        <w:tc>
          <w:tcPr>
            <w:tcW w:w="3495" w:type="dxa"/>
            <w:vAlign w:val="center"/>
          </w:tcPr>
          <w:p w14:paraId="7A9F6705">
            <w:pPr>
              <w:tabs>
                <w:tab w:val="left" w:pos="2340"/>
              </w:tabs>
              <w:snapToGrid w:val="0"/>
              <w:spacing w:line="480" w:lineRule="atLeast"/>
              <w:jc w:val="left"/>
              <w:rPr>
                <w:rFonts w:ascii="Calibri" w:hAnsi="Calibri"/>
                <w:sz w:val="24"/>
                <w:szCs w:val="24"/>
              </w:rPr>
            </w:pPr>
          </w:p>
        </w:tc>
        <w:tc>
          <w:tcPr>
            <w:tcW w:w="1263" w:type="dxa"/>
            <w:vAlign w:val="center"/>
          </w:tcPr>
          <w:p w14:paraId="50401B0F">
            <w:pPr>
              <w:tabs>
                <w:tab w:val="left" w:pos="2340"/>
              </w:tabs>
              <w:snapToGrid w:val="0"/>
              <w:spacing w:line="480" w:lineRule="atLeast"/>
              <w:jc w:val="center"/>
              <w:rPr>
                <w:rFonts w:ascii="Calibri" w:hAnsi="Calibri"/>
                <w:sz w:val="24"/>
                <w:szCs w:val="24"/>
              </w:rPr>
            </w:pPr>
          </w:p>
        </w:tc>
      </w:tr>
      <w:tr w14:paraId="1AED7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2923A9D5">
            <w:pPr>
              <w:tabs>
                <w:tab w:val="left" w:pos="2340"/>
              </w:tabs>
              <w:snapToGrid w:val="0"/>
              <w:spacing w:line="480" w:lineRule="atLeast"/>
              <w:jc w:val="left"/>
              <w:rPr>
                <w:rFonts w:ascii="Calibri" w:hAnsi="Calibri"/>
                <w:sz w:val="24"/>
                <w:szCs w:val="24"/>
              </w:rPr>
            </w:pPr>
            <w:r>
              <w:rPr>
                <w:rFonts w:hint="eastAsia" w:ascii="Calibri" w:hAnsi="Calibri"/>
                <w:sz w:val="24"/>
                <w:szCs w:val="24"/>
              </w:rPr>
              <w:t>电机制造厂家</w:t>
            </w:r>
          </w:p>
        </w:tc>
        <w:tc>
          <w:tcPr>
            <w:tcW w:w="3495" w:type="dxa"/>
            <w:vAlign w:val="center"/>
          </w:tcPr>
          <w:p w14:paraId="5837134A">
            <w:pPr>
              <w:tabs>
                <w:tab w:val="left" w:pos="2340"/>
              </w:tabs>
              <w:snapToGrid w:val="0"/>
              <w:spacing w:line="480" w:lineRule="atLeast"/>
              <w:jc w:val="left"/>
              <w:rPr>
                <w:rFonts w:ascii="Calibri" w:hAnsi="Calibri"/>
                <w:sz w:val="24"/>
                <w:szCs w:val="24"/>
              </w:rPr>
            </w:pPr>
          </w:p>
        </w:tc>
        <w:tc>
          <w:tcPr>
            <w:tcW w:w="1263" w:type="dxa"/>
            <w:vAlign w:val="center"/>
          </w:tcPr>
          <w:p w14:paraId="53EBDF97">
            <w:pPr>
              <w:tabs>
                <w:tab w:val="left" w:pos="2340"/>
              </w:tabs>
              <w:snapToGrid w:val="0"/>
              <w:spacing w:line="480" w:lineRule="atLeast"/>
              <w:jc w:val="center"/>
              <w:rPr>
                <w:rFonts w:ascii="Calibri" w:hAnsi="Calibri"/>
                <w:sz w:val="24"/>
                <w:szCs w:val="24"/>
              </w:rPr>
            </w:pPr>
          </w:p>
        </w:tc>
      </w:tr>
      <w:tr w14:paraId="0BCDF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232CF0A6">
            <w:pPr>
              <w:tabs>
                <w:tab w:val="left" w:pos="2340"/>
              </w:tabs>
              <w:snapToGrid w:val="0"/>
              <w:spacing w:line="480" w:lineRule="atLeast"/>
              <w:jc w:val="left"/>
              <w:rPr>
                <w:rFonts w:ascii="Calibri" w:hAnsi="Calibri"/>
                <w:sz w:val="24"/>
                <w:szCs w:val="24"/>
              </w:rPr>
            </w:pPr>
            <w:r>
              <w:rPr>
                <w:rFonts w:hint="eastAsia" w:ascii="Calibri" w:hAnsi="Calibri"/>
                <w:sz w:val="24"/>
                <w:szCs w:val="24"/>
              </w:rPr>
              <w:t>被驱动设备</w:t>
            </w:r>
          </w:p>
        </w:tc>
        <w:tc>
          <w:tcPr>
            <w:tcW w:w="3495" w:type="dxa"/>
            <w:vAlign w:val="center"/>
          </w:tcPr>
          <w:p w14:paraId="0E18DF82">
            <w:pPr>
              <w:tabs>
                <w:tab w:val="left" w:pos="2340"/>
              </w:tabs>
              <w:snapToGrid w:val="0"/>
              <w:spacing w:line="480" w:lineRule="atLeast"/>
              <w:jc w:val="left"/>
              <w:rPr>
                <w:rFonts w:ascii="Calibri" w:hAnsi="Calibri"/>
                <w:sz w:val="24"/>
                <w:szCs w:val="24"/>
              </w:rPr>
            </w:pPr>
          </w:p>
        </w:tc>
        <w:tc>
          <w:tcPr>
            <w:tcW w:w="1263" w:type="dxa"/>
            <w:vAlign w:val="center"/>
          </w:tcPr>
          <w:p w14:paraId="6B43317A">
            <w:pPr>
              <w:tabs>
                <w:tab w:val="left" w:pos="2340"/>
              </w:tabs>
              <w:snapToGrid w:val="0"/>
              <w:spacing w:line="480" w:lineRule="atLeast"/>
              <w:jc w:val="center"/>
              <w:rPr>
                <w:rFonts w:ascii="Calibri" w:hAnsi="Calibri"/>
                <w:sz w:val="24"/>
                <w:szCs w:val="24"/>
              </w:rPr>
            </w:pPr>
          </w:p>
        </w:tc>
      </w:tr>
      <w:tr w14:paraId="29886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77C1399A">
            <w:pPr>
              <w:tabs>
                <w:tab w:val="left" w:pos="2340"/>
              </w:tabs>
              <w:snapToGrid w:val="0"/>
              <w:spacing w:line="480" w:lineRule="atLeast"/>
              <w:jc w:val="left"/>
              <w:rPr>
                <w:rFonts w:ascii="Calibri" w:hAnsi="Calibri"/>
                <w:sz w:val="24"/>
                <w:szCs w:val="24"/>
              </w:rPr>
            </w:pPr>
            <w:r>
              <w:rPr>
                <w:rFonts w:hint="eastAsia" w:ascii="Calibri" w:hAnsi="Calibri"/>
                <w:sz w:val="24"/>
                <w:szCs w:val="24"/>
              </w:rPr>
              <w:t>转速</w:t>
            </w:r>
          </w:p>
        </w:tc>
        <w:tc>
          <w:tcPr>
            <w:tcW w:w="3495" w:type="dxa"/>
            <w:vAlign w:val="center"/>
          </w:tcPr>
          <w:p w14:paraId="4ACBC361">
            <w:pPr>
              <w:tabs>
                <w:tab w:val="left" w:pos="2340"/>
              </w:tabs>
              <w:snapToGrid w:val="0"/>
              <w:spacing w:line="480" w:lineRule="atLeast"/>
              <w:jc w:val="left"/>
              <w:rPr>
                <w:rFonts w:ascii="Calibri" w:hAnsi="Calibri"/>
                <w:sz w:val="24"/>
                <w:szCs w:val="24"/>
              </w:rPr>
            </w:pPr>
          </w:p>
        </w:tc>
        <w:tc>
          <w:tcPr>
            <w:tcW w:w="1263" w:type="dxa"/>
            <w:vAlign w:val="center"/>
          </w:tcPr>
          <w:p w14:paraId="06133297">
            <w:pPr>
              <w:tabs>
                <w:tab w:val="left" w:pos="2340"/>
              </w:tabs>
              <w:snapToGrid w:val="0"/>
              <w:spacing w:line="480" w:lineRule="atLeast"/>
              <w:jc w:val="center"/>
              <w:rPr>
                <w:rFonts w:ascii="Calibri" w:hAnsi="Calibri"/>
                <w:sz w:val="24"/>
                <w:szCs w:val="24"/>
              </w:rPr>
            </w:pPr>
            <w:r>
              <w:rPr>
                <w:rFonts w:ascii="Calibri" w:hAnsi="Calibri"/>
                <w:sz w:val="24"/>
                <w:szCs w:val="24"/>
              </w:rPr>
              <w:t>rpm</w:t>
            </w:r>
          </w:p>
        </w:tc>
      </w:tr>
      <w:tr w14:paraId="61754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72388D82">
            <w:pPr>
              <w:tabs>
                <w:tab w:val="left" w:pos="2340"/>
              </w:tabs>
              <w:snapToGrid w:val="0"/>
              <w:spacing w:line="480" w:lineRule="atLeast"/>
              <w:jc w:val="left"/>
              <w:rPr>
                <w:rFonts w:ascii="Calibri" w:hAnsi="Calibri"/>
                <w:sz w:val="24"/>
                <w:szCs w:val="24"/>
              </w:rPr>
            </w:pPr>
            <w:r>
              <w:rPr>
                <w:rFonts w:hint="eastAsia" w:ascii="Calibri" w:hAnsi="Calibri"/>
                <w:sz w:val="24"/>
                <w:szCs w:val="24"/>
              </w:rPr>
              <w:t>电机启动方式</w:t>
            </w:r>
          </w:p>
        </w:tc>
        <w:tc>
          <w:tcPr>
            <w:tcW w:w="3495" w:type="dxa"/>
            <w:vAlign w:val="center"/>
          </w:tcPr>
          <w:p w14:paraId="7E99A9B6">
            <w:pPr>
              <w:tabs>
                <w:tab w:val="left" w:pos="2340"/>
              </w:tabs>
              <w:snapToGrid w:val="0"/>
              <w:spacing w:line="480" w:lineRule="atLeast"/>
              <w:jc w:val="left"/>
              <w:rPr>
                <w:rFonts w:ascii="Calibri" w:hAnsi="Calibri"/>
                <w:sz w:val="24"/>
                <w:szCs w:val="24"/>
              </w:rPr>
            </w:pPr>
          </w:p>
        </w:tc>
        <w:tc>
          <w:tcPr>
            <w:tcW w:w="1263" w:type="dxa"/>
            <w:vAlign w:val="center"/>
          </w:tcPr>
          <w:p w14:paraId="6810A420">
            <w:pPr>
              <w:tabs>
                <w:tab w:val="left" w:pos="2340"/>
              </w:tabs>
              <w:snapToGrid w:val="0"/>
              <w:spacing w:line="480" w:lineRule="atLeast"/>
              <w:jc w:val="center"/>
              <w:rPr>
                <w:rFonts w:ascii="Calibri" w:hAnsi="Calibri"/>
                <w:sz w:val="24"/>
                <w:szCs w:val="24"/>
              </w:rPr>
            </w:pPr>
          </w:p>
        </w:tc>
      </w:tr>
      <w:tr w14:paraId="16A16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6B2FC49F">
            <w:pPr>
              <w:tabs>
                <w:tab w:val="left" w:pos="2340"/>
              </w:tabs>
              <w:snapToGrid w:val="0"/>
              <w:spacing w:line="480" w:lineRule="atLeast"/>
              <w:jc w:val="left"/>
              <w:rPr>
                <w:rFonts w:ascii="Calibri" w:hAnsi="Calibri"/>
                <w:sz w:val="24"/>
                <w:szCs w:val="24"/>
              </w:rPr>
            </w:pPr>
            <w:r>
              <w:rPr>
                <w:rFonts w:hint="eastAsia" w:ascii="Calibri" w:hAnsi="Calibri"/>
                <w:sz w:val="24"/>
                <w:szCs w:val="24"/>
              </w:rPr>
              <w:t>连续运行时间</w:t>
            </w:r>
          </w:p>
        </w:tc>
        <w:tc>
          <w:tcPr>
            <w:tcW w:w="3495" w:type="dxa"/>
            <w:vAlign w:val="center"/>
          </w:tcPr>
          <w:p w14:paraId="2296FAA1">
            <w:pPr>
              <w:tabs>
                <w:tab w:val="left" w:pos="2340"/>
              </w:tabs>
              <w:snapToGrid w:val="0"/>
              <w:spacing w:line="480" w:lineRule="atLeast"/>
              <w:jc w:val="left"/>
              <w:rPr>
                <w:rFonts w:ascii="Calibri" w:hAnsi="Calibri"/>
                <w:sz w:val="24"/>
                <w:szCs w:val="24"/>
              </w:rPr>
            </w:pPr>
          </w:p>
        </w:tc>
        <w:tc>
          <w:tcPr>
            <w:tcW w:w="1263" w:type="dxa"/>
            <w:vAlign w:val="center"/>
          </w:tcPr>
          <w:p w14:paraId="1519B780">
            <w:pPr>
              <w:tabs>
                <w:tab w:val="left" w:pos="2340"/>
              </w:tabs>
              <w:snapToGrid w:val="0"/>
              <w:spacing w:line="480" w:lineRule="atLeast"/>
              <w:jc w:val="center"/>
              <w:rPr>
                <w:rFonts w:ascii="Calibri" w:hAnsi="Calibri"/>
                <w:sz w:val="24"/>
                <w:szCs w:val="24"/>
              </w:rPr>
            </w:pPr>
            <w:r>
              <w:rPr>
                <w:rFonts w:ascii="Calibri" w:hAnsi="Calibri"/>
                <w:sz w:val="24"/>
                <w:szCs w:val="24"/>
              </w:rPr>
              <w:t>hr.</w:t>
            </w:r>
          </w:p>
        </w:tc>
      </w:tr>
      <w:tr w14:paraId="6E57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49250139">
            <w:pPr>
              <w:tabs>
                <w:tab w:val="left" w:pos="2340"/>
              </w:tabs>
              <w:snapToGrid w:val="0"/>
              <w:spacing w:line="480" w:lineRule="atLeast"/>
              <w:jc w:val="left"/>
              <w:rPr>
                <w:rFonts w:ascii="Calibri" w:hAnsi="Calibri"/>
                <w:sz w:val="24"/>
                <w:szCs w:val="24"/>
              </w:rPr>
            </w:pPr>
            <w:r>
              <w:rPr>
                <w:rFonts w:hint="eastAsia" w:ascii="Calibri" w:hAnsi="Calibri"/>
                <w:sz w:val="24"/>
                <w:szCs w:val="24"/>
              </w:rPr>
              <w:t>电机铭牌功率</w:t>
            </w:r>
          </w:p>
        </w:tc>
        <w:tc>
          <w:tcPr>
            <w:tcW w:w="3495" w:type="dxa"/>
            <w:vAlign w:val="center"/>
          </w:tcPr>
          <w:p w14:paraId="2BACC0E0">
            <w:pPr>
              <w:tabs>
                <w:tab w:val="left" w:pos="2340"/>
              </w:tabs>
              <w:snapToGrid w:val="0"/>
              <w:spacing w:line="480" w:lineRule="atLeast"/>
              <w:jc w:val="left"/>
              <w:rPr>
                <w:rFonts w:ascii="Calibri" w:hAnsi="Calibri"/>
                <w:sz w:val="24"/>
                <w:szCs w:val="24"/>
              </w:rPr>
            </w:pPr>
          </w:p>
        </w:tc>
        <w:tc>
          <w:tcPr>
            <w:tcW w:w="1263" w:type="dxa"/>
            <w:vAlign w:val="center"/>
          </w:tcPr>
          <w:p w14:paraId="1D700AB3">
            <w:pPr>
              <w:tabs>
                <w:tab w:val="left" w:pos="2340"/>
              </w:tabs>
              <w:snapToGrid w:val="0"/>
              <w:spacing w:line="480" w:lineRule="atLeast"/>
              <w:jc w:val="center"/>
              <w:rPr>
                <w:rFonts w:ascii="Calibri" w:hAnsi="Calibri"/>
                <w:sz w:val="24"/>
                <w:szCs w:val="24"/>
              </w:rPr>
            </w:pPr>
            <w:r>
              <w:rPr>
                <w:rFonts w:ascii="Calibri" w:hAnsi="Calibri"/>
                <w:sz w:val="24"/>
                <w:szCs w:val="24"/>
              </w:rPr>
              <w:t>kw</w:t>
            </w:r>
          </w:p>
        </w:tc>
      </w:tr>
      <w:tr w14:paraId="053B5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20779183">
            <w:pPr>
              <w:tabs>
                <w:tab w:val="left" w:pos="2340"/>
              </w:tabs>
              <w:snapToGrid w:val="0"/>
              <w:spacing w:line="480" w:lineRule="atLeast"/>
              <w:jc w:val="left"/>
              <w:rPr>
                <w:rFonts w:ascii="Calibri" w:hAnsi="Calibri"/>
                <w:sz w:val="24"/>
                <w:szCs w:val="24"/>
              </w:rPr>
            </w:pPr>
            <w:r>
              <w:rPr>
                <w:rFonts w:hint="eastAsia" w:ascii="Calibri" w:hAnsi="Calibri"/>
                <w:sz w:val="24"/>
                <w:szCs w:val="24"/>
              </w:rPr>
              <w:t>转速</w:t>
            </w:r>
            <w:r>
              <w:rPr>
                <w:rFonts w:ascii="Calibri" w:hAnsi="Calibri"/>
                <w:sz w:val="24"/>
                <w:szCs w:val="24"/>
              </w:rPr>
              <w:t>/</w:t>
            </w:r>
            <w:r>
              <w:rPr>
                <w:rFonts w:hint="eastAsia" w:ascii="Calibri" w:hAnsi="Calibri"/>
                <w:sz w:val="24"/>
                <w:szCs w:val="24"/>
              </w:rPr>
              <w:t>满负荷</w:t>
            </w:r>
          </w:p>
        </w:tc>
        <w:tc>
          <w:tcPr>
            <w:tcW w:w="3495" w:type="dxa"/>
            <w:vAlign w:val="center"/>
          </w:tcPr>
          <w:p w14:paraId="261613C0">
            <w:pPr>
              <w:tabs>
                <w:tab w:val="left" w:pos="2340"/>
              </w:tabs>
              <w:snapToGrid w:val="0"/>
              <w:spacing w:line="480" w:lineRule="atLeast"/>
              <w:jc w:val="left"/>
              <w:rPr>
                <w:rFonts w:ascii="Calibri" w:hAnsi="Calibri"/>
                <w:sz w:val="24"/>
                <w:szCs w:val="24"/>
              </w:rPr>
            </w:pPr>
          </w:p>
        </w:tc>
        <w:tc>
          <w:tcPr>
            <w:tcW w:w="1263" w:type="dxa"/>
            <w:vAlign w:val="center"/>
          </w:tcPr>
          <w:p w14:paraId="38007954">
            <w:pPr>
              <w:tabs>
                <w:tab w:val="left" w:pos="2340"/>
              </w:tabs>
              <w:snapToGrid w:val="0"/>
              <w:spacing w:line="480" w:lineRule="atLeast"/>
              <w:jc w:val="center"/>
              <w:rPr>
                <w:rFonts w:ascii="Calibri" w:hAnsi="Calibri"/>
                <w:sz w:val="24"/>
                <w:szCs w:val="24"/>
              </w:rPr>
            </w:pPr>
            <w:r>
              <w:rPr>
                <w:rFonts w:ascii="Calibri" w:hAnsi="Calibri"/>
                <w:sz w:val="24"/>
                <w:szCs w:val="24"/>
              </w:rPr>
              <w:t>r.p.m.</w:t>
            </w:r>
          </w:p>
        </w:tc>
      </w:tr>
      <w:tr w14:paraId="5B9D3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50957DC9">
            <w:pPr>
              <w:tabs>
                <w:tab w:val="left" w:pos="2340"/>
              </w:tabs>
              <w:snapToGrid w:val="0"/>
              <w:spacing w:line="480" w:lineRule="atLeast"/>
              <w:jc w:val="left"/>
              <w:rPr>
                <w:rFonts w:ascii="Calibri" w:hAnsi="Calibri"/>
                <w:sz w:val="24"/>
                <w:szCs w:val="24"/>
              </w:rPr>
            </w:pPr>
            <w:r>
              <w:rPr>
                <w:rFonts w:hint="eastAsia" w:ascii="Calibri" w:hAnsi="Calibri"/>
                <w:sz w:val="24"/>
                <w:szCs w:val="24"/>
              </w:rPr>
              <w:t>电源</w:t>
            </w:r>
          </w:p>
        </w:tc>
        <w:tc>
          <w:tcPr>
            <w:tcW w:w="3495" w:type="dxa"/>
            <w:vAlign w:val="center"/>
          </w:tcPr>
          <w:p w14:paraId="120760AA">
            <w:pPr>
              <w:tabs>
                <w:tab w:val="left" w:pos="2340"/>
              </w:tabs>
              <w:snapToGrid w:val="0"/>
              <w:spacing w:line="480" w:lineRule="atLeast"/>
              <w:jc w:val="left"/>
              <w:rPr>
                <w:rFonts w:ascii="Calibri" w:hAnsi="Calibri"/>
                <w:sz w:val="24"/>
                <w:szCs w:val="24"/>
              </w:rPr>
            </w:pPr>
            <w:r>
              <w:rPr>
                <w:rFonts w:ascii="Calibri" w:hAnsi="Calibri"/>
                <w:sz w:val="24"/>
                <w:szCs w:val="24"/>
              </w:rPr>
              <w:t>V/Phases/Hz:</w:t>
            </w:r>
          </w:p>
        </w:tc>
        <w:tc>
          <w:tcPr>
            <w:tcW w:w="1263" w:type="dxa"/>
            <w:vAlign w:val="center"/>
          </w:tcPr>
          <w:p w14:paraId="401408AA">
            <w:pPr>
              <w:tabs>
                <w:tab w:val="left" w:pos="2340"/>
              </w:tabs>
              <w:snapToGrid w:val="0"/>
              <w:spacing w:line="480" w:lineRule="atLeast"/>
              <w:jc w:val="center"/>
              <w:rPr>
                <w:rFonts w:ascii="Calibri" w:hAnsi="Calibri"/>
                <w:sz w:val="24"/>
                <w:szCs w:val="24"/>
              </w:rPr>
            </w:pPr>
          </w:p>
        </w:tc>
      </w:tr>
      <w:tr w14:paraId="640E5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385501A7">
            <w:pPr>
              <w:tabs>
                <w:tab w:val="left" w:pos="2340"/>
              </w:tabs>
              <w:snapToGrid w:val="0"/>
              <w:spacing w:line="480" w:lineRule="atLeast"/>
              <w:jc w:val="left"/>
              <w:rPr>
                <w:rFonts w:ascii="Calibri" w:hAnsi="Calibri"/>
                <w:sz w:val="24"/>
                <w:szCs w:val="24"/>
              </w:rPr>
            </w:pPr>
            <w:r>
              <w:rPr>
                <w:rFonts w:hint="eastAsia" w:ascii="Calibri" w:hAnsi="Calibri"/>
                <w:sz w:val="24"/>
                <w:szCs w:val="24"/>
              </w:rPr>
              <w:t>电流</w:t>
            </w:r>
          </w:p>
        </w:tc>
        <w:tc>
          <w:tcPr>
            <w:tcW w:w="3495" w:type="dxa"/>
            <w:vAlign w:val="center"/>
          </w:tcPr>
          <w:p w14:paraId="302D4168">
            <w:pPr>
              <w:tabs>
                <w:tab w:val="left" w:pos="2340"/>
              </w:tabs>
              <w:snapToGrid w:val="0"/>
              <w:spacing w:line="480" w:lineRule="atLeast"/>
              <w:jc w:val="left"/>
              <w:rPr>
                <w:rFonts w:ascii="Calibri" w:hAnsi="Calibri"/>
                <w:sz w:val="24"/>
                <w:szCs w:val="24"/>
              </w:rPr>
            </w:pPr>
          </w:p>
        </w:tc>
        <w:tc>
          <w:tcPr>
            <w:tcW w:w="1263" w:type="dxa"/>
            <w:vAlign w:val="center"/>
          </w:tcPr>
          <w:p w14:paraId="5332EF2C">
            <w:pPr>
              <w:tabs>
                <w:tab w:val="left" w:pos="2340"/>
              </w:tabs>
              <w:snapToGrid w:val="0"/>
              <w:spacing w:line="480" w:lineRule="atLeast"/>
              <w:jc w:val="center"/>
              <w:rPr>
                <w:rFonts w:ascii="Calibri" w:hAnsi="Calibri"/>
                <w:sz w:val="24"/>
                <w:szCs w:val="24"/>
              </w:rPr>
            </w:pPr>
            <w:r>
              <w:rPr>
                <w:rFonts w:ascii="Calibri" w:hAnsi="Calibri"/>
                <w:sz w:val="24"/>
                <w:szCs w:val="24"/>
              </w:rPr>
              <w:t>A</w:t>
            </w:r>
          </w:p>
        </w:tc>
      </w:tr>
      <w:tr w14:paraId="2EF8B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14C349B0">
            <w:pPr>
              <w:tabs>
                <w:tab w:val="left" w:pos="2340"/>
              </w:tabs>
              <w:snapToGrid w:val="0"/>
              <w:spacing w:line="480" w:lineRule="atLeast"/>
              <w:jc w:val="left"/>
              <w:rPr>
                <w:rFonts w:ascii="Calibri" w:hAnsi="Calibri"/>
                <w:sz w:val="24"/>
                <w:szCs w:val="24"/>
              </w:rPr>
            </w:pPr>
            <w:r>
              <w:rPr>
                <w:rFonts w:hint="eastAsia" w:ascii="Calibri" w:hAnsi="Calibri"/>
                <w:sz w:val="24"/>
                <w:szCs w:val="24"/>
              </w:rPr>
              <w:t>环境温度</w:t>
            </w:r>
          </w:p>
        </w:tc>
        <w:tc>
          <w:tcPr>
            <w:tcW w:w="3495" w:type="dxa"/>
            <w:vAlign w:val="center"/>
          </w:tcPr>
          <w:p w14:paraId="22EE9305">
            <w:pPr>
              <w:tabs>
                <w:tab w:val="left" w:pos="2340"/>
              </w:tabs>
              <w:snapToGrid w:val="0"/>
              <w:spacing w:line="480" w:lineRule="atLeast"/>
              <w:jc w:val="left"/>
              <w:rPr>
                <w:rFonts w:ascii="Calibri" w:hAnsi="Calibri"/>
                <w:sz w:val="24"/>
                <w:szCs w:val="24"/>
              </w:rPr>
            </w:pPr>
          </w:p>
        </w:tc>
        <w:tc>
          <w:tcPr>
            <w:tcW w:w="1263" w:type="dxa"/>
            <w:vAlign w:val="center"/>
          </w:tcPr>
          <w:p w14:paraId="358AF57E">
            <w:pPr>
              <w:tabs>
                <w:tab w:val="left" w:pos="2340"/>
              </w:tabs>
              <w:snapToGrid w:val="0"/>
              <w:spacing w:line="480" w:lineRule="atLeast"/>
              <w:jc w:val="center"/>
              <w:rPr>
                <w:rFonts w:ascii="Calibri" w:hAnsi="Calibri"/>
                <w:sz w:val="24"/>
                <w:szCs w:val="24"/>
              </w:rPr>
            </w:pPr>
            <w:r>
              <w:rPr>
                <w:rFonts w:hint="eastAsia" w:ascii="宋体" w:hAnsi="宋体" w:cs="宋体"/>
                <w:sz w:val="24"/>
                <w:szCs w:val="24"/>
              </w:rPr>
              <w:t>℃</w:t>
            </w:r>
          </w:p>
        </w:tc>
      </w:tr>
      <w:tr w14:paraId="7A31F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15D07713">
            <w:pPr>
              <w:tabs>
                <w:tab w:val="left" w:pos="2340"/>
              </w:tabs>
              <w:snapToGrid w:val="0"/>
              <w:spacing w:line="480" w:lineRule="atLeast"/>
              <w:jc w:val="left"/>
              <w:rPr>
                <w:rFonts w:ascii="Calibri" w:hAnsi="Calibri"/>
                <w:sz w:val="24"/>
                <w:szCs w:val="24"/>
              </w:rPr>
            </w:pPr>
            <w:r>
              <w:rPr>
                <w:rFonts w:hint="eastAsia" w:ascii="Calibri" w:hAnsi="Calibri"/>
                <w:sz w:val="24"/>
                <w:szCs w:val="24"/>
              </w:rPr>
              <w:t>绕组温升</w:t>
            </w:r>
          </w:p>
        </w:tc>
        <w:tc>
          <w:tcPr>
            <w:tcW w:w="3495" w:type="dxa"/>
            <w:vAlign w:val="center"/>
          </w:tcPr>
          <w:p w14:paraId="7974D0AA">
            <w:pPr>
              <w:tabs>
                <w:tab w:val="left" w:pos="2340"/>
              </w:tabs>
              <w:snapToGrid w:val="0"/>
              <w:spacing w:line="480" w:lineRule="atLeast"/>
              <w:jc w:val="left"/>
              <w:rPr>
                <w:rFonts w:ascii="Calibri" w:hAnsi="Calibri"/>
                <w:sz w:val="24"/>
                <w:szCs w:val="24"/>
              </w:rPr>
            </w:pPr>
          </w:p>
        </w:tc>
        <w:tc>
          <w:tcPr>
            <w:tcW w:w="1263" w:type="dxa"/>
            <w:vAlign w:val="center"/>
          </w:tcPr>
          <w:p w14:paraId="117615E0">
            <w:pPr>
              <w:tabs>
                <w:tab w:val="left" w:pos="2340"/>
              </w:tabs>
              <w:snapToGrid w:val="0"/>
              <w:spacing w:line="480" w:lineRule="atLeast"/>
              <w:jc w:val="center"/>
              <w:rPr>
                <w:rFonts w:ascii="Calibri" w:hAnsi="Calibri"/>
                <w:sz w:val="24"/>
                <w:szCs w:val="24"/>
              </w:rPr>
            </w:pPr>
            <w:r>
              <w:rPr>
                <w:rFonts w:hint="eastAsia" w:ascii="宋体" w:hAnsi="宋体" w:cs="宋体"/>
                <w:sz w:val="24"/>
                <w:szCs w:val="24"/>
              </w:rPr>
              <w:t>℃</w:t>
            </w:r>
          </w:p>
        </w:tc>
      </w:tr>
      <w:tr w14:paraId="537CC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6B288160">
            <w:pPr>
              <w:tabs>
                <w:tab w:val="left" w:pos="2340"/>
              </w:tabs>
              <w:snapToGrid w:val="0"/>
              <w:spacing w:line="480" w:lineRule="atLeast"/>
              <w:jc w:val="left"/>
              <w:rPr>
                <w:rFonts w:ascii="Calibri" w:hAnsi="Calibri"/>
                <w:sz w:val="24"/>
                <w:szCs w:val="24"/>
              </w:rPr>
            </w:pPr>
            <w:r>
              <w:rPr>
                <w:rFonts w:hint="eastAsia" w:ascii="Calibri" w:hAnsi="Calibri"/>
                <w:sz w:val="24"/>
                <w:szCs w:val="24"/>
              </w:rPr>
              <w:t>绝缘等级</w:t>
            </w:r>
          </w:p>
        </w:tc>
        <w:tc>
          <w:tcPr>
            <w:tcW w:w="3495" w:type="dxa"/>
            <w:vAlign w:val="center"/>
          </w:tcPr>
          <w:p w14:paraId="0BF84194">
            <w:pPr>
              <w:tabs>
                <w:tab w:val="left" w:pos="2340"/>
              </w:tabs>
              <w:snapToGrid w:val="0"/>
              <w:spacing w:line="480" w:lineRule="atLeast"/>
              <w:jc w:val="left"/>
              <w:rPr>
                <w:rFonts w:ascii="Calibri" w:hAnsi="Calibri"/>
                <w:sz w:val="24"/>
                <w:szCs w:val="24"/>
              </w:rPr>
            </w:pPr>
          </w:p>
        </w:tc>
        <w:tc>
          <w:tcPr>
            <w:tcW w:w="1263" w:type="dxa"/>
            <w:vAlign w:val="center"/>
          </w:tcPr>
          <w:p w14:paraId="4DF88E6D">
            <w:pPr>
              <w:tabs>
                <w:tab w:val="left" w:pos="2340"/>
              </w:tabs>
              <w:snapToGrid w:val="0"/>
              <w:spacing w:line="480" w:lineRule="atLeast"/>
              <w:jc w:val="center"/>
              <w:rPr>
                <w:rFonts w:ascii="Calibri" w:hAnsi="Calibri"/>
                <w:sz w:val="24"/>
                <w:szCs w:val="24"/>
              </w:rPr>
            </w:pPr>
          </w:p>
        </w:tc>
      </w:tr>
      <w:tr w14:paraId="2B8AD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74CEC9EF">
            <w:pPr>
              <w:tabs>
                <w:tab w:val="left" w:pos="2340"/>
              </w:tabs>
              <w:snapToGrid w:val="0"/>
              <w:spacing w:line="480" w:lineRule="atLeast"/>
              <w:jc w:val="left"/>
              <w:rPr>
                <w:rFonts w:ascii="Calibri" w:hAnsi="Calibri"/>
                <w:sz w:val="24"/>
                <w:szCs w:val="24"/>
              </w:rPr>
            </w:pPr>
            <w:r>
              <w:rPr>
                <w:rFonts w:hint="eastAsia" w:ascii="Calibri" w:hAnsi="Calibri"/>
                <w:sz w:val="24"/>
                <w:szCs w:val="24"/>
              </w:rPr>
              <w:t>轴承型号</w:t>
            </w:r>
          </w:p>
        </w:tc>
        <w:tc>
          <w:tcPr>
            <w:tcW w:w="3495" w:type="dxa"/>
            <w:vAlign w:val="center"/>
          </w:tcPr>
          <w:p w14:paraId="3C25CE9C">
            <w:pPr>
              <w:tabs>
                <w:tab w:val="left" w:pos="2340"/>
              </w:tabs>
              <w:snapToGrid w:val="0"/>
              <w:spacing w:line="480" w:lineRule="atLeast"/>
              <w:jc w:val="left"/>
              <w:rPr>
                <w:rFonts w:ascii="Calibri" w:hAnsi="Calibri"/>
                <w:sz w:val="24"/>
                <w:szCs w:val="24"/>
              </w:rPr>
            </w:pPr>
          </w:p>
        </w:tc>
        <w:tc>
          <w:tcPr>
            <w:tcW w:w="1263" w:type="dxa"/>
            <w:vAlign w:val="center"/>
          </w:tcPr>
          <w:p w14:paraId="11740905">
            <w:pPr>
              <w:tabs>
                <w:tab w:val="left" w:pos="2340"/>
              </w:tabs>
              <w:snapToGrid w:val="0"/>
              <w:spacing w:line="480" w:lineRule="atLeast"/>
              <w:jc w:val="center"/>
              <w:rPr>
                <w:rFonts w:ascii="Calibri" w:hAnsi="Calibri"/>
                <w:sz w:val="24"/>
                <w:szCs w:val="24"/>
              </w:rPr>
            </w:pPr>
          </w:p>
        </w:tc>
      </w:tr>
      <w:tr w14:paraId="76074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0761DDAB">
            <w:pPr>
              <w:tabs>
                <w:tab w:val="left" w:pos="2340"/>
              </w:tabs>
              <w:snapToGrid w:val="0"/>
              <w:spacing w:line="480" w:lineRule="atLeast"/>
              <w:jc w:val="left"/>
              <w:rPr>
                <w:rFonts w:ascii="Calibri" w:hAnsi="Calibri"/>
                <w:sz w:val="24"/>
                <w:szCs w:val="24"/>
              </w:rPr>
            </w:pPr>
            <w:r>
              <w:rPr>
                <w:rFonts w:hint="eastAsia" w:ascii="Calibri" w:hAnsi="Calibri"/>
                <w:sz w:val="24"/>
                <w:szCs w:val="24"/>
              </w:rPr>
              <w:t>轴承形式（滑动、滚动、止推等）</w:t>
            </w:r>
          </w:p>
        </w:tc>
        <w:tc>
          <w:tcPr>
            <w:tcW w:w="3495" w:type="dxa"/>
            <w:vAlign w:val="center"/>
          </w:tcPr>
          <w:p w14:paraId="508191E2">
            <w:pPr>
              <w:tabs>
                <w:tab w:val="left" w:pos="2340"/>
              </w:tabs>
              <w:snapToGrid w:val="0"/>
              <w:spacing w:line="480" w:lineRule="atLeast"/>
              <w:jc w:val="left"/>
              <w:rPr>
                <w:rFonts w:ascii="Calibri" w:hAnsi="Calibri"/>
                <w:sz w:val="24"/>
                <w:szCs w:val="24"/>
              </w:rPr>
            </w:pPr>
          </w:p>
        </w:tc>
        <w:tc>
          <w:tcPr>
            <w:tcW w:w="1263" w:type="dxa"/>
            <w:vAlign w:val="center"/>
          </w:tcPr>
          <w:p w14:paraId="15C65DC0">
            <w:pPr>
              <w:tabs>
                <w:tab w:val="left" w:pos="2340"/>
              </w:tabs>
              <w:snapToGrid w:val="0"/>
              <w:spacing w:line="480" w:lineRule="atLeast"/>
              <w:jc w:val="center"/>
              <w:rPr>
                <w:rFonts w:ascii="Calibri" w:hAnsi="Calibri"/>
                <w:sz w:val="24"/>
                <w:szCs w:val="24"/>
              </w:rPr>
            </w:pPr>
          </w:p>
        </w:tc>
      </w:tr>
      <w:tr w14:paraId="4CE3B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11870599">
            <w:pPr>
              <w:tabs>
                <w:tab w:val="left" w:pos="2340"/>
              </w:tabs>
              <w:snapToGrid w:val="0"/>
              <w:spacing w:line="480" w:lineRule="atLeast"/>
              <w:jc w:val="left"/>
              <w:rPr>
                <w:rFonts w:ascii="Calibri" w:hAnsi="Calibri"/>
                <w:sz w:val="24"/>
                <w:szCs w:val="24"/>
              </w:rPr>
            </w:pPr>
            <w:r>
              <w:rPr>
                <w:rFonts w:hint="eastAsia" w:ascii="Calibri" w:hAnsi="Calibri"/>
                <w:sz w:val="24"/>
                <w:szCs w:val="24"/>
              </w:rPr>
              <w:t>轴承寿命</w:t>
            </w:r>
          </w:p>
        </w:tc>
        <w:tc>
          <w:tcPr>
            <w:tcW w:w="3495" w:type="dxa"/>
            <w:vAlign w:val="center"/>
          </w:tcPr>
          <w:p w14:paraId="03EE68EC">
            <w:pPr>
              <w:tabs>
                <w:tab w:val="left" w:pos="2340"/>
              </w:tabs>
              <w:snapToGrid w:val="0"/>
              <w:spacing w:line="480" w:lineRule="atLeast"/>
              <w:jc w:val="left"/>
              <w:rPr>
                <w:rFonts w:ascii="Calibri" w:hAnsi="Calibri"/>
                <w:sz w:val="24"/>
                <w:szCs w:val="24"/>
              </w:rPr>
            </w:pPr>
          </w:p>
        </w:tc>
        <w:tc>
          <w:tcPr>
            <w:tcW w:w="1263" w:type="dxa"/>
            <w:vAlign w:val="center"/>
          </w:tcPr>
          <w:p w14:paraId="6C3BCAE5">
            <w:pPr>
              <w:tabs>
                <w:tab w:val="left" w:pos="2340"/>
              </w:tabs>
              <w:snapToGrid w:val="0"/>
              <w:spacing w:line="480" w:lineRule="atLeast"/>
              <w:jc w:val="center"/>
              <w:rPr>
                <w:rFonts w:ascii="Calibri" w:hAnsi="Calibri"/>
                <w:sz w:val="24"/>
                <w:szCs w:val="24"/>
              </w:rPr>
            </w:pPr>
            <w:r>
              <w:rPr>
                <w:rFonts w:ascii="Calibri" w:hAnsi="Calibri"/>
                <w:sz w:val="24"/>
                <w:szCs w:val="24"/>
              </w:rPr>
              <w:t>hr.</w:t>
            </w:r>
          </w:p>
        </w:tc>
      </w:tr>
      <w:tr w14:paraId="5BFC1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56EFF53B">
            <w:pPr>
              <w:tabs>
                <w:tab w:val="left" w:pos="2340"/>
              </w:tabs>
              <w:snapToGrid w:val="0"/>
              <w:spacing w:line="470" w:lineRule="atLeast"/>
              <w:jc w:val="left"/>
              <w:rPr>
                <w:rFonts w:ascii="Calibri" w:hAnsi="Calibri"/>
                <w:sz w:val="24"/>
                <w:szCs w:val="24"/>
              </w:rPr>
            </w:pPr>
            <w:r>
              <w:rPr>
                <w:rFonts w:hint="eastAsia" w:ascii="Calibri" w:hAnsi="Calibri"/>
                <w:sz w:val="24"/>
                <w:szCs w:val="24"/>
              </w:rPr>
              <w:t>轴承最小无人维修期</w:t>
            </w:r>
          </w:p>
        </w:tc>
        <w:tc>
          <w:tcPr>
            <w:tcW w:w="3495" w:type="dxa"/>
            <w:vAlign w:val="center"/>
          </w:tcPr>
          <w:p w14:paraId="4E9FB2CC">
            <w:pPr>
              <w:tabs>
                <w:tab w:val="left" w:pos="2340"/>
              </w:tabs>
              <w:snapToGrid w:val="0"/>
              <w:spacing w:line="470" w:lineRule="atLeast"/>
              <w:jc w:val="left"/>
              <w:rPr>
                <w:rFonts w:ascii="Calibri" w:hAnsi="Calibri"/>
                <w:sz w:val="24"/>
                <w:szCs w:val="24"/>
              </w:rPr>
            </w:pPr>
          </w:p>
        </w:tc>
        <w:tc>
          <w:tcPr>
            <w:tcW w:w="1263" w:type="dxa"/>
            <w:vAlign w:val="center"/>
          </w:tcPr>
          <w:p w14:paraId="5F9B1832">
            <w:pPr>
              <w:tabs>
                <w:tab w:val="left" w:pos="2340"/>
              </w:tabs>
              <w:snapToGrid w:val="0"/>
              <w:spacing w:line="470" w:lineRule="atLeast"/>
              <w:jc w:val="center"/>
              <w:rPr>
                <w:rFonts w:ascii="Calibri" w:hAnsi="Calibri"/>
                <w:sz w:val="24"/>
                <w:szCs w:val="24"/>
              </w:rPr>
            </w:pPr>
            <w:r>
              <w:rPr>
                <w:rFonts w:ascii="Calibri" w:hAnsi="Calibri"/>
                <w:sz w:val="24"/>
                <w:szCs w:val="24"/>
              </w:rPr>
              <w:t>hr.</w:t>
            </w:r>
          </w:p>
        </w:tc>
      </w:tr>
      <w:tr w14:paraId="5E395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368" w:type="dxa"/>
            <w:vAlign w:val="center"/>
          </w:tcPr>
          <w:p w14:paraId="715A9862">
            <w:pPr>
              <w:tabs>
                <w:tab w:val="left" w:pos="2340"/>
              </w:tabs>
              <w:snapToGrid w:val="0"/>
              <w:spacing w:line="470" w:lineRule="atLeast"/>
              <w:jc w:val="left"/>
              <w:rPr>
                <w:rFonts w:ascii="Calibri" w:hAnsi="Calibri"/>
                <w:sz w:val="24"/>
                <w:szCs w:val="24"/>
              </w:rPr>
            </w:pPr>
            <w:r>
              <w:rPr>
                <w:rFonts w:hint="eastAsia" w:ascii="Calibri" w:hAnsi="Calibri"/>
                <w:sz w:val="24"/>
                <w:szCs w:val="24"/>
              </w:rPr>
              <w:t>电机重量</w:t>
            </w:r>
          </w:p>
        </w:tc>
        <w:tc>
          <w:tcPr>
            <w:tcW w:w="3495" w:type="dxa"/>
            <w:vAlign w:val="center"/>
          </w:tcPr>
          <w:p w14:paraId="3B94E76E">
            <w:pPr>
              <w:tabs>
                <w:tab w:val="left" w:pos="2340"/>
              </w:tabs>
              <w:snapToGrid w:val="0"/>
              <w:spacing w:line="470" w:lineRule="atLeast"/>
              <w:jc w:val="left"/>
              <w:rPr>
                <w:rFonts w:ascii="Calibri" w:hAnsi="Calibri"/>
                <w:sz w:val="24"/>
                <w:szCs w:val="24"/>
              </w:rPr>
            </w:pPr>
          </w:p>
        </w:tc>
        <w:tc>
          <w:tcPr>
            <w:tcW w:w="1263" w:type="dxa"/>
            <w:vAlign w:val="center"/>
          </w:tcPr>
          <w:p w14:paraId="5A7F3C4E">
            <w:pPr>
              <w:tabs>
                <w:tab w:val="left" w:pos="2340"/>
              </w:tabs>
              <w:snapToGrid w:val="0"/>
              <w:spacing w:line="470" w:lineRule="atLeast"/>
              <w:jc w:val="center"/>
              <w:rPr>
                <w:rFonts w:ascii="Calibri" w:hAnsi="Calibri"/>
                <w:sz w:val="24"/>
                <w:szCs w:val="24"/>
              </w:rPr>
            </w:pPr>
            <w:r>
              <w:rPr>
                <w:rFonts w:ascii="Calibri" w:hAnsi="Calibri"/>
                <w:sz w:val="24"/>
                <w:szCs w:val="24"/>
              </w:rPr>
              <w:t>kg</w:t>
            </w:r>
          </w:p>
        </w:tc>
      </w:tr>
    </w:tbl>
    <w:p w14:paraId="24302FB1">
      <w:pPr>
        <w:snapToGrid w:val="0"/>
        <w:spacing w:line="480" w:lineRule="atLeast"/>
        <w:ind w:firstLine="480" w:firstLineChars="200"/>
        <w:rPr>
          <w:rFonts w:eastAsiaTheme="minorEastAsia"/>
          <w:b/>
          <w:bCs/>
          <w:color w:val="000000" w:themeColor="text1"/>
          <w:szCs w:val="24"/>
          <w14:textFill>
            <w14:solidFill>
              <w14:schemeClr w14:val="tx1"/>
            </w14:solidFill>
          </w14:textFill>
        </w:rPr>
      </w:pPr>
      <w:r>
        <w:rPr>
          <w:rFonts w:hint="eastAsia"/>
          <w:color w:val="000000" w:themeColor="text1"/>
          <w:sz w:val="24"/>
          <w:szCs w:val="24"/>
          <w14:textFill>
            <w14:solidFill>
              <w14:schemeClr w14:val="tx1"/>
            </w14:solidFill>
          </w14:textFill>
        </w:rPr>
        <w:t>注：设备的技术参数在投标文件中应以表格方式，按各种冷量、风量的设备为一列提供各项技术参数，列表时不得删减或增加技术参数栏目。</w:t>
      </w:r>
      <w:r>
        <w:rPr>
          <w:rFonts w:eastAsiaTheme="minorEastAsia"/>
          <w:bCs/>
          <w:color w:val="000000" w:themeColor="text1"/>
          <w:szCs w:val="24"/>
          <w14:textFill>
            <w14:solidFill>
              <w14:schemeClr w14:val="tx1"/>
            </w14:solidFill>
          </w14:textFill>
        </w:rPr>
        <w:br w:type="page"/>
      </w:r>
      <w:bookmarkEnd w:id="92"/>
      <w:bookmarkEnd w:id="93"/>
      <w:bookmarkEnd w:id="94"/>
    </w:p>
    <w:p w14:paraId="67A26BF2">
      <w:pPr>
        <w:pStyle w:val="121"/>
        <w:snapToGrid w:val="0"/>
        <w:spacing w:line="480" w:lineRule="atLeast"/>
        <w:ind w:left="0" w:firstLine="482" w:firstLineChars="200"/>
        <w:outlineLvl w:val="0"/>
        <w:rPr>
          <w:rFonts w:eastAsiaTheme="minorEastAsia"/>
          <w:color w:val="000000" w:themeColor="text1"/>
          <w:szCs w:val="24"/>
          <w14:textFill>
            <w14:solidFill>
              <w14:schemeClr w14:val="tx1"/>
            </w14:solidFill>
          </w14:textFill>
        </w:rPr>
      </w:pPr>
      <w:bookmarkStart w:id="332" w:name="_Toc526079254"/>
      <w:bookmarkStart w:id="333" w:name="_Toc220074788"/>
      <w:bookmarkStart w:id="334" w:name="_Toc526079148"/>
      <w:r>
        <w:rPr>
          <w:rFonts w:hint="eastAsia" w:eastAsiaTheme="minorEastAsia"/>
          <w:color w:val="000000" w:themeColor="text1"/>
          <w:szCs w:val="24"/>
          <w14:textFill>
            <w14:solidFill>
              <w14:schemeClr w14:val="tx1"/>
            </w14:solidFill>
          </w14:textFill>
        </w:rPr>
        <w:t>总</w:t>
      </w:r>
      <w:bookmarkStart w:id="335" w:name="_Toc278188457"/>
      <w:bookmarkEnd w:id="335"/>
      <w:r>
        <w:rPr>
          <w:rFonts w:eastAsiaTheme="minorEastAsia"/>
          <w:color w:val="000000" w:themeColor="text1"/>
          <w:szCs w:val="24"/>
          <w14:textFill>
            <w14:solidFill>
              <w14:schemeClr w14:val="tx1"/>
            </w14:solidFill>
          </w14:textFill>
        </w:rPr>
        <w:t xml:space="preserve">  </w:t>
      </w:r>
      <w:r>
        <w:rPr>
          <w:rFonts w:hint="eastAsia" w:eastAsiaTheme="minorEastAsia"/>
          <w:color w:val="000000" w:themeColor="text1"/>
          <w:szCs w:val="24"/>
          <w14:textFill>
            <w14:solidFill>
              <w14:schemeClr w14:val="tx1"/>
            </w14:solidFill>
          </w14:textFill>
        </w:rPr>
        <w:t>则</w:t>
      </w:r>
      <w:bookmarkEnd w:id="95"/>
      <w:bookmarkEnd w:id="96"/>
      <w:bookmarkEnd w:id="97"/>
      <w:bookmarkEnd w:id="98"/>
      <w:bookmarkEnd w:id="99"/>
      <w:bookmarkEnd w:id="332"/>
      <w:bookmarkEnd w:id="333"/>
      <w:bookmarkEnd w:id="334"/>
      <w:bookmarkStart w:id="336" w:name="_Toc278187638"/>
      <w:bookmarkEnd w:id="336"/>
    </w:p>
    <w:p w14:paraId="5D140A2A">
      <w:pPr>
        <w:pStyle w:val="121"/>
        <w:numPr>
          <w:ilvl w:val="1"/>
          <w:numId w:val="5"/>
        </w:numPr>
        <w:snapToGrid w:val="0"/>
        <w:spacing w:line="480" w:lineRule="atLeast"/>
        <w:ind w:left="0" w:firstLine="482" w:firstLineChars="200"/>
        <w:outlineLvl w:val="1"/>
        <w:rPr>
          <w:rFonts w:eastAsiaTheme="minorEastAsia"/>
          <w:color w:val="000000" w:themeColor="text1"/>
          <w:szCs w:val="24"/>
          <w14:textFill>
            <w14:solidFill>
              <w14:schemeClr w14:val="tx1"/>
            </w14:solidFill>
          </w14:textFill>
        </w:rPr>
      </w:pPr>
      <w:bookmarkStart w:id="337" w:name="_Toc278094666"/>
      <w:bookmarkEnd w:id="337"/>
      <w:bookmarkStart w:id="338" w:name="_Toc279850631"/>
      <w:bookmarkStart w:id="339" w:name="_Toc279850218"/>
      <w:bookmarkStart w:id="340" w:name="_Toc526064865"/>
      <w:bookmarkStart w:id="341" w:name="_Toc278226491"/>
      <w:r>
        <w:rPr>
          <w:rFonts w:eastAsiaTheme="minorEastAsia"/>
          <w:bCs/>
          <w:color w:val="000000" w:themeColor="text1"/>
          <w:szCs w:val="24"/>
          <w14:textFill>
            <w14:solidFill>
              <w14:schemeClr w14:val="tx1"/>
            </w14:solidFill>
          </w14:textFill>
        </w:rPr>
        <w:t xml:space="preserve"> </w:t>
      </w:r>
      <w:bookmarkStart w:id="342" w:name="_Toc220074789"/>
      <w:bookmarkStart w:id="343" w:name="_Toc526079255"/>
      <w:bookmarkStart w:id="344" w:name="_Toc526079149"/>
      <w:r>
        <w:rPr>
          <w:rFonts w:hint="eastAsia" w:eastAsiaTheme="minorEastAsia"/>
          <w:bCs/>
          <w:color w:val="000000" w:themeColor="text1"/>
          <w:szCs w:val="24"/>
          <w14:textFill>
            <w14:solidFill>
              <w14:schemeClr w14:val="tx1"/>
            </w14:solidFill>
          </w14:textFill>
        </w:rPr>
        <w:t>一般规定</w:t>
      </w:r>
      <w:bookmarkEnd w:id="338"/>
      <w:bookmarkEnd w:id="339"/>
      <w:bookmarkEnd w:id="340"/>
      <w:bookmarkEnd w:id="341"/>
      <w:bookmarkEnd w:id="342"/>
      <w:bookmarkEnd w:id="343"/>
      <w:bookmarkEnd w:id="344"/>
      <w:bookmarkStart w:id="345" w:name="_Toc279850632"/>
      <w:bookmarkStart w:id="346" w:name="_Toc279850219"/>
    </w:p>
    <w:p w14:paraId="64D6D2A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1.1.1  </w:t>
      </w:r>
      <w:r>
        <w:rPr>
          <w:rFonts w:hint="eastAsia" w:eastAsiaTheme="minorEastAsia"/>
          <w:color w:val="000000" w:themeColor="text1"/>
          <w:sz w:val="24"/>
          <w:szCs w:val="24"/>
          <w14:textFill>
            <w14:solidFill>
              <w14:schemeClr w14:val="tx1"/>
            </w14:solidFill>
          </w14:textFill>
        </w:rPr>
        <w:t>本规范书适用于湖南-贵州电力灵活互济工程湘黔背靠背换流站项目采购的贵州侧GIS室、湖南侧GIS室、专用品仓库、二次备品库及车库、综合泵房、综合楼、警传室、油化实验室所用的通风及空调设备</w:t>
      </w:r>
      <w:bookmarkEnd w:id="100"/>
      <w:bookmarkEnd w:id="345"/>
      <w:bookmarkEnd w:id="346"/>
      <w:bookmarkStart w:id="347" w:name="_Toc278187641"/>
      <w:bookmarkEnd w:id="347"/>
      <w:bookmarkStart w:id="348" w:name="_Toc278204540"/>
      <w:bookmarkEnd w:id="348"/>
      <w:bookmarkStart w:id="349" w:name="_Toc278225999"/>
      <w:bookmarkEnd w:id="349"/>
      <w:bookmarkStart w:id="350" w:name="_Toc278226492"/>
      <w:bookmarkEnd w:id="350"/>
      <w:bookmarkStart w:id="351" w:name="_Toc279850220"/>
      <w:bookmarkStart w:id="352" w:name="_Toc279850633"/>
      <w:bookmarkStart w:id="353" w:name="_Toc278226493"/>
      <w:bookmarkStart w:id="354" w:name="_Toc22452648"/>
      <w:r>
        <w:rPr>
          <w:rFonts w:hint="eastAsia" w:eastAsiaTheme="minorEastAsia"/>
          <w:color w:val="000000" w:themeColor="text1"/>
          <w:sz w:val="24"/>
          <w:szCs w:val="24"/>
          <w14:textFill>
            <w14:solidFill>
              <w14:schemeClr w14:val="tx1"/>
            </w14:solidFill>
          </w14:textFill>
        </w:rPr>
        <w:t>、风管系统材料、水系统材料、配电控制系统设备和材料以及电缆敷设附件、安装材料、系统安装及调试。本规范书提出通风及空调系统和相关设备的技术参数、功能设计、结构、性能、安装和试验等方面的技术要求。</w:t>
      </w:r>
    </w:p>
    <w:bookmarkEnd w:id="351"/>
    <w:bookmarkEnd w:id="352"/>
    <w:p w14:paraId="205B87D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1.1.2  </w:t>
      </w:r>
      <w:r>
        <w:rPr>
          <w:rFonts w:hint="eastAsia" w:eastAsiaTheme="minorEastAsia"/>
          <w:color w:val="000000" w:themeColor="text1"/>
          <w:sz w:val="24"/>
          <w:szCs w:val="24"/>
          <w14:textFill>
            <w14:solidFill>
              <w14:schemeClr w14:val="tx1"/>
            </w14:solidFill>
          </w14:textFill>
        </w:rPr>
        <w:t>本规范书提出的是最低限度的技术要求，并未对一切技术细节作出规定，也未充分引述有关标准和规范的条文，投标方应按有关</w:t>
      </w:r>
      <w:r>
        <w:rPr>
          <w:rFonts w:eastAsiaTheme="minorEastAsia"/>
          <w:color w:val="000000" w:themeColor="text1"/>
          <w:sz w:val="24"/>
          <w:szCs w:val="24"/>
          <w14:textFill>
            <w14:solidFill>
              <w14:schemeClr w14:val="tx1"/>
            </w14:solidFill>
          </w14:textFill>
        </w:rPr>
        <w:t>GB</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GB/T</w:t>
      </w:r>
      <w:r>
        <w:rPr>
          <w:rFonts w:hint="eastAsia" w:eastAsiaTheme="minorEastAsia"/>
          <w:color w:val="000000" w:themeColor="text1"/>
          <w:sz w:val="24"/>
          <w:szCs w:val="24"/>
          <w14:textFill>
            <w14:solidFill>
              <w14:schemeClr w14:val="tx1"/>
            </w14:solidFill>
          </w14:textFill>
        </w:rPr>
        <w:t>和</w:t>
      </w:r>
      <w:r>
        <w:rPr>
          <w:rFonts w:eastAsiaTheme="minorEastAsia"/>
          <w:color w:val="000000" w:themeColor="text1"/>
          <w:sz w:val="24"/>
          <w:szCs w:val="24"/>
          <w14:textFill>
            <w14:solidFill>
              <w14:schemeClr w14:val="tx1"/>
            </w14:solidFill>
          </w14:textFill>
        </w:rPr>
        <w:t>IEC</w:t>
      </w:r>
      <w:r>
        <w:rPr>
          <w:rFonts w:hint="eastAsia" w:eastAsiaTheme="minorEastAsia"/>
          <w:color w:val="000000" w:themeColor="text1"/>
          <w:sz w:val="24"/>
          <w:szCs w:val="24"/>
          <w14:textFill>
            <w14:solidFill>
              <w14:schemeClr w14:val="tx1"/>
            </w14:solidFill>
          </w14:textFill>
        </w:rPr>
        <w:t>最新版本的标准和本规范书进行设备设计、制造、试验和安装。对国家有关安全、环保等强制性标准，投标方也必须满足其要求。</w:t>
      </w:r>
    </w:p>
    <w:p w14:paraId="727707A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1.1.3  </w:t>
      </w:r>
      <w:r>
        <w:rPr>
          <w:rFonts w:hint="eastAsia" w:eastAsiaTheme="minorEastAsia"/>
          <w:color w:val="000000" w:themeColor="text1"/>
          <w:sz w:val="24"/>
          <w:szCs w:val="24"/>
          <w14:textFill>
            <w14:solidFill>
              <w14:schemeClr w14:val="tx1"/>
            </w14:solidFill>
          </w14:textFill>
        </w:rPr>
        <w:t>招标方的确认不能做为投标方不承担提供兼容性服务责任的理由。在随后的研究、制造、试验或调试阶段，如果发现投标方所供设备不满足兼容性要求，招标方有权给予否定，并要求投标方根据招标方要求进行修改，直至符合兼容性要求为止，从而保证招标方在整个工程或部分工程的利益不受损害。</w:t>
      </w:r>
    </w:p>
    <w:p w14:paraId="5B6DE65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1.1.4  </w:t>
      </w:r>
      <w:r>
        <w:rPr>
          <w:rFonts w:hint="eastAsia" w:eastAsiaTheme="minorEastAsia"/>
          <w:color w:val="000000" w:themeColor="text1"/>
          <w:sz w:val="24"/>
          <w:szCs w:val="24"/>
          <w14:textFill>
            <w14:solidFill>
              <w14:schemeClr w14:val="tx1"/>
            </w14:solidFill>
          </w14:textFill>
        </w:rPr>
        <w:t>如果投标方没有以书面形式对本规范书的条文提出异议，则意味着投标方提供的设备（或系统）和服务完全符合本规范书的要求，如有异议，不管是多么微小，都应在填写在本规范书的“技术差异表”中。</w:t>
      </w:r>
    </w:p>
    <w:p w14:paraId="2229781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1.1.5  </w:t>
      </w:r>
      <w:r>
        <w:rPr>
          <w:rFonts w:hint="eastAsia" w:eastAsiaTheme="minorEastAsia"/>
          <w:color w:val="000000" w:themeColor="text1"/>
          <w:sz w:val="24"/>
          <w:szCs w:val="24"/>
          <w14:textFill>
            <w14:solidFill>
              <w14:schemeClr w14:val="tx1"/>
            </w14:solidFill>
          </w14:textFill>
        </w:rPr>
        <w:t>本技术规范书所使用的标准如遇与投标方所执行的标准不一致时，按较高标准执行。</w:t>
      </w:r>
    </w:p>
    <w:p w14:paraId="2BF0A27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1.1.6  </w:t>
      </w:r>
      <w:r>
        <w:rPr>
          <w:rFonts w:hint="eastAsia" w:eastAsiaTheme="minorEastAsia"/>
          <w:color w:val="000000" w:themeColor="text1"/>
          <w:sz w:val="24"/>
          <w:szCs w:val="24"/>
          <w14:textFill>
            <w14:solidFill>
              <w14:schemeClr w14:val="tx1"/>
            </w14:solidFill>
          </w14:textFill>
        </w:rPr>
        <w:t>本技术规范书经招标方与投标方双方确认后作为订货合同的附件，与合同正文具有同等法律效力。</w:t>
      </w:r>
    </w:p>
    <w:p w14:paraId="4996354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1.1.7  </w:t>
      </w:r>
      <w:r>
        <w:rPr>
          <w:rFonts w:hint="eastAsia" w:eastAsiaTheme="minorEastAsia"/>
          <w:color w:val="000000" w:themeColor="text1"/>
          <w:sz w:val="24"/>
          <w:szCs w:val="24"/>
          <w14:textFill>
            <w14:solidFill>
              <w14:schemeClr w14:val="tx1"/>
            </w14:solidFill>
          </w14:textFill>
        </w:rPr>
        <w:t>在签署合同之后招标方有权因规范、标准及应用条件发生变化而提出一些补充和修改要求，具体项目和内容由招投标双方协商确定。</w:t>
      </w:r>
    </w:p>
    <w:p w14:paraId="2285E00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1.1.8  </w:t>
      </w:r>
      <w:r>
        <w:rPr>
          <w:rFonts w:hint="eastAsia" w:eastAsiaTheme="minorEastAsia"/>
          <w:color w:val="000000" w:themeColor="text1"/>
          <w:sz w:val="24"/>
          <w:szCs w:val="24"/>
          <w14:textFill>
            <w14:solidFill>
              <w14:schemeClr w14:val="tx1"/>
            </w14:solidFill>
          </w14:textFill>
        </w:rPr>
        <w:t>本规范书中涉及有关商务方面的内容，如与招标文件的商务部分有矛盾时，以商务部分为准。</w:t>
      </w:r>
    </w:p>
    <w:p w14:paraId="04EFFEC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1.1.9  </w:t>
      </w:r>
      <w:r>
        <w:rPr>
          <w:rFonts w:hint="eastAsia" w:eastAsiaTheme="minorEastAsia"/>
          <w:color w:val="000000" w:themeColor="text1"/>
          <w:sz w:val="24"/>
          <w:szCs w:val="24"/>
          <w14:textFill>
            <w14:solidFill>
              <w14:schemeClr w14:val="tx1"/>
            </w14:solidFill>
          </w14:textFill>
        </w:rPr>
        <w:t>本技术规范书未尽事宜，由招标方和投标方协商确定。</w:t>
      </w:r>
    </w:p>
    <w:p w14:paraId="060CEAE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1.1.11  </w:t>
      </w:r>
      <w:r>
        <w:rPr>
          <w:rFonts w:hint="eastAsia" w:eastAsiaTheme="minorEastAsia"/>
          <w:color w:val="000000" w:themeColor="text1"/>
          <w:sz w:val="24"/>
          <w:szCs w:val="24"/>
          <w14:textFill>
            <w14:solidFill>
              <w14:schemeClr w14:val="tx1"/>
            </w14:solidFill>
          </w14:textFill>
        </w:rPr>
        <w:t>投标方在投标文件中应如实反映应标产品与本招标文件的技术差异。如果投标方没有提出技术差异，而在执行合同的过程中，招标方发现投标方提供的产品与招标文件的条文存在差异，招标方有权利要求退货。</w:t>
      </w:r>
    </w:p>
    <w:p w14:paraId="389CBA5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1.1.12  </w:t>
      </w:r>
      <w:r>
        <w:rPr>
          <w:rFonts w:hint="eastAsia" w:eastAsiaTheme="minorEastAsia"/>
          <w:color w:val="000000" w:themeColor="text1"/>
          <w:sz w:val="24"/>
          <w:szCs w:val="24"/>
          <w14:textFill>
            <w14:solidFill>
              <w14:schemeClr w14:val="tx1"/>
            </w14:solidFill>
          </w14:textFill>
        </w:rPr>
        <w:t>投标方应按本招标文件的要求如实详细的填写应标设备的标准配置表，并在应标商务部分按此标准配置进行报价。</w:t>
      </w:r>
    </w:p>
    <w:p w14:paraId="416AEDF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p>
    <w:p w14:paraId="3E373B40">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355" w:name="_Toc279850228"/>
      <w:bookmarkStart w:id="356" w:name="_Toc279850641"/>
      <w:bookmarkStart w:id="357" w:name="_Toc526064866"/>
      <w:r>
        <w:rPr>
          <w:rFonts w:eastAsiaTheme="minorEastAsia"/>
          <w:bCs/>
          <w:color w:val="000000" w:themeColor="text1"/>
          <w:szCs w:val="24"/>
          <w14:textFill>
            <w14:solidFill>
              <w14:schemeClr w14:val="tx1"/>
            </w14:solidFill>
          </w14:textFill>
        </w:rPr>
        <w:t xml:space="preserve"> </w:t>
      </w:r>
      <w:bookmarkStart w:id="358" w:name="_Toc220074790"/>
      <w:bookmarkStart w:id="359" w:name="_Toc526079256"/>
      <w:bookmarkStart w:id="360" w:name="_Toc526079150"/>
      <w:r>
        <w:rPr>
          <w:rFonts w:hint="eastAsia" w:eastAsiaTheme="minorEastAsia"/>
          <w:bCs/>
          <w:color w:val="000000" w:themeColor="text1"/>
          <w:szCs w:val="24"/>
          <w14:textFill>
            <w14:solidFill>
              <w14:schemeClr w14:val="tx1"/>
            </w14:solidFill>
          </w14:textFill>
        </w:rPr>
        <w:t>投标方应</w:t>
      </w:r>
      <w:bookmarkStart w:id="361" w:name="_Toc278094669"/>
      <w:bookmarkEnd w:id="361"/>
      <w:r>
        <w:rPr>
          <w:rFonts w:hint="eastAsia" w:eastAsiaTheme="minorEastAsia"/>
          <w:bCs/>
          <w:color w:val="000000" w:themeColor="text1"/>
          <w:szCs w:val="24"/>
          <w14:textFill>
            <w14:solidFill>
              <w14:schemeClr w14:val="tx1"/>
            </w14:solidFill>
          </w14:textFill>
        </w:rPr>
        <w:t>提</w:t>
      </w:r>
      <w:bookmarkStart w:id="362" w:name="_Toc278061415"/>
      <w:bookmarkEnd w:id="362"/>
      <w:bookmarkStart w:id="363" w:name="_Toc278058498"/>
      <w:bookmarkEnd w:id="363"/>
      <w:r>
        <w:rPr>
          <w:rFonts w:hint="eastAsia" w:eastAsiaTheme="minorEastAsia"/>
          <w:bCs/>
          <w:color w:val="000000" w:themeColor="text1"/>
          <w:szCs w:val="24"/>
          <w14:textFill>
            <w14:solidFill>
              <w14:schemeClr w14:val="tx1"/>
            </w14:solidFill>
          </w14:textFill>
        </w:rPr>
        <w:t>供</w:t>
      </w:r>
      <w:bookmarkStart w:id="364" w:name="_Toc278054663"/>
      <w:bookmarkEnd w:id="364"/>
      <w:bookmarkStart w:id="365" w:name="_Toc278042989"/>
      <w:bookmarkEnd w:id="365"/>
      <w:bookmarkStart w:id="366" w:name="_Toc278056980"/>
      <w:bookmarkEnd w:id="366"/>
      <w:bookmarkStart w:id="367" w:name="_Toc278054535"/>
      <w:bookmarkEnd w:id="367"/>
      <w:bookmarkStart w:id="368" w:name="_Toc278055828"/>
      <w:bookmarkEnd w:id="368"/>
      <w:r>
        <w:rPr>
          <w:rFonts w:hint="eastAsia" w:eastAsiaTheme="minorEastAsia"/>
          <w:bCs/>
          <w:color w:val="000000" w:themeColor="text1"/>
          <w:szCs w:val="24"/>
          <w14:textFill>
            <w14:solidFill>
              <w14:schemeClr w14:val="tx1"/>
            </w14:solidFill>
          </w14:textFill>
        </w:rPr>
        <w:t>的资格文件</w:t>
      </w:r>
      <w:bookmarkEnd w:id="353"/>
      <w:bookmarkEnd w:id="355"/>
      <w:bookmarkEnd w:id="356"/>
      <w:bookmarkEnd w:id="357"/>
      <w:bookmarkEnd w:id="358"/>
      <w:bookmarkEnd w:id="359"/>
      <w:bookmarkEnd w:id="360"/>
      <w:bookmarkStart w:id="369" w:name="_Toc180563886"/>
    </w:p>
    <w:bookmarkEnd w:id="354"/>
    <w:bookmarkEnd w:id="369"/>
    <w:p w14:paraId="67E8D40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370" w:name="_Toc278226495"/>
      <w:bookmarkStart w:id="371" w:name="_Toc22452650"/>
      <w:r>
        <w:rPr>
          <w:rFonts w:hint="eastAsia" w:eastAsiaTheme="minorEastAsia"/>
          <w:color w:val="000000" w:themeColor="text1"/>
          <w:sz w:val="24"/>
          <w:szCs w:val="24"/>
          <w14:textFill>
            <w14:solidFill>
              <w14:schemeClr w14:val="tx1"/>
            </w14:solidFill>
          </w14:textFill>
        </w:rPr>
        <w:t>投标方在投标文件中至少应提供下列有关资格文件（以商务文件为准），否则视为非响应性投标，如发现有失实情况，招标方有权拒绝该投标。</w:t>
      </w:r>
    </w:p>
    <w:p w14:paraId="6A1AD8D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1.2.1  </w:t>
      </w:r>
      <w:r>
        <w:rPr>
          <w:rFonts w:hint="eastAsia" w:eastAsiaTheme="minorEastAsia"/>
          <w:color w:val="000000" w:themeColor="text1"/>
          <w:sz w:val="24"/>
          <w:szCs w:val="24"/>
          <w14:textFill>
            <w14:solidFill>
              <w14:schemeClr w14:val="tx1"/>
            </w14:solidFill>
          </w14:textFill>
        </w:rPr>
        <w:t>投标方最近</w:t>
      </w: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年内同类设备在一类公共建筑或同类建筑中使用的销售记录。</w:t>
      </w:r>
    </w:p>
    <w:p w14:paraId="22FDE18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1.2.2  </w:t>
      </w:r>
      <w:r>
        <w:rPr>
          <w:rFonts w:hint="eastAsia" w:eastAsiaTheme="minorEastAsia"/>
          <w:color w:val="000000" w:themeColor="text1"/>
          <w:sz w:val="24"/>
          <w:szCs w:val="24"/>
          <w14:textFill>
            <w14:solidFill>
              <w14:schemeClr w14:val="tx1"/>
            </w14:solidFill>
          </w14:textFill>
        </w:rPr>
        <w:t>投标方最近</w:t>
      </w: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年内为国内或国外</w:t>
      </w:r>
      <w:r>
        <w:rPr>
          <w:rFonts w:eastAsiaTheme="minorEastAsia"/>
          <w:color w:val="000000" w:themeColor="text1"/>
          <w:sz w:val="24"/>
          <w:szCs w:val="24"/>
          <w14:textFill>
            <w14:solidFill>
              <w14:schemeClr w14:val="tx1"/>
            </w14:solidFill>
          </w14:textFill>
        </w:rPr>
        <w:t>±500kV</w:t>
      </w:r>
      <w:r>
        <w:rPr>
          <w:rFonts w:hint="eastAsia" w:eastAsiaTheme="minorEastAsia"/>
          <w:color w:val="000000" w:themeColor="text1"/>
          <w:sz w:val="24"/>
          <w:szCs w:val="24"/>
          <w14:textFill>
            <w14:solidFill>
              <w14:schemeClr w14:val="tx1"/>
            </w14:solidFill>
          </w14:textFill>
        </w:rPr>
        <w:t>及以上直流换流站阀厅或控制楼提供且已经投运的集中空调设备（包括：组合式空气处理机组、水冷或风冷冷水机组）的业绩记录。</w:t>
      </w:r>
    </w:p>
    <w:p w14:paraId="00C2236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1.2.3  </w:t>
      </w:r>
      <w:r>
        <w:rPr>
          <w:rFonts w:hint="eastAsia" w:eastAsiaTheme="minorEastAsia"/>
          <w:color w:val="000000" w:themeColor="text1"/>
          <w:sz w:val="24"/>
          <w:szCs w:val="24"/>
          <w14:textFill>
            <w14:solidFill>
              <w14:schemeClr w14:val="tx1"/>
            </w14:solidFill>
          </w14:textFill>
        </w:rPr>
        <w:t>投标方拥有权威机关颁发的</w:t>
      </w:r>
      <w:r>
        <w:rPr>
          <w:rFonts w:eastAsiaTheme="minorEastAsia"/>
          <w:color w:val="000000" w:themeColor="text1"/>
          <w:sz w:val="24"/>
          <w:szCs w:val="24"/>
          <w14:textFill>
            <w14:solidFill>
              <w14:schemeClr w14:val="tx1"/>
            </w14:solidFill>
          </w14:textFill>
        </w:rPr>
        <w:t>ISO-9000</w:t>
      </w:r>
      <w:r>
        <w:rPr>
          <w:rFonts w:hint="eastAsia" w:eastAsiaTheme="minorEastAsia"/>
          <w:color w:val="000000" w:themeColor="text1"/>
          <w:sz w:val="24"/>
          <w:szCs w:val="24"/>
          <w14:textFill>
            <w14:solidFill>
              <w14:schemeClr w14:val="tx1"/>
            </w14:solidFill>
          </w14:textFill>
        </w:rPr>
        <w:t>系列的认证书或等同的质量保证体系认证证书。</w:t>
      </w:r>
    </w:p>
    <w:p w14:paraId="32D5101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1.2.4  </w:t>
      </w:r>
      <w:r>
        <w:rPr>
          <w:rFonts w:hint="eastAsia" w:eastAsiaTheme="minorEastAsia"/>
          <w:color w:val="000000" w:themeColor="text1"/>
          <w:sz w:val="24"/>
          <w:szCs w:val="24"/>
          <w14:textFill>
            <w14:solidFill>
              <w14:schemeClr w14:val="tx1"/>
            </w14:solidFill>
          </w14:textFill>
        </w:rPr>
        <w:t>投标方具有履行合同所需的技术和主要设备等生产能力的文件资料。</w:t>
      </w:r>
    </w:p>
    <w:p w14:paraId="32D63A5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1.2.5  </w:t>
      </w:r>
      <w:r>
        <w:rPr>
          <w:rFonts w:hint="eastAsia" w:eastAsiaTheme="minorEastAsia"/>
          <w:color w:val="000000" w:themeColor="text1"/>
          <w:sz w:val="24"/>
          <w:szCs w:val="24"/>
          <w14:textFill>
            <w14:solidFill>
              <w14:schemeClr w14:val="tx1"/>
            </w14:solidFill>
          </w14:textFill>
        </w:rPr>
        <w:t>投标方有能力履行合同设备维护保养、修理及其他服务义务的文件。</w:t>
      </w:r>
    </w:p>
    <w:p w14:paraId="5F89CD2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1.2.6  </w:t>
      </w:r>
      <w:r>
        <w:rPr>
          <w:rFonts w:hint="eastAsia" w:eastAsiaTheme="minorEastAsia"/>
          <w:color w:val="000000" w:themeColor="text1"/>
          <w:sz w:val="24"/>
          <w:szCs w:val="24"/>
          <w14:textFill>
            <w14:solidFill>
              <w14:schemeClr w14:val="tx1"/>
            </w14:solidFill>
          </w14:textFill>
        </w:rPr>
        <w:t>主要设备、材料的投标方应具有经国家计量机构认可的同类设备试验装置，能完整的、全面的、正确的提供同类设备的型式和例行试验报告。</w:t>
      </w:r>
    </w:p>
    <w:p w14:paraId="448F23D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p>
    <w:p w14:paraId="425E13B1">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372" w:name="_Toc279850647"/>
      <w:bookmarkStart w:id="373" w:name="_Toc526064867"/>
      <w:bookmarkStart w:id="374" w:name="_Toc279850234"/>
      <w:r>
        <w:rPr>
          <w:rFonts w:eastAsiaTheme="minorEastAsia"/>
          <w:bCs/>
          <w:color w:val="000000" w:themeColor="text1"/>
          <w:szCs w:val="24"/>
          <w14:textFill>
            <w14:solidFill>
              <w14:schemeClr w14:val="tx1"/>
            </w14:solidFill>
          </w14:textFill>
        </w:rPr>
        <w:t xml:space="preserve"> </w:t>
      </w:r>
      <w:bookmarkStart w:id="375" w:name="_Toc220074791"/>
      <w:bookmarkStart w:id="376" w:name="_Toc526079257"/>
      <w:bookmarkStart w:id="377" w:name="_Toc526079151"/>
      <w:r>
        <w:rPr>
          <w:rFonts w:hint="eastAsia" w:eastAsiaTheme="minorEastAsia"/>
          <w:bCs/>
          <w:color w:val="000000" w:themeColor="text1"/>
          <w:szCs w:val="24"/>
          <w14:textFill>
            <w14:solidFill>
              <w14:schemeClr w14:val="tx1"/>
            </w14:solidFill>
          </w14:textFill>
        </w:rPr>
        <w:t>投标方应</w:t>
      </w:r>
      <w:bookmarkStart w:id="378" w:name="_Toc278094671"/>
      <w:bookmarkEnd w:id="378"/>
      <w:r>
        <w:rPr>
          <w:rFonts w:hint="eastAsia" w:eastAsiaTheme="minorEastAsia"/>
          <w:bCs/>
          <w:color w:val="000000" w:themeColor="text1"/>
          <w:szCs w:val="24"/>
          <w14:textFill>
            <w14:solidFill>
              <w14:schemeClr w14:val="tx1"/>
            </w14:solidFill>
          </w14:textFill>
        </w:rPr>
        <w:t>提</w:t>
      </w:r>
      <w:bookmarkStart w:id="379" w:name="_Toc278061417"/>
      <w:bookmarkEnd w:id="379"/>
      <w:bookmarkStart w:id="380" w:name="_Toc278058500"/>
      <w:bookmarkEnd w:id="380"/>
      <w:r>
        <w:rPr>
          <w:rFonts w:hint="eastAsia" w:eastAsiaTheme="minorEastAsia"/>
          <w:bCs/>
          <w:color w:val="000000" w:themeColor="text1"/>
          <w:szCs w:val="24"/>
          <w14:textFill>
            <w14:solidFill>
              <w14:schemeClr w14:val="tx1"/>
            </w14:solidFill>
          </w14:textFill>
        </w:rPr>
        <w:t>供</w:t>
      </w:r>
      <w:bookmarkStart w:id="381" w:name="_Toc278055830"/>
      <w:bookmarkEnd w:id="381"/>
      <w:bookmarkStart w:id="382" w:name="_Toc278054665"/>
      <w:bookmarkEnd w:id="382"/>
      <w:bookmarkStart w:id="383" w:name="_Toc278056982"/>
      <w:bookmarkEnd w:id="383"/>
      <w:bookmarkStart w:id="384" w:name="_Toc278054537"/>
      <w:bookmarkEnd w:id="384"/>
      <w:bookmarkStart w:id="385" w:name="_Toc278042991"/>
      <w:bookmarkEnd w:id="385"/>
      <w:r>
        <w:rPr>
          <w:rFonts w:hint="eastAsia" w:eastAsiaTheme="minorEastAsia"/>
          <w:bCs/>
          <w:color w:val="000000" w:themeColor="text1"/>
          <w:szCs w:val="24"/>
          <w14:textFill>
            <w14:solidFill>
              <w14:schemeClr w14:val="tx1"/>
            </w14:solidFill>
          </w14:textFill>
        </w:rPr>
        <w:t>的技术文件</w:t>
      </w:r>
      <w:bookmarkEnd w:id="370"/>
      <w:bookmarkEnd w:id="372"/>
      <w:bookmarkEnd w:id="373"/>
      <w:bookmarkEnd w:id="374"/>
      <w:bookmarkEnd w:id="375"/>
      <w:bookmarkEnd w:id="376"/>
      <w:bookmarkEnd w:id="377"/>
    </w:p>
    <w:p w14:paraId="2E26566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386" w:name="_Toc279850235"/>
      <w:bookmarkStart w:id="387" w:name="_Toc279850648"/>
      <w:bookmarkStart w:id="388" w:name="_Toc278226496"/>
      <w:r>
        <w:rPr>
          <w:rFonts w:eastAsiaTheme="minorEastAsia"/>
          <w:color w:val="000000" w:themeColor="text1"/>
          <w:sz w:val="24"/>
          <w:szCs w:val="24"/>
          <w14:textFill>
            <w14:solidFill>
              <w14:schemeClr w14:val="tx1"/>
            </w14:solidFill>
          </w14:textFill>
        </w:rPr>
        <w:t xml:space="preserve">1.3.1  </w:t>
      </w:r>
      <w:r>
        <w:rPr>
          <w:rFonts w:hint="eastAsia" w:eastAsiaTheme="minorEastAsia"/>
          <w:color w:val="000000" w:themeColor="text1"/>
          <w:sz w:val="24"/>
          <w:szCs w:val="24"/>
          <w14:textFill>
            <w14:solidFill>
              <w14:schemeClr w14:val="tx1"/>
            </w14:solidFill>
          </w14:textFill>
        </w:rPr>
        <w:t>投标方应具备按比例绘制各设备外形尺寸图</w:t>
      </w:r>
      <w:r>
        <w:rPr>
          <w:rFonts w:eastAsiaTheme="minorEastAsia"/>
          <w:color w:val="000000" w:themeColor="text1"/>
          <w:sz w:val="24"/>
          <w:szCs w:val="24"/>
          <w14:textFill>
            <w14:solidFill>
              <w14:schemeClr w14:val="tx1"/>
            </w14:solidFill>
          </w14:textFill>
        </w:rPr>
        <w:t>(AutoCAD</w:t>
      </w:r>
      <w:r>
        <w:rPr>
          <w:rFonts w:hint="eastAsia" w:eastAsiaTheme="minorEastAsia"/>
          <w:color w:val="000000" w:themeColor="text1"/>
          <w:sz w:val="24"/>
          <w:szCs w:val="24"/>
          <w14:textFill>
            <w14:solidFill>
              <w14:schemeClr w14:val="tx1"/>
            </w14:solidFill>
          </w14:textFill>
        </w:rPr>
        <w:t>文件</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及设备三位模型图的能力，</w:t>
      </w:r>
      <w:r>
        <w:rPr>
          <w:rFonts w:eastAsiaTheme="minorEastAsia"/>
          <w:color w:val="000000" w:themeColor="text1"/>
          <w:sz w:val="24"/>
          <w:szCs w:val="24"/>
          <w14:textFill>
            <w14:solidFill>
              <w14:schemeClr w14:val="tx1"/>
            </w14:solidFill>
          </w14:textFill>
        </w:rPr>
        <w:t>具备</w:t>
      </w:r>
      <w:r>
        <w:rPr>
          <w:rFonts w:hint="eastAsia" w:eastAsiaTheme="minorEastAsia"/>
          <w:color w:val="000000" w:themeColor="text1"/>
          <w:sz w:val="24"/>
          <w:szCs w:val="24"/>
          <w14:textFill>
            <w14:solidFill>
              <w14:schemeClr w14:val="tx1"/>
            </w14:solidFill>
          </w14:textFill>
        </w:rPr>
        <w:t>开展</w:t>
      </w:r>
      <w:r>
        <w:rPr>
          <w:rFonts w:eastAsiaTheme="minorEastAsia"/>
          <w:color w:val="000000" w:themeColor="text1"/>
          <w:sz w:val="24"/>
          <w:szCs w:val="24"/>
          <w14:textFill>
            <w14:solidFill>
              <w14:schemeClr w14:val="tx1"/>
            </w14:solidFill>
          </w14:textFill>
        </w:rPr>
        <w:t>暖通专业</w:t>
      </w:r>
      <w:r>
        <w:rPr>
          <w:rFonts w:hint="eastAsia" w:eastAsiaTheme="minorEastAsia"/>
          <w:color w:val="000000" w:themeColor="text1"/>
          <w:sz w:val="24"/>
          <w:szCs w:val="24"/>
          <w14:textFill>
            <w14:solidFill>
              <w14:schemeClr w14:val="tx1"/>
            </w14:solidFill>
          </w14:textFill>
        </w:rPr>
        <w:t>BIM建模</w:t>
      </w:r>
      <w:r>
        <w:rPr>
          <w:rFonts w:eastAsiaTheme="minorEastAsia"/>
          <w:color w:val="000000" w:themeColor="text1"/>
          <w:sz w:val="24"/>
          <w:szCs w:val="24"/>
          <w14:textFill>
            <w14:solidFill>
              <w14:schemeClr w14:val="tx1"/>
            </w14:solidFill>
          </w14:textFill>
        </w:rPr>
        <w:t>能力</w:t>
      </w:r>
      <w:r>
        <w:rPr>
          <w:rFonts w:hint="eastAsia" w:eastAsiaTheme="minorEastAsia"/>
          <w:color w:val="000000" w:themeColor="text1"/>
          <w:sz w:val="24"/>
          <w:szCs w:val="24"/>
          <w14:textFill>
            <w14:solidFill>
              <w14:schemeClr w14:val="tx1"/>
            </w14:solidFill>
          </w14:textFill>
        </w:rPr>
        <w:t>，</w:t>
      </w:r>
      <w:r>
        <w:rPr>
          <w:rFonts w:hint="eastAsia" w:ascii="宋体" w:hAnsi="宋体" w:cs="宋体"/>
          <w:sz w:val="24"/>
          <w:szCs w:val="24"/>
        </w:rPr>
        <w:t>中标后在深化设计阶段积极与各专业配合，利用</w:t>
      </w:r>
      <w:r>
        <w:rPr>
          <w:rFonts w:ascii="宋体" w:hAnsi="宋体" w:cs="宋体"/>
          <w:sz w:val="24"/>
          <w:szCs w:val="24"/>
        </w:rPr>
        <w:t>三维模型</w:t>
      </w:r>
      <w:r>
        <w:rPr>
          <w:rFonts w:hint="eastAsia" w:ascii="宋体" w:hAnsi="宋体" w:cs="宋体"/>
          <w:sz w:val="24"/>
          <w:szCs w:val="24"/>
        </w:rPr>
        <w:t>美化管线布局及提前规避各专业管线碰撞问题</w:t>
      </w:r>
      <w:r>
        <w:rPr>
          <w:rFonts w:hint="eastAsia" w:eastAsiaTheme="minorEastAsia"/>
          <w:color w:val="000000" w:themeColor="text1"/>
          <w:sz w:val="24"/>
          <w:szCs w:val="24"/>
          <w14:textFill>
            <w14:solidFill>
              <w14:schemeClr w14:val="tx1"/>
            </w14:solidFill>
          </w14:textFill>
        </w:rPr>
        <w:t>。</w:t>
      </w:r>
      <w:bookmarkEnd w:id="386"/>
      <w:bookmarkEnd w:id="387"/>
    </w:p>
    <w:p w14:paraId="0FCE675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389" w:name="_Toc15703685"/>
      <w:bookmarkStart w:id="390" w:name="_Toc15699037"/>
      <w:bookmarkStart w:id="391" w:name="_Toc15703965"/>
      <w:bookmarkStart w:id="392" w:name="_Toc279850236"/>
      <w:bookmarkStart w:id="393" w:name="_Toc195501405"/>
      <w:bookmarkStart w:id="394" w:name="_Toc15703864"/>
      <w:bookmarkStart w:id="395" w:name="_Toc115235548"/>
      <w:bookmarkStart w:id="396" w:name="_Toc15703376"/>
      <w:bookmarkStart w:id="397" w:name="_Toc279850649"/>
      <w:r>
        <w:rPr>
          <w:rFonts w:eastAsiaTheme="minorEastAsia"/>
          <w:color w:val="000000" w:themeColor="text1"/>
          <w:sz w:val="24"/>
          <w:szCs w:val="24"/>
          <w14:textFill>
            <w14:solidFill>
              <w14:schemeClr w14:val="tx1"/>
            </w14:solidFill>
          </w14:textFill>
        </w:rPr>
        <w:t xml:space="preserve">1.3.2  </w:t>
      </w:r>
      <w:r>
        <w:rPr>
          <w:rFonts w:hint="eastAsia" w:eastAsiaTheme="minorEastAsia"/>
          <w:color w:val="000000" w:themeColor="text1"/>
          <w:sz w:val="24"/>
          <w:szCs w:val="24"/>
          <w14:textFill>
            <w14:solidFill>
              <w14:schemeClr w14:val="tx1"/>
            </w14:solidFill>
          </w14:textFill>
        </w:rPr>
        <w:t>设计文件的确认</w:t>
      </w:r>
      <w:bookmarkEnd w:id="389"/>
      <w:bookmarkEnd w:id="390"/>
      <w:bookmarkEnd w:id="391"/>
      <w:bookmarkEnd w:id="392"/>
      <w:bookmarkEnd w:id="393"/>
      <w:bookmarkEnd w:id="394"/>
      <w:bookmarkEnd w:id="395"/>
      <w:bookmarkEnd w:id="396"/>
      <w:bookmarkEnd w:id="397"/>
    </w:p>
    <w:p w14:paraId="7C605DD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1.3.2.1  </w:t>
      </w:r>
      <w:r>
        <w:rPr>
          <w:rFonts w:hint="eastAsia" w:eastAsiaTheme="minorEastAsia"/>
          <w:color w:val="000000" w:themeColor="text1"/>
          <w:sz w:val="24"/>
          <w:szCs w:val="24"/>
          <w14:textFill>
            <w14:solidFill>
              <w14:schemeClr w14:val="tx1"/>
            </w14:solidFill>
          </w14:textFill>
        </w:rPr>
        <w:t>所有需经招标方确认的图纸、技术参数和说明书，均应由投标方在合同生效后的</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周内提交给招标方进行审定认可。其中包括多联机空调机组、单元式空调机、分体空调、轴流风机、箱式离心风机等的安装尺寸和重量、安装布置图、技术参数资料等。</w:t>
      </w:r>
    </w:p>
    <w:p w14:paraId="17FCA8A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须确认的图纸应由投标方提交下列单位</w:t>
      </w:r>
      <w:r>
        <w:rPr>
          <w:rFonts w:eastAsiaTheme="minorEastAsia"/>
          <w:color w:val="000000" w:themeColor="text1"/>
          <w:sz w:val="24"/>
          <w:szCs w:val="24"/>
          <w14:textFill>
            <w14:solidFill>
              <w14:schemeClr w14:val="tx1"/>
            </w14:solidFill>
          </w14:textFill>
        </w:rPr>
        <w:t>:</w:t>
      </w:r>
    </w:p>
    <w:p w14:paraId="52DF7E5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p>
    <w:tbl>
      <w:tblPr>
        <w:tblStyle w:val="41"/>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156"/>
        <w:gridCol w:w="4536"/>
        <w:gridCol w:w="1274"/>
        <w:gridCol w:w="1161"/>
      </w:tblGrid>
      <w:tr w14:paraId="71BF6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156" w:type="dxa"/>
            <w:vAlign w:val="center"/>
          </w:tcPr>
          <w:p w14:paraId="62FF923F">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提交图纸资料名称</w:t>
            </w:r>
          </w:p>
        </w:tc>
        <w:tc>
          <w:tcPr>
            <w:tcW w:w="4536" w:type="dxa"/>
            <w:vAlign w:val="center"/>
          </w:tcPr>
          <w:p w14:paraId="019A5A46">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接收图纸单位名称通讯地址、邮编、电话</w:t>
            </w:r>
          </w:p>
        </w:tc>
        <w:tc>
          <w:tcPr>
            <w:tcW w:w="1274" w:type="dxa"/>
            <w:vAlign w:val="center"/>
          </w:tcPr>
          <w:p w14:paraId="1985EBAD">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提交份数</w:t>
            </w:r>
          </w:p>
        </w:tc>
        <w:tc>
          <w:tcPr>
            <w:tcW w:w="1161" w:type="dxa"/>
            <w:vAlign w:val="center"/>
          </w:tcPr>
          <w:p w14:paraId="41AF00D3">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提交时间</w:t>
            </w:r>
          </w:p>
        </w:tc>
      </w:tr>
      <w:tr w14:paraId="131C1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156" w:type="dxa"/>
            <w:vAlign w:val="center"/>
          </w:tcPr>
          <w:p w14:paraId="57E1CDF7">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4536" w:type="dxa"/>
            <w:vAlign w:val="center"/>
          </w:tcPr>
          <w:p w14:paraId="0CA76290">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74" w:type="dxa"/>
            <w:vAlign w:val="center"/>
          </w:tcPr>
          <w:p w14:paraId="0C7CDC06">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161" w:type="dxa"/>
            <w:vAlign w:val="center"/>
          </w:tcPr>
          <w:p w14:paraId="2D117E04">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15250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156" w:type="dxa"/>
            <w:vAlign w:val="center"/>
          </w:tcPr>
          <w:p w14:paraId="388D54EF">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4536" w:type="dxa"/>
            <w:vAlign w:val="center"/>
          </w:tcPr>
          <w:p w14:paraId="21002334">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74" w:type="dxa"/>
            <w:vAlign w:val="center"/>
          </w:tcPr>
          <w:p w14:paraId="1D533538">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161" w:type="dxa"/>
            <w:vAlign w:val="center"/>
          </w:tcPr>
          <w:p w14:paraId="1C2D6915">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161C3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156" w:type="dxa"/>
            <w:vAlign w:val="center"/>
          </w:tcPr>
          <w:p w14:paraId="48601608">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4536" w:type="dxa"/>
            <w:vAlign w:val="center"/>
          </w:tcPr>
          <w:p w14:paraId="293A03B4">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274" w:type="dxa"/>
            <w:vAlign w:val="center"/>
          </w:tcPr>
          <w:p w14:paraId="31ACDF37">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161" w:type="dxa"/>
            <w:vAlign w:val="center"/>
          </w:tcPr>
          <w:p w14:paraId="4FFC1E1E">
            <w:pPr>
              <w:snapToGrid w:val="0"/>
              <w:spacing w:line="480" w:lineRule="atLeast"/>
              <w:jc w:val="center"/>
              <w:rPr>
                <w:rFonts w:eastAsiaTheme="minorEastAsia"/>
                <w:color w:val="000000" w:themeColor="text1"/>
                <w:sz w:val="24"/>
                <w:szCs w:val="24"/>
                <w14:textFill>
                  <w14:solidFill>
                    <w14:schemeClr w14:val="tx1"/>
                  </w14:solidFill>
                </w14:textFill>
              </w:rPr>
            </w:pPr>
          </w:p>
        </w:tc>
      </w:tr>
    </w:tbl>
    <w:p w14:paraId="535AD8F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p>
    <w:p w14:paraId="5F419A9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1.3.2.2  </w:t>
      </w:r>
      <w:r>
        <w:rPr>
          <w:rFonts w:hint="eastAsia" w:eastAsiaTheme="minorEastAsia"/>
          <w:color w:val="000000" w:themeColor="text1"/>
          <w:sz w:val="24"/>
          <w:szCs w:val="24"/>
          <w14:textFill>
            <w14:solidFill>
              <w14:schemeClr w14:val="tx1"/>
            </w14:solidFill>
          </w14:textFill>
        </w:rPr>
        <w:t>招标方在收到需确认的图纸和技术参数资料</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周后，将一套确认的或签有招标方校定标记的图纸和技术参数资料</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招标方负责人签字</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返还给投标方。</w:t>
      </w:r>
    </w:p>
    <w:p w14:paraId="72D5B66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1.3.2.3  </w:t>
      </w:r>
      <w:r>
        <w:rPr>
          <w:rFonts w:hint="eastAsia" w:eastAsiaTheme="minorEastAsia"/>
          <w:color w:val="000000" w:themeColor="text1"/>
          <w:sz w:val="24"/>
          <w:szCs w:val="24"/>
          <w14:textFill>
            <w14:solidFill>
              <w14:schemeClr w14:val="tx1"/>
            </w14:solidFill>
          </w14:textFill>
        </w:rPr>
        <w:t>投标方在收到招标方确认过的图纸和技术参数资料</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包括招标方修正意见</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后，应于</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周内向上述单位提供最终版的正式图纸、接口资料和一套供复制用的底图及正式的</w:t>
      </w:r>
      <w:r>
        <w:rPr>
          <w:rFonts w:eastAsiaTheme="minorEastAsia"/>
          <w:color w:val="000000" w:themeColor="text1"/>
          <w:sz w:val="24"/>
          <w:szCs w:val="24"/>
          <w14:textFill>
            <w14:solidFill>
              <w14:schemeClr w14:val="tx1"/>
            </w14:solidFill>
          </w14:textFill>
        </w:rPr>
        <w:t>AutoCAD</w:t>
      </w:r>
      <w:r>
        <w:rPr>
          <w:rFonts w:hint="eastAsia" w:eastAsiaTheme="minorEastAsia"/>
          <w:color w:val="000000" w:themeColor="text1"/>
          <w:sz w:val="24"/>
          <w:szCs w:val="24"/>
          <w14:textFill>
            <w14:solidFill>
              <w14:schemeClr w14:val="tx1"/>
            </w14:solidFill>
          </w14:textFill>
        </w:rPr>
        <w:t>文件光盘，正式图纸必须加盖供货厂</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商</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公章或签字。</w:t>
      </w:r>
    </w:p>
    <w:p w14:paraId="0BC2814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1.3.2.4  </w:t>
      </w:r>
      <w:r>
        <w:rPr>
          <w:rFonts w:hint="eastAsia" w:eastAsiaTheme="minorEastAsia"/>
          <w:color w:val="000000" w:themeColor="text1"/>
          <w:sz w:val="24"/>
          <w:szCs w:val="24"/>
          <w14:textFill>
            <w14:solidFill>
              <w14:schemeClr w14:val="tx1"/>
            </w14:solidFill>
          </w14:textFill>
        </w:rPr>
        <w:t>投标方对图纸和技术参数资料的任何修改应重新提交招标方确认，确认后投标方应对图纸和技术参数资料重新收编成册，并应按上款的规定正式递交各有关单位。安装后的产品应与最后确认的图纸和技术参数资料一致。</w:t>
      </w:r>
    </w:p>
    <w:p w14:paraId="3FE74DB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1.3.2.5  </w:t>
      </w:r>
      <w:r>
        <w:rPr>
          <w:rFonts w:hint="eastAsia" w:eastAsiaTheme="minorEastAsia"/>
          <w:color w:val="000000" w:themeColor="text1"/>
          <w:sz w:val="24"/>
          <w:szCs w:val="24"/>
          <w14:textFill>
            <w14:solidFill>
              <w14:schemeClr w14:val="tx1"/>
            </w14:solidFill>
          </w14:textFill>
        </w:rPr>
        <w:t>招标方审定时有权提出修改意见。凡招标方认为需要修改，投标方不得对招标方增加费用。在未经招标方对图纸作最后认可前任何采购或加工的材料损失应由投标方单独承担。招标方对图纸的认可并不减轻投标方关于其图纸的正确性的责任。</w:t>
      </w:r>
    </w:p>
    <w:p w14:paraId="279CA6F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1.3.2.6  </w:t>
      </w:r>
      <w:r>
        <w:rPr>
          <w:rFonts w:hint="eastAsia" w:eastAsiaTheme="minorEastAsia"/>
          <w:color w:val="000000" w:themeColor="text1"/>
          <w:sz w:val="24"/>
          <w:szCs w:val="24"/>
          <w14:textFill>
            <w14:solidFill>
              <w14:schemeClr w14:val="tx1"/>
            </w14:solidFill>
          </w14:textFill>
        </w:rPr>
        <w:t>对于下列发生的事项，不应作为投标方提出增加工程费用的理由。</w:t>
      </w:r>
    </w:p>
    <w:p w14:paraId="3FBF2561">
      <w:pPr>
        <w:numPr>
          <w:ilvl w:val="0"/>
          <w:numId w:val="16"/>
        </w:numPr>
        <w:snapToGrid w:val="0"/>
        <w:spacing w:line="480" w:lineRule="atLeast"/>
        <w:ind w:left="0" w:firstLine="480" w:firstLineChars="200"/>
        <w:textAlignment w:val="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招标方有权进行局部小范围内的设计调整、修改。</w:t>
      </w:r>
    </w:p>
    <w:p w14:paraId="2309E28A">
      <w:pPr>
        <w:numPr>
          <w:ilvl w:val="0"/>
          <w:numId w:val="16"/>
        </w:numPr>
        <w:snapToGrid w:val="0"/>
        <w:spacing w:line="480" w:lineRule="atLeast"/>
        <w:ind w:left="0" w:firstLine="480" w:firstLineChars="200"/>
        <w:textAlignment w:val="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招标方的设计文件中有不完善处，投标方应及时向招标方书面提出，招标方将在规定的工作日内提出修改意见。</w:t>
      </w:r>
    </w:p>
    <w:p w14:paraId="4D449BFA">
      <w:pPr>
        <w:numPr>
          <w:ilvl w:val="0"/>
          <w:numId w:val="16"/>
        </w:numPr>
        <w:snapToGrid w:val="0"/>
        <w:spacing w:line="480" w:lineRule="atLeast"/>
        <w:ind w:left="0" w:firstLine="480" w:firstLineChars="200"/>
        <w:textAlignment w:val="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投标方和设备供应商所提供的设备、材料无法达到本规范书要求时，招标方有权提出更换投标方推荐的主要设备、材料供应商，投标方应配合完成。</w:t>
      </w:r>
    </w:p>
    <w:p w14:paraId="5C20A97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398" w:name="_Toc15699038"/>
      <w:bookmarkStart w:id="399" w:name="_Toc15703966"/>
      <w:bookmarkStart w:id="400" w:name="_Toc15703377"/>
      <w:bookmarkStart w:id="401" w:name="_Toc115235549"/>
      <w:bookmarkStart w:id="402" w:name="_Toc15703686"/>
      <w:bookmarkStart w:id="403" w:name="_Toc15703865"/>
      <w:bookmarkStart w:id="404" w:name="_Toc195501406"/>
      <w:bookmarkStart w:id="405" w:name="_Toc279850237"/>
      <w:bookmarkStart w:id="406" w:name="_Toc279850650"/>
      <w:r>
        <w:rPr>
          <w:rFonts w:eastAsiaTheme="minorEastAsia"/>
          <w:color w:val="000000" w:themeColor="text1"/>
          <w:sz w:val="24"/>
          <w:szCs w:val="24"/>
          <w14:textFill>
            <w14:solidFill>
              <w14:schemeClr w14:val="tx1"/>
            </w14:solidFill>
          </w14:textFill>
        </w:rPr>
        <w:t xml:space="preserve">1.3.3  </w:t>
      </w:r>
      <w:r>
        <w:rPr>
          <w:rFonts w:hint="eastAsia" w:eastAsiaTheme="minorEastAsia"/>
          <w:color w:val="000000" w:themeColor="text1"/>
          <w:sz w:val="24"/>
          <w:szCs w:val="24"/>
          <w14:textFill>
            <w14:solidFill>
              <w14:schemeClr w14:val="tx1"/>
            </w14:solidFill>
          </w14:textFill>
        </w:rPr>
        <w:t>图纸</w:t>
      </w:r>
      <w:bookmarkEnd w:id="398"/>
      <w:bookmarkEnd w:id="399"/>
      <w:bookmarkEnd w:id="400"/>
      <w:bookmarkEnd w:id="401"/>
      <w:bookmarkEnd w:id="402"/>
      <w:bookmarkEnd w:id="403"/>
      <w:r>
        <w:rPr>
          <w:rFonts w:hint="eastAsia" w:eastAsiaTheme="minorEastAsia"/>
          <w:color w:val="000000" w:themeColor="text1"/>
          <w:sz w:val="24"/>
          <w:szCs w:val="24"/>
          <w14:textFill>
            <w14:solidFill>
              <w14:schemeClr w14:val="tx1"/>
            </w14:solidFill>
          </w14:textFill>
        </w:rPr>
        <w:t>和技术参数资料</w:t>
      </w:r>
      <w:bookmarkEnd w:id="404"/>
      <w:r>
        <w:rPr>
          <w:rFonts w:hint="eastAsia" w:eastAsiaTheme="minorEastAsia"/>
          <w:color w:val="000000" w:themeColor="text1"/>
          <w:sz w:val="24"/>
          <w:szCs w:val="24"/>
          <w14:textFill>
            <w14:solidFill>
              <w14:schemeClr w14:val="tx1"/>
            </w14:solidFill>
          </w14:textFill>
        </w:rPr>
        <w:t>要求</w:t>
      </w:r>
      <w:bookmarkEnd w:id="405"/>
      <w:bookmarkEnd w:id="406"/>
    </w:p>
    <w:p w14:paraId="6C12771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1.3.3.1  </w:t>
      </w:r>
      <w:r>
        <w:rPr>
          <w:rFonts w:hint="eastAsia" w:eastAsiaTheme="minorEastAsia"/>
          <w:color w:val="000000" w:themeColor="text1"/>
          <w:sz w:val="24"/>
          <w:szCs w:val="24"/>
          <w14:textFill>
            <w14:solidFill>
              <w14:schemeClr w14:val="tx1"/>
            </w14:solidFill>
          </w14:textFill>
        </w:rPr>
        <w:t>图纸的格式：所有图纸均应有标题栏，符号和部件标志清晰、完整，文字采用中文，单位采用</w:t>
      </w:r>
      <w:r>
        <w:rPr>
          <w:rFonts w:eastAsiaTheme="minorEastAsia"/>
          <w:color w:val="000000" w:themeColor="text1"/>
          <w:sz w:val="24"/>
          <w:szCs w:val="24"/>
          <w14:textFill>
            <w14:solidFill>
              <w14:schemeClr w14:val="tx1"/>
            </w14:solidFill>
          </w14:textFill>
        </w:rPr>
        <w:t>SI</w:t>
      </w:r>
      <w:r>
        <w:rPr>
          <w:rFonts w:hint="eastAsia" w:eastAsiaTheme="minorEastAsia"/>
          <w:color w:val="000000" w:themeColor="text1"/>
          <w:sz w:val="24"/>
          <w:szCs w:val="24"/>
          <w14:textFill>
            <w14:solidFill>
              <w14:schemeClr w14:val="tx1"/>
            </w14:solidFill>
          </w14:textFill>
        </w:rPr>
        <w:t>国际单位制。</w:t>
      </w:r>
    </w:p>
    <w:p w14:paraId="1B70DD3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1.3.3.2  </w:t>
      </w:r>
      <w:r>
        <w:rPr>
          <w:rFonts w:hint="eastAsia" w:eastAsiaTheme="minorEastAsia"/>
          <w:color w:val="000000" w:themeColor="text1"/>
          <w:sz w:val="24"/>
          <w:szCs w:val="24"/>
          <w14:textFill>
            <w14:solidFill>
              <w14:schemeClr w14:val="tx1"/>
            </w14:solidFill>
          </w14:textFill>
        </w:rPr>
        <w:t>技术资料要求组织结构清晰、逻辑性强。内容要正确、准确、一致、清晰、完整，满足工程要求。</w:t>
      </w:r>
    </w:p>
    <w:p w14:paraId="53E46C7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1.3.3.3  </w:t>
      </w:r>
      <w:r>
        <w:rPr>
          <w:rFonts w:hint="eastAsia" w:eastAsiaTheme="minorEastAsia"/>
          <w:color w:val="000000" w:themeColor="text1"/>
          <w:sz w:val="24"/>
          <w:szCs w:val="24"/>
          <w14:textFill>
            <w14:solidFill>
              <w14:schemeClr w14:val="tx1"/>
            </w14:solidFill>
          </w14:textFill>
        </w:rPr>
        <w:t>投标方所提供的各种技术资料应能够满足招标方对设计、安装、调试、运行和维护的要求。如果招标方认为所提供的技术资料不能满足要求时，招标方有权提出补充要求，投标方应免费提供所需的各种补充资料。</w:t>
      </w:r>
    </w:p>
    <w:p w14:paraId="7D21DC0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1.3.3.4  </w:t>
      </w:r>
      <w:r>
        <w:rPr>
          <w:rFonts w:hint="eastAsia" w:eastAsiaTheme="minorEastAsia"/>
          <w:color w:val="000000" w:themeColor="text1"/>
          <w:sz w:val="24"/>
          <w:szCs w:val="24"/>
          <w14:textFill>
            <w14:solidFill>
              <w14:schemeClr w14:val="tx1"/>
            </w14:solidFill>
          </w14:textFill>
        </w:rPr>
        <w:t>投标方应提供有关的技术文件及图纸</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包括但不限于</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：其中</w:t>
      </w:r>
      <w:r>
        <w:rPr>
          <w:rFonts w:eastAsiaTheme="minorEastAsia"/>
          <w:color w:val="000000" w:themeColor="text1"/>
          <w:sz w:val="24"/>
          <w:szCs w:val="24"/>
          <w14:textFill>
            <w14:solidFill>
              <w14:schemeClr w14:val="tx1"/>
            </w14:solidFill>
          </w14:textFill>
        </w:rPr>
        <w:t>a</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f</w:t>
      </w:r>
      <w:r>
        <w:rPr>
          <w:rFonts w:hint="eastAsia" w:eastAsiaTheme="minorEastAsia"/>
          <w:color w:val="000000" w:themeColor="text1"/>
          <w:sz w:val="24"/>
          <w:szCs w:val="24"/>
          <w14:textFill>
            <w14:solidFill>
              <w14:schemeClr w14:val="tx1"/>
            </w14:solidFill>
          </w14:textFill>
        </w:rPr>
        <w:t>项在合同签订后</w:t>
      </w:r>
      <w:r>
        <w:rPr>
          <w:rFonts w:eastAsiaTheme="minorEastAsia"/>
          <w:color w:val="000000" w:themeColor="text1"/>
          <w:sz w:val="24"/>
          <w:szCs w:val="24"/>
          <w14:textFill>
            <w14:solidFill>
              <w14:schemeClr w14:val="tx1"/>
            </w14:solidFill>
          </w14:textFill>
        </w:rPr>
        <w:t>10</w:t>
      </w:r>
      <w:r>
        <w:rPr>
          <w:rFonts w:hint="eastAsia" w:eastAsiaTheme="minorEastAsia"/>
          <w:color w:val="000000" w:themeColor="text1"/>
          <w:sz w:val="24"/>
          <w:szCs w:val="24"/>
          <w14:textFill>
            <w14:solidFill>
              <w14:schemeClr w14:val="tx1"/>
            </w14:solidFill>
          </w14:textFill>
        </w:rPr>
        <w:t>天内提供纸质文件</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套，电子文件</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套，，其中</w:t>
      </w:r>
      <w:r>
        <w:rPr>
          <w:rFonts w:eastAsiaTheme="minorEastAsia"/>
          <w:color w:val="000000" w:themeColor="text1"/>
          <w:sz w:val="24"/>
          <w:szCs w:val="24"/>
          <w14:textFill>
            <w14:solidFill>
              <w14:schemeClr w14:val="tx1"/>
            </w14:solidFill>
          </w14:textFill>
        </w:rPr>
        <w:t>g</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k</w:t>
      </w:r>
      <w:r>
        <w:rPr>
          <w:rFonts w:hint="eastAsia" w:eastAsiaTheme="minorEastAsia"/>
          <w:color w:val="000000" w:themeColor="text1"/>
          <w:sz w:val="24"/>
          <w:szCs w:val="24"/>
          <w14:textFill>
            <w14:solidFill>
              <w14:schemeClr w14:val="tx1"/>
            </w14:solidFill>
          </w14:textFill>
        </w:rPr>
        <w:t>项目在合同签订后</w:t>
      </w:r>
      <w:r>
        <w:rPr>
          <w:rFonts w:eastAsiaTheme="minorEastAsia"/>
          <w:color w:val="000000" w:themeColor="text1"/>
          <w:sz w:val="24"/>
          <w:szCs w:val="24"/>
          <w14:textFill>
            <w14:solidFill>
              <w14:schemeClr w14:val="tx1"/>
            </w14:solidFill>
          </w14:textFill>
        </w:rPr>
        <w:t>30</w:t>
      </w:r>
      <w:r>
        <w:rPr>
          <w:rFonts w:hint="eastAsia" w:eastAsiaTheme="minorEastAsia"/>
          <w:color w:val="000000" w:themeColor="text1"/>
          <w:sz w:val="24"/>
          <w:szCs w:val="24"/>
          <w14:textFill>
            <w14:solidFill>
              <w14:schemeClr w14:val="tx1"/>
            </w14:solidFill>
          </w14:textFill>
        </w:rPr>
        <w:t>天内提供纸质文件</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套，电子文件</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套，</w:t>
      </w:r>
      <w:r>
        <w:rPr>
          <w:rFonts w:eastAsiaTheme="minorEastAsia"/>
          <w:color w:val="000000" w:themeColor="text1"/>
          <w:sz w:val="24"/>
          <w:szCs w:val="24"/>
          <w14:textFill>
            <w14:solidFill>
              <w14:schemeClr w14:val="tx1"/>
            </w14:solidFill>
          </w14:textFill>
        </w:rPr>
        <w:t>a</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q</w:t>
      </w:r>
      <w:r>
        <w:rPr>
          <w:rFonts w:hint="eastAsia" w:eastAsiaTheme="minorEastAsia"/>
          <w:color w:val="000000" w:themeColor="text1"/>
          <w:sz w:val="24"/>
          <w:szCs w:val="24"/>
          <w14:textFill>
            <w14:solidFill>
              <w14:schemeClr w14:val="tx1"/>
            </w14:solidFill>
          </w14:textFill>
        </w:rPr>
        <w:t>项随设备发货一并提供纸质文件</w:t>
      </w:r>
      <w:r>
        <w:rPr>
          <w:rFonts w:eastAsiaTheme="minorEastAsia"/>
          <w:color w:val="000000" w:themeColor="text1"/>
          <w:sz w:val="24"/>
          <w:szCs w:val="24"/>
          <w14:textFill>
            <w14:solidFill>
              <w14:schemeClr w14:val="tx1"/>
            </w14:solidFill>
          </w14:textFill>
        </w:rPr>
        <w:t>4</w:t>
      </w:r>
      <w:r>
        <w:rPr>
          <w:rFonts w:hint="eastAsia" w:eastAsiaTheme="minorEastAsia"/>
          <w:color w:val="000000" w:themeColor="text1"/>
          <w:sz w:val="24"/>
          <w:szCs w:val="24"/>
          <w14:textFill>
            <w14:solidFill>
              <w14:schemeClr w14:val="tx1"/>
            </w14:solidFill>
          </w14:textFill>
        </w:rPr>
        <w:t>套，电子文件</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套。</w:t>
      </w:r>
    </w:p>
    <w:p w14:paraId="17021D35">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文件交付时间表；</w:t>
      </w:r>
    </w:p>
    <w:p w14:paraId="4727440F">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采用规范或制造、试验标准的清单；</w:t>
      </w:r>
    </w:p>
    <w:p w14:paraId="486ACA11">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质量控制计划；</w:t>
      </w:r>
    </w:p>
    <w:p w14:paraId="43D6C71E">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设备的主要技术参数、结构示意图、设备（包括配电、控制柜）基础资料及外形尺寸图、每个空调系统总用电负荷及总配电柜进线开关参数；</w:t>
      </w:r>
    </w:p>
    <w:p w14:paraId="21A194AE">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设备主要部件的配置清单及制造商；</w:t>
      </w:r>
    </w:p>
    <w:p w14:paraId="4ED19553">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设备的工作原理流程图；</w:t>
      </w:r>
    </w:p>
    <w:p w14:paraId="595A813E">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设备及管道布置平</w:t>
      </w:r>
      <w:r>
        <w:rPr>
          <w:rFonts w:eastAsiaTheme="minorEastAsia"/>
          <w:color w:val="000000" w:themeColor="text1"/>
          <w:szCs w:val="24"/>
          <w14:textFill>
            <w14:solidFill>
              <w14:schemeClr w14:val="tx1"/>
            </w14:solidFill>
          </w14:textFill>
        </w:rPr>
        <w:t>/</w:t>
      </w:r>
      <w:r>
        <w:rPr>
          <w:rFonts w:hint="eastAsia" w:eastAsiaTheme="minorEastAsia"/>
          <w:color w:val="000000" w:themeColor="text1"/>
          <w:szCs w:val="24"/>
          <w14:textFill>
            <w14:solidFill>
              <w14:schemeClr w14:val="tx1"/>
            </w14:solidFill>
          </w14:textFill>
        </w:rPr>
        <w:t>剖面图、安装图及土建接口资料（包括设备基础、荷重、楼板开孔、屋面开孔、墙上开孔、预埋铁、预埋套管等</w:t>
      </w:r>
      <w:r>
        <w:rPr>
          <w:rFonts w:eastAsiaTheme="minorEastAsia"/>
          <w:color w:val="000000" w:themeColor="text1"/>
          <w:szCs w:val="24"/>
          <w14:textFill>
            <w14:solidFill>
              <w14:schemeClr w14:val="tx1"/>
            </w14:solidFill>
          </w14:textFill>
        </w:rPr>
        <w:t>)</w:t>
      </w:r>
      <w:r>
        <w:rPr>
          <w:rFonts w:hint="eastAsia" w:eastAsiaTheme="minorEastAsia"/>
          <w:color w:val="000000" w:themeColor="text1"/>
          <w:szCs w:val="24"/>
          <w14:textFill>
            <w14:solidFill>
              <w14:schemeClr w14:val="tx1"/>
            </w14:solidFill>
          </w14:textFill>
        </w:rPr>
        <w:t>；</w:t>
      </w:r>
    </w:p>
    <w:p w14:paraId="001D1D8A">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设备的三维模型（电子版，</w:t>
      </w:r>
      <w:r>
        <w:rPr>
          <w:rFonts w:eastAsiaTheme="minorEastAsia"/>
          <w:color w:val="000000" w:themeColor="text1"/>
          <w:szCs w:val="24"/>
          <w14:textFill>
            <w14:solidFill>
              <w14:schemeClr w14:val="tx1"/>
            </w14:solidFill>
          </w14:textFill>
        </w:rPr>
        <w:t>.rvt</w:t>
      </w:r>
      <w:r>
        <w:rPr>
          <w:rFonts w:hint="eastAsia" w:eastAsiaTheme="minorEastAsia"/>
          <w:color w:val="000000" w:themeColor="text1"/>
          <w:szCs w:val="24"/>
          <w14:textFill>
            <w14:solidFill>
              <w14:schemeClr w14:val="tx1"/>
            </w14:solidFill>
          </w14:textFill>
        </w:rPr>
        <w:t>格式文件）</w:t>
      </w:r>
    </w:p>
    <w:p w14:paraId="7802EDD4">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设备及材料清册；</w:t>
      </w:r>
    </w:p>
    <w:p w14:paraId="236ACEC9">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强电：电气原理图、接线图及电缆敷设图，埋管布置图及电缆清册；</w:t>
      </w:r>
    </w:p>
    <w:p w14:paraId="538BC51E">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控制系统：</w:t>
      </w:r>
      <w:r>
        <w:rPr>
          <w:rFonts w:eastAsiaTheme="minorEastAsia"/>
          <w:color w:val="000000" w:themeColor="text1"/>
          <w:szCs w:val="24"/>
          <w14:textFill>
            <w14:solidFill>
              <w14:schemeClr w14:val="tx1"/>
            </w14:solidFill>
          </w14:textFill>
        </w:rPr>
        <w:t>PID</w:t>
      </w:r>
      <w:r>
        <w:rPr>
          <w:rFonts w:hint="eastAsia" w:eastAsiaTheme="minorEastAsia"/>
          <w:color w:val="000000" w:themeColor="text1"/>
          <w:szCs w:val="24"/>
          <w14:textFill>
            <w14:solidFill>
              <w14:schemeClr w14:val="tx1"/>
            </w14:solidFill>
          </w14:textFill>
        </w:rPr>
        <w:t>图、系统配置图、系统操作说明（</w:t>
      </w:r>
      <w:r>
        <w:rPr>
          <w:rFonts w:eastAsiaTheme="minorEastAsia"/>
          <w:color w:val="000000" w:themeColor="text1"/>
          <w:szCs w:val="24"/>
          <w14:textFill>
            <w14:solidFill>
              <w14:schemeClr w14:val="tx1"/>
            </w14:solidFill>
          </w14:textFill>
        </w:rPr>
        <w:t>SOD</w:t>
      </w:r>
      <w:r>
        <w:rPr>
          <w:rFonts w:hint="eastAsia" w:eastAsiaTheme="minorEastAsia"/>
          <w:color w:val="000000" w:themeColor="text1"/>
          <w:szCs w:val="24"/>
          <w14:textFill>
            <w14:solidFill>
              <w14:schemeClr w14:val="tx1"/>
            </w14:solidFill>
          </w14:textFill>
        </w:rPr>
        <w:t>）、设备清单、</w:t>
      </w:r>
      <w:r>
        <w:rPr>
          <w:rFonts w:eastAsiaTheme="minorEastAsia"/>
          <w:color w:val="000000" w:themeColor="text1"/>
          <w:szCs w:val="24"/>
          <w14:textFill>
            <w14:solidFill>
              <w14:schemeClr w14:val="tx1"/>
            </w14:solidFill>
          </w14:textFill>
        </w:rPr>
        <w:t>I/O</w:t>
      </w:r>
      <w:r>
        <w:rPr>
          <w:rFonts w:hint="eastAsia" w:eastAsiaTheme="minorEastAsia"/>
          <w:color w:val="000000" w:themeColor="text1"/>
          <w:szCs w:val="24"/>
          <w14:textFill>
            <w14:solidFill>
              <w14:schemeClr w14:val="tx1"/>
            </w14:solidFill>
          </w14:textFill>
        </w:rPr>
        <w:t>清单、柜内</w:t>
      </w:r>
      <w:r>
        <w:rPr>
          <w:rFonts w:eastAsiaTheme="minorEastAsia"/>
          <w:color w:val="000000" w:themeColor="text1"/>
          <w:szCs w:val="24"/>
          <w14:textFill>
            <w14:solidFill>
              <w14:schemeClr w14:val="tx1"/>
            </w14:solidFill>
          </w14:textFill>
        </w:rPr>
        <w:t>I/O</w:t>
      </w:r>
      <w:r>
        <w:rPr>
          <w:rFonts w:hint="eastAsia" w:eastAsiaTheme="minorEastAsia"/>
          <w:color w:val="000000" w:themeColor="text1"/>
          <w:szCs w:val="24"/>
          <w14:textFill>
            <w14:solidFill>
              <w14:schemeClr w14:val="tx1"/>
            </w14:solidFill>
          </w14:textFill>
        </w:rPr>
        <w:t>接线图、控制接线图（</w:t>
      </w:r>
      <w:r>
        <w:rPr>
          <w:rFonts w:eastAsiaTheme="minorEastAsia"/>
          <w:color w:val="000000" w:themeColor="text1"/>
          <w:szCs w:val="24"/>
          <w14:textFill>
            <w14:solidFill>
              <w14:schemeClr w14:val="tx1"/>
            </w14:solidFill>
          </w14:textFill>
        </w:rPr>
        <w:t>CWD</w:t>
      </w:r>
      <w:r>
        <w:rPr>
          <w:rFonts w:hint="eastAsia" w:eastAsiaTheme="minorEastAsia"/>
          <w:color w:val="000000" w:themeColor="text1"/>
          <w:szCs w:val="24"/>
          <w14:textFill>
            <w14:solidFill>
              <w14:schemeClr w14:val="tx1"/>
            </w14:solidFill>
          </w14:textFill>
        </w:rPr>
        <w:t>）、仪表导管阀门清册、安装要求、接地要求、盘台柜外形图等；</w:t>
      </w:r>
    </w:p>
    <w:p w14:paraId="3415F068">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设备安装说明及安装图；</w:t>
      </w:r>
    </w:p>
    <w:p w14:paraId="48B49DD2">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运行及维护手册</w:t>
      </w:r>
      <w:r>
        <w:rPr>
          <w:rFonts w:eastAsiaTheme="minorEastAsia"/>
          <w:color w:val="000000" w:themeColor="text1"/>
          <w:szCs w:val="24"/>
          <w14:textFill>
            <w14:solidFill>
              <w14:schemeClr w14:val="tx1"/>
            </w14:solidFill>
          </w14:textFill>
        </w:rPr>
        <w:t>(</w:t>
      </w:r>
      <w:r>
        <w:rPr>
          <w:rFonts w:hint="eastAsia" w:eastAsiaTheme="minorEastAsia"/>
          <w:color w:val="000000" w:themeColor="text1"/>
          <w:szCs w:val="24"/>
          <w14:textFill>
            <w14:solidFill>
              <w14:schemeClr w14:val="tx1"/>
            </w14:solidFill>
          </w14:textFill>
        </w:rPr>
        <w:t>包括手册、数据表、维护表、维护工作说明、事件</w:t>
      </w:r>
      <w:r>
        <w:rPr>
          <w:rFonts w:eastAsiaTheme="minorEastAsia"/>
          <w:color w:val="000000" w:themeColor="text1"/>
          <w:szCs w:val="24"/>
          <w14:textFill>
            <w14:solidFill>
              <w14:schemeClr w14:val="tx1"/>
            </w14:solidFill>
          </w14:textFill>
        </w:rPr>
        <w:t>-</w:t>
      </w:r>
      <w:r>
        <w:rPr>
          <w:rFonts w:hint="eastAsia" w:eastAsiaTheme="minorEastAsia"/>
          <w:color w:val="000000" w:themeColor="text1"/>
          <w:szCs w:val="24"/>
          <w14:textFill>
            <w14:solidFill>
              <w14:schemeClr w14:val="tx1"/>
            </w14:solidFill>
          </w14:textFill>
        </w:rPr>
        <w:t>原因</w:t>
      </w:r>
      <w:r>
        <w:rPr>
          <w:rFonts w:eastAsiaTheme="minorEastAsia"/>
          <w:color w:val="000000" w:themeColor="text1"/>
          <w:szCs w:val="24"/>
          <w14:textFill>
            <w14:solidFill>
              <w14:schemeClr w14:val="tx1"/>
            </w14:solidFill>
          </w14:textFill>
        </w:rPr>
        <w:t>-</w:t>
      </w:r>
      <w:r>
        <w:rPr>
          <w:rFonts w:hint="eastAsia" w:eastAsiaTheme="minorEastAsia"/>
          <w:color w:val="000000" w:themeColor="text1"/>
          <w:szCs w:val="24"/>
          <w14:textFill>
            <w14:solidFill>
              <w14:schemeClr w14:val="tx1"/>
            </w14:solidFill>
          </w14:textFill>
        </w:rPr>
        <w:t>解决方案</w:t>
      </w:r>
      <w:r>
        <w:rPr>
          <w:rFonts w:eastAsiaTheme="minorEastAsia"/>
          <w:color w:val="000000" w:themeColor="text1"/>
          <w:szCs w:val="24"/>
          <w14:textFill>
            <w14:solidFill>
              <w14:schemeClr w14:val="tx1"/>
            </w14:solidFill>
          </w14:textFill>
        </w:rPr>
        <w:t>-</w:t>
      </w:r>
      <w:r>
        <w:rPr>
          <w:rFonts w:hint="eastAsia" w:eastAsiaTheme="minorEastAsia"/>
          <w:color w:val="000000" w:themeColor="text1"/>
          <w:szCs w:val="24"/>
          <w14:textFill>
            <w14:solidFill>
              <w14:schemeClr w14:val="tx1"/>
            </w14:solidFill>
          </w14:textFill>
        </w:rPr>
        <w:t>备注等</w:t>
      </w:r>
      <w:r>
        <w:rPr>
          <w:rFonts w:eastAsiaTheme="minorEastAsia"/>
          <w:color w:val="000000" w:themeColor="text1"/>
          <w:szCs w:val="24"/>
          <w14:textFill>
            <w14:solidFill>
              <w14:schemeClr w14:val="tx1"/>
            </w14:solidFill>
          </w14:textFill>
        </w:rPr>
        <w:t>)</w:t>
      </w:r>
      <w:r>
        <w:rPr>
          <w:rFonts w:hint="eastAsia" w:eastAsiaTheme="minorEastAsia"/>
          <w:color w:val="000000" w:themeColor="text1"/>
          <w:szCs w:val="24"/>
          <w14:textFill>
            <w14:solidFill>
              <w14:schemeClr w14:val="tx1"/>
            </w14:solidFill>
          </w14:textFill>
        </w:rPr>
        <w:t>；</w:t>
      </w:r>
    </w:p>
    <w:p w14:paraId="54176B89">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产品质量文件，包括材质、材质检验、焊接、热处理、加工质量、外形尺寸检验报告、水压试验、气密型试验和性能试验报告等、工厂和现场检查和试验计划等；</w:t>
      </w:r>
    </w:p>
    <w:p w14:paraId="21855657">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质量检验合格证；</w:t>
      </w:r>
    </w:p>
    <w:p w14:paraId="134E0CD8">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专用工具及备品备件清单；</w:t>
      </w:r>
    </w:p>
    <w:p w14:paraId="344F67A7">
      <w:pPr>
        <w:pStyle w:val="178"/>
        <w:numPr>
          <w:ilvl w:val="0"/>
          <w:numId w:val="1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每个系统竣工参数和设定表（软件、硬件、仪表）。</w:t>
      </w:r>
    </w:p>
    <w:p w14:paraId="6548397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1.3.3.5  </w:t>
      </w:r>
      <w:r>
        <w:rPr>
          <w:rFonts w:hint="eastAsia" w:eastAsiaTheme="minorEastAsia"/>
          <w:color w:val="000000" w:themeColor="text1"/>
          <w:sz w:val="24"/>
          <w:szCs w:val="24"/>
          <w14:textFill>
            <w14:solidFill>
              <w14:schemeClr w14:val="tx1"/>
            </w14:solidFill>
          </w14:textFill>
        </w:rPr>
        <w:t>设备的设计图纸及资料应至少包括：</w:t>
      </w:r>
    </w:p>
    <w:p w14:paraId="1ED0CB1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）多联机机组</w:t>
      </w:r>
    </w:p>
    <w:p w14:paraId="4B0B204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外形尺寸图</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含接口管径</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、对土建基础的要求（含基础尺寸、荷载、预留孔、预埋铁等）、机组减振资料、配电及控制要求、接地点位置图</w:t>
      </w:r>
    </w:p>
    <w:p w14:paraId="4BA55FF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）风冷热泵型单元式空调机/分体空调</w:t>
      </w:r>
    </w:p>
    <w:p w14:paraId="225EED8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外形尺寸图、基础图、安装图等</w:t>
      </w:r>
    </w:p>
    <w:p w14:paraId="33CACEA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3）排烟风机、轴流风机及箱式离心风机</w:t>
      </w:r>
    </w:p>
    <w:p w14:paraId="066730B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外形尺寸图、风机基座图及风机运行荷载</w:t>
      </w:r>
    </w:p>
    <w:p w14:paraId="3FC4B7F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w:t>
      </w:r>
      <w:r>
        <w:rPr>
          <w:rFonts w:hint="eastAsia" w:eastAsiaTheme="minorEastAsia"/>
          <w:color w:val="000000" w:themeColor="text1"/>
          <w:sz w:val="24"/>
          <w:szCs w:val="24"/>
          <w14:textFill>
            <w14:solidFill>
              <w14:schemeClr w14:val="tx1"/>
            </w14:solidFill>
          </w14:textFill>
        </w:rPr>
        <w:t>）柜式空气处理器及风机盘管</w:t>
      </w:r>
    </w:p>
    <w:p w14:paraId="78D2769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外形尺寸图</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含接口管径</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、设备荷载及固定方式、接地点位置图</w:t>
      </w:r>
    </w:p>
    <w:p w14:paraId="3D1D56D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）通风及空调系统配电</w:t>
      </w:r>
    </w:p>
    <w:p w14:paraId="2999BFB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电气配电原理图、配电柜及配电箱布置图、对土建的要求（含柜体尺寸、荷载、预埋铁以及动力电缆预埋管等）、电缆敷设图、电缆清册、配电柜内元器件表</w:t>
      </w:r>
    </w:p>
    <w:p w14:paraId="0A5D87A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6</w:t>
      </w:r>
      <w:r>
        <w:rPr>
          <w:rFonts w:hint="eastAsia" w:eastAsiaTheme="minorEastAsia"/>
          <w:color w:val="000000" w:themeColor="text1"/>
          <w:sz w:val="24"/>
          <w:szCs w:val="24"/>
          <w14:textFill>
            <w14:solidFill>
              <w14:schemeClr w14:val="tx1"/>
            </w14:solidFill>
          </w14:textFill>
        </w:rPr>
        <w:t>）空调系统自动控制</w:t>
      </w:r>
    </w:p>
    <w:p w14:paraId="412920C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自控原理图、控制柜布置图、对土建的要求（含柜体尺寸、荷载、预埋铁以及控制电缆预埋管等）、电缆敷设图、接线图、电缆清册、自控系统设备及元件表</w:t>
      </w:r>
    </w:p>
    <w:p w14:paraId="61DA49D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7）</w:t>
      </w:r>
      <w:r>
        <w:rPr>
          <w:rFonts w:hint="eastAsia" w:eastAsiaTheme="minorEastAsia"/>
          <w:color w:val="000000" w:themeColor="text1"/>
          <w:sz w:val="24"/>
          <w:szCs w:val="24"/>
          <w14:textFill>
            <w14:solidFill>
              <w14:schemeClr w14:val="tx1"/>
            </w14:solidFill>
          </w14:textFill>
        </w:rPr>
        <w:t>说明书</w:t>
      </w:r>
    </w:p>
    <w:p w14:paraId="3A9AD77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应包括但不限于下列各项：</w:t>
      </w:r>
    </w:p>
    <w:p w14:paraId="6CFBCD1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空调及风机的说明书、安装、运行、维护手册。</w:t>
      </w:r>
    </w:p>
    <w:p w14:paraId="12F897D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所有其他附件的说明书。</w:t>
      </w:r>
    </w:p>
    <w:p w14:paraId="65E5157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特殊工具和仪器，以及相应的说明书、产品样本和手册等。</w:t>
      </w:r>
    </w:p>
    <w:p w14:paraId="6849BFD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备品、备件的详细说明。</w:t>
      </w:r>
    </w:p>
    <w:p w14:paraId="0E5023D0">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407" w:name="_Toc279850652"/>
      <w:bookmarkStart w:id="408" w:name="_Toc279850239"/>
      <w:bookmarkStart w:id="409" w:name="_Toc526064868"/>
      <w:r>
        <w:rPr>
          <w:rFonts w:eastAsiaTheme="minorEastAsia"/>
          <w:bCs/>
          <w:color w:val="000000" w:themeColor="text1"/>
          <w:szCs w:val="24"/>
          <w14:textFill>
            <w14:solidFill>
              <w14:schemeClr w14:val="tx1"/>
            </w14:solidFill>
          </w14:textFill>
        </w:rPr>
        <w:t xml:space="preserve"> </w:t>
      </w:r>
      <w:bookmarkStart w:id="410" w:name="_Toc526079152"/>
      <w:bookmarkStart w:id="411" w:name="_Toc220074792"/>
      <w:bookmarkStart w:id="412" w:name="_Toc526079258"/>
      <w:r>
        <w:rPr>
          <w:rFonts w:hint="eastAsia" w:eastAsiaTheme="minorEastAsia"/>
          <w:bCs/>
          <w:color w:val="000000" w:themeColor="text1"/>
          <w:szCs w:val="24"/>
          <w14:textFill>
            <w14:solidFill>
              <w14:schemeClr w14:val="tx1"/>
            </w14:solidFill>
          </w14:textFill>
        </w:rPr>
        <w:t>必须提交的技术数据和信息</w:t>
      </w:r>
      <w:bookmarkEnd w:id="407"/>
      <w:bookmarkEnd w:id="408"/>
      <w:bookmarkEnd w:id="409"/>
      <w:bookmarkEnd w:id="410"/>
      <w:bookmarkEnd w:id="411"/>
      <w:bookmarkEnd w:id="412"/>
    </w:p>
    <w:p w14:paraId="337AA074">
      <w:pPr>
        <w:pStyle w:val="121"/>
        <w:numPr>
          <w:ilvl w:val="2"/>
          <w:numId w:val="5"/>
        </w:numPr>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413" w:name="_Toc279850240"/>
      <w:bookmarkStart w:id="414" w:name="_Toc279850653"/>
      <w:r>
        <w:rPr>
          <w:rFonts w:hint="eastAsia" w:eastAsiaTheme="minorEastAsia"/>
          <w:b w:val="0"/>
          <w:color w:val="000000" w:themeColor="text1"/>
          <w:szCs w:val="24"/>
          <w14:textFill>
            <w14:solidFill>
              <w14:schemeClr w14:val="tx1"/>
            </w14:solidFill>
          </w14:textFill>
        </w:rPr>
        <w:t>投标方应提供技术规范书中列举的技术数据，投标方提供的技术数据应为能保证装置安全运行的数据，这些数据将作为合同的一部分，任何与这些数据的偏差都应经招标方的同意。</w:t>
      </w:r>
      <w:bookmarkEnd w:id="413"/>
      <w:bookmarkEnd w:id="414"/>
    </w:p>
    <w:p w14:paraId="026A5D55">
      <w:pPr>
        <w:pStyle w:val="121"/>
        <w:numPr>
          <w:ilvl w:val="2"/>
          <w:numId w:val="5"/>
        </w:numPr>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415" w:name="_Toc279850654"/>
      <w:bookmarkStart w:id="416" w:name="_Toc279850241"/>
      <w:r>
        <w:rPr>
          <w:rFonts w:hint="eastAsia" w:eastAsiaTheme="minorEastAsia"/>
          <w:b w:val="0"/>
          <w:color w:val="000000" w:themeColor="text1"/>
          <w:szCs w:val="24"/>
          <w14:textFill>
            <w14:solidFill>
              <w14:schemeClr w14:val="tx1"/>
            </w14:solidFill>
          </w14:textFill>
        </w:rPr>
        <w:t>投标方应提供产品特性参数和其他需要提供的信息。</w:t>
      </w:r>
      <w:bookmarkEnd w:id="415"/>
      <w:bookmarkEnd w:id="416"/>
    </w:p>
    <w:p w14:paraId="458B3B87">
      <w:pPr>
        <w:pStyle w:val="121"/>
        <w:numPr>
          <w:ilvl w:val="2"/>
          <w:numId w:val="5"/>
        </w:numPr>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417" w:name="_Toc279850242"/>
      <w:bookmarkStart w:id="418" w:name="_Toc279850655"/>
      <w:r>
        <w:rPr>
          <w:rFonts w:hint="eastAsia" w:eastAsiaTheme="minorEastAsia"/>
          <w:b w:val="0"/>
          <w:color w:val="000000" w:themeColor="text1"/>
          <w:szCs w:val="24"/>
          <w14:textFill>
            <w14:solidFill>
              <w14:schemeClr w14:val="tx1"/>
            </w14:solidFill>
          </w14:textFill>
        </w:rPr>
        <w:t>当招标方在设计配电、控制保护时，需要与其他设备或系统配合，投标方应提出相关要求，投标方应按要求提供文件和技术数据。</w:t>
      </w:r>
      <w:bookmarkEnd w:id="417"/>
      <w:bookmarkEnd w:id="418"/>
    </w:p>
    <w:p w14:paraId="097785FC">
      <w:pPr>
        <w:pStyle w:val="121"/>
        <w:numPr>
          <w:ilvl w:val="2"/>
          <w:numId w:val="5"/>
        </w:numPr>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所有设备及材料应同时给出单价及总价，投标方应仔细核算完成本规范书要求所需全部材料的规格及数量，充分考虑满足工程的全部要求及相应风险，并留有一定的施工消耗量。投标方中标后，不得以材料单价、规格及数量变化等其它原因调整其中标总价。</w:t>
      </w:r>
    </w:p>
    <w:p w14:paraId="63CD008E">
      <w:pPr>
        <w:pStyle w:val="3"/>
        <w:spacing w:line="480" w:lineRule="atLeast"/>
        <w:rPr>
          <w:color w:val="000000" w:themeColor="text1"/>
          <w14:textFill>
            <w14:solidFill>
              <w14:schemeClr w14:val="tx1"/>
            </w14:solidFill>
          </w14:textFill>
        </w:rPr>
      </w:pPr>
    </w:p>
    <w:p w14:paraId="4A9B2120">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419" w:name="_Toc526064869"/>
      <w:bookmarkStart w:id="420" w:name="_Toc279850243"/>
      <w:bookmarkStart w:id="421" w:name="_Toc279850656"/>
      <w:r>
        <w:rPr>
          <w:rFonts w:eastAsiaTheme="minorEastAsia"/>
          <w:bCs/>
          <w:color w:val="000000" w:themeColor="text1"/>
          <w:szCs w:val="24"/>
          <w14:textFill>
            <w14:solidFill>
              <w14:schemeClr w14:val="tx1"/>
            </w14:solidFill>
          </w14:textFill>
        </w:rPr>
        <w:t xml:space="preserve"> </w:t>
      </w:r>
      <w:bookmarkStart w:id="422" w:name="_Toc526079259"/>
      <w:bookmarkStart w:id="423" w:name="_Toc526079153"/>
      <w:bookmarkStart w:id="424" w:name="_Toc220074793"/>
      <w:r>
        <w:rPr>
          <w:rFonts w:hint="eastAsia" w:eastAsiaTheme="minorEastAsia"/>
          <w:bCs/>
          <w:color w:val="000000" w:themeColor="text1"/>
          <w:szCs w:val="24"/>
          <w14:textFill>
            <w14:solidFill>
              <w14:schemeClr w14:val="tx1"/>
            </w14:solidFill>
          </w14:textFill>
        </w:rPr>
        <w:t>备品备件</w:t>
      </w:r>
      <w:bookmarkEnd w:id="419"/>
      <w:bookmarkEnd w:id="420"/>
      <w:bookmarkEnd w:id="421"/>
      <w:bookmarkEnd w:id="422"/>
      <w:bookmarkEnd w:id="423"/>
      <w:bookmarkEnd w:id="424"/>
    </w:p>
    <w:p w14:paraId="3C52A4CA">
      <w:pPr>
        <w:pStyle w:val="121"/>
        <w:numPr>
          <w:ilvl w:val="2"/>
          <w:numId w:val="5"/>
        </w:numPr>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425" w:name="_Toc279850244"/>
      <w:bookmarkStart w:id="426" w:name="_Toc279850657"/>
      <w:r>
        <w:rPr>
          <w:rFonts w:hint="eastAsia" w:eastAsiaTheme="minorEastAsia"/>
          <w:b w:val="0"/>
          <w:color w:val="000000" w:themeColor="text1"/>
          <w:szCs w:val="24"/>
          <w14:textFill>
            <w14:solidFill>
              <w14:schemeClr w14:val="tx1"/>
            </w14:solidFill>
          </w14:textFill>
        </w:rPr>
        <w:t>投标方应向招标方提供一年运行所需的备品备件。另外，投标方还应向招标方推荐三年运行所需的备品备件清单供投标方挑选。</w:t>
      </w:r>
      <w:bookmarkEnd w:id="425"/>
      <w:bookmarkEnd w:id="426"/>
    </w:p>
    <w:p w14:paraId="49889CE5">
      <w:pPr>
        <w:pStyle w:val="121"/>
        <w:numPr>
          <w:ilvl w:val="2"/>
          <w:numId w:val="5"/>
        </w:numPr>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427" w:name="_Toc279850245"/>
      <w:bookmarkStart w:id="428" w:name="_Toc279850658"/>
      <w:r>
        <w:rPr>
          <w:rFonts w:hint="eastAsia" w:eastAsiaTheme="minorEastAsia"/>
          <w:b w:val="0"/>
          <w:color w:val="000000" w:themeColor="text1"/>
          <w:szCs w:val="24"/>
          <w14:textFill>
            <w14:solidFill>
              <w14:schemeClr w14:val="tx1"/>
            </w14:solidFill>
          </w14:textFill>
        </w:rPr>
        <w:t>投标方为相同型号设备提供的备品备件应可以互换。</w:t>
      </w:r>
      <w:bookmarkEnd w:id="427"/>
      <w:bookmarkEnd w:id="428"/>
    </w:p>
    <w:p w14:paraId="18F7C9EC">
      <w:pPr>
        <w:pStyle w:val="121"/>
        <w:numPr>
          <w:ilvl w:val="2"/>
          <w:numId w:val="5"/>
        </w:numPr>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429" w:name="_Toc279850246"/>
      <w:bookmarkStart w:id="430" w:name="_Toc279850659"/>
      <w:r>
        <w:rPr>
          <w:rFonts w:hint="eastAsia" w:eastAsiaTheme="minorEastAsia"/>
          <w:b w:val="0"/>
          <w:color w:val="000000" w:themeColor="text1"/>
          <w:szCs w:val="24"/>
          <w14:textFill>
            <w14:solidFill>
              <w14:schemeClr w14:val="tx1"/>
            </w14:solidFill>
          </w14:textFill>
        </w:rPr>
        <w:t>对于一年运行所需的备品备件，投标方应分项报价，</w:t>
      </w:r>
      <w:bookmarkEnd w:id="429"/>
      <w:bookmarkEnd w:id="430"/>
      <w:r>
        <w:rPr>
          <w:rFonts w:hint="eastAsia" w:eastAsiaTheme="minorEastAsia"/>
          <w:b w:val="0"/>
          <w:color w:val="000000" w:themeColor="text1"/>
          <w:szCs w:val="24"/>
          <w14:textFill>
            <w14:solidFill>
              <w14:schemeClr w14:val="tx1"/>
            </w14:solidFill>
          </w14:textFill>
        </w:rPr>
        <w:t>费用应包括在投标总价中。</w:t>
      </w:r>
    </w:p>
    <w:p w14:paraId="750A1635">
      <w:pPr>
        <w:pStyle w:val="121"/>
        <w:numPr>
          <w:ilvl w:val="2"/>
          <w:numId w:val="5"/>
        </w:numPr>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431" w:name="_Toc279850660"/>
      <w:bookmarkStart w:id="432" w:name="_Toc279850247"/>
      <w:r>
        <w:rPr>
          <w:rFonts w:hint="eastAsia" w:eastAsiaTheme="minorEastAsia"/>
          <w:b w:val="0"/>
          <w:color w:val="000000" w:themeColor="text1"/>
          <w:szCs w:val="24"/>
          <w14:textFill>
            <w14:solidFill>
              <w14:schemeClr w14:val="tx1"/>
            </w14:solidFill>
          </w14:textFill>
        </w:rPr>
        <w:t>投标方应推荐三年运行可能使用的备品备件，并分别列出其单价和总价供招标方选购。</w:t>
      </w:r>
      <w:bookmarkEnd w:id="431"/>
      <w:bookmarkEnd w:id="432"/>
    </w:p>
    <w:p w14:paraId="1F02E74B">
      <w:pPr>
        <w:pStyle w:val="121"/>
        <w:numPr>
          <w:ilvl w:val="2"/>
          <w:numId w:val="5"/>
        </w:numPr>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433" w:name="_Toc279850661"/>
      <w:bookmarkStart w:id="434" w:name="_Toc279850248"/>
      <w:r>
        <w:rPr>
          <w:rFonts w:hint="eastAsia" w:eastAsiaTheme="minorEastAsia"/>
          <w:b w:val="0"/>
          <w:color w:val="000000" w:themeColor="text1"/>
          <w:szCs w:val="24"/>
          <w14:textFill>
            <w14:solidFill>
              <w14:schemeClr w14:val="tx1"/>
            </w14:solidFill>
          </w14:textFill>
        </w:rPr>
        <w:t>所有备品备件应为全新产品</w:t>
      </w:r>
      <w:r>
        <w:rPr>
          <w:rFonts w:eastAsiaTheme="minorEastAsia"/>
          <w:b w:val="0"/>
          <w:color w:val="000000" w:themeColor="text1"/>
          <w:szCs w:val="24"/>
          <w14:textFill>
            <w14:solidFill>
              <w14:schemeClr w14:val="tx1"/>
            </w14:solidFill>
          </w14:textFill>
        </w:rPr>
        <w:t xml:space="preserve">, </w:t>
      </w:r>
      <w:r>
        <w:rPr>
          <w:rFonts w:hint="eastAsia" w:eastAsiaTheme="minorEastAsia"/>
          <w:b w:val="0"/>
          <w:color w:val="000000" w:themeColor="text1"/>
          <w:szCs w:val="24"/>
          <w14:textFill>
            <w14:solidFill>
              <w14:schemeClr w14:val="tx1"/>
            </w14:solidFill>
          </w14:textFill>
        </w:rPr>
        <w:t>与已经安装设备的相应部件能够互换，具有相同的规格材质和制造工艺。</w:t>
      </w:r>
      <w:bookmarkEnd w:id="433"/>
      <w:bookmarkEnd w:id="434"/>
    </w:p>
    <w:p w14:paraId="4D6FDB6C">
      <w:pPr>
        <w:pStyle w:val="121"/>
        <w:numPr>
          <w:ilvl w:val="2"/>
          <w:numId w:val="5"/>
        </w:numPr>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435" w:name="_Toc279850249"/>
      <w:bookmarkStart w:id="436" w:name="_Toc279850662"/>
      <w:r>
        <w:rPr>
          <w:rFonts w:hint="eastAsia" w:eastAsiaTheme="minorEastAsia"/>
          <w:b w:val="0"/>
          <w:color w:val="000000" w:themeColor="text1"/>
          <w:szCs w:val="24"/>
          <w14:textFill>
            <w14:solidFill>
              <w14:schemeClr w14:val="tx1"/>
            </w14:solidFill>
          </w14:textFill>
        </w:rPr>
        <w:t>所有备品备件应装在箱内，防尘、防潮、防止损坏等与主设备一并发运，并标注</w:t>
      </w:r>
      <w:r>
        <w:rPr>
          <w:rFonts w:eastAsiaTheme="minorEastAsia"/>
          <w:b w:val="0"/>
          <w:color w:val="000000" w:themeColor="text1"/>
          <w:szCs w:val="24"/>
          <w14:textFill>
            <w14:solidFill>
              <w14:schemeClr w14:val="tx1"/>
            </w14:solidFill>
          </w14:textFill>
        </w:rPr>
        <w:t>“</w:t>
      </w:r>
      <w:r>
        <w:rPr>
          <w:rFonts w:hint="eastAsia" w:eastAsiaTheme="minorEastAsia"/>
          <w:b w:val="0"/>
          <w:color w:val="000000" w:themeColor="text1"/>
          <w:szCs w:val="24"/>
          <w14:textFill>
            <w14:solidFill>
              <w14:schemeClr w14:val="tx1"/>
            </w14:solidFill>
          </w14:textFill>
        </w:rPr>
        <w:t>备品备件</w:t>
      </w:r>
      <w:r>
        <w:rPr>
          <w:rFonts w:eastAsiaTheme="minorEastAsia"/>
          <w:b w:val="0"/>
          <w:color w:val="000000" w:themeColor="text1"/>
          <w:szCs w:val="24"/>
          <w14:textFill>
            <w14:solidFill>
              <w14:schemeClr w14:val="tx1"/>
            </w14:solidFill>
          </w14:textFill>
        </w:rPr>
        <w:t>”</w:t>
      </w:r>
      <w:r>
        <w:rPr>
          <w:rFonts w:hint="eastAsia" w:eastAsiaTheme="minorEastAsia"/>
          <w:b w:val="0"/>
          <w:color w:val="000000" w:themeColor="text1"/>
          <w:szCs w:val="24"/>
          <w14:textFill>
            <w14:solidFill>
              <w14:schemeClr w14:val="tx1"/>
            </w14:solidFill>
          </w14:textFill>
        </w:rPr>
        <w:t>以区别主设备或本体。</w:t>
      </w:r>
      <w:bookmarkEnd w:id="435"/>
      <w:bookmarkEnd w:id="436"/>
    </w:p>
    <w:p w14:paraId="57419A65">
      <w:pPr>
        <w:pStyle w:val="3"/>
        <w:spacing w:line="480" w:lineRule="atLeast"/>
        <w:rPr>
          <w:color w:val="000000" w:themeColor="text1"/>
          <w14:textFill>
            <w14:solidFill>
              <w14:schemeClr w14:val="tx1"/>
            </w14:solidFill>
          </w14:textFill>
        </w:rPr>
      </w:pPr>
    </w:p>
    <w:p w14:paraId="0ACCFE92">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437" w:name="_Toc279850250"/>
      <w:bookmarkStart w:id="438" w:name="_Toc279850663"/>
      <w:bookmarkStart w:id="439" w:name="_Toc526064870"/>
      <w:r>
        <w:rPr>
          <w:rFonts w:eastAsiaTheme="minorEastAsia"/>
          <w:bCs/>
          <w:color w:val="000000" w:themeColor="text1"/>
          <w:szCs w:val="24"/>
          <w14:textFill>
            <w14:solidFill>
              <w14:schemeClr w14:val="tx1"/>
            </w14:solidFill>
          </w14:textFill>
        </w:rPr>
        <w:t xml:space="preserve"> </w:t>
      </w:r>
      <w:bookmarkStart w:id="440" w:name="_Toc220074794"/>
      <w:bookmarkStart w:id="441" w:name="_Toc526079260"/>
      <w:bookmarkStart w:id="442" w:name="_Toc526079154"/>
      <w:r>
        <w:rPr>
          <w:rFonts w:hint="eastAsia" w:eastAsiaTheme="minorEastAsia"/>
          <w:bCs/>
          <w:color w:val="000000" w:themeColor="text1"/>
          <w:szCs w:val="24"/>
          <w14:textFill>
            <w14:solidFill>
              <w14:schemeClr w14:val="tx1"/>
            </w14:solidFill>
          </w14:textFill>
        </w:rPr>
        <w:t>专用工具与仪器仪表</w:t>
      </w:r>
      <w:bookmarkEnd w:id="437"/>
      <w:bookmarkEnd w:id="438"/>
      <w:bookmarkEnd w:id="439"/>
      <w:bookmarkEnd w:id="440"/>
      <w:bookmarkEnd w:id="441"/>
      <w:bookmarkEnd w:id="442"/>
    </w:p>
    <w:p w14:paraId="754ECD66">
      <w:pPr>
        <w:pStyle w:val="121"/>
        <w:numPr>
          <w:ilvl w:val="2"/>
          <w:numId w:val="5"/>
        </w:numPr>
        <w:tabs>
          <w:tab w:val="left" w:pos="1276"/>
        </w:tabs>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443" w:name="_Toc279850664"/>
      <w:bookmarkStart w:id="444" w:name="_Toc279850251"/>
      <w:r>
        <w:rPr>
          <w:rFonts w:hint="eastAsia" w:eastAsiaTheme="minorEastAsia"/>
          <w:b w:val="0"/>
          <w:color w:val="000000" w:themeColor="text1"/>
          <w:szCs w:val="24"/>
          <w14:textFill>
            <w14:solidFill>
              <w14:schemeClr w14:val="tx1"/>
            </w14:solidFill>
          </w14:textFill>
        </w:rPr>
        <w:t>投标方应提供运行及检修时必需的专用工具和仪器仪表，并分项列出其单价和总价，费用应包括在投标总价中。</w:t>
      </w:r>
      <w:bookmarkEnd w:id="443"/>
      <w:bookmarkEnd w:id="444"/>
    </w:p>
    <w:p w14:paraId="6B2AC241">
      <w:pPr>
        <w:pStyle w:val="121"/>
        <w:numPr>
          <w:ilvl w:val="2"/>
          <w:numId w:val="5"/>
        </w:numPr>
        <w:tabs>
          <w:tab w:val="left" w:pos="1276"/>
        </w:tabs>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445" w:name="_Toc279850666"/>
      <w:bookmarkStart w:id="446" w:name="_Toc279850253"/>
      <w:r>
        <w:rPr>
          <w:rFonts w:hint="eastAsia" w:eastAsiaTheme="minorEastAsia"/>
          <w:b w:val="0"/>
          <w:color w:val="000000" w:themeColor="text1"/>
          <w:szCs w:val="24"/>
          <w14:textFill>
            <w14:solidFill>
              <w14:schemeClr w14:val="tx1"/>
            </w14:solidFill>
          </w14:textFill>
        </w:rPr>
        <w:t>投标方应推荐可能使用的专用工具和仪器仪表，并分别列出其单价和总价，供招标方选购。</w:t>
      </w:r>
      <w:bookmarkEnd w:id="445"/>
      <w:bookmarkEnd w:id="446"/>
    </w:p>
    <w:p w14:paraId="626B2FB9">
      <w:pPr>
        <w:pStyle w:val="121"/>
        <w:numPr>
          <w:ilvl w:val="2"/>
          <w:numId w:val="5"/>
        </w:numPr>
        <w:tabs>
          <w:tab w:val="left" w:pos="1276"/>
        </w:tabs>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447" w:name="_Toc279850667"/>
      <w:bookmarkStart w:id="448" w:name="_Toc279850254"/>
      <w:r>
        <w:rPr>
          <w:rFonts w:hint="eastAsia" w:eastAsiaTheme="minorEastAsia"/>
          <w:b w:val="0"/>
          <w:color w:val="000000" w:themeColor="text1"/>
          <w:szCs w:val="24"/>
          <w14:textFill>
            <w14:solidFill>
              <w14:schemeClr w14:val="tx1"/>
            </w14:solidFill>
          </w14:textFill>
        </w:rPr>
        <w:t>所有专用工具与仪器仪表必须是全新的、先进的且须附详细使用说明资料。</w:t>
      </w:r>
      <w:bookmarkEnd w:id="447"/>
      <w:bookmarkEnd w:id="448"/>
    </w:p>
    <w:p w14:paraId="4512ACA4">
      <w:pPr>
        <w:pStyle w:val="121"/>
        <w:numPr>
          <w:ilvl w:val="2"/>
          <w:numId w:val="5"/>
        </w:numPr>
        <w:tabs>
          <w:tab w:val="left" w:pos="1276"/>
        </w:tabs>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449" w:name="_Toc279850255"/>
      <w:bookmarkStart w:id="450" w:name="_Toc279850668"/>
      <w:r>
        <w:rPr>
          <w:rFonts w:hint="eastAsia" w:eastAsiaTheme="minorEastAsia"/>
          <w:b w:val="0"/>
          <w:color w:val="000000" w:themeColor="text1"/>
          <w:szCs w:val="24"/>
          <w14:textFill>
            <w14:solidFill>
              <w14:schemeClr w14:val="tx1"/>
            </w14:solidFill>
          </w14:textFill>
        </w:rPr>
        <w:t>专用工具与仪器应装于箱内，注明</w:t>
      </w:r>
      <w:r>
        <w:rPr>
          <w:rFonts w:eastAsiaTheme="minorEastAsia"/>
          <w:b w:val="0"/>
          <w:color w:val="000000" w:themeColor="text1"/>
          <w:szCs w:val="24"/>
          <w14:textFill>
            <w14:solidFill>
              <w14:schemeClr w14:val="tx1"/>
            </w14:solidFill>
          </w14:textFill>
        </w:rPr>
        <w:t>“</w:t>
      </w:r>
      <w:r>
        <w:rPr>
          <w:rFonts w:hint="eastAsia" w:eastAsiaTheme="minorEastAsia"/>
          <w:b w:val="0"/>
          <w:color w:val="000000" w:themeColor="text1"/>
          <w:szCs w:val="24"/>
          <w14:textFill>
            <w14:solidFill>
              <w14:schemeClr w14:val="tx1"/>
            </w14:solidFill>
          </w14:textFill>
        </w:rPr>
        <w:t>专用工具</w:t>
      </w:r>
      <w:r>
        <w:rPr>
          <w:rFonts w:eastAsiaTheme="minorEastAsia"/>
          <w:b w:val="0"/>
          <w:color w:val="000000" w:themeColor="text1"/>
          <w:szCs w:val="24"/>
          <w14:textFill>
            <w14:solidFill>
              <w14:schemeClr w14:val="tx1"/>
            </w14:solidFill>
          </w14:textFill>
        </w:rPr>
        <w:t>”“</w:t>
      </w:r>
      <w:r>
        <w:rPr>
          <w:rFonts w:hint="eastAsia" w:eastAsiaTheme="minorEastAsia"/>
          <w:b w:val="0"/>
          <w:color w:val="000000" w:themeColor="text1"/>
          <w:szCs w:val="24"/>
          <w14:textFill>
            <w14:solidFill>
              <w14:schemeClr w14:val="tx1"/>
            </w14:solidFill>
          </w14:textFill>
        </w:rPr>
        <w:t>仪器</w:t>
      </w:r>
      <w:r>
        <w:rPr>
          <w:rFonts w:eastAsiaTheme="minorEastAsia"/>
          <w:b w:val="0"/>
          <w:color w:val="000000" w:themeColor="text1"/>
          <w:szCs w:val="24"/>
          <w14:textFill>
            <w14:solidFill>
              <w14:schemeClr w14:val="tx1"/>
            </w14:solidFill>
          </w14:textFill>
        </w:rPr>
        <w:t>”</w:t>
      </w:r>
      <w:r>
        <w:rPr>
          <w:rFonts w:hint="eastAsia" w:eastAsiaTheme="minorEastAsia"/>
          <w:b w:val="0"/>
          <w:color w:val="000000" w:themeColor="text1"/>
          <w:szCs w:val="24"/>
          <w14:textFill>
            <w14:solidFill>
              <w14:schemeClr w14:val="tx1"/>
            </w14:solidFill>
          </w14:textFill>
        </w:rPr>
        <w:t>，并标明防潮、防尘、易碎、向上、勿倒置等字样，同主设备一并发运。</w:t>
      </w:r>
      <w:bookmarkEnd w:id="449"/>
      <w:bookmarkEnd w:id="450"/>
    </w:p>
    <w:p w14:paraId="7875E0A6">
      <w:pPr>
        <w:pStyle w:val="3"/>
        <w:spacing w:line="480" w:lineRule="atLeast"/>
        <w:rPr>
          <w:color w:val="000000" w:themeColor="text1"/>
          <w14:textFill>
            <w14:solidFill>
              <w14:schemeClr w14:val="tx1"/>
            </w14:solidFill>
          </w14:textFill>
        </w:rPr>
      </w:pPr>
      <w:bookmarkStart w:id="451" w:name="_Toc279850265"/>
      <w:bookmarkStart w:id="452" w:name="_Toc279850678"/>
    </w:p>
    <w:p w14:paraId="5D382EAC">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453" w:name="_Toc526064873"/>
      <w:r>
        <w:rPr>
          <w:rFonts w:eastAsiaTheme="minorEastAsia"/>
          <w:bCs/>
          <w:color w:val="000000" w:themeColor="text1"/>
          <w:szCs w:val="24"/>
          <w14:textFill>
            <w14:solidFill>
              <w14:schemeClr w14:val="tx1"/>
            </w14:solidFill>
          </w14:textFill>
        </w:rPr>
        <w:t xml:space="preserve"> </w:t>
      </w:r>
      <w:bookmarkStart w:id="454" w:name="_Toc526079263"/>
      <w:bookmarkStart w:id="455" w:name="_Toc220074795"/>
      <w:bookmarkStart w:id="456" w:name="_Toc526079157"/>
      <w:r>
        <w:rPr>
          <w:rFonts w:hint="eastAsia" w:eastAsiaTheme="minorEastAsia"/>
          <w:bCs/>
          <w:color w:val="000000" w:themeColor="text1"/>
          <w:szCs w:val="24"/>
          <w14:textFill>
            <w14:solidFill>
              <w14:schemeClr w14:val="tx1"/>
            </w14:solidFill>
          </w14:textFill>
        </w:rPr>
        <w:t>标准</w:t>
      </w:r>
      <w:bookmarkEnd w:id="451"/>
      <w:bookmarkEnd w:id="452"/>
      <w:r>
        <w:rPr>
          <w:rFonts w:hint="eastAsia" w:eastAsiaTheme="minorEastAsia"/>
          <w:bCs/>
          <w:color w:val="000000" w:themeColor="text1"/>
          <w:szCs w:val="24"/>
          <w14:textFill>
            <w14:solidFill>
              <w14:schemeClr w14:val="tx1"/>
            </w14:solidFill>
          </w14:textFill>
        </w:rPr>
        <w:t>和规范</w:t>
      </w:r>
      <w:bookmarkEnd w:id="453"/>
      <w:bookmarkEnd w:id="454"/>
      <w:bookmarkEnd w:id="455"/>
      <w:bookmarkEnd w:id="456"/>
    </w:p>
    <w:p w14:paraId="4F636BC1">
      <w:pPr>
        <w:pStyle w:val="121"/>
        <w:numPr>
          <w:ilvl w:val="2"/>
          <w:numId w:val="5"/>
        </w:numPr>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457" w:name="_Toc279850271"/>
      <w:bookmarkStart w:id="458" w:name="_Toc282788472"/>
      <w:bookmarkStart w:id="459" w:name="_Toc279850684"/>
      <w:r>
        <w:rPr>
          <w:rFonts w:hint="eastAsia" w:eastAsiaTheme="minorEastAsia"/>
          <w:b w:val="0"/>
          <w:color w:val="000000" w:themeColor="text1"/>
          <w:szCs w:val="24"/>
          <w14:textFill>
            <w14:solidFill>
              <w14:schemeClr w14:val="tx1"/>
            </w14:solidFill>
          </w14:textFill>
        </w:rPr>
        <w:t>合同设备，包括投标方向其他厂商购买的所有附件和设备，应符合相应的标准、规范或法规的最新版本或其修正本的要求，除非另有特别说明，应包括在报价期内有效的任何修正和补充。</w:t>
      </w:r>
    </w:p>
    <w:p w14:paraId="34299AD7">
      <w:pPr>
        <w:pStyle w:val="121"/>
        <w:numPr>
          <w:ilvl w:val="2"/>
          <w:numId w:val="5"/>
        </w:numPr>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除非合同另有规定，均须遵守最新的国家标准（</w:t>
      </w:r>
      <w:r>
        <w:rPr>
          <w:rFonts w:eastAsiaTheme="minorEastAsia"/>
          <w:b w:val="0"/>
          <w:color w:val="000000" w:themeColor="text1"/>
          <w:szCs w:val="24"/>
          <w14:textFill>
            <w14:solidFill>
              <w14:schemeClr w14:val="tx1"/>
            </w14:solidFill>
          </w14:textFill>
        </w:rPr>
        <w:t>GB</w:t>
      </w:r>
      <w:r>
        <w:rPr>
          <w:rFonts w:hint="eastAsia" w:eastAsiaTheme="minorEastAsia"/>
          <w:b w:val="0"/>
          <w:color w:val="000000" w:themeColor="text1"/>
          <w:szCs w:val="24"/>
          <w14:textFill>
            <w14:solidFill>
              <w14:schemeClr w14:val="tx1"/>
            </w14:solidFill>
          </w14:textFill>
        </w:rPr>
        <w:t>）、电力行业标准（</w:t>
      </w:r>
      <w:r>
        <w:rPr>
          <w:rFonts w:eastAsiaTheme="minorEastAsia"/>
          <w:b w:val="0"/>
          <w:color w:val="000000" w:themeColor="text1"/>
          <w:szCs w:val="24"/>
          <w14:textFill>
            <w14:solidFill>
              <w14:schemeClr w14:val="tx1"/>
            </w14:solidFill>
          </w14:textFill>
        </w:rPr>
        <w:t>DL</w:t>
      </w:r>
      <w:r>
        <w:rPr>
          <w:rFonts w:hint="eastAsia" w:eastAsiaTheme="minorEastAsia"/>
          <w:b w:val="0"/>
          <w:color w:val="000000" w:themeColor="text1"/>
          <w:szCs w:val="24"/>
          <w14:textFill>
            <w14:solidFill>
              <w14:schemeClr w14:val="tx1"/>
            </w14:solidFill>
          </w14:textFill>
        </w:rPr>
        <w:t>）、南方电网企业标准、国际电工委员会</w:t>
      </w:r>
      <w:r>
        <w:rPr>
          <w:rFonts w:eastAsiaTheme="minorEastAsia"/>
          <w:b w:val="0"/>
          <w:color w:val="000000" w:themeColor="text1"/>
          <w:szCs w:val="24"/>
          <w14:textFill>
            <w14:solidFill>
              <w14:schemeClr w14:val="tx1"/>
            </w14:solidFill>
          </w14:textFill>
        </w:rPr>
        <w:t>(IEC)</w:t>
      </w:r>
      <w:r>
        <w:rPr>
          <w:rFonts w:hint="eastAsia" w:eastAsiaTheme="minorEastAsia"/>
          <w:b w:val="0"/>
          <w:color w:val="000000" w:themeColor="text1"/>
          <w:szCs w:val="24"/>
          <w14:textFill>
            <w14:solidFill>
              <w14:schemeClr w14:val="tx1"/>
            </w14:solidFill>
          </w14:textFill>
        </w:rPr>
        <w:t>标准以及国际单位制（</w:t>
      </w:r>
      <w:r>
        <w:rPr>
          <w:rFonts w:eastAsiaTheme="minorEastAsia"/>
          <w:b w:val="0"/>
          <w:color w:val="000000" w:themeColor="text1"/>
          <w:szCs w:val="24"/>
          <w14:textFill>
            <w14:solidFill>
              <w14:schemeClr w14:val="tx1"/>
            </w14:solidFill>
          </w14:textFill>
        </w:rPr>
        <w:t>SI</w:t>
      </w:r>
      <w:r>
        <w:rPr>
          <w:rFonts w:hint="eastAsia" w:eastAsiaTheme="minorEastAsia"/>
          <w:b w:val="0"/>
          <w:color w:val="000000" w:themeColor="text1"/>
          <w:szCs w:val="24"/>
          <w14:textFill>
            <w14:solidFill>
              <w14:schemeClr w14:val="tx1"/>
            </w14:solidFill>
          </w14:textFill>
        </w:rPr>
        <w:t>）标准。如果这些标准内容有矛盾时</w:t>
      </w:r>
      <w:r>
        <w:rPr>
          <w:rFonts w:eastAsiaTheme="minorEastAsia"/>
          <w:b w:val="0"/>
          <w:color w:val="000000" w:themeColor="text1"/>
          <w:szCs w:val="24"/>
          <w14:textFill>
            <w14:solidFill>
              <w14:schemeClr w14:val="tx1"/>
            </w14:solidFill>
          </w14:textFill>
        </w:rPr>
        <w:t xml:space="preserve">, </w:t>
      </w:r>
      <w:r>
        <w:rPr>
          <w:rFonts w:hint="eastAsia" w:eastAsiaTheme="minorEastAsia"/>
          <w:b w:val="0"/>
          <w:color w:val="000000" w:themeColor="text1"/>
          <w:szCs w:val="24"/>
          <w14:textFill>
            <w14:solidFill>
              <w14:schemeClr w14:val="tx1"/>
            </w14:solidFill>
          </w14:textFill>
        </w:rPr>
        <w:t>应按最高标准的条款执行或按双方商定的标准执行。如果投标方选用本规范书规定以外的标准时</w:t>
      </w:r>
      <w:r>
        <w:rPr>
          <w:rFonts w:eastAsiaTheme="minorEastAsia"/>
          <w:b w:val="0"/>
          <w:color w:val="000000" w:themeColor="text1"/>
          <w:szCs w:val="24"/>
          <w14:textFill>
            <w14:solidFill>
              <w14:schemeClr w14:val="tx1"/>
            </w14:solidFill>
          </w14:textFill>
        </w:rPr>
        <w:t xml:space="preserve">, </w:t>
      </w:r>
      <w:r>
        <w:rPr>
          <w:rFonts w:hint="eastAsia" w:eastAsiaTheme="minorEastAsia"/>
          <w:b w:val="0"/>
          <w:color w:val="000000" w:themeColor="text1"/>
          <w:szCs w:val="24"/>
          <w14:textFill>
            <w14:solidFill>
              <w14:schemeClr w14:val="tx1"/>
            </w14:solidFill>
          </w14:textFill>
        </w:rPr>
        <w:t>则需提交这种替换标准供审查和分析。仅在投标方已证明替换标准相当或优于标书规定的标准</w:t>
      </w:r>
      <w:r>
        <w:rPr>
          <w:rFonts w:eastAsiaTheme="minorEastAsia"/>
          <w:b w:val="0"/>
          <w:color w:val="000000" w:themeColor="text1"/>
          <w:szCs w:val="24"/>
          <w14:textFill>
            <w14:solidFill>
              <w14:schemeClr w14:val="tx1"/>
            </w14:solidFill>
          </w14:textFill>
        </w:rPr>
        <w:t xml:space="preserve">, </w:t>
      </w:r>
      <w:r>
        <w:rPr>
          <w:rFonts w:hint="eastAsia" w:eastAsiaTheme="minorEastAsia"/>
          <w:b w:val="0"/>
          <w:color w:val="000000" w:themeColor="text1"/>
          <w:szCs w:val="24"/>
          <w14:textFill>
            <w14:solidFill>
              <w14:schemeClr w14:val="tx1"/>
            </w14:solidFill>
          </w14:textFill>
        </w:rPr>
        <w:t>并从招标方处获得书面的认可才能使用。提交供审查的标准应为中文或英文版本。</w:t>
      </w:r>
    </w:p>
    <w:p w14:paraId="3B25E7C6">
      <w:pPr>
        <w:pStyle w:val="121"/>
        <w:numPr>
          <w:ilvl w:val="2"/>
          <w:numId w:val="5"/>
        </w:numPr>
        <w:snapToGrid w:val="0"/>
        <w:spacing w:line="480" w:lineRule="atLeast"/>
        <w:ind w:left="0" w:firstLine="480" w:firstLineChars="200"/>
        <w:rPr>
          <w:color w:val="000000" w:themeColor="text1"/>
          <w14:textFill>
            <w14:solidFill>
              <w14:schemeClr w14:val="tx1"/>
            </w14:solidFill>
          </w14:textFill>
        </w:rPr>
      </w:pPr>
      <w:r>
        <w:rPr>
          <w:rFonts w:hint="eastAsia" w:eastAsiaTheme="minorEastAsia"/>
          <w:b w:val="0"/>
          <w:color w:val="000000" w:themeColor="text1"/>
          <w:szCs w:val="24"/>
          <w14:textFill>
            <w14:solidFill>
              <w14:schemeClr w14:val="tx1"/>
            </w14:solidFill>
          </w14:textFill>
        </w:rPr>
        <w:t>如果能使设备良好地、连续地在本规范所规定的条件下运行，根据制造商的意见并经招标方认可，招标方可以使用性能更优或更为经济的设计或材料。</w:t>
      </w:r>
    </w:p>
    <w:p w14:paraId="38395D3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p>
    <w:p w14:paraId="0BB9C8FF">
      <w:pPr>
        <w:pStyle w:val="121"/>
        <w:snapToGrid w:val="0"/>
        <w:spacing w:line="480" w:lineRule="atLeast"/>
        <w:ind w:left="0" w:firstLine="482" w:firstLineChars="200"/>
        <w:outlineLvl w:val="0"/>
        <w:rPr>
          <w:rFonts w:eastAsiaTheme="minorEastAsia"/>
          <w:color w:val="000000" w:themeColor="text1"/>
          <w:szCs w:val="24"/>
          <w14:textFill>
            <w14:solidFill>
              <w14:schemeClr w14:val="tx1"/>
            </w14:solidFill>
          </w14:textFill>
        </w:rPr>
      </w:pPr>
      <w:bookmarkStart w:id="460" w:name="_Toc526079265"/>
      <w:bookmarkStart w:id="461" w:name="_Toc220074796"/>
      <w:bookmarkStart w:id="462" w:name="_Toc526079159"/>
      <w:bookmarkStart w:id="463" w:name="_Toc526064875"/>
      <w:r>
        <w:rPr>
          <w:rFonts w:hint="eastAsia" w:eastAsiaTheme="minorEastAsia"/>
          <w:color w:val="000000" w:themeColor="text1"/>
          <w:szCs w:val="24"/>
          <w14:textFill>
            <w14:solidFill>
              <w14:schemeClr w14:val="tx1"/>
            </w14:solidFill>
          </w14:textFill>
        </w:rPr>
        <w:t>工程概况</w:t>
      </w:r>
      <w:bookmarkEnd w:id="457"/>
      <w:bookmarkEnd w:id="458"/>
      <w:bookmarkEnd w:id="459"/>
      <w:bookmarkEnd w:id="460"/>
      <w:bookmarkEnd w:id="461"/>
      <w:bookmarkEnd w:id="462"/>
      <w:bookmarkEnd w:id="463"/>
    </w:p>
    <w:p w14:paraId="71609315">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464" w:name="_Toc279850685"/>
      <w:bookmarkStart w:id="465" w:name="_Toc279850272"/>
      <w:bookmarkStart w:id="466" w:name="_Toc285541732"/>
      <w:bookmarkStart w:id="467" w:name="_Toc48291211"/>
      <w:bookmarkStart w:id="468" w:name="_Toc220074797"/>
      <w:r>
        <w:rPr>
          <w:rFonts w:hint="eastAsia" w:eastAsiaTheme="minorEastAsia"/>
          <w:bCs/>
          <w:color w:val="000000" w:themeColor="text1"/>
          <w:szCs w:val="24"/>
          <w14:textFill>
            <w14:solidFill>
              <w14:schemeClr w14:val="tx1"/>
            </w14:solidFill>
          </w14:textFill>
        </w:rPr>
        <w:t>项目名称</w:t>
      </w:r>
      <w:bookmarkEnd w:id="464"/>
      <w:bookmarkEnd w:id="465"/>
      <w:bookmarkEnd w:id="466"/>
      <w:bookmarkEnd w:id="467"/>
      <w:bookmarkEnd w:id="468"/>
    </w:p>
    <w:p w14:paraId="20F79287">
      <w:pPr>
        <w:spacing w:line="460" w:lineRule="exact"/>
        <w:ind w:firstLine="480" w:firstLineChars="200"/>
        <w:rPr>
          <w:rFonts w:ascii="宋体" w:hAnsi="宋体" w:cs="宋体"/>
          <w:sz w:val="24"/>
          <w:szCs w:val="24"/>
        </w:rPr>
      </w:pPr>
      <w:bookmarkStart w:id="469" w:name="_Toc279850686"/>
      <w:bookmarkStart w:id="470" w:name="_Toc285541733"/>
      <w:bookmarkStart w:id="471" w:name="_Toc279850273"/>
      <w:r>
        <w:rPr>
          <w:rFonts w:hint="eastAsia" w:ascii="宋体" w:hAnsi="宋体"/>
          <w:sz w:val="24"/>
          <w:szCs w:val="24"/>
        </w:rPr>
        <w:t>湖南-贵州电力灵活互济工程 湘黔背靠背换流站</w:t>
      </w:r>
    </w:p>
    <w:p w14:paraId="54BD0F4C">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472" w:name="_Toc48291212"/>
      <w:bookmarkStart w:id="473" w:name="_Toc220074798"/>
      <w:r>
        <w:rPr>
          <w:rFonts w:hint="eastAsia" w:eastAsiaTheme="minorEastAsia"/>
          <w:bCs/>
          <w:color w:val="000000" w:themeColor="text1"/>
          <w:szCs w:val="24"/>
          <w14:textFill>
            <w14:solidFill>
              <w14:schemeClr w14:val="tx1"/>
            </w14:solidFill>
          </w14:textFill>
        </w:rPr>
        <w:t>项目单位</w:t>
      </w:r>
      <w:bookmarkEnd w:id="469"/>
      <w:bookmarkEnd w:id="470"/>
      <w:bookmarkEnd w:id="471"/>
      <w:bookmarkEnd w:id="472"/>
      <w:bookmarkEnd w:id="473"/>
    </w:p>
    <w:p w14:paraId="7400B0AC">
      <w:pPr>
        <w:pStyle w:val="56"/>
        <w:spacing w:line="360" w:lineRule="auto"/>
        <w:ind w:firstLine="480" w:firstLineChars="200"/>
        <w:rPr>
          <w:rFonts w:cs="宋体"/>
          <w:b w:val="0"/>
          <w:color w:val="auto"/>
          <w:spacing w:val="10"/>
        </w:rPr>
      </w:pPr>
      <w:r>
        <w:rPr>
          <w:rFonts w:hint="eastAsia"/>
          <w:b w:val="0"/>
        </w:rPr>
        <w:t>南方电网公司超高压贵阳局</w:t>
      </w:r>
    </w:p>
    <w:p w14:paraId="59869D0F">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474" w:name="_Toc220074799"/>
      <w:bookmarkStart w:id="475" w:name="_Toc279850274"/>
      <w:bookmarkStart w:id="476" w:name="_Toc279850687"/>
      <w:bookmarkStart w:id="477" w:name="_Toc285541734"/>
      <w:bookmarkStart w:id="478" w:name="_Toc48291213"/>
      <w:r>
        <w:rPr>
          <w:rFonts w:hint="eastAsia" w:eastAsiaTheme="minorEastAsia"/>
          <w:bCs/>
          <w:color w:val="000000" w:themeColor="text1"/>
          <w:szCs w:val="24"/>
          <w14:textFill>
            <w14:solidFill>
              <w14:schemeClr w14:val="tx1"/>
            </w14:solidFill>
          </w14:textFill>
        </w:rPr>
        <w:t>工程规模</w:t>
      </w:r>
      <w:bookmarkEnd w:id="474"/>
      <w:bookmarkEnd w:id="475"/>
      <w:bookmarkEnd w:id="476"/>
      <w:bookmarkEnd w:id="477"/>
      <w:bookmarkEnd w:id="478"/>
    </w:p>
    <w:p w14:paraId="400C636B">
      <w:pPr>
        <w:pStyle w:val="121"/>
        <w:numPr>
          <w:ilvl w:val="0"/>
          <w:numId w:val="0"/>
        </w:numPr>
        <w:ind w:left="425"/>
        <w:jc w:val="center"/>
        <w:rPr>
          <w:rFonts w:ascii="宋体" w:hAnsi="宋体"/>
          <w:b w:val="0"/>
          <w:color w:val="000000"/>
          <w:kern w:val="2"/>
          <w:szCs w:val="24"/>
        </w:rPr>
      </w:pPr>
      <w:bookmarkStart w:id="479" w:name="_Toc279850275"/>
      <w:bookmarkStart w:id="480" w:name="_Toc48291214"/>
      <w:bookmarkStart w:id="481" w:name="_Toc285541735"/>
      <w:bookmarkStart w:id="482" w:name="_Toc279850688"/>
      <w:r>
        <w:rPr>
          <w:rFonts w:hint="eastAsia" w:ascii="宋体" w:hAnsi="宋体"/>
          <w:b w:val="0"/>
          <w:color w:val="000000"/>
          <w:kern w:val="2"/>
          <w:szCs w:val="24"/>
        </w:rPr>
        <w:t>湘黔背靠背换流站</w:t>
      </w:r>
      <w:r>
        <w:rPr>
          <w:rFonts w:ascii="宋体" w:hAnsi="宋体"/>
          <w:b w:val="0"/>
          <w:color w:val="000000"/>
          <w:kern w:val="2"/>
          <w:szCs w:val="24"/>
        </w:rPr>
        <w:t>建设规模如下：</w:t>
      </w:r>
    </w:p>
    <w:tbl>
      <w:tblPr>
        <w:tblStyle w:val="41"/>
        <w:tblW w:w="836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1415"/>
        <w:gridCol w:w="1732"/>
        <w:gridCol w:w="2489"/>
        <w:gridCol w:w="9"/>
        <w:gridCol w:w="22"/>
        <w:gridCol w:w="2694"/>
      </w:tblGrid>
      <w:tr w14:paraId="05D5B44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cantSplit/>
          <w:tblHeader/>
          <w:jc w:val="center"/>
        </w:trPr>
        <w:tc>
          <w:tcPr>
            <w:tcW w:w="3147" w:type="dxa"/>
            <w:gridSpan w:val="2"/>
            <w:vAlign w:val="center"/>
          </w:tcPr>
          <w:p w14:paraId="364EE88C">
            <w:pPr>
              <w:snapToGrid w:val="0"/>
              <w:ind w:firstLine="480"/>
              <w:rPr>
                <w:szCs w:val="22"/>
              </w:rPr>
            </w:pPr>
            <w:r>
              <w:rPr>
                <w:rFonts w:hint="eastAsia"/>
                <w:szCs w:val="22"/>
              </w:rPr>
              <w:t>建设内容</w:t>
            </w:r>
          </w:p>
        </w:tc>
        <w:tc>
          <w:tcPr>
            <w:tcW w:w="2520" w:type="dxa"/>
            <w:gridSpan w:val="3"/>
            <w:vAlign w:val="center"/>
          </w:tcPr>
          <w:p w14:paraId="0C3C1330">
            <w:pPr>
              <w:snapToGrid w:val="0"/>
              <w:ind w:firstLine="480"/>
              <w:jc w:val="center"/>
              <w:rPr>
                <w:szCs w:val="22"/>
              </w:rPr>
            </w:pPr>
            <w:r>
              <w:rPr>
                <w:szCs w:val="22"/>
              </w:rPr>
              <w:t>本期</w:t>
            </w:r>
          </w:p>
        </w:tc>
        <w:tc>
          <w:tcPr>
            <w:tcW w:w="2694" w:type="dxa"/>
            <w:vAlign w:val="center"/>
          </w:tcPr>
          <w:p w14:paraId="77B8C11F">
            <w:pPr>
              <w:snapToGrid w:val="0"/>
              <w:ind w:firstLine="480"/>
              <w:jc w:val="center"/>
              <w:rPr>
                <w:szCs w:val="22"/>
              </w:rPr>
            </w:pPr>
            <w:r>
              <w:rPr>
                <w:szCs w:val="22"/>
              </w:rPr>
              <w:t>远期</w:t>
            </w:r>
          </w:p>
        </w:tc>
      </w:tr>
      <w:tr w14:paraId="3955524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cantSplit/>
          <w:trHeight w:val="835" w:hRule="atLeast"/>
          <w:jc w:val="center"/>
        </w:trPr>
        <w:tc>
          <w:tcPr>
            <w:tcW w:w="1415" w:type="dxa"/>
            <w:vMerge w:val="restart"/>
            <w:vAlign w:val="center"/>
          </w:tcPr>
          <w:p w14:paraId="7272D97E">
            <w:pPr>
              <w:snapToGrid w:val="0"/>
              <w:rPr>
                <w:szCs w:val="22"/>
              </w:rPr>
            </w:pPr>
            <w:r>
              <w:rPr>
                <w:szCs w:val="22"/>
              </w:rPr>
              <w:t>直流部分</w:t>
            </w:r>
          </w:p>
        </w:tc>
        <w:tc>
          <w:tcPr>
            <w:tcW w:w="1732" w:type="dxa"/>
            <w:vAlign w:val="center"/>
          </w:tcPr>
          <w:p w14:paraId="3B0EA9B7">
            <w:pPr>
              <w:snapToGrid w:val="0"/>
              <w:rPr>
                <w:szCs w:val="22"/>
              </w:rPr>
            </w:pPr>
            <w:r>
              <w:rPr>
                <w:szCs w:val="22"/>
              </w:rPr>
              <w:t>换流阀</w:t>
            </w:r>
          </w:p>
        </w:tc>
        <w:tc>
          <w:tcPr>
            <w:tcW w:w="5214" w:type="dxa"/>
            <w:gridSpan w:val="4"/>
            <w:vAlign w:val="center"/>
          </w:tcPr>
          <w:p w14:paraId="3C919D89">
            <w:pPr>
              <w:snapToGrid w:val="0"/>
              <w:rPr>
                <w:szCs w:val="22"/>
              </w:rPr>
            </w:pPr>
            <w:r>
              <w:rPr>
                <w:szCs w:val="22"/>
              </w:rPr>
              <w:t>2×1500MW柔性</w:t>
            </w:r>
            <w:r>
              <w:rPr>
                <w:rFonts w:hint="eastAsia"/>
                <w:szCs w:val="22"/>
              </w:rPr>
              <w:t>直流背靠背</w:t>
            </w:r>
            <w:r>
              <w:rPr>
                <w:szCs w:val="22"/>
              </w:rPr>
              <w:t>换流单元，采用模块化多电平结构，支撑布置，水冷却</w:t>
            </w:r>
          </w:p>
        </w:tc>
      </w:tr>
      <w:tr w14:paraId="2443B1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cantSplit/>
          <w:jc w:val="center"/>
        </w:trPr>
        <w:tc>
          <w:tcPr>
            <w:tcW w:w="1415" w:type="dxa"/>
            <w:vMerge w:val="continue"/>
            <w:vAlign w:val="center"/>
          </w:tcPr>
          <w:p w14:paraId="19417E61">
            <w:pPr>
              <w:snapToGrid w:val="0"/>
              <w:ind w:firstLine="420"/>
              <w:rPr>
                <w:szCs w:val="22"/>
              </w:rPr>
            </w:pPr>
          </w:p>
        </w:tc>
        <w:tc>
          <w:tcPr>
            <w:tcW w:w="1732" w:type="dxa"/>
            <w:vAlign w:val="center"/>
          </w:tcPr>
          <w:p w14:paraId="0099FEE6">
            <w:pPr>
              <w:snapToGrid w:val="0"/>
              <w:rPr>
                <w:szCs w:val="22"/>
              </w:rPr>
            </w:pPr>
            <w:r>
              <w:rPr>
                <w:szCs w:val="22"/>
              </w:rPr>
              <w:t>联接变压器</w:t>
            </w:r>
          </w:p>
        </w:tc>
        <w:tc>
          <w:tcPr>
            <w:tcW w:w="5214" w:type="dxa"/>
            <w:gridSpan w:val="4"/>
            <w:vAlign w:val="center"/>
          </w:tcPr>
          <w:p w14:paraId="2ED45EC0">
            <w:pPr>
              <w:snapToGrid w:val="0"/>
              <w:rPr>
                <w:szCs w:val="22"/>
              </w:rPr>
            </w:pPr>
            <w:r>
              <w:rPr>
                <w:rFonts w:hint="eastAsia"/>
                <w:szCs w:val="22"/>
              </w:rPr>
              <w:t>单</w:t>
            </w:r>
            <w:r>
              <w:rPr>
                <w:szCs w:val="22"/>
              </w:rPr>
              <w:t>相双绕组变压器，容量按</w:t>
            </w:r>
            <w:r>
              <w:rPr>
                <w:rFonts w:hint="eastAsia"/>
                <w:szCs w:val="22"/>
              </w:rPr>
              <w:t>（1</w:t>
            </w:r>
            <w:r>
              <w:rPr>
                <w:szCs w:val="22"/>
              </w:rPr>
              <w:t>2+1</w:t>
            </w:r>
            <w:r>
              <w:rPr>
                <w:rFonts w:hint="eastAsia"/>
                <w:szCs w:val="22"/>
              </w:rPr>
              <w:t>）</w:t>
            </w:r>
            <w:r>
              <w:rPr>
                <w:szCs w:val="22"/>
              </w:rPr>
              <w:t>×5</w:t>
            </w:r>
            <w:r>
              <w:rPr>
                <w:rFonts w:hint="eastAsia"/>
                <w:szCs w:val="22"/>
                <w:lang w:eastAsia="zh"/>
              </w:rPr>
              <w:t>50</w:t>
            </w:r>
            <w:r>
              <w:rPr>
                <w:szCs w:val="22"/>
              </w:rPr>
              <w:t>MVA</w:t>
            </w:r>
          </w:p>
        </w:tc>
      </w:tr>
      <w:tr w14:paraId="4F435B6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cantSplit/>
          <w:jc w:val="center"/>
        </w:trPr>
        <w:tc>
          <w:tcPr>
            <w:tcW w:w="1415" w:type="dxa"/>
            <w:vMerge w:val="continue"/>
            <w:vAlign w:val="center"/>
          </w:tcPr>
          <w:p w14:paraId="53EF5255">
            <w:pPr>
              <w:snapToGrid w:val="0"/>
              <w:rPr>
                <w:szCs w:val="22"/>
              </w:rPr>
            </w:pPr>
          </w:p>
        </w:tc>
        <w:tc>
          <w:tcPr>
            <w:tcW w:w="1732" w:type="dxa"/>
            <w:vAlign w:val="center"/>
          </w:tcPr>
          <w:p w14:paraId="1F367B6F">
            <w:pPr>
              <w:snapToGrid w:val="0"/>
              <w:rPr>
                <w:szCs w:val="22"/>
              </w:rPr>
            </w:pPr>
            <w:r>
              <w:rPr>
                <w:szCs w:val="22"/>
              </w:rPr>
              <w:t>桥臂电抗器</w:t>
            </w:r>
          </w:p>
        </w:tc>
        <w:tc>
          <w:tcPr>
            <w:tcW w:w="5214" w:type="dxa"/>
            <w:gridSpan w:val="4"/>
            <w:vAlign w:val="center"/>
          </w:tcPr>
          <w:p w14:paraId="082A0661">
            <w:pPr>
              <w:snapToGrid w:val="0"/>
              <w:rPr>
                <w:szCs w:val="22"/>
              </w:rPr>
            </w:pPr>
            <w:r>
              <w:rPr>
                <w:szCs w:val="22"/>
              </w:rPr>
              <w:t>干式空心，额定容量按</w:t>
            </w:r>
            <w:r>
              <w:rPr>
                <w:rFonts w:hint="eastAsia"/>
                <w:szCs w:val="22"/>
              </w:rPr>
              <w:t>（</w:t>
            </w:r>
            <w:r>
              <w:rPr>
                <w:szCs w:val="22"/>
              </w:rPr>
              <w:t>24+1）×5</w:t>
            </w:r>
            <w:r>
              <w:rPr>
                <w:rFonts w:hint="eastAsia"/>
                <w:szCs w:val="22"/>
                <w:lang w:eastAsia="zh"/>
              </w:rPr>
              <w:t>0</w:t>
            </w:r>
            <w:r>
              <w:rPr>
                <w:szCs w:val="22"/>
              </w:rPr>
              <w:t>mH</w:t>
            </w:r>
          </w:p>
        </w:tc>
      </w:tr>
      <w:tr w14:paraId="60A9E47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cantSplit/>
          <w:jc w:val="center"/>
        </w:trPr>
        <w:tc>
          <w:tcPr>
            <w:tcW w:w="1415" w:type="dxa"/>
            <w:vMerge w:val="restart"/>
            <w:vAlign w:val="center"/>
          </w:tcPr>
          <w:p w14:paraId="66175A88">
            <w:pPr>
              <w:snapToGrid w:val="0"/>
              <w:ind w:firstLine="210" w:firstLineChars="100"/>
              <w:rPr>
                <w:szCs w:val="22"/>
              </w:rPr>
            </w:pPr>
            <w:r>
              <w:rPr>
                <w:szCs w:val="22"/>
              </w:rPr>
              <w:t>交流部分</w:t>
            </w:r>
          </w:p>
        </w:tc>
        <w:tc>
          <w:tcPr>
            <w:tcW w:w="1732" w:type="dxa"/>
            <w:vAlign w:val="center"/>
          </w:tcPr>
          <w:p w14:paraId="28F90FDD">
            <w:pPr>
              <w:snapToGrid w:val="0"/>
              <w:rPr>
                <w:szCs w:val="22"/>
              </w:rPr>
            </w:pPr>
            <w:r>
              <w:rPr>
                <w:rFonts w:hint="eastAsia"/>
                <w:szCs w:val="22"/>
              </w:rPr>
              <w:t>湖南侧</w:t>
            </w:r>
          </w:p>
          <w:p w14:paraId="75E25FCF">
            <w:pPr>
              <w:snapToGrid w:val="0"/>
              <w:rPr>
                <w:szCs w:val="22"/>
              </w:rPr>
            </w:pPr>
            <w:r>
              <w:rPr>
                <w:szCs w:val="22"/>
              </w:rPr>
              <w:t>500kV出线</w:t>
            </w:r>
          </w:p>
        </w:tc>
        <w:tc>
          <w:tcPr>
            <w:tcW w:w="2489" w:type="dxa"/>
            <w:tcBorders>
              <w:right w:val="single" w:color="auto" w:sz="4" w:space="0"/>
            </w:tcBorders>
            <w:vAlign w:val="center"/>
          </w:tcPr>
          <w:p w14:paraId="08826FD4">
            <w:pPr>
              <w:snapToGrid w:val="0"/>
              <w:rPr>
                <w:szCs w:val="22"/>
              </w:rPr>
            </w:pPr>
            <w:r>
              <w:rPr>
                <w:szCs w:val="22"/>
              </w:rPr>
              <w:t>共2回：至</w:t>
            </w:r>
            <w:r>
              <w:rPr>
                <w:rFonts w:hint="eastAsia"/>
                <w:szCs w:val="22"/>
              </w:rPr>
              <w:t>边城及牌楼</w:t>
            </w:r>
          </w:p>
        </w:tc>
        <w:tc>
          <w:tcPr>
            <w:tcW w:w="2725" w:type="dxa"/>
            <w:gridSpan w:val="3"/>
            <w:tcBorders>
              <w:left w:val="single" w:color="auto" w:sz="4" w:space="0"/>
            </w:tcBorders>
            <w:vAlign w:val="center"/>
          </w:tcPr>
          <w:p w14:paraId="0F08D396">
            <w:pPr>
              <w:snapToGrid w:val="0"/>
              <w:rPr>
                <w:szCs w:val="22"/>
              </w:rPr>
            </w:pPr>
            <w:r>
              <w:rPr>
                <w:szCs w:val="22"/>
              </w:rPr>
              <w:t>共2回：至</w:t>
            </w:r>
            <w:r>
              <w:rPr>
                <w:rFonts w:hint="eastAsia"/>
                <w:szCs w:val="22"/>
              </w:rPr>
              <w:t>边城及牌楼</w:t>
            </w:r>
          </w:p>
        </w:tc>
      </w:tr>
      <w:tr w14:paraId="6411B46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cantSplit/>
          <w:jc w:val="center"/>
        </w:trPr>
        <w:tc>
          <w:tcPr>
            <w:tcW w:w="1415" w:type="dxa"/>
            <w:vMerge w:val="continue"/>
            <w:vAlign w:val="center"/>
          </w:tcPr>
          <w:p w14:paraId="70AF04FE">
            <w:pPr>
              <w:snapToGrid w:val="0"/>
              <w:ind w:firstLine="480"/>
              <w:rPr>
                <w:szCs w:val="22"/>
              </w:rPr>
            </w:pPr>
          </w:p>
        </w:tc>
        <w:tc>
          <w:tcPr>
            <w:tcW w:w="1732" w:type="dxa"/>
            <w:vAlign w:val="center"/>
          </w:tcPr>
          <w:p w14:paraId="055F7AF7">
            <w:pPr>
              <w:snapToGrid w:val="0"/>
              <w:rPr>
                <w:szCs w:val="22"/>
              </w:rPr>
            </w:pPr>
            <w:r>
              <w:rPr>
                <w:rFonts w:hint="eastAsia"/>
                <w:szCs w:val="22"/>
              </w:rPr>
              <w:t>贵州侧</w:t>
            </w:r>
          </w:p>
          <w:p w14:paraId="3AFCFE6B">
            <w:pPr>
              <w:snapToGrid w:val="0"/>
              <w:rPr>
                <w:szCs w:val="22"/>
              </w:rPr>
            </w:pPr>
            <w:r>
              <w:rPr>
                <w:szCs w:val="22"/>
              </w:rPr>
              <w:t>500kV出线</w:t>
            </w:r>
          </w:p>
        </w:tc>
        <w:tc>
          <w:tcPr>
            <w:tcW w:w="2489" w:type="dxa"/>
            <w:tcBorders>
              <w:right w:val="single" w:color="auto" w:sz="4" w:space="0"/>
            </w:tcBorders>
            <w:vAlign w:val="center"/>
          </w:tcPr>
          <w:p w14:paraId="16B91A8D">
            <w:pPr>
              <w:snapToGrid w:val="0"/>
              <w:rPr>
                <w:szCs w:val="22"/>
              </w:rPr>
            </w:pPr>
            <w:r>
              <w:rPr>
                <w:rFonts w:hint="eastAsia"/>
                <w:szCs w:val="22"/>
              </w:rPr>
              <w:t>共4回，至铜仁2回，至碧江2回</w:t>
            </w:r>
          </w:p>
        </w:tc>
        <w:tc>
          <w:tcPr>
            <w:tcW w:w="2725" w:type="dxa"/>
            <w:gridSpan w:val="3"/>
            <w:tcBorders>
              <w:left w:val="single" w:color="auto" w:sz="4" w:space="0"/>
            </w:tcBorders>
            <w:vAlign w:val="center"/>
          </w:tcPr>
          <w:p w14:paraId="563C583B">
            <w:pPr>
              <w:snapToGrid w:val="0"/>
              <w:rPr>
                <w:szCs w:val="22"/>
              </w:rPr>
            </w:pPr>
            <w:r>
              <w:rPr>
                <w:rFonts w:hint="eastAsia"/>
                <w:szCs w:val="22"/>
              </w:rPr>
              <w:t>共8回：至铜仁2回，至碧江2回，预留4回</w:t>
            </w:r>
          </w:p>
        </w:tc>
      </w:tr>
      <w:tr w14:paraId="253804D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cantSplit/>
          <w:jc w:val="center"/>
        </w:trPr>
        <w:tc>
          <w:tcPr>
            <w:tcW w:w="1415" w:type="dxa"/>
            <w:vMerge w:val="continue"/>
            <w:vAlign w:val="center"/>
          </w:tcPr>
          <w:p w14:paraId="164400D6">
            <w:pPr>
              <w:snapToGrid w:val="0"/>
              <w:ind w:firstLine="480"/>
              <w:rPr>
                <w:szCs w:val="22"/>
              </w:rPr>
            </w:pPr>
          </w:p>
        </w:tc>
        <w:tc>
          <w:tcPr>
            <w:tcW w:w="1732" w:type="dxa"/>
            <w:vAlign w:val="center"/>
          </w:tcPr>
          <w:p w14:paraId="49E0C48B">
            <w:pPr>
              <w:snapToGrid w:val="0"/>
              <w:rPr>
                <w:szCs w:val="22"/>
              </w:rPr>
            </w:pPr>
            <w:r>
              <w:rPr>
                <w:rFonts w:hint="eastAsia"/>
                <w:szCs w:val="22"/>
              </w:rPr>
              <w:t>5</w:t>
            </w:r>
            <w:r>
              <w:rPr>
                <w:szCs w:val="22"/>
              </w:rPr>
              <w:t>00</w:t>
            </w:r>
            <w:r>
              <w:rPr>
                <w:rFonts w:hint="eastAsia"/>
                <w:szCs w:val="22"/>
              </w:rPr>
              <w:t>kV降压变</w:t>
            </w:r>
          </w:p>
        </w:tc>
        <w:tc>
          <w:tcPr>
            <w:tcW w:w="5214" w:type="dxa"/>
            <w:gridSpan w:val="4"/>
            <w:vAlign w:val="center"/>
          </w:tcPr>
          <w:p w14:paraId="4EE0E82E">
            <w:pPr>
              <w:snapToGrid w:val="0"/>
              <w:rPr>
                <w:szCs w:val="22"/>
              </w:rPr>
            </w:pPr>
            <w:r>
              <w:rPr>
                <w:rFonts w:hint="eastAsia"/>
                <w:szCs w:val="22"/>
              </w:rPr>
              <w:t>共1台：5</w:t>
            </w:r>
            <w:r>
              <w:rPr>
                <w:szCs w:val="22"/>
              </w:rPr>
              <w:t>25/35kV</w:t>
            </w:r>
            <w:r>
              <w:rPr>
                <w:rFonts w:hint="eastAsia"/>
                <w:szCs w:val="22"/>
              </w:rPr>
              <w:t>，1</w:t>
            </w:r>
            <w:r>
              <w:rPr>
                <w:szCs w:val="22"/>
              </w:rPr>
              <w:t>00</w:t>
            </w:r>
            <w:r>
              <w:rPr>
                <w:rFonts w:hint="eastAsia"/>
                <w:szCs w:val="22"/>
              </w:rPr>
              <w:t>MVA</w:t>
            </w:r>
          </w:p>
        </w:tc>
      </w:tr>
      <w:tr w14:paraId="4566C91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cantSplit/>
          <w:jc w:val="center"/>
        </w:trPr>
        <w:tc>
          <w:tcPr>
            <w:tcW w:w="1415" w:type="dxa"/>
            <w:vMerge w:val="continue"/>
            <w:vAlign w:val="center"/>
          </w:tcPr>
          <w:p w14:paraId="711E03DE">
            <w:pPr>
              <w:snapToGrid w:val="0"/>
              <w:ind w:firstLine="480"/>
              <w:rPr>
                <w:szCs w:val="22"/>
              </w:rPr>
            </w:pPr>
          </w:p>
        </w:tc>
        <w:tc>
          <w:tcPr>
            <w:tcW w:w="1732" w:type="dxa"/>
            <w:vAlign w:val="center"/>
          </w:tcPr>
          <w:p w14:paraId="27874719">
            <w:pPr>
              <w:snapToGrid w:val="0"/>
              <w:rPr>
                <w:szCs w:val="22"/>
              </w:rPr>
            </w:pPr>
            <w:r>
              <w:rPr>
                <w:rFonts w:hint="eastAsia"/>
                <w:szCs w:val="22"/>
              </w:rPr>
              <w:t>5</w:t>
            </w:r>
            <w:r>
              <w:rPr>
                <w:szCs w:val="22"/>
              </w:rPr>
              <w:t>00</w:t>
            </w:r>
            <w:r>
              <w:rPr>
                <w:rFonts w:hint="eastAsia"/>
                <w:szCs w:val="22"/>
              </w:rPr>
              <w:t>kV高压站用变</w:t>
            </w:r>
          </w:p>
        </w:tc>
        <w:tc>
          <w:tcPr>
            <w:tcW w:w="5214" w:type="dxa"/>
            <w:gridSpan w:val="4"/>
            <w:vAlign w:val="center"/>
          </w:tcPr>
          <w:p w14:paraId="0BBF4FD8">
            <w:pPr>
              <w:snapToGrid w:val="0"/>
              <w:rPr>
                <w:szCs w:val="22"/>
              </w:rPr>
            </w:pPr>
            <w:r>
              <w:rPr>
                <w:rFonts w:hint="eastAsia"/>
                <w:szCs w:val="22"/>
              </w:rPr>
              <w:t>共1台：5</w:t>
            </w:r>
            <w:r>
              <w:rPr>
                <w:szCs w:val="22"/>
              </w:rPr>
              <w:t>25/10.5kV</w:t>
            </w:r>
            <w:r>
              <w:rPr>
                <w:rFonts w:hint="eastAsia"/>
                <w:szCs w:val="22"/>
              </w:rPr>
              <w:t>，</w:t>
            </w:r>
            <w:r>
              <w:rPr>
                <w:szCs w:val="22"/>
              </w:rPr>
              <w:t>40</w:t>
            </w:r>
            <w:r>
              <w:rPr>
                <w:rFonts w:hint="eastAsia"/>
                <w:szCs w:val="22"/>
              </w:rPr>
              <w:t>MVA</w:t>
            </w:r>
          </w:p>
        </w:tc>
      </w:tr>
      <w:tr w14:paraId="5646BB9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cantSplit/>
          <w:jc w:val="center"/>
        </w:trPr>
        <w:tc>
          <w:tcPr>
            <w:tcW w:w="1415" w:type="dxa"/>
            <w:vMerge w:val="continue"/>
            <w:vAlign w:val="center"/>
          </w:tcPr>
          <w:p w14:paraId="133C627A">
            <w:pPr>
              <w:snapToGrid w:val="0"/>
              <w:ind w:firstLine="480"/>
              <w:rPr>
                <w:szCs w:val="22"/>
              </w:rPr>
            </w:pPr>
          </w:p>
        </w:tc>
        <w:tc>
          <w:tcPr>
            <w:tcW w:w="1732" w:type="dxa"/>
            <w:vAlign w:val="center"/>
          </w:tcPr>
          <w:p w14:paraId="0E9A98DF">
            <w:pPr>
              <w:snapToGrid w:val="0"/>
              <w:rPr>
                <w:szCs w:val="22"/>
              </w:rPr>
            </w:pPr>
            <w:r>
              <w:rPr>
                <w:szCs w:val="22"/>
              </w:rPr>
              <w:t>35kV站用变</w:t>
            </w:r>
          </w:p>
        </w:tc>
        <w:tc>
          <w:tcPr>
            <w:tcW w:w="5214" w:type="dxa"/>
            <w:gridSpan w:val="4"/>
            <w:vAlign w:val="center"/>
          </w:tcPr>
          <w:p w14:paraId="5BE75F7A">
            <w:pPr>
              <w:snapToGrid w:val="0"/>
              <w:rPr>
                <w:szCs w:val="22"/>
              </w:rPr>
            </w:pPr>
            <w:r>
              <w:rPr>
                <w:szCs w:val="22"/>
              </w:rPr>
              <w:t>共1</w:t>
            </w:r>
            <w:r>
              <w:rPr>
                <w:rFonts w:hint="eastAsia"/>
                <w:szCs w:val="22"/>
              </w:rPr>
              <w:t>台</w:t>
            </w:r>
            <w:r>
              <w:rPr>
                <w:szCs w:val="22"/>
              </w:rPr>
              <w:t>：35/10.5kV，20MVA</w:t>
            </w:r>
          </w:p>
        </w:tc>
      </w:tr>
      <w:tr w14:paraId="4BF02F8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cantSplit/>
          <w:jc w:val="center"/>
        </w:trPr>
        <w:tc>
          <w:tcPr>
            <w:tcW w:w="1415" w:type="dxa"/>
            <w:vMerge w:val="continue"/>
            <w:vAlign w:val="center"/>
          </w:tcPr>
          <w:p w14:paraId="729660E5">
            <w:pPr>
              <w:snapToGrid w:val="0"/>
              <w:ind w:firstLine="480"/>
              <w:rPr>
                <w:szCs w:val="22"/>
              </w:rPr>
            </w:pPr>
          </w:p>
        </w:tc>
        <w:tc>
          <w:tcPr>
            <w:tcW w:w="1732" w:type="dxa"/>
            <w:vAlign w:val="center"/>
          </w:tcPr>
          <w:p w14:paraId="0E102C60">
            <w:pPr>
              <w:snapToGrid w:val="0"/>
              <w:rPr>
                <w:szCs w:val="22"/>
              </w:rPr>
            </w:pPr>
            <w:r>
              <w:rPr>
                <w:rFonts w:hint="eastAsia"/>
                <w:szCs w:val="22"/>
              </w:rPr>
              <w:t>1</w:t>
            </w:r>
            <w:r>
              <w:rPr>
                <w:szCs w:val="22"/>
              </w:rPr>
              <w:t>10</w:t>
            </w:r>
            <w:r>
              <w:rPr>
                <w:rFonts w:hint="eastAsia"/>
                <w:szCs w:val="22"/>
              </w:rPr>
              <w:t>kV站外电源变压器</w:t>
            </w:r>
          </w:p>
        </w:tc>
        <w:tc>
          <w:tcPr>
            <w:tcW w:w="5214" w:type="dxa"/>
            <w:gridSpan w:val="4"/>
            <w:vAlign w:val="center"/>
          </w:tcPr>
          <w:p w14:paraId="1D832A08">
            <w:pPr>
              <w:snapToGrid w:val="0"/>
              <w:rPr>
                <w:szCs w:val="22"/>
              </w:rPr>
            </w:pPr>
            <w:r>
              <w:rPr>
                <w:rFonts w:hint="eastAsia"/>
                <w:szCs w:val="22"/>
              </w:rPr>
              <w:t>共1台：1</w:t>
            </w:r>
            <w:r>
              <w:rPr>
                <w:szCs w:val="22"/>
              </w:rPr>
              <w:t>10</w:t>
            </w:r>
            <w:r>
              <w:rPr>
                <w:rFonts w:hint="eastAsia"/>
                <w:szCs w:val="22"/>
              </w:rPr>
              <w:t>/</w:t>
            </w:r>
            <w:r>
              <w:rPr>
                <w:szCs w:val="22"/>
              </w:rPr>
              <w:t>10.5kV</w:t>
            </w:r>
            <w:r>
              <w:rPr>
                <w:rFonts w:hint="eastAsia"/>
                <w:szCs w:val="22"/>
              </w:rPr>
              <w:t>，2</w:t>
            </w:r>
            <w:r>
              <w:rPr>
                <w:szCs w:val="22"/>
              </w:rPr>
              <w:t>0</w:t>
            </w:r>
            <w:r>
              <w:rPr>
                <w:rFonts w:hint="eastAsia"/>
                <w:szCs w:val="22"/>
              </w:rPr>
              <w:t>MVA</w:t>
            </w:r>
          </w:p>
        </w:tc>
      </w:tr>
      <w:tr w14:paraId="2294A0C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cantSplit/>
          <w:jc w:val="center"/>
        </w:trPr>
        <w:tc>
          <w:tcPr>
            <w:tcW w:w="1415" w:type="dxa"/>
            <w:vMerge w:val="continue"/>
            <w:vAlign w:val="center"/>
          </w:tcPr>
          <w:p w14:paraId="585B1CFC">
            <w:pPr>
              <w:snapToGrid w:val="0"/>
              <w:ind w:firstLine="480"/>
              <w:rPr>
                <w:szCs w:val="22"/>
              </w:rPr>
            </w:pPr>
          </w:p>
        </w:tc>
        <w:tc>
          <w:tcPr>
            <w:tcW w:w="1732" w:type="dxa"/>
            <w:vAlign w:val="center"/>
          </w:tcPr>
          <w:p w14:paraId="3A73E76F">
            <w:pPr>
              <w:snapToGrid w:val="0"/>
              <w:rPr>
                <w:szCs w:val="22"/>
              </w:rPr>
            </w:pPr>
            <w:r>
              <w:rPr>
                <w:rFonts w:hint="eastAsia"/>
                <w:szCs w:val="22"/>
              </w:rPr>
              <w:t>融冰装置</w:t>
            </w:r>
          </w:p>
        </w:tc>
        <w:tc>
          <w:tcPr>
            <w:tcW w:w="5214" w:type="dxa"/>
            <w:gridSpan w:val="4"/>
            <w:vAlign w:val="center"/>
          </w:tcPr>
          <w:p w14:paraId="0B8258C8">
            <w:pPr>
              <w:snapToGrid w:val="0"/>
              <w:rPr>
                <w:szCs w:val="22"/>
              </w:rPr>
            </w:pPr>
            <w:r>
              <w:rPr>
                <w:rFonts w:hint="eastAsia"/>
                <w:szCs w:val="22"/>
              </w:rPr>
              <w:t>共1套：60MW</w:t>
            </w:r>
          </w:p>
        </w:tc>
      </w:tr>
      <w:tr w14:paraId="00A5FDA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cantSplit/>
          <w:jc w:val="center"/>
        </w:trPr>
        <w:tc>
          <w:tcPr>
            <w:tcW w:w="1415" w:type="dxa"/>
            <w:vMerge w:val="continue"/>
            <w:vAlign w:val="center"/>
          </w:tcPr>
          <w:p w14:paraId="3AE823D8">
            <w:pPr>
              <w:snapToGrid w:val="0"/>
              <w:ind w:firstLine="480"/>
              <w:rPr>
                <w:szCs w:val="22"/>
              </w:rPr>
            </w:pPr>
          </w:p>
        </w:tc>
        <w:tc>
          <w:tcPr>
            <w:tcW w:w="1732" w:type="dxa"/>
            <w:vAlign w:val="center"/>
          </w:tcPr>
          <w:p w14:paraId="76B3E87C">
            <w:pPr>
              <w:snapToGrid w:val="0"/>
              <w:rPr>
                <w:szCs w:val="22"/>
              </w:rPr>
            </w:pPr>
            <w:r>
              <w:rPr>
                <w:rFonts w:hint="eastAsia"/>
                <w:szCs w:val="22"/>
              </w:rPr>
              <w:t>自耦变</w:t>
            </w:r>
          </w:p>
        </w:tc>
        <w:tc>
          <w:tcPr>
            <w:tcW w:w="2498" w:type="dxa"/>
            <w:gridSpan w:val="2"/>
            <w:tcBorders>
              <w:right w:val="single" w:color="auto" w:sz="4" w:space="0"/>
            </w:tcBorders>
            <w:vAlign w:val="center"/>
          </w:tcPr>
          <w:p w14:paraId="6EEAE723">
            <w:pPr>
              <w:snapToGrid w:val="0"/>
              <w:rPr>
                <w:szCs w:val="22"/>
              </w:rPr>
            </w:pPr>
            <w:r>
              <w:rPr>
                <w:rFonts w:hint="eastAsia"/>
                <w:szCs w:val="22"/>
              </w:rPr>
              <w:t>无</w:t>
            </w:r>
          </w:p>
        </w:tc>
        <w:tc>
          <w:tcPr>
            <w:tcW w:w="2716" w:type="dxa"/>
            <w:gridSpan w:val="2"/>
            <w:tcBorders>
              <w:left w:val="single" w:color="auto" w:sz="4" w:space="0"/>
            </w:tcBorders>
            <w:vAlign w:val="center"/>
          </w:tcPr>
          <w:p w14:paraId="44B220ED">
            <w:pPr>
              <w:snapToGrid w:val="0"/>
              <w:rPr>
                <w:szCs w:val="22"/>
              </w:rPr>
            </w:pPr>
            <w:r>
              <w:rPr>
                <w:rFonts w:hint="eastAsia"/>
                <w:szCs w:val="22"/>
              </w:rPr>
              <w:t>共</w:t>
            </w:r>
            <w:r>
              <w:rPr>
                <w:szCs w:val="22"/>
              </w:rPr>
              <w:t>3</w:t>
            </w:r>
            <w:r>
              <w:rPr>
                <w:rFonts w:hint="eastAsia"/>
                <w:szCs w:val="22"/>
              </w:rPr>
              <w:t>组</w:t>
            </w:r>
          </w:p>
        </w:tc>
      </w:tr>
      <w:tr w14:paraId="09AD5D9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cantSplit/>
          <w:jc w:val="center"/>
        </w:trPr>
        <w:tc>
          <w:tcPr>
            <w:tcW w:w="1415" w:type="dxa"/>
            <w:vMerge w:val="continue"/>
            <w:vAlign w:val="center"/>
          </w:tcPr>
          <w:p w14:paraId="7B003260">
            <w:pPr>
              <w:snapToGrid w:val="0"/>
              <w:ind w:firstLine="480"/>
              <w:rPr>
                <w:szCs w:val="22"/>
              </w:rPr>
            </w:pPr>
          </w:p>
        </w:tc>
        <w:tc>
          <w:tcPr>
            <w:tcW w:w="1732" w:type="dxa"/>
            <w:vAlign w:val="center"/>
          </w:tcPr>
          <w:p w14:paraId="519976C0">
            <w:pPr>
              <w:snapToGrid w:val="0"/>
              <w:rPr>
                <w:szCs w:val="22"/>
              </w:rPr>
            </w:pPr>
            <w:r>
              <w:rPr>
                <w:rFonts w:hint="eastAsia"/>
                <w:szCs w:val="22"/>
              </w:rPr>
              <w:t>2</w:t>
            </w:r>
            <w:r>
              <w:rPr>
                <w:szCs w:val="22"/>
              </w:rPr>
              <w:t>20</w:t>
            </w:r>
            <w:r>
              <w:rPr>
                <w:rFonts w:hint="eastAsia"/>
                <w:szCs w:val="22"/>
              </w:rPr>
              <w:t>kV出线</w:t>
            </w:r>
          </w:p>
        </w:tc>
        <w:tc>
          <w:tcPr>
            <w:tcW w:w="2498" w:type="dxa"/>
            <w:gridSpan w:val="2"/>
            <w:tcBorders>
              <w:right w:val="single" w:color="auto" w:sz="4" w:space="0"/>
            </w:tcBorders>
            <w:vAlign w:val="center"/>
          </w:tcPr>
          <w:p w14:paraId="076D7C18">
            <w:pPr>
              <w:snapToGrid w:val="0"/>
              <w:rPr>
                <w:szCs w:val="22"/>
              </w:rPr>
            </w:pPr>
            <w:r>
              <w:rPr>
                <w:rFonts w:hint="eastAsia"/>
                <w:szCs w:val="22"/>
              </w:rPr>
              <w:t>无</w:t>
            </w:r>
          </w:p>
        </w:tc>
        <w:tc>
          <w:tcPr>
            <w:tcW w:w="2716" w:type="dxa"/>
            <w:gridSpan w:val="2"/>
            <w:tcBorders>
              <w:left w:val="single" w:color="auto" w:sz="4" w:space="0"/>
            </w:tcBorders>
            <w:vAlign w:val="center"/>
          </w:tcPr>
          <w:p w14:paraId="0E3E5E1E">
            <w:pPr>
              <w:snapToGrid w:val="0"/>
              <w:rPr>
                <w:szCs w:val="22"/>
              </w:rPr>
            </w:pPr>
            <w:r>
              <w:rPr>
                <w:rFonts w:hint="eastAsia"/>
                <w:szCs w:val="22"/>
              </w:rPr>
              <w:t>共1</w:t>
            </w:r>
            <w:r>
              <w:rPr>
                <w:szCs w:val="22"/>
              </w:rPr>
              <w:t>4</w:t>
            </w:r>
            <w:r>
              <w:rPr>
                <w:rFonts w:hint="eastAsia"/>
                <w:szCs w:val="22"/>
              </w:rPr>
              <w:t>回</w:t>
            </w:r>
          </w:p>
        </w:tc>
      </w:tr>
      <w:tr w14:paraId="5CF3915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cantSplit/>
          <w:jc w:val="center"/>
        </w:trPr>
        <w:tc>
          <w:tcPr>
            <w:tcW w:w="1415" w:type="dxa"/>
            <w:vMerge w:val="continue"/>
            <w:vAlign w:val="center"/>
          </w:tcPr>
          <w:p w14:paraId="5AED637E">
            <w:pPr>
              <w:snapToGrid w:val="0"/>
              <w:ind w:firstLine="480"/>
              <w:rPr>
                <w:szCs w:val="22"/>
              </w:rPr>
            </w:pPr>
          </w:p>
        </w:tc>
        <w:tc>
          <w:tcPr>
            <w:tcW w:w="1732" w:type="dxa"/>
            <w:vAlign w:val="center"/>
          </w:tcPr>
          <w:p w14:paraId="600EC498">
            <w:pPr>
              <w:snapToGrid w:val="0"/>
              <w:rPr>
                <w:szCs w:val="22"/>
              </w:rPr>
            </w:pPr>
            <w:r>
              <w:rPr>
                <w:rFonts w:hint="eastAsia"/>
                <w:szCs w:val="22"/>
              </w:rPr>
              <w:t>高压并联电抗</w:t>
            </w:r>
          </w:p>
        </w:tc>
        <w:tc>
          <w:tcPr>
            <w:tcW w:w="2498" w:type="dxa"/>
            <w:gridSpan w:val="2"/>
            <w:tcBorders>
              <w:right w:val="single" w:color="auto" w:sz="4" w:space="0"/>
            </w:tcBorders>
            <w:vAlign w:val="center"/>
          </w:tcPr>
          <w:p w14:paraId="3198E3AC">
            <w:pPr>
              <w:snapToGrid w:val="0"/>
              <w:rPr>
                <w:szCs w:val="22"/>
              </w:rPr>
            </w:pPr>
            <w:r>
              <w:rPr>
                <w:rFonts w:hint="eastAsia"/>
                <w:szCs w:val="22"/>
              </w:rPr>
              <w:t>边城侧装设1组：1</w:t>
            </w:r>
            <w:r>
              <w:rPr>
                <w:szCs w:val="22"/>
              </w:rPr>
              <w:t>20</w:t>
            </w:r>
            <w:r>
              <w:rPr>
                <w:rFonts w:hint="eastAsia"/>
                <w:szCs w:val="22"/>
              </w:rPr>
              <w:t>MVar</w:t>
            </w:r>
          </w:p>
        </w:tc>
        <w:tc>
          <w:tcPr>
            <w:tcW w:w="2716" w:type="dxa"/>
            <w:gridSpan w:val="2"/>
            <w:tcBorders>
              <w:left w:val="single" w:color="auto" w:sz="4" w:space="0"/>
            </w:tcBorders>
            <w:vAlign w:val="center"/>
          </w:tcPr>
          <w:p w14:paraId="5162F8E7">
            <w:pPr>
              <w:snapToGrid w:val="0"/>
              <w:rPr>
                <w:szCs w:val="22"/>
              </w:rPr>
            </w:pPr>
            <w:r>
              <w:rPr>
                <w:rFonts w:hint="eastAsia"/>
                <w:szCs w:val="22"/>
              </w:rPr>
              <w:t>共1组</w:t>
            </w:r>
          </w:p>
        </w:tc>
      </w:tr>
      <w:tr w14:paraId="04E7757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cantSplit/>
          <w:jc w:val="center"/>
        </w:trPr>
        <w:tc>
          <w:tcPr>
            <w:tcW w:w="1415" w:type="dxa"/>
            <w:vMerge w:val="continue"/>
            <w:vAlign w:val="center"/>
          </w:tcPr>
          <w:p w14:paraId="071B3470">
            <w:pPr>
              <w:snapToGrid w:val="0"/>
              <w:ind w:firstLine="480"/>
              <w:rPr>
                <w:szCs w:val="22"/>
              </w:rPr>
            </w:pPr>
          </w:p>
        </w:tc>
        <w:tc>
          <w:tcPr>
            <w:tcW w:w="1732" w:type="dxa"/>
            <w:vAlign w:val="center"/>
          </w:tcPr>
          <w:p w14:paraId="39B755E6">
            <w:pPr>
              <w:snapToGrid w:val="0"/>
              <w:rPr>
                <w:szCs w:val="22"/>
              </w:rPr>
            </w:pPr>
            <w:r>
              <w:rPr>
                <w:rFonts w:hint="eastAsia"/>
                <w:szCs w:val="22"/>
              </w:rPr>
              <w:t>低压无功补偿</w:t>
            </w:r>
          </w:p>
        </w:tc>
        <w:tc>
          <w:tcPr>
            <w:tcW w:w="2498" w:type="dxa"/>
            <w:gridSpan w:val="2"/>
            <w:tcBorders>
              <w:right w:val="single" w:color="auto" w:sz="4" w:space="0"/>
            </w:tcBorders>
            <w:vAlign w:val="center"/>
          </w:tcPr>
          <w:p w14:paraId="49672EA6">
            <w:pPr>
              <w:snapToGrid w:val="0"/>
              <w:rPr>
                <w:szCs w:val="22"/>
              </w:rPr>
            </w:pPr>
            <w:r>
              <w:rPr>
                <w:rFonts w:hint="eastAsia"/>
                <w:szCs w:val="22"/>
              </w:rPr>
              <w:t>无</w:t>
            </w:r>
          </w:p>
        </w:tc>
        <w:tc>
          <w:tcPr>
            <w:tcW w:w="2716" w:type="dxa"/>
            <w:gridSpan w:val="2"/>
            <w:tcBorders>
              <w:left w:val="single" w:color="auto" w:sz="4" w:space="0"/>
            </w:tcBorders>
            <w:vAlign w:val="center"/>
          </w:tcPr>
          <w:p w14:paraId="167564D5">
            <w:pPr>
              <w:snapToGrid w:val="0"/>
              <w:rPr>
                <w:szCs w:val="22"/>
              </w:rPr>
            </w:pPr>
            <w:r>
              <w:rPr>
                <w:szCs w:val="22"/>
              </w:rPr>
              <w:t>3</w:t>
            </w:r>
            <w:r>
              <w:rPr>
                <w:rFonts w:hint="eastAsia" w:ascii="宋体" w:hAnsi="宋体"/>
                <w:szCs w:val="22"/>
              </w:rPr>
              <w:t>×</w:t>
            </w:r>
            <w:r>
              <w:rPr>
                <w:szCs w:val="22"/>
              </w:rPr>
              <w:t>3</w:t>
            </w:r>
            <w:r>
              <w:rPr>
                <w:rFonts w:hint="eastAsia"/>
                <w:szCs w:val="22"/>
              </w:rPr>
              <w:t>组电容</w:t>
            </w:r>
          </w:p>
          <w:p w14:paraId="30AA00A5">
            <w:pPr>
              <w:snapToGrid w:val="0"/>
              <w:rPr>
                <w:szCs w:val="22"/>
              </w:rPr>
            </w:pPr>
            <w:r>
              <w:rPr>
                <w:rFonts w:hint="eastAsia"/>
                <w:szCs w:val="22"/>
              </w:rPr>
              <w:t>3</w:t>
            </w:r>
            <w:r>
              <w:rPr>
                <w:rFonts w:hint="eastAsia" w:ascii="宋体" w:hAnsi="宋体"/>
                <w:szCs w:val="22"/>
              </w:rPr>
              <w:t>×</w:t>
            </w:r>
            <w:r>
              <w:rPr>
                <w:szCs w:val="22"/>
              </w:rPr>
              <w:t>2</w:t>
            </w:r>
            <w:r>
              <w:rPr>
                <w:rFonts w:hint="eastAsia"/>
                <w:szCs w:val="22"/>
              </w:rPr>
              <w:t>组电抗</w:t>
            </w:r>
          </w:p>
        </w:tc>
      </w:tr>
    </w:tbl>
    <w:p w14:paraId="3E9105B5">
      <w:pPr>
        <w:pStyle w:val="121"/>
        <w:numPr>
          <w:ilvl w:val="0"/>
          <w:numId w:val="0"/>
        </w:numPr>
        <w:ind w:left="425"/>
      </w:pPr>
    </w:p>
    <w:p w14:paraId="0247D566">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483" w:name="_Toc220074800"/>
      <w:r>
        <w:rPr>
          <w:rFonts w:hint="eastAsia" w:eastAsiaTheme="minorEastAsia"/>
          <w:bCs/>
          <w:color w:val="000000" w:themeColor="text1"/>
          <w:szCs w:val="24"/>
          <w14:textFill>
            <w14:solidFill>
              <w14:schemeClr w14:val="tx1"/>
            </w14:solidFill>
          </w14:textFill>
        </w:rPr>
        <w:t>工程地址</w:t>
      </w:r>
      <w:bookmarkEnd w:id="479"/>
      <w:bookmarkEnd w:id="480"/>
      <w:bookmarkEnd w:id="481"/>
      <w:bookmarkEnd w:id="482"/>
      <w:bookmarkEnd w:id="483"/>
    </w:p>
    <w:p w14:paraId="3A02418D">
      <w:pPr>
        <w:spacing w:line="460" w:lineRule="exact"/>
        <w:ind w:firstLine="480" w:firstLineChars="200"/>
        <w:rPr>
          <w:rFonts w:ascii="宋体" w:hAnsi="宋体"/>
          <w:snapToGrid w:val="0"/>
          <w:sz w:val="24"/>
          <w:szCs w:val="24"/>
        </w:rPr>
      </w:pPr>
      <w:bookmarkStart w:id="484" w:name="_Toc279850276"/>
      <w:bookmarkStart w:id="485" w:name="_Toc279850689"/>
      <w:bookmarkStart w:id="486" w:name="_Toc285541736"/>
      <w:r>
        <w:rPr>
          <w:rFonts w:hint="eastAsia" w:ascii="宋体" w:hAnsi="宋体"/>
          <w:snapToGrid w:val="0"/>
          <w:sz w:val="24"/>
          <w:szCs w:val="24"/>
        </w:rPr>
        <w:t>站址位于贵州省铜仁市万山区茶店街道，直线距离茶店街道中心约1.5km，东北侧距离铜仁市中心约15.9km。站址东侧紧邻铜大高速茶店服务区，东侧距离铜大高速（正线）约270m。</w:t>
      </w:r>
    </w:p>
    <w:p w14:paraId="251A56FC">
      <w:pPr>
        <w:spacing w:line="460" w:lineRule="exact"/>
        <w:ind w:firstLine="480" w:firstLineChars="200"/>
        <w:rPr>
          <w:rFonts w:ascii="宋体" w:hAnsi="宋体"/>
          <w:snapToGrid w:val="0"/>
          <w:sz w:val="24"/>
          <w:szCs w:val="24"/>
        </w:rPr>
      </w:pPr>
      <w:r>
        <w:rPr>
          <w:rFonts w:hint="eastAsia" w:ascii="宋体" w:hAnsi="宋体"/>
          <w:snapToGrid w:val="0"/>
          <w:sz w:val="24"/>
          <w:szCs w:val="24"/>
        </w:rPr>
        <w:t>站址地形整体起伏较大，为树枝状分布的峰丛地貌，整体地势东南侧偏高，西北侧偏低，站址区域范围内地面高程在641~697m，相对高差约56m。场地内中部为耕地，其余为乔木林地、灌木林地，站址南侧100m有居民区，南侧紧邻乡村公路，交通较为便利。</w:t>
      </w:r>
    </w:p>
    <w:bookmarkEnd w:id="484"/>
    <w:bookmarkEnd w:id="485"/>
    <w:bookmarkEnd w:id="486"/>
    <w:p w14:paraId="7E87C55A">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487" w:name="_Toc48291215"/>
      <w:bookmarkStart w:id="488" w:name="_Toc220074801"/>
      <w:r>
        <w:rPr>
          <w:rFonts w:hint="eastAsia" w:eastAsiaTheme="minorEastAsia"/>
          <w:bCs/>
          <w:color w:val="000000" w:themeColor="text1"/>
          <w:szCs w:val="24"/>
          <w14:textFill>
            <w14:solidFill>
              <w14:schemeClr w14:val="tx1"/>
            </w14:solidFill>
          </w14:textFill>
        </w:rPr>
        <w:t>交通、运输</w:t>
      </w:r>
      <w:bookmarkEnd w:id="487"/>
      <w:bookmarkEnd w:id="488"/>
    </w:p>
    <w:p w14:paraId="6E17D8C4">
      <w:pPr>
        <w:spacing w:line="460" w:lineRule="exact"/>
        <w:ind w:firstLine="480" w:firstLineChars="200"/>
        <w:rPr>
          <w:rFonts w:ascii="宋体" w:hAnsi="宋体"/>
          <w:sz w:val="24"/>
          <w:szCs w:val="24"/>
        </w:rPr>
      </w:pPr>
      <w:bookmarkStart w:id="489" w:name="_Toc279850277"/>
      <w:bookmarkStart w:id="490" w:name="_Toc279850690"/>
      <w:bookmarkStart w:id="491" w:name="_Toc282788473"/>
      <w:bookmarkStart w:id="492" w:name="_Toc526064876"/>
      <w:r>
        <w:rPr>
          <w:rFonts w:hint="eastAsia" w:ascii="宋体" w:hAnsi="宋体"/>
          <w:sz w:val="24"/>
          <w:szCs w:val="24"/>
        </w:rPr>
        <w:t>站址位于贵州省铜仁市万山区茶店街道，邻近铜大高速及G242国道，站址目前有市政路到达，交通十分便利。</w:t>
      </w:r>
    </w:p>
    <w:p w14:paraId="23E3BC5C">
      <w:pPr>
        <w:spacing w:line="460" w:lineRule="exact"/>
        <w:ind w:firstLine="480" w:firstLineChars="200"/>
        <w:rPr>
          <w:rFonts w:ascii="宋体" w:hAnsi="宋体"/>
          <w:sz w:val="24"/>
          <w:szCs w:val="24"/>
        </w:rPr>
      </w:pPr>
      <w:r>
        <w:rPr>
          <w:rFonts w:hint="eastAsia" w:ascii="宋体" w:hAnsi="宋体"/>
          <w:sz w:val="24"/>
          <w:szCs w:val="24"/>
        </w:rPr>
        <w:t>本工程大件运输重点在于公路运输部分：其一在于解决桥梁通过的问题。可运用的技术手段有：架设“桥上桥”；对于跨度较小（15m 以下）的拱桥可采用在拱圈下加拱的方式加固；对于跨度大且难以加固的桥梁可采用铺设临时运输道路，水面架设临时桥梁的方法；对于单跨跨度12～20m钢筋砼梁板结构桥梁常采用的加固方式有桥梁下增加钢管支撑加固、桥梁下粘贴钢板补强加固、碳纤维布粘贴补强加固等措施。</w:t>
      </w:r>
    </w:p>
    <w:p w14:paraId="1F2EC0EC">
      <w:pPr>
        <w:spacing w:line="460" w:lineRule="exact"/>
        <w:ind w:firstLine="480" w:firstLineChars="200"/>
        <w:rPr>
          <w:rFonts w:ascii="宋体" w:hAnsi="宋体"/>
          <w:sz w:val="24"/>
          <w:szCs w:val="24"/>
        </w:rPr>
      </w:pPr>
      <w:r>
        <w:rPr>
          <w:rFonts w:hint="eastAsia" w:ascii="宋体" w:hAnsi="宋体"/>
          <w:sz w:val="24"/>
          <w:szCs w:val="24"/>
        </w:rPr>
        <w:t>站址所在的茶店街道范围内高速、国道交通发达，各种运输条件均能满足大件设备运输要求。推荐采用公铁联运的大件运输方案。变压器运输铜仁东站铁路货场, 卸货后转桥式车组、平板车运抵站址。</w:t>
      </w:r>
    </w:p>
    <w:p w14:paraId="0344A685">
      <w:pPr>
        <w:spacing w:line="460" w:lineRule="exact"/>
        <w:ind w:firstLine="420" w:firstLineChars="200"/>
        <w:rPr>
          <w:rFonts w:eastAsiaTheme="minorEastAsia"/>
          <w:color w:val="000000" w:themeColor="text1"/>
          <w:szCs w:val="24"/>
          <w14:textFill>
            <w14:solidFill>
              <w14:schemeClr w14:val="tx1"/>
            </w14:solidFill>
          </w14:textFill>
        </w:rPr>
      </w:pPr>
    </w:p>
    <w:p w14:paraId="5FABE930">
      <w:pPr>
        <w:pStyle w:val="121"/>
        <w:snapToGrid w:val="0"/>
        <w:spacing w:line="480" w:lineRule="atLeast"/>
        <w:ind w:left="0" w:firstLine="482" w:firstLineChars="200"/>
        <w:outlineLvl w:val="0"/>
        <w:rPr>
          <w:rFonts w:eastAsiaTheme="minorEastAsia"/>
          <w:color w:val="000000" w:themeColor="text1"/>
          <w:szCs w:val="24"/>
          <w14:textFill>
            <w14:solidFill>
              <w14:schemeClr w14:val="tx1"/>
            </w14:solidFill>
          </w14:textFill>
        </w:rPr>
      </w:pPr>
      <w:bookmarkStart w:id="493" w:name="_Toc526079160"/>
      <w:bookmarkStart w:id="494" w:name="_Toc220074802"/>
      <w:bookmarkStart w:id="495" w:name="_Toc526079266"/>
      <w:r>
        <w:rPr>
          <w:rFonts w:hint="eastAsia" w:eastAsiaTheme="minorEastAsia"/>
          <w:color w:val="000000" w:themeColor="text1"/>
          <w:szCs w:val="24"/>
          <w14:textFill>
            <w14:solidFill>
              <w14:schemeClr w14:val="tx1"/>
            </w14:solidFill>
          </w14:textFill>
        </w:rPr>
        <w:t>使用条件</w:t>
      </w:r>
      <w:bookmarkEnd w:id="489"/>
      <w:bookmarkEnd w:id="490"/>
      <w:bookmarkEnd w:id="491"/>
      <w:bookmarkEnd w:id="492"/>
      <w:bookmarkEnd w:id="493"/>
      <w:bookmarkEnd w:id="494"/>
      <w:bookmarkEnd w:id="495"/>
    </w:p>
    <w:p w14:paraId="611DACE7">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496" w:name="_Toc526064877"/>
      <w:r>
        <w:rPr>
          <w:rFonts w:eastAsiaTheme="minorEastAsia"/>
          <w:bCs/>
          <w:color w:val="000000" w:themeColor="text1"/>
          <w:szCs w:val="24"/>
          <w14:textFill>
            <w14:solidFill>
              <w14:schemeClr w14:val="tx1"/>
            </w14:solidFill>
          </w14:textFill>
        </w:rPr>
        <w:t xml:space="preserve"> </w:t>
      </w:r>
      <w:bookmarkStart w:id="497" w:name="_Toc526079267"/>
      <w:bookmarkStart w:id="498" w:name="_Toc526079161"/>
      <w:bookmarkStart w:id="499" w:name="_Toc220074803"/>
      <w:r>
        <w:rPr>
          <w:rFonts w:hint="eastAsia" w:eastAsiaTheme="minorEastAsia"/>
          <w:bCs/>
          <w:color w:val="000000" w:themeColor="text1"/>
          <w:szCs w:val="24"/>
          <w14:textFill>
            <w14:solidFill>
              <w14:schemeClr w14:val="tx1"/>
            </w14:solidFill>
          </w14:textFill>
        </w:rPr>
        <w:t>设计条件</w:t>
      </w:r>
      <w:bookmarkEnd w:id="496"/>
      <w:bookmarkEnd w:id="497"/>
      <w:bookmarkEnd w:id="498"/>
      <w:bookmarkEnd w:id="499"/>
    </w:p>
    <w:p w14:paraId="4A7F0B49">
      <w:pPr>
        <w:pStyle w:val="121"/>
        <w:numPr>
          <w:ilvl w:val="2"/>
          <w:numId w:val="5"/>
        </w:numPr>
        <w:snapToGrid w:val="0"/>
        <w:spacing w:line="480" w:lineRule="atLeast"/>
        <w:ind w:left="0" w:firstLine="480" w:firstLineChars="200"/>
        <w:outlineLvl w:val="2"/>
        <w:rPr>
          <w:rFonts w:eastAsiaTheme="minorEastAsia"/>
          <w:b w:val="0"/>
          <w:color w:val="000000" w:themeColor="text1"/>
          <w:szCs w:val="24"/>
          <w14:textFill>
            <w14:solidFill>
              <w14:schemeClr w14:val="tx1"/>
            </w14:solidFill>
          </w14:textFill>
        </w:rPr>
      </w:pPr>
      <w:bookmarkStart w:id="500" w:name="_Toc389231105"/>
      <w:bookmarkStart w:id="501" w:name="_Toc279850278"/>
      <w:bookmarkStart w:id="502" w:name="_Toc279850691"/>
      <w:r>
        <w:rPr>
          <w:rFonts w:hint="eastAsia" w:eastAsiaTheme="minorEastAsia"/>
          <w:b w:val="0"/>
          <w:color w:val="000000" w:themeColor="text1"/>
          <w:szCs w:val="24"/>
          <w14:textFill>
            <w14:solidFill>
              <w14:schemeClr w14:val="tx1"/>
            </w14:solidFill>
          </w14:textFill>
        </w:rPr>
        <w:t>通风空调室外气象资料</w:t>
      </w:r>
      <w:bookmarkEnd w:id="500"/>
      <w:bookmarkEnd w:id="501"/>
      <w:bookmarkEnd w:id="502"/>
    </w:p>
    <w:p w14:paraId="39FF99C4">
      <w:pPr>
        <w:numPr>
          <w:ilvl w:val="1"/>
          <w:numId w:val="18"/>
        </w:numPr>
        <w:spacing w:before="48" w:beforeLines="20" w:after="48" w:afterLines="20" w:line="360" w:lineRule="auto"/>
        <w:ind w:left="0" w:firstLine="480" w:firstLineChars="200"/>
        <w:rPr>
          <w:rFonts w:eastAsiaTheme="minorEastAsia"/>
          <w:color w:val="000000" w:themeColor="text1"/>
          <w:sz w:val="24"/>
          <w:szCs w:val="24"/>
          <w14:textFill>
            <w14:solidFill>
              <w14:schemeClr w14:val="tx1"/>
            </w14:solidFill>
          </w14:textFill>
        </w:rPr>
      </w:pPr>
      <w:bookmarkStart w:id="503" w:name="_Toc279850692"/>
      <w:bookmarkStart w:id="504" w:name="_Toc277341767"/>
      <w:bookmarkStart w:id="505" w:name="_Toc389231106"/>
      <w:bookmarkStart w:id="506" w:name="_Toc279850279"/>
      <w:r>
        <w:rPr>
          <w:rFonts w:eastAsiaTheme="minorEastAsia"/>
          <w:color w:val="000000" w:themeColor="text1"/>
          <w:sz w:val="24"/>
          <w:szCs w:val="24"/>
          <w14:textFill>
            <w14:solidFill>
              <w14:schemeClr w14:val="tx1"/>
            </w14:solidFill>
          </w14:textFill>
        </w:rPr>
        <w:t>室外气象参数</w:t>
      </w:r>
    </w:p>
    <w:p w14:paraId="1DBABF0F">
      <w:pPr>
        <w:spacing w:line="360" w:lineRule="auto"/>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表4.5-1</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铜仁市室外计算参数</w:t>
      </w:r>
    </w:p>
    <w:tbl>
      <w:tblPr>
        <w:tblStyle w:val="41"/>
        <w:tblW w:w="906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9"/>
        <w:gridCol w:w="1701"/>
        <w:gridCol w:w="2835"/>
        <w:gridCol w:w="1835"/>
      </w:tblGrid>
      <w:tr w14:paraId="14196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89" w:type="dxa"/>
            <w:tcBorders>
              <w:top w:val="single" w:color="auto" w:sz="4" w:space="0"/>
              <w:left w:val="single" w:color="auto" w:sz="4" w:space="0"/>
              <w:bottom w:val="single" w:color="auto" w:sz="4" w:space="0"/>
              <w:right w:val="single" w:color="auto" w:sz="4" w:space="0"/>
            </w:tcBorders>
            <w:vAlign w:val="center"/>
          </w:tcPr>
          <w:p w14:paraId="20406789">
            <w:pPr>
              <w:ind w:firstLine="48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气象站台位置</w:t>
            </w:r>
          </w:p>
        </w:tc>
        <w:tc>
          <w:tcPr>
            <w:tcW w:w="1701" w:type="dxa"/>
            <w:tcBorders>
              <w:top w:val="single" w:color="auto" w:sz="4" w:space="0"/>
              <w:left w:val="nil"/>
              <w:bottom w:val="single" w:color="auto" w:sz="4" w:space="0"/>
              <w:right w:val="single" w:color="auto" w:sz="4" w:space="0"/>
            </w:tcBorders>
            <w:vAlign w:val="center"/>
          </w:tcPr>
          <w:p w14:paraId="61D0B860">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北纬：27°43′</w:t>
            </w:r>
          </w:p>
          <w:p w14:paraId="1F3E3144">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东经：109°11′</w:t>
            </w:r>
          </w:p>
        </w:tc>
        <w:tc>
          <w:tcPr>
            <w:tcW w:w="2835" w:type="dxa"/>
            <w:tcBorders>
              <w:top w:val="single" w:color="auto" w:sz="4" w:space="0"/>
              <w:left w:val="nil"/>
              <w:bottom w:val="single" w:color="auto" w:sz="4" w:space="0"/>
              <w:right w:val="single" w:color="auto" w:sz="4" w:space="0"/>
            </w:tcBorders>
            <w:vAlign w:val="center"/>
          </w:tcPr>
          <w:p w14:paraId="2FF4B0E1">
            <w:pPr>
              <w:ind w:firstLine="199" w:firstLineChars="83"/>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大气压力</w:t>
            </w:r>
          </w:p>
        </w:tc>
        <w:tc>
          <w:tcPr>
            <w:tcW w:w="1835" w:type="dxa"/>
            <w:tcBorders>
              <w:top w:val="single" w:color="auto" w:sz="4" w:space="0"/>
              <w:left w:val="nil"/>
              <w:bottom w:val="single" w:color="auto" w:sz="4" w:space="0"/>
              <w:right w:val="single" w:color="auto" w:sz="4" w:space="0"/>
            </w:tcBorders>
            <w:vAlign w:val="center"/>
          </w:tcPr>
          <w:p w14:paraId="593283E6">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冬季：991.3hPa；</w:t>
            </w:r>
          </w:p>
          <w:p w14:paraId="01FAF86F">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夏季：973.1hPa</w:t>
            </w:r>
          </w:p>
        </w:tc>
      </w:tr>
      <w:tr w14:paraId="4A7B9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89" w:type="dxa"/>
            <w:tcBorders>
              <w:top w:val="single" w:color="auto" w:sz="4" w:space="0"/>
              <w:left w:val="single" w:color="auto" w:sz="4" w:space="0"/>
              <w:bottom w:val="single" w:color="auto" w:sz="4" w:space="0"/>
              <w:right w:val="single" w:color="auto" w:sz="4" w:space="0"/>
            </w:tcBorders>
            <w:vAlign w:val="center"/>
          </w:tcPr>
          <w:p w14:paraId="2C9F19C8">
            <w:pPr>
              <w:ind w:firstLine="48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气象站台海拔</w:t>
            </w:r>
          </w:p>
        </w:tc>
        <w:tc>
          <w:tcPr>
            <w:tcW w:w="1701" w:type="dxa"/>
            <w:tcBorders>
              <w:top w:val="single" w:color="auto" w:sz="4" w:space="0"/>
              <w:left w:val="nil"/>
              <w:bottom w:val="single" w:color="auto" w:sz="4" w:space="0"/>
              <w:right w:val="single" w:color="auto" w:sz="4" w:space="0"/>
            </w:tcBorders>
            <w:vAlign w:val="center"/>
          </w:tcPr>
          <w:p w14:paraId="6EACCFF7">
            <w:pPr>
              <w:ind w:firstLine="199" w:firstLineChars="83"/>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279.7m</w:t>
            </w:r>
          </w:p>
        </w:tc>
        <w:tc>
          <w:tcPr>
            <w:tcW w:w="2835" w:type="dxa"/>
            <w:tcBorders>
              <w:top w:val="single" w:color="auto" w:sz="4" w:space="0"/>
              <w:left w:val="nil"/>
              <w:bottom w:val="single" w:color="auto" w:sz="4" w:space="0"/>
              <w:right w:val="single" w:color="auto" w:sz="4" w:space="0"/>
            </w:tcBorders>
            <w:vAlign w:val="center"/>
          </w:tcPr>
          <w:p w14:paraId="76B32D6A">
            <w:pPr>
              <w:ind w:firstLine="199" w:firstLineChars="83"/>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年最多风向及频率</w:t>
            </w:r>
          </w:p>
        </w:tc>
        <w:tc>
          <w:tcPr>
            <w:tcW w:w="1835" w:type="dxa"/>
            <w:tcBorders>
              <w:top w:val="single" w:color="auto" w:sz="4" w:space="0"/>
              <w:left w:val="nil"/>
              <w:bottom w:val="single" w:color="auto" w:sz="4" w:space="0"/>
              <w:right w:val="single" w:color="auto" w:sz="4" w:space="0"/>
            </w:tcBorders>
            <w:vAlign w:val="center"/>
          </w:tcPr>
          <w:p w14:paraId="52E230EB">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C/61  ENE/11</w:t>
            </w:r>
          </w:p>
        </w:tc>
      </w:tr>
      <w:tr w14:paraId="32290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89" w:type="dxa"/>
            <w:tcBorders>
              <w:top w:val="single" w:color="auto" w:sz="4" w:space="0"/>
              <w:left w:val="single" w:color="auto" w:sz="4" w:space="0"/>
              <w:bottom w:val="single" w:color="auto" w:sz="4" w:space="0"/>
              <w:right w:val="single" w:color="auto" w:sz="4" w:space="0"/>
            </w:tcBorders>
            <w:vAlign w:val="center"/>
          </w:tcPr>
          <w:p w14:paraId="02BC1C64">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夏季空调室外计算温度</w:t>
            </w:r>
          </w:p>
        </w:tc>
        <w:tc>
          <w:tcPr>
            <w:tcW w:w="1701" w:type="dxa"/>
            <w:tcBorders>
              <w:top w:val="single" w:color="auto" w:sz="4" w:space="0"/>
              <w:left w:val="nil"/>
              <w:bottom w:val="single" w:color="auto" w:sz="4" w:space="0"/>
              <w:right w:val="single" w:color="auto" w:sz="4" w:space="0"/>
            </w:tcBorders>
            <w:vAlign w:val="center"/>
          </w:tcPr>
          <w:p w14:paraId="0599E2DA">
            <w:pPr>
              <w:ind w:firstLine="199" w:firstLineChars="83"/>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35.3℃</w:t>
            </w:r>
          </w:p>
        </w:tc>
        <w:tc>
          <w:tcPr>
            <w:tcW w:w="2835" w:type="dxa"/>
            <w:tcBorders>
              <w:top w:val="single" w:color="auto" w:sz="4" w:space="0"/>
              <w:left w:val="nil"/>
              <w:bottom w:val="single" w:color="auto" w:sz="4" w:space="0"/>
              <w:right w:val="single" w:color="auto" w:sz="4" w:space="0"/>
            </w:tcBorders>
            <w:vAlign w:val="center"/>
          </w:tcPr>
          <w:p w14:paraId="7BA0735A">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冬季采暖室外计算温度</w:t>
            </w:r>
          </w:p>
        </w:tc>
        <w:tc>
          <w:tcPr>
            <w:tcW w:w="1835" w:type="dxa"/>
            <w:tcBorders>
              <w:top w:val="single" w:color="auto" w:sz="4" w:space="0"/>
              <w:left w:val="nil"/>
              <w:bottom w:val="single" w:color="auto" w:sz="4" w:space="0"/>
              <w:right w:val="single" w:color="auto" w:sz="4" w:space="0"/>
            </w:tcBorders>
            <w:vAlign w:val="center"/>
          </w:tcPr>
          <w:p w14:paraId="55763055">
            <w:pPr>
              <w:ind w:firstLine="199" w:firstLineChars="83"/>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1.4℃</w:t>
            </w:r>
          </w:p>
        </w:tc>
      </w:tr>
      <w:tr w14:paraId="626A9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89" w:type="dxa"/>
            <w:tcBorders>
              <w:top w:val="single" w:color="auto" w:sz="4" w:space="0"/>
              <w:left w:val="single" w:color="auto" w:sz="4" w:space="0"/>
              <w:bottom w:val="single" w:color="auto" w:sz="4" w:space="0"/>
              <w:right w:val="single" w:color="auto" w:sz="4" w:space="0"/>
            </w:tcBorders>
            <w:vAlign w:val="center"/>
          </w:tcPr>
          <w:p w14:paraId="6ADC938C">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夏季空调室外计算湿球温度</w:t>
            </w:r>
          </w:p>
        </w:tc>
        <w:tc>
          <w:tcPr>
            <w:tcW w:w="1701" w:type="dxa"/>
            <w:tcBorders>
              <w:top w:val="single" w:color="auto" w:sz="4" w:space="0"/>
              <w:left w:val="nil"/>
              <w:bottom w:val="single" w:color="auto" w:sz="4" w:space="0"/>
              <w:right w:val="single" w:color="auto" w:sz="4" w:space="0"/>
            </w:tcBorders>
            <w:vAlign w:val="center"/>
          </w:tcPr>
          <w:p w14:paraId="2B155C38">
            <w:pPr>
              <w:ind w:firstLine="199" w:firstLineChars="83"/>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26.7℃</w:t>
            </w:r>
          </w:p>
        </w:tc>
        <w:tc>
          <w:tcPr>
            <w:tcW w:w="2835" w:type="dxa"/>
            <w:tcBorders>
              <w:top w:val="single" w:color="auto" w:sz="4" w:space="0"/>
              <w:left w:val="nil"/>
              <w:bottom w:val="single" w:color="auto" w:sz="4" w:space="0"/>
              <w:right w:val="single" w:color="auto" w:sz="4" w:space="0"/>
            </w:tcBorders>
            <w:vAlign w:val="center"/>
          </w:tcPr>
          <w:p w14:paraId="6D7F9BA5">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冬季通风室外计算温度</w:t>
            </w:r>
          </w:p>
        </w:tc>
        <w:tc>
          <w:tcPr>
            <w:tcW w:w="1835" w:type="dxa"/>
            <w:tcBorders>
              <w:top w:val="single" w:color="auto" w:sz="4" w:space="0"/>
              <w:left w:val="nil"/>
              <w:bottom w:val="single" w:color="auto" w:sz="4" w:space="0"/>
              <w:right w:val="single" w:color="auto" w:sz="4" w:space="0"/>
            </w:tcBorders>
            <w:vAlign w:val="center"/>
          </w:tcPr>
          <w:p w14:paraId="5382F7D6">
            <w:pPr>
              <w:ind w:firstLine="199" w:firstLineChars="83"/>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5.5℃</w:t>
            </w:r>
          </w:p>
        </w:tc>
      </w:tr>
      <w:tr w14:paraId="778C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89" w:type="dxa"/>
            <w:tcBorders>
              <w:top w:val="single" w:color="auto" w:sz="4" w:space="0"/>
              <w:left w:val="single" w:color="auto" w:sz="4" w:space="0"/>
              <w:bottom w:val="single" w:color="auto" w:sz="4" w:space="0"/>
              <w:right w:val="single" w:color="auto" w:sz="4" w:space="0"/>
            </w:tcBorders>
            <w:vAlign w:val="center"/>
          </w:tcPr>
          <w:p w14:paraId="2F887F2F">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夏季通风室外计算温度</w:t>
            </w:r>
          </w:p>
        </w:tc>
        <w:tc>
          <w:tcPr>
            <w:tcW w:w="1701" w:type="dxa"/>
            <w:tcBorders>
              <w:top w:val="single" w:color="auto" w:sz="4" w:space="0"/>
              <w:left w:val="nil"/>
              <w:bottom w:val="single" w:color="auto" w:sz="4" w:space="0"/>
              <w:right w:val="single" w:color="auto" w:sz="4" w:space="0"/>
            </w:tcBorders>
            <w:vAlign w:val="center"/>
          </w:tcPr>
          <w:p w14:paraId="2283F27C">
            <w:pPr>
              <w:ind w:firstLine="199" w:firstLineChars="83"/>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32.2℃</w:t>
            </w:r>
          </w:p>
        </w:tc>
        <w:tc>
          <w:tcPr>
            <w:tcW w:w="2835" w:type="dxa"/>
            <w:tcBorders>
              <w:top w:val="single" w:color="auto" w:sz="4" w:space="0"/>
              <w:left w:val="nil"/>
              <w:bottom w:val="single" w:color="auto" w:sz="4" w:space="0"/>
              <w:right w:val="single" w:color="auto" w:sz="4" w:space="0"/>
            </w:tcBorders>
            <w:vAlign w:val="center"/>
          </w:tcPr>
          <w:p w14:paraId="3AFA52AB">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冬季空调室外计算温度</w:t>
            </w:r>
          </w:p>
        </w:tc>
        <w:tc>
          <w:tcPr>
            <w:tcW w:w="1835" w:type="dxa"/>
            <w:tcBorders>
              <w:top w:val="single" w:color="auto" w:sz="4" w:space="0"/>
              <w:left w:val="nil"/>
              <w:bottom w:val="single" w:color="auto" w:sz="4" w:space="0"/>
              <w:right w:val="single" w:color="auto" w:sz="4" w:space="0"/>
            </w:tcBorders>
            <w:vAlign w:val="center"/>
          </w:tcPr>
          <w:p w14:paraId="304238DF">
            <w:pPr>
              <w:ind w:firstLine="199" w:firstLineChars="83"/>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-0.5℃</w:t>
            </w:r>
          </w:p>
        </w:tc>
      </w:tr>
      <w:tr w14:paraId="6B9EC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89" w:type="dxa"/>
            <w:tcBorders>
              <w:top w:val="single" w:color="auto" w:sz="4" w:space="0"/>
              <w:left w:val="single" w:color="auto" w:sz="4" w:space="0"/>
              <w:bottom w:val="single" w:color="auto" w:sz="4" w:space="0"/>
              <w:right w:val="single" w:color="auto" w:sz="4" w:space="0"/>
            </w:tcBorders>
            <w:vAlign w:val="center"/>
          </w:tcPr>
          <w:p w14:paraId="67DD4F34">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夏季通风室外计算相对湿度</w:t>
            </w:r>
          </w:p>
        </w:tc>
        <w:tc>
          <w:tcPr>
            <w:tcW w:w="1701" w:type="dxa"/>
            <w:tcBorders>
              <w:top w:val="single" w:color="auto" w:sz="4" w:space="0"/>
              <w:left w:val="nil"/>
              <w:bottom w:val="single" w:color="auto" w:sz="4" w:space="0"/>
              <w:right w:val="single" w:color="auto" w:sz="4" w:space="0"/>
            </w:tcBorders>
            <w:vAlign w:val="center"/>
          </w:tcPr>
          <w:p w14:paraId="30346179">
            <w:pPr>
              <w:ind w:firstLine="199" w:firstLineChars="83"/>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60%</w:t>
            </w:r>
          </w:p>
        </w:tc>
        <w:tc>
          <w:tcPr>
            <w:tcW w:w="2835" w:type="dxa"/>
            <w:tcBorders>
              <w:top w:val="single" w:color="auto" w:sz="4" w:space="0"/>
              <w:left w:val="nil"/>
              <w:bottom w:val="single" w:color="auto" w:sz="4" w:space="0"/>
              <w:right w:val="single" w:color="auto" w:sz="4" w:space="0"/>
            </w:tcBorders>
            <w:vAlign w:val="center"/>
          </w:tcPr>
          <w:p w14:paraId="648C21CB">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冬季空气调节室外计算相对湿度</w:t>
            </w:r>
          </w:p>
        </w:tc>
        <w:tc>
          <w:tcPr>
            <w:tcW w:w="1835" w:type="dxa"/>
            <w:tcBorders>
              <w:top w:val="single" w:color="auto" w:sz="4" w:space="0"/>
              <w:left w:val="nil"/>
              <w:bottom w:val="single" w:color="auto" w:sz="4" w:space="0"/>
              <w:right w:val="single" w:color="auto" w:sz="4" w:space="0"/>
            </w:tcBorders>
            <w:vAlign w:val="center"/>
          </w:tcPr>
          <w:p w14:paraId="6EF9437B">
            <w:pPr>
              <w:ind w:firstLine="199" w:firstLineChars="83"/>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76%</w:t>
            </w:r>
          </w:p>
        </w:tc>
      </w:tr>
      <w:tr w14:paraId="7DB96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89" w:type="dxa"/>
            <w:tcBorders>
              <w:top w:val="single" w:color="auto" w:sz="4" w:space="0"/>
              <w:left w:val="single" w:color="auto" w:sz="4" w:space="0"/>
              <w:bottom w:val="single" w:color="auto" w:sz="4" w:space="0"/>
              <w:right w:val="single" w:color="auto" w:sz="4" w:space="0"/>
            </w:tcBorders>
            <w:vAlign w:val="center"/>
          </w:tcPr>
          <w:p w14:paraId="44E9897C">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夏季室外平均风速</w:t>
            </w:r>
          </w:p>
        </w:tc>
        <w:tc>
          <w:tcPr>
            <w:tcW w:w="1701" w:type="dxa"/>
            <w:tcBorders>
              <w:top w:val="single" w:color="auto" w:sz="4" w:space="0"/>
              <w:left w:val="nil"/>
              <w:bottom w:val="single" w:color="auto" w:sz="4" w:space="0"/>
              <w:right w:val="single" w:color="auto" w:sz="4" w:space="0"/>
            </w:tcBorders>
            <w:vAlign w:val="center"/>
          </w:tcPr>
          <w:p w14:paraId="4E4C3AC7">
            <w:pPr>
              <w:ind w:firstLine="199" w:firstLineChars="83"/>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0.8m/s</w:t>
            </w:r>
          </w:p>
        </w:tc>
        <w:tc>
          <w:tcPr>
            <w:tcW w:w="2835" w:type="dxa"/>
            <w:tcBorders>
              <w:top w:val="single" w:color="auto" w:sz="4" w:space="0"/>
              <w:left w:val="nil"/>
              <w:bottom w:val="single" w:color="auto" w:sz="4" w:space="0"/>
              <w:right w:val="single" w:color="auto" w:sz="4" w:space="0"/>
            </w:tcBorders>
            <w:vAlign w:val="center"/>
          </w:tcPr>
          <w:p w14:paraId="5D77D13D">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冬季室外平均风速</w:t>
            </w:r>
          </w:p>
        </w:tc>
        <w:tc>
          <w:tcPr>
            <w:tcW w:w="1835" w:type="dxa"/>
            <w:tcBorders>
              <w:top w:val="single" w:color="auto" w:sz="4" w:space="0"/>
              <w:left w:val="nil"/>
              <w:bottom w:val="single" w:color="auto" w:sz="4" w:space="0"/>
              <w:right w:val="single" w:color="auto" w:sz="4" w:space="0"/>
            </w:tcBorders>
            <w:vAlign w:val="center"/>
          </w:tcPr>
          <w:p w14:paraId="58A2EF0B">
            <w:pPr>
              <w:ind w:firstLine="199" w:firstLineChars="83"/>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0.9m/s</w:t>
            </w:r>
          </w:p>
        </w:tc>
      </w:tr>
      <w:tr w14:paraId="4358D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89" w:type="dxa"/>
            <w:tcBorders>
              <w:top w:val="single" w:color="auto" w:sz="4" w:space="0"/>
              <w:left w:val="single" w:color="auto" w:sz="4" w:space="0"/>
              <w:bottom w:val="single" w:color="auto" w:sz="4" w:space="0"/>
              <w:right w:val="single" w:color="auto" w:sz="4" w:space="0"/>
            </w:tcBorders>
            <w:vAlign w:val="center"/>
          </w:tcPr>
          <w:p w14:paraId="4D1865F8">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夏季最多风向及频率</w:t>
            </w:r>
          </w:p>
        </w:tc>
        <w:tc>
          <w:tcPr>
            <w:tcW w:w="1701" w:type="dxa"/>
            <w:tcBorders>
              <w:top w:val="single" w:color="auto" w:sz="4" w:space="0"/>
              <w:left w:val="nil"/>
              <w:bottom w:val="single" w:color="auto" w:sz="4" w:space="0"/>
              <w:right w:val="single" w:color="auto" w:sz="4" w:space="0"/>
            </w:tcBorders>
            <w:vAlign w:val="center"/>
          </w:tcPr>
          <w:p w14:paraId="3C0CBDA0">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C/62  SSW/7</w:t>
            </w:r>
          </w:p>
        </w:tc>
        <w:tc>
          <w:tcPr>
            <w:tcW w:w="2835" w:type="dxa"/>
            <w:tcBorders>
              <w:top w:val="single" w:color="auto" w:sz="4" w:space="0"/>
              <w:left w:val="nil"/>
              <w:bottom w:val="single" w:color="auto" w:sz="4" w:space="0"/>
              <w:right w:val="single" w:color="auto" w:sz="4" w:space="0"/>
            </w:tcBorders>
            <w:vAlign w:val="center"/>
          </w:tcPr>
          <w:p w14:paraId="4FD3777E">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冬季最多风向及频率</w:t>
            </w:r>
          </w:p>
        </w:tc>
        <w:tc>
          <w:tcPr>
            <w:tcW w:w="1835" w:type="dxa"/>
            <w:tcBorders>
              <w:top w:val="single" w:color="auto" w:sz="4" w:space="0"/>
              <w:left w:val="nil"/>
              <w:bottom w:val="single" w:color="auto" w:sz="4" w:space="0"/>
              <w:right w:val="single" w:color="auto" w:sz="4" w:space="0"/>
            </w:tcBorders>
            <w:vAlign w:val="center"/>
          </w:tcPr>
          <w:p w14:paraId="7E9C0AD7">
            <w:pP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C/58  ENE/15</w:t>
            </w:r>
          </w:p>
        </w:tc>
      </w:tr>
      <w:tr w14:paraId="4CE15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89" w:type="dxa"/>
            <w:tcBorders>
              <w:top w:val="single" w:color="auto" w:sz="4" w:space="0"/>
              <w:left w:val="single" w:color="auto" w:sz="4" w:space="0"/>
              <w:bottom w:val="single" w:color="auto" w:sz="4" w:space="0"/>
              <w:right w:val="single" w:color="auto" w:sz="4" w:space="0"/>
            </w:tcBorders>
            <w:vAlign w:val="center"/>
          </w:tcPr>
          <w:p w14:paraId="41C1C59F">
            <w:pPr>
              <w:rPr>
                <w:rFonts w:eastAsiaTheme="minorEastAsia"/>
                <w:sz w:val="24"/>
                <w:szCs w:val="24"/>
              </w:rPr>
            </w:pPr>
            <w:r>
              <w:rPr>
                <w:rFonts w:hint="eastAsia" w:eastAsiaTheme="minorEastAsia"/>
                <w:sz w:val="24"/>
                <w:szCs w:val="24"/>
              </w:rPr>
              <w:t>极端最高气温</w:t>
            </w:r>
          </w:p>
        </w:tc>
        <w:tc>
          <w:tcPr>
            <w:tcW w:w="1701" w:type="dxa"/>
            <w:tcBorders>
              <w:top w:val="single" w:color="auto" w:sz="4" w:space="0"/>
              <w:left w:val="nil"/>
              <w:bottom w:val="single" w:color="auto" w:sz="4" w:space="0"/>
              <w:right w:val="single" w:color="auto" w:sz="4" w:space="0"/>
            </w:tcBorders>
            <w:vAlign w:val="center"/>
          </w:tcPr>
          <w:p w14:paraId="41C74B6A">
            <w:pPr>
              <w:ind w:firstLine="199" w:firstLineChars="83"/>
              <w:rPr>
                <w:rFonts w:eastAsiaTheme="minorEastAsia"/>
                <w:sz w:val="24"/>
                <w:szCs w:val="24"/>
              </w:rPr>
            </w:pPr>
            <w:r>
              <w:rPr>
                <w:rFonts w:hint="eastAsia" w:eastAsiaTheme="minorEastAsia"/>
                <w:sz w:val="24"/>
                <w:szCs w:val="24"/>
              </w:rPr>
              <w:t>4</w:t>
            </w:r>
            <w:r>
              <w:rPr>
                <w:rFonts w:eastAsiaTheme="minorEastAsia"/>
                <w:sz w:val="24"/>
                <w:szCs w:val="24"/>
              </w:rPr>
              <w:t>0.1</w:t>
            </w:r>
            <w:r>
              <w:rPr>
                <w:rFonts w:hint="eastAsia" w:eastAsiaTheme="minorEastAsia"/>
                <w:sz w:val="24"/>
                <w:szCs w:val="24"/>
              </w:rPr>
              <w:t>℃</w:t>
            </w:r>
          </w:p>
        </w:tc>
        <w:tc>
          <w:tcPr>
            <w:tcW w:w="2835" w:type="dxa"/>
            <w:tcBorders>
              <w:top w:val="single" w:color="auto" w:sz="4" w:space="0"/>
              <w:left w:val="nil"/>
              <w:bottom w:val="single" w:color="auto" w:sz="4" w:space="0"/>
              <w:right w:val="single" w:color="auto" w:sz="4" w:space="0"/>
            </w:tcBorders>
            <w:vAlign w:val="center"/>
          </w:tcPr>
          <w:p w14:paraId="15A4F581">
            <w:pPr>
              <w:rPr>
                <w:rFonts w:eastAsiaTheme="minorEastAsia"/>
                <w:sz w:val="24"/>
                <w:szCs w:val="24"/>
              </w:rPr>
            </w:pPr>
            <w:r>
              <w:rPr>
                <w:rFonts w:hint="eastAsia" w:eastAsiaTheme="minorEastAsia"/>
                <w:sz w:val="24"/>
                <w:szCs w:val="24"/>
              </w:rPr>
              <w:t>极端最低气温</w:t>
            </w:r>
          </w:p>
        </w:tc>
        <w:tc>
          <w:tcPr>
            <w:tcW w:w="1835" w:type="dxa"/>
            <w:tcBorders>
              <w:top w:val="single" w:color="auto" w:sz="4" w:space="0"/>
              <w:left w:val="nil"/>
              <w:bottom w:val="single" w:color="auto" w:sz="4" w:space="0"/>
              <w:right w:val="single" w:color="auto" w:sz="4" w:space="0"/>
            </w:tcBorders>
            <w:vAlign w:val="center"/>
          </w:tcPr>
          <w:p w14:paraId="746B2117">
            <w:pPr>
              <w:ind w:firstLine="199" w:firstLineChars="83"/>
              <w:rPr>
                <w:rFonts w:eastAsiaTheme="minorEastAsia"/>
                <w:sz w:val="24"/>
                <w:szCs w:val="24"/>
              </w:rPr>
            </w:pPr>
            <w:r>
              <w:rPr>
                <w:rFonts w:hint="eastAsia" w:eastAsiaTheme="minorEastAsia"/>
                <w:sz w:val="24"/>
                <w:szCs w:val="24"/>
              </w:rPr>
              <w:t>-</w:t>
            </w:r>
            <w:r>
              <w:rPr>
                <w:rFonts w:eastAsiaTheme="minorEastAsia"/>
                <w:sz w:val="24"/>
                <w:szCs w:val="24"/>
              </w:rPr>
              <w:t>9.2</w:t>
            </w:r>
            <w:r>
              <w:rPr>
                <w:rFonts w:hint="eastAsia" w:eastAsiaTheme="minorEastAsia"/>
                <w:sz w:val="24"/>
                <w:szCs w:val="24"/>
              </w:rPr>
              <w:t>℃</w:t>
            </w:r>
          </w:p>
        </w:tc>
      </w:tr>
      <w:tr w14:paraId="7BF03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89" w:type="dxa"/>
            <w:tcBorders>
              <w:top w:val="single" w:color="auto" w:sz="4" w:space="0"/>
              <w:left w:val="single" w:color="auto" w:sz="4" w:space="0"/>
              <w:bottom w:val="single" w:color="auto" w:sz="4" w:space="0"/>
              <w:right w:val="single" w:color="auto" w:sz="4" w:space="0"/>
            </w:tcBorders>
            <w:vAlign w:val="center"/>
          </w:tcPr>
          <w:p w14:paraId="7BDE3C98">
            <w:pPr>
              <w:ind w:firstLine="480"/>
              <w:jc w:val="center"/>
              <w:rPr>
                <w:rFonts w:eastAsiaTheme="minorEastAsia"/>
                <w:sz w:val="24"/>
                <w:szCs w:val="24"/>
              </w:rPr>
            </w:pPr>
          </w:p>
        </w:tc>
        <w:tc>
          <w:tcPr>
            <w:tcW w:w="1701" w:type="dxa"/>
            <w:tcBorders>
              <w:top w:val="single" w:color="auto" w:sz="4" w:space="0"/>
              <w:left w:val="nil"/>
              <w:bottom w:val="single" w:color="auto" w:sz="4" w:space="0"/>
              <w:right w:val="single" w:color="auto" w:sz="4" w:space="0"/>
            </w:tcBorders>
            <w:vAlign w:val="center"/>
          </w:tcPr>
          <w:p w14:paraId="17C79273">
            <w:pPr>
              <w:ind w:firstLine="480"/>
              <w:jc w:val="center"/>
              <w:rPr>
                <w:rFonts w:eastAsiaTheme="minorEastAsia"/>
                <w:sz w:val="24"/>
                <w:szCs w:val="24"/>
              </w:rPr>
            </w:pPr>
          </w:p>
        </w:tc>
        <w:tc>
          <w:tcPr>
            <w:tcW w:w="2835" w:type="dxa"/>
            <w:tcBorders>
              <w:top w:val="single" w:color="auto" w:sz="4" w:space="0"/>
              <w:left w:val="nil"/>
              <w:bottom w:val="single" w:color="auto" w:sz="4" w:space="0"/>
              <w:right w:val="single" w:color="auto" w:sz="4" w:space="0"/>
            </w:tcBorders>
            <w:vAlign w:val="center"/>
          </w:tcPr>
          <w:p w14:paraId="5E4A09BC">
            <w:pPr>
              <w:rPr>
                <w:rFonts w:eastAsiaTheme="minorEastAsia"/>
                <w:sz w:val="24"/>
                <w:szCs w:val="24"/>
              </w:rPr>
            </w:pPr>
            <w:r>
              <w:rPr>
                <w:rFonts w:hint="eastAsia" w:eastAsiaTheme="minorEastAsia"/>
                <w:sz w:val="24"/>
                <w:szCs w:val="24"/>
              </w:rPr>
              <w:t>日平均温度≤5℃的天数</w:t>
            </w:r>
          </w:p>
        </w:tc>
        <w:tc>
          <w:tcPr>
            <w:tcW w:w="1835" w:type="dxa"/>
            <w:tcBorders>
              <w:top w:val="single" w:color="auto" w:sz="4" w:space="0"/>
              <w:left w:val="nil"/>
              <w:bottom w:val="single" w:color="auto" w:sz="4" w:space="0"/>
              <w:right w:val="single" w:color="auto" w:sz="4" w:space="0"/>
            </w:tcBorders>
            <w:vAlign w:val="center"/>
          </w:tcPr>
          <w:p w14:paraId="596467D5">
            <w:pPr>
              <w:ind w:firstLine="199" w:firstLineChars="83"/>
              <w:rPr>
                <w:rFonts w:eastAsiaTheme="minorEastAsia"/>
                <w:sz w:val="24"/>
                <w:szCs w:val="24"/>
              </w:rPr>
            </w:pPr>
            <w:r>
              <w:rPr>
                <w:rFonts w:hint="eastAsia" w:eastAsiaTheme="minorEastAsia"/>
                <w:sz w:val="24"/>
                <w:szCs w:val="24"/>
              </w:rPr>
              <w:t>5</w:t>
            </w:r>
          </w:p>
        </w:tc>
      </w:tr>
    </w:tbl>
    <w:p w14:paraId="578D800E">
      <w:pPr>
        <w:spacing w:line="460" w:lineRule="exact"/>
        <w:ind w:firstLine="420" w:firstLineChars="200"/>
        <w:rPr>
          <w:rFonts w:eastAsiaTheme="minorEastAsia"/>
          <w:szCs w:val="24"/>
        </w:rPr>
      </w:pPr>
    </w:p>
    <w:bookmarkEnd w:id="503"/>
    <w:bookmarkEnd w:id="504"/>
    <w:bookmarkEnd w:id="505"/>
    <w:bookmarkEnd w:id="506"/>
    <w:p w14:paraId="6A767445">
      <w:pPr>
        <w:spacing w:line="460" w:lineRule="exact"/>
        <w:ind w:firstLine="422" w:firstLineChars="200"/>
        <w:rPr>
          <w:rFonts w:eastAsiaTheme="minorEastAsia"/>
          <w:b/>
          <w:szCs w:val="24"/>
        </w:rPr>
      </w:pPr>
    </w:p>
    <w:p w14:paraId="5D577D71">
      <w:pPr>
        <w:spacing w:line="460" w:lineRule="exact"/>
        <w:ind w:firstLine="420" w:firstLineChars="200"/>
        <w:sectPr>
          <w:headerReference r:id="rId8" w:type="default"/>
          <w:footerReference r:id="rId9" w:type="default"/>
          <w:footerReference r:id="rId10" w:type="even"/>
          <w:pgSz w:w="11907" w:h="16839"/>
          <w:pgMar w:top="1701" w:right="1418" w:bottom="1418" w:left="1418" w:header="1021" w:footer="1021" w:gutter="0"/>
          <w:pgNumType w:start="1"/>
          <w:cols w:space="720" w:num="1"/>
          <w:docGrid w:linePitch="286" w:charSpace="0"/>
        </w:sectPr>
      </w:pPr>
    </w:p>
    <w:p w14:paraId="007433FE">
      <w:pPr>
        <w:pStyle w:val="121"/>
        <w:numPr>
          <w:ilvl w:val="2"/>
          <w:numId w:val="5"/>
        </w:numPr>
        <w:tabs>
          <w:tab w:val="left" w:pos="993"/>
        </w:tabs>
        <w:snapToGrid w:val="0"/>
        <w:spacing w:line="480" w:lineRule="atLeast"/>
        <w:ind w:left="0" w:firstLine="480" w:firstLineChars="200"/>
        <w:outlineLvl w:val="2"/>
        <w:rPr>
          <w:rFonts w:eastAsiaTheme="minorEastAsia"/>
          <w:b w:val="0"/>
          <w:szCs w:val="24"/>
        </w:rPr>
      </w:pPr>
      <w:r>
        <w:rPr>
          <w:rFonts w:hint="eastAsia" w:eastAsiaTheme="minorEastAsia"/>
          <w:b w:val="0"/>
          <w:szCs w:val="24"/>
        </w:rPr>
        <w:t>室内设计计算参数</w:t>
      </w:r>
    </w:p>
    <w:p w14:paraId="04FB45E2">
      <w:pPr>
        <w:pStyle w:val="121"/>
        <w:numPr>
          <w:ilvl w:val="0"/>
          <w:numId w:val="0"/>
        </w:numPr>
        <w:tabs>
          <w:tab w:val="center" w:pos="6946"/>
        </w:tabs>
        <w:snapToGrid w:val="0"/>
        <w:spacing w:line="480" w:lineRule="atLeast"/>
        <w:ind w:firstLine="1680" w:firstLineChars="700"/>
        <w:rPr>
          <w:rFonts w:eastAsiaTheme="minorEastAsia"/>
          <w:b w:val="0"/>
          <w:szCs w:val="24"/>
        </w:rPr>
      </w:pPr>
      <w:r>
        <w:rPr>
          <w:rFonts w:hint="eastAsia" w:eastAsiaTheme="minorEastAsia"/>
          <w:b w:val="0"/>
          <w:szCs w:val="24"/>
        </w:rPr>
        <w:t>表</w:t>
      </w:r>
      <w:r>
        <w:rPr>
          <w:rFonts w:eastAsiaTheme="minorEastAsia"/>
          <w:b w:val="0"/>
          <w:szCs w:val="24"/>
        </w:rPr>
        <w:t xml:space="preserve">3-2     </w:t>
      </w:r>
      <w:r>
        <w:rPr>
          <w:rFonts w:eastAsiaTheme="minorEastAsia"/>
          <w:b w:val="0"/>
          <w:szCs w:val="24"/>
        </w:rPr>
        <w:tab/>
      </w:r>
      <w:r>
        <w:rPr>
          <w:rFonts w:hint="eastAsia" w:eastAsiaTheme="minorEastAsia"/>
          <w:b w:val="0"/>
          <w:szCs w:val="24"/>
        </w:rPr>
        <w:t>阀厅及主控楼室内设计参数及系统型式</w:t>
      </w:r>
    </w:p>
    <w:tbl>
      <w:tblPr>
        <w:tblStyle w:val="41"/>
        <w:tblW w:w="12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85"/>
        <w:gridCol w:w="3456"/>
        <w:gridCol w:w="1043"/>
        <w:gridCol w:w="1054"/>
        <w:gridCol w:w="1291"/>
        <w:gridCol w:w="1113"/>
        <w:gridCol w:w="1946"/>
        <w:gridCol w:w="2065"/>
      </w:tblGrid>
      <w:tr w14:paraId="5E76B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blHeader/>
          <w:jc w:val="center"/>
        </w:trPr>
        <w:tc>
          <w:tcPr>
            <w:tcW w:w="785" w:type="dxa"/>
            <w:vMerge w:val="restart"/>
            <w:shd w:val="clear" w:color="auto" w:fill="auto"/>
            <w:vAlign w:val="center"/>
          </w:tcPr>
          <w:p w14:paraId="36B4A1D5">
            <w:pPr>
              <w:pStyle w:val="10"/>
              <w:widowControl w:val="0"/>
              <w:adjustRightInd w:val="0"/>
              <w:snapToGrid w:val="0"/>
              <w:spacing w:after="0" w:line="440" w:lineRule="atLeast"/>
              <w:jc w:val="center"/>
              <w:rPr>
                <w:rFonts w:eastAsiaTheme="minorEastAsia"/>
                <w:sz w:val="24"/>
                <w:szCs w:val="24"/>
              </w:rPr>
            </w:pPr>
            <w:r>
              <w:rPr>
                <w:rFonts w:hint="eastAsia" w:eastAsiaTheme="minorEastAsia"/>
                <w:sz w:val="24"/>
                <w:szCs w:val="24"/>
              </w:rPr>
              <w:t>序号</w:t>
            </w:r>
          </w:p>
        </w:tc>
        <w:tc>
          <w:tcPr>
            <w:tcW w:w="3456" w:type="dxa"/>
            <w:vMerge w:val="restart"/>
            <w:shd w:val="clear" w:color="auto" w:fill="auto"/>
            <w:vAlign w:val="center"/>
          </w:tcPr>
          <w:p w14:paraId="4AB1263A">
            <w:pPr>
              <w:pStyle w:val="10"/>
              <w:widowControl w:val="0"/>
              <w:adjustRightInd w:val="0"/>
              <w:snapToGrid w:val="0"/>
              <w:spacing w:after="0" w:line="440" w:lineRule="atLeast"/>
              <w:jc w:val="center"/>
              <w:rPr>
                <w:rFonts w:eastAsiaTheme="minorEastAsia"/>
                <w:sz w:val="24"/>
                <w:szCs w:val="24"/>
              </w:rPr>
            </w:pPr>
            <w:r>
              <w:rPr>
                <w:rFonts w:hint="eastAsia" w:eastAsiaTheme="minorEastAsia"/>
                <w:sz w:val="24"/>
                <w:szCs w:val="24"/>
              </w:rPr>
              <w:t>建筑物或房间名称</w:t>
            </w:r>
          </w:p>
        </w:tc>
        <w:tc>
          <w:tcPr>
            <w:tcW w:w="2097" w:type="dxa"/>
            <w:gridSpan w:val="2"/>
            <w:shd w:val="clear" w:color="auto" w:fill="auto"/>
            <w:vAlign w:val="center"/>
          </w:tcPr>
          <w:p w14:paraId="0914625B">
            <w:pPr>
              <w:pStyle w:val="10"/>
              <w:widowControl w:val="0"/>
              <w:adjustRightInd w:val="0"/>
              <w:snapToGrid w:val="0"/>
              <w:spacing w:after="0" w:line="440" w:lineRule="atLeast"/>
              <w:jc w:val="center"/>
              <w:rPr>
                <w:rFonts w:eastAsiaTheme="minorEastAsia"/>
                <w:sz w:val="24"/>
                <w:szCs w:val="24"/>
              </w:rPr>
            </w:pPr>
            <w:r>
              <w:rPr>
                <w:rFonts w:hint="eastAsia" w:eastAsiaTheme="minorEastAsia"/>
                <w:sz w:val="24"/>
                <w:szCs w:val="24"/>
              </w:rPr>
              <w:t>室内温度</w:t>
            </w:r>
          </w:p>
        </w:tc>
        <w:tc>
          <w:tcPr>
            <w:tcW w:w="2404" w:type="dxa"/>
            <w:gridSpan w:val="2"/>
            <w:shd w:val="clear" w:color="auto" w:fill="auto"/>
            <w:vAlign w:val="center"/>
          </w:tcPr>
          <w:p w14:paraId="6E0DE405">
            <w:pPr>
              <w:pStyle w:val="10"/>
              <w:widowControl w:val="0"/>
              <w:adjustRightInd w:val="0"/>
              <w:snapToGrid w:val="0"/>
              <w:spacing w:after="0" w:line="440" w:lineRule="atLeast"/>
              <w:jc w:val="center"/>
              <w:rPr>
                <w:rFonts w:eastAsiaTheme="minorEastAsia"/>
                <w:sz w:val="24"/>
                <w:szCs w:val="24"/>
              </w:rPr>
            </w:pPr>
            <w:r>
              <w:rPr>
                <w:rFonts w:hint="eastAsia" w:eastAsiaTheme="minorEastAsia"/>
                <w:sz w:val="24"/>
                <w:szCs w:val="24"/>
              </w:rPr>
              <w:t>室内相对湿度</w:t>
            </w:r>
          </w:p>
        </w:tc>
        <w:tc>
          <w:tcPr>
            <w:tcW w:w="1946" w:type="dxa"/>
            <w:vMerge w:val="restart"/>
            <w:shd w:val="clear" w:color="auto" w:fill="auto"/>
            <w:vAlign w:val="center"/>
          </w:tcPr>
          <w:p w14:paraId="25F17F0A">
            <w:pPr>
              <w:pStyle w:val="10"/>
              <w:widowControl w:val="0"/>
              <w:adjustRightInd w:val="0"/>
              <w:snapToGrid w:val="0"/>
              <w:spacing w:after="0" w:line="440" w:lineRule="atLeast"/>
              <w:jc w:val="center"/>
              <w:rPr>
                <w:rFonts w:eastAsiaTheme="minorEastAsia"/>
                <w:sz w:val="24"/>
                <w:szCs w:val="24"/>
              </w:rPr>
            </w:pPr>
            <w:r>
              <w:rPr>
                <w:rFonts w:hint="eastAsia" w:eastAsiaTheme="minorEastAsia"/>
                <w:sz w:val="24"/>
                <w:szCs w:val="24"/>
              </w:rPr>
              <w:t>最小新风量或</w:t>
            </w:r>
          </w:p>
          <w:p w14:paraId="3CA379C6">
            <w:pPr>
              <w:pStyle w:val="10"/>
              <w:widowControl w:val="0"/>
              <w:adjustRightInd w:val="0"/>
              <w:snapToGrid w:val="0"/>
              <w:spacing w:after="0" w:line="440" w:lineRule="atLeast"/>
              <w:jc w:val="center"/>
              <w:rPr>
                <w:rFonts w:eastAsiaTheme="minorEastAsia"/>
                <w:sz w:val="24"/>
                <w:szCs w:val="24"/>
              </w:rPr>
            </w:pPr>
            <w:r>
              <w:rPr>
                <w:rFonts w:hint="eastAsia" w:eastAsiaTheme="minorEastAsia"/>
                <w:sz w:val="24"/>
                <w:szCs w:val="24"/>
              </w:rPr>
              <w:t>换气次数</w:t>
            </w:r>
          </w:p>
        </w:tc>
        <w:tc>
          <w:tcPr>
            <w:tcW w:w="2065" w:type="dxa"/>
            <w:vMerge w:val="restart"/>
            <w:shd w:val="clear" w:color="auto" w:fill="auto"/>
            <w:vAlign w:val="center"/>
          </w:tcPr>
          <w:p w14:paraId="66838448">
            <w:pPr>
              <w:pStyle w:val="10"/>
              <w:widowControl w:val="0"/>
              <w:adjustRightInd w:val="0"/>
              <w:snapToGrid w:val="0"/>
              <w:spacing w:after="0" w:line="440" w:lineRule="atLeast"/>
              <w:jc w:val="center"/>
              <w:rPr>
                <w:rFonts w:eastAsiaTheme="minorEastAsia"/>
                <w:sz w:val="24"/>
                <w:szCs w:val="24"/>
              </w:rPr>
            </w:pPr>
            <w:r>
              <w:rPr>
                <w:rFonts w:hint="eastAsia" w:eastAsiaTheme="minorEastAsia"/>
                <w:sz w:val="24"/>
                <w:szCs w:val="24"/>
              </w:rPr>
              <w:t>室内压力</w:t>
            </w:r>
          </w:p>
        </w:tc>
      </w:tr>
      <w:tr w14:paraId="608AE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blHeader/>
          <w:jc w:val="center"/>
        </w:trPr>
        <w:tc>
          <w:tcPr>
            <w:tcW w:w="785" w:type="dxa"/>
            <w:vMerge w:val="continue"/>
            <w:shd w:val="clear" w:color="auto" w:fill="auto"/>
            <w:vAlign w:val="center"/>
          </w:tcPr>
          <w:p w14:paraId="0B9CEAAB">
            <w:pPr>
              <w:pStyle w:val="10"/>
              <w:widowControl w:val="0"/>
              <w:adjustRightInd w:val="0"/>
              <w:snapToGrid w:val="0"/>
              <w:spacing w:after="0" w:line="440" w:lineRule="atLeast"/>
              <w:jc w:val="center"/>
              <w:rPr>
                <w:rFonts w:eastAsiaTheme="minorEastAsia"/>
                <w:sz w:val="24"/>
                <w:szCs w:val="24"/>
              </w:rPr>
            </w:pPr>
          </w:p>
        </w:tc>
        <w:tc>
          <w:tcPr>
            <w:tcW w:w="3456" w:type="dxa"/>
            <w:vMerge w:val="continue"/>
            <w:shd w:val="clear" w:color="auto" w:fill="auto"/>
            <w:vAlign w:val="center"/>
          </w:tcPr>
          <w:p w14:paraId="1DE35334">
            <w:pPr>
              <w:pStyle w:val="10"/>
              <w:widowControl w:val="0"/>
              <w:adjustRightInd w:val="0"/>
              <w:snapToGrid w:val="0"/>
              <w:spacing w:after="0" w:line="440" w:lineRule="atLeast"/>
              <w:jc w:val="center"/>
              <w:rPr>
                <w:rFonts w:eastAsiaTheme="minorEastAsia"/>
                <w:sz w:val="24"/>
                <w:szCs w:val="24"/>
              </w:rPr>
            </w:pPr>
          </w:p>
        </w:tc>
        <w:tc>
          <w:tcPr>
            <w:tcW w:w="1043" w:type="dxa"/>
            <w:shd w:val="clear" w:color="auto" w:fill="auto"/>
            <w:vAlign w:val="center"/>
          </w:tcPr>
          <w:p w14:paraId="34FBA465">
            <w:pPr>
              <w:pStyle w:val="10"/>
              <w:widowControl w:val="0"/>
              <w:adjustRightInd w:val="0"/>
              <w:snapToGrid w:val="0"/>
              <w:spacing w:after="0" w:line="440" w:lineRule="atLeast"/>
              <w:jc w:val="center"/>
              <w:rPr>
                <w:rFonts w:eastAsiaTheme="minorEastAsia"/>
                <w:sz w:val="24"/>
                <w:szCs w:val="24"/>
              </w:rPr>
            </w:pPr>
            <w:r>
              <w:rPr>
                <w:rFonts w:hint="eastAsia" w:eastAsiaTheme="minorEastAsia"/>
                <w:sz w:val="24"/>
                <w:szCs w:val="24"/>
              </w:rPr>
              <w:t>夏季</w:t>
            </w:r>
          </w:p>
        </w:tc>
        <w:tc>
          <w:tcPr>
            <w:tcW w:w="1054" w:type="dxa"/>
            <w:shd w:val="clear" w:color="auto" w:fill="auto"/>
            <w:vAlign w:val="center"/>
          </w:tcPr>
          <w:p w14:paraId="34DE7A81">
            <w:pPr>
              <w:pStyle w:val="10"/>
              <w:widowControl w:val="0"/>
              <w:adjustRightInd w:val="0"/>
              <w:snapToGrid w:val="0"/>
              <w:spacing w:after="0" w:line="440" w:lineRule="atLeast"/>
              <w:jc w:val="center"/>
              <w:rPr>
                <w:rFonts w:eastAsiaTheme="minorEastAsia"/>
                <w:sz w:val="24"/>
                <w:szCs w:val="24"/>
              </w:rPr>
            </w:pPr>
            <w:r>
              <w:rPr>
                <w:rFonts w:hint="eastAsia" w:eastAsiaTheme="minorEastAsia"/>
                <w:sz w:val="24"/>
                <w:szCs w:val="24"/>
              </w:rPr>
              <w:t>冬季</w:t>
            </w:r>
          </w:p>
        </w:tc>
        <w:tc>
          <w:tcPr>
            <w:tcW w:w="1291" w:type="dxa"/>
            <w:shd w:val="clear" w:color="auto" w:fill="auto"/>
            <w:vAlign w:val="center"/>
          </w:tcPr>
          <w:p w14:paraId="560E6919">
            <w:pPr>
              <w:pStyle w:val="10"/>
              <w:widowControl w:val="0"/>
              <w:adjustRightInd w:val="0"/>
              <w:snapToGrid w:val="0"/>
              <w:spacing w:after="0" w:line="440" w:lineRule="atLeast"/>
              <w:jc w:val="center"/>
              <w:rPr>
                <w:rFonts w:eastAsiaTheme="minorEastAsia"/>
                <w:sz w:val="24"/>
                <w:szCs w:val="24"/>
              </w:rPr>
            </w:pPr>
            <w:r>
              <w:rPr>
                <w:rFonts w:hint="eastAsia" w:eastAsiaTheme="minorEastAsia"/>
                <w:sz w:val="24"/>
                <w:szCs w:val="24"/>
              </w:rPr>
              <w:t>夏季</w:t>
            </w:r>
          </w:p>
        </w:tc>
        <w:tc>
          <w:tcPr>
            <w:tcW w:w="1113" w:type="dxa"/>
            <w:shd w:val="clear" w:color="auto" w:fill="auto"/>
            <w:vAlign w:val="center"/>
          </w:tcPr>
          <w:p w14:paraId="01E2D3CE">
            <w:pPr>
              <w:pStyle w:val="10"/>
              <w:widowControl w:val="0"/>
              <w:adjustRightInd w:val="0"/>
              <w:snapToGrid w:val="0"/>
              <w:spacing w:after="0" w:line="440" w:lineRule="atLeast"/>
              <w:jc w:val="center"/>
              <w:rPr>
                <w:rFonts w:eastAsiaTheme="minorEastAsia"/>
                <w:sz w:val="24"/>
                <w:szCs w:val="24"/>
              </w:rPr>
            </w:pPr>
            <w:r>
              <w:rPr>
                <w:rFonts w:hint="eastAsia" w:eastAsiaTheme="minorEastAsia"/>
                <w:sz w:val="24"/>
                <w:szCs w:val="24"/>
              </w:rPr>
              <w:t>冬季</w:t>
            </w:r>
          </w:p>
        </w:tc>
        <w:tc>
          <w:tcPr>
            <w:tcW w:w="1946" w:type="dxa"/>
            <w:vMerge w:val="continue"/>
            <w:shd w:val="clear" w:color="auto" w:fill="auto"/>
            <w:vAlign w:val="center"/>
          </w:tcPr>
          <w:p w14:paraId="75E432A4">
            <w:pPr>
              <w:pStyle w:val="10"/>
              <w:widowControl w:val="0"/>
              <w:adjustRightInd w:val="0"/>
              <w:snapToGrid w:val="0"/>
              <w:spacing w:after="0" w:line="440" w:lineRule="atLeast"/>
              <w:jc w:val="center"/>
              <w:rPr>
                <w:rFonts w:eastAsiaTheme="minorEastAsia"/>
                <w:sz w:val="24"/>
                <w:szCs w:val="24"/>
              </w:rPr>
            </w:pPr>
          </w:p>
        </w:tc>
        <w:tc>
          <w:tcPr>
            <w:tcW w:w="2065" w:type="dxa"/>
            <w:vMerge w:val="continue"/>
            <w:shd w:val="clear" w:color="auto" w:fill="auto"/>
            <w:vAlign w:val="center"/>
          </w:tcPr>
          <w:p w14:paraId="4E77AF3F">
            <w:pPr>
              <w:pStyle w:val="10"/>
              <w:widowControl w:val="0"/>
              <w:adjustRightInd w:val="0"/>
              <w:snapToGrid w:val="0"/>
              <w:spacing w:after="0" w:line="440" w:lineRule="atLeast"/>
              <w:jc w:val="center"/>
              <w:rPr>
                <w:rFonts w:eastAsiaTheme="minorEastAsia"/>
                <w:sz w:val="24"/>
                <w:szCs w:val="24"/>
              </w:rPr>
            </w:pPr>
          </w:p>
        </w:tc>
      </w:tr>
      <w:tr w14:paraId="2751B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blHeader/>
          <w:jc w:val="center"/>
        </w:trPr>
        <w:tc>
          <w:tcPr>
            <w:tcW w:w="785" w:type="dxa"/>
            <w:vMerge w:val="continue"/>
            <w:shd w:val="clear" w:color="auto" w:fill="auto"/>
            <w:vAlign w:val="center"/>
          </w:tcPr>
          <w:p w14:paraId="4B43706A">
            <w:pPr>
              <w:pStyle w:val="10"/>
              <w:widowControl w:val="0"/>
              <w:adjustRightInd w:val="0"/>
              <w:snapToGrid w:val="0"/>
              <w:spacing w:after="0" w:line="440" w:lineRule="atLeast"/>
              <w:jc w:val="center"/>
              <w:rPr>
                <w:rFonts w:eastAsiaTheme="minorEastAsia"/>
                <w:sz w:val="24"/>
                <w:szCs w:val="24"/>
              </w:rPr>
            </w:pPr>
          </w:p>
        </w:tc>
        <w:tc>
          <w:tcPr>
            <w:tcW w:w="3456" w:type="dxa"/>
            <w:vMerge w:val="continue"/>
            <w:shd w:val="clear" w:color="auto" w:fill="auto"/>
            <w:vAlign w:val="center"/>
          </w:tcPr>
          <w:p w14:paraId="753C659A">
            <w:pPr>
              <w:pStyle w:val="10"/>
              <w:widowControl w:val="0"/>
              <w:adjustRightInd w:val="0"/>
              <w:snapToGrid w:val="0"/>
              <w:spacing w:after="0" w:line="440" w:lineRule="atLeast"/>
              <w:jc w:val="center"/>
              <w:rPr>
                <w:rFonts w:eastAsiaTheme="minorEastAsia"/>
                <w:sz w:val="24"/>
                <w:szCs w:val="24"/>
              </w:rPr>
            </w:pPr>
          </w:p>
        </w:tc>
        <w:tc>
          <w:tcPr>
            <w:tcW w:w="1043" w:type="dxa"/>
            <w:shd w:val="clear" w:color="auto" w:fill="auto"/>
            <w:vAlign w:val="center"/>
          </w:tcPr>
          <w:p w14:paraId="2912AFA5">
            <w:pPr>
              <w:pStyle w:val="10"/>
              <w:widowControl w:val="0"/>
              <w:adjustRightInd w:val="0"/>
              <w:snapToGrid w:val="0"/>
              <w:spacing w:after="0" w:line="440" w:lineRule="atLeast"/>
              <w:jc w:val="center"/>
              <w:rPr>
                <w:rFonts w:eastAsiaTheme="minorEastAsia"/>
                <w:sz w:val="24"/>
                <w:szCs w:val="24"/>
              </w:rPr>
            </w:pPr>
            <w:r>
              <w:rPr>
                <w:rFonts w:eastAsiaTheme="minorEastAsia"/>
                <w:sz w:val="24"/>
                <w:szCs w:val="24"/>
              </w:rPr>
              <w:sym w:font="Symbol" w:char="F0B0"/>
            </w:r>
            <w:r>
              <w:rPr>
                <w:rFonts w:eastAsiaTheme="minorEastAsia"/>
                <w:sz w:val="24"/>
                <w:szCs w:val="24"/>
              </w:rPr>
              <w:t>C</w:t>
            </w:r>
          </w:p>
        </w:tc>
        <w:tc>
          <w:tcPr>
            <w:tcW w:w="1054" w:type="dxa"/>
            <w:shd w:val="clear" w:color="auto" w:fill="auto"/>
            <w:vAlign w:val="center"/>
          </w:tcPr>
          <w:p w14:paraId="4CE91998">
            <w:pPr>
              <w:pStyle w:val="10"/>
              <w:widowControl w:val="0"/>
              <w:adjustRightInd w:val="0"/>
              <w:snapToGrid w:val="0"/>
              <w:spacing w:after="0" w:line="440" w:lineRule="atLeast"/>
              <w:jc w:val="center"/>
              <w:rPr>
                <w:rFonts w:eastAsiaTheme="minorEastAsia"/>
                <w:sz w:val="24"/>
                <w:szCs w:val="24"/>
              </w:rPr>
            </w:pPr>
            <w:r>
              <w:rPr>
                <w:rFonts w:eastAsiaTheme="minorEastAsia"/>
                <w:sz w:val="24"/>
                <w:szCs w:val="24"/>
              </w:rPr>
              <w:sym w:font="Symbol" w:char="F0B0"/>
            </w:r>
            <w:r>
              <w:rPr>
                <w:rFonts w:eastAsiaTheme="minorEastAsia"/>
                <w:sz w:val="24"/>
                <w:szCs w:val="24"/>
              </w:rPr>
              <w:t>C</w:t>
            </w:r>
          </w:p>
        </w:tc>
        <w:tc>
          <w:tcPr>
            <w:tcW w:w="1291" w:type="dxa"/>
            <w:shd w:val="clear" w:color="auto" w:fill="auto"/>
            <w:vAlign w:val="center"/>
          </w:tcPr>
          <w:p w14:paraId="2587AF17">
            <w:pPr>
              <w:pStyle w:val="10"/>
              <w:widowControl w:val="0"/>
              <w:adjustRightInd w:val="0"/>
              <w:snapToGrid w:val="0"/>
              <w:spacing w:after="0" w:line="440" w:lineRule="atLeast"/>
              <w:jc w:val="center"/>
              <w:rPr>
                <w:rFonts w:eastAsiaTheme="minorEastAsia"/>
                <w:sz w:val="24"/>
                <w:szCs w:val="24"/>
              </w:rPr>
            </w:pPr>
            <w:r>
              <w:rPr>
                <w:rFonts w:eastAsiaTheme="minorEastAsia"/>
                <w:sz w:val="24"/>
                <w:szCs w:val="24"/>
              </w:rPr>
              <w:t>%</w:t>
            </w:r>
          </w:p>
        </w:tc>
        <w:tc>
          <w:tcPr>
            <w:tcW w:w="1113" w:type="dxa"/>
            <w:shd w:val="clear" w:color="auto" w:fill="auto"/>
            <w:vAlign w:val="center"/>
          </w:tcPr>
          <w:p w14:paraId="6154DB26">
            <w:pPr>
              <w:pStyle w:val="10"/>
              <w:widowControl w:val="0"/>
              <w:adjustRightInd w:val="0"/>
              <w:snapToGrid w:val="0"/>
              <w:spacing w:after="0" w:line="440" w:lineRule="atLeast"/>
              <w:jc w:val="center"/>
              <w:rPr>
                <w:rFonts w:eastAsiaTheme="minorEastAsia"/>
                <w:sz w:val="24"/>
                <w:szCs w:val="24"/>
              </w:rPr>
            </w:pPr>
            <w:r>
              <w:rPr>
                <w:rFonts w:eastAsiaTheme="minorEastAsia"/>
                <w:sz w:val="24"/>
                <w:szCs w:val="24"/>
              </w:rPr>
              <w:t>%</w:t>
            </w:r>
          </w:p>
        </w:tc>
        <w:tc>
          <w:tcPr>
            <w:tcW w:w="1946" w:type="dxa"/>
            <w:shd w:val="clear" w:color="auto" w:fill="auto"/>
            <w:vAlign w:val="center"/>
          </w:tcPr>
          <w:p w14:paraId="0F6819D3">
            <w:pPr>
              <w:pStyle w:val="10"/>
              <w:widowControl w:val="0"/>
              <w:adjustRightInd w:val="0"/>
              <w:snapToGrid w:val="0"/>
              <w:spacing w:after="0" w:line="440" w:lineRule="atLeast"/>
              <w:jc w:val="center"/>
              <w:rPr>
                <w:rFonts w:eastAsiaTheme="minorEastAsia"/>
                <w:sz w:val="24"/>
                <w:szCs w:val="24"/>
              </w:rPr>
            </w:pPr>
            <w:r>
              <w:rPr>
                <w:rFonts w:eastAsiaTheme="minorEastAsia"/>
                <w:sz w:val="24"/>
                <w:szCs w:val="24"/>
              </w:rPr>
              <w:t>m</w:t>
            </w:r>
            <w:r>
              <w:rPr>
                <w:rFonts w:eastAsiaTheme="minorEastAsia"/>
                <w:sz w:val="24"/>
                <w:szCs w:val="24"/>
                <w:vertAlign w:val="superscript"/>
              </w:rPr>
              <w:t>3</w:t>
            </w:r>
            <w:r>
              <w:rPr>
                <w:rFonts w:eastAsiaTheme="minorEastAsia"/>
                <w:sz w:val="24"/>
                <w:szCs w:val="24"/>
              </w:rPr>
              <w:t>/h*</w:t>
            </w:r>
            <w:r>
              <w:rPr>
                <w:rFonts w:hint="eastAsia" w:eastAsiaTheme="minorEastAsia"/>
                <w:sz w:val="24"/>
                <w:szCs w:val="24"/>
              </w:rPr>
              <w:t>人</w:t>
            </w:r>
            <w:r>
              <w:rPr>
                <w:rFonts w:eastAsiaTheme="minorEastAsia"/>
                <w:sz w:val="24"/>
                <w:szCs w:val="24"/>
              </w:rPr>
              <w:t xml:space="preserve"> (</w:t>
            </w:r>
            <w:r>
              <w:rPr>
                <w:rFonts w:hint="eastAsia" w:eastAsiaTheme="minorEastAsia"/>
                <w:sz w:val="24"/>
                <w:szCs w:val="24"/>
              </w:rPr>
              <w:t>次</w:t>
            </w:r>
            <w:r>
              <w:rPr>
                <w:rFonts w:eastAsiaTheme="minorEastAsia"/>
                <w:sz w:val="24"/>
                <w:szCs w:val="24"/>
              </w:rPr>
              <w:t>/h)</w:t>
            </w:r>
          </w:p>
        </w:tc>
        <w:tc>
          <w:tcPr>
            <w:tcW w:w="2065" w:type="dxa"/>
            <w:shd w:val="clear" w:color="auto" w:fill="auto"/>
            <w:vAlign w:val="center"/>
          </w:tcPr>
          <w:p w14:paraId="27B35F0A">
            <w:pPr>
              <w:pStyle w:val="10"/>
              <w:widowControl w:val="0"/>
              <w:adjustRightInd w:val="0"/>
              <w:snapToGrid w:val="0"/>
              <w:spacing w:after="0" w:line="440" w:lineRule="atLeast"/>
              <w:jc w:val="center"/>
              <w:rPr>
                <w:rFonts w:eastAsiaTheme="minorEastAsia"/>
                <w:sz w:val="24"/>
                <w:szCs w:val="24"/>
              </w:rPr>
            </w:pPr>
            <w:r>
              <w:rPr>
                <w:rFonts w:eastAsiaTheme="minorEastAsia"/>
                <w:sz w:val="24"/>
                <w:szCs w:val="24"/>
              </w:rPr>
              <w:t>Pa</w:t>
            </w:r>
          </w:p>
        </w:tc>
      </w:tr>
      <w:tr w14:paraId="08127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05BE3699">
            <w:pPr>
              <w:pStyle w:val="10"/>
              <w:widowControl w:val="0"/>
              <w:adjustRightInd w:val="0"/>
              <w:snapToGrid w:val="0"/>
              <w:spacing w:after="0" w:line="440" w:lineRule="atLeast"/>
              <w:jc w:val="center"/>
              <w:rPr>
                <w:rFonts w:eastAsiaTheme="minorEastAsia"/>
                <w:b/>
                <w:sz w:val="24"/>
                <w:szCs w:val="24"/>
              </w:rPr>
            </w:pPr>
            <w:r>
              <w:rPr>
                <w:rFonts w:ascii="宋体" w:hAnsi="宋体"/>
                <w:sz w:val="20"/>
                <w:lang w:eastAsia="en-US"/>
              </w:rPr>
              <w:t>1</w:t>
            </w:r>
          </w:p>
        </w:tc>
        <w:tc>
          <w:tcPr>
            <w:tcW w:w="3456" w:type="dxa"/>
            <w:shd w:val="clear" w:color="auto" w:fill="auto"/>
          </w:tcPr>
          <w:p w14:paraId="6D413158">
            <w:pPr>
              <w:pStyle w:val="10"/>
              <w:widowControl w:val="0"/>
              <w:adjustRightInd w:val="0"/>
              <w:snapToGrid w:val="0"/>
              <w:spacing w:after="0" w:line="440" w:lineRule="atLeast"/>
              <w:rPr>
                <w:rFonts w:eastAsiaTheme="minorEastAsia"/>
                <w:b/>
                <w:sz w:val="24"/>
                <w:szCs w:val="24"/>
              </w:rPr>
            </w:pPr>
            <w:r>
              <w:rPr>
                <w:rFonts w:ascii="宋体" w:hAnsi="宋体" w:cs="宋体"/>
                <w:spacing w:val="-5"/>
                <w:sz w:val="20"/>
                <w:lang w:eastAsia="en-US"/>
              </w:rPr>
              <w:t>阀厅</w:t>
            </w:r>
          </w:p>
        </w:tc>
        <w:tc>
          <w:tcPr>
            <w:tcW w:w="1043" w:type="dxa"/>
            <w:shd w:val="clear" w:color="auto" w:fill="auto"/>
            <w:vAlign w:val="center"/>
          </w:tcPr>
          <w:p w14:paraId="790EEBC9">
            <w:pPr>
              <w:pStyle w:val="10"/>
              <w:widowControl w:val="0"/>
              <w:adjustRightInd w:val="0"/>
              <w:snapToGrid w:val="0"/>
              <w:spacing w:after="0" w:line="440" w:lineRule="atLeast"/>
              <w:jc w:val="center"/>
              <w:rPr>
                <w:rFonts w:eastAsiaTheme="minorEastAsia"/>
                <w:sz w:val="24"/>
                <w:szCs w:val="24"/>
              </w:rPr>
            </w:pPr>
            <w:r>
              <w:rPr>
                <w:rFonts w:ascii="宋体" w:hAnsi="宋体"/>
                <w:spacing w:val="4"/>
                <w:sz w:val="20"/>
                <w:lang w:eastAsia="en-US"/>
              </w:rPr>
              <w:t>≤50</w:t>
            </w:r>
          </w:p>
        </w:tc>
        <w:tc>
          <w:tcPr>
            <w:tcW w:w="1054" w:type="dxa"/>
            <w:shd w:val="clear" w:color="auto" w:fill="auto"/>
            <w:vAlign w:val="center"/>
          </w:tcPr>
          <w:p w14:paraId="4C7870BC">
            <w:pPr>
              <w:pStyle w:val="10"/>
              <w:widowControl w:val="0"/>
              <w:adjustRightInd w:val="0"/>
              <w:snapToGrid w:val="0"/>
              <w:spacing w:after="0" w:line="440" w:lineRule="atLeast"/>
              <w:jc w:val="center"/>
              <w:rPr>
                <w:rFonts w:eastAsiaTheme="minorEastAsia"/>
                <w:sz w:val="24"/>
                <w:szCs w:val="24"/>
              </w:rPr>
            </w:pPr>
            <w:r>
              <w:rPr>
                <w:rFonts w:ascii="宋体" w:hAnsi="宋体"/>
                <w:spacing w:val="4"/>
                <w:sz w:val="20"/>
                <w:lang w:eastAsia="en-US"/>
              </w:rPr>
              <w:t>≥10</w:t>
            </w:r>
          </w:p>
        </w:tc>
        <w:tc>
          <w:tcPr>
            <w:tcW w:w="1291" w:type="dxa"/>
            <w:shd w:val="clear" w:color="auto" w:fill="auto"/>
            <w:vAlign w:val="center"/>
          </w:tcPr>
          <w:p w14:paraId="4389B9BC">
            <w:pPr>
              <w:pStyle w:val="10"/>
              <w:widowControl w:val="0"/>
              <w:adjustRightInd w:val="0"/>
              <w:snapToGrid w:val="0"/>
              <w:spacing w:after="0" w:line="440" w:lineRule="atLeast"/>
              <w:jc w:val="center"/>
              <w:rPr>
                <w:rFonts w:eastAsiaTheme="minorEastAsia"/>
                <w:sz w:val="24"/>
                <w:szCs w:val="24"/>
              </w:rPr>
            </w:pPr>
            <w:r>
              <w:rPr>
                <w:rFonts w:ascii="宋体" w:hAnsi="宋体"/>
                <w:spacing w:val="4"/>
                <w:position w:val="1"/>
                <w:sz w:val="20"/>
              </w:rPr>
              <w:t>25</w:t>
            </w:r>
            <w:r>
              <w:rPr>
                <w:rFonts w:ascii="宋体" w:hAnsi="宋体" w:cs="宋体"/>
                <w:spacing w:val="4"/>
                <w:position w:val="1"/>
                <w:sz w:val="20"/>
                <w:lang w:eastAsia="en-US"/>
              </w:rPr>
              <w:t>～</w:t>
            </w:r>
            <w:r>
              <w:rPr>
                <w:rFonts w:ascii="宋体" w:hAnsi="宋体"/>
                <w:spacing w:val="4"/>
                <w:position w:val="1"/>
                <w:sz w:val="20"/>
              </w:rPr>
              <w:t>60</w:t>
            </w:r>
          </w:p>
        </w:tc>
        <w:tc>
          <w:tcPr>
            <w:tcW w:w="1113" w:type="dxa"/>
            <w:shd w:val="clear" w:color="auto" w:fill="auto"/>
            <w:vAlign w:val="center"/>
          </w:tcPr>
          <w:p w14:paraId="15A7282F">
            <w:pPr>
              <w:pStyle w:val="10"/>
              <w:widowControl w:val="0"/>
              <w:adjustRightInd w:val="0"/>
              <w:snapToGrid w:val="0"/>
              <w:spacing w:after="0" w:line="440" w:lineRule="atLeast"/>
              <w:jc w:val="center"/>
              <w:rPr>
                <w:rFonts w:eastAsiaTheme="minorEastAsia"/>
                <w:sz w:val="24"/>
                <w:szCs w:val="24"/>
              </w:rPr>
            </w:pPr>
            <w:r>
              <w:rPr>
                <w:rFonts w:ascii="宋体" w:hAnsi="宋体"/>
                <w:spacing w:val="4"/>
                <w:position w:val="1"/>
                <w:sz w:val="20"/>
              </w:rPr>
              <w:t>25</w:t>
            </w:r>
            <w:r>
              <w:rPr>
                <w:rFonts w:ascii="宋体" w:hAnsi="宋体" w:cs="宋体"/>
                <w:spacing w:val="4"/>
                <w:position w:val="1"/>
                <w:sz w:val="20"/>
                <w:lang w:eastAsia="en-US"/>
              </w:rPr>
              <w:t>～</w:t>
            </w:r>
            <w:r>
              <w:rPr>
                <w:rFonts w:ascii="宋体" w:hAnsi="宋体"/>
                <w:spacing w:val="4"/>
                <w:position w:val="1"/>
                <w:sz w:val="20"/>
              </w:rPr>
              <w:t>60</w:t>
            </w:r>
          </w:p>
        </w:tc>
        <w:tc>
          <w:tcPr>
            <w:tcW w:w="1946" w:type="dxa"/>
            <w:shd w:val="clear" w:color="auto" w:fill="auto"/>
            <w:vAlign w:val="center"/>
          </w:tcPr>
          <w:p w14:paraId="48BD401B">
            <w:pPr>
              <w:pStyle w:val="10"/>
              <w:widowControl w:val="0"/>
              <w:adjustRightInd w:val="0"/>
              <w:snapToGrid w:val="0"/>
              <w:spacing w:after="0" w:line="440" w:lineRule="atLeast"/>
              <w:jc w:val="center"/>
              <w:rPr>
                <w:rFonts w:eastAsiaTheme="minorEastAsia"/>
                <w:sz w:val="24"/>
                <w:szCs w:val="24"/>
              </w:rPr>
            </w:pPr>
            <w:r>
              <w:rPr>
                <w:rFonts w:ascii="宋体" w:hAnsi="宋体"/>
                <w:spacing w:val="2"/>
                <w:sz w:val="20"/>
                <w:lang w:eastAsia="en-US"/>
              </w:rPr>
              <w:t>0.25~0.5</w:t>
            </w:r>
            <w:r>
              <w:rPr>
                <w:rFonts w:ascii="宋体" w:hAnsi="宋体" w:cs="宋体"/>
                <w:spacing w:val="2"/>
                <w:sz w:val="20"/>
                <w:lang w:eastAsia="en-US"/>
              </w:rPr>
              <w:t>次</w:t>
            </w:r>
            <w:r>
              <w:rPr>
                <w:rFonts w:ascii="宋体" w:hAnsi="宋体"/>
                <w:spacing w:val="2"/>
                <w:sz w:val="20"/>
                <w:lang w:eastAsia="en-US"/>
              </w:rPr>
              <w:t>/h</w:t>
            </w:r>
            <w:r>
              <w:rPr>
                <w:rFonts w:ascii="宋体" w:hAnsi="宋体"/>
                <w:sz w:val="20"/>
                <w:lang w:eastAsia="en-US"/>
              </w:rPr>
              <w:t xml:space="preserve"> </w:t>
            </w:r>
            <w:r>
              <w:rPr>
                <w:rFonts w:ascii="宋体" w:hAnsi="宋体"/>
                <w:spacing w:val="6"/>
                <w:sz w:val="20"/>
                <w:lang w:eastAsia="en-US"/>
              </w:rPr>
              <w:t>(</w:t>
            </w:r>
            <w:r>
              <w:rPr>
                <w:rFonts w:ascii="宋体" w:hAnsi="宋体" w:cs="宋体"/>
                <w:spacing w:val="6"/>
                <w:sz w:val="20"/>
                <w:lang w:eastAsia="en-US"/>
              </w:rPr>
              <w:t>灾后通风</w:t>
            </w:r>
            <w:r>
              <w:rPr>
                <w:rFonts w:ascii="宋体" w:hAnsi="宋体"/>
                <w:spacing w:val="6"/>
                <w:sz w:val="20"/>
                <w:lang w:eastAsia="en-US"/>
              </w:rPr>
              <w:t>)</w:t>
            </w:r>
          </w:p>
        </w:tc>
        <w:tc>
          <w:tcPr>
            <w:tcW w:w="2065" w:type="dxa"/>
            <w:shd w:val="clear" w:color="auto" w:fill="auto"/>
            <w:vAlign w:val="center"/>
          </w:tcPr>
          <w:p w14:paraId="1F512C05">
            <w:pPr>
              <w:pStyle w:val="10"/>
              <w:widowControl w:val="0"/>
              <w:adjustRightInd w:val="0"/>
              <w:snapToGrid w:val="0"/>
              <w:spacing w:after="0" w:line="440" w:lineRule="atLeast"/>
              <w:jc w:val="center"/>
              <w:rPr>
                <w:rFonts w:eastAsiaTheme="minorEastAsia"/>
                <w:sz w:val="24"/>
                <w:szCs w:val="24"/>
              </w:rPr>
            </w:pPr>
            <w:r>
              <w:rPr>
                <w:rFonts w:ascii="宋体" w:hAnsi="宋体" w:cs="宋体"/>
                <w:spacing w:val="6"/>
                <w:sz w:val="20"/>
                <w:lang w:eastAsia="en-US"/>
              </w:rPr>
              <w:t>室内</w:t>
            </w:r>
            <w:r>
              <w:rPr>
                <w:rFonts w:hint="eastAsia" w:ascii="宋体" w:hAnsi="宋体" w:cs="宋体"/>
                <w:spacing w:val="6"/>
                <w:sz w:val="20"/>
              </w:rPr>
              <w:t>微正压</w:t>
            </w:r>
            <w:r>
              <w:rPr>
                <w:rFonts w:ascii="宋体" w:hAnsi="宋体"/>
                <w:spacing w:val="5"/>
                <w:sz w:val="20"/>
                <w:lang w:eastAsia="en-US"/>
              </w:rPr>
              <w:t>5</w:t>
            </w:r>
            <w:r>
              <w:rPr>
                <w:rFonts w:ascii="宋体" w:hAnsi="宋体" w:cs="宋体"/>
                <w:spacing w:val="5"/>
                <w:sz w:val="20"/>
                <w:lang w:eastAsia="en-US"/>
              </w:rPr>
              <w:t>～</w:t>
            </w:r>
            <w:r>
              <w:rPr>
                <w:rFonts w:ascii="宋体" w:hAnsi="宋体"/>
                <w:spacing w:val="5"/>
                <w:sz w:val="20"/>
                <w:lang w:eastAsia="en-US"/>
              </w:rPr>
              <w:t>10</w:t>
            </w:r>
            <w:r>
              <w:rPr>
                <w:rFonts w:ascii="宋体" w:hAnsi="宋体"/>
                <w:sz w:val="20"/>
                <w:lang w:eastAsia="en-US"/>
              </w:rPr>
              <w:t>Pa</w:t>
            </w:r>
          </w:p>
        </w:tc>
      </w:tr>
      <w:tr w14:paraId="4444D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4791D2EA">
            <w:pPr>
              <w:pStyle w:val="10"/>
              <w:widowControl w:val="0"/>
              <w:adjustRightInd w:val="0"/>
              <w:snapToGrid w:val="0"/>
              <w:spacing w:after="0" w:line="440" w:lineRule="atLeast"/>
              <w:jc w:val="center"/>
              <w:rPr>
                <w:rFonts w:eastAsiaTheme="minorEastAsia"/>
                <w:sz w:val="24"/>
                <w:szCs w:val="24"/>
              </w:rPr>
            </w:pPr>
            <w:r>
              <w:rPr>
                <w:rFonts w:ascii="宋体" w:hAnsi="宋体"/>
                <w:sz w:val="20"/>
                <w:lang w:eastAsia="en-US"/>
              </w:rPr>
              <w:t>2</w:t>
            </w:r>
          </w:p>
        </w:tc>
        <w:tc>
          <w:tcPr>
            <w:tcW w:w="3456" w:type="dxa"/>
            <w:shd w:val="clear" w:color="auto" w:fill="auto"/>
          </w:tcPr>
          <w:p w14:paraId="40554914">
            <w:pPr>
              <w:pStyle w:val="10"/>
              <w:widowControl w:val="0"/>
              <w:adjustRightInd w:val="0"/>
              <w:snapToGrid w:val="0"/>
              <w:spacing w:after="0" w:line="440" w:lineRule="atLeast"/>
              <w:rPr>
                <w:rFonts w:eastAsiaTheme="minorEastAsia"/>
                <w:sz w:val="24"/>
                <w:szCs w:val="24"/>
              </w:rPr>
            </w:pPr>
            <w:r>
              <w:rPr>
                <w:rFonts w:ascii="宋体" w:hAnsi="宋体" w:cs="宋体"/>
                <w:spacing w:val="-5"/>
                <w:sz w:val="20"/>
                <w:lang w:eastAsia="en-US"/>
              </w:rPr>
              <w:t>主控楼、辅控楼</w:t>
            </w:r>
          </w:p>
        </w:tc>
        <w:tc>
          <w:tcPr>
            <w:tcW w:w="1043" w:type="dxa"/>
            <w:shd w:val="clear" w:color="auto" w:fill="auto"/>
            <w:vAlign w:val="center"/>
          </w:tcPr>
          <w:p w14:paraId="22E15797">
            <w:pPr>
              <w:pStyle w:val="104"/>
              <w:rPr>
                <w:snapToGrid w:val="0"/>
                <w:color w:val="auto"/>
              </w:rPr>
            </w:pPr>
          </w:p>
        </w:tc>
        <w:tc>
          <w:tcPr>
            <w:tcW w:w="1054" w:type="dxa"/>
            <w:shd w:val="clear" w:color="auto" w:fill="auto"/>
            <w:vAlign w:val="center"/>
          </w:tcPr>
          <w:p w14:paraId="39E9EEBC">
            <w:pPr>
              <w:pStyle w:val="104"/>
              <w:rPr>
                <w:snapToGrid w:val="0"/>
                <w:color w:val="auto"/>
              </w:rPr>
            </w:pPr>
          </w:p>
        </w:tc>
        <w:tc>
          <w:tcPr>
            <w:tcW w:w="1291" w:type="dxa"/>
            <w:shd w:val="clear" w:color="auto" w:fill="auto"/>
            <w:vAlign w:val="center"/>
          </w:tcPr>
          <w:p w14:paraId="5E786295">
            <w:pPr>
              <w:pStyle w:val="104"/>
              <w:rPr>
                <w:snapToGrid w:val="0"/>
                <w:color w:val="auto"/>
              </w:rPr>
            </w:pPr>
          </w:p>
        </w:tc>
        <w:tc>
          <w:tcPr>
            <w:tcW w:w="1113" w:type="dxa"/>
            <w:shd w:val="clear" w:color="auto" w:fill="auto"/>
            <w:vAlign w:val="center"/>
          </w:tcPr>
          <w:p w14:paraId="4B6AE87D">
            <w:pPr>
              <w:pStyle w:val="104"/>
              <w:rPr>
                <w:snapToGrid w:val="0"/>
                <w:color w:val="auto"/>
              </w:rPr>
            </w:pPr>
          </w:p>
        </w:tc>
        <w:tc>
          <w:tcPr>
            <w:tcW w:w="1946" w:type="dxa"/>
            <w:shd w:val="clear" w:color="auto" w:fill="auto"/>
            <w:vAlign w:val="center"/>
          </w:tcPr>
          <w:p w14:paraId="5F65CEA3">
            <w:pPr>
              <w:pStyle w:val="104"/>
              <w:rPr>
                <w:snapToGrid w:val="0"/>
                <w:color w:val="auto"/>
              </w:rPr>
            </w:pPr>
          </w:p>
        </w:tc>
        <w:tc>
          <w:tcPr>
            <w:tcW w:w="2065" w:type="dxa"/>
            <w:shd w:val="clear" w:color="auto" w:fill="auto"/>
            <w:vAlign w:val="center"/>
          </w:tcPr>
          <w:p w14:paraId="5FB52B24">
            <w:pPr>
              <w:pStyle w:val="10"/>
              <w:widowControl w:val="0"/>
              <w:adjustRightInd w:val="0"/>
              <w:snapToGrid w:val="0"/>
              <w:spacing w:after="0" w:line="440" w:lineRule="atLeast"/>
              <w:jc w:val="center"/>
              <w:rPr>
                <w:rFonts w:eastAsiaTheme="minorEastAsia"/>
                <w:sz w:val="24"/>
                <w:szCs w:val="24"/>
              </w:rPr>
            </w:pPr>
          </w:p>
        </w:tc>
      </w:tr>
      <w:tr w14:paraId="25199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20A37650">
            <w:pPr>
              <w:pStyle w:val="10"/>
              <w:widowControl w:val="0"/>
              <w:adjustRightInd w:val="0"/>
              <w:snapToGrid w:val="0"/>
              <w:spacing w:after="0" w:line="440" w:lineRule="atLeast"/>
              <w:jc w:val="center"/>
              <w:rPr>
                <w:rFonts w:eastAsiaTheme="minorEastAsia"/>
                <w:b/>
                <w:sz w:val="24"/>
                <w:szCs w:val="24"/>
              </w:rPr>
            </w:pPr>
            <w:r>
              <w:rPr>
                <w:rFonts w:hint="eastAsia" w:ascii="宋体" w:hAnsi="宋体"/>
                <w:sz w:val="20"/>
                <w:lang w:eastAsia="en-US"/>
              </w:rPr>
              <w:t>2.1</w:t>
            </w:r>
          </w:p>
        </w:tc>
        <w:tc>
          <w:tcPr>
            <w:tcW w:w="3456" w:type="dxa"/>
            <w:shd w:val="clear" w:color="auto" w:fill="auto"/>
          </w:tcPr>
          <w:p w14:paraId="39FEA2FF">
            <w:pPr>
              <w:pStyle w:val="10"/>
              <w:widowControl w:val="0"/>
              <w:adjustRightInd w:val="0"/>
              <w:snapToGrid w:val="0"/>
              <w:spacing w:after="0" w:line="440" w:lineRule="atLeast"/>
              <w:rPr>
                <w:rFonts w:eastAsiaTheme="minorEastAsia"/>
                <w:b/>
                <w:sz w:val="24"/>
                <w:szCs w:val="24"/>
              </w:rPr>
            </w:pPr>
            <w:r>
              <w:rPr>
                <w:rFonts w:ascii="宋体" w:hAnsi="宋体" w:cs="宋体"/>
                <w:spacing w:val="-5"/>
                <w:sz w:val="20"/>
                <w:lang w:eastAsia="en-US"/>
              </w:rPr>
              <w:t>电缆夹层</w:t>
            </w:r>
          </w:p>
        </w:tc>
        <w:tc>
          <w:tcPr>
            <w:tcW w:w="1043" w:type="dxa"/>
            <w:shd w:val="clear" w:color="auto" w:fill="auto"/>
            <w:vAlign w:val="center"/>
          </w:tcPr>
          <w:p w14:paraId="78BFD27F">
            <w:pPr>
              <w:pStyle w:val="10"/>
              <w:widowControl w:val="0"/>
              <w:adjustRightInd w:val="0"/>
              <w:snapToGrid w:val="0"/>
              <w:spacing w:after="0" w:line="440" w:lineRule="atLeast"/>
              <w:jc w:val="center"/>
              <w:rPr>
                <w:rFonts w:eastAsiaTheme="minorEastAsia"/>
                <w:sz w:val="24"/>
                <w:szCs w:val="24"/>
              </w:rPr>
            </w:pPr>
            <w:r>
              <w:rPr>
                <w:rFonts w:ascii="宋体" w:hAnsi="宋体"/>
                <w:spacing w:val="4"/>
                <w:sz w:val="20"/>
                <w:lang w:eastAsia="en-US"/>
              </w:rPr>
              <w:t>≤40</w:t>
            </w:r>
          </w:p>
        </w:tc>
        <w:tc>
          <w:tcPr>
            <w:tcW w:w="1054" w:type="dxa"/>
            <w:shd w:val="clear" w:color="auto" w:fill="auto"/>
            <w:vAlign w:val="center"/>
          </w:tcPr>
          <w:p w14:paraId="71FB4560">
            <w:pPr>
              <w:pStyle w:val="10"/>
              <w:widowControl w:val="0"/>
              <w:adjustRightInd w:val="0"/>
              <w:snapToGrid w:val="0"/>
              <w:spacing w:after="0" w:line="440" w:lineRule="atLeast"/>
              <w:jc w:val="center"/>
              <w:rPr>
                <w:rFonts w:eastAsiaTheme="minorEastAsia"/>
                <w:sz w:val="24"/>
                <w:szCs w:val="24"/>
              </w:rPr>
            </w:pPr>
            <w:r>
              <w:rPr>
                <w:rFonts w:hint="eastAsia" w:ascii="宋体" w:hAnsi="宋体"/>
                <w:spacing w:val="1"/>
                <w:position w:val="1"/>
                <w:sz w:val="20"/>
                <w:lang w:eastAsia="en-US"/>
              </w:rPr>
              <w:t>—</w:t>
            </w:r>
          </w:p>
        </w:tc>
        <w:tc>
          <w:tcPr>
            <w:tcW w:w="1291" w:type="dxa"/>
            <w:shd w:val="clear" w:color="auto" w:fill="auto"/>
            <w:vAlign w:val="center"/>
          </w:tcPr>
          <w:p w14:paraId="4FA15BCD">
            <w:pPr>
              <w:pStyle w:val="10"/>
              <w:widowControl w:val="0"/>
              <w:adjustRightInd w:val="0"/>
              <w:snapToGrid w:val="0"/>
              <w:spacing w:after="0" w:line="440" w:lineRule="atLeast"/>
              <w:jc w:val="center"/>
              <w:rPr>
                <w:rFonts w:eastAsiaTheme="minorEastAsia"/>
                <w:sz w:val="24"/>
                <w:szCs w:val="24"/>
              </w:rPr>
            </w:pPr>
            <w:r>
              <w:rPr>
                <w:rFonts w:hint="eastAsia" w:ascii="宋体" w:hAnsi="宋体"/>
                <w:spacing w:val="1"/>
                <w:position w:val="1"/>
                <w:sz w:val="20"/>
              </w:rPr>
              <w:t>—</w:t>
            </w:r>
          </w:p>
        </w:tc>
        <w:tc>
          <w:tcPr>
            <w:tcW w:w="1113" w:type="dxa"/>
            <w:shd w:val="clear" w:color="auto" w:fill="auto"/>
            <w:vAlign w:val="center"/>
          </w:tcPr>
          <w:p w14:paraId="7C4B9EE9">
            <w:pPr>
              <w:pStyle w:val="10"/>
              <w:widowControl w:val="0"/>
              <w:adjustRightInd w:val="0"/>
              <w:snapToGrid w:val="0"/>
              <w:spacing w:after="0" w:line="440" w:lineRule="atLeast"/>
              <w:jc w:val="center"/>
              <w:rPr>
                <w:rFonts w:eastAsiaTheme="minorEastAsia"/>
                <w:sz w:val="24"/>
                <w:szCs w:val="24"/>
              </w:rPr>
            </w:pPr>
            <w:r>
              <w:rPr>
                <w:rFonts w:hint="eastAsia" w:ascii="宋体" w:hAnsi="宋体"/>
                <w:spacing w:val="1"/>
                <w:position w:val="1"/>
                <w:sz w:val="20"/>
              </w:rPr>
              <w:t>—</w:t>
            </w:r>
          </w:p>
        </w:tc>
        <w:tc>
          <w:tcPr>
            <w:tcW w:w="1946" w:type="dxa"/>
            <w:shd w:val="clear" w:color="auto" w:fill="auto"/>
            <w:vAlign w:val="center"/>
          </w:tcPr>
          <w:p w14:paraId="7C1C4FDF">
            <w:pPr>
              <w:pStyle w:val="10"/>
              <w:widowControl w:val="0"/>
              <w:adjustRightInd w:val="0"/>
              <w:snapToGrid w:val="0"/>
              <w:spacing w:after="0" w:line="440" w:lineRule="atLeast"/>
              <w:jc w:val="center"/>
              <w:rPr>
                <w:rFonts w:eastAsiaTheme="minorEastAsia"/>
                <w:sz w:val="24"/>
                <w:szCs w:val="24"/>
              </w:rPr>
            </w:pPr>
            <w:r>
              <w:rPr>
                <w:rFonts w:hint="eastAsia" w:ascii="宋体" w:hAnsi="宋体" w:cs="宋体"/>
                <w:sz w:val="21"/>
                <w:szCs w:val="21"/>
                <w:lang w:eastAsia="en-US"/>
              </w:rPr>
              <w:t>≥</w:t>
            </w:r>
            <w:r>
              <w:rPr>
                <w:rFonts w:ascii="宋体" w:hAnsi="宋体"/>
                <w:spacing w:val="1"/>
                <w:sz w:val="20"/>
                <w:lang w:eastAsia="en-US"/>
              </w:rPr>
              <w:t>6</w:t>
            </w:r>
            <w:r>
              <w:rPr>
                <w:rFonts w:ascii="宋体" w:hAnsi="宋体" w:cs="宋体"/>
                <w:spacing w:val="1"/>
                <w:sz w:val="20"/>
                <w:lang w:eastAsia="en-US"/>
              </w:rPr>
              <w:t>次</w:t>
            </w:r>
            <w:r>
              <w:rPr>
                <w:rFonts w:ascii="宋体" w:hAnsi="宋体"/>
                <w:spacing w:val="1"/>
                <w:sz w:val="20"/>
                <w:lang w:eastAsia="en-US"/>
              </w:rPr>
              <w:t>/h</w:t>
            </w:r>
          </w:p>
        </w:tc>
        <w:tc>
          <w:tcPr>
            <w:tcW w:w="2065" w:type="dxa"/>
            <w:shd w:val="clear" w:color="auto" w:fill="auto"/>
            <w:vAlign w:val="center"/>
          </w:tcPr>
          <w:p w14:paraId="65310855">
            <w:pPr>
              <w:pStyle w:val="10"/>
              <w:widowControl w:val="0"/>
              <w:adjustRightInd w:val="0"/>
              <w:snapToGrid w:val="0"/>
              <w:spacing w:after="0" w:line="440" w:lineRule="atLeast"/>
              <w:jc w:val="center"/>
              <w:rPr>
                <w:rFonts w:eastAsiaTheme="minorEastAsia"/>
                <w:sz w:val="24"/>
                <w:szCs w:val="24"/>
              </w:rPr>
            </w:pPr>
          </w:p>
        </w:tc>
      </w:tr>
      <w:tr w14:paraId="330A0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626EF8DA">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2.2</w:t>
            </w:r>
          </w:p>
        </w:tc>
        <w:tc>
          <w:tcPr>
            <w:tcW w:w="3456" w:type="dxa"/>
            <w:shd w:val="clear" w:color="auto" w:fill="auto"/>
          </w:tcPr>
          <w:p w14:paraId="564DB95B">
            <w:pPr>
              <w:pStyle w:val="104"/>
              <w:jc w:val="left"/>
              <w:rPr>
                <w:snapToGrid w:val="0"/>
                <w:color w:val="auto"/>
              </w:rPr>
            </w:pPr>
            <w:r>
              <w:rPr>
                <w:rFonts w:hint="eastAsia" w:ascii="宋体" w:hAnsi="宋体" w:cs="宋体"/>
                <w:color w:val="auto"/>
                <w:spacing w:val="7"/>
                <w:sz w:val="20"/>
                <w:szCs w:val="20"/>
              </w:rPr>
              <w:t>阀</w:t>
            </w:r>
            <w:r>
              <w:rPr>
                <w:rFonts w:ascii="宋体" w:hAnsi="宋体" w:cs="宋体"/>
                <w:color w:val="auto"/>
                <w:spacing w:val="7"/>
                <w:sz w:val="20"/>
                <w:szCs w:val="20"/>
                <w:lang w:eastAsia="en-US"/>
              </w:rPr>
              <w:t>冷设备间</w:t>
            </w:r>
          </w:p>
        </w:tc>
        <w:tc>
          <w:tcPr>
            <w:tcW w:w="1043" w:type="dxa"/>
            <w:shd w:val="clear" w:color="auto" w:fill="auto"/>
            <w:vAlign w:val="center"/>
          </w:tcPr>
          <w:p w14:paraId="7ECCC30D">
            <w:pPr>
              <w:pStyle w:val="104"/>
              <w:rPr>
                <w:snapToGrid w:val="0"/>
                <w:color w:val="auto"/>
              </w:rPr>
            </w:pPr>
            <w:r>
              <w:rPr>
                <w:rFonts w:ascii="宋体" w:hAnsi="宋体"/>
                <w:color w:val="auto"/>
                <w:spacing w:val="4"/>
                <w:sz w:val="20"/>
                <w:szCs w:val="20"/>
                <w:lang w:eastAsia="en-US"/>
              </w:rPr>
              <w:t>≤35</w:t>
            </w:r>
          </w:p>
        </w:tc>
        <w:tc>
          <w:tcPr>
            <w:tcW w:w="1054" w:type="dxa"/>
            <w:shd w:val="clear" w:color="auto" w:fill="auto"/>
            <w:vAlign w:val="center"/>
          </w:tcPr>
          <w:p w14:paraId="1063D89D">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5</w:t>
            </w:r>
          </w:p>
        </w:tc>
        <w:tc>
          <w:tcPr>
            <w:tcW w:w="1291" w:type="dxa"/>
            <w:shd w:val="clear" w:color="auto" w:fill="auto"/>
            <w:vAlign w:val="center"/>
          </w:tcPr>
          <w:p w14:paraId="6179C17F">
            <w:pPr>
              <w:pStyle w:val="104"/>
              <w:rPr>
                <w:snapToGrid w:val="0"/>
                <w:color w:val="auto"/>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17010366">
            <w:pPr>
              <w:pStyle w:val="104"/>
              <w:rPr>
                <w:snapToGrid w:val="0"/>
                <w:color w:val="auto"/>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1CEC26DD">
            <w:pPr>
              <w:pStyle w:val="104"/>
              <w:rPr>
                <w:snapToGrid w:val="0"/>
                <w:color w:val="auto"/>
              </w:rPr>
            </w:pPr>
            <w:r>
              <w:rPr>
                <w:rFonts w:hint="eastAsia" w:ascii="宋体" w:hAnsi="宋体" w:cs="宋体"/>
                <w:color w:val="auto"/>
                <w:sz w:val="21"/>
                <w:szCs w:val="21"/>
                <w:lang w:eastAsia="en-US"/>
              </w:rPr>
              <w:t>≥</w:t>
            </w:r>
            <w:r>
              <w:rPr>
                <w:rFonts w:ascii="宋体" w:hAnsi="宋体"/>
                <w:color w:val="auto"/>
                <w:spacing w:val="1"/>
                <w:sz w:val="20"/>
                <w:szCs w:val="20"/>
                <w:lang w:eastAsia="en-US"/>
              </w:rPr>
              <w:t>6</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2A9BB8B7">
            <w:pPr>
              <w:pStyle w:val="10"/>
              <w:widowControl w:val="0"/>
              <w:adjustRightInd w:val="0"/>
              <w:snapToGrid w:val="0"/>
              <w:spacing w:after="0" w:line="440" w:lineRule="atLeast"/>
              <w:jc w:val="center"/>
              <w:rPr>
                <w:rFonts w:eastAsiaTheme="minorEastAsia"/>
                <w:sz w:val="24"/>
                <w:szCs w:val="24"/>
              </w:rPr>
            </w:pPr>
          </w:p>
        </w:tc>
      </w:tr>
      <w:tr w14:paraId="4DB0B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220CB193">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2.3</w:t>
            </w:r>
          </w:p>
        </w:tc>
        <w:tc>
          <w:tcPr>
            <w:tcW w:w="3456" w:type="dxa"/>
            <w:shd w:val="clear" w:color="auto" w:fill="auto"/>
          </w:tcPr>
          <w:p w14:paraId="5C0505EE">
            <w:pPr>
              <w:pStyle w:val="104"/>
              <w:jc w:val="left"/>
              <w:rPr>
                <w:snapToGrid w:val="0"/>
                <w:color w:val="auto"/>
              </w:rPr>
            </w:pPr>
            <w:r>
              <w:rPr>
                <w:rFonts w:hint="eastAsia" w:ascii="宋体" w:hAnsi="宋体" w:cs="宋体"/>
                <w:color w:val="auto"/>
                <w:spacing w:val="8"/>
                <w:sz w:val="20"/>
                <w:szCs w:val="20"/>
              </w:rPr>
              <w:t>阀</w:t>
            </w:r>
            <w:r>
              <w:rPr>
                <w:rFonts w:ascii="宋体" w:hAnsi="宋体" w:cs="宋体"/>
                <w:color w:val="auto"/>
                <w:spacing w:val="8"/>
                <w:sz w:val="20"/>
                <w:szCs w:val="20"/>
                <w:lang w:eastAsia="en-US"/>
              </w:rPr>
              <w:t>冷设备控制间</w:t>
            </w:r>
          </w:p>
        </w:tc>
        <w:tc>
          <w:tcPr>
            <w:tcW w:w="1043" w:type="dxa"/>
            <w:shd w:val="clear" w:color="auto" w:fill="auto"/>
            <w:vAlign w:val="center"/>
          </w:tcPr>
          <w:p w14:paraId="47C157C6">
            <w:pPr>
              <w:pStyle w:val="104"/>
              <w:rPr>
                <w:snapToGrid w:val="0"/>
                <w:color w:val="auto"/>
              </w:rPr>
            </w:pPr>
            <w:r>
              <w:rPr>
                <w:rFonts w:ascii="宋体" w:hAnsi="宋体" w:cs="宋体"/>
                <w:color w:val="auto"/>
                <w:sz w:val="21"/>
                <w:szCs w:val="21"/>
                <w:lang w:eastAsia="en-US"/>
              </w:rPr>
              <w:t>26～28</w:t>
            </w:r>
          </w:p>
        </w:tc>
        <w:tc>
          <w:tcPr>
            <w:tcW w:w="1054" w:type="dxa"/>
            <w:shd w:val="clear" w:color="auto" w:fill="auto"/>
            <w:vAlign w:val="center"/>
          </w:tcPr>
          <w:p w14:paraId="5F511860">
            <w:pPr>
              <w:pStyle w:val="104"/>
              <w:rPr>
                <w:snapToGrid w:val="0"/>
                <w:color w:val="auto"/>
              </w:rPr>
            </w:pPr>
            <w:r>
              <w:rPr>
                <w:rFonts w:ascii="宋体" w:hAnsi="宋体" w:cs="宋体"/>
                <w:color w:val="auto"/>
                <w:sz w:val="21"/>
                <w:szCs w:val="21"/>
                <w:lang w:eastAsia="en-US"/>
              </w:rPr>
              <w:t>18～24</w:t>
            </w:r>
          </w:p>
        </w:tc>
        <w:tc>
          <w:tcPr>
            <w:tcW w:w="1291" w:type="dxa"/>
            <w:shd w:val="clear" w:color="auto" w:fill="auto"/>
            <w:vAlign w:val="center"/>
          </w:tcPr>
          <w:p w14:paraId="452105B9">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70</w:t>
            </w:r>
          </w:p>
        </w:tc>
        <w:tc>
          <w:tcPr>
            <w:tcW w:w="1113" w:type="dxa"/>
            <w:shd w:val="clear" w:color="auto" w:fill="auto"/>
            <w:vAlign w:val="center"/>
          </w:tcPr>
          <w:p w14:paraId="1EE564CC">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70</w:t>
            </w:r>
          </w:p>
        </w:tc>
        <w:tc>
          <w:tcPr>
            <w:tcW w:w="1946" w:type="dxa"/>
            <w:shd w:val="clear" w:color="auto" w:fill="auto"/>
            <w:vAlign w:val="center"/>
          </w:tcPr>
          <w:p w14:paraId="6158B0BC">
            <w:pPr>
              <w:pStyle w:val="104"/>
              <w:rPr>
                <w:snapToGrid w:val="0"/>
                <w:color w:val="auto"/>
              </w:rPr>
            </w:pPr>
            <w:r>
              <w:rPr>
                <w:rFonts w:hint="eastAsia" w:ascii="宋体" w:hAnsi="宋体" w:cs="宋体"/>
                <w:color w:val="auto"/>
                <w:sz w:val="21"/>
                <w:szCs w:val="21"/>
                <w:lang w:eastAsia="en-US"/>
              </w:rPr>
              <w:t>≥</w:t>
            </w:r>
            <w:r>
              <w:rPr>
                <w:rFonts w:ascii="宋体" w:hAnsi="宋体"/>
                <w:color w:val="auto"/>
                <w:spacing w:val="1"/>
                <w:sz w:val="20"/>
                <w:szCs w:val="20"/>
                <w:lang w:eastAsia="en-US"/>
              </w:rPr>
              <w:t>6</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22811934">
            <w:pPr>
              <w:pStyle w:val="10"/>
              <w:widowControl w:val="0"/>
              <w:adjustRightInd w:val="0"/>
              <w:snapToGrid w:val="0"/>
              <w:spacing w:after="0" w:line="440" w:lineRule="atLeast"/>
              <w:jc w:val="center"/>
              <w:rPr>
                <w:rFonts w:eastAsiaTheme="minorEastAsia"/>
                <w:sz w:val="24"/>
                <w:szCs w:val="24"/>
              </w:rPr>
            </w:pPr>
          </w:p>
        </w:tc>
      </w:tr>
      <w:tr w14:paraId="40D22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0EA43A30">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2.4</w:t>
            </w:r>
          </w:p>
        </w:tc>
        <w:tc>
          <w:tcPr>
            <w:tcW w:w="3456" w:type="dxa"/>
            <w:shd w:val="clear" w:color="auto" w:fill="auto"/>
          </w:tcPr>
          <w:p w14:paraId="4D59012E">
            <w:pPr>
              <w:pStyle w:val="104"/>
              <w:jc w:val="left"/>
              <w:rPr>
                <w:snapToGrid w:val="0"/>
                <w:color w:val="auto"/>
              </w:rPr>
            </w:pPr>
            <w:r>
              <w:rPr>
                <w:rFonts w:ascii="宋体" w:hAnsi="宋体" w:cs="宋体"/>
                <w:color w:val="auto"/>
                <w:spacing w:val="7"/>
                <w:sz w:val="20"/>
                <w:szCs w:val="20"/>
                <w:lang w:eastAsia="en-US"/>
              </w:rPr>
              <w:t>公用二次设备间</w:t>
            </w:r>
          </w:p>
        </w:tc>
        <w:tc>
          <w:tcPr>
            <w:tcW w:w="1043" w:type="dxa"/>
            <w:shd w:val="clear" w:color="auto" w:fill="auto"/>
            <w:vAlign w:val="center"/>
          </w:tcPr>
          <w:p w14:paraId="6A8F0EF6">
            <w:pPr>
              <w:pStyle w:val="104"/>
              <w:rPr>
                <w:snapToGrid w:val="0"/>
                <w:color w:val="auto"/>
              </w:rPr>
            </w:pPr>
            <w:r>
              <w:rPr>
                <w:rFonts w:ascii="宋体" w:hAnsi="宋体" w:cs="宋体"/>
                <w:color w:val="auto"/>
                <w:sz w:val="21"/>
                <w:szCs w:val="21"/>
                <w:lang w:eastAsia="en-US"/>
              </w:rPr>
              <w:t>26～28</w:t>
            </w:r>
          </w:p>
        </w:tc>
        <w:tc>
          <w:tcPr>
            <w:tcW w:w="1054" w:type="dxa"/>
            <w:shd w:val="clear" w:color="auto" w:fill="auto"/>
            <w:vAlign w:val="center"/>
          </w:tcPr>
          <w:p w14:paraId="0D3DD7A0">
            <w:pPr>
              <w:pStyle w:val="104"/>
              <w:rPr>
                <w:snapToGrid w:val="0"/>
                <w:color w:val="auto"/>
              </w:rPr>
            </w:pPr>
            <w:r>
              <w:rPr>
                <w:rFonts w:ascii="宋体" w:hAnsi="宋体" w:cs="宋体"/>
                <w:color w:val="auto"/>
                <w:sz w:val="21"/>
                <w:szCs w:val="21"/>
                <w:lang w:eastAsia="en-US"/>
              </w:rPr>
              <w:t>18～24</w:t>
            </w:r>
          </w:p>
        </w:tc>
        <w:tc>
          <w:tcPr>
            <w:tcW w:w="1291" w:type="dxa"/>
            <w:shd w:val="clear" w:color="auto" w:fill="auto"/>
            <w:vAlign w:val="center"/>
          </w:tcPr>
          <w:p w14:paraId="1885C9F4">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70</w:t>
            </w:r>
          </w:p>
        </w:tc>
        <w:tc>
          <w:tcPr>
            <w:tcW w:w="1113" w:type="dxa"/>
            <w:shd w:val="clear" w:color="auto" w:fill="auto"/>
            <w:vAlign w:val="center"/>
          </w:tcPr>
          <w:p w14:paraId="5FA14B4A">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70</w:t>
            </w:r>
          </w:p>
        </w:tc>
        <w:tc>
          <w:tcPr>
            <w:tcW w:w="1946" w:type="dxa"/>
            <w:shd w:val="clear" w:color="auto" w:fill="auto"/>
            <w:vAlign w:val="center"/>
          </w:tcPr>
          <w:p w14:paraId="49D231D2">
            <w:pPr>
              <w:pStyle w:val="104"/>
              <w:rPr>
                <w:snapToGrid w:val="0"/>
                <w:color w:val="auto"/>
              </w:rPr>
            </w:pPr>
            <w:r>
              <w:rPr>
                <w:rFonts w:hint="eastAsia" w:ascii="宋体" w:hAnsi="宋体" w:cs="宋体"/>
                <w:color w:val="auto"/>
                <w:sz w:val="21"/>
                <w:szCs w:val="21"/>
                <w:lang w:eastAsia="en-US"/>
              </w:rPr>
              <w:t>≥</w:t>
            </w:r>
            <w:r>
              <w:rPr>
                <w:rFonts w:ascii="宋体" w:hAnsi="宋体"/>
                <w:color w:val="auto"/>
                <w:spacing w:val="1"/>
                <w:sz w:val="20"/>
                <w:szCs w:val="20"/>
                <w:lang w:eastAsia="en-US"/>
              </w:rPr>
              <w:t>6</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1FCE1A43">
            <w:pPr>
              <w:pStyle w:val="10"/>
              <w:widowControl w:val="0"/>
              <w:adjustRightInd w:val="0"/>
              <w:snapToGrid w:val="0"/>
              <w:spacing w:after="0" w:line="440" w:lineRule="atLeast"/>
              <w:jc w:val="center"/>
              <w:rPr>
                <w:rFonts w:eastAsiaTheme="minorEastAsia"/>
                <w:sz w:val="24"/>
                <w:szCs w:val="24"/>
              </w:rPr>
            </w:pPr>
          </w:p>
        </w:tc>
      </w:tr>
      <w:tr w14:paraId="1C8F3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5A6477E4">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2.5</w:t>
            </w:r>
          </w:p>
        </w:tc>
        <w:tc>
          <w:tcPr>
            <w:tcW w:w="3456" w:type="dxa"/>
            <w:shd w:val="clear" w:color="auto" w:fill="auto"/>
          </w:tcPr>
          <w:p w14:paraId="5B584210">
            <w:pPr>
              <w:pStyle w:val="104"/>
              <w:jc w:val="left"/>
              <w:rPr>
                <w:snapToGrid w:val="0"/>
                <w:color w:val="auto"/>
              </w:rPr>
            </w:pPr>
            <w:r>
              <w:rPr>
                <w:rFonts w:hint="eastAsia" w:ascii="宋体" w:hAnsi="宋体" w:cs="宋体"/>
                <w:color w:val="auto"/>
                <w:spacing w:val="7"/>
                <w:sz w:val="20"/>
                <w:szCs w:val="20"/>
                <w:lang w:eastAsia="en-US"/>
              </w:rPr>
              <w:t>换流单元二次设备室</w:t>
            </w:r>
          </w:p>
        </w:tc>
        <w:tc>
          <w:tcPr>
            <w:tcW w:w="1043" w:type="dxa"/>
            <w:shd w:val="clear" w:color="auto" w:fill="auto"/>
            <w:vAlign w:val="center"/>
          </w:tcPr>
          <w:p w14:paraId="63EB50A7">
            <w:pPr>
              <w:pStyle w:val="104"/>
              <w:rPr>
                <w:snapToGrid w:val="0"/>
                <w:color w:val="auto"/>
              </w:rPr>
            </w:pPr>
            <w:r>
              <w:rPr>
                <w:rFonts w:ascii="宋体" w:hAnsi="宋体" w:cs="宋体"/>
                <w:color w:val="auto"/>
                <w:sz w:val="21"/>
                <w:szCs w:val="21"/>
                <w:lang w:eastAsia="en-US"/>
              </w:rPr>
              <w:t>26～28</w:t>
            </w:r>
          </w:p>
        </w:tc>
        <w:tc>
          <w:tcPr>
            <w:tcW w:w="1054" w:type="dxa"/>
            <w:shd w:val="clear" w:color="auto" w:fill="auto"/>
            <w:vAlign w:val="center"/>
          </w:tcPr>
          <w:p w14:paraId="558205A3">
            <w:pPr>
              <w:pStyle w:val="104"/>
              <w:rPr>
                <w:snapToGrid w:val="0"/>
                <w:color w:val="auto"/>
              </w:rPr>
            </w:pPr>
            <w:r>
              <w:rPr>
                <w:rFonts w:ascii="宋体" w:hAnsi="宋体" w:cs="宋体"/>
                <w:color w:val="auto"/>
                <w:sz w:val="21"/>
                <w:szCs w:val="21"/>
                <w:lang w:eastAsia="en-US"/>
              </w:rPr>
              <w:t>18～24</w:t>
            </w:r>
          </w:p>
        </w:tc>
        <w:tc>
          <w:tcPr>
            <w:tcW w:w="1291" w:type="dxa"/>
            <w:shd w:val="clear" w:color="auto" w:fill="auto"/>
            <w:vAlign w:val="center"/>
          </w:tcPr>
          <w:p w14:paraId="781F186D">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70</w:t>
            </w:r>
          </w:p>
        </w:tc>
        <w:tc>
          <w:tcPr>
            <w:tcW w:w="1113" w:type="dxa"/>
            <w:shd w:val="clear" w:color="auto" w:fill="auto"/>
            <w:vAlign w:val="center"/>
          </w:tcPr>
          <w:p w14:paraId="5BF9021C">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70</w:t>
            </w:r>
          </w:p>
        </w:tc>
        <w:tc>
          <w:tcPr>
            <w:tcW w:w="1946" w:type="dxa"/>
            <w:shd w:val="clear" w:color="auto" w:fill="auto"/>
            <w:vAlign w:val="center"/>
          </w:tcPr>
          <w:p w14:paraId="7AD2D764">
            <w:pPr>
              <w:pStyle w:val="104"/>
              <w:rPr>
                <w:snapToGrid w:val="0"/>
                <w:color w:val="auto"/>
                <w:lang w:val="en-GB"/>
              </w:rPr>
            </w:pPr>
            <w:r>
              <w:rPr>
                <w:rFonts w:hint="eastAsia" w:ascii="宋体" w:hAnsi="宋体" w:cs="宋体"/>
                <w:color w:val="auto"/>
                <w:sz w:val="21"/>
                <w:szCs w:val="21"/>
                <w:lang w:eastAsia="en-US"/>
              </w:rPr>
              <w:t>≥</w:t>
            </w:r>
            <w:r>
              <w:rPr>
                <w:rFonts w:ascii="宋体" w:hAnsi="宋体"/>
                <w:color w:val="auto"/>
                <w:spacing w:val="1"/>
                <w:sz w:val="20"/>
                <w:szCs w:val="20"/>
                <w:lang w:eastAsia="en-US"/>
              </w:rPr>
              <w:t>6</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059E14C3">
            <w:pPr>
              <w:pStyle w:val="10"/>
              <w:widowControl w:val="0"/>
              <w:adjustRightInd w:val="0"/>
              <w:snapToGrid w:val="0"/>
              <w:spacing w:after="0" w:line="440" w:lineRule="atLeast"/>
              <w:jc w:val="center"/>
              <w:rPr>
                <w:rFonts w:eastAsiaTheme="minorEastAsia"/>
                <w:sz w:val="24"/>
                <w:szCs w:val="24"/>
              </w:rPr>
            </w:pPr>
          </w:p>
        </w:tc>
      </w:tr>
      <w:tr w14:paraId="08DCC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3CA4E071">
            <w:pPr>
              <w:pStyle w:val="10"/>
              <w:widowControl w:val="0"/>
              <w:adjustRightInd w:val="0"/>
              <w:snapToGrid w:val="0"/>
              <w:spacing w:after="0" w:line="440" w:lineRule="atLeast"/>
              <w:jc w:val="center"/>
              <w:rPr>
                <w:rFonts w:eastAsiaTheme="minorEastAsia"/>
                <w:sz w:val="24"/>
                <w:szCs w:val="24"/>
              </w:rPr>
            </w:pPr>
            <w:r>
              <w:rPr>
                <w:rFonts w:ascii="宋体" w:hAnsi="宋体"/>
                <w:sz w:val="20"/>
                <w:lang w:eastAsia="en-US"/>
              </w:rPr>
              <w:t>2.6</w:t>
            </w:r>
          </w:p>
        </w:tc>
        <w:tc>
          <w:tcPr>
            <w:tcW w:w="3456" w:type="dxa"/>
            <w:shd w:val="clear" w:color="auto" w:fill="auto"/>
          </w:tcPr>
          <w:p w14:paraId="1C432D8A">
            <w:pPr>
              <w:pStyle w:val="104"/>
              <w:jc w:val="left"/>
              <w:rPr>
                <w:snapToGrid w:val="0"/>
                <w:color w:val="auto"/>
              </w:rPr>
            </w:pPr>
            <w:r>
              <w:rPr>
                <w:rFonts w:ascii="宋体" w:hAnsi="宋体" w:cs="宋体"/>
                <w:color w:val="auto"/>
                <w:spacing w:val="7"/>
                <w:sz w:val="20"/>
                <w:szCs w:val="20"/>
                <w:lang w:eastAsia="en-US"/>
              </w:rPr>
              <w:t>二次备品间</w:t>
            </w:r>
          </w:p>
        </w:tc>
        <w:tc>
          <w:tcPr>
            <w:tcW w:w="1043" w:type="dxa"/>
            <w:shd w:val="clear" w:color="auto" w:fill="auto"/>
            <w:vAlign w:val="center"/>
          </w:tcPr>
          <w:p w14:paraId="5836BC7B">
            <w:pPr>
              <w:pStyle w:val="104"/>
              <w:rPr>
                <w:snapToGrid w:val="0"/>
                <w:color w:val="auto"/>
              </w:rPr>
            </w:pPr>
            <w:r>
              <w:rPr>
                <w:rFonts w:hint="eastAsia" w:ascii="宋体" w:hAnsi="宋体"/>
                <w:color w:val="auto"/>
                <w:spacing w:val="1"/>
                <w:position w:val="1"/>
                <w:sz w:val="20"/>
                <w:szCs w:val="20"/>
                <w:lang w:eastAsia="en-US"/>
              </w:rPr>
              <w:t>—</w:t>
            </w:r>
          </w:p>
        </w:tc>
        <w:tc>
          <w:tcPr>
            <w:tcW w:w="1054" w:type="dxa"/>
            <w:shd w:val="clear" w:color="auto" w:fill="auto"/>
            <w:vAlign w:val="center"/>
          </w:tcPr>
          <w:p w14:paraId="46E9A11C">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70</w:t>
            </w:r>
          </w:p>
        </w:tc>
        <w:tc>
          <w:tcPr>
            <w:tcW w:w="1291" w:type="dxa"/>
            <w:shd w:val="clear" w:color="auto" w:fill="auto"/>
            <w:vAlign w:val="center"/>
          </w:tcPr>
          <w:p w14:paraId="0BD694A1">
            <w:pPr>
              <w:pStyle w:val="104"/>
              <w:rPr>
                <w:snapToGrid w:val="0"/>
                <w:color w:val="auto"/>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421095B7">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70</w:t>
            </w:r>
          </w:p>
        </w:tc>
        <w:tc>
          <w:tcPr>
            <w:tcW w:w="1946" w:type="dxa"/>
            <w:shd w:val="clear" w:color="auto" w:fill="auto"/>
            <w:vAlign w:val="center"/>
          </w:tcPr>
          <w:p w14:paraId="114C7449">
            <w:pPr>
              <w:pStyle w:val="104"/>
              <w:rPr>
                <w:snapToGrid w:val="0"/>
                <w:color w:val="auto"/>
                <w:lang w:val="en-GB"/>
              </w:rPr>
            </w:pPr>
            <w:r>
              <w:rPr>
                <w:rFonts w:hint="eastAsia" w:ascii="宋体" w:hAnsi="宋体" w:cs="宋体"/>
                <w:color w:val="auto"/>
                <w:sz w:val="21"/>
                <w:szCs w:val="21"/>
                <w:lang w:eastAsia="en-US"/>
              </w:rPr>
              <w:t>≥</w:t>
            </w:r>
            <w:r>
              <w:rPr>
                <w:rFonts w:ascii="宋体" w:hAnsi="宋体"/>
                <w:color w:val="auto"/>
                <w:spacing w:val="1"/>
                <w:sz w:val="20"/>
                <w:szCs w:val="20"/>
              </w:rPr>
              <w:t>2</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3D15D017">
            <w:pPr>
              <w:pStyle w:val="10"/>
              <w:widowControl w:val="0"/>
              <w:adjustRightInd w:val="0"/>
              <w:snapToGrid w:val="0"/>
              <w:spacing w:after="0" w:line="440" w:lineRule="atLeast"/>
              <w:jc w:val="center"/>
              <w:rPr>
                <w:rFonts w:eastAsiaTheme="minorEastAsia"/>
                <w:sz w:val="24"/>
                <w:szCs w:val="24"/>
              </w:rPr>
            </w:pPr>
          </w:p>
        </w:tc>
      </w:tr>
      <w:tr w14:paraId="36BC9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188B8348">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2.7</w:t>
            </w:r>
          </w:p>
        </w:tc>
        <w:tc>
          <w:tcPr>
            <w:tcW w:w="3456" w:type="dxa"/>
            <w:shd w:val="clear" w:color="auto" w:fill="auto"/>
          </w:tcPr>
          <w:p w14:paraId="3B38317B">
            <w:pPr>
              <w:pStyle w:val="104"/>
              <w:jc w:val="left"/>
              <w:rPr>
                <w:snapToGrid w:val="0"/>
                <w:color w:val="auto"/>
              </w:rPr>
            </w:pPr>
            <w:r>
              <w:rPr>
                <w:rFonts w:ascii="宋体" w:hAnsi="宋体" w:cs="宋体"/>
                <w:color w:val="auto"/>
                <w:spacing w:val="5"/>
                <w:sz w:val="20"/>
                <w:szCs w:val="20"/>
                <w:lang w:eastAsia="en-US"/>
              </w:rPr>
              <w:t>蓄电池室</w:t>
            </w:r>
          </w:p>
        </w:tc>
        <w:tc>
          <w:tcPr>
            <w:tcW w:w="1043" w:type="dxa"/>
            <w:shd w:val="clear" w:color="auto" w:fill="auto"/>
            <w:vAlign w:val="center"/>
          </w:tcPr>
          <w:p w14:paraId="75CF0ABB">
            <w:pPr>
              <w:pStyle w:val="104"/>
              <w:rPr>
                <w:snapToGrid w:val="0"/>
                <w:color w:val="auto"/>
              </w:rPr>
            </w:pPr>
            <w:r>
              <w:rPr>
                <w:rFonts w:ascii="宋体" w:hAnsi="宋体"/>
                <w:color w:val="auto"/>
                <w:spacing w:val="1"/>
                <w:position w:val="1"/>
                <w:sz w:val="20"/>
                <w:szCs w:val="20"/>
              </w:rPr>
              <w:t>20</w:t>
            </w:r>
            <w:r>
              <w:rPr>
                <w:rFonts w:ascii="宋体" w:hAnsi="宋体" w:cs="宋体"/>
                <w:color w:val="auto"/>
                <w:spacing w:val="1"/>
                <w:position w:val="1"/>
                <w:sz w:val="20"/>
                <w:szCs w:val="20"/>
                <w:lang w:eastAsia="en-US"/>
              </w:rPr>
              <w:t>～</w:t>
            </w:r>
            <w:r>
              <w:rPr>
                <w:rFonts w:ascii="宋体" w:hAnsi="宋体"/>
                <w:color w:val="auto"/>
                <w:spacing w:val="1"/>
                <w:position w:val="1"/>
                <w:sz w:val="20"/>
                <w:szCs w:val="20"/>
                <w:lang w:eastAsia="en-US"/>
              </w:rPr>
              <w:t>30</w:t>
            </w:r>
          </w:p>
        </w:tc>
        <w:tc>
          <w:tcPr>
            <w:tcW w:w="1054" w:type="dxa"/>
            <w:shd w:val="clear" w:color="auto" w:fill="auto"/>
            <w:vAlign w:val="center"/>
          </w:tcPr>
          <w:p w14:paraId="22DB99FA">
            <w:pPr>
              <w:pStyle w:val="104"/>
              <w:rPr>
                <w:snapToGrid w:val="0"/>
                <w:color w:val="auto"/>
              </w:rPr>
            </w:pPr>
            <w:r>
              <w:rPr>
                <w:rFonts w:ascii="宋体" w:hAnsi="宋体"/>
                <w:color w:val="auto"/>
                <w:spacing w:val="1"/>
                <w:position w:val="1"/>
                <w:sz w:val="20"/>
                <w:szCs w:val="20"/>
              </w:rPr>
              <w:t>20</w:t>
            </w:r>
            <w:r>
              <w:rPr>
                <w:rFonts w:ascii="宋体" w:hAnsi="宋体" w:cs="宋体"/>
                <w:color w:val="auto"/>
                <w:spacing w:val="1"/>
                <w:position w:val="1"/>
                <w:sz w:val="20"/>
                <w:szCs w:val="20"/>
                <w:lang w:eastAsia="en-US"/>
              </w:rPr>
              <w:t>～</w:t>
            </w:r>
            <w:r>
              <w:rPr>
                <w:rFonts w:ascii="宋体" w:hAnsi="宋体"/>
                <w:color w:val="auto"/>
                <w:spacing w:val="1"/>
                <w:position w:val="1"/>
                <w:sz w:val="20"/>
                <w:szCs w:val="20"/>
                <w:lang w:eastAsia="en-US"/>
              </w:rPr>
              <w:t>30</w:t>
            </w:r>
          </w:p>
        </w:tc>
        <w:tc>
          <w:tcPr>
            <w:tcW w:w="1291" w:type="dxa"/>
            <w:shd w:val="clear" w:color="auto" w:fill="auto"/>
            <w:vAlign w:val="center"/>
          </w:tcPr>
          <w:p w14:paraId="5DAED0FA">
            <w:pPr>
              <w:pStyle w:val="104"/>
              <w:rPr>
                <w:snapToGrid w:val="0"/>
                <w:color w:val="auto"/>
              </w:rPr>
            </w:pPr>
            <w:r>
              <w:rPr>
                <w:rFonts w:ascii="宋体" w:hAnsi="宋体"/>
                <w:color w:val="auto"/>
                <w:spacing w:val="4"/>
                <w:sz w:val="20"/>
                <w:szCs w:val="20"/>
                <w:lang w:eastAsia="en-US"/>
              </w:rPr>
              <w:t>≤70</w:t>
            </w:r>
          </w:p>
        </w:tc>
        <w:tc>
          <w:tcPr>
            <w:tcW w:w="1113" w:type="dxa"/>
            <w:shd w:val="clear" w:color="auto" w:fill="auto"/>
            <w:vAlign w:val="center"/>
          </w:tcPr>
          <w:p w14:paraId="1693F9C3">
            <w:pPr>
              <w:pStyle w:val="104"/>
              <w:rPr>
                <w:snapToGrid w:val="0"/>
                <w:color w:val="auto"/>
              </w:rPr>
            </w:pPr>
            <w:r>
              <w:rPr>
                <w:rFonts w:ascii="宋体" w:hAnsi="宋体"/>
                <w:color w:val="auto"/>
                <w:spacing w:val="3"/>
                <w:sz w:val="20"/>
                <w:szCs w:val="20"/>
                <w:lang w:eastAsia="en-US"/>
              </w:rPr>
              <w:t>≤70</w:t>
            </w:r>
          </w:p>
        </w:tc>
        <w:tc>
          <w:tcPr>
            <w:tcW w:w="1946" w:type="dxa"/>
            <w:shd w:val="clear" w:color="auto" w:fill="auto"/>
            <w:vAlign w:val="center"/>
          </w:tcPr>
          <w:p w14:paraId="45E179BE">
            <w:pPr>
              <w:pStyle w:val="104"/>
              <w:rPr>
                <w:snapToGrid w:val="0"/>
                <w:color w:val="auto"/>
                <w:lang w:val="en-GB"/>
              </w:rPr>
            </w:pPr>
            <w:r>
              <w:rPr>
                <w:rFonts w:hint="eastAsia" w:ascii="宋体" w:hAnsi="宋体" w:cs="宋体"/>
                <w:color w:val="auto"/>
                <w:sz w:val="21"/>
                <w:szCs w:val="21"/>
                <w:lang w:eastAsia="en-US"/>
              </w:rPr>
              <w:t>≥</w:t>
            </w:r>
            <w:r>
              <w:rPr>
                <w:rFonts w:ascii="宋体" w:hAnsi="宋体"/>
                <w:color w:val="auto"/>
                <w:spacing w:val="1"/>
                <w:sz w:val="20"/>
                <w:szCs w:val="20"/>
                <w:lang w:eastAsia="en-US"/>
              </w:rPr>
              <w:t>6</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760847EF">
            <w:pPr>
              <w:pStyle w:val="10"/>
              <w:widowControl w:val="0"/>
              <w:adjustRightInd w:val="0"/>
              <w:snapToGrid w:val="0"/>
              <w:spacing w:after="0" w:line="440" w:lineRule="atLeast"/>
              <w:jc w:val="center"/>
              <w:rPr>
                <w:rFonts w:eastAsiaTheme="minorEastAsia"/>
                <w:sz w:val="24"/>
                <w:szCs w:val="24"/>
              </w:rPr>
            </w:pPr>
            <w:r>
              <w:rPr>
                <w:rFonts w:ascii="宋体" w:hAnsi="宋体" w:cs="宋体"/>
                <w:spacing w:val="4"/>
                <w:sz w:val="20"/>
                <w:lang w:eastAsia="en-US"/>
              </w:rPr>
              <w:t>防腐防爆</w:t>
            </w:r>
          </w:p>
        </w:tc>
      </w:tr>
      <w:tr w14:paraId="017D9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7C8C8C5B">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2.8</w:t>
            </w:r>
          </w:p>
        </w:tc>
        <w:tc>
          <w:tcPr>
            <w:tcW w:w="3456" w:type="dxa"/>
            <w:shd w:val="clear" w:color="auto" w:fill="auto"/>
          </w:tcPr>
          <w:p w14:paraId="36F17AFE">
            <w:pPr>
              <w:pStyle w:val="104"/>
              <w:jc w:val="left"/>
              <w:rPr>
                <w:snapToGrid w:val="0"/>
                <w:color w:val="auto"/>
              </w:rPr>
            </w:pPr>
            <w:r>
              <w:rPr>
                <w:rFonts w:ascii="宋体" w:hAnsi="宋体" w:cs="宋体"/>
                <w:color w:val="auto"/>
                <w:spacing w:val="5"/>
                <w:sz w:val="20"/>
                <w:szCs w:val="20"/>
                <w:lang w:eastAsia="en-US"/>
              </w:rPr>
              <w:t>主控室</w:t>
            </w:r>
          </w:p>
        </w:tc>
        <w:tc>
          <w:tcPr>
            <w:tcW w:w="1043" w:type="dxa"/>
            <w:shd w:val="clear" w:color="auto" w:fill="auto"/>
            <w:vAlign w:val="center"/>
          </w:tcPr>
          <w:p w14:paraId="69082688">
            <w:pPr>
              <w:pStyle w:val="104"/>
              <w:rPr>
                <w:snapToGrid w:val="0"/>
                <w:color w:val="auto"/>
              </w:rPr>
            </w:pPr>
            <w:r>
              <w:rPr>
                <w:rFonts w:ascii="宋体" w:hAnsi="宋体" w:cs="宋体"/>
                <w:color w:val="auto"/>
                <w:sz w:val="21"/>
                <w:szCs w:val="21"/>
                <w:lang w:eastAsia="en-US"/>
              </w:rPr>
              <w:t>26～28</w:t>
            </w:r>
          </w:p>
        </w:tc>
        <w:tc>
          <w:tcPr>
            <w:tcW w:w="1054" w:type="dxa"/>
            <w:shd w:val="clear" w:color="auto" w:fill="auto"/>
            <w:vAlign w:val="center"/>
          </w:tcPr>
          <w:p w14:paraId="78BB1B73">
            <w:pPr>
              <w:pStyle w:val="104"/>
              <w:rPr>
                <w:snapToGrid w:val="0"/>
                <w:color w:val="auto"/>
              </w:rPr>
            </w:pPr>
            <w:r>
              <w:rPr>
                <w:rFonts w:ascii="宋体" w:hAnsi="宋体" w:cs="宋体"/>
                <w:color w:val="auto"/>
                <w:sz w:val="21"/>
                <w:szCs w:val="21"/>
                <w:lang w:eastAsia="en-US"/>
              </w:rPr>
              <w:t>18～24</w:t>
            </w:r>
          </w:p>
        </w:tc>
        <w:tc>
          <w:tcPr>
            <w:tcW w:w="1291" w:type="dxa"/>
            <w:shd w:val="clear" w:color="auto" w:fill="auto"/>
            <w:vAlign w:val="center"/>
          </w:tcPr>
          <w:p w14:paraId="3D190822">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70</w:t>
            </w:r>
          </w:p>
        </w:tc>
        <w:tc>
          <w:tcPr>
            <w:tcW w:w="1113" w:type="dxa"/>
            <w:shd w:val="clear" w:color="auto" w:fill="auto"/>
            <w:vAlign w:val="center"/>
          </w:tcPr>
          <w:p w14:paraId="0459D5D9">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70</w:t>
            </w:r>
          </w:p>
        </w:tc>
        <w:tc>
          <w:tcPr>
            <w:tcW w:w="1946" w:type="dxa"/>
            <w:shd w:val="clear" w:color="auto" w:fill="auto"/>
            <w:vAlign w:val="center"/>
          </w:tcPr>
          <w:p w14:paraId="056DA2FA">
            <w:pPr>
              <w:pStyle w:val="104"/>
              <w:rPr>
                <w:snapToGrid w:val="0"/>
                <w:color w:val="auto"/>
              </w:rPr>
            </w:pPr>
            <w:r>
              <w:rPr>
                <w:rFonts w:hint="eastAsia" w:ascii="宋体" w:hAnsi="宋体" w:cs="宋体"/>
                <w:color w:val="auto"/>
                <w:sz w:val="21"/>
                <w:szCs w:val="21"/>
                <w:lang w:eastAsia="en-US"/>
              </w:rPr>
              <w:t>新风量：</w:t>
            </w:r>
            <w:r>
              <w:rPr>
                <w:rFonts w:ascii="宋体" w:hAnsi="宋体" w:cs="宋体"/>
                <w:color w:val="auto"/>
                <w:sz w:val="21"/>
                <w:szCs w:val="21"/>
                <w:lang w:eastAsia="en-US"/>
              </w:rPr>
              <w:t>40m</w:t>
            </w:r>
            <w:r>
              <w:rPr>
                <w:rFonts w:ascii="宋体" w:hAnsi="宋体" w:cs="宋体"/>
                <w:color w:val="auto"/>
                <w:sz w:val="21"/>
                <w:szCs w:val="21"/>
                <w:vertAlign w:val="superscript"/>
                <w:lang w:eastAsia="en-US"/>
              </w:rPr>
              <w:t>3</w:t>
            </w:r>
            <w:r>
              <w:rPr>
                <w:rFonts w:ascii="宋体" w:hAnsi="宋体" w:cs="宋体"/>
                <w:color w:val="auto"/>
                <w:sz w:val="21"/>
                <w:szCs w:val="21"/>
                <w:lang w:eastAsia="en-US"/>
              </w:rPr>
              <w:t>/(h*人)</w:t>
            </w:r>
          </w:p>
        </w:tc>
        <w:tc>
          <w:tcPr>
            <w:tcW w:w="2065" w:type="dxa"/>
            <w:shd w:val="clear" w:color="auto" w:fill="auto"/>
            <w:vAlign w:val="center"/>
          </w:tcPr>
          <w:p w14:paraId="5A120CB0">
            <w:pPr>
              <w:pStyle w:val="10"/>
              <w:widowControl w:val="0"/>
              <w:adjustRightInd w:val="0"/>
              <w:snapToGrid w:val="0"/>
              <w:spacing w:after="0" w:line="440" w:lineRule="atLeast"/>
              <w:jc w:val="center"/>
              <w:rPr>
                <w:rFonts w:eastAsiaTheme="minorEastAsia"/>
                <w:sz w:val="24"/>
                <w:szCs w:val="24"/>
              </w:rPr>
            </w:pPr>
          </w:p>
        </w:tc>
      </w:tr>
      <w:tr w14:paraId="7F18F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4AA85C4D">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2.9</w:t>
            </w:r>
          </w:p>
        </w:tc>
        <w:tc>
          <w:tcPr>
            <w:tcW w:w="3456" w:type="dxa"/>
            <w:shd w:val="clear" w:color="auto" w:fill="auto"/>
          </w:tcPr>
          <w:p w14:paraId="37E9C7CC">
            <w:pPr>
              <w:pStyle w:val="104"/>
              <w:jc w:val="left"/>
              <w:rPr>
                <w:snapToGrid w:val="0"/>
                <w:color w:val="auto"/>
              </w:rPr>
            </w:pPr>
            <w:r>
              <w:rPr>
                <w:rFonts w:ascii="宋体" w:hAnsi="宋体" w:cs="宋体"/>
                <w:color w:val="auto"/>
                <w:spacing w:val="5"/>
                <w:sz w:val="20"/>
                <w:szCs w:val="20"/>
                <w:lang w:eastAsia="en-US"/>
              </w:rPr>
              <w:t>通信室</w:t>
            </w:r>
          </w:p>
        </w:tc>
        <w:tc>
          <w:tcPr>
            <w:tcW w:w="1043" w:type="dxa"/>
            <w:shd w:val="clear" w:color="auto" w:fill="auto"/>
            <w:vAlign w:val="center"/>
          </w:tcPr>
          <w:p w14:paraId="1EA2A98A">
            <w:pPr>
              <w:pStyle w:val="104"/>
              <w:rPr>
                <w:snapToGrid w:val="0"/>
                <w:color w:val="auto"/>
              </w:rPr>
            </w:pPr>
            <w:r>
              <w:rPr>
                <w:rFonts w:ascii="宋体" w:hAnsi="宋体" w:cs="宋体"/>
                <w:color w:val="auto"/>
                <w:sz w:val="21"/>
                <w:szCs w:val="21"/>
                <w:lang w:eastAsia="en-US"/>
              </w:rPr>
              <w:t>26～28</w:t>
            </w:r>
          </w:p>
        </w:tc>
        <w:tc>
          <w:tcPr>
            <w:tcW w:w="1054" w:type="dxa"/>
            <w:shd w:val="clear" w:color="auto" w:fill="auto"/>
            <w:vAlign w:val="center"/>
          </w:tcPr>
          <w:p w14:paraId="614ED119">
            <w:pPr>
              <w:pStyle w:val="104"/>
              <w:rPr>
                <w:snapToGrid w:val="0"/>
                <w:color w:val="auto"/>
              </w:rPr>
            </w:pPr>
            <w:r>
              <w:rPr>
                <w:rFonts w:ascii="宋体" w:hAnsi="宋体" w:cs="宋体"/>
                <w:color w:val="auto"/>
                <w:sz w:val="21"/>
                <w:szCs w:val="21"/>
                <w:lang w:eastAsia="en-US"/>
              </w:rPr>
              <w:t>18～24</w:t>
            </w:r>
          </w:p>
        </w:tc>
        <w:tc>
          <w:tcPr>
            <w:tcW w:w="1291" w:type="dxa"/>
            <w:shd w:val="clear" w:color="auto" w:fill="auto"/>
            <w:vAlign w:val="center"/>
          </w:tcPr>
          <w:p w14:paraId="27B88E3D">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65</w:t>
            </w:r>
          </w:p>
        </w:tc>
        <w:tc>
          <w:tcPr>
            <w:tcW w:w="1113" w:type="dxa"/>
            <w:shd w:val="clear" w:color="auto" w:fill="auto"/>
            <w:vAlign w:val="center"/>
          </w:tcPr>
          <w:p w14:paraId="6E35920C">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70</w:t>
            </w:r>
          </w:p>
        </w:tc>
        <w:tc>
          <w:tcPr>
            <w:tcW w:w="1946" w:type="dxa"/>
            <w:shd w:val="clear" w:color="auto" w:fill="auto"/>
            <w:vAlign w:val="center"/>
          </w:tcPr>
          <w:p w14:paraId="1830D909">
            <w:pPr>
              <w:pStyle w:val="104"/>
              <w:rPr>
                <w:snapToGrid w:val="0"/>
                <w:color w:val="auto"/>
              </w:rPr>
            </w:pPr>
            <w:r>
              <w:rPr>
                <w:rFonts w:hint="eastAsia" w:ascii="宋体" w:hAnsi="宋体" w:cs="宋体"/>
                <w:color w:val="auto"/>
                <w:sz w:val="21"/>
                <w:szCs w:val="21"/>
                <w:lang w:eastAsia="en-US"/>
              </w:rPr>
              <w:t>≥</w:t>
            </w:r>
            <w:r>
              <w:rPr>
                <w:rFonts w:ascii="宋体" w:hAnsi="宋体"/>
                <w:color w:val="auto"/>
                <w:spacing w:val="1"/>
                <w:sz w:val="20"/>
                <w:szCs w:val="20"/>
                <w:lang w:eastAsia="en-US"/>
              </w:rPr>
              <w:t>6</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2502FFB8">
            <w:pPr>
              <w:pStyle w:val="10"/>
              <w:widowControl w:val="0"/>
              <w:adjustRightInd w:val="0"/>
              <w:snapToGrid w:val="0"/>
              <w:spacing w:after="0" w:line="440" w:lineRule="atLeast"/>
              <w:jc w:val="center"/>
              <w:rPr>
                <w:rFonts w:eastAsiaTheme="minorEastAsia"/>
                <w:sz w:val="24"/>
                <w:szCs w:val="24"/>
              </w:rPr>
            </w:pPr>
          </w:p>
        </w:tc>
      </w:tr>
      <w:tr w14:paraId="284DB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7C48431A">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2.10</w:t>
            </w:r>
          </w:p>
        </w:tc>
        <w:tc>
          <w:tcPr>
            <w:tcW w:w="3456" w:type="dxa"/>
            <w:shd w:val="clear" w:color="auto" w:fill="auto"/>
          </w:tcPr>
          <w:p w14:paraId="7B432D82">
            <w:pPr>
              <w:pStyle w:val="104"/>
              <w:jc w:val="left"/>
              <w:rPr>
                <w:snapToGrid w:val="0"/>
                <w:color w:val="auto"/>
              </w:rPr>
            </w:pPr>
            <w:r>
              <w:rPr>
                <w:rFonts w:ascii="宋体" w:hAnsi="宋体" w:cs="宋体"/>
                <w:color w:val="auto"/>
                <w:spacing w:val="5"/>
                <w:sz w:val="20"/>
                <w:szCs w:val="20"/>
              </w:rPr>
              <w:t>交接班室、待工室、会议室</w:t>
            </w:r>
          </w:p>
        </w:tc>
        <w:tc>
          <w:tcPr>
            <w:tcW w:w="1043" w:type="dxa"/>
            <w:shd w:val="clear" w:color="auto" w:fill="auto"/>
            <w:vAlign w:val="center"/>
          </w:tcPr>
          <w:p w14:paraId="5B35D82D">
            <w:pPr>
              <w:pStyle w:val="104"/>
              <w:rPr>
                <w:snapToGrid w:val="0"/>
                <w:color w:val="auto"/>
              </w:rPr>
            </w:pPr>
            <w:r>
              <w:rPr>
                <w:rFonts w:ascii="宋体" w:hAnsi="宋体"/>
                <w:color w:val="auto"/>
                <w:spacing w:val="5"/>
                <w:position w:val="1"/>
                <w:sz w:val="20"/>
                <w:szCs w:val="20"/>
                <w:lang w:eastAsia="en-US"/>
              </w:rPr>
              <w:t>26</w:t>
            </w:r>
            <w:r>
              <w:rPr>
                <w:rFonts w:ascii="宋体" w:hAnsi="宋体" w:cs="宋体"/>
                <w:color w:val="auto"/>
                <w:spacing w:val="5"/>
                <w:position w:val="1"/>
                <w:sz w:val="20"/>
                <w:szCs w:val="20"/>
                <w:lang w:eastAsia="en-US"/>
              </w:rPr>
              <w:t>～</w:t>
            </w:r>
            <w:r>
              <w:rPr>
                <w:rFonts w:ascii="宋体" w:hAnsi="宋体"/>
                <w:color w:val="auto"/>
                <w:spacing w:val="5"/>
                <w:position w:val="1"/>
                <w:sz w:val="20"/>
                <w:szCs w:val="20"/>
                <w:lang w:eastAsia="en-US"/>
              </w:rPr>
              <w:t>28</w:t>
            </w:r>
          </w:p>
        </w:tc>
        <w:tc>
          <w:tcPr>
            <w:tcW w:w="1054" w:type="dxa"/>
            <w:shd w:val="clear" w:color="auto" w:fill="auto"/>
            <w:vAlign w:val="center"/>
          </w:tcPr>
          <w:p w14:paraId="3BB30B3E">
            <w:pPr>
              <w:pStyle w:val="104"/>
              <w:rPr>
                <w:snapToGrid w:val="0"/>
                <w:color w:val="auto"/>
              </w:rPr>
            </w:pPr>
            <w:r>
              <w:rPr>
                <w:rFonts w:ascii="宋体" w:hAnsi="宋体"/>
                <w:color w:val="auto"/>
                <w:spacing w:val="1"/>
                <w:position w:val="1"/>
                <w:sz w:val="20"/>
                <w:szCs w:val="20"/>
                <w:lang w:eastAsia="en-US"/>
              </w:rPr>
              <w:t>18</w:t>
            </w:r>
            <w:r>
              <w:rPr>
                <w:rFonts w:ascii="宋体" w:hAnsi="宋体" w:cs="宋体"/>
                <w:color w:val="auto"/>
                <w:spacing w:val="1"/>
                <w:position w:val="1"/>
                <w:sz w:val="20"/>
                <w:szCs w:val="20"/>
                <w:lang w:eastAsia="en-US"/>
              </w:rPr>
              <w:t>～</w:t>
            </w:r>
            <w:r>
              <w:rPr>
                <w:rFonts w:ascii="宋体" w:hAnsi="宋体"/>
                <w:color w:val="auto"/>
                <w:spacing w:val="1"/>
                <w:position w:val="1"/>
                <w:sz w:val="20"/>
                <w:szCs w:val="20"/>
                <w:lang w:eastAsia="en-US"/>
              </w:rPr>
              <w:t>22</w:t>
            </w:r>
          </w:p>
        </w:tc>
        <w:tc>
          <w:tcPr>
            <w:tcW w:w="1291" w:type="dxa"/>
            <w:shd w:val="clear" w:color="auto" w:fill="auto"/>
            <w:vAlign w:val="center"/>
          </w:tcPr>
          <w:p w14:paraId="5EC31BA5">
            <w:pPr>
              <w:pStyle w:val="104"/>
              <w:rPr>
                <w:snapToGrid w:val="0"/>
                <w:color w:val="auto"/>
              </w:rPr>
            </w:pPr>
            <w:r>
              <w:rPr>
                <w:rFonts w:ascii="宋体" w:hAnsi="宋体"/>
                <w:color w:val="auto"/>
                <w:spacing w:val="4"/>
                <w:sz w:val="20"/>
                <w:szCs w:val="20"/>
                <w:lang w:eastAsia="en-US"/>
              </w:rPr>
              <w:t>≤70</w:t>
            </w:r>
          </w:p>
        </w:tc>
        <w:tc>
          <w:tcPr>
            <w:tcW w:w="1113" w:type="dxa"/>
            <w:shd w:val="clear" w:color="auto" w:fill="auto"/>
            <w:vAlign w:val="center"/>
          </w:tcPr>
          <w:p w14:paraId="7E0865C6">
            <w:pPr>
              <w:pStyle w:val="104"/>
              <w:rPr>
                <w:snapToGrid w:val="0"/>
                <w:color w:val="auto"/>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23355F28">
            <w:pPr>
              <w:pStyle w:val="104"/>
              <w:rPr>
                <w:snapToGrid w:val="0"/>
                <w:color w:val="auto"/>
              </w:rPr>
            </w:pPr>
            <w:r>
              <w:rPr>
                <w:rFonts w:ascii="宋体" w:hAnsi="宋体"/>
                <w:color w:val="auto"/>
                <w:spacing w:val="4"/>
                <w:sz w:val="20"/>
                <w:szCs w:val="20"/>
                <w:lang w:eastAsia="en-US"/>
              </w:rPr>
              <w:t>30m</w:t>
            </w:r>
            <w:r>
              <w:rPr>
                <w:rFonts w:ascii="宋体" w:hAnsi="宋体"/>
                <w:color w:val="auto"/>
                <w:spacing w:val="4"/>
                <w:position w:val="6"/>
                <w:sz w:val="13"/>
                <w:szCs w:val="13"/>
                <w:lang w:eastAsia="en-US"/>
              </w:rPr>
              <w:t>3</w:t>
            </w:r>
            <w:r>
              <w:rPr>
                <w:rFonts w:ascii="宋体" w:hAnsi="宋体"/>
                <w:color w:val="auto"/>
                <w:spacing w:val="4"/>
                <w:sz w:val="20"/>
                <w:szCs w:val="20"/>
                <w:lang w:eastAsia="en-US"/>
              </w:rPr>
              <w:t>/h·</w:t>
            </w:r>
            <w:r>
              <w:rPr>
                <w:rFonts w:ascii="宋体" w:hAnsi="宋体" w:cs="宋体"/>
                <w:color w:val="auto"/>
                <w:spacing w:val="4"/>
                <w:sz w:val="20"/>
                <w:szCs w:val="20"/>
                <w:lang w:eastAsia="en-US"/>
              </w:rPr>
              <w:t>人</w:t>
            </w:r>
          </w:p>
        </w:tc>
        <w:tc>
          <w:tcPr>
            <w:tcW w:w="2065" w:type="dxa"/>
            <w:shd w:val="clear" w:color="auto" w:fill="auto"/>
            <w:vAlign w:val="center"/>
          </w:tcPr>
          <w:p w14:paraId="51904FAE">
            <w:pPr>
              <w:pStyle w:val="10"/>
              <w:widowControl w:val="0"/>
              <w:adjustRightInd w:val="0"/>
              <w:snapToGrid w:val="0"/>
              <w:spacing w:after="0" w:line="440" w:lineRule="atLeast"/>
              <w:jc w:val="center"/>
              <w:rPr>
                <w:rFonts w:eastAsiaTheme="minorEastAsia"/>
                <w:sz w:val="24"/>
                <w:szCs w:val="24"/>
              </w:rPr>
            </w:pPr>
          </w:p>
        </w:tc>
      </w:tr>
      <w:tr w14:paraId="6CB09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4799E685">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2.11</w:t>
            </w:r>
          </w:p>
        </w:tc>
        <w:tc>
          <w:tcPr>
            <w:tcW w:w="3456" w:type="dxa"/>
            <w:shd w:val="clear" w:color="auto" w:fill="auto"/>
          </w:tcPr>
          <w:p w14:paraId="762D5CD2">
            <w:pPr>
              <w:pStyle w:val="104"/>
              <w:jc w:val="left"/>
              <w:rPr>
                <w:snapToGrid w:val="0"/>
                <w:color w:val="auto"/>
              </w:rPr>
            </w:pPr>
            <w:r>
              <w:rPr>
                <w:rFonts w:ascii="宋体" w:hAnsi="宋体" w:cs="宋体"/>
                <w:color w:val="auto"/>
                <w:spacing w:val="5"/>
                <w:sz w:val="20"/>
                <w:szCs w:val="20"/>
                <w:lang w:eastAsia="en-US"/>
              </w:rPr>
              <w:t>培训分析室</w:t>
            </w:r>
          </w:p>
        </w:tc>
        <w:tc>
          <w:tcPr>
            <w:tcW w:w="1043" w:type="dxa"/>
            <w:shd w:val="clear" w:color="auto" w:fill="auto"/>
            <w:vAlign w:val="center"/>
          </w:tcPr>
          <w:p w14:paraId="454EE2B1">
            <w:pPr>
              <w:pStyle w:val="104"/>
              <w:rPr>
                <w:snapToGrid w:val="0"/>
                <w:color w:val="auto"/>
              </w:rPr>
            </w:pPr>
            <w:r>
              <w:rPr>
                <w:rFonts w:ascii="宋体" w:hAnsi="宋体"/>
                <w:color w:val="auto"/>
                <w:spacing w:val="5"/>
                <w:position w:val="1"/>
                <w:sz w:val="20"/>
                <w:szCs w:val="20"/>
                <w:lang w:eastAsia="en-US"/>
              </w:rPr>
              <w:t>26</w:t>
            </w:r>
            <w:r>
              <w:rPr>
                <w:rFonts w:ascii="宋体" w:hAnsi="宋体" w:cs="宋体"/>
                <w:color w:val="auto"/>
                <w:spacing w:val="5"/>
                <w:position w:val="1"/>
                <w:sz w:val="20"/>
                <w:szCs w:val="20"/>
                <w:lang w:eastAsia="en-US"/>
              </w:rPr>
              <w:t>～</w:t>
            </w:r>
            <w:r>
              <w:rPr>
                <w:rFonts w:ascii="宋体" w:hAnsi="宋体"/>
                <w:color w:val="auto"/>
                <w:spacing w:val="5"/>
                <w:position w:val="1"/>
                <w:sz w:val="20"/>
                <w:szCs w:val="20"/>
                <w:lang w:eastAsia="en-US"/>
              </w:rPr>
              <w:t>28</w:t>
            </w:r>
          </w:p>
        </w:tc>
        <w:tc>
          <w:tcPr>
            <w:tcW w:w="1054" w:type="dxa"/>
            <w:shd w:val="clear" w:color="auto" w:fill="auto"/>
            <w:vAlign w:val="center"/>
          </w:tcPr>
          <w:p w14:paraId="7E5B8A9F">
            <w:pPr>
              <w:pStyle w:val="104"/>
              <w:rPr>
                <w:snapToGrid w:val="0"/>
                <w:color w:val="auto"/>
              </w:rPr>
            </w:pPr>
            <w:r>
              <w:rPr>
                <w:rFonts w:ascii="宋体" w:hAnsi="宋体"/>
                <w:color w:val="auto"/>
                <w:spacing w:val="1"/>
                <w:position w:val="1"/>
                <w:sz w:val="20"/>
                <w:szCs w:val="20"/>
                <w:lang w:eastAsia="en-US"/>
              </w:rPr>
              <w:t>18</w:t>
            </w:r>
            <w:r>
              <w:rPr>
                <w:rFonts w:ascii="宋体" w:hAnsi="宋体" w:cs="宋体"/>
                <w:color w:val="auto"/>
                <w:spacing w:val="1"/>
                <w:position w:val="1"/>
                <w:sz w:val="20"/>
                <w:szCs w:val="20"/>
                <w:lang w:eastAsia="en-US"/>
              </w:rPr>
              <w:t>～</w:t>
            </w:r>
            <w:r>
              <w:rPr>
                <w:rFonts w:ascii="宋体" w:hAnsi="宋体"/>
                <w:color w:val="auto"/>
                <w:spacing w:val="1"/>
                <w:position w:val="1"/>
                <w:sz w:val="20"/>
                <w:szCs w:val="20"/>
                <w:lang w:eastAsia="en-US"/>
              </w:rPr>
              <w:t>22</w:t>
            </w:r>
          </w:p>
        </w:tc>
        <w:tc>
          <w:tcPr>
            <w:tcW w:w="1291" w:type="dxa"/>
            <w:shd w:val="clear" w:color="auto" w:fill="auto"/>
            <w:vAlign w:val="center"/>
          </w:tcPr>
          <w:p w14:paraId="18E1EC4D">
            <w:pPr>
              <w:pStyle w:val="104"/>
              <w:rPr>
                <w:snapToGrid w:val="0"/>
                <w:color w:val="auto"/>
              </w:rPr>
            </w:pPr>
            <w:r>
              <w:rPr>
                <w:rFonts w:ascii="宋体" w:hAnsi="宋体"/>
                <w:color w:val="auto"/>
                <w:spacing w:val="4"/>
                <w:sz w:val="20"/>
                <w:szCs w:val="20"/>
                <w:lang w:eastAsia="en-US"/>
              </w:rPr>
              <w:t>≤70</w:t>
            </w:r>
          </w:p>
        </w:tc>
        <w:tc>
          <w:tcPr>
            <w:tcW w:w="1113" w:type="dxa"/>
            <w:shd w:val="clear" w:color="auto" w:fill="auto"/>
            <w:vAlign w:val="center"/>
          </w:tcPr>
          <w:p w14:paraId="2E33073D">
            <w:pPr>
              <w:pStyle w:val="104"/>
              <w:rPr>
                <w:snapToGrid w:val="0"/>
                <w:color w:val="auto"/>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76A96AA6">
            <w:pPr>
              <w:pStyle w:val="104"/>
              <w:rPr>
                <w:snapToGrid w:val="0"/>
                <w:color w:val="auto"/>
              </w:rPr>
            </w:pPr>
            <w:r>
              <w:rPr>
                <w:rFonts w:ascii="宋体" w:hAnsi="宋体"/>
                <w:color w:val="auto"/>
                <w:spacing w:val="4"/>
                <w:sz w:val="20"/>
                <w:szCs w:val="20"/>
                <w:lang w:eastAsia="en-US"/>
              </w:rPr>
              <w:t>30m</w:t>
            </w:r>
            <w:r>
              <w:rPr>
                <w:rFonts w:ascii="宋体" w:hAnsi="宋体"/>
                <w:color w:val="auto"/>
                <w:spacing w:val="4"/>
                <w:position w:val="6"/>
                <w:sz w:val="13"/>
                <w:szCs w:val="13"/>
                <w:lang w:eastAsia="en-US"/>
              </w:rPr>
              <w:t>3</w:t>
            </w:r>
            <w:r>
              <w:rPr>
                <w:rFonts w:ascii="宋体" w:hAnsi="宋体"/>
                <w:color w:val="auto"/>
                <w:spacing w:val="4"/>
                <w:sz w:val="20"/>
                <w:szCs w:val="20"/>
                <w:lang w:eastAsia="en-US"/>
              </w:rPr>
              <w:t>/h·</w:t>
            </w:r>
            <w:r>
              <w:rPr>
                <w:rFonts w:ascii="宋体" w:hAnsi="宋体" w:cs="宋体"/>
                <w:color w:val="auto"/>
                <w:spacing w:val="4"/>
                <w:sz w:val="20"/>
                <w:szCs w:val="20"/>
                <w:lang w:eastAsia="en-US"/>
              </w:rPr>
              <w:t>人</w:t>
            </w:r>
          </w:p>
        </w:tc>
        <w:tc>
          <w:tcPr>
            <w:tcW w:w="2065" w:type="dxa"/>
            <w:shd w:val="clear" w:color="auto" w:fill="auto"/>
            <w:vAlign w:val="center"/>
          </w:tcPr>
          <w:p w14:paraId="5C6D6B0C">
            <w:pPr>
              <w:pStyle w:val="10"/>
              <w:widowControl w:val="0"/>
              <w:adjustRightInd w:val="0"/>
              <w:snapToGrid w:val="0"/>
              <w:spacing w:after="0" w:line="440" w:lineRule="atLeast"/>
              <w:jc w:val="center"/>
              <w:rPr>
                <w:rFonts w:eastAsiaTheme="minorEastAsia"/>
                <w:sz w:val="24"/>
                <w:szCs w:val="24"/>
              </w:rPr>
            </w:pPr>
          </w:p>
        </w:tc>
      </w:tr>
      <w:tr w14:paraId="0C31F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4DCCE65A">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2.12</w:t>
            </w:r>
          </w:p>
        </w:tc>
        <w:tc>
          <w:tcPr>
            <w:tcW w:w="3456" w:type="dxa"/>
            <w:shd w:val="clear" w:color="auto" w:fill="auto"/>
          </w:tcPr>
          <w:p w14:paraId="48ADD925">
            <w:pPr>
              <w:pStyle w:val="104"/>
              <w:jc w:val="left"/>
              <w:rPr>
                <w:snapToGrid w:val="0"/>
                <w:color w:val="auto"/>
              </w:rPr>
            </w:pPr>
            <w:r>
              <w:rPr>
                <w:rFonts w:hint="eastAsia" w:ascii="宋体" w:hAnsi="宋体"/>
                <w:color w:val="auto"/>
                <w:spacing w:val="6"/>
                <w:sz w:val="20"/>
                <w:szCs w:val="20"/>
              </w:rPr>
              <w:t>交流</w:t>
            </w:r>
            <w:r>
              <w:rPr>
                <w:rFonts w:ascii="宋体" w:hAnsi="宋体" w:cs="宋体"/>
                <w:color w:val="auto"/>
                <w:spacing w:val="6"/>
                <w:sz w:val="20"/>
                <w:szCs w:val="20"/>
                <w:lang w:eastAsia="en-US"/>
              </w:rPr>
              <w:t>配电室</w:t>
            </w:r>
          </w:p>
        </w:tc>
        <w:tc>
          <w:tcPr>
            <w:tcW w:w="1043" w:type="dxa"/>
            <w:shd w:val="clear" w:color="auto" w:fill="auto"/>
            <w:vAlign w:val="center"/>
          </w:tcPr>
          <w:p w14:paraId="50704119">
            <w:pPr>
              <w:pStyle w:val="104"/>
              <w:rPr>
                <w:snapToGrid w:val="0"/>
                <w:color w:val="auto"/>
              </w:rPr>
            </w:pPr>
            <w:r>
              <w:rPr>
                <w:rFonts w:ascii="宋体" w:hAnsi="宋体"/>
                <w:color w:val="auto"/>
                <w:spacing w:val="4"/>
                <w:sz w:val="20"/>
                <w:szCs w:val="20"/>
                <w:lang w:eastAsia="en-US"/>
              </w:rPr>
              <w:t>≤35</w:t>
            </w:r>
          </w:p>
        </w:tc>
        <w:tc>
          <w:tcPr>
            <w:tcW w:w="1054" w:type="dxa"/>
            <w:shd w:val="clear" w:color="auto" w:fill="auto"/>
            <w:vAlign w:val="center"/>
          </w:tcPr>
          <w:p w14:paraId="7D7E420E">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5</w:t>
            </w:r>
          </w:p>
        </w:tc>
        <w:tc>
          <w:tcPr>
            <w:tcW w:w="1291" w:type="dxa"/>
            <w:shd w:val="clear" w:color="auto" w:fill="auto"/>
            <w:vAlign w:val="center"/>
          </w:tcPr>
          <w:p w14:paraId="6FB91B74">
            <w:pPr>
              <w:pStyle w:val="104"/>
              <w:rPr>
                <w:snapToGrid w:val="0"/>
                <w:color w:val="auto"/>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2B5F2176">
            <w:pPr>
              <w:pStyle w:val="104"/>
              <w:rPr>
                <w:snapToGrid w:val="0"/>
                <w:color w:val="auto"/>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7B936A21">
            <w:pPr>
              <w:pStyle w:val="104"/>
              <w:rPr>
                <w:snapToGrid w:val="0"/>
                <w:color w:val="auto"/>
              </w:rPr>
            </w:pPr>
            <w:r>
              <w:rPr>
                <w:rFonts w:hint="eastAsia" w:ascii="宋体" w:hAnsi="宋体" w:cs="宋体"/>
                <w:color w:val="auto"/>
                <w:sz w:val="21"/>
                <w:szCs w:val="21"/>
                <w:lang w:eastAsia="en-US"/>
              </w:rPr>
              <w:t>≥</w:t>
            </w:r>
            <w:r>
              <w:rPr>
                <w:rFonts w:ascii="宋体" w:hAnsi="宋体"/>
                <w:color w:val="auto"/>
                <w:spacing w:val="2"/>
                <w:sz w:val="20"/>
                <w:szCs w:val="20"/>
                <w:lang w:eastAsia="en-US"/>
              </w:rPr>
              <w:t>6</w:t>
            </w:r>
            <w:r>
              <w:rPr>
                <w:rFonts w:ascii="宋体" w:hAnsi="宋体" w:cs="宋体"/>
                <w:color w:val="auto"/>
                <w:spacing w:val="2"/>
                <w:sz w:val="20"/>
                <w:szCs w:val="20"/>
                <w:lang w:eastAsia="en-US"/>
              </w:rPr>
              <w:t>次</w:t>
            </w:r>
            <w:r>
              <w:rPr>
                <w:rFonts w:ascii="宋体" w:hAnsi="宋体"/>
                <w:color w:val="auto"/>
                <w:spacing w:val="2"/>
                <w:sz w:val="20"/>
                <w:szCs w:val="20"/>
                <w:lang w:eastAsia="en-US"/>
              </w:rPr>
              <w:t>/h</w:t>
            </w:r>
          </w:p>
        </w:tc>
        <w:tc>
          <w:tcPr>
            <w:tcW w:w="2065" w:type="dxa"/>
            <w:shd w:val="clear" w:color="auto" w:fill="auto"/>
            <w:vAlign w:val="center"/>
          </w:tcPr>
          <w:p w14:paraId="615B7204">
            <w:pPr>
              <w:pStyle w:val="10"/>
              <w:widowControl w:val="0"/>
              <w:adjustRightInd w:val="0"/>
              <w:snapToGrid w:val="0"/>
              <w:spacing w:after="0" w:line="440" w:lineRule="atLeast"/>
              <w:jc w:val="center"/>
              <w:rPr>
                <w:rFonts w:eastAsiaTheme="minorEastAsia"/>
                <w:sz w:val="24"/>
                <w:szCs w:val="24"/>
              </w:rPr>
            </w:pPr>
          </w:p>
        </w:tc>
      </w:tr>
      <w:tr w14:paraId="62195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7305B541">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2.13</w:t>
            </w:r>
          </w:p>
        </w:tc>
        <w:tc>
          <w:tcPr>
            <w:tcW w:w="3456" w:type="dxa"/>
            <w:shd w:val="clear" w:color="auto" w:fill="auto"/>
          </w:tcPr>
          <w:p w14:paraId="3D078675">
            <w:pPr>
              <w:pStyle w:val="104"/>
              <w:jc w:val="left"/>
              <w:rPr>
                <w:snapToGrid w:val="0"/>
                <w:color w:val="auto"/>
              </w:rPr>
            </w:pPr>
            <w:r>
              <w:rPr>
                <w:rFonts w:ascii="宋体" w:hAnsi="宋体" w:cs="宋体"/>
                <w:color w:val="auto"/>
                <w:spacing w:val="7"/>
                <w:sz w:val="20"/>
                <w:szCs w:val="20"/>
                <w:lang w:eastAsia="en-US"/>
              </w:rPr>
              <w:t>空调设备间</w:t>
            </w:r>
          </w:p>
        </w:tc>
        <w:tc>
          <w:tcPr>
            <w:tcW w:w="1043" w:type="dxa"/>
            <w:shd w:val="clear" w:color="auto" w:fill="auto"/>
            <w:vAlign w:val="center"/>
          </w:tcPr>
          <w:p w14:paraId="64BE1C7B">
            <w:pPr>
              <w:pStyle w:val="104"/>
              <w:rPr>
                <w:snapToGrid w:val="0"/>
                <w:color w:val="auto"/>
              </w:rPr>
            </w:pPr>
            <w:r>
              <w:rPr>
                <w:rFonts w:ascii="宋体" w:hAnsi="宋体"/>
                <w:color w:val="auto"/>
                <w:spacing w:val="4"/>
                <w:sz w:val="20"/>
                <w:szCs w:val="20"/>
                <w:lang w:eastAsia="en-US"/>
              </w:rPr>
              <w:t>≤40</w:t>
            </w:r>
          </w:p>
        </w:tc>
        <w:tc>
          <w:tcPr>
            <w:tcW w:w="1054" w:type="dxa"/>
            <w:shd w:val="clear" w:color="auto" w:fill="auto"/>
            <w:vAlign w:val="center"/>
          </w:tcPr>
          <w:p w14:paraId="6C577CB0">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5</w:t>
            </w:r>
          </w:p>
        </w:tc>
        <w:tc>
          <w:tcPr>
            <w:tcW w:w="1291" w:type="dxa"/>
            <w:shd w:val="clear" w:color="auto" w:fill="auto"/>
            <w:vAlign w:val="center"/>
          </w:tcPr>
          <w:p w14:paraId="73575C41">
            <w:pPr>
              <w:pStyle w:val="104"/>
              <w:rPr>
                <w:snapToGrid w:val="0"/>
                <w:color w:val="auto"/>
              </w:rPr>
            </w:pPr>
            <w:r>
              <w:rPr>
                <w:rFonts w:ascii="宋体" w:hAnsi="宋体"/>
                <w:color w:val="auto"/>
                <w:spacing w:val="4"/>
                <w:sz w:val="20"/>
                <w:szCs w:val="20"/>
                <w:lang w:eastAsia="en-US"/>
              </w:rPr>
              <w:t>≤70</w:t>
            </w:r>
          </w:p>
        </w:tc>
        <w:tc>
          <w:tcPr>
            <w:tcW w:w="1113" w:type="dxa"/>
            <w:shd w:val="clear" w:color="auto" w:fill="auto"/>
            <w:vAlign w:val="center"/>
          </w:tcPr>
          <w:p w14:paraId="797B0E3D">
            <w:pPr>
              <w:pStyle w:val="104"/>
              <w:rPr>
                <w:snapToGrid w:val="0"/>
                <w:color w:val="auto"/>
              </w:rPr>
            </w:pPr>
            <w:r>
              <w:rPr>
                <w:rFonts w:ascii="宋体" w:hAnsi="宋体"/>
                <w:color w:val="auto"/>
                <w:spacing w:val="3"/>
                <w:sz w:val="20"/>
                <w:szCs w:val="20"/>
                <w:lang w:eastAsia="en-US"/>
              </w:rPr>
              <w:t>≤70</w:t>
            </w:r>
          </w:p>
        </w:tc>
        <w:tc>
          <w:tcPr>
            <w:tcW w:w="1946" w:type="dxa"/>
            <w:shd w:val="clear" w:color="auto" w:fill="auto"/>
            <w:vAlign w:val="center"/>
          </w:tcPr>
          <w:p w14:paraId="00DE3845">
            <w:pPr>
              <w:pStyle w:val="104"/>
              <w:rPr>
                <w:snapToGrid w:val="0"/>
                <w:color w:val="auto"/>
              </w:rPr>
            </w:pPr>
            <w:r>
              <w:rPr>
                <w:rFonts w:hint="eastAsia" w:ascii="宋体" w:hAnsi="宋体" w:cs="宋体"/>
                <w:color w:val="auto"/>
                <w:sz w:val="21"/>
                <w:szCs w:val="21"/>
                <w:lang w:eastAsia="en-US"/>
              </w:rPr>
              <w:t>≥</w:t>
            </w:r>
            <w:r>
              <w:rPr>
                <w:rFonts w:ascii="宋体" w:hAnsi="宋体"/>
                <w:color w:val="auto"/>
                <w:spacing w:val="1"/>
                <w:sz w:val="20"/>
                <w:szCs w:val="20"/>
                <w:lang w:eastAsia="en-US"/>
              </w:rPr>
              <w:t>6</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68215727">
            <w:pPr>
              <w:pStyle w:val="10"/>
              <w:widowControl w:val="0"/>
              <w:adjustRightInd w:val="0"/>
              <w:snapToGrid w:val="0"/>
              <w:spacing w:after="0" w:line="440" w:lineRule="atLeast"/>
              <w:jc w:val="center"/>
              <w:rPr>
                <w:rFonts w:eastAsiaTheme="minorEastAsia"/>
                <w:sz w:val="24"/>
                <w:szCs w:val="24"/>
              </w:rPr>
            </w:pPr>
            <w:r>
              <w:rPr>
                <w:rFonts w:ascii="宋体" w:hAnsi="宋体" w:cs="宋体"/>
                <w:spacing w:val="3"/>
                <w:sz w:val="20"/>
                <w:lang w:eastAsia="en-US"/>
              </w:rPr>
              <w:t>平时</w:t>
            </w:r>
            <w:r>
              <w:rPr>
                <w:rFonts w:ascii="宋体" w:hAnsi="宋体"/>
                <w:spacing w:val="3"/>
                <w:sz w:val="20"/>
                <w:lang w:eastAsia="en-US"/>
              </w:rPr>
              <w:t>6</w:t>
            </w:r>
            <w:r>
              <w:rPr>
                <w:rFonts w:ascii="宋体" w:hAnsi="宋体" w:cs="宋体"/>
                <w:spacing w:val="3"/>
                <w:sz w:val="20"/>
                <w:lang w:eastAsia="en-US"/>
              </w:rPr>
              <w:t>次</w:t>
            </w:r>
            <w:r>
              <w:rPr>
                <w:rFonts w:ascii="宋体" w:hAnsi="宋体" w:cs="宋体"/>
                <w:sz w:val="20"/>
                <w:lang w:eastAsia="en-US"/>
              </w:rPr>
              <w:t xml:space="preserve"> 事故</w:t>
            </w:r>
            <w:r>
              <w:rPr>
                <w:rFonts w:ascii="宋体" w:hAnsi="宋体" w:cs="宋体"/>
                <w:spacing w:val="-19"/>
                <w:sz w:val="20"/>
                <w:lang w:eastAsia="en-US"/>
              </w:rPr>
              <w:t xml:space="preserve"> </w:t>
            </w:r>
            <w:r>
              <w:rPr>
                <w:rFonts w:ascii="宋体" w:hAnsi="宋体"/>
                <w:sz w:val="20"/>
                <w:lang w:eastAsia="en-US"/>
              </w:rPr>
              <w:t>12</w:t>
            </w:r>
            <w:r>
              <w:rPr>
                <w:rFonts w:ascii="宋体" w:hAnsi="宋体" w:cs="宋体"/>
                <w:sz w:val="20"/>
                <w:lang w:eastAsia="en-US"/>
              </w:rPr>
              <w:t>次</w:t>
            </w:r>
          </w:p>
        </w:tc>
      </w:tr>
      <w:tr w14:paraId="308D2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00B1B719">
            <w:pPr>
              <w:pStyle w:val="10"/>
              <w:widowControl w:val="0"/>
              <w:adjustRightInd w:val="0"/>
              <w:snapToGrid w:val="0"/>
              <w:spacing w:after="0" w:line="440" w:lineRule="atLeast"/>
              <w:jc w:val="center"/>
              <w:rPr>
                <w:rFonts w:eastAsiaTheme="minorEastAsia"/>
                <w:b/>
                <w:sz w:val="24"/>
                <w:szCs w:val="24"/>
              </w:rPr>
            </w:pPr>
            <w:r>
              <w:rPr>
                <w:rFonts w:hint="eastAsia" w:ascii="宋体" w:hAnsi="宋体"/>
                <w:sz w:val="20"/>
                <w:lang w:eastAsia="en-US"/>
              </w:rPr>
              <w:t>2.14</w:t>
            </w:r>
          </w:p>
        </w:tc>
        <w:tc>
          <w:tcPr>
            <w:tcW w:w="3456" w:type="dxa"/>
            <w:shd w:val="clear" w:color="auto" w:fill="auto"/>
          </w:tcPr>
          <w:p w14:paraId="3CC9EDB5">
            <w:pPr>
              <w:pStyle w:val="10"/>
              <w:widowControl w:val="0"/>
              <w:adjustRightInd w:val="0"/>
              <w:snapToGrid w:val="0"/>
              <w:spacing w:after="0" w:line="440" w:lineRule="atLeast"/>
              <w:rPr>
                <w:rFonts w:eastAsiaTheme="minorEastAsia"/>
                <w:b/>
                <w:sz w:val="24"/>
                <w:szCs w:val="24"/>
              </w:rPr>
            </w:pPr>
            <w:r>
              <w:rPr>
                <w:rFonts w:ascii="宋体" w:hAnsi="宋体" w:cs="宋体"/>
                <w:spacing w:val="7"/>
                <w:sz w:val="20"/>
                <w:lang w:eastAsia="en-US"/>
              </w:rPr>
              <w:t>卫生间</w:t>
            </w:r>
          </w:p>
        </w:tc>
        <w:tc>
          <w:tcPr>
            <w:tcW w:w="1043" w:type="dxa"/>
            <w:shd w:val="clear" w:color="auto" w:fill="auto"/>
            <w:vAlign w:val="center"/>
          </w:tcPr>
          <w:p w14:paraId="29B1185E">
            <w:pPr>
              <w:pStyle w:val="10"/>
              <w:widowControl w:val="0"/>
              <w:adjustRightInd w:val="0"/>
              <w:snapToGrid w:val="0"/>
              <w:spacing w:after="0" w:line="440" w:lineRule="atLeast"/>
              <w:jc w:val="center"/>
              <w:rPr>
                <w:rFonts w:eastAsiaTheme="minorEastAsia"/>
                <w:sz w:val="24"/>
                <w:szCs w:val="24"/>
              </w:rPr>
            </w:pPr>
            <w:r>
              <w:rPr>
                <w:rFonts w:hint="eastAsia" w:ascii="宋体" w:hAnsi="宋体"/>
                <w:spacing w:val="1"/>
                <w:position w:val="1"/>
                <w:sz w:val="20"/>
                <w:lang w:eastAsia="en-US"/>
              </w:rPr>
              <w:t>—</w:t>
            </w:r>
          </w:p>
        </w:tc>
        <w:tc>
          <w:tcPr>
            <w:tcW w:w="1054" w:type="dxa"/>
            <w:shd w:val="clear" w:color="auto" w:fill="auto"/>
            <w:vAlign w:val="center"/>
          </w:tcPr>
          <w:p w14:paraId="0A008466">
            <w:pPr>
              <w:pStyle w:val="10"/>
              <w:widowControl w:val="0"/>
              <w:adjustRightInd w:val="0"/>
              <w:snapToGrid w:val="0"/>
              <w:spacing w:after="0" w:line="440" w:lineRule="atLeast"/>
              <w:jc w:val="center"/>
              <w:rPr>
                <w:rFonts w:eastAsiaTheme="minorEastAsia"/>
                <w:sz w:val="24"/>
                <w:szCs w:val="24"/>
              </w:rPr>
            </w:pPr>
            <w:r>
              <w:rPr>
                <w:rFonts w:hint="eastAsia" w:ascii="宋体" w:hAnsi="宋体"/>
                <w:spacing w:val="1"/>
                <w:position w:val="1"/>
                <w:sz w:val="20"/>
                <w:lang w:eastAsia="en-US"/>
              </w:rPr>
              <w:t>—</w:t>
            </w:r>
          </w:p>
        </w:tc>
        <w:tc>
          <w:tcPr>
            <w:tcW w:w="1291" w:type="dxa"/>
            <w:shd w:val="clear" w:color="auto" w:fill="auto"/>
            <w:vAlign w:val="center"/>
          </w:tcPr>
          <w:p w14:paraId="50E40403">
            <w:pPr>
              <w:pStyle w:val="10"/>
              <w:widowControl w:val="0"/>
              <w:adjustRightInd w:val="0"/>
              <w:snapToGrid w:val="0"/>
              <w:spacing w:after="0" w:line="440" w:lineRule="atLeast"/>
              <w:jc w:val="center"/>
              <w:rPr>
                <w:rFonts w:eastAsiaTheme="minorEastAsia"/>
                <w:sz w:val="24"/>
                <w:szCs w:val="24"/>
              </w:rPr>
            </w:pPr>
            <w:r>
              <w:rPr>
                <w:rFonts w:hint="eastAsia" w:ascii="宋体" w:hAnsi="宋体"/>
                <w:spacing w:val="1"/>
                <w:position w:val="1"/>
                <w:sz w:val="20"/>
                <w:lang w:eastAsia="en-US"/>
              </w:rPr>
              <w:t>—</w:t>
            </w:r>
          </w:p>
        </w:tc>
        <w:tc>
          <w:tcPr>
            <w:tcW w:w="1113" w:type="dxa"/>
            <w:shd w:val="clear" w:color="auto" w:fill="auto"/>
            <w:vAlign w:val="center"/>
          </w:tcPr>
          <w:p w14:paraId="567AC174">
            <w:pPr>
              <w:pStyle w:val="10"/>
              <w:widowControl w:val="0"/>
              <w:adjustRightInd w:val="0"/>
              <w:snapToGrid w:val="0"/>
              <w:spacing w:after="0" w:line="440" w:lineRule="atLeast"/>
              <w:jc w:val="center"/>
              <w:rPr>
                <w:rFonts w:eastAsiaTheme="minorEastAsia"/>
                <w:sz w:val="24"/>
                <w:szCs w:val="24"/>
              </w:rPr>
            </w:pPr>
            <w:r>
              <w:rPr>
                <w:rFonts w:hint="eastAsia" w:ascii="宋体" w:hAnsi="宋体"/>
                <w:spacing w:val="1"/>
                <w:position w:val="1"/>
                <w:sz w:val="20"/>
                <w:lang w:eastAsia="en-US"/>
              </w:rPr>
              <w:t>—</w:t>
            </w:r>
          </w:p>
        </w:tc>
        <w:tc>
          <w:tcPr>
            <w:tcW w:w="1946" w:type="dxa"/>
            <w:shd w:val="clear" w:color="auto" w:fill="auto"/>
            <w:vAlign w:val="center"/>
          </w:tcPr>
          <w:p w14:paraId="3E5C5B3A">
            <w:pPr>
              <w:pStyle w:val="10"/>
              <w:widowControl w:val="0"/>
              <w:adjustRightInd w:val="0"/>
              <w:snapToGrid w:val="0"/>
              <w:spacing w:after="0" w:line="440" w:lineRule="atLeast"/>
              <w:jc w:val="center"/>
              <w:rPr>
                <w:rFonts w:eastAsiaTheme="minorEastAsia"/>
                <w:sz w:val="24"/>
                <w:szCs w:val="24"/>
              </w:rPr>
            </w:pPr>
            <w:r>
              <w:rPr>
                <w:rFonts w:hint="eastAsia" w:ascii="宋体" w:hAnsi="宋体" w:cs="宋体"/>
                <w:sz w:val="21"/>
                <w:szCs w:val="21"/>
                <w:lang w:eastAsia="en-US"/>
              </w:rPr>
              <w:t>≥</w:t>
            </w:r>
            <w:r>
              <w:rPr>
                <w:rFonts w:ascii="宋体" w:hAnsi="宋体"/>
                <w:spacing w:val="1"/>
                <w:sz w:val="20"/>
              </w:rPr>
              <w:t>10</w:t>
            </w:r>
            <w:r>
              <w:rPr>
                <w:rFonts w:ascii="宋体" w:hAnsi="宋体" w:cs="宋体"/>
                <w:spacing w:val="1"/>
                <w:sz w:val="20"/>
                <w:lang w:eastAsia="en-US"/>
              </w:rPr>
              <w:t>次</w:t>
            </w:r>
            <w:r>
              <w:rPr>
                <w:rFonts w:ascii="宋体" w:hAnsi="宋体"/>
                <w:spacing w:val="1"/>
                <w:sz w:val="20"/>
                <w:lang w:eastAsia="en-US"/>
              </w:rPr>
              <w:t>/h</w:t>
            </w:r>
          </w:p>
        </w:tc>
        <w:tc>
          <w:tcPr>
            <w:tcW w:w="2065" w:type="dxa"/>
            <w:shd w:val="clear" w:color="auto" w:fill="auto"/>
            <w:vAlign w:val="center"/>
          </w:tcPr>
          <w:p w14:paraId="7824A2F9">
            <w:pPr>
              <w:pStyle w:val="10"/>
              <w:widowControl w:val="0"/>
              <w:adjustRightInd w:val="0"/>
              <w:snapToGrid w:val="0"/>
              <w:spacing w:after="0" w:line="440" w:lineRule="atLeast"/>
              <w:jc w:val="center"/>
              <w:rPr>
                <w:rFonts w:eastAsiaTheme="minorEastAsia"/>
                <w:sz w:val="24"/>
                <w:szCs w:val="24"/>
              </w:rPr>
            </w:pPr>
          </w:p>
        </w:tc>
      </w:tr>
      <w:tr w14:paraId="644B4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315176A9">
            <w:pPr>
              <w:pStyle w:val="10"/>
              <w:widowControl w:val="0"/>
              <w:adjustRightInd w:val="0"/>
              <w:snapToGrid w:val="0"/>
              <w:spacing w:after="0" w:line="440" w:lineRule="atLeast"/>
              <w:jc w:val="center"/>
              <w:rPr>
                <w:rFonts w:eastAsiaTheme="minorEastAsia"/>
                <w:sz w:val="24"/>
                <w:szCs w:val="24"/>
              </w:rPr>
            </w:pPr>
            <w:r>
              <w:rPr>
                <w:rFonts w:ascii="宋体" w:hAnsi="宋体"/>
                <w:sz w:val="20"/>
                <w:lang w:eastAsia="en-US"/>
              </w:rPr>
              <w:t>4</w:t>
            </w:r>
          </w:p>
        </w:tc>
        <w:tc>
          <w:tcPr>
            <w:tcW w:w="3456" w:type="dxa"/>
            <w:shd w:val="clear" w:color="auto" w:fill="auto"/>
          </w:tcPr>
          <w:p w14:paraId="1D420D8F">
            <w:pPr>
              <w:pStyle w:val="104"/>
              <w:jc w:val="left"/>
              <w:rPr>
                <w:snapToGrid w:val="0"/>
                <w:color w:val="auto"/>
              </w:rPr>
            </w:pPr>
            <w:r>
              <w:rPr>
                <w:rFonts w:ascii="宋体" w:hAnsi="宋体"/>
                <w:color w:val="auto"/>
                <w:sz w:val="20"/>
                <w:szCs w:val="20"/>
                <w:lang w:eastAsia="en-US"/>
              </w:rPr>
              <w:t>GIS</w:t>
            </w:r>
            <w:r>
              <w:rPr>
                <w:rFonts w:ascii="宋体" w:hAnsi="宋体" w:cs="宋体"/>
                <w:color w:val="auto"/>
                <w:spacing w:val="17"/>
                <w:sz w:val="20"/>
                <w:szCs w:val="20"/>
                <w:lang w:eastAsia="en-US"/>
              </w:rPr>
              <w:t>室</w:t>
            </w:r>
          </w:p>
        </w:tc>
        <w:tc>
          <w:tcPr>
            <w:tcW w:w="1043" w:type="dxa"/>
            <w:shd w:val="clear" w:color="auto" w:fill="auto"/>
            <w:vAlign w:val="center"/>
          </w:tcPr>
          <w:p w14:paraId="0A0EEA77">
            <w:pPr>
              <w:pStyle w:val="104"/>
              <w:rPr>
                <w:snapToGrid w:val="0"/>
                <w:color w:val="auto"/>
              </w:rPr>
            </w:pPr>
            <w:r>
              <w:rPr>
                <w:rFonts w:ascii="宋体" w:hAnsi="宋体"/>
                <w:color w:val="auto"/>
                <w:spacing w:val="4"/>
                <w:sz w:val="20"/>
                <w:szCs w:val="20"/>
                <w:lang w:eastAsia="en-US"/>
              </w:rPr>
              <w:t>≤40</w:t>
            </w:r>
          </w:p>
        </w:tc>
        <w:tc>
          <w:tcPr>
            <w:tcW w:w="1054" w:type="dxa"/>
            <w:shd w:val="clear" w:color="auto" w:fill="auto"/>
            <w:vAlign w:val="center"/>
          </w:tcPr>
          <w:p w14:paraId="79457D97">
            <w:pPr>
              <w:pStyle w:val="104"/>
              <w:rPr>
                <w:snapToGrid w:val="0"/>
                <w:color w:val="auto"/>
              </w:rPr>
            </w:pPr>
            <w:r>
              <w:rPr>
                <w:rFonts w:hint="eastAsia" w:ascii="宋体" w:hAnsi="宋体"/>
                <w:color w:val="auto"/>
                <w:spacing w:val="1"/>
                <w:position w:val="1"/>
                <w:sz w:val="20"/>
                <w:szCs w:val="20"/>
                <w:lang w:eastAsia="en-US"/>
              </w:rPr>
              <w:t>—</w:t>
            </w:r>
          </w:p>
        </w:tc>
        <w:tc>
          <w:tcPr>
            <w:tcW w:w="1291" w:type="dxa"/>
            <w:shd w:val="clear" w:color="auto" w:fill="auto"/>
            <w:vAlign w:val="center"/>
          </w:tcPr>
          <w:p w14:paraId="79F00A0E">
            <w:pPr>
              <w:pStyle w:val="104"/>
              <w:rPr>
                <w:snapToGrid w:val="0"/>
                <w:color w:val="auto"/>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08BEB333">
            <w:pPr>
              <w:pStyle w:val="104"/>
              <w:rPr>
                <w:snapToGrid w:val="0"/>
                <w:color w:val="auto"/>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16ED6599">
            <w:pPr>
              <w:pStyle w:val="104"/>
              <w:rPr>
                <w:snapToGrid w:val="0"/>
                <w:color w:val="auto"/>
              </w:rPr>
            </w:pPr>
            <w:r>
              <w:rPr>
                <w:rFonts w:hint="eastAsia" w:ascii="宋体" w:hAnsi="宋体" w:cs="宋体"/>
                <w:color w:val="auto"/>
                <w:sz w:val="21"/>
                <w:szCs w:val="21"/>
                <w:lang w:eastAsia="en-US"/>
              </w:rPr>
              <w:t>≥</w:t>
            </w:r>
            <w:r>
              <w:rPr>
                <w:rFonts w:ascii="宋体" w:hAnsi="宋体"/>
                <w:color w:val="auto"/>
                <w:spacing w:val="1"/>
                <w:sz w:val="20"/>
                <w:szCs w:val="20"/>
                <w:lang w:eastAsia="en-US"/>
              </w:rPr>
              <w:t>6</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2C5F6FA8">
            <w:pPr>
              <w:pStyle w:val="10"/>
              <w:widowControl w:val="0"/>
              <w:adjustRightInd w:val="0"/>
              <w:snapToGrid w:val="0"/>
              <w:spacing w:after="0" w:line="440" w:lineRule="atLeast"/>
              <w:jc w:val="center"/>
              <w:rPr>
                <w:rFonts w:eastAsiaTheme="minorEastAsia"/>
                <w:sz w:val="24"/>
                <w:szCs w:val="24"/>
              </w:rPr>
            </w:pPr>
            <w:r>
              <w:rPr>
                <w:rFonts w:ascii="宋体" w:hAnsi="宋体" w:cs="宋体"/>
                <w:spacing w:val="1"/>
                <w:sz w:val="20"/>
                <w:lang w:eastAsia="en-US"/>
              </w:rPr>
              <w:t>平时</w:t>
            </w:r>
            <w:r>
              <w:rPr>
                <w:rFonts w:ascii="宋体" w:hAnsi="宋体"/>
                <w:spacing w:val="1"/>
                <w:sz w:val="20"/>
                <w:lang w:eastAsia="en-US"/>
              </w:rPr>
              <w:t>4</w:t>
            </w:r>
            <w:r>
              <w:rPr>
                <w:rFonts w:ascii="宋体" w:hAnsi="宋体" w:cs="宋体"/>
                <w:spacing w:val="1"/>
                <w:sz w:val="20"/>
                <w:lang w:eastAsia="en-US"/>
              </w:rPr>
              <w:t>次</w:t>
            </w:r>
            <w:r>
              <w:rPr>
                <w:rFonts w:ascii="宋体" w:hAnsi="宋体" w:cs="宋体"/>
                <w:sz w:val="20"/>
                <w:lang w:eastAsia="en-US"/>
              </w:rPr>
              <w:t xml:space="preserve"> </w:t>
            </w:r>
            <w:r>
              <w:rPr>
                <w:rFonts w:ascii="宋体" w:hAnsi="宋体" w:cs="宋体"/>
                <w:spacing w:val="6"/>
                <w:sz w:val="20"/>
                <w:lang w:eastAsia="en-US"/>
              </w:rPr>
              <w:t>事故</w:t>
            </w:r>
            <w:r>
              <w:rPr>
                <w:rFonts w:ascii="宋体" w:hAnsi="宋体"/>
                <w:spacing w:val="6"/>
                <w:sz w:val="20"/>
                <w:lang w:eastAsia="en-US"/>
              </w:rPr>
              <w:t>6</w:t>
            </w:r>
            <w:r>
              <w:rPr>
                <w:rFonts w:ascii="宋体" w:hAnsi="宋体" w:cs="宋体"/>
                <w:spacing w:val="6"/>
                <w:sz w:val="20"/>
                <w:lang w:eastAsia="en-US"/>
              </w:rPr>
              <w:t>次</w:t>
            </w:r>
          </w:p>
        </w:tc>
      </w:tr>
      <w:tr w14:paraId="6708E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37177077">
            <w:pPr>
              <w:pStyle w:val="10"/>
              <w:widowControl w:val="0"/>
              <w:adjustRightInd w:val="0"/>
              <w:snapToGrid w:val="0"/>
              <w:spacing w:after="0" w:line="440" w:lineRule="atLeast"/>
              <w:jc w:val="center"/>
              <w:rPr>
                <w:rFonts w:eastAsiaTheme="minorEastAsia"/>
                <w:sz w:val="24"/>
                <w:szCs w:val="24"/>
              </w:rPr>
            </w:pPr>
            <w:r>
              <w:rPr>
                <w:rFonts w:ascii="宋体" w:hAnsi="宋体"/>
                <w:sz w:val="20"/>
                <w:lang w:eastAsia="en-US"/>
              </w:rPr>
              <w:t>5</w:t>
            </w:r>
          </w:p>
        </w:tc>
        <w:tc>
          <w:tcPr>
            <w:tcW w:w="3456" w:type="dxa"/>
            <w:shd w:val="clear" w:color="auto" w:fill="auto"/>
          </w:tcPr>
          <w:p w14:paraId="19424DFD">
            <w:pPr>
              <w:pStyle w:val="104"/>
              <w:jc w:val="left"/>
              <w:rPr>
                <w:snapToGrid w:val="0"/>
                <w:color w:val="auto"/>
              </w:rPr>
            </w:pPr>
            <w:r>
              <w:rPr>
                <w:rFonts w:ascii="宋体" w:hAnsi="宋体" w:cs="宋体"/>
                <w:color w:val="auto"/>
                <w:spacing w:val="7"/>
                <w:sz w:val="20"/>
                <w:szCs w:val="20"/>
                <w:lang w:eastAsia="en-US"/>
              </w:rPr>
              <w:t>一次备品备件室</w:t>
            </w:r>
          </w:p>
        </w:tc>
        <w:tc>
          <w:tcPr>
            <w:tcW w:w="1043" w:type="dxa"/>
            <w:shd w:val="clear" w:color="auto" w:fill="auto"/>
            <w:vAlign w:val="center"/>
          </w:tcPr>
          <w:p w14:paraId="1FB6A4B3">
            <w:pPr>
              <w:pStyle w:val="104"/>
              <w:rPr>
                <w:snapToGrid w:val="0"/>
                <w:color w:val="auto"/>
              </w:rPr>
            </w:pPr>
            <w:r>
              <w:rPr>
                <w:rFonts w:hint="eastAsia" w:ascii="宋体" w:hAnsi="宋体"/>
                <w:color w:val="auto"/>
                <w:spacing w:val="1"/>
                <w:position w:val="1"/>
                <w:sz w:val="20"/>
                <w:szCs w:val="20"/>
                <w:lang w:eastAsia="en-US"/>
              </w:rPr>
              <w:t>—</w:t>
            </w:r>
          </w:p>
        </w:tc>
        <w:tc>
          <w:tcPr>
            <w:tcW w:w="1054" w:type="dxa"/>
            <w:shd w:val="clear" w:color="auto" w:fill="auto"/>
            <w:vAlign w:val="center"/>
          </w:tcPr>
          <w:p w14:paraId="3CD92CF0">
            <w:pPr>
              <w:pStyle w:val="104"/>
              <w:rPr>
                <w:snapToGrid w:val="0"/>
                <w:color w:val="auto"/>
              </w:rPr>
            </w:pPr>
            <w:r>
              <w:rPr>
                <w:rFonts w:hint="eastAsia" w:ascii="宋体" w:hAnsi="宋体"/>
                <w:color w:val="auto"/>
                <w:spacing w:val="1"/>
                <w:position w:val="1"/>
                <w:sz w:val="20"/>
                <w:szCs w:val="20"/>
                <w:lang w:eastAsia="en-US"/>
              </w:rPr>
              <w:t>—</w:t>
            </w:r>
          </w:p>
        </w:tc>
        <w:tc>
          <w:tcPr>
            <w:tcW w:w="1291" w:type="dxa"/>
            <w:shd w:val="clear" w:color="auto" w:fill="auto"/>
            <w:vAlign w:val="center"/>
          </w:tcPr>
          <w:p w14:paraId="729DB8B8">
            <w:pPr>
              <w:pStyle w:val="104"/>
              <w:rPr>
                <w:snapToGrid w:val="0"/>
                <w:color w:val="auto"/>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27C45A44">
            <w:pPr>
              <w:pStyle w:val="104"/>
              <w:rPr>
                <w:snapToGrid w:val="0"/>
                <w:color w:val="auto"/>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32C79A14">
            <w:pPr>
              <w:pStyle w:val="104"/>
              <w:rPr>
                <w:snapToGrid w:val="0"/>
                <w:color w:val="auto"/>
              </w:rPr>
            </w:pPr>
            <w:r>
              <w:rPr>
                <w:rFonts w:hint="eastAsia" w:ascii="宋体" w:hAnsi="宋体" w:cs="宋体"/>
                <w:color w:val="auto"/>
                <w:sz w:val="21"/>
                <w:szCs w:val="21"/>
                <w:lang w:eastAsia="en-US"/>
              </w:rPr>
              <w:t>≥</w:t>
            </w:r>
            <w:r>
              <w:rPr>
                <w:rFonts w:ascii="宋体" w:hAnsi="宋体"/>
                <w:color w:val="auto"/>
                <w:spacing w:val="1"/>
                <w:sz w:val="20"/>
                <w:szCs w:val="20"/>
              </w:rPr>
              <w:t>2</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2E6EADA9">
            <w:pPr>
              <w:pStyle w:val="10"/>
              <w:widowControl w:val="0"/>
              <w:adjustRightInd w:val="0"/>
              <w:snapToGrid w:val="0"/>
              <w:spacing w:after="0" w:line="440" w:lineRule="atLeast"/>
              <w:jc w:val="center"/>
              <w:rPr>
                <w:rFonts w:eastAsiaTheme="minorEastAsia"/>
                <w:sz w:val="24"/>
                <w:szCs w:val="24"/>
              </w:rPr>
            </w:pPr>
          </w:p>
        </w:tc>
      </w:tr>
      <w:tr w14:paraId="7526A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490E3D59">
            <w:pPr>
              <w:pStyle w:val="10"/>
              <w:widowControl w:val="0"/>
              <w:adjustRightInd w:val="0"/>
              <w:snapToGrid w:val="0"/>
              <w:spacing w:after="0" w:line="440" w:lineRule="atLeast"/>
              <w:jc w:val="center"/>
              <w:rPr>
                <w:rFonts w:eastAsiaTheme="minorEastAsia"/>
                <w:sz w:val="24"/>
                <w:szCs w:val="24"/>
              </w:rPr>
            </w:pPr>
            <w:r>
              <w:rPr>
                <w:rFonts w:ascii="宋体" w:hAnsi="宋体"/>
                <w:sz w:val="20"/>
                <w:lang w:eastAsia="en-US"/>
              </w:rPr>
              <w:t>6</w:t>
            </w:r>
          </w:p>
        </w:tc>
        <w:tc>
          <w:tcPr>
            <w:tcW w:w="3456" w:type="dxa"/>
            <w:shd w:val="clear" w:color="auto" w:fill="auto"/>
          </w:tcPr>
          <w:p w14:paraId="42545B58">
            <w:pPr>
              <w:pStyle w:val="104"/>
              <w:jc w:val="left"/>
              <w:rPr>
                <w:snapToGrid w:val="0"/>
                <w:color w:val="auto"/>
              </w:rPr>
            </w:pPr>
            <w:r>
              <w:rPr>
                <w:rFonts w:ascii="宋体" w:hAnsi="宋体" w:cs="宋体"/>
                <w:color w:val="auto"/>
                <w:spacing w:val="7"/>
                <w:sz w:val="20"/>
                <w:szCs w:val="20"/>
                <w:lang w:eastAsia="en-US"/>
              </w:rPr>
              <w:t>二次备品备件室</w:t>
            </w:r>
          </w:p>
        </w:tc>
        <w:tc>
          <w:tcPr>
            <w:tcW w:w="1043" w:type="dxa"/>
            <w:shd w:val="clear" w:color="auto" w:fill="auto"/>
            <w:vAlign w:val="center"/>
          </w:tcPr>
          <w:p w14:paraId="39411AE8">
            <w:pPr>
              <w:pStyle w:val="104"/>
              <w:rPr>
                <w:snapToGrid w:val="0"/>
                <w:color w:val="auto"/>
              </w:rPr>
            </w:pPr>
            <w:r>
              <w:rPr>
                <w:rFonts w:hint="eastAsia" w:ascii="宋体" w:hAnsi="宋体"/>
                <w:color w:val="auto"/>
                <w:spacing w:val="1"/>
                <w:position w:val="1"/>
                <w:sz w:val="20"/>
                <w:szCs w:val="20"/>
                <w:lang w:eastAsia="en-US"/>
              </w:rPr>
              <w:t>—</w:t>
            </w:r>
          </w:p>
        </w:tc>
        <w:tc>
          <w:tcPr>
            <w:tcW w:w="1054" w:type="dxa"/>
            <w:shd w:val="clear" w:color="auto" w:fill="auto"/>
            <w:vAlign w:val="center"/>
          </w:tcPr>
          <w:p w14:paraId="11B20B41">
            <w:pPr>
              <w:pStyle w:val="104"/>
              <w:rPr>
                <w:snapToGrid w:val="0"/>
                <w:color w:val="auto"/>
              </w:rPr>
            </w:pPr>
            <w:r>
              <w:rPr>
                <w:rFonts w:hint="eastAsia" w:ascii="宋体" w:hAnsi="宋体"/>
                <w:color w:val="auto"/>
                <w:spacing w:val="1"/>
                <w:position w:val="1"/>
                <w:sz w:val="20"/>
                <w:szCs w:val="20"/>
                <w:lang w:eastAsia="en-US"/>
              </w:rPr>
              <w:t>—</w:t>
            </w:r>
          </w:p>
        </w:tc>
        <w:tc>
          <w:tcPr>
            <w:tcW w:w="1291" w:type="dxa"/>
            <w:shd w:val="clear" w:color="auto" w:fill="auto"/>
            <w:vAlign w:val="center"/>
          </w:tcPr>
          <w:p w14:paraId="76666F56">
            <w:pPr>
              <w:pStyle w:val="104"/>
              <w:rPr>
                <w:snapToGrid w:val="0"/>
                <w:color w:val="auto"/>
              </w:rPr>
            </w:pPr>
            <w:r>
              <w:rPr>
                <w:rFonts w:ascii="宋体" w:hAnsi="宋体"/>
                <w:color w:val="auto"/>
                <w:spacing w:val="4"/>
                <w:sz w:val="20"/>
                <w:szCs w:val="20"/>
                <w:lang w:eastAsia="en-US"/>
              </w:rPr>
              <w:t>≤70</w:t>
            </w:r>
          </w:p>
        </w:tc>
        <w:tc>
          <w:tcPr>
            <w:tcW w:w="1113" w:type="dxa"/>
            <w:shd w:val="clear" w:color="auto" w:fill="auto"/>
            <w:vAlign w:val="center"/>
          </w:tcPr>
          <w:p w14:paraId="52CA3552">
            <w:pPr>
              <w:pStyle w:val="104"/>
              <w:rPr>
                <w:snapToGrid w:val="0"/>
                <w:color w:val="auto"/>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326C6707">
            <w:pPr>
              <w:pStyle w:val="104"/>
              <w:rPr>
                <w:snapToGrid w:val="0"/>
                <w:color w:val="auto"/>
              </w:rPr>
            </w:pPr>
            <w:r>
              <w:rPr>
                <w:rFonts w:hint="eastAsia" w:ascii="宋体" w:hAnsi="宋体" w:cs="宋体"/>
                <w:color w:val="auto"/>
                <w:sz w:val="21"/>
                <w:szCs w:val="21"/>
                <w:lang w:eastAsia="en-US"/>
              </w:rPr>
              <w:t>≥</w:t>
            </w:r>
            <w:r>
              <w:rPr>
                <w:rFonts w:ascii="宋体" w:hAnsi="宋体"/>
                <w:color w:val="auto"/>
                <w:spacing w:val="1"/>
                <w:sz w:val="20"/>
                <w:szCs w:val="20"/>
              </w:rPr>
              <w:t>2</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03B94207">
            <w:pPr>
              <w:pStyle w:val="10"/>
              <w:widowControl w:val="0"/>
              <w:adjustRightInd w:val="0"/>
              <w:snapToGrid w:val="0"/>
              <w:spacing w:after="0" w:line="440" w:lineRule="atLeast"/>
              <w:jc w:val="center"/>
              <w:rPr>
                <w:rFonts w:eastAsiaTheme="minorEastAsia"/>
                <w:sz w:val="24"/>
                <w:szCs w:val="24"/>
              </w:rPr>
            </w:pPr>
          </w:p>
        </w:tc>
      </w:tr>
      <w:tr w14:paraId="4E984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6726013B">
            <w:pPr>
              <w:pStyle w:val="10"/>
              <w:widowControl w:val="0"/>
              <w:adjustRightInd w:val="0"/>
              <w:snapToGrid w:val="0"/>
              <w:spacing w:after="0" w:line="440" w:lineRule="atLeast"/>
              <w:jc w:val="center"/>
              <w:rPr>
                <w:rFonts w:eastAsiaTheme="minorEastAsia"/>
                <w:sz w:val="24"/>
                <w:szCs w:val="24"/>
              </w:rPr>
            </w:pPr>
            <w:r>
              <w:rPr>
                <w:rFonts w:ascii="宋体" w:hAnsi="宋体"/>
                <w:sz w:val="20"/>
                <w:lang w:eastAsia="en-US"/>
              </w:rPr>
              <w:t>7</w:t>
            </w:r>
          </w:p>
        </w:tc>
        <w:tc>
          <w:tcPr>
            <w:tcW w:w="3456" w:type="dxa"/>
            <w:shd w:val="clear" w:color="auto" w:fill="auto"/>
          </w:tcPr>
          <w:p w14:paraId="380A28F3">
            <w:pPr>
              <w:pStyle w:val="104"/>
              <w:jc w:val="left"/>
              <w:rPr>
                <w:snapToGrid w:val="0"/>
                <w:color w:val="auto"/>
              </w:rPr>
            </w:pPr>
            <w:r>
              <w:rPr>
                <w:rFonts w:ascii="宋体" w:hAnsi="宋体" w:cs="宋体"/>
                <w:color w:val="auto"/>
                <w:spacing w:val="7"/>
                <w:sz w:val="20"/>
                <w:szCs w:val="20"/>
                <w:lang w:eastAsia="en-US"/>
              </w:rPr>
              <w:t>阀备品备件室</w:t>
            </w:r>
          </w:p>
        </w:tc>
        <w:tc>
          <w:tcPr>
            <w:tcW w:w="1043" w:type="dxa"/>
            <w:shd w:val="clear" w:color="auto" w:fill="auto"/>
            <w:vAlign w:val="center"/>
          </w:tcPr>
          <w:p w14:paraId="78D1B70F">
            <w:pPr>
              <w:pStyle w:val="104"/>
              <w:rPr>
                <w:snapToGrid w:val="0"/>
                <w:color w:val="auto"/>
              </w:rPr>
            </w:pPr>
            <w:r>
              <w:rPr>
                <w:rFonts w:hint="eastAsia" w:ascii="宋体" w:hAnsi="宋体"/>
                <w:color w:val="auto"/>
                <w:spacing w:val="1"/>
                <w:position w:val="1"/>
                <w:sz w:val="20"/>
                <w:szCs w:val="20"/>
                <w:lang w:eastAsia="en-US"/>
              </w:rPr>
              <w:t>—</w:t>
            </w:r>
          </w:p>
        </w:tc>
        <w:tc>
          <w:tcPr>
            <w:tcW w:w="1054" w:type="dxa"/>
            <w:shd w:val="clear" w:color="auto" w:fill="auto"/>
            <w:vAlign w:val="center"/>
          </w:tcPr>
          <w:p w14:paraId="2068B0EA">
            <w:pPr>
              <w:pStyle w:val="104"/>
              <w:rPr>
                <w:snapToGrid w:val="0"/>
                <w:color w:val="auto"/>
              </w:rPr>
            </w:pPr>
            <w:r>
              <w:rPr>
                <w:rFonts w:hint="eastAsia" w:ascii="宋体" w:hAnsi="宋体"/>
                <w:color w:val="auto"/>
                <w:spacing w:val="1"/>
                <w:position w:val="1"/>
                <w:sz w:val="20"/>
                <w:szCs w:val="20"/>
                <w:lang w:eastAsia="en-US"/>
              </w:rPr>
              <w:t>—</w:t>
            </w:r>
          </w:p>
        </w:tc>
        <w:tc>
          <w:tcPr>
            <w:tcW w:w="1291" w:type="dxa"/>
            <w:shd w:val="clear" w:color="auto" w:fill="auto"/>
            <w:vAlign w:val="center"/>
          </w:tcPr>
          <w:p w14:paraId="6B57BB3A">
            <w:pPr>
              <w:pStyle w:val="104"/>
              <w:rPr>
                <w:snapToGrid w:val="0"/>
                <w:color w:val="auto"/>
              </w:rPr>
            </w:pPr>
            <w:r>
              <w:rPr>
                <w:rFonts w:ascii="宋体" w:hAnsi="宋体"/>
                <w:color w:val="auto"/>
                <w:spacing w:val="4"/>
                <w:sz w:val="20"/>
                <w:szCs w:val="20"/>
                <w:lang w:eastAsia="en-US"/>
              </w:rPr>
              <w:t>≤70</w:t>
            </w:r>
          </w:p>
        </w:tc>
        <w:tc>
          <w:tcPr>
            <w:tcW w:w="1113" w:type="dxa"/>
            <w:shd w:val="clear" w:color="auto" w:fill="auto"/>
            <w:vAlign w:val="center"/>
          </w:tcPr>
          <w:p w14:paraId="1FB67F15">
            <w:pPr>
              <w:pStyle w:val="104"/>
              <w:rPr>
                <w:snapToGrid w:val="0"/>
                <w:color w:val="auto"/>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37360865">
            <w:pPr>
              <w:pStyle w:val="104"/>
              <w:rPr>
                <w:snapToGrid w:val="0"/>
                <w:color w:val="auto"/>
              </w:rPr>
            </w:pPr>
            <w:r>
              <w:rPr>
                <w:rFonts w:hint="eastAsia" w:ascii="宋体" w:hAnsi="宋体" w:cs="宋体"/>
                <w:color w:val="auto"/>
                <w:sz w:val="21"/>
                <w:szCs w:val="21"/>
                <w:lang w:eastAsia="en-US"/>
              </w:rPr>
              <w:t>≥</w:t>
            </w:r>
            <w:r>
              <w:rPr>
                <w:rFonts w:ascii="宋体" w:hAnsi="宋体"/>
                <w:color w:val="auto"/>
                <w:spacing w:val="1"/>
                <w:sz w:val="20"/>
                <w:szCs w:val="20"/>
              </w:rPr>
              <w:t>2</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2EECD446">
            <w:pPr>
              <w:pStyle w:val="10"/>
              <w:widowControl w:val="0"/>
              <w:adjustRightInd w:val="0"/>
              <w:snapToGrid w:val="0"/>
              <w:spacing w:after="0" w:line="440" w:lineRule="atLeast"/>
              <w:jc w:val="center"/>
              <w:rPr>
                <w:rFonts w:eastAsiaTheme="minorEastAsia"/>
                <w:sz w:val="24"/>
                <w:szCs w:val="24"/>
              </w:rPr>
            </w:pPr>
          </w:p>
        </w:tc>
      </w:tr>
      <w:tr w14:paraId="28AB7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4254A162">
            <w:pPr>
              <w:pStyle w:val="10"/>
              <w:widowControl w:val="0"/>
              <w:adjustRightInd w:val="0"/>
              <w:snapToGrid w:val="0"/>
              <w:spacing w:after="0" w:line="440" w:lineRule="atLeast"/>
              <w:jc w:val="center"/>
              <w:rPr>
                <w:rFonts w:eastAsiaTheme="minorEastAsia"/>
                <w:sz w:val="24"/>
                <w:szCs w:val="24"/>
              </w:rPr>
            </w:pPr>
            <w:r>
              <w:rPr>
                <w:rFonts w:ascii="宋体" w:hAnsi="宋体"/>
                <w:sz w:val="20"/>
                <w:lang w:eastAsia="en-US"/>
              </w:rPr>
              <w:t>8</w:t>
            </w:r>
          </w:p>
        </w:tc>
        <w:tc>
          <w:tcPr>
            <w:tcW w:w="3456" w:type="dxa"/>
            <w:shd w:val="clear" w:color="auto" w:fill="auto"/>
          </w:tcPr>
          <w:p w14:paraId="43BFF642">
            <w:pPr>
              <w:pStyle w:val="104"/>
              <w:jc w:val="left"/>
              <w:rPr>
                <w:snapToGrid w:val="0"/>
                <w:color w:val="auto"/>
              </w:rPr>
            </w:pPr>
            <w:r>
              <w:rPr>
                <w:rFonts w:ascii="宋体" w:hAnsi="宋体" w:cs="宋体"/>
                <w:color w:val="auto"/>
                <w:spacing w:val="7"/>
                <w:sz w:val="20"/>
                <w:szCs w:val="20"/>
              </w:rPr>
              <w:t>500kV</w:t>
            </w:r>
            <w:r>
              <w:rPr>
                <w:rFonts w:ascii="宋体" w:hAnsi="宋体" w:cs="宋体"/>
                <w:color w:val="auto"/>
                <w:spacing w:val="7"/>
                <w:sz w:val="20"/>
                <w:szCs w:val="20"/>
                <w:lang w:eastAsia="en-US"/>
              </w:rPr>
              <w:t>继电器室</w:t>
            </w:r>
          </w:p>
        </w:tc>
        <w:tc>
          <w:tcPr>
            <w:tcW w:w="1043" w:type="dxa"/>
            <w:shd w:val="clear" w:color="auto" w:fill="auto"/>
            <w:vAlign w:val="center"/>
          </w:tcPr>
          <w:p w14:paraId="36570AA8">
            <w:pPr>
              <w:pStyle w:val="104"/>
              <w:rPr>
                <w:snapToGrid w:val="0"/>
                <w:color w:val="auto"/>
              </w:rPr>
            </w:pPr>
            <w:r>
              <w:rPr>
                <w:rFonts w:ascii="宋体" w:hAnsi="宋体" w:cs="宋体"/>
                <w:color w:val="auto"/>
                <w:sz w:val="21"/>
                <w:szCs w:val="21"/>
                <w:lang w:eastAsia="en-US"/>
              </w:rPr>
              <w:t>26～28</w:t>
            </w:r>
          </w:p>
        </w:tc>
        <w:tc>
          <w:tcPr>
            <w:tcW w:w="1054" w:type="dxa"/>
            <w:shd w:val="clear" w:color="auto" w:fill="auto"/>
            <w:vAlign w:val="center"/>
          </w:tcPr>
          <w:p w14:paraId="4440B037">
            <w:pPr>
              <w:pStyle w:val="104"/>
              <w:rPr>
                <w:snapToGrid w:val="0"/>
                <w:color w:val="auto"/>
              </w:rPr>
            </w:pPr>
            <w:r>
              <w:rPr>
                <w:rFonts w:ascii="宋体" w:hAnsi="宋体" w:cs="宋体"/>
                <w:color w:val="auto"/>
                <w:sz w:val="21"/>
                <w:szCs w:val="21"/>
                <w:lang w:eastAsia="en-US"/>
              </w:rPr>
              <w:t>18～24</w:t>
            </w:r>
          </w:p>
        </w:tc>
        <w:tc>
          <w:tcPr>
            <w:tcW w:w="1291" w:type="dxa"/>
            <w:shd w:val="clear" w:color="auto" w:fill="auto"/>
            <w:vAlign w:val="center"/>
          </w:tcPr>
          <w:p w14:paraId="00B4F804">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70</w:t>
            </w:r>
          </w:p>
        </w:tc>
        <w:tc>
          <w:tcPr>
            <w:tcW w:w="1113" w:type="dxa"/>
            <w:shd w:val="clear" w:color="auto" w:fill="auto"/>
            <w:vAlign w:val="center"/>
          </w:tcPr>
          <w:p w14:paraId="399B5040">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70</w:t>
            </w:r>
          </w:p>
        </w:tc>
        <w:tc>
          <w:tcPr>
            <w:tcW w:w="1946" w:type="dxa"/>
            <w:shd w:val="clear" w:color="auto" w:fill="auto"/>
            <w:vAlign w:val="center"/>
          </w:tcPr>
          <w:p w14:paraId="166273D5">
            <w:pPr>
              <w:pStyle w:val="104"/>
              <w:rPr>
                <w:snapToGrid w:val="0"/>
                <w:color w:val="auto"/>
              </w:rPr>
            </w:pPr>
            <w:r>
              <w:rPr>
                <w:rFonts w:hint="eastAsia" w:ascii="宋体" w:hAnsi="宋体" w:cs="宋体"/>
                <w:color w:val="auto"/>
                <w:sz w:val="21"/>
                <w:szCs w:val="21"/>
                <w:lang w:eastAsia="en-US"/>
              </w:rPr>
              <w:t>≥</w:t>
            </w:r>
            <w:r>
              <w:rPr>
                <w:rFonts w:ascii="宋体" w:hAnsi="宋体"/>
                <w:color w:val="auto"/>
                <w:spacing w:val="1"/>
                <w:sz w:val="20"/>
                <w:szCs w:val="20"/>
                <w:lang w:eastAsia="en-US"/>
              </w:rPr>
              <w:t>6</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5A026361">
            <w:pPr>
              <w:pStyle w:val="20"/>
              <w:snapToGrid w:val="0"/>
              <w:spacing w:line="440" w:lineRule="atLeast"/>
              <w:ind w:left="0"/>
              <w:jc w:val="center"/>
              <w:rPr>
                <w:rFonts w:eastAsiaTheme="minorEastAsia"/>
                <w:sz w:val="24"/>
                <w:szCs w:val="24"/>
              </w:rPr>
            </w:pPr>
          </w:p>
        </w:tc>
      </w:tr>
      <w:tr w14:paraId="75FDE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553A8E6E">
            <w:pPr>
              <w:pStyle w:val="10"/>
              <w:widowControl w:val="0"/>
              <w:adjustRightInd w:val="0"/>
              <w:snapToGrid w:val="0"/>
              <w:spacing w:after="0" w:line="440" w:lineRule="atLeast"/>
              <w:jc w:val="center"/>
              <w:rPr>
                <w:rFonts w:eastAsiaTheme="minorEastAsia"/>
                <w:sz w:val="24"/>
                <w:szCs w:val="24"/>
              </w:rPr>
            </w:pPr>
            <w:r>
              <w:rPr>
                <w:rFonts w:ascii="宋体" w:hAnsi="宋体"/>
                <w:sz w:val="20"/>
                <w:lang w:eastAsia="en-US"/>
              </w:rPr>
              <w:t>9</w:t>
            </w:r>
          </w:p>
        </w:tc>
        <w:tc>
          <w:tcPr>
            <w:tcW w:w="3456" w:type="dxa"/>
            <w:shd w:val="clear" w:color="auto" w:fill="auto"/>
          </w:tcPr>
          <w:p w14:paraId="4276FA30">
            <w:pPr>
              <w:pStyle w:val="104"/>
              <w:jc w:val="left"/>
              <w:rPr>
                <w:snapToGrid w:val="0"/>
                <w:color w:val="auto"/>
              </w:rPr>
            </w:pPr>
            <w:r>
              <w:rPr>
                <w:rFonts w:ascii="宋体" w:hAnsi="宋体" w:cs="宋体"/>
                <w:color w:val="auto"/>
                <w:spacing w:val="4"/>
                <w:sz w:val="20"/>
                <w:szCs w:val="20"/>
                <w:lang w:eastAsia="en-US"/>
              </w:rPr>
              <w:t>综合泵房</w:t>
            </w:r>
          </w:p>
        </w:tc>
        <w:tc>
          <w:tcPr>
            <w:tcW w:w="1043" w:type="dxa"/>
            <w:shd w:val="clear" w:color="auto" w:fill="auto"/>
            <w:vAlign w:val="center"/>
          </w:tcPr>
          <w:p w14:paraId="6968D050">
            <w:pPr>
              <w:pStyle w:val="104"/>
              <w:rPr>
                <w:snapToGrid w:val="0"/>
                <w:color w:val="auto"/>
              </w:rPr>
            </w:pPr>
            <w:r>
              <w:rPr>
                <w:rFonts w:hint="eastAsia" w:ascii="宋体" w:hAnsi="宋体"/>
                <w:color w:val="auto"/>
                <w:spacing w:val="1"/>
                <w:position w:val="1"/>
                <w:sz w:val="20"/>
                <w:szCs w:val="20"/>
                <w:lang w:eastAsia="en-US"/>
              </w:rPr>
              <w:t>—</w:t>
            </w:r>
          </w:p>
        </w:tc>
        <w:tc>
          <w:tcPr>
            <w:tcW w:w="1054" w:type="dxa"/>
            <w:shd w:val="clear" w:color="auto" w:fill="auto"/>
            <w:vAlign w:val="center"/>
          </w:tcPr>
          <w:p w14:paraId="750C74D6">
            <w:pPr>
              <w:pStyle w:val="104"/>
              <w:rPr>
                <w:snapToGrid w:val="0"/>
                <w:color w:val="auto"/>
              </w:rPr>
            </w:pPr>
            <w:r>
              <w:rPr>
                <w:rFonts w:hint="eastAsia" w:ascii="宋体" w:hAnsi="宋体" w:cs="宋体"/>
                <w:color w:val="auto"/>
                <w:sz w:val="21"/>
                <w:szCs w:val="21"/>
                <w:lang w:eastAsia="en-US"/>
              </w:rPr>
              <w:t>≥</w:t>
            </w:r>
            <w:r>
              <w:rPr>
                <w:rFonts w:ascii="宋体" w:hAnsi="宋体" w:cs="宋体"/>
                <w:color w:val="auto"/>
                <w:sz w:val="21"/>
                <w:szCs w:val="21"/>
                <w:lang w:eastAsia="en-US"/>
              </w:rPr>
              <w:t>5</w:t>
            </w:r>
          </w:p>
        </w:tc>
        <w:tc>
          <w:tcPr>
            <w:tcW w:w="1291" w:type="dxa"/>
            <w:shd w:val="clear" w:color="auto" w:fill="auto"/>
            <w:vAlign w:val="center"/>
          </w:tcPr>
          <w:p w14:paraId="79EB2588">
            <w:pPr>
              <w:pStyle w:val="104"/>
              <w:rPr>
                <w:snapToGrid w:val="0"/>
                <w:color w:val="auto"/>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4D0BD2E8">
            <w:pPr>
              <w:pStyle w:val="104"/>
              <w:rPr>
                <w:snapToGrid w:val="0"/>
                <w:color w:val="auto"/>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59A6FBE6">
            <w:pPr>
              <w:pStyle w:val="104"/>
              <w:rPr>
                <w:snapToGrid w:val="0"/>
                <w:color w:val="auto"/>
              </w:rPr>
            </w:pPr>
            <w:r>
              <w:rPr>
                <w:rFonts w:hint="eastAsia" w:ascii="宋体" w:hAnsi="宋体" w:cs="宋体"/>
                <w:color w:val="auto"/>
                <w:sz w:val="21"/>
                <w:szCs w:val="21"/>
                <w:lang w:eastAsia="en-US"/>
              </w:rPr>
              <w:t>≥</w:t>
            </w:r>
            <w:r>
              <w:rPr>
                <w:rFonts w:ascii="宋体" w:hAnsi="宋体"/>
                <w:color w:val="auto"/>
                <w:spacing w:val="1"/>
                <w:sz w:val="20"/>
                <w:szCs w:val="20"/>
                <w:lang w:eastAsia="en-US"/>
              </w:rPr>
              <w:t>6</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761A9CCA">
            <w:pPr>
              <w:pStyle w:val="20"/>
              <w:snapToGrid w:val="0"/>
              <w:spacing w:line="440" w:lineRule="atLeast"/>
              <w:ind w:left="0"/>
              <w:jc w:val="center"/>
              <w:rPr>
                <w:rFonts w:eastAsiaTheme="minorEastAsia"/>
                <w:sz w:val="24"/>
                <w:szCs w:val="24"/>
              </w:rPr>
            </w:pPr>
          </w:p>
        </w:tc>
      </w:tr>
      <w:tr w14:paraId="50CB2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2807B1D0">
            <w:pPr>
              <w:pStyle w:val="10"/>
              <w:widowControl w:val="0"/>
              <w:adjustRightInd w:val="0"/>
              <w:snapToGrid w:val="0"/>
              <w:spacing w:after="0" w:line="440" w:lineRule="atLeast"/>
              <w:jc w:val="center"/>
              <w:rPr>
                <w:rFonts w:eastAsiaTheme="minorEastAsia"/>
                <w:sz w:val="24"/>
                <w:szCs w:val="24"/>
              </w:rPr>
            </w:pPr>
            <w:r>
              <w:rPr>
                <w:rFonts w:ascii="宋体" w:hAnsi="宋体"/>
                <w:sz w:val="20"/>
                <w:lang w:eastAsia="en-US"/>
              </w:rPr>
              <w:t>10</w:t>
            </w:r>
          </w:p>
        </w:tc>
        <w:tc>
          <w:tcPr>
            <w:tcW w:w="3456" w:type="dxa"/>
            <w:shd w:val="clear" w:color="auto" w:fill="auto"/>
          </w:tcPr>
          <w:p w14:paraId="4A3D425E">
            <w:pPr>
              <w:pStyle w:val="104"/>
              <w:jc w:val="left"/>
              <w:rPr>
                <w:snapToGrid w:val="0"/>
                <w:color w:val="auto"/>
              </w:rPr>
            </w:pPr>
            <w:r>
              <w:rPr>
                <w:rFonts w:ascii="宋体" w:hAnsi="宋体" w:cs="宋体"/>
                <w:color w:val="auto"/>
                <w:spacing w:val="4"/>
                <w:sz w:val="20"/>
                <w:szCs w:val="20"/>
                <w:lang w:eastAsia="en-US"/>
              </w:rPr>
              <w:t>综合楼</w:t>
            </w:r>
          </w:p>
        </w:tc>
        <w:tc>
          <w:tcPr>
            <w:tcW w:w="1043" w:type="dxa"/>
            <w:shd w:val="clear" w:color="auto" w:fill="auto"/>
            <w:vAlign w:val="center"/>
          </w:tcPr>
          <w:p w14:paraId="2B27E6C4">
            <w:pPr>
              <w:pStyle w:val="104"/>
              <w:rPr>
                <w:snapToGrid w:val="0"/>
                <w:color w:val="auto"/>
              </w:rPr>
            </w:pPr>
          </w:p>
        </w:tc>
        <w:tc>
          <w:tcPr>
            <w:tcW w:w="1054" w:type="dxa"/>
            <w:shd w:val="clear" w:color="auto" w:fill="auto"/>
            <w:vAlign w:val="center"/>
          </w:tcPr>
          <w:p w14:paraId="34CCC625">
            <w:pPr>
              <w:pStyle w:val="104"/>
              <w:rPr>
                <w:snapToGrid w:val="0"/>
                <w:color w:val="auto"/>
              </w:rPr>
            </w:pPr>
          </w:p>
        </w:tc>
        <w:tc>
          <w:tcPr>
            <w:tcW w:w="1291" w:type="dxa"/>
            <w:shd w:val="clear" w:color="auto" w:fill="auto"/>
            <w:vAlign w:val="center"/>
          </w:tcPr>
          <w:p w14:paraId="2EDA4439">
            <w:pPr>
              <w:pStyle w:val="104"/>
              <w:rPr>
                <w:snapToGrid w:val="0"/>
                <w:color w:val="auto"/>
              </w:rPr>
            </w:pPr>
          </w:p>
        </w:tc>
        <w:tc>
          <w:tcPr>
            <w:tcW w:w="1113" w:type="dxa"/>
            <w:shd w:val="clear" w:color="auto" w:fill="auto"/>
            <w:vAlign w:val="center"/>
          </w:tcPr>
          <w:p w14:paraId="0677FCD4">
            <w:pPr>
              <w:pStyle w:val="104"/>
              <w:rPr>
                <w:snapToGrid w:val="0"/>
                <w:color w:val="auto"/>
              </w:rPr>
            </w:pPr>
          </w:p>
        </w:tc>
        <w:tc>
          <w:tcPr>
            <w:tcW w:w="1946" w:type="dxa"/>
            <w:shd w:val="clear" w:color="auto" w:fill="auto"/>
            <w:vAlign w:val="center"/>
          </w:tcPr>
          <w:p w14:paraId="442AF462">
            <w:pPr>
              <w:pStyle w:val="104"/>
              <w:rPr>
                <w:snapToGrid w:val="0"/>
                <w:color w:val="auto"/>
              </w:rPr>
            </w:pPr>
          </w:p>
        </w:tc>
        <w:tc>
          <w:tcPr>
            <w:tcW w:w="2065" w:type="dxa"/>
            <w:shd w:val="clear" w:color="auto" w:fill="auto"/>
            <w:vAlign w:val="center"/>
          </w:tcPr>
          <w:p w14:paraId="3EEE2340">
            <w:pPr>
              <w:pStyle w:val="20"/>
              <w:snapToGrid w:val="0"/>
              <w:spacing w:line="440" w:lineRule="atLeast"/>
              <w:ind w:left="0"/>
              <w:jc w:val="center"/>
              <w:rPr>
                <w:rFonts w:eastAsiaTheme="minorEastAsia"/>
                <w:sz w:val="24"/>
                <w:szCs w:val="24"/>
              </w:rPr>
            </w:pPr>
          </w:p>
        </w:tc>
      </w:tr>
      <w:tr w14:paraId="52749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04D62853">
            <w:pPr>
              <w:pStyle w:val="10"/>
              <w:widowControl w:val="0"/>
              <w:adjustRightInd w:val="0"/>
              <w:snapToGrid w:val="0"/>
              <w:spacing w:after="0" w:line="440" w:lineRule="atLeast"/>
              <w:jc w:val="center"/>
              <w:rPr>
                <w:rFonts w:eastAsiaTheme="minorEastAsia"/>
                <w:b/>
                <w:sz w:val="24"/>
                <w:szCs w:val="24"/>
              </w:rPr>
            </w:pPr>
            <w:r>
              <w:rPr>
                <w:rFonts w:hint="eastAsia" w:ascii="宋体" w:hAnsi="宋体"/>
                <w:sz w:val="20"/>
                <w:lang w:eastAsia="en-US"/>
              </w:rPr>
              <w:t>10.1</w:t>
            </w:r>
          </w:p>
        </w:tc>
        <w:tc>
          <w:tcPr>
            <w:tcW w:w="3456" w:type="dxa"/>
            <w:shd w:val="clear" w:color="auto" w:fill="auto"/>
          </w:tcPr>
          <w:p w14:paraId="26D5AA48">
            <w:pPr>
              <w:pStyle w:val="104"/>
              <w:jc w:val="left"/>
              <w:rPr>
                <w:rFonts w:eastAsiaTheme="minorEastAsia"/>
                <w:b/>
                <w:color w:val="auto"/>
                <w:kern w:val="0"/>
                <w:szCs w:val="24"/>
              </w:rPr>
            </w:pPr>
            <w:r>
              <w:rPr>
                <w:rFonts w:ascii="宋体" w:hAnsi="宋体" w:cs="宋体"/>
                <w:color w:val="auto"/>
                <w:spacing w:val="4"/>
                <w:sz w:val="20"/>
                <w:szCs w:val="20"/>
                <w:lang w:eastAsia="en-US"/>
              </w:rPr>
              <w:t>党员活动室</w:t>
            </w:r>
          </w:p>
        </w:tc>
        <w:tc>
          <w:tcPr>
            <w:tcW w:w="1043" w:type="dxa"/>
            <w:shd w:val="clear" w:color="auto" w:fill="auto"/>
            <w:vAlign w:val="center"/>
          </w:tcPr>
          <w:p w14:paraId="6DF2537C">
            <w:pPr>
              <w:pStyle w:val="104"/>
              <w:rPr>
                <w:snapToGrid w:val="0"/>
                <w:color w:val="auto"/>
                <w:szCs w:val="24"/>
              </w:rPr>
            </w:pPr>
            <w:r>
              <w:rPr>
                <w:rFonts w:ascii="宋体" w:hAnsi="宋体"/>
                <w:color w:val="auto"/>
                <w:spacing w:val="1"/>
                <w:position w:val="1"/>
                <w:sz w:val="20"/>
                <w:szCs w:val="20"/>
                <w:lang w:eastAsia="en-US"/>
              </w:rPr>
              <w:t>26~28</w:t>
            </w:r>
          </w:p>
        </w:tc>
        <w:tc>
          <w:tcPr>
            <w:tcW w:w="1054" w:type="dxa"/>
            <w:shd w:val="clear" w:color="auto" w:fill="auto"/>
            <w:vAlign w:val="center"/>
          </w:tcPr>
          <w:p w14:paraId="0479B942">
            <w:pPr>
              <w:pStyle w:val="104"/>
              <w:rPr>
                <w:snapToGrid w:val="0"/>
                <w:color w:val="auto"/>
                <w:szCs w:val="24"/>
              </w:rPr>
            </w:pPr>
            <w:r>
              <w:rPr>
                <w:rFonts w:ascii="宋体" w:hAnsi="宋体" w:cs="宋体"/>
                <w:color w:val="auto"/>
                <w:sz w:val="21"/>
                <w:szCs w:val="21"/>
                <w:lang w:eastAsia="en-US"/>
              </w:rPr>
              <w:t>18~22</w:t>
            </w:r>
          </w:p>
        </w:tc>
        <w:tc>
          <w:tcPr>
            <w:tcW w:w="1291" w:type="dxa"/>
            <w:shd w:val="clear" w:color="auto" w:fill="auto"/>
            <w:vAlign w:val="center"/>
          </w:tcPr>
          <w:p w14:paraId="4CC4BA2B">
            <w:pPr>
              <w:pStyle w:val="104"/>
              <w:rPr>
                <w:snapToGrid w:val="0"/>
                <w:color w:val="auto"/>
                <w:szCs w:val="24"/>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3226EF5F">
            <w:pPr>
              <w:pStyle w:val="104"/>
              <w:rPr>
                <w:snapToGrid w:val="0"/>
                <w:color w:val="auto"/>
                <w:szCs w:val="24"/>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1AB9CAA2">
            <w:pPr>
              <w:pStyle w:val="104"/>
              <w:rPr>
                <w:rFonts w:ascii="宋体" w:hAnsi="宋体" w:cs="宋体"/>
                <w:snapToGrid w:val="0"/>
                <w:color w:val="auto"/>
                <w:szCs w:val="24"/>
              </w:rPr>
            </w:pPr>
            <w:r>
              <w:rPr>
                <w:rFonts w:hint="eastAsia" w:ascii="宋体" w:hAnsi="宋体" w:cs="宋体"/>
                <w:color w:val="auto"/>
                <w:sz w:val="21"/>
                <w:szCs w:val="21"/>
                <w:lang w:eastAsia="en-US"/>
              </w:rPr>
              <w:t>新风量：</w:t>
            </w:r>
            <w:r>
              <w:rPr>
                <w:rFonts w:ascii="宋体" w:hAnsi="宋体" w:cs="宋体"/>
                <w:color w:val="auto"/>
                <w:sz w:val="21"/>
                <w:szCs w:val="21"/>
              </w:rPr>
              <w:t>3</w:t>
            </w:r>
            <w:r>
              <w:rPr>
                <w:rFonts w:ascii="宋体" w:hAnsi="宋体" w:cs="宋体"/>
                <w:color w:val="auto"/>
                <w:sz w:val="21"/>
                <w:szCs w:val="21"/>
                <w:lang w:eastAsia="en-US"/>
              </w:rPr>
              <w:t>0m</w:t>
            </w:r>
            <w:r>
              <w:rPr>
                <w:rFonts w:ascii="宋体" w:hAnsi="宋体" w:cs="宋体"/>
                <w:color w:val="auto"/>
                <w:sz w:val="21"/>
                <w:szCs w:val="21"/>
                <w:vertAlign w:val="superscript"/>
                <w:lang w:eastAsia="en-US"/>
              </w:rPr>
              <w:t>3</w:t>
            </w:r>
            <w:r>
              <w:rPr>
                <w:rFonts w:ascii="宋体" w:hAnsi="宋体" w:cs="宋体"/>
                <w:color w:val="auto"/>
                <w:sz w:val="21"/>
                <w:szCs w:val="21"/>
                <w:lang w:eastAsia="en-US"/>
              </w:rPr>
              <w:t>/(h*人)</w:t>
            </w:r>
          </w:p>
        </w:tc>
        <w:tc>
          <w:tcPr>
            <w:tcW w:w="2065" w:type="dxa"/>
            <w:shd w:val="clear" w:color="auto" w:fill="auto"/>
            <w:vAlign w:val="center"/>
          </w:tcPr>
          <w:p w14:paraId="649F6864">
            <w:pPr>
              <w:pStyle w:val="20"/>
              <w:snapToGrid w:val="0"/>
              <w:spacing w:line="440" w:lineRule="atLeast"/>
              <w:ind w:left="0"/>
              <w:jc w:val="center"/>
              <w:rPr>
                <w:rFonts w:eastAsiaTheme="minorEastAsia"/>
                <w:sz w:val="24"/>
                <w:szCs w:val="24"/>
              </w:rPr>
            </w:pPr>
          </w:p>
        </w:tc>
      </w:tr>
      <w:tr w14:paraId="39DE9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57C560E5">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10.2</w:t>
            </w:r>
          </w:p>
        </w:tc>
        <w:tc>
          <w:tcPr>
            <w:tcW w:w="3456" w:type="dxa"/>
            <w:shd w:val="clear" w:color="auto" w:fill="auto"/>
          </w:tcPr>
          <w:p w14:paraId="4A2305B6">
            <w:pPr>
              <w:pStyle w:val="104"/>
              <w:jc w:val="left"/>
              <w:rPr>
                <w:rFonts w:eastAsiaTheme="minorEastAsia"/>
                <w:b/>
                <w:color w:val="auto"/>
                <w:kern w:val="0"/>
                <w:szCs w:val="24"/>
              </w:rPr>
            </w:pPr>
            <w:r>
              <w:rPr>
                <w:rFonts w:ascii="宋体" w:hAnsi="宋体" w:cs="宋体"/>
                <w:color w:val="auto"/>
                <w:spacing w:val="4"/>
                <w:sz w:val="20"/>
                <w:szCs w:val="20"/>
                <w:lang w:eastAsia="en-US"/>
              </w:rPr>
              <w:t>展厅</w:t>
            </w:r>
          </w:p>
        </w:tc>
        <w:tc>
          <w:tcPr>
            <w:tcW w:w="1043" w:type="dxa"/>
            <w:shd w:val="clear" w:color="auto" w:fill="auto"/>
            <w:vAlign w:val="center"/>
          </w:tcPr>
          <w:p w14:paraId="3C9EECC3">
            <w:pPr>
              <w:pStyle w:val="104"/>
              <w:rPr>
                <w:snapToGrid w:val="0"/>
                <w:color w:val="auto"/>
                <w:szCs w:val="24"/>
              </w:rPr>
            </w:pPr>
            <w:r>
              <w:rPr>
                <w:rFonts w:ascii="宋体" w:hAnsi="宋体"/>
                <w:color w:val="auto"/>
                <w:spacing w:val="1"/>
                <w:position w:val="1"/>
                <w:sz w:val="20"/>
                <w:szCs w:val="20"/>
                <w:lang w:eastAsia="en-US"/>
              </w:rPr>
              <w:t>26~28</w:t>
            </w:r>
          </w:p>
        </w:tc>
        <w:tc>
          <w:tcPr>
            <w:tcW w:w="1054" w:type="dxa"/>
            <w:shd w:val="clear" w:color="auto" w:fill="auto"/>
            <w:vAlign w:val="center"/>
          </w:tcPr>
          <w:p w14:paraId="37EDBFEB">
            <w:pPr>
              <w:pStyle w:val="104"/>
              <w:rPr>
                <w:snapToGrid w:val="0"/>
                <w:color w:val="auto"/>
                <w:szCs w:val="24"/>
              </w:rPr>
            </w:pPr>
            <w:r>
              <w:rPr>
                <w:rFonts w:ascii="宋体" w:hAnsi="宋体" w:cs="宋体"/>
                <w:color w:val="auto"/>
                <w:sz w:val="21"/>
                <w:szCs w:val="21"/>
                <w:lang w:eastAsia="en-US"/>
              </w:rPr>
              <w:t>18~22</w:t>
            </w:r>
          </w:p>
        </w:tc>
        <w:tc>
          <w:tcPr>
            <w:tcW w:w="1291" w:type="dxa"/>
            <w:shd w:val="clear" w:color="auto" w:fill="auto"/>
            <w:vAlign w:val="center"/>
          </w:tcPr>
          <w:p w14:paraId="36E8745C">
            <w:pPr>
              <w:pStyle w:val="104"/>
              <w:rPr>
                <w:snapToGrid w:val="0"/>
                <w:color w:val="auto"/>
                <w:szCs w:val="24"/>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0EC4CD09">
            <w:pPr>
              <w:pStyle w:val="104"/>
              <w:rPr>
                <w:snapToGrid w:val="0"/>
                <w:color w:val="auto"/>
                <w:szCs w:val="24"/>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2EFA7D0E">
            <w:pPr>
              <w:pStyle w:val="104"/>
              <w:rPr>
                <w:rFonts w:ascii="宋体" w:hAnsi="宋体" w:cs="宋体"/>
                <w:snapToGrid w:val="0"/>
                <w:color w:val="auto"/>
                <w:szCs w:val="24"/>
              </w:rPr>
            </w:pPr>
            <w:r>
              <w:rPr>
                <w:rFonts w:hint="eastAsia" w:ascii="宋体" w:hAnsi="宋体" w:cs="宋体"/>
                <w:color w:val="auto"/>
                <w:sz w:val="21"/>
                <w:szCs w:val="21"/>
                <w:lang w:eastAsia="en-US"/>
              </w:rPr>
              <w:t>新风量：</w:t>
            </w:r>
            <w:r>
              <w:rPr>
                <w:rFonts w:ascii="宋体" w:hAnsi="宋体" w:cs="宋体"/>
                <w:color w:val="auto"/>
                <w:sz w:val="21"/>
                <w:szCs w:val="21"/>
              </w:rPr>
              <w:t>3</w:t>
            </w:r>
            <w:r>
              <w:rPr>
                <w:rFonts w:ascii="宋体" w:hAnsi="宋体" w:cs="宋体"/>
                <w:color w:val="auto"/>
                <w:sz w:val="21"/>
                <w:szCs w:val="21"/>
                <w:lang w:eastAsia="en-US"/>
              </w:rPr>
              <w:t>0m</w:t>
            </w:r>
            <w:r>
              <w:rPr>
                <w:rFonts w:ascii="宋体" w:hAnsi="宋体" w:cs="宋体"/>
                <w:color w:val="auto"/>
                <w:sz w:val="21"/>
                <w:szCs w:val="21"/>
                <w:vertAlign w:val="superscript"/>
                <w:lang w:eastAsia="en-US"/>
              </w:rPr>
              <w:t>3</w:t>
            </w:r>
            <w:r>
              <w:rPr>
                <w:rFonts w:ascii="宋体" w:hAnsi="宋体" w:cs="宋体"/>
                <w:color w:val="auto"/>
                <w:sz w:val="21"/>
                <w:szCs w:val="21"/>
                <w:lang w:eastAsia="en-US"/>
              </w:rPr>
              <w:t>/(h*人)</w:t>
            </w:r>
          </w:p>
        </w:tc>
        <w:tc>
          <w:tcPr>
            <w:tcW w:w="2065" w:type="dxa"/>
            <w:shd w:val="clear" w:color="auto" w:fill="auto"/>
            <w:vAlign w:val="center"/>
          </w:tcPr>
          <w:p w14:paraId="5A9C510F">
            <w:pPr>
              <w:pStyle w:val="20"/>
              <w:snapToGrid w:val="0"/>
              <w:spacing w:line="440" w:lineRule="atLeast"/>
              <w:ind w:left="0"/>
              <w:jc w:val="center"/>
              <w:rPr>
                <w:rFonts w:eastAsiaTheme="minorEastAsia"/>
                <w:sz w:val="24"/>
                <w:szCs w:val="24"/>
              </w:rPr>
            </w:pPr>
          </w:p>
        </w:tc>
      </w:tr>
      <w:tr w14:paraId="00AC9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29185AC4">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10.3</w:t>
            </w:r>
          </w:p>
        </w:tc>
        <w:tc>
          <w:tcPr>
            <w:tcW w:w="3456" w:type="dxa"/>
            <w:shd w:val="clear" w:color="auto" w:fill="auto"/>
          </w:tcPr>
          <w:p w14:paraId="265EDD7B">
            <w:pPr>
              <w:pStyle w:val="104"/>
              <w:jc w:val="left"/>
              <w:rPr>
                <w:rFonts w:eastAsiaTheme="minorEastAsia"/>
                <w:b/>
                <w:color w:val="auto"/>
                <w:kern w:val="0"/>
                <w:szCs w:val="24"/>
              </w:rPr>
            </w:pPr>
            <w:r>
              <w:rPr>
                <w:rFonts w:ascii="宋体" w:hAnsi="宋体" w:cs="宋体"/>
                <w:color w:val="auto"/>
                <w:spacing w:val="4"/>
                <w:sz w:val="20"/>
                <w:szCs w:val="20"/>
                <w:lang w:eastAsia="en-US"/>
              </w:rPr>
              <w:t>食堂</w:t>
            </w:r>
          </w:p>
        </w:tc>
        <w:tc>
          <w:tcPr>
            <w:tcW w:w="1043" w:type="dxa"/>
            <w:shd w:val="clear" w:color="auto" w:fill="auto"/>
            <w:vAlign w:val="center"/>
          </w:tcPr>
          <w:p w14:paraId="20638E14">
            <w:pPr>
              <w:pStyle w:val="104"/>
              <w:rPr>
                <w:snapToGrid w:val="0"/>
                <w:color w:val="auto"/>
                <w:szCs w:val="24"/>
              </w:rPr>
            </w:pPr>
            <w:r>
              <w:rPr>
                <w:rFonts w:ascii="宋体" w:hAnsi="宋体"/>
                <w:color w:val="auto"/>
                <w:spacing w:val="1"/>
                <w:position w:val="1"/>
                <w:sz w:val="20"/>
                <w:szCs w:val="20"/>
                <w:lang w:eastAsia="en-US"/>
              </w:rPr>
              <w:t>26~28</w:t>
            </w:r>
          </w:p>
        </w:tc>
        <w:tc>
          <w:tcPr>
            <w:tcW w:w="1054" w:type="dxa"/>
            <w:shd w:val="clear" w:color="auto" w:fill="auto"/>
            <w:vAlign w:val="center"/>
          </w:tcPr>
          <w:p w14:paraId="264E594D">
            <w:pPr>
              <w:pStyle w:val="104"/>
              <w:rPr>
                <w:snapToGrid w:val="0"/>
                <w:color w:val="auto"/>
                <w:szCs w:val="24"/>
              </w:rPr>
            </w:pPr>
            <w:r>
              <w:rPr>
                <w:rFonts w:ascii="宋体" w:hAnsi="宋体" w:cs="宋体"/>
                <w:color w:val="auto"/>
                <w:sz w:val="21"/>
                <w:szCs w:val="21"/>
                <w:lang w:eastAsia="en-US"/>
              </w:rPr>
              <w:t>18~22</w:t>
            </w:r>
          </w:p>
        </w:tc>
        <w:tc>
          <w:tcPr>
            <w:tcW w:w="1291" w:type="dxa"/>
            <w:shd w:val="clear" w:color="auto" w:fill="auto"/>
            <w:vAlign w:val="center"/>
          </w:tcPr>
          <w:p w14:paraId="26C4B61E">
            <w:pPr>
              <w:pStyle w:val="104"/>
              <w:rPr>
                <w:snapToGrid w:val="0"/>
                <w:color w:val="auto"/>
                <w:szCs w:val="24"/>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638B59E3">
            <w:pPr>
              <w:pStyle w:val="104"/>
              <w:rPr>
                <w:snapToGrid w:val="0"/>
                <w:color w:val="auto"/>
                <w:szCs w:val="24"/>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7404541F">
            <w:pPr>
              <w:pStyle w:val="104"/>
              <w:rPr>
                <w:rFonts w:ascii="宋体" w:hAnsi="宋体" w:cs="宋体"/>
                <w:snapToGrid w:val="0"/>
                <w:color w:val="auto"/>
                <w:szCs w:val="24"/>
              </w:rPr>
            </w:pPr>
            <w:r>
              <w:rPr>
                <w:rFonts w:hint="eastAsia" w:ascii="宋体" w:hAnsi="宋体" w:cs="宋体"/>
                <w:color w:val="auto"/>
                <w:sz w:val="21"/>
                <w:szCs w:val="21"/>
                <w:lang w:eastAsia="en-US"/>
              </w:rPr>
              <w:t>新风量：</w:t>
            </w:r>
            <w:r>
              <w:rPr>
                <w:rFonts w:ascii="宋体" w:hAnsi="宋体" w:cs="宋体"/>
                <w:color w:val="auto"/>
                <w:sz w:val="21"/>
                <w:szCs w:val="21"/>
              </w:rPr>
              <w:t>3</w:t>
            </w:r>
            <w:r>
              <w:rPr>
                <w:rFonts w:ascii="宋体" w:hAnsi="宋体" w:cs="宋体"/>
                <w:color w:val="auto"/>
                <w:sz w:val="21"/>
                <w:szCs w:val="21"/>
                <w:lang w:eastAsia="en-US"/>
              </w:rPr>
              <w:t>0m</w:t>
            </w:r>
            <w:r>
              <w:rPr>
                <w:rFonts w:ascii="宋体" w:hAnsi="宋体" w:cs="宋体"/>
                <w:color w:val="auto"/>
                <w:sz w:val="21"/>
                <w:szCs w:val="21"/>
                <w:vertAlign w:val="superscript"/>
                <w:lang w:eastAsia="en-US"/>
              </w:rPr>
              <w:t>3</w:t>
            </w:r>
            <w:r>
              <w:rPr>
                <w:rFonts w:ascii="宋体" w:hAnsi="宋体" w:cs="宋体"/>
                <w:color w:val="auto"/>
                <w:sz w:val="21"/>
                <w:szCs w:val="21"/>
                <w:lang w:eastAsia="en-US"/>
              </w:rPr>
              <w:t>/(h*人)</w:t>
            </w:r>
          </w:p>
        </w:tc>
        <w:tc>
          <w:tcPr>
            <w:tcW w:w="2065" w:type="dxa"/>
            <w:shd w:val="clear" w:color="auto" w:fill="auto"/>
            <w:vAlign w:val="center"/>
          </w:tcPr>
          <w:p w14:paraId="651C105C">
            <w:pPr>
              <w:pStyle w:val="20"/>
              <w:snapToGrid w:val="0"/>
              <w:spacing w:line="440" w:lineRule="atLeast"/>
              <w:ind w:left="0"/>
              <w:jc w:val="center"/>
              <w:rPr>
                <w:rFonts w:eastAsiaTheme="minorEastAsia"/>
                <w:sz w:val="24"/>
                <w:szCs w:val="24"/>
              </w:rPr>
            </w:pPr>
          </w:p>
        </w:tc>
      </w:tr>
      <w:tr w14:paraId="4F3CC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70C48DD0">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10.4</w:t>
            </w:r>
          </w:p>
        </w:tc>
        <w:tc>
          <w:tcPr>
            <w:tcW w:w="3456" w:type="dxa"/>
            <w:shd w:val="clear" w:color="auto" w:fill="auto"/>
          </w:tcPr>
          <w:p w14:paraId="3F81569B">
            <w:pPr>
              <w:pStyle w:val="104"/>
              <w:jc w:val="left"/>
              <w:rPr>
                <w:rFonts w:eastAsiaTheme="minorEastAsia"/>
                <w:b/>
                <w:color w:val="auto"/>
                <w:kern w:val="0"/>
                <w:szCs w:val="24"/>
              </w:rPr>
            </w:pPr>
            <w:r>
              <w:rPr>
                <w:rFonts w:ascii="宋体" w:hAnsi="宋体" w:cs="宋体"/>
                <w:color w:val="auto"/>
                <w:spacing w:val="4"/>
                <w:sz w:val="20"/>
                <w:szCs w:val="20"/>
                <w:lang w:eastAsia="en-US"/>
              </w:rPr>
              <w:t>就餐包间</w:t>
            </w:r>
          </w:p>
        </w:tc>
        <w:tc>
          <w:tcPr>
            <w:tcW w:w="1043" w:type="dxa"/>
            <w:shd w:val="clear" w:color="auto" w:fill="auto"/>
            <w:vAlign w:val="center"/>
          </w:tcPr>
          <w:p w14:paraId="5FE43D77">
            <w:pPr>
              <w:pStyle w:val="104"/>
              <w:rPr>
                <w:snapToGrid w:val="0"/>
                <w:color w:val="auto"/>
                <w:szCs w:val="24"/>
              </w:rPr>
            </w:pPr>
            <w:r>
              <w:rPr>
                <w:rFonts w:ascii="宋体" w:hAnsi="宋体"/>
                <w:color w:val="auto"/>
                <w:spacing w:val="1"/>
                <w:position w:val="1"/>
                <w:sz w:val="20"/>
                <w:szCs w:val="20"/>
                <w:lang w:eastAsia="en-US"/>
              </w:rPr>
              <w:t>26~28</w:t>
            </w:r>
          </w:p>
        </w:tc>
        <w:tc>
          <w:tcPr>
            <w:tcW w:w="1054" w:type="dxa"/>
            <w:shd w:val="clear" w:color="auto" w:fill="auto"/>
            <w:vAlign w:val="center"/>
          </w:tcPr>
          <w:p w14:paraId="5216F12B">
            <w:pPr>
              <w:pStyle w:val="104"/>
              <w:rPr>
                <w:snapToGrid w:val="0"/>
                <w:color w:val="auto"/>
                <w:szCs w:val="24"/>
              </w:rPr>
            </w:pPr>
            <w:r>
              <w:rPr>
                <w:rFonts w:ascii="宋体" w:hAnsi="宋体" w:cs="宋体"/>
                <w:color w:val="auto"/>
                <w:sz w:val="21"/>
                <w:szCs w:val="21"/>
                <w:lang w:eastAsia="en-US"/>
              </w:rPr>
              <w:t>18~22</w:t>
            </w:r>
          </w:p>
        </w:tc>
        <w:tc>
          <w:tcPr>
            <w:tcW w:w="1291" w:type="dxa"/>
            <w:shd w:val="clear" w:color="auto" w:fill="auto"/>
            <w:vAlign w:val="center"/>
          </w:tcPr>
          <w:p w14:paraId="552EF0E3">
            <w:pPr>
              <w:pStyle w:val="104"/>
              <w:rPr>
                <w:snapToGrid w:val="0"/>
                <w:color w:val="auto"/>
                <w:szCs w:val="24"/>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04DC0E62">
            <w:pPr>
              <w:pStyle w:val="104"/>
              <w:rPr>
                <w:snapToGrid w:val="0"/>
                <w:color w:val="auto"/>
                <w:szCs w:val="24"/>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092077E2">
            <w:pPr>
              <w:pStyle w:val="104"/>
              <w:rPr>
                <w:rFonts w:ascii="宋体" w:hAnsi="宋体" w:cs="宋体"/>
                <w:snapToGrid w:val="0"/>
                <w:color w:val="auto"/>
                <w:szCs w:val="24"/>
              </w:rPr>
            </w:pPr>
            <w:r>
              <w:rPr>
                <w:rFonts w:hint="eastAsia" w:ascii="宋体" w:hAnsi="宋体" w:cs="宋体"/>
                <w:color w:val="auto"/>
                <w:sz w:val="21"/>
                <w:szCs w:val="21"/>
                <w:lang w:eastAsia="en-US"/>
              </w:rPr>
              <w:t>新风量：</w:t>
            </w:r>
            <w:r>
              <w:rPr>
                <w:rFonts w:ascii="宋体" w:hAnsi="宋体" w:cs="宋体"/>
                <w:color w:val="auto"/>
                <w:sz w:val="21"/>
                <w:szCs w:val="21"/>
              </w:rPr>
              <w:t>3</w:t>
            </w:r>
            <w:r>
              <w:rPr>
                <w:rFonts w:ascii="宋体" w:hAnsi="宋体" w:cs="宋体"/>
                <w:color w:val="auto"/>
                <w:sz w:val="21"/>
                <w:szCs w:val="21"/>
                <w:lang w:eastAsia="en-US"/>
              </w:rPr>
              <w:t>0m</w:t>
            </w:r>
            <w:r>
              <w:rPr>
                <w:rFonts w:ascii="宋体" w:hAnsi="宋体" w:cs="宋体"/>
                <w:color w:val="auto"/>
                <w:sz w:val="21"/>
                <w:szCs w:val="21"/>
                <w:vertAlign w:val="superscript"/>
                <w:lang w:eastAsia="en-US"/>
              </w:rPr>
              <w:t>3</w:t>
            </w:r>
            <w:r>
              <w:rPr>
                <w:rFonts w:ascii="宋体" w:hAnsi="宋体" w:cs="宋体"/>
                <w:color w:val="auto"/>
                <w:sz w:val="21"/>
                <w:szCs w:val="21"/>
                <w:lang w:eastAsia="en-US"/>
              </w:rPr>
              <w:t>/(h*人)</w:t>
            </w:r>
          </w:p>
        </w:tc>
        <w:tc>
          <w:tcPr>
            <w:tcW w:w="2065" w:type="dxa"/>
            <w:shd w:val="clear" w:color="auto" w:fill="auto"/>
            <w:vAlign w:val="center"/>
          </w:tcPr>
          <w:p w14:paraId="3DA3C802">
            <w:pPr>
              <w:pStyle w:val="20"/>
              <w:snapToGrid w:val="0"/>
              <w:spacing w:line="440" w:lineRule="atLeast"/>
              <w:ind w:left="0"/>
              <w:jc w:val="center"/>
              <w:rPr>
                <w:rFonts w:eastAsiaTheme="minorEastAsia"/>
                <w:sz w:val="24"/>
                <w:szCs w:val="24"/>
              </w:rPr>
            </w:pPr>
          </w:p>
        </w:tc>
      </w:tr>
      <w:tr w14:paraId="67BDA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399BC846">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10.5</w:t>
            </w:r>
          </w:p>
        </w:tc>
        <w:tc>
          <w:tcPr>
            <w:tcW w:w="3456" w:type="dxa"/>
            <w:shd w:val="clear" w:color="auto" w:fill="auto"/>
          </w:tcPr>
          <w:p w14:paraId="285EF2AF">
            <w:pPr>
              <w:pStyle w:val="104"/>
              <w:jc w:val="left"/>
              <w:rPr>
                <w:rFonts w:eastAsiaTheme="minorEastAsia"/>
                <w:b/>
                <w:color w:val="auto"/>
                <w:kern w:val="0"/>
                <w:szCs w:val="24"/>
              </w:rPr>
            </w:pPr>
            <w:r>
              <w:rPr>
                <w:rFonts w:ascii="宋体" w:hAnsi="宋体" w:cs="宋体"/>
                <w:color w:val="auto"/>
                <w:spacing w:val="4"/>
                <w:sz w:val="20"/>
                <w:szCs w:val="20"/>
                <w:lang w:eastAsia="en-US"/>
              </w:rPr>
              <w:t>食品库</w:t>
            </w:r>
          </w:p>
        </w:tc>
        <w:tc>
          <w:tcPr>
            <w:tcW w:w="1043" w:type="dxa"/>
            <w:shd w:val="clear" w:color="auto" w:fill="auto"/>
            <w:vAlign w:val="center"/>
          </w:tcPr>
          <w:p w14:paraId="5D90E177">
            <w:pPr>
              <w:pStyle w:val="104"/>
              <w:rPr>
                <w:snapToGrid w:val="0"/>
                <w:color w:val="auto"/>
                <w:szCs w:val="24"/>
              </w:rPr>
            </w:pPr>
            <w:r>
              <w:rPr>
                <w:rFonts w:hint="eastAsia" w:ascii="宋体" w:hAnsi="宋体"/>
                <w:color w:val="auto"/>
                <w:spacing w:val="1"/>
                <w:position w:val="1"/>
                <w:sz w:val="20"/>
                <w:szCs w:val="20"/>
                <w:lang w:eastAsia="en-US"/>
              </w:rPr>
              <w:t>—</w:t>
            </w:r>
          </w:p>
        </w:tc>
        <w:tc>
          <w:tcPr>
            <w:tcW w:w="1054" w:type="dxa"/>
            <w:shd w:val="clear" w:color="auto" w:fill="auto"/>
            <w:vAlign w:val="center"/>
          </w:tcPr>
          <w:p w14:paraId="1A266D6C">
            <w:pPr>
              <w:pStyle w:val="104"/>
              <w:rPr>
                <w:snapToGrid w:val="0"/>
                <w:color w:val="auto"/>
                <w:szCs w:val="24"/>
              </w:rPr>
            </w:pPr>
            <w:r>
              <w:rPr>
                <w:rFonts w:hint="eastAsia" w:ascii="宋体" w:hAnsi="宋体"/>
                <w:color w:val="auto"/>
                <w:spacing w:val="1"/>
                <w:position w:val="1"/>
                <w:sz w:val="20"/>
                <w:szCs w:val="20"/>
                <w:lang w:eastAsia="en-US"/>
              </w:rPr>
              <w:t>—</w:t>
            </w:r>
          </w:p>
        </w:tc>
        <w:tc>
          <w:tcPr>
            <w:tcW w:w="1291" w:type="dxa"/>
            <w:shd w:val="clear" w:color="auto" w:fill="auto"/>
            <w:vAlign w:val="center"/>
          </w:tcPr>
          <w:p w14:paraId="4F407DE2">
            <w:pPr>
              <w:pStyle w:val="104"/>
              <w:rPr>
                <w:snapToGrid w:val="0"/>
                <w:color w:val="auto"/>
                <w:szCs w:val="24"/>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782A2309">
            <w:pPr>
              <w:pStyle w:val="104"/>
              <w:rPr>
                <w:snapToGrid w:val="0"/>
                <w:color w:val="auto"/>
                <w:szCs w:val="24"/>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038F0B9B">
            <w:pPr>
              <w:pStyle w:val="104"/>
              <w:rPr>
                <w:rFonts w:ascii="宋体" w:hAnsi="宋体" w:cs="宋体"/>
                <w:snapToGrid w:val="0"/>
                <w:color w:val="auto"/>
                <w:szCs w:val="24"/>
              </w:rPr>
            </w:pPr>
            <w:r>
              <w:rPr>
                <w:rFonts w:hint="eastAsia" w:ascii="宋体" w:hAnsi="宋体" w:cs="宋体"/>
                <w:color w:val="auto"/>
                <w:sz w:val="21"/>
                <w:szCs w:val="21"/>
                <w:lang w:eastAsia="en-US"/>
              </w:rPr>
              <w:t>≥</w:t>
            </w:r>
            <w:r>
              <w:rPr>
                <w:rFonts w:ascii="宋体" w:hAnsi="宋体"/>
                <w:color w:val="auto"/>
                <w:spacing w:val="1"/>
                <w:sz w:val="20"/>
                <w:szCs w:val="20"/>
                <w:lang w:eastAsia="en-US"/>
              </w:rPr>
              <w:t>6</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21BCEC30">
            <w:pPr>
              <w:pStyle w:val="20"/>
              <w:snapToGrid w:val="0"/>
              <w:spacing w:line="440" w:lineRule="atLeast"/>
              <w:ind w:left="0"/>
              <w:jc w:val="center"/>
              <w:rPr>
                <w:rFonts w:eastAsiaTheme="minorEastAsia"/>
                <w:sz w:val="24"/>
                <w:szCs w:val="24"/>
              </w:rPr>
            </w:pPr>
          </w:p>
        </w:tc>
      </w:tr>
      <w:tr w14:paraId="25DE9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3E7907B9">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10.6</w:t>
            </w:r>
          </w:p>
        </w:tc>
        <w:tc>
          <w:tcPr>
            <w:tcW w:w="3456" w:type="dxa"/>
            <w:shd w:val="clear" w:color="auto" w:fill="auto"/>
          </w:tcPr>
          <w:p w14:paraId="442A2BAF">
            <w:pPr>
              <w:pStyle w:val="104"/>
              <w:jc w:val="left"/>
              <w:rPr>
                <w:rFonts w:eastAsiaTheme="minorEastAsia"/>
                <w:b/>
                <w:color w:val="auto"/>
                <w:kern w:val="0"/>
                <w:szCs w:val="24"/>
              </w:rPr>
            </w:pPr>
            <w:r>
              <w:rPr>
                <w:rFonts w:ascii="宋体" w:hAnsi="宋体" w:cs="宋体"/>
                <w:color w:val="auto"/>
                <w:spacing w:val="4"/>
                <w:sz w:val="20"/>
                <w:szCs w:val="20"/>
                <w:lang w:eastAsia="en-US"/>
              </w:rPr>
              <w:t>备餐间</w:t>
            </w:r>
          </w:p>
        </w:tc>
        <w:tc>
          <w:tcPr>
            <w:tcW w:w="1043" w:type="dxa"/>
            <w:shd w:val="clear" w:color="auto" w:fill="auto"/>
            <w:vAlign w:val="center"/>
          </w:tcPr>
          <w:p w14:paraId="20DAAC7F">
            <w:pPr>
              <w:pStyle w:val="104"/>
              <w:rPr>
                <w:snapToGrid w:val="0"/>
                <w:color w:val="auto"/>
                <w:szCs w:val="24"/>
              </w:rPr>
            </w:pPr>
            <w:r>
              <w:rPr>
                <w:rFonts w:ascii="宋体" w:hAnsi="宋体"/>
                <w:color w:val="auto"/>
                <w:spacing w:val="1"/>
                <w:position w:val="1"/>
                <w:sz w:val="20"/>
                <w:szCs w:val="20"/>
                <w:lang w:eastAsia="en-US"/>
              </w:rPr>
              <w:t>26~28</w:t>
            </w:r>
          </w:p>
        </w:tc>
        <w:tc>
          <w:tcPr>
            <w:tcW w:w="1054" w:type="dxa"/>
            <w:shd w:val="clear" w:color="auto" w:fill="auto"/>
            <w:vAlign w:val="center"/>
          </w:tcPr>
          <w:p w14:paraId="00184867">
            <w:pPr>
              <w:pStyle w:val="104"/>
              <w:rPr>
                <w:snapToGrid w:val="0"/>
                <w:color w:val="auto"/>
                <w:szCs w:val="24"/>
              </w:rPr>
            </w:pPr>
            <w:r>
              <w:rPr>
                <w:rFonts w:ascii="宋体" w:hAnsi="宋体" w:cs="宋体"/>
                <w:color w:val="auto"/>
                <w:sz w:val="21"/>
                <w:szCs w:val="21"/>
                <w:lang w:eastAsia="en-US"/>
              </w:rPr>
              <w:t>18~22</w:t>
            </w:r>
          </w:p>
        </w:tc>
        <w:tc>
          <w:tcPr>
            <w:tcW w:w="1291" w:type="dxa"/>
            <w:shd w:val="clear" w:color="auto" w:fill="auto"/>
            <w:vAlign w:val="center"/>
          </w:tcPr>
          <w:p w14:paraId="3E9E36BD">
            <w:pPr>
              <w:pStyle w:val="104"/>
              <w:rPr>
                <w:snapToGrid w:val="0"/>
                <w:color w:val="auto"/>
                <w:szCs w:val="24"/>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56A6C7A7">
            <w:pPr>
              <w:pStyle w:val="104"/>
              <w:rPr>
                <w:snapToGrid w:val="0"/>
                <w:color w:val="auto"/>
                <w:szCs w:val="24"/>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574634B9">
            <w:pPr>
              <w:pStyle w:val="104"/>
              <w:rPr>
                <w:rFonts w:ascii="宋体" w:hAnsi="宋体" w:cs="宋体"/>
                <w:snapToGrid w:val="0"/>
                <w:color w:val="auto"/>
                <w:szCs w:val="24"/>
              </w:rPr>
            </w:pPr>
            <w:r>
              <w:rPr>
                <w:rFonts w:hint="eastAsia" w:ascii="宋体" w:hAnsi="宋体" w:cs="宋体"/>
                <w:color w:val="auto"/>
                <w:sz w:val="21"/>
                <w:szCs w:val="21"/>
                <w:lang w:eastAsia="en-US"/>
              </w:rPr>
              <w:t>新风量：</w:t>
            </w:r>
            <w:r>
              <w:rPr>
                <w:rFonts w:ascii="宋体" w:hAnsi="宋体" w:cs="宋体"/>
                <w:color w:val="auto"/>
                <w:sz w:val="21"/>
                <w:szCs w:val="21"/>
              </w:rPr>
              <w:t>3</w:t>
            </w:r>
            <w:r>
              <w:rPr>
                <w:rFonts w:ascii="宋体" w:hAnsi="宋体" w:cs="宋体"/>
                <w:color w:val="auto"/>
                <w:sz w:val="21"/>
                <w:szCs w:val="21"/>
                <w:lang w:eastAsia="en-US"/>
              </w:rPr>
              <w:t>0m</w:t>
            </w:r>
            <w:r>
              <w:rPr>
                <w:rFonts w:ascii="宋体" w:hAnsi="宋体" w:cs="宋体"/>
                <w:color w:val="auto"/>
                <w:sz w:val="21"/>
                <w:szCs w:val="21"/>
                <w:vertAlign w:val="superscript"/>
                <w:lang w:eastAsia="en-US"/>
              </w:rPr>
              <w:t>3</w:t>
            </w:r>
            <w:r>
              <w:rPr>
                <w:rFonts w:ascii="宋体" w:hAnsi="宋体" w:cs="宋体"/>
                <w:color w:val="auto"/>
                <w:sz w:val="21"/>
                <w:szCs w:val="21"/>
                <w:lang w:eastAsia="en-US"/>
              </w:rPr>
              <w:t>/(h*人)</w:t>
            </w:r>
          </w:p>
        </w:tc>
        <w:tc>
          <w:tcPr>
            <w:tcW w:w="2065" w:type="dxa"/>
            <w:shd w:val="clear" w:color="auto" w:fill="auto"/>
            <w:vAlign w:val="center"/>
          </w:tcPr>
          <w:p w14:paraId="3B617BFE">
            <w:pPr>
              <w:pStyle w:val="20"/>
              <w:snapToGrid w:val="0"/>
              <w:spacing w:line="440" w:lineRule="atLeast"/>
              <w:ind w:left="0"/>
              <w:jc w:val="center"/>
              <w:rPr>
                <w:rFonts w:eastAsiaTheme="minorEastAsia"/>
                <w:sz w:val="24"/>
                <w:szCs w:val="24"/>
              </w:rPr>
            </w:pPr>
          </w:p>
        </w:tc>
      </w:tr>
      <w:tr w14:paraId="0E9D6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13E1B991">
            <w:pPr>
              <w:pStyle w:val="10"/>
              <w:widowControl w:val="0"/>
              <w:adjustRightInd w:val="0"/>
              <w:snapToGrid w:val="0"/>
              <w:spacing w:after="0" w:line="440" w:lineRule="atLeast"/>
              <w:jc w:val="center"/>
              <w:rPr>
                <w:rFonts w:eastAsiaTheme="minorEastAsia"/>
                <w:b/>
                <w:sz w:val="24"/>
                <w:szCs w:val="24"/>
              </w:rPr>
            </w:pPr>
            <w:r>
              <w:rPr>
                <w:rFonts w:hint="eastAsia" w:ascii="宋体" w:hAnsi="宋体"/>
                <w:sz w:val="20"/>
                <w:lang w:eastAsia="en-US"/>
              </w:rPr>
              <w:t>10.7</w:t>
            </w:r>
          </w:p>
        </w:tc>
        <w:tc>
          <w:tcPr>
            <w:tcW w:w="3456" w:type="dxa"/>
            <w:shd w:val="clear" w:color="auto" w:fill="auto"/>
          </w:tcPr>
          <w:p w14:paraId="5598BC8D">
            <w:pPr>
              <w:pStyle w:val="104"/>
              <w:jc w:val="left"/>
              <w:rPr>
                <w:b/>
                <w:snapToGrid w:val="0"/>
                <w:color w:val="auto"/>
                <w:szCs w:val="24"/>
              </w:rPr>
            </w:pPr>
            <w:r>
              <w:rPr>
                <w:rFonts w:ascii="宋体" w:hAnsi="宋体" w:cs="宋体"/>
                <w:color w:val="auto"/>
                <w:spacing w:val="4"/>
                <w:sz w:val="20"/>
                <w:szCs w:val="20"/>
                <w:lang w:eastAsia="en-US"/>
              </w:rPr>
              <w:t>配电室</w:t>
            </w:r>
          </w:p>
        </w:tc>
        <w:tc>
          <w:tcPr>
            <w:tcW w:w="1043" w:type="dxa"/>
            <w:shd w:val="clear" w:color="auto" w:fill="auto"/>
            <w:vAlign w:val="center"/>
          </w:tcPr>
          <w:p w14:paraId="5F8654FF">
            <w:pPr>
              <w:pStyle w:val="104"/>
              <w:rPr>
                <w:snapToGrid w:val="0"/>
                <w:color w:val="auto"/>
                <w:szCs w:val="24"/>
              </w:rPr>
            </w:pPr>
            <w:r>
              <w:rPr>
                <w:rFonts w:ascii="宋体" w:hAnsi="宋体"/>
                <w:color w:val="auto"/>
                <w:spacing w:val="4"/>
                <w:sz w:val="20"/>
                <w:szCs w:val="20"/>
                <w:lang w:eastAsia="en-US"/>
              </w:rPr>
              <w:t>≤35</w:t>
            </w:r>
          </w:p>
        </w:tc>
        <w:tc>
          <w:tcPr>
            <w:tcW w:w="1054" w:type="dxa"/>
            <w:shd w:val="clear" w:color="auto" w:fill="auto"/>
            <w:vAlign w:val="center"/>
          </w:tcPr>
          <w:p w14:paraId="3F77AA6E">
            <w:pPr>
              <w:pStyle w:val="104"/>
              <w:rPr>
                <w:snapToGrid w:val="0"/>
                <w:color w:val="auto"/>
                <w:szCs w:val="24"/>
              </w:rPr>
            </w:pPr>
            <w:r>
              <w:rPr>
                <w:rFonts w:hint="eastAsia" w:ascii="宋体" w:hAnsi="宋体" w:cs="宋体"/>
                <w:color w:val="auto"/>
                <w:sz w:val="21"/>
                <w:szCs w:val="21"/>
                <w:lang w:eastAsia="en-US"/>
              </w:rPr>
              <w:t>≥</w:t>
            </w:r>
            <w:r>
              <w:rPr>
                <w:rFonts w:ascii="宋体" w:hAnsi="宋体" w:cs="宋体"/>
                <w:color w:val="auto"/>
                <w:sz w:val="21"/>
                <w:szCs w:val="21"/>
                <w:lang w:eastAsia="en-US"/>
              </w:rPr>
              <w:t>5</w:t>
            </w:r>
          </w:p>
        </w:tc>
        <w:tc>
          <w:tcPr>
            <w:tcW w:w="1291" w:type="dxa"/>
            <w:shd w:val="clear" w:color="auto" w:fill="auto"/>
            <w:vAlign w:val="center"/>
          </w:tcPr>
          <w:p w14:paraId="6CD21819">
            <w:pPr>
              <w:pStyle w:val="104"/>
              <w:rPr>
                <w:snapToGrid w:val="0"/>
                <w:color w:val="auto"/>
                <w:szCs w:val="24"/>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52F364A0">
            <w:pPr>
              <w:pStyle w:val="104"/>
              <w:rPr>
                <w:snapToGrid w:val="0"/>
                <w:color w:val="auto"/>
                <w:szCs w:val="24"/>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5E683D8B">
            <w:pPr>
              <w:pStyle w:val="104"/>
              <w:rPr>
                <w:rFonts w:ascii="宋体" w:hAnsi="宋体" w:cs="宋体"/>
                <w:snapToGrid w:val="0"/>
                <w:color w:val="auto"/>
                <w:kern w:val="0"/>
                <w:szCs w:val="24"/>
              </w:rPr>
            </w:pPr>
            <w:r>
              <w:rPr>
                <w:rFonts w:hint="eastAsia" w:ascii="宋体" w:hAnsi="宋体" w:cs="宋体"/>
                <w:color w:val="auto"/>
                <w:sz w:val="21"/>
                <w:szCs w:val="21"/>
                <w:lang w:eastAsia="en-US"/>
              </w:rPr>
              <w:t>≥</w:t>
            </w:r>
            <w:r>
              <w:rPr>
                <w:rFonts w:ascii="宋体" w:hAnsi="宋体"/>
                <w:color w:val="auto"/>
                <w:spacing w:val="2"/>
                <w:sz w:val="20"/>
                <w:szCs w:val="20"/>
                <w:lang w:eastAsia="en-US"/>
              </w:rPr>
              <w:t>6</w:t>
            </w:r>
            <w:r>
              <w:rPr>
                <w:rFonts w:ascii="宋体" w:hAnsi="宋体" w:cs="宋体"/>
                <w:color w:val="auto"/>
                <w:spacing w:val="2"/>
                <w:sz w:val="20"/>
                <w:szCs w:val="20"/>
                <w:lang w:eastAsia="en-US"/>
              </w:rPr>
              <w:t>次</w:t>
            </w:r>
            <w:r>
              <w:rPr>
                <w:rFonts w:ascii="宋体" w:hAnsi="宋体"/>
                <w:color w:val="auto"/>
                <w:spacing w:val="2"/>
                <w:sz w:val="20"/>
                <w:szCs w:val="20"/>
                <w:lang w:eastAsia="en-US"/>
              </w:rPr>
              <w:t>/h</w:t>
            </w:r>
          </w:p>
        </w:tc>
        <w:tc>
          <w:tcPr>
            <w:tcW w:w="2065" w:type="dxa"/>
            <w:shd w:val="clear" w:color="auto" w:fill="auto"/>
            <w:vAlign w:val="center"/>
          </w:tcPr>
          <w:p w14:paraId="600DDB28">
            <w:pPr>
              <w:pStyle w:val="20"/>
              <w:snapToGrid w:val="0"/>
              <w:spacing w:line="440" w:lineRule="atLeast"/>
              <w:ind w:left="0"/>
              <w:jc w:val="center"/>
              <w:rPr>
                <w:rFonts w:ascii="Times New Roman" w:hAnsi="Times New Roman"/>
                <w:snapToGrid w:val="0"/>
                <w:sz w:val="24"/>
                <w:szCs w:val="24"/>
              </w:rPr>
            </w:pPr>
          </w:p>
        </w:tc>
      </w:tr>
      <w:tr w14:paraId="34A02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04224DE4">
            <w:pPr>
              <w:pStyle w:val="10"/>
              <w:widowControl w:val="0"/>
              <w:adjustRightInd w:val="0"/>
              <w:snapToGrid w:val="0"/>
              <w:spacing w:after="0" w:line="440" w:lineRule="atLeast"/>
              <w:jc w:val="center"/>
              <w:rPr>
                <w:rFonts w:eastAsiaTheme="minorEastAsia"/>
                <w:b/>
                <w:sz w:val="24"/>
                <w:szCs w:val="24"/>
              </w:rPr>
            </w:pPr>
            <w:r>
              <w:rPr>
                <w:rFonts w:hint="eastAsia" w:ascii="宋体" w:hAnsi="宋体"/>
                <w:sz w:val="20"/>
                <w:lang w:eastAsia="en-US"/>
              </w:rPr>
              <w:t>10.8</w:t>
            </w:r>
          </w:p>
        </w:tc>
        <w:tc>
          <w:tcPr>
            <w:tcW w:w="3456" w:type="dxa"/>
            <w:shd w:val="clear" w:color="auto" w:fill="auto"/>
          </w:tcPr>
          <w:p w14:paraId="3312C71F">
            <w:pPr>
              <w:pStyle w:val="104"/>
              <w:jc w:val="left"/>
              <w:rPr>
                <w:rFonts w:eastAsiaTheme="minorEastAsia"/>
                <w:b/>
                <w:color w:val="auto"/>
                <w:kern w:val="0"/>
                <w:szCs w:val="24"/>
              </w:rPr>
            </w:pPr>
            <w:r>
              <w:rPr>
                <w:rFonts w:hint="eastAsia" w:ascii="宋体" w:hAnsi="宋体" w:cs="宋体"/>
                <w:color w:val="auto"/>
                <w:spacing w:val="4"/>
                <w:sz w:val="20"/>
                <w:szCs w:val="20"/>
              </w:rPr>
              <w:t>通信室</w:t>
            </w:r>
          </w:p>
        </w:tc>
        <w:tc>
          <w:tcPr>
            <w:tcW w:w="1043" w:type="dxa"/>
            <w:shd w:val="clear" w:color="auto" w:fill="auto"/>
            <w:vAlign w:val="center"/>
          </w:tcPr>
          <w:p w14:paraId="726DB8F0">
            <w:pPr>
              <w:pStyle w:val="104"/>
              <w:rPr>
                <w:snapToGrid w:val="0"/>
                <w:color w:val="auto"/>
                <w:szCs w:val="24"/>
              </w:rPr>
            </w:pPr>
            <w:r>
              <w:rPr>
                <w:rFonts w:ascii="宋体" w:hAnsi="宋体" w:cs="宋体"/>
                <w:color w:val="auto"/>
                <w:sz w:val="21"/>
                <w:szCs w:val="21"/>
                <w:lang w:eastAsia="en-US"/>
              </w:rPr>
              <w:t>26～28</w:t>
            </w:r>
          </w:p>
        </w:tc>
        <w:tc>
          <w:tcPr>
            <w:tcW w:w="1054" w:type="dxa"/>
            <w:shd w:val="clear" w:color="auto" w:fill="auto"/>
            <w:vAlign w:val="center"/>
          </w:tcPr>
          <w:p w14:paraId="765CD6BB">
            <w:pPr>
              <w:pStyle w:val="104"/>
              <w:rPr>
                <w:snapToGrid w:val="0"/>
                <w:color w:val="auto"/>
                <w:szCs w:val="24"/>
              </w:rPr>
            </w:pPr>
            <w:r>
              <w:rPr>
                <w:rFonts w:ascii="宋体" w:hAnsi="宋体" w:cs="宋体"/>
                <w:color w:val="auto"/>
                <w:sz w:val="21"/>
                <w:szCs w:val="21"/>
                <w:lang w:eastAsia="en-US"/>
              </w:rPr>
              <w:t>18～24</w:t>
            </w:r>
          </w:p>
        </w:tc>
        <w:tc>
          <w:tcPr>
            <w:tcW w:w="1291" w:type="dxa"/>
            <w:shd w:val="clear" w:color="auto" w:fill="auto"/>
            <w:vAlign w:val="center"/>
          </w:tcPr>
          <w:p w14:paraId="62A6B466">
            <w:pPr>
              <w:pStyle w:val="104"/>
              <w:rPr>
                <w:snapToGrid w:val="0"/>
                <w:color w:val="auto"/>
                <w:szCs w:val="24"/>
              </w:rPr>
            </w:pPr>
            <w:r>
              <w:rPr>
                <w:rFonts w:hint="eastAsia" w:ascii="宋体" w:hAnsi="宋体" w:cs="宋体"/>
                <w:color w:val="auto"/>
                <w:sz w:val="21"/>
                <w:szCs w:val="21"/>
                <w:lang w:eastAsia="en-US"/>
              </w:rPr>
              <w:t>≤</w:t>
            </w:r>
            <w:r>
              <w:rPr>
                <w:rFonts w:ascii="宋体" w:hAnsi="宋体" w:cs="宋体"/>
                <w:color w:val="auto"/>
                <w:sz w:val="21"/>
                <w:szCs w:val="21"/>
                <w:lang w:eastAsia="en-US"/>
              </w:rPr>
              <w:t>65</w:t>
            </w:r>
          </w:p>
        </w:tc>
        <w:tc>
          <w:tcPr>
            <w:tcW w:w="1113" w:type="dxa"/>
            <w:shd w:val="clear" w:color="auto" w:fill="auto"/>
            <w:vAlign w:val="center"/>
          </w:tcPr>
          <w:p w14:paraId="30639F9F">
            <w:pPr>
              <w:pStyle w:val="104"/>
              <w:rPr>
                <w:snapToGrid w:val="0"/>
                <w:color w:val="auto"/>
                <w:szCs w:val="24"/>
              </w:rPr>
            </w:pPr>
            <w:r>
              <w:rPr>
                <w:rFonts w:hint="eastAsia" w:ascii="宋体" w:hAnsi="宋体" w:cs="宋体"/>
                <w:color w:val="auto"/>
                <w:sz w:val="21"/>
                <w:szCs w:val="21"/>
                <w:lang w:eastAsia="en-US"/>
              </w:rPr>
              <w:t>≤</w:t>
            </w:r>
            <w:r>
              <w:rPr>
                <w:rFonts w:ascii="宋体" w:hAnsi="宋体" w:cs="宋体"/>
                <w:color w:val="auto"/>
                <w:sz w:val="21"/>
                <w:szCs w:val="21"/>
                <w:lang w:eastAsia="en-US"/>
              </w:rPr>
              <w:t>70</w:t>
            </w:r>
          </w:p>
        </w:tc>
        <w:tc>
          <w:tcPr>
            <w:tcW w:w="1946" w:type="dxa"/>
            <w:shd w:val="clear" w:color="auto" w:fill="auto"/>
            <w:vAlign w:val="center"/>
          </w:tcPr>
          <w:p w14:paraId="78EF662F">
            <w:pPr>
              <w:pStyle w:val="104"/>
              <w:rPr>
                <w:rFonts w:ascii="宋体" w:hAnsi="宋体" w:cs="宋体"/>
                <w:snapToGrid w:val="0"/>
                <w:color w:val="auto"/>
                <w:szCs w:val="24"/>
              </w:rPr>
            </w:pPr>
            <w:r>
              <w:rPr>
                <w:rFonts w:hint="eastAsia" w:ascii="宋体" w:hAnsi="宋体" w:cs="宋体"/>
                <w:color w:val="auto"/>
                <w:sz w:val="21"/>
                <w:szCs w:val="21"/>
                <w:lang w:eastAsia="en-US"/>
              </w:rPr>
              <w:t>≥</w:t>
            </w:r>
            <w:r>
              <w:rPr>
                <w:rFonts w:ascii="宋体" w:hAnsi="宋体"/>
                <w:color w:val="auto"/>
                <w:spacing w:val="1"/>
                <w:sz w:val="20"/>
                <w:szCs w:val="20"/>
                <w:lang w:eastAsia="en-US"/>
              </w:rPr>
              <w:t>6</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13300799">
            <w:pPr>
              <w:pStyle w:val="20"/>
              <w:snapToGrid w:val="0"/>
              <w:spacing w:line="440" w:lineRule="atLeast"/>
              <w:ind w:left="0"/>
              <w:jc w:val="center"/>
              <w:rPr>
                <w:rFonts w:eastAsiaTheme="minorEastAsia"/>
                <w:sz w:val="24"/>
                <w:szCs w:val="24"/>
              </w:rPr>
            </w:pPr>
          </w:p>
        </w:tc>
      </w:tr>
      <w:tr w14:paraId="78C59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62C7F7BB">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10.9</w:t>
            </w:r>
          </w:p>
        </w:tc>
        <w:tc>
          <w:tcPr>
            <w:tcW w:w="3456" w:type="dxa"/>
            <w:shd w:val="clear" w:color="auto" w:fill="auto"/>
          </w:tcPr>
          <w:p w14:paraId="2C77B6DF">
            <w:pPr>
              <w:pStyle w:val="104"/>
              <w:jc w:val="left"/>
              <w:rPr>
                <w:rFonts w:eastAsiaTheme="minorEastAsia"/>
                <w:b/>
                <w:color w:val="auto"/>
                <w:kern w:val="0"/>
                <w:szCs w:val="24"/>
              </w:rPr>
            </w:pPr>
            <w:r>
              <w:rPr>
                <w:rFonts w:ascii="宋体" w:hAnsi="宋体" w:cs="宋体"/>
                <w:color w:val="auto"/>
                <w:spacing w:val="4"/>
                <w:sz w:val="20"/>
                <w:szCs w:val="20"/>
                <w:lang w:eastAsia="en-US"/>
              </w:rPr>
              <w:t>办公室</w:t>
            </w:r>
          </w:p>
        </w:tc>
        <w:tc>
          <w:tcPr>
            <w:tcW w:w="1043" w:type="dxa"/>
            <w:shd w:val="clear" w:color="auto" w:fill="auto"/>
            <w:vAlign w:val="center"/>
          </w:tcPr>
          <w:p w14:paraId="07AF5F1C">
            <w:pPr>
              <w:pStyle w:val="104"/>
              <w:rPr>
                <w:snapToGrid w:val="0"/>
                <w:color w:val="auto"/>
                <w:szCs w:val="24"/>
              </w:rPr>
            </w:pPr>
            <w:r>
              <w:rPr>
                <w:rFonts w:ascii="宋体" w:hAnsi="宋体"/>
                <w:color w:val="auto"/>
                <w:spacing w:val="1"/>
                <w:position w:val="1"/>
                <w:sz w:val="20"/>
                <w:szCs w:val="20"/>
                <w:lang w:eastAsia="en-US"/>
              </w:rPr>
              <w:t>24~26</w:t>
            </w:r>
          </w:p>
        </w:tc>
        <w:tc>
          <w:tcPr>
            <w:tcW w:w="1054" w:type="dxa"/>
            <w:shd w:val="clear" w:color="auto" w:fill="auto"/>
            <w:vAlign w:val="center"/>
          </w:tcPr>
          <w:p w14:paraId="6DE05D55">
            <w:pPr>
              <w:pStyle w:val="104"/>
              <w:rPr>
                <w:snapToGrid w:val="0"/>
                <w:color w:val="auto"/>
                <w:szCs w:val="24"/>
              </w:rPr>
            </w:pPr>
            <w:r>
              <w:rPr>
                <w:rFonts w:ascii="宋体" w:hAnsi="宋体" w:cs="宋体"/>
                <w:color w:val="auto"/>
                <w:sz w:val="21"/>
                <w:szCs w:val="21"/>
                <w:lang w:eastAsia="en-US"/>
              </w:rPr>
              <w:t>22~24</w:t>
            </w:r>
          </w:p>
        </w:tc>
        <w:tc>
          <w:tcPr>
            <w:tcW w:w="1291" w:type="dxa"/>
            <w:shd w:val="clear" w:color="auto" w:fill="auto"/>
            <w:vAlign w:val="center"/>
          </w:tcPr>
          <w:p w14:paraId="53696D81">
            <w:pPr>
              <w:pStyle w:val="104"/>
              <w:rPr>
                <w:snapToGrid w:val="0"/>
                <w:color w:val="auto"/>
                <w:szCs w:val="24"/>
              </w:rPr>
            </w:pPr>
            <w:r>
              <w:rPr>
                <w:rFonts w:hint="eastAsia" w:ascii="宋体" w:hAnsi="宋体"/>
                <w:color w:val="auto"/>
                <w:spacing w:val="1"/>
                <w:position w:val="1"/>
                <w:sz w:val="20"/>
                <w:szCs w:val="20"/>
                <w:lang w:eastAsia="en-US"/>
              </w:rPr>
              <w:t>≥</w:t>
            </w:r>
            <w:r>
              <w:rPr>
                <w:rFonts w:ascii="宋体" w:hAnsi="宋体"/>
                <w:color w:val="auto"/>
                <w:spacing w:val="1"/>
                <w:position w:val="1"/>
                <w:sz w:val="20"/>
                <w:szCs w:val="20"/>
                <w:lang w:eastAsia="en-US"/>
              </w:rPr>
              <w:t>30</w:t>
            </w:r>
          </w:p>
        </w:tc>
        <w:tc>
          <w:tcPr>
            <w:tcW w:w="1113" w:type="dxa"/>
            <w:shd w:val="clear" w:color="auto" w:fill="auto"/>
            <w:vAlign w:val="center"/>
          </w:tcPr>
          <w:p w14:paraId="0E9ACFCC">
            <w:pPr>
              <w:pStyle w:val="104"/>
              <w:rPr>
                <w:snapToGrid w:val="0"/>
                <w:color w:val="auto"/>
                <w:szCs w:val="24"/>
              </w:rPr>
            </w:pPr>
            <w:r>
              <w:rPr>
                <w:rFonts w:hint="eastAsia" w:ascii="宋体" w:hAnsi="宋体"/>
                <w:color w:val="auto"/>
                <w:spacing w:val="1"/>
                <w:position w:val="1"/>
                <w:sz w:val="20"/>
                <w:szCs w:val="20"/>
                <w:lang w:eastAsia="en-US"/>
              </w:rPr>
              <w:t>≥</w:t>
            </w:r>
            <w:r>
              <w:rPr>
                <w:rFonts w:ascii="宋体" w:hAnsi="宋体"/>
                <w:color w:val="auto"/>
                <w:spacing w:val="1"/>
                <w:position w:val="1"/>
                <w:sz w:val="20"/>
                <w:szCs w:val="20"/>
                <w:lang w:eastAsia="en-US"/>
              </w:rPr>
              <w:t>30</w:t>
            </w:r>
          </w:p>
        </w:tc>
        <w:tc>
          <w:tcPr>
            <w:tcW w:w="1946" w:type="dxa"/>
            <w:shd w:val="clear" w:color="auto" w:fill="auto"/>
            <w:vAlign w:val="center"/>
          </w:tcPr>
          <w:p w14:paraId="64228818">
            <w:pPr>
              <w:pStyle w:val="104"/>
              <w:rPr>
                <w:rFonts w:ascii="宋体" w:hAnsi="宋体" w:cs="宋体"/>
                <w:snapToGrid w:val="0"/>
                <w:color w:val="auto"/>
                <w:szCs w:val="24"/>
              </w:rPr>
            </w:pPr>
            <w:r>
              <w:rPr>
                <w:rFonts w:hint="eastAsia" w:ascii="宋体" w:hAnsi="宋体" w:cs="宋体"/>
                <w:color w:val="auto"/>
                <w:sz w:val="21"/>
                <w:szCs w:val="21"/>
                <w:lang w:eastAsia="en-US"/>
              </w:rPr>
              <w:t>新风量：</w:t>
            </w:r>
            <w:r>
              <w:rPr>
                <w:rFonts w:ascii="宋体" w:hAnsi="宋体" w:cs="宋体"/>
                <w:color w:val="auto"/>
                <w:sz w:val="21"/>
                <w:szCs w:val="21"/>
              </w:rPr>
              <w:t>3</w:t>
            </w:r>
            <w:r>
              <w:rPr>
                <w:rFonts w:ascii="宋体" w:hAnsi="宋体" w:cs="宋体"/>
                <w:color w:val="auto"/>
                <w:sz w:val="21"/>
                <w:szCs w:val="21"/>
                <w:lang w:eastAsia="en-US"/>
              </w:rPr>
              <w:t>0m</w:t>
            </w:r>
            <w:r>
              <w:rPr>
                <w:rFonts w:ascii="宋体" w:hAnsi="宋体" w:cs="宋体"/>
                <w:color w:val="auto"/>
                <w:sz w:val="21"/>
                <w:szCs w:val="21"/>
                <w:vertAlign w:val="superscript"/>
                <w:lang w:eastAsia="en-US"/>
              </w:rPr>
              <w:t>3</w:t>
            </w:r>
            <w:r>
              <w:rPr>
                <w:rFonts w:ascii="宋体" w:hAnsi="宋体" w:cs="宋体"/>
                <w:color w:val="auto"/>
                <w:sz w:val="21"/>
                <w:szCs w:val="21"/>
                <w:lang w:eastAsia="en-US"/>
              </w:rPr>
              <w:t>/(h*人)</w:t>
            </w:r>
          </w:p>
        </w:tc>
        <w:tc>
          <w:tcPr>
            <w:tcW w:w="2065" w:type="dxa"/>
            <w:shd w:val="clear" w:color="auto" w:fill="auto"/>
            <w:vAlign w:val="center"/>
          </w:tcPr>
          <w:p w14:paraId="1BCBE965">
            <w:pPr>
              <w:pStyle w:val="20"/>
              <w:snapToGrid w:val="0"/>
              <w:spacing w:line="440" w:lineRule="atLeast"/>
              <w:ind w:left="0"/>
              <w:jc w:val="center"/>
              <w:rPr>
                <w:rFonts w:eastAsiaTheme="minorEastAsia"/>
                <w:sz w:val="24"/>
                <w:szCs w:val="24"/>
              </w:rPr>
            </w:pPr>
          </w:p>
        </w:tc>
      </w:tr>
      <w:tr w14:paraId="51193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2966B2BB">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10.10</w:t>
            </w:r>
          </w:p>
        </w:tc>
        <w:tc>
          <w:tcPr>
            <w:tcW w:w="3456" w:type="dxa"/>
            <w:shd w:val="clear" w:color="auto" w:fill="auto"/>
          </w:tcPr>
          <w:p w14:paraId="63E383A0">
            <w:pPr>
              <w:pStyle w:val="104"/>
              <w:jc w:val="left"/>
              <w:rPr>
                <w:rFonts w:eastAsiaTheme="minorEastAsia"/>
                <w:b/>
                <w:color w:val="auto"/>
                <w:kern w:val="0"/>
                <w:szCs w:val="24"/>
              </w:rPr>
            </w:pPr>
            <w:r>
              <w:rPr>
                <w:rFonts w:ascii="宋体" w:hAnsi="宋体" w:cs="宋体"/>
                <w:color w:val="auto"/>
                <w:spacing w:val="4"/>
                <w:sz w:val="20"/>
                <w:szCs w:val="20"/>
                <w:lang w:eastAsia="en-US"/>
              </w:rPr>
              <w:t>会议室</w:t>
            </w:r>
          </w:p>
        </w:tc>
        <w:tc>
          <w:tcPr>
            <w:tcW w:w="1043" w:type="dxa"/>
            <w:shd w:val="clear" w:color="auto" w:fill="auto"/>
            <w:vAlign w:val="center"/>
          </w:tcPr>
          <w:p w14:paraId="2A3D8D35">
            <w:pPr>
              <w:pStyle w:val="104"/>
              <w:rPr>
                <w:snapToGrid w:val="0"/>
                <w:color w:val="auto"/>
                <w:szCs w:val="24"/>
              </w:rPr>
            </w:pPr>
            <w:r>
              <w:rPr>
                <w:rFonts w:ascii="宋体" w:hAnsi="宋体"/>
                <w:color w:val="auto"/>
                <w:spacing w:val="1"/>
                <w:position w:val="1"/>
                <w:sz w:val="20"/>
                <w:szCs w:val="20"/>
                <w:lang w:eastAsia="en-US"/>
              </w:rPr>
              <w:t>26~28</w:t>
            </w:r>
          </w:p>
        </w:tc>
        <w:tc>
          <w:tcPr>
            <w:tcW w:w="1054" w:type="dxa"/>
            <w:shd w:val="clear" w:color="auto" w:fill="auto"/>
            <w:vAlign w:val="center"/>
          </w:tcPr>
          <w:p w14:paraId="165EFC4E">
            <w:pPr>
              <w:pStyle w:val="104"/>
              <w:rPr>
                <w:snapToGrid w:val="0"/>
                <w:color w:val="auto"/>
                <w:szCs w:val="24"/>
              </w:rPr>
            </w:pPr>
            <w:r>
              <w:rPr>
                <w:rFonts w:ascii="宋体" w:hAnsi="宋体" w:cs="宋体"/>
                <w:color w:val="auto"/>
                <w:sz w:val="21"/>
                <w:szCs w:val="21"/>
                <w:lang w:eastAsia="en-US"/>
              </w:rPr>
              <w:t>18~22</w:t>
            </w:r>
          </w:p>
        </w:tc>
        <w:tc>
          <w:tcPr>
            <w:tcW w:w="1291" w:type="dxa"/>
            <w:shd w:val="clear" w:color="auto" w:fill="auto"/>
            <w:vAlign w:val="center"/>
          </w:tcPr>
          <w:p w14:paraId="5501EBD7">
            <w:pPr>
              <w:pStyle w:val="104"/>
              <w:rPr>
                <w:snapToGrid w:val="0"/>
                <w:color w:val="auto"/>
                <w:szCs w:val="24"/>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45C17717">
            <w:pPr>
              <w:pStyle w:val="104"/>
              <w:rPr>
                <w:snapToGrid w:val="0"/>
                <w:color w:val="auto"/>
                <w:szCs w:val="24"/>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2A027AFC">
            <w:pPr>
              <w:pStyle w:val="104"/>
              <w:rPr>
                <w:rFonts w:ascii="宋体" w:hAnsi="宋体" w:cs="宋体"/>
                <w:snapToGrid w:val="0"/>
                <w:color w:val="auto"/>
                <w:szCs w:val="24"/>
              </w:rPr>
            </w:pPr>
            <w:r>
              <w:rPr>
                <w:rFonts w:hint="eastAsia" w:ascii="宋体" w:hAnsi="宋体" w:cs="宋体"/>
                <w:color w:val="auto"/>
                <w:sz w:val="21"/>
                <w:szCs w:val="21"/>
                <w:lang w:eastAsia="en-US"/>
              </w:rPr>
              <w:t>新风量：</w:t>
            </w:r>
            <w:r>
              <w:rPr>
                <w:rFonts w:ascii="宋体" w:hAnsi="宋体" w:cs="宋体"/>
                <w:color w:val="auto"/>
                <w:sz w:val="21"/>
                <w:szCs w:val="21"/>
                <w:lang w:eastAsia="en-US"/>
              </w:rPr>
              <w:t>30m</w:t>
            </w:r>
            <w:r>
              <w:rPr>
                <w:rFonts w:ascii="宋体" w:hAnsi="宋体" w:cs="宋体"/>
                <w:color w:val="auto"/>
                <w:sz w:val="21"/>
                <w:szCs w:val="21"/>
                <w:vertAlign w:val="superscript"/>
                <w:lang w:eastAsia="en-US"/>
              </w:rPr>
              <w:t>3</w:t>
            </w:r>
            <w:r>
              <w:rPr>
                <w:rFonts w:ascii="宋体" w:hAnsi="宋体" w:cs="宋体"/>
                <w:color w:val="auto"/>
                <w:sz w:val="21"/>
                <w:szCs w:val="21"/>
                <w:lang w:eastAsia="en-US"/>
              </w:rPr>
              <w:t>/(h*人)</w:t>
            </w:r>
          </w:p>
        </w:tc>
        <w:tc>
          <w:tcPr>
            <w:tcW w:w="2065" w:type="dxa"/>
            <w:shd w:val="clear" w:color="auto" w:fill="auto"/>
            <w:vAlign w:val="center"/>
          </w:tcPr>
          <w:p w14:paraId="3C34CFEB">
            <w:pPr>
              <w:pStyle w:val="20"/>
              <w:snapToGrid w:val="0"/>
              <w:spacing w:line="440" w:lineRule="atLeast"/>
              <w:ind w:left="0"/>
              <w:jc w:val="center"/>
              <w:rPr>
                <w:rFonts w:eastAsiaTheme="minorEastAsia"/>
                <w:sz w:val="24"/>
                <w:szCs w:val="24"/>
              </w:rPr>
            </w:pPr>
          </w:p>
        </w:tc>
      </w:tr>
      <w:tr w14:paraId="579F3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3A21A734">
            <w:pPr>
              <w:pStyle w:val="10"/>
              <w:widowControl w:val="0"/>
              <w:adjustRightInd w:val="0"/>
              <w:snapToGrid w:val="0"/>
              <w:spacing w:after="0" w:line="440" w:lineRule="atLeast"/>
              <w:jc w:val="center"/>
              <w:rPr>
                <w:rFonts w:eastAsiaTheme="minorEastAsia"/>
                <w:b/>
                <w:sz w:val="24"/>
                <w:szCs w:val="24"/>
              </w:rPr>
            </w:pPr>
            <w:r>
              <w:rPr>
                <w:rFonts w:hint="eastAsia" w:ascii="宋体" w:hAnsi="宋体"/>
                <w:sz w:val="20"/>
                <w:lang w:eastAsia="en-US"/>
              </w:rPr>
              <w:t>10.11</w:t>
            </w:r>
          </w:p>
        </w:tc>
        <w:tc>
          <w:tcPr>
            <w:tcW w:w="3456" w:type="dxa"/>
            <w:shd w:val="clear" w:color="auto" w:fill="auto"/>
          </w:tcPr>
          <w:p w14:paraId="38184C49">
            <w:pPr>
              <w:pStyle w:val="104"/>
              <w:jc w:val="left"/>
              <w:rPr>
                <w:b/>
                <w:snapToGrid w:val="0"/>
                <w:color w:val="auto"/>
                <w:szCs w:val="24"/>
              </w:rPr>
            </w:pPr>
            <w:r>
              <w:rPr>
                <w:rFonts w:ascii="宋体" w:hAnsi="宋体" w:cs="宋体"/>
                <w:color w:val="auto"/>
                <w:spacing w:val="4"/>
                <w:sz w:val="20"/>
                <w:szCs w:val="20"/>
                <w:lang w:eastAsia="en-US"/>
              </w:rPr>
              <w:t>休息室</w:t>
            </w:r>
          </w:p>
        </w:tc>
        <w:tc>
          <w:tcPr>
            <w:tcW w:w="1043" w:type="dxa"/>
            <w:shd w:val="clear" w:color="auto" w:fill="auto"/>
            <w:vAlign w:val="center"/>
          </w:tcPr>
          <w:p w14:paraId="17335C05">
            <w:pPr>
              <w:pStyle w:val="104"/>
              <w:rPr>
                <w:snapToGrid w:val="0"/>
                <w:color w:val="auto"/>
                <w:szCs w:val="24"/>
              </w:rPr>
            </w:pPr>
            <w:r>
              <w:rPr>
                <w:rFonts w:ascii="宋体" w:hAnsi="宋体"/>
                <w:color w:val="auto"/>
                <w:spacing w:val="1"/>
                <w:position w:val="1"/>
                <w:sz w:val="20"/>
                <w:szCs w:val="20"/>
                <w:lang w:eastAsia="en-US"/>
              </w:rPr>
              <w:t>24~26</w:t>
            </w:r>
          </w:p>
        </w:tc>
        <w:tc>
          <w:tcPr>
            <w:tcW w:w="1054" w:type="dxa"/>
            <w:shd w:val="clear" w:color="auto" w:fill="auto"/>
            <w:vAlign w:val="center"/>
          </w:tcPr>
          <w:p w14:paraId="285DFAF1">
            <w:pPr>
              <w:pStyle w:val="104"/>
              <w:rPr>
                <w:snapToGrid w:val="0"/>
                <w:color w:val="auto"/>
                <w:szCs w:val="24"/>
              </w:rPr>
            </w:pPr>
            <w:r>
              <w:rPr>
                <w:rFonts w:ascii="宋体" w:hAnsi="宋体" w:cs="宋体"/>
                <w:color w:val="auto"/>
                <w:sz w:val="21"/>
                <w:szCs w:val="21"/>
                <w:lang w:eastAsia="en-US"/>
              </w:rPr>
              <w:t>22~24</w:t>
            </w:r>
          </w:p>
        </w:tc>
        <w:tc>
          <w:tcPr>
            <w:tcW w:w="1291" w:type="dxa"/>
            <w:shd w:val="clear" w:color="auto" w:fill="auto"/>
            <w:vAlign w:val="center"/>
          </w:tcPr>
          <w:p w14:paraId="3870C233">
            <w:pPr>
              <w:pStyle w:val="104"/>
              <w:rPr>
                <w:snapToGrid w:val="0"/>
                <w:color w:val="auto"/>
                <w:szCs w:val="24"/>
              </w:rPr>
            </w:pPr>
            <w:r>
              <w:rPr>
                <w:rFonts w:hint="eastAsia" w:ascii="宋体" w:hAnsi="宋体"/>
                <w:color w:val="auto"/>
                <w:spacing w:val="1"/>
                <w:position w:val="1"/>
                <w:sz w:val="20"/>
                <w:szCs w:val="20"/>
                <w:lang w:eastAsia="en-US"/>
              </w:rPr>
              <w:t>≥</w:t>
            </w:r>
            <w:r>
              <w:rPr>
                <w:rFonts w:ascii="宋体" w:hAnsi="宋体"/>
                <w:color w:val="auto"/>
                <w:spacing w:val="1"/>
                <w:position w:val="1"/>
                <w:sz w:val="20"/>
                <w:szCs w:val="20"/>
                <w:lang w:eastAsia="en-US"/>
              </w:rPr>
              <w:t>30</w:t>
            </w:r>
          </w:p>
        </w:tc>
        <w:tc>
          <w:tcPr>
            <w:tcW w:w="1113" w:type="dxa"/>
            <w:shd w:val="clear" w:color="auto" w:fill="auto"/>
            <w:vAlign w:val="center"/>
          </w:tcPr>
          <w:p w14:paraId="58D6DF6A">
            <w:pPr>
              <w:pStyle w:val="104"/>
              <w:rPr>
                <w:snapToGrid w:val="0"/>
                <w:color w:val="auto"/>
                <w:szCs w:val="24"/>
              </w:rPr>
            </w:pPr>
            <w:r>
              <w:rPr>
                <w:rFonts w:hint="eastAsia" w:ascii="宋体" w:hAnsi="宋体"/>
                <w:color w:val="auto"/>
                <w:spacing w:val="1"/>
                <w:position w:val="1"/>
                <w:sz w:val="20"/>
                <w:szCs w:val="20"/>
                <w:lang w:eastAsia="en-US"/>
              </w:rPr>
              <w:t>≥</w:t>
            </w:r>
            <w:r>
              <w:rPr>
                <w:rFonts w:ascii="宋体" w:hAnsi="宋体"/>
                <w:color w:val="auto"/>
                <w:spacing w:val="1"/>
                <w:position w:val="1"/>
                <w:sz w:val="20"/>
                <w:szCs w:val="20"/>
                <w:lang w:eastAsia="en-US"/>
              </w:rPr>
              <w:t>30</w:t>
            </w:r>
          </w:p>
        </w:tc>
        <w:tc>
          <w:tcPr>
            <w:tcW w:w="1946" w:type="dxa"/>
            <w:shd w:val="clear" w:color="auto" w:fill="auto"/>
            <w:vAlign w:val="center"/>
          </w:tcPr>
          <w:p w14:paraId="4645CAE3">
            <w:pPr>
              <w:pStyle w:val="104"/>
              <w:rPr>
                <w:rFonts w:ascii="宋体" w:hAnsi="宋体" w:cs="宋体"/>
                <w:snapToGrid w:val="0"/>
                <w:color w:val="auto"/>
                <w:szCs w:val="24"/>
              </w:rPr>
            </w:pPr>
            <w:r>
              <w:rPr>
                <w:rFonts w:hint="eastAsia" w:ascii="宋体" w:hAnsi="宋体" w:cs="宋体"/>
                <w:color w:val="auto"/>
                <w:sz w:val="21"/>
                <w:szCs w:val="21"/>
                <w:lang w:eastAsia="en-US"/>
              </w:rPr>
              <w:t>新风量：</w:t>
            </w:r>
            <w:r>
              <w:rPr>
                <w:rFonts w:ascii="宋体" w:hAnsi="宋体" w:cs="宋体"/>
                <w:color w:val="auto"/>
                <w:sz w:val="21"/>
                <w:szCs w:val="21"/>
              </w:rPr>
              <w:t>3</w:t>
            </w:r>
            <w:r>
              <w:rPr>
                <w:rFonts w:ascii="宋体" w:hAnsi="宋体" w:cs="宋体"/>
                <w:color w:val="auto"/>
                <w:sz w:val="21"/>
                <w:szCs w:val="21"/>
                <w:lang w:eastAsia="en-US"/>
              </w:rPr>
              <w:t>0m</w:t>
            </w:r>
            <w:r>
              <w:rPr>
                <w:rFonts w:ascii="宋体" w:hAnsi="宋体" w:cs="宋体"/>
                <w:color w:val="auto"/>
                <w:sz w:val="21"/>
                <w:szCs w:val="21"/>
                <w:vertAlign w:val="superscript"/>
                <w:lang w:eastAsia="en-US"/>
              </w:rPr>
              <w:t>3</w:t>
            </w:r>
            <w:r>
              <w:rPr>
                <w:rFonts w:ascii="宋体" w:hAnsi="宋体" w:cs="宋体"/>
                <w:color w:val="auto"/>
                <w:sz w:val="21"/>
                <w:szCs w:val="21"/>
                <w:lang w:eastAsia="en-US"/>
              </w:rPr>
              <w:t>/(h*人)</w:t>
            </w:r>
          </w:p>
        </w:tc>
        <w:tc>
          <w:tcPr>
            <w:tcW w:w="2065" w:type="dxa"/>
            <w:shd w:val="clear" w:color="auto" w:fill="auto"/>
            <w:vAlign w:val="center"/>
          </w:tcPr>
          <w:p w14:paraId="7E853716">
            <w:pPr>
              <w:pStyle w:val="20"/>
              <w:snapToGrid w:val="0"/>
              <w:spacing w:line="440" w:lineRule="atLeast"/>
              <w:ind w:left="0"/>
              <w:jc w:val="center"/>
              <w:rPr>
                <w:rFonts w:eastAsiaTheme="minorEastAsia"/>
                <w:sz w:val="24"/>
                <w:szCs w:val="24"/>
              </w:rPr>
            </w:pPr>
          </w:p>
        </w:tc>
      </w:tr>
      <w:tr w14:paraId="5EDE9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6244178F">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10.12</w:t>
            </w:r>
          </w:p>
        </w:tc>
        <w:tc>
          <w:tcPr>
            <w:tcW w:w="3456" w:type="dxa"/>
            <w:shd w:val="clear" w:color="auto" w:fill="auto"/>
          </w:tcPr>
          <w:p w14:paraId="6948B9B7">
            <w:pPr>
              <w:pStyle w:val="104"/>
              <w:jc w:val="left"/>
              <w:rPr>
                <w:rFonts w:eastAsiaTheme="minorEastAsia"/>
                <w:b/>
                <w:color w:val="auto"/>
                <w:kern w:val="0"/>
                <w:szCs w:val="24"/>
              </w:rPr>
            </w:pPr>
            <w:r>
              <w:rPr>
                <w:rFonts w:ascii="宋体" w:hAnsi="宋体" w:cs="宋体"/>
                <w:color w:val="auto"/>
                <w:spacing w:val="4"/>
                <w:sz w:val="20"/>
                <w:szCs w:val="20"/>
                <w:lang w:eastAsia="en-US"/>
              </w:rPr>
              <w:t>洗衣房</w:t>
            </w:r>
          </w:p>
        </w:tc>
        <w:tc>
          <w:tcPr>
            <w:tcW w:w="1043" w:type="dxa"/>
            <w:shd w:val="clear" w:color="auto" w:fill="auto"/>
            <w:vAlign w:val="center"/>
          </w:tcPr>
          <w:p w14:paraId="2609897C">
            <w:pPr>
              <w:pStyle w:val="104"/>
              <w:rPr>
                <w:snapToGrid w:val="0"/>
                <w:color w:val="auto"/>
                <w:szCs w:val="24"/>
              </w:rPr>
            </w:pPr>
            <w:r>
              <w:rPr>
                <w:rFonts w:hint="eastAsia" w:ascii="宋体" w:hAnsi="宋体"/>
                <w:color w:val="auto"/>
                <w:spacing w:val="1"/>
                <w:position w:val="1"/>
                <w:sz w:val="20"/>
                <w:szCs w:val="20"/>
                <w:lang w:eastAsia="en-US"/>
              </w:rPr>
              <w:t>—</w:t>
            </w:r>
          </w:p>
        </w:tc>
        <w:tc>
          <w:tcPr>
            <w:tcW w:w="1054" w:type="dxa"/>
            <w:shd w:val="clear" w:color="auto" w:fill="auto"/>
            <w:vAlign w:val="center"/>
          </w:tcPr>
          <w:p w14:paraId="56EC1204">
            <w:pPr>
              <w:pStyle w:val="104"/>
              <w:rPr>
                <w:snapToGrid w:val="0"/>
                <w:color w:val="auto"/>
                <w:szCs w:val="24"/>
              </w:rPr>
            </w:pPr>
            <w:r>
              <w:rPr>
                <w:rFonts w:hint="eastAsia" w:ascii="宋体" w:hAnsi="宋体"/>
                <w:color w:val="auto"/>
                <w:spacing w:val="1"/>
                <w:position w:val="1"/>
                <w:sz w:val="20"/>
                <w:szCs w:val="20"/>
                <w:lang w:eastAsia="en-US"/>
              </w:rPr>
              <w:t>—</w:t>
            </w:r>
          </w:p>
        </w:tc>
        <w:tc>
          <w:tcPr>
            <w:tcW w:w="1291" w:type="dxa"/>
            <w:shd w:val="clear" w:color="auto" w:fill="auto"/>
            <w:vAlign w:val="center"/>
          </w:tcPr>
          <w:p w14:paraId="397C1798">
            <w:pPr>
              <w:pStyle w:val="104"/>
              <w:rPr>
                <w:snapToGrid w:val="0"/>
                <w:color w:val="auto"/>
                <w:szCs w:val="24"/>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68A1EA86">
            <w:pPr>
              <w:pStyle w:val="104"/>
              <w:rPr>
                <w:snapToGrid w:val="0"/>
                <w:color w:val="auto"/>
                <w:szCs w:val="24"/>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26AEFB63">
            <w:pPr>
              <w:pStyle w:val="104"/>
              <w:rPr>
                <w:rFonts w:ascii="宋体" w:hAnsi="宋体" w:cs="宋体"/>
                <w:snapToGrid w:val="0"/>
                <w:color w:val="auto"/>
                <w:szCs w:val="24"/>
              </w:rPr>
            </w:pPr>
            <w:r>
              <w:rPr>
                <w:rFonts w:hint="eastAsia" w:ascii="宋体" w:hAnsi="宋体" w:cs="宋体"/>
                <w:color w:val="auto"/>
                <w:sz w:val="21"/>
                <w:szCs w:val="21"/>
                <w:lang w:eastAsia="en-US"/>
              </w:rPr>
              <w:t>≥</w:t>
            </w:r>
            <w:r>
              <w:rPr>
                <w:rFonts w:ascii="宋体" w:hAnsi="宋体"/>
                <w:color w:val="auto"/>
                <w:spacing w:val="1"/>
                <w:sz w:val="20"/>
                <w:szCs w:val="20"/>
                <w:lang w:eastAsia="en-US"/>
              </w:rPr>
              <w:t>6</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21EEBD3D">
            <w:pPr>
              <w:pStyle w:val="20"/>
              <w:snapToGrid w:val="0"/>
              <w:spacing w:line="440" w:lineRule="atLeast"/>
              <w:ind w:left="0"/>
              <w:jc w:val="center"/>
              <w:rPr>
                <w:rFonts w:eastAsiaTheme="minorEastAsia"/>
                <w:sz w:val="24"/>
                <w:szCs w:val="24"/>
              </w:rPr>
            </w:pPr>
          </w:p>
        </w:tc>
      </w:tr>
      <w:tr w14:paraId="0C02E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13D7791E">
            <w:pPr>
              <w:pStyle w:val="10"/>
              <w:widowControl w:val="0"/>
              <w:adjustRightInd w:val="0"/>
              <w:snapToGrid w:val="0"/>
              <w:spacing w:after="0" w:line="440" w:lineRule="atLeast"/>
              <w:jc w:val="center"/>
              <w:rPr>
                <w:rFonts w:eastAsiaTheme="minorEastAsia"/>
                <w:sz w:val="24"/>
                <w:szCs w:val="24"/>
              </w:rPr>
            </w:pPr>
            <w:r>
              <w:rPr>
                <w:rFonts w:hint="eastAsia" w:ascii="宋体" w:hAnsi="宋体"/>
                <w:sz w:val="20"/>
                <w:lang w:eastAsia="en-US"/>
              </w:rPr>
              <w:t>10.13</w:t>
            </w:r>
          </w:p>
        </w:tc>
        <w:tc>
          <w:tcPr>
            <w:tcW w:w="3456" w:type="dxa"/>
            <w:shd w:val="clear" w:color="auto" w:fill="auto"/>
          </w:tcPr>
          <w:p w14:paraId="4C4E31CA">
            <w:pPr>
              <w:pStyle w:val="104"/>
              <w:jc w:val="left"/>
              <w:rPr>
                <w:snapToGrid w:val="0"/>
                <w:color w:val="auto"/>
                <w:szCs w:val="24"/>
              </w:rPr>
            </w:pPr>
            <w:r>
              <w:rPr>
                <w:rFonts w:ascii="宋体" w:hAnsi="宋体" w:cs="宋体"/>
                <w:color w:val="auto"/>
                <w:spacing w:val="4"/>
                <w:sz w:val="20"/>
                <w:szCs w:val="20"/>
                <w:lang w:eastAsia="en-US"/>
              </w:rPr>
              <w:t>卫生间</w:t>
            </w:r>
          </w:p>
        </w:tc>
        <w:tc>
          <w:tcPr>
            <w:tcW w:w="1043" w:type="dxa"/>
            <w:shd w:val="clear" w:color="auto" w:fill="auto"/>
            <w:vAlign w:val="center"/>
          </w:tcPr>
          <w:p w14:paraId="6ED8ED91">
            <w:pPr>
              <w:pStyle w:val="104"/>
              <w:rPr>
                <w:snapToGrid w:val="0"/>
                <w:color w:val="auto"/>
                <w:szCs w:val="24"/>
              </w:rPr>
            </w:pPr>
            <w:r>
              <w:rPr>
                <w:rFonts w:hint="eastAsia" w:ascii="宋体" w:hAnsi="宋体"/>
                <w:color w:val="auto"/>
                <w:spacing w:val="1"/>
                <w:position w:val="1"/>
                <w:sz w:val="20"/>
                <w:szCs w:val="20"/>
                <w:lang w:eastAsia="en-US"/>
              </w:rPr>
              <w:t>—</w:t>
            </w:r>
          </w:p>
        </w:tc>
        <w:tc>
          <w:tcPr>
            <w:tcW w:w="1054" w:type="dxa"/>
            <w:shd w:val="clear" w:color="auto" w:fill="auto"/>
            <w:vAlign w:val="center"/>
          </w:tcPr>
          <w:p w14:paraId="131ED60E">
            <w:pPr>
              <w:pStyle w:val="104"/>
              <w:rPr>
                <w:snapToGrid w:val="0"/>
                <w:color w:val="auto"/>
                <w:szCs w:val="24"/>
              </w:rPr>
            </w:pPr>
            <w:r>
              <w:rPr>
                <w:rFonts w:hint="eastAsia" w:ascii="宋体" w:hAnsi="宋体"/>
                <w:color w:val="auto"/>
                <w:spacing w:val="1"/>
                <w:position w:val="1"/>
                <w:sz w:val="20"/>
                <w:szCs w:val="20"/>
                <w:lang w:eastAsia="en-US"/>
              </w:rPr>
              <w:t>—</w:t>
            </w:r>
          </w:p>
        </w:tc>
        <w:tc>
          <w:tcPr>
            <w:tcW w:w="1291" w:type="dxa"/>
            <w:shd w:val="clear" w:color="auto" w:fill="auto"/>
            <w:vAlign w:val="center"/>
          </w:tcPr>
          <w:p w14:paraId="21068CA9">
            <w:pPr>
              <w:pStyle w:val="104"/>
              <w:rPr>
                <w:snapToGrid w:val="0"/>
                <w:color w:val="auto"/>
                <w:szCs w:val="24"/>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134F045E">
            <w:pPr>
              <w:pStyle w:val="104"/>
              <w:rPr>
                <w:snapToGrid w:val="0"/>
                <w:color w:val="auto"/>
                <w:szCs w:val="24"/>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59673CE0">
            <w:pPr>
              <w:pStyle w:val="104"/>
              <w:rPr>
                <w:rFonts w:ascii="宋体" w:hAnsi="宋体" w:cs="宋体"/>
                <w:snapToGrid w:val="0"/>
                <w:color w:val="auto"/>
                <w:szCs w:val="24"/>
              </w:rPr>
            </w:pPr>
            <w:r>
              <w:rPr>
                <w:rFonts w:hint="eastAsia" w:ascii="宋体" w:hAnsi="宋体" w:cs="宋体"/>
                <w:color w:val="auto"/>
                <w:sz w:val="21"/>
                <w:szCs w:val="21"/>
                <w:lang w:eastAsia="en-US"/>
              </w:rPr>
              <w:t>≥</w:t>
            </w:r>
            <w:r>
              <w:rPr>
                <w:rFonts w:ascii="宋体" w:hAnsi="宋体"/>
                <w:color w:val="auto"/>
                <w:spacing w:val="1"/>
                <w:sz w:val="20"/>
                <w:szCs w:val="20"/>
              </w:rPr>
              <w:t>10</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shd w:val="clear" w:color="auto" w:fill="auto"/>
            <w:vAlign w:val="center"/>
          </w:tcPr>
          <w:p w14:paraId="68973617">
            <w:pPr>
              <w:pStyle w:val="20"/>
              <w:snapToGrid w:val="0"/>
              <w:spacing w:line="440" w:lineRule="atLeast"/>
              <w:ind w:left="0"/>
              <w:jc w:val="center"/>
              <w:rPr>
                <w:rFonts w:eastAsiaTheme="minorEastAsia"/>
                <w:sz w:val="24"/>
                <w:szCs w:val="24"/>
              </w:rPr>
            </w:pPr>
          </w:p>
        </w:tc>
      </w:tr>
      <w:tr w14:paraId="6E9A5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shd w:val="clear" w:color="auto" w:fill="auto"/>
          </w:tcPr>
          <w:p w14:paraId="479F3840">
            <w:pPr>
              <w:pStyle w:val="10"/>
              <w:widowControl w:val="0"/>
              <w:adjustRightInd w:val="0"/>
              <w:snapToGrid w:val="0"/>
              <w:spacing w:after="0" w:line="440" w:lineRule="atLeast"/>
              <w:jc w:val="center"/>
              <w:rPr>
                <w:rFonts w:eastAsiaTheme="minorEastAsia"/>
                <w:b/>
                <w:sz w:val="24"/>
                <w:szCs w:val="24"/>
              </w:rPr>
            </w:pPr>
            <w:r>
              <w:rPr>
                <w:rFonts w:ascii="宋体" w:hAnsi="宋体"/>
                <w:sz w:val="20"/>
                <w:lang w:eastAsia="en-US"/>
              </w:rPr>
              <w:t>11</w:t>
            </w:r>
          </w:p>
        </w:tc>
        <w:tc>
          <w:tcPr>
            <w:tcW w:w="3456" w:type="dxa"/>
            <w:shd w:val="clear" w:color="auto" w:fill="auto"/>
          </w:tcPr>
          <w:p w14:paraId="423DCE09">
            <w:pPr>
              <w:pStyle w:val="104"/>
              <w:jc w:val="left"/>
              <w:rPr>
                <w:b/>
                <w:snapToGrid w:val="0"/>
                <w:color w:val="auto"/>
                <w:szCs w:val="24"/>
              </w:rPr>
            </w:pPr>
            <w:r>
              <w:rPr>
                <w:rFonts w:ascii="宋体" w:hAnsi="宋体" w:cs="宋体"/>
                <w:color w:val="auto"/>
                <w:spacing w:val="4"/>
                <w:sz w:val="20"/>
                <w:szCs w:val="20"/>
                <w:lang w:eastAsia="en-US"/>
              </w:rPr>
              <w:t>警传室</w:t>
            </w:r>
          </w:p>
        </w:tc>
        <w:tc>
          <w:tcPr>
            <w:tcW w:w="1043" w:type="dxa"/>
            <w:shd w:val="clear" w:color="auto" w:fill="auto"/>
            <w:vAlign w:val="center"/>
          </w:tcPr>
          <w:p w14:paraId="5816007E">
            <w:pPr>
              <w:pStyle w:val="104"/>
              <w:rPr>
                <w:snapToGrid w:val="0"/>
                <w:color w:val="auto"/>
                <w:szCs w:val="24"/>
              </w:rPr>
            </w:pPr>
            <w:r>
              <w:rPr>
                <w:rFonts w:ascii="宋体" w:hAnsi="宋体"/>
                <w:color w:val="auto"/>
                <w:spacing w:val="1"/>
                <w:position w:val="1"/>
                <w:sz w:val="20"/>
                <w:szCs w:val="20"/>
                <w:lang w:eastAsia="en-US"/>
              </w:rPr>
              <w:t>26~28</w:t>
            </w:r>
          </w:p>
        </w:tc>
        <w:tc>
          <w:tcPr>
            <w:tcW w:w="1054" w:type="dxa"/>
            <w:shd w:val="clear" w:color="auto" w:fill="auto"/>
            <w:vAlign w:val="center"/>
          </w:tcPr>
          <w:p w14:paraId="5F1DB7B7">
            <w:pPr>
              <w:pStyle w:val="104"/>
              <w:rPr>
                <w:snapToGrid w:val="0"/>
                <w:color w:val="auto"/>
                <w:szCs w:val="24"/>
              </w:rPr>
            </w:pPr>
            <w:r>
              <w:rPr>
                <w:rFonts w:ascii="宋体" w:hAnsi="宋体" w:cs="宋体"/>
                <w:color w:val="auto"/>
                <w:sz w:val="21"/>
                <w:szCs w:val="21"/>
                <w:lang w:eastAsia="en-US"/>
              </w:rPr>
              <w:t>18~22</w:t>
            </w:r>
          </w:p>
        </w:tc>
        <w:tc>
          <w:tcPr>
            <w:tcW w:w="1291" w:type="dxa"/>
            <w:shd w:val="clear" w:color="auto" w:fill="auto"/>
            <w:vAlign w:val="center"/>
          </w:tcPr>
          <w:p w14:paraId="121DCE6F">
            <w:pPr>
              <w:pStyle w:val="104"/>
              <w:rPr>
                <w:snapToGrid w:val="0"/>
                <w:color w:val="auto"/>
                <w:szCs w:val="24"/>
              </w:rPr>
            </w:pPr>
            <w:r>
              <w:rPr>
                <w:rFonts w:hint="eastAsia" w:ascii="宋体" w:hAnsi="宋体"/>
                <w:color w:val="auto"/>
                <w:spacing w:val="1"/>
                <w:position w:val="1"/>
                <w:sz w:val="20"/>
                <w:szCs w:val="20"/>
                <w:lang w:eastAsia="en-US"/>
              </w:rPr>
              <w:t>—</w:t>
            </w:r>
          </w:p>
        </w:tc>
        <w:tc>
          <w:tcPr>
            <w:tcW w:w="1113" w:type="dxa"/>
            <w:shd w:val="clear" w:color="auto" w:fill="auto"/>
            <w:vAlign w:val="center"/>
          </w:tcPr>
          <w:p w14:paraId="1C8541D5">
            <w:pPr>
              <w:pStyle w:val="104"/>
              <w:rPr>
                <w:snapToGrid w:val="0"/>
                <w:color w:val="auto"/>
                <w:szCs w:val="24"/>
              </w:rPr>
            </w:pPr>
            <w:r>
              <w:rPr>
                <w:rFonts w:hint="eastAsia" w:ascii="宋体" w:hAnsi="宋体"/>
                <w:color w:val="auto"/>
                <w:spacing w:val="1"/>
                <w:position w:val="1"/>
                <w:sz w:val="20"/>
                <w:szCs w:val="20"/>
                <w:lang w:eastAsia="en-US"/>
              </w:rPr>
              <w:t>—</w:t>
            </w:r>
          </w:p>
        </w:tc>
        <w:tc>
          <w:tcPr>
            <w:tcW w:w="1946" w:type="dxa"/>
            <w:shd w:val="clear" w:color="auto" w:fill="auto"/>
            <w:vAlign w:val="center"/>
          </w:tcPr>
          <w:p w14:paraId="3F3B4320">
            <w:pPr>
              <w:pStyle w:val="104"/>
              <w:rPr>
                <w:rFonts w:ascii="宋体" w:hAnsi="宋体" w:cs="宋体"/>
                <w:snapToGrid w:val="0"/>
                <w:color w:val="auto"/>
                <w:szCs w:val="24"/>
              </w:rPr>
            </w:pPr>
            <w:r>
              <w:rPr>
                <w:rFonts w:hint="eastAsia" w:ascii="宋体" w:hAnsi="宋体" w:cs="宋体"/>
                <w:color w:val="auto"/>
                <w:sz w:val="21"/>
                <w:szCs w:val="21"/>
                <w:lang w:eastAsia="en-US"/>
              </w:rPr>
              <w:t>新风量：</w:t>
            </w:r>
            <w:r>
              <w:rPr>
                <w:rFonts w:ascii="宋体" w:hAnsi="宋体" w:cs="宋体"/>
                <w:color w:val="auto"/>
                <w:sz w:val="21"/>
                <w:szCs w:val="21"/>
              </w:rPr>
              <w:t>3</w:t>
            </w:r>
            <w:r>
              <w:rPr>
                <w:rFonts w:ascii="宋体" w:hAnsi="宋体" w:cs="宋体"/>
                <w:color w:val="auto"/>
                <w:sz w:val="21"/>
                <w:szCs w:val="21"/>
                <w:lang w:eastAsia="en-US"/>
              </w:rPr>
              <w:t>0m</w:t>
            </w:r>
            <w:r>
              <w:rPr>
                <w:rFonts w:ascii="宋体" w:hAnsi="宋体" w:cs="宋体"/>
                <w:color w:val="auto"/>
                <w:sz w:val="21"/>
                <w:szCs w:val="21"/>
                <w:vertAlign w:val="superscript"/>
                <w:lang w:eastAsia="en-US"/>
              </w:rPr>
              <w:t>3</w:t>
            </w:r>
            <w:r>
              <w:rPr>
                <w:rFonts w:ascii="宋体" w:hAnsi="宋体" w:cs="宋体"/>
                <w:color w:val="auto"/>
                <w:sz w:val="21"/>
                <w:szCs w:val="21"/>
                <w:lang w:eastAsia="en-US"/>
              </w:rPr>
              <w:t>/(h*人)</w:t>
            </w:r>
          </w:p>
        </w:tc>
        <w:tc>
          <w:tcPr>
            <w:tcW w:w="2065" w:type="dxa"/>
            <w:shd w:val="clear" w:color="auto" w:fill="auto"/>
            <w:vAlign w:val="center"/>
          </w:tcPr>
          <w:p w14:paraId="5F8AE5AF">
            <w:pPr>
              <w:pStyle w:val="20"/>
              <w:snapToGrid w:val="0"/>
              <w:spacing w:line="440" w:lineRule="atLeast"/>
              <w:ind w:left="0"/>
              <w:jc w:val="center"/>
              <w:rPr>
                <w:rFonts w:eastAsiaTheme="minorEastAsia"/>
                <w:sz w:val="24"/>
                <w:szCs w:val="24"/>
              </w:rPr>
            </w:pPr>
          </w:p>
        </w:tc>
      </w:tr>
      <w:tr w14:paraId="77FA4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85" w:type="dxa"/>
            <w:tcBorders>
              <w:top w:val="single" w:color="auto" w:sz="4" w:space="0"/>
              <w:left w:val="single" w:color="auto" w:sz="4" w:space="0"/>
              <w:bottom w:val="single" w:color="auto" w:sz="4" w:space="0"/>
              <w:right w:val="single" w:color="auto" w:sz="4" w:space="0"/>
            </w:tcBorders>
            <w:shd w:val="clear" w:color="auto" w:fill="auto"/>
          </w:tcPr>
          <w:p w14:paraId="687B33DB">
            <w:pPr>
              <w:pStyle w:val="10"/>
              <w:widowControl w:val="0"/>
              <w:adjustRightInd w:val="0"/>
              <w:snapToGrid w:val="0"/>
              <w:spacing w:after="0" w:line="440" w:lineRule="atLeast"/>
              <w:jc w:val="center"/>
              <w:rPr>
                <w:rFonts w:eastAsiaTheme="minorEastAsia"/>
                <w:b/>
                <w:sz w:val="24"/>
                <w:szCs w:val="24"/>
              </w:rPr>
            </w:pPr>
            <w:r>
              <w:rPr>
                <w:rFonts w:ascii="宋体" w:hAnsi="宋体"/>
                <w:sz w:val="20"/>
                <w:lang w:eastAsia="en-US"/>
              </w:rPr>
              <w:t>12</w:t>
            </w:r>
          </w:p>
        </w:tc>
        <w:tc>
          <w:tcPr>
            <w:tcW w:w="3456" w:type="dxa"/>
            <w:tcBorders>
              <w:top w:val="single" w:color="auto" w:sz="4" w:space="0"/>
              <w:left w:val="single" w:color="auto" w:sz="4" w:space="0"/>
              <w:bottom w:val="single" w:color="auto" w:sz="4" w:space="0"/>
              <w:right w:val="single" w:color="auto" w:sz="4" w:space="0"/>
            </w:tcBorders>
            <w:shd w:val="clear" w:color="auto" w:fill="auto"/>
          </w:tcPr>
          <w:p w14:paraId="598138EA">
            <w:pPr>
              <w:pStyle w:val="104"/>
              <w:jc w:val="left"/>
              <w:rPr>
                <w:b/>
                <w:snapToGrid w:val="0"/>
                <w:color w:val="auto"/>
              </w:rPr>
            </w:pPr>
            <w:r>
              <w:rPr>
                <w:rFonts w:ascii="宋体" w:hAnsi="宋体" w:cs="宋体"/>
                <w:color w:val="auto"/>
                <w:spacing w:val="4"/>
                <w:sz w:val="20"/>
                <w:szCs w:val="20"/>
                <w:lang w:eastAsia="en-US"/>
              </w:rPr>
              <w:t>车库</w:t>
            </w:r>
          </w:p>
        </w:tc>
        <w:tc>
          <w:tcPr>
            <w:tcW w:w="1043" w:type="dxa"/>
            <w:tcBorders>
              <w:top w:val="single" w:color="auto" w:sz="4" w:space="0"/>
              <w:left w:val="single" w:color="auto" w:sz="4" w:space="0"/>
              <w:bottom w:val="single" w:color="auto" w:sz="4" w:space="0"/>
              <w:right w:val="single" w:color="auto" w:sz="4" w:space="0"/>
            </w:tcBorders>
            <w:shd w:val="clear" w:color="auto" w:fill="auto"/>
            <w:vAlign w:val="center"/>
          </w:tcPr>
          <w:p w14:paraId="4D71597A">
            <w:pPr>
              <w:pStyle w:val="104"/>
              <w:rPr>
                <w:snapToGrid w:val="0"/>
                <w:color w:val="auto"/>
                <w:szCs w:val="24"/>
              </w:rPr>
            </w:pPr>
            <w:r>
              <w:rPr>
                <w:rFonts w:hint="eastAsia" w:ascii="宋体" w:hAnsi="宋体"/>
                <w:color w:val="auto"/>
                <w:spacing w:val="1"/>
                <w:position w:val="1"/>
                <w:sz w:val="20"/>
                <w:szCs w:val="20"/>
                <w:lang w:eastAsia="en-US"/>
              </w:rPr>
              <w:t>—</w:t>
            </w:r>
          </w:p>
        </w:tc>
        <w:tc>
          <w:tcPr>
            <w:tcW w:w="1054" w:type="dxa"/>
            <w:tcBorders>
              <w:top w:val="single" w:color="auto" w:sz="4" w:space="0"/>
              <w:left w:val="single" w:color="auto" w:sz="4" w:space="0"/>
              <w:bottom w:val="single" w:color="auto" w:sz="4" w:space="0"/>
              <w:right w:val="single" w:color="auto" w:sz="4" w:space="0"/>
            </w:tcBorders>
            <w:shd w:val="clear" w:color="auto" w:fill="auto"/>
            <w:vAlign w:val="center"/>
          </w:tcPr>
          <w:p w14:paraId="10826973">
            <w:pPr>
              <w:pStyle w:val="104"/>
              <w:rPr>
                <w:snapToGrid w:val="0"/>
                <w:color w:val="auto"/>
                <w:szCs w:val="24"/>
              </w:rPr>
            </w:pPr>
            <w:r>
              <w:rPr>
                <w:rFonts w:hint="eastAsia" w:ascii="宋体" w:hAnsi="宋体"/>
                <w:color w:val="auto"/>
                <w:spacing w:val="1"/>
                <w:position w:val="1"/>
                <w:sz w:val="20"/>
                <w:szCs w:val="20"/>
                <w:lang w:eastAsia="en-US"/>
              </w:rPr>
              <w:t>—</w:t>
            </w:r>
          </w:p>
        </w:tc>
        <w:tc>
          <w:tcPr>
            <w:tcW w:w="1291" w:type="dxa"/>
            <w:tcBorders>
              <w:top w:val="single" w:color="auto" w:sz="4" w:space="0"/>
              <w:left w:val="single" w:color="auto" w:sz="4" w:space="0"/>
              <w:bottom w:val="single" w:color="auto" w:sz="4" w:space="0"/>
              <w:right w:val="single" w:color="auto" w:sz="4" w:space="0"/>
            </w:tcBorders>
            <w:shd w:val="clear" w:color="auto" w:fill="auto"/>
            <w:vAlign w:val="center"/>
          </w:tcPr>
          <w:p w14:paraId="7614293B">
            <w:pPr>
              <w:pStyle w:val="104"/>
              <w:rPr>
                <w:snapToGrid w:val="0"/>
                <w:color w:val="auto"/>
                <w:szCs w:val="24"/>
              </w:rPr>
            </w:pPr>
            <w:r>
              <w:rPr>
                <w:rFonts w:hint="eastAsia" w:ascii="宋体" w:hAnsi="宋体"/>
                <w:color w:val="auto"/>
                <w:spacing w:val="1"/>
                <w:position w:val="1"/>
                <w:sz w:val="20"/>
                <w:szCs w:val="20"/>
                <w:lang w:eastAsia="en-US"/>
              </w:rPr>
              <w:t>—</w:t>
            </w:r>
          </w:p>
        </w:tc>
        <w:tc>
          <w:tcPr>
            <w:tcW w:w="1113" w:type="dxa"/>
            <w:tcBorders>
              <w:top w:val="single" w:color="auto" w:sz="4" w:space="0"/>
              <w:left w:val="single" w:color="auto" w:sz="4" w:space="0"/>
              <w:bottom w:val="single" w:color="auto" w:sz="4" w:space="0"/>
              <w:right w:val="single" w:color="auto" w:sz="4" w:space="0"/>
            </w:tcBorders>
            <w:shd w:val="clear" w:color="auto" w:fill="auto"/>
            <w:vAlign w:val="center"/>
          </w:tcPr>
          <w:p w14:paraId="7E7EAF12">
            <w:pPr>
              <w:pStyle w:val="104"/>
              <w:rPr>
                <w:snapToGrid w:val="0"/>
                <w:color w:val="auto"/>
                <w:szCs w:val="24"/>
              </w:rPr>
            </w:pPr>
            <w:r>
              <w:rPr>
                <w:rFonts w:hint="eastAsia" w:ascii="宋体" w:hAnsi="宋体"/>
                <w:color w:val="auto"/>
                <w:spacing w:val="1"/>
                <w:position w:val="1"/>
                <w:sz w:val="20"/>
                <w:szCs w:val="20"/>
                <w:lang w:eastAsia="en-US"/>
              </w:rPr>
              <w:t>—</w:t>
            </w:r>
          </w:p>
        </w:tc>
        <w:tc>
          <w:tcPr>
            <w:tcW w:w="1946" w:type="dxa"/>
            <w:tcBorders>
              <w:top w:val="single" w:color="auto" w:sz="4" w:space="0"/>
              <w:left w:val="single" w:color="auto" w:sz="4" w:space="0"/>
              <w:bottom w:val="single" w:color="auto" w:sz="4" w:space="0"/>
              <w:right w:val="single" w:color="auto" w:sz="4" w:space="0"/>
            </w:tcBorders>
            <w:shd w:val="clear" w:color="auto" w:fill="auto"/>
            <w:vAlign w:val="center"/>
          </w:tcPr>
          <w:p w14:paraId="5D0F4271">
            <w:pPr>
              <w:pStyle w:val="104"/>
              <w:rPr>
                <w:rFonts w:ascii="宋体" w:hAnsi="宋体" w:cs="宋体"/>
                <w:snapToGrid w:val="0"/>
                <w:color w:val="auto"/>
              </w:rPr>
            </w:pPr>
            <w:r>
              <w:rPr>
                <w:rFonts w:hint="eastAsia" w:ascii="宋体" w:hAnsi="宋体" w:cs="宋体"/>
                <w:color w:val="auto"/>
                <w:sz w:val="21"/>
                <w:szCs w:val="21"/>
                <w:lang w:eastAsia="en-US"/>
              </w:rPr>
              <w:t>≥</w:t>
            </w:r>
            <w:r>
              <w:rPr>
                <w:rFonts w:ascii="宋体" w:hAnsi="宋体"/>
                <w:color w:val="auto"/>
                <w:spacing w:val="1"/>
                <w:sz w:val="20"/>
                <w:szCs w:val="20"/>
              </w:rPr>
              <w:t>2</w:t>
            </w:r>
            <w:r>
              <w:rPr>
                <w:rFonts w:ascii="宋体" w:hAnsi="宋体" w:cs="宋体"/>
                <w:color w:val="auto"/>
                <w:spacing w:val="1"/>
                <w:sz w:val="20"/>
                <w:szCs w:val="20"/>
                <w:lang w:eastAsia="en-US"/>
              </w:rPr>
              <w:t>次</w:t>
            </w:r>
            <w:r>
              <w:rPr>
                <w:rFonts w:ascii="宋体" w:hAnsi="宋体"/>
                <w:color w:val="auto"/>
                <w:spacing w:val="1"/>
                <w:sz w:val="20"/>
                <w:szCs w:val="20"/>
                <w:lang w:eastAsia="en-US"/>
              </w:rPr>
              <w:t>/h</w:t>
            </w:r>
          </w:p>
        </w:tc>
        <w:tc>
          <w:tcPr>
            <w:tcW w:w="2065" w:type="dxa"/>
            <w:tcBorders>
              <w:top w:val="single" w:color="auto" w:sz="4" w:space="0"/>
              <w:left w:val="single" w:color="auto" w:sz="4" w:space="0"/>
              <w:bottom w:val="single" w:color="auto" w:sz="4" w:space="0"/>
              <w:right w:val="single" w:color="auto" w:sz="4" w:space="0"/>
            </w:tcBorders>
            <w:shd w:val="clear" w:color="auto" w:fill="auto"/>
            <w:vAlign w:val="center"/>
          </w:tcPr>
          <w:p w14:paraId="2D74E176">
            <w:pPr>
              <w:pStyle w:val="20"/>
              <w:snapToGrid w:val="0"/>
              <w:spacing w:line="440" w:lineRule="atLeast"/>
              <w:ind w:left="0"/>
              <w:jc w:val="center"/>
              <w:rPr>
                <w:rFonts w:eastAsiaTheme="minorEastAsia"/>
                <w:sz w:val="24"/>
                <w:szCs w:val="24"/>
              </w:rPr>
            </w:pPr>
          </w:p>
        </w:tc>
      </w:tr>
    </w:tbl>
    <w:p w14:paraId="6F3F0400">
      <w:pPr>
        <w:topLinePunct/>
        <w:snapToGrid w:val="0"/>
        <w:spacing w:line="480" w:lineRule="atLeast"/>
        <w:ind w:firstLine="480" w:firstLineChars="200"/>
        <w:textAlignment w:val="auto"/>
        <w:rPr>
          <w:rFonts w:eastAsiaTheme="minorEastAsia"/>
          <w:sz w:val="24"/>
          <w:szCs w:val="24"/>
        </w:rPr>
        <w:sectPr>
          <w:pgSz w:w="16839" w:h="11907" w:orient="landscape"/>
          <w:pgMar w:top="1701" w:right="1418" w:bottom="1418" w:left="1418" w:header="1021" w:footer="1021" w:gutter="0"/>
          <w:cols w:space="720" w:num="1"/>
          <w:docGrid w:linePitch="286" w:charSpace="0"/>
        </w:sectPr>
      </w:pPr>
    </w:p>
    <w:p w14:paraId="5F89619E">
      <w:pPr>
        <w:pStyle w:val="121"/>
        <w:numPr>
          <w:ilvl w:val="2"/>
          <w:numId w:val="5"/>
        </w:numPr>
        <w:snapToGrid w:val="0"/>
        <w:spacing w:line="480" w:lineRule="atLeast"/>
        <w:ind w:left="0" w:firstLine="480" w:firstLineChars="200"/>
        <w:outlineLvl w:val="2"/>
        <w:rPr>
          <w:rFonts w:eastAsiaTheme="minorEastAsia"/>
          <w:b w:val="0"/>
          <w:szCs w:val="24"/>
        </w:rPr>
      </w:pPr>
      <w:bookmarkStart w:id="507" w:name="_Toc481826899"/>
      <w:bookmarkStart w:id="508" w:name="_Toc279850693"/>
      <w:bookmarkStart w:id="509" w:name="_Toc277341769"/>
      <w:bookmarkStart w:id="510" w:name="_Toc279850280"/>
      <w:r>
        <w:rPr>
          <w:rFonts w:hint="eastAsia" w:eastAsiaTheme="minorEastAsia"/>
          <w:b w:val="0"/>
          <w:szCs w:val="24"/>
        </w:rPr>
        <w:t>通风空调设备使用环境条件</w:t>
      </w:r>
    </w:p>
    <w:p w14:paraId="3472E0B6">
      <w:pPr>
        <w:snapToGrid w:val="0"/>
        <w:spacing w:line="480" w:lineRule="atLeast"/>
        <w:ind w:firstLine="480" w:firstLineChars="200"/>
        <w:rPr>
          <w:rFonts w:eastAsiaTheme="minorEastAsia"/>
          <w:sz w:val="24"/>
          <w:szCs w:val="24"/>
        </w:rPr>
      </w:pPr>
      <w:r>
        <w:rPr>
          <w:rFonts w:eastAsiaTheme="minorEastAsia"/>
          <w:sz w:val="24"/>
          <w:szCs w:val="24"/>
        </w:rPr>
        <w:t>1</w:t>
      </w:r>
      <w:r>
        <w:rPr>
          <w:rFonts w:hint="eastAsia" w:eastAsiaTheme="minorEastAsia"/>
          <w:sz w:val="24"/>
          <w:szCs w:val="24"/>
        </w:rPr>
        <w:t>）地震要求</w:t>
      </w:r>
      <w:bookmarkEnd w:id="507"/>
      <w:r>
        <w:rPr>
          <w:rFonts w:hint="eastAsia" w:eastAsiaTheme="minorEastAsia"/>
          <w:sz w:val="24"/>
          <w:szCs w:val="24"/>
        </w:rPr>
        <w:t>：设计抗震：水平加速度</w:t>
      </w:r>
      <w:r>
        <w:rPr>
          <w:rFonts w:eastAsiaTheme="minorEastAsia"/>
          <w:sz w:val="24"/>
          <w:szCs w:val="24"/>
        </w:rPr>
        <w:t>0.05g</w:t>
      </w:r>
      <w:r>
        <w:rPr>
          <w:rFonts w:hint="eastAsia" w:eastAsiaTheme="minorEastAsia"/>
          <w:sz w:val="24"/>
          <w:szCs w:val="24"/>
        </w:rPr>
        <w:t>，地震烈度</w:t>
      </w:r>
      <w:r>
        <w:rPr>
          <w:rFonts w:eastAsiaTheme="minorEastAsia"/>
          <w:sz w:val="24"/>
          <w:szCs w:val="24"/>
        </w:rPr>
        <w:t>8</w:t>
      </w:r>
      <w:r>
        <w:rPr>
          <w:rFonts w:hint="eastAsia" w:eastAsiaTheme="minorEastAsia"/>
          <w:sz w:val="24"/>
          <w:szCs w:val="24"/>
        </w:rPr>
        <w:t>度；</w:t>
      </w:r>
    </w:p>
    <w:p w14:paraId="362378B0">
      <w:pPr>
        <w:snapToGrid w:val="0"/>
        <w:spacing w:line="480" w:lineRule="atLeast"/>
        <w:ind w:firstLine="480" w:firstLineChars="200"/>
        <w:rPr>
          <w:rFonts w:eastAsiaTheme="minorEastAsia"/>
          <w:sz w:val="24"/>
          <w:szCs w:val="24"/>
        </w:rPr>
      </w:pPr>
      <w:r>
        <w:rPr>
          <w:rFonts w:eastAsiaTheme="minorEastAsia"/>
          <w:sz w:val="24"/>
          <w:szCs w:val="24"/>
        </w:rPr>
        <w:t>2</w:t>
      </w:r>
      <w:r>
        <w:rPr>
          <w:rFonts w:hint="eastAsia" w:eastAsiaTheme="minorEastAsia"/>
          <w:sz w:val="24"/>
          <w:szCs w:val="24"/>
        </w:rPr>
        <w:t>）</w:t>
      </w:r>
      <w:bookmarkStart w:id="511" w:name="_Toc481826901"/>
      <w:bookmarkStart w:id="512" w:name="_Toc386189404"/>
      <w:r>
        <w:rPr>
          <w:rFonts w:hint="eastAsia" w:eastAsiaTheme="minorEastAsia"/>
          <w:sz w:val="24"/>
          <w:szCs w:val="24"/>
        </w:rPr>
        <w:t>电源条件</w:t>
      </w:r>
      <w:bookmarkEnd w:id="511"/>
      <w:bookmarkEnd w:id="512"/>
      <w:r>
        <w:rPr>
          <w:rFonts w:hint="eastAsia" w:eastAsiaTheme="minorEastAsia"/>
          <w:sz w:val="24"/>
          <w:szCs w:val="24"/>
        </w:rPr>
        <w:t>：招标方提供的电源参数为：</w:t>
      </w:r>
      <w:r>
        <w:rPr>
          <w:rFonts w:eastAsiaTheme="minorEastAsia"/>
          <w:sz w:val="24"/>
          <w:szCs w:val="24"/>
        </w:rPr>
        <w:t>AC/380V/220V/3P/50Hz</w:t>
      </w:r>
      <w:r>
        <w:rPr>
          <w:rFonts w:hint="eastAsia" w:eastAsiaTheme="minorEastAsia"/>
          <w:sz w:val="24"/>
          <w:szCs w:val="24"/>
        </w:rPr>
        <w:t>，</w:t>
      </w:r>
      <w:r>
        <w:rPr>
          <w:rFonts w:eastAsiaTheme="minorEastAsia"/>
          <w:sz w:val="24"/>
          <w:szCs w:val="24"/>
        </w:rPr>
        <w:t>DC/220V</w:t>
      </w:r>
      <w:r>
        <w:rPr>
          <w:rFonts w:hint="eastAsia" w:eastAsiaTheme="minorEastAsia"/>
          <w:sz w:val="24"/>
          <w:szCs w:val="24"/>
        </w:rPr>
        <w:t>；</w:t>
      </w:r>
    </w:p>
    <w:p w14:paraId="09D9D839">
      <w:pPr>
        <w:snapToGrid w:val="0"/>
        <w:spacing w:line="480" w:lineRule="atLeas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）设计风速：离地</w:t>
      </w:r>
      <w:r>
        <w:rPr>
          <w:rFonts w:eastAsiaTheme="minorEastAsia"/>
          <w:sz w:val="24"/>
          <w:szCs w:val="24"/>
        </w:rPr>
        <w:t>10m</w:t>
      </w:r>
      <w:r>
        <w:rPr>
          <w:rFonts w:hint="eastAsia" w:eastAsiaTheme="minorEastAsia"/>
          <w:sz w:val="24"/>
          <w:szCs w:val="24"/>
        </w:rPr>
        <w:t>高</w:t>
      </w:r>
      <w:r>
        <w:rPr>
          <w:rFonts w:eastAsiaTheme="minorEastAsia"/>
          <w:sz w:val="24"/>
          <w:szCs w:val="24"/>
        </w:rPr>
        <w:t>50</w:t>
      </w:r>
      <w:r>
        <w:rPr>
          <w:rFonts w:hint="eastAsia" w:eastAsiaTheme="minorEastAsia"/>
          <w:sz w:val="24"/>
          <w:szCs w:val="24"/>
        </w:rPr>
        <w:t>年一遇风压取值</w:t>
      </w:r>
      <w:r>
        <w:rPr>
          <w:rFonts w:eastAsiaTheme="minorEastAsia"/>
          <w:sz w:val="24"/>
          <w:szCs w:val="24"/>
        </w:rPr>
        <w:t>0.68kN/</w:t>
      </w:r>
      <w:r>
        <w:rPr>
          <w:rFonts w:hint="eastAsia" w:eastAsiaTheme="minorEastAsia"/>
          <w:sz w:val="24"/>
          <w:szCs w:val="24"/>
        </w:rPr>
        <w:t>㎡，相应</w:t>
      </w:r>
      <w:r>
        <w:rPr>
          <w:rFonts w:eastAsiaTheme="minorEastAsia"/>
          <w:sz w:val="24"/>
          <w:szCs w:val="24"/>
        </w:rPr>
        <w:t>10min</w:t>
      </w:r>
      <w:r>
        <w:rPr>
          <w:rFonts w:hint="eastAsia" w:eastAsiaTheme="minorEastAsia"/>
          <w:sz w:val="24"/>
          <w:szCs w:val="24"/>
        </w:rPr>
        <w:t>平均最大风速为</w:t>
      </w:r>
      <w:r>
        <w:rPr>
          <w:rFonts w:eastAsiaTheme="minorEastAsia"/>
          <w:sz w:val="24"/>
          <w:szCs w:val="24"/>
        </w:rPr>
        <w:t>33m/s</w:t>
      </w:r>
      <w:r>
        <w:rPr>
          <w:rFonts w:hint="eastAsia" w:eastAsiaTheme="minorEastAsia"/>
          <w:sz w:val="24"/>
          <w:szCs w:val="24"/>
        </w:rPr>
        <w:t>。地面粗糙度类别为</w:t>
      </w:r>
      <w:r>
        <w:rPr>
          <w:rFonts w:eastAsiaTheme="minorEastAsia"/>
          <w:sz w:val="24"/>
          <w:szCs w:val="24"/>
        </w:rPr>
        <w:t>B</w:t>
      </w:r>
      <w:r>
        <w:rPr>
          <w:rFonts w:hint="eastAsia" w:eastAsiaTheme="minorEastAsia"/>
          <w:sz w:val="24"/>
          <w:szCs w:val="24"/>
        </w:rPr>
        <w:t>类。</w:t>
      </w:r>
    </w:p>
    <w:p w14:paraId="0548C5D9">
      <w:pPr>
        <w:snapToGrid w:val="0"/>
        <w:spacing w:line="480" w:lineRule="atLeast"/>
        <w:ind w:firstLine="480" w:firstLineChars="200"/>
        <w:rPr>
          <w:rFonts w:eastAsiaTheme="minorEastAsia"/>
          <w:sz w:val="24"/>
          <w:szCs w:val="24"/>
        </w:rPr>
      </w:pPr>
      <w:r>
        <w:rPr>
          <w:rFonts w:eastAsiaTheme="minorEastAsia"/>
          <w:sz w:val="24"/>
          <w:szCs w:val="24"/>
        </w:rPr>
        <w:t>4</w:t>
      </w:r>
      <w:r>
        <w:rPr>
          <w:rFonts w:hint="eastAsia" w:eastAsiaTheme="minorEastAsia"/>
          <w:sz w:val="24"/>
          <w:szCs w:val="24"/>
        </w:rPr>
        <w:t>）使用气象条件：</w:t>
      </w:r>
    </w:p>
    <w:p w14:paraId="53DABFB7">
      <w:pPr>
        <w:numPr>
          <w:ilvl w:val="0"/>
          <w:numId w:val="19"/>
        </w:numPr>
        <w:spacing w:line="460" w:lineRule="exact"/>
        <w:ind w:firstLine="71"/>
        <w:jc w:val="left"/>
        <w:rPr>
          <w:rFonts w:eastAsiaTheme="minorEastAsia"/>
          <w:sz w:val="24"/>
          <w:szCs w:val="24"/>
        </w:rPr>
      </w:pPr>
      <w:r>
        <w:rPr>
          <w:rFonts w:hint="eastAsia" w:eastAsiaTheme="minorEastAsia"/>
          <w:sz w:val="24"/>
          <w:szCs w:val="24"/>
        </w:rPr>
        <w:t>最高气温：</w:t>
      </w:r>
      <w:r>
        <w:rPr>
          <w:rFonts w:eastAsiaTheme="minorEastAsia"/>
          <w:sz w:val="24"/>
          <w:szCs w:val="24"/>
        </w:rPr>
        <w:tab/>
      </w:r>
      <w:r>
        <w:rPr>
          <w:rFonts w:eastAsiaTheme="minorEastAsia"/>
          <w:sz w:val="24"/>
          <w:szCs w:val="24"/>
        </w:rPr>
        <w:tab/>
      </w:r>
      <w:r>
        <w:rPr>
          <w:rFonts w:eastAsiaTheme="minorEastAsia"/>
          <w:sz w:val="24"/>
          <w:szCs w:val="24"/>
        </w:rPr>
        <w:t>+45</w:t>
      </w:r>
      <w:r>
        <w:rPr>
          <w:rFonts w:hint="eastAsia" w:ascii="宋体" w:hAnsi="宋体" w:cs="宋体"/>
          <w:sz w:val="24"/>
          <w:szCs w:val="24"/>
        </w:rPr>
        <w:t>℃</w:t>
      </w:r>
    </w:p>
    <w:p w14:paraId="09F9BDEE">
      <w:pPr>
        <w:numPr>
          <w:ilvl w:val="0"/>
          <w:numId w:val="19"/>
        </w:numPr>
        <w:spacing w:line="460" w:lineRule="exact"/>
        <w:ind w:firstLine="71"/>
        <w:jc w:val="left"/>
        <w:rPr>
          <w:rFonts w:eastAsiaTheme="minorEastAsia"/>
          <w:sz w:val="24"/>
          <w:szCs w:val="24"/>
        </w:rPr>
      </w:pPr>
      <w:r>
        <w:rPr>
          <w:rFonts w:hint="eastAsia" w:eastAsiaTheme="minorEastAsia"/>
          <w:sz w:val="24"/>
          <w:szCs w:val="24"/>
        </w:rPr>
        <w:t>最低气温：</w:t>
      </w:r>
      <w:r>
        <w:rPr>
          <w:rFonts w:eastAsiaTheme="minorEastAsia"/>
          <w:sz w:val="24"/>
          <w:szCs w:val="24"/>
        </w:rPr>
        <w:t xml:space="preserve">    </w:t>
      </w:r>
      <w:r>
        <w:rPr>
          <w:rFonts w:eastAsiaTheme="minorEastAsia"/>
          <w:sz w:val="24"/>
          <w:szCs w:val="24"/>
        </w:rPr>
        <w:tab/>
      </w:r>
      <w:r>
        <w:rPr>
          <w:rFonts w:eastAsiaTheme="minorEastAsia"/>
          <w:sz w:val="24"/>
          <w:szCs w:val="24"/>
        </w:rPr>
        <w:t>-9.2</w:t>
      </w:r>
      <w:r>
        <w:rPr>
          <w:rFonts w:hint="eastAsia" w:ascii="宋体" w:hAnsi="宋体" w:cs="宋体"/>
          <w:sz w:val="24"/>
          <w:szCs w:val="24"/>
        </w:rPr>
        <w:t>℃</w:t>
      </w:r>
    </w:p>
    <w:p w14:paraId="4CF7FCE5">
      <w:pPr>
        <w:numPr>
          <w:ilvl w:val="0"/>
          <w:numId w:val="19"/>
        </w:numPr>
        <w:spacing w:line="460" w:lineRule="exact"/>
        <w:ind w:firstLine="71"/>
        <w:jc w:val="left"/>
        <w:rPr>
          <w:rFonts w:eastAsiaTheme="minorEastAsia"/>
          <w:sz w:val="24"/>
          <w:szCs w:val="24"/>
        </w:rPr>
      </w:pPr>
      <w:r>
        <w:rPr>
          <w:rFonts w:hint="eastAsia" w:eastAsiaTheme="minorEastAsia"/>
          <w:sz w:val="24"/>
          <w:szCs w:val="24"/>
        </w:rPr>
        <w:t>最大日温差：</w:t>
      </w:r>
      <w:r>
        <w:rPr>
          <w:rFonts w:eastAsiaTheme="minorEastAsia"/>
          <w:sz w:val="24"/>
          <w:szCs w:val="24"/>
        </w:rPr>
        <w:t xml:space="preserve">  </w:t>
      </w:r>
      <w:r>
        <w:rPr>
          <w:rFonts w:eastAsiaTheme="minorEastAsia"/>
          <w:sz w:val="24"/>
          <w:szCs w:val="24"/>
        </w:rPr>
        <w:tab/>
      </w:r>
      <w:r>
        <w:rPr>
          <w:rFonts w:eastAsiaTheme="minorEastAsia"/>
          <w:sz w:val="24"/>
          <w:szCs w:val="24"/>
        </w:rPr>
        <w:t>25K</w:t>
      </w:r>
    </w:p>
    <w:p w14:paraId="60ADC830">
      <w:pPr>
        <w:numPr>
          <w:ilvl w:val="0"/>
          <w:numId w:val="19"/>
        </w:numPr>
        <w:tabs>
          <w:tab w:val="left" w:pos="993"/>
        </w:tabs>
        <w:spacing w:line="460" w:lineRule="exact"/>
        <w:ind w:firstLine="71"/>
        <w:jc w:val="left"/>
        <w:rPr>
          <w:rFonts w:eastAsiaTheme="minorEastAsia"/>
          <w:sz w:val="24"/>
          <w:szCs w:val="24"/>
        </w:rPr>
      </w:pPr>
      <w:r>
        <w:rPr>
          <w:rFonts w:hint="eastAsia" w:eastAsiaTheme="minorEastAsia"/>
          <w:sz w:val="24"/>
          <w:szCs w:val="24"/>
        </w:rPr>
        <w:t>相对湿度：</w:t>
      </w:r>
      <w:r>
        <w:rPr>
          <w:rFonts w:eastAsiaTheme="minorEastAsia"/>
          <w:sz w:val="24"/>
          <w:szCs w:val="24"/>
        </w:rPr>
        <w:t xml:space="preserve"> 0~98%(25</w:t>
      </w:r>
      <w:r>
        <w:rPr>
          <w:rFonts w:hint="eastAsia" w:ascii="宋体" w:hAnsi="宋体" w:cs="宋体"/>
          <w:sz w:val="24"/>
          <w:szCs w:val="24"/>
        </w:rPr>
        <w:t>℃</w:t>
      </w:r>
      <w:r>
        <w:rPr>
          <w:rFonts w:eastAsiaTheme="minorEastAsia"/>
          <w:sz w:val="24"/>
          <w:szCs w:val="24"/>
        </w:rPr>
        <w:t>)</w:t>
      </w:r>
    </w:p>
    <w:p w14:paraId="05E5C1F7">
      <w:pPr>
        <w:numPr>
          <w:ilvl w:val="0"/>
          <w:numId w:val="19"/>
        </w:numPr>
        <w:tabs>
          <w:tab w:val="left" w:pos="993"/>
        </w:tabs>
        <w:spacing w:line="460" w:lineRule="exact"/>
        <w:ind w:firstLine="71"/>
        <w:jc w:val="left"/>
        <w:rPr>
          <w:rFonts w:eastAsiaTheme="minorEastAsia"/>
          <w:sz w:val="24"/>
          <w:szCs w:val="24"/>
        </w:rPr>
      </w:pPr>
      <w:r>
        <w:rPr>
          <w:rFonts w:hint="eastAsia" w:eastAsiaTheme="minorEastAsia"/>
          <w:sz w:val="24"/>
          <w:szCs w:val="24"/>
        </w:rPr>
        <w:t>日照强度：</w:t>
      </w:r>
      <w:r>
        <w:rPr>
          <w:rFonts w:eastAsiaTheme="minorEastAsia"/>
          <w:sz w:val="24"/>
          <w:szCs w:val="24"/>
        </w:rPr>
        <w:t xml:space="preserve"> 0.1W/</w:t>
      </w:r>
      <w:r>
        <w:rPr>
          <w:rFonts w:eastAsiaTheme="minorEastAsia"/>
          <w:sz w:val="24"/>
          <w:szCs w:val="24"/>
        </w:rPr>
        <w:object>
          <v:shape id="_x0000_i1025" o:spt="75" type="#_x0000_t75" style="height:14.25pt;width:21.4pt;" o:ole="t" filled="f" o:preferrelative="t" stroked="f" coordsize="21600,21600">
            <v:path/>
            <v:fill on="f" focussize="0,0"/>
            <v:stroke on="f" joinstyle="miter"/>
            <v:imagedata r:id="rId14" o:title=""/>
            <o:lock v:ext="edit" aspectratio="t"/>
            <w10:wrap type="none"/>
            <w10:anchorlock/>
          </v:shape>
          <o:OLEObject Type="Embed" ProgID="Equation.3" ShapeID="_x0000_i1025" DrawAspect="Content" ObjectID="_1468075725" r:id="rId13">
            <o:LockedField>false</o:LockedField>
          </o:OLEObject>
        </w:object>
      </w:r>
      <w:r>
        <w:rPr>
          <w:rFonts w:eastAsiaTheme="minorEastAsia"/>
          <w:sz w:val="24"/>
          <w:szCs w:val="24"/>
        </w:rPr>
        <w:t>(</w:t>
      </w:r>
      <w:r>
        <w:rPr>
          <w:rFonts w:hint="eastAsia" w:eastAsiaTheme="minorEastAsia"/>
          <w:sz w:val="24"/>
          <w:szCs w:val="24"/>
        </w:rPr>
        <w:t>风速</w:t>
      </w:r>
      <w:r>
        <w:rPr>
          <w:rFonts w:eastAsiaTheme="minorEastAsia"/>
          <w:sz w:val="24"/>
          <w:szCs w:val="24"/>
        </w:rPr>
        <w:t>0.5m/s)</w:t>
      </w:r>
    </w:p>
    <w:p w14:paraId="5A4EE31E">
      <w:pPr>
        <w:snapToGrid w:val="0"/>
        <w:spacing w:line="480" w:lineRule="atLeast"/>
        <w:rPr>
          <w:rFonts w:eastAsiaTheme="minorEastAsia"/>
          <w:sz w:val="24"/>
          <w:szCs w:val="24"/>
        </w:rPr>
      </w:pPr>
    </w:p>
    <w:p w14:paraId="1F6BCD31">
      <w:pPr>
        <w:pStyle w:val="121"/>
        <w:numPr>
          <w:ilvl w:val="1"/>
          <w:numId w:val="5"/>
        </w:numPr>
        <w:snapToGrid w:val="0"/>
        <w:spacing w:line="480" w:lineRule="atLeast"/>
        <w:ind w:left="0" w:firstLine="482" w:firstLineChars="200"/>
        <w:outlineLvl w:val="1"/>
        <w:rPr>
          <w:rFonts w:eastAsiaTheme="minorEastAsia"/>
          <w:bCs/>
          <w:szCs w:val="24"/>
        </w:rPr>
      </w:pPr>
      <w:bookmarkStart w:id="513" w:name="_Toc526064878"/>
      <w:r>
        <w:rPr>
          <w:rFonts w:eastAsiaTheme="minorEastAsia"/>
          <w:bCs/>
          <w:szCs w:val="24"/>
        </w:rPr>
        <w:t xml:space="preserve"> </w:t>
      </w:r>
      <w:bookmarkStart w:id="514" w:name="_Toc526079162"/>
      <w:bookmarkStart w:id="515" w:name="_Toc526079268"/>
      <w:bookmarkStart w:id="516" w:name="_Toc220074804"/>
      <w:r>
        <w:rPr>
          <w:rFonts w:hint="eastAsia" w:eastAsiaTheme="minorEastAsia"/>
          <w:bCs/>
          <w:szCs w:val="24"/>
        </w:rPr>
        <w:t>通风空调系统和相关设备</w:t>
      </w:r>
      <w:bookmarkEnd w:id="513"/>
      <w:bookmarkEnd w:id="514"/>
      <w:bookmarkEnd w:id="515"/>
      <w:bookmarkEnd w:id="516"/>
    </w:p>
    <w:bookmarkEnd w:id="371"/>
    <w:bookmarkEnd w:id="388"/>
    <w:bookmarkEnd w:id="508"/>
    <w:bookmarkEnd w:id="509"/>
    <w:bookmarkEnd w:id="510"/>
    <w:p w14:paraId="082EF1F1">
      <w:pPr>
        <w:pStyle w:val="229"/>
        <w:ind w:firstLine="480"/>
      </w:pPr>
      <w:bookmarkStart w:id="517" w:name="_Toc526064879"/>
      <w:bookmarkStart w:id="518" w:name="_Toc526079163"/>
      <w:bookmarkStart w:id="519" w:name="_Toc526079269"/>
      <w:bookmarkStart w:id="520" w:name="_Toc15703701"/>
      <w:bookmarkStart w:id="521" w:name="_Toc195501438"/>
      <w:bookmarkStart w:id="522" w:name="_Toc15703981"/>
      <w:bookmarkStart w:id="523" w:name="_Toc15703880"/>
      <w:bookmarkStart w:id="524" w:name="_Toc15703389"/>
      <w:bookmarkStart w:id="525" w:name="_Toc115235564"/>
      <w:bookmarkStart w:id="526" w:name="_Toc15699050"/>
      <w:bookmarkStart w:id="527" w:name="_Toc278226717"/>
      <w:r>
        <w:t>3.2.1</w:t>
      </w:r>
      <w:r>
        <w:rPr>
          <w:spacing w:val="17"/>
        </w:rPr>
        <w:t xml:space="preserve"> </w:t>
      </w:r>
      <w:r>
        <w:rPr>
          <w:rFonts w:hint="eastAsia"/>
          <w:spacing w:val="17"/>
        </w:rPr>
        <w:t>阀厅通风及</w:t>
      </w:r>
      <w:r>
        <w:rPr>
          <w:rFonts w:hint="eastAsia"/>
        </w:rPr>
        <w:t>空调系统</w:t>
      </w:r>
    </w:p>
    <w:p w14:paraId="0C045AF6">
      <w:pPr>
        <w:pStyle w:val="228"/>
        <w:ind w:firstLine="480"/>
        <w:rPr>
          <w:color w:val="auto"/>
        </w:rPr>
      </w:pPr>
      <w:r>
        <w:fldChar w:fldCharType="begin"/>
      </w:r>
      <w:r>
        <w:instrText xml:space="preserve"> HYPERLINK "file:///F:\\01-直流工程\\03-南网直流\\湘黔联网\\可研设计\\可研卷册中间稿\\2025-04-20LTT\\4.6.4.1" </w:instrText>
      </w:r>
      <w:r>
        <w:fldChar w:fldCharType="separate"/>
      </w:r>
      <w:r>
        <w:rPr>
          <w:color w:val="auto"/>
        </w:rPr>
        <w:t>3.2.1.1</w:t>
      </w:r>
      <w:r>
        <w:rPr>
          <w:color w:val="auto"/>
        </w:rPr>
        <w:fldChar w:fldCharType="end"/>
      </w:r>
      <w:r>
        <w:rPr>
          <w:rFonts w:hint="eastAsia"/>
          <w:color w:val="auto"/>
        </w:rPr>
        <w:t>空调方案设计</w:t>
      </w:r>
    </w:p>
    <w:p w14:paraId="1E223505">
      <w:pPr>
        <w:pStyle w:val="228"/>
        <w:ind w:firstLine="472"/>
        <w:rPr>
          <w:color w:val="auto"/>
          <w:spacing w:val="-2"/>
        </w:rPr>
      </w:pPr>
      <w:r>
        <w:rPr>
          <w:rFonts w:hint="eastAsia"/>
          <w:color w:val="auto"/>
          <w:spacing w:val="-2"/>
        </w:rPr>
        <w:t>（</w:t>
      </w:r>
      <w:r>
        <w:rPr>
          <w:color w:val="auto"/>
          <w:spacing w:val="-2"/>
        </w:rPr>
        <w:t>1</w:t>
      </w:r>
      <w:r>
        <w:rPr>
          <w:rFonts w:hint="eastAsia"/>
          <w:color w:val="auto"/>
          <w:spacing w:val="-2"/>
        </w:rPr>
        <w:t>）冷源设计</w:t>
      </w:r>
    </w:p>
    <w:p w14:paraId="2158D201">
      <w:pPr>
        <w:pStyle w:val="228"/>
        <w:ind w:firstLine="472"/>
        <w:rPr>
          <w:color w:val="auto"/>
          <w:spacing w:val="-2"/>
        </w:rPr>
      </w:pPr>
      <w:r>
        <w:rPr>
          <w:rFonts w:hint="eastAsia"/>
          <w:color w:val="auto"/>
          <w:spacing w:val="-2"/>
        </w:rPr>
        <w:t>本工程含2个阀厅，每个阀厅设备发热量约</w:t>
      </w:r>
      <w:r>
        <w:rPr>
          <w:color w:val="auto"/>
          <w:spacing w:val="-2"/>
        </w:rPr>
        <w:t>1306</w:t>
      </w:r>
      <w:r>
        <w:rPr>
          <w:rFonts w:hint="eastAsia"/>
          <w:color w:val="auto"/>
          <w:spacing w:val="-2"/>
        </w:rPr>
        <w:t>kW，加上新风负荷和围护结构得热，单个阀厅的空调总制冷量约为</w:t>
      </w:r>
      <w:r>
        <w:rPr>
          <w:color w:val="auto"/>
          <w:spacing w:val="-2"/>
        </w:rPr>
        <w:t>1580</w:t>
      </w:r>
      <w:r>
        <w:rPr>
          <w:rFonts w:hint="eastAsia"/>
          <w:color w:val="auto"/>
          <w:spacing w:val="-2"/>
        </w:rPr>
        <w:t>kW。每个阀厅采用风冷冷（热）水机组＋组合式空气处理机组＋送/回风管的系统型式。每套系统风冷冷（热）水机组和组合式空气处理机组均设置100%容量配置，风冷冷（热）水机组为螺杆式，制冷剂采用R407C或R134a，冷（热）水机组夏季提供给空气处理机组的冷冻水供、回水温度为7/12℃，冬季提供给空气处理机组的热水供、回水温度为45/40℃。</w:t>
      </w:r>
    </w:p>
    <w:p w14:paraId="677D2FA3">
      <w:pPr>
        <w:pStyle w:val="228"/>
        <w:ind w:firstLine="472"/>
        <w:rPr>
          <w:color w:val="auto"/>
        </w:rPr>
      </w:pPr>
      <w:r>
        <w:rPr>
          <w:rFonts w:hint="eastAsia"/>
          <w:color w:val="auto"/>
          <w:spacing w:val="-2"/>
        </w:rPr>
        <w:t>冷冻水泵及其他水处理和补水设备布置于主辅控楼的设备机房，风冷冷（热）水机组布置于主辅控楼屋面。</w:t>
      </w:r>
    </w:p>
    <w:p w14:paraId="48997C69">
      <w:pPr>
        <w:pStyle w:val="228"/>
        <w:ind w:firstLine="480"/>
        <w:rPr>
          <w:color w:val="auto"/>
        </w:rPr>
      </w:pPr>
      <w:r>
        <w:rPr>
          <w:rFonts w:hint="eastAsia"/>
          <w:color w:val="auto"/>
        </w:rPr>
        <w:t>（</w:t>
      </w:r>
      <w:r>
        <w:rPr>
          <w:color w:val="auto"/>
        </w:rPr>
        <w:t>2</w:t>
      </w:r>
      <w:r>
        <w:rPr>
          <w:rFonts w:hint="eastAsia"/>
          <w:color w:val="auto"/>
        </w:rPr>
        <w:t>）空调末端系统</w:t>
      </w:r>
    </w:p>
    <w:p w14:paraId="4346916D">
      <w:pPr>
        <w:pStyle w:val="228"/>
        <w:ind w:firstLine="480"/>
        <w:rPr>
          <w:color w:val="auto"/>
        </w:rPr>
      </w:pPr>
      <w:r>
        <w:rPr>
          <w:rFonts w:hint="eastAsia"/>
          <w:color w:val="auto"/>
        </w:rPr>
        <w:t>阀厅空调冷源采用风冷热泵螺杆式机组</w:t>
      </w:r>
      <w:r>
        <w:rPr>
          <w:color w:val="auto"/>
        </w:rPr>
        <w:t>+</w:t>
      </w:r>
      <w:r>
        <w:rPr>
          <w:rFonts w:hint="eastAsia"/>
          <w:color w:val="auto"/>
        </w:rPr>
        <w:t>组合式空气处理机组</w:t>
      </w:r>
      <w:r>
        <w:rPr>
          <w:color w:val="auto"/>
        </w:rPr>
        <w:t>+</w:t>
      </w:r>
      <w:r>
        <w:rPr>
          <w:rFonts w:hint="eastAsia"/>
          <w:color w:val="auto"/>
        </w:rPr>
        <w:t>送</w:t>
      </w:r>
      <w:r>
        <w:rPr>
          <w:color w:val="auto"/>
        </w:rPr>
        <w:t>/</w:t>
      </w:r>
      <w:r>
        <w:rPr>
          <w:rFonts w:hint="eastAsia"/>
          <w:color w:val="auto"/>
        </w:rPr>
        <w:t>回风管及风口的系统形式，每个阀厅配置</w:t>
      </w:r>
      <w:r>
        <w:rPr>
          <w:color w:val="auto"/>
        </w:rPr>
        <w:t>6</w:t>
      </w:r>
      <w:r>
        <w:rPr>
          <w:rFonts w:hint="eastAsia"/>
          <w:color w:val="auto"/>
        </w:rPr>
        <w:t>台组合式空气处理机组，</w:t>
      </w:r>
      <w:r>
        <w:rPr>
          <w:color w:val="auto"/>
        </w:rPr>
        <w:t>3</w:t>
      </w:r>
      <w:r>
        <w:rPr>
          <w:rFonts w:hint="eastAsia"/>
          <w:color w:val="auto"/>
        </w:rPr>
        <w:t>用</w:t>
      </w:r>
      <w:r>
        <w:rPr>
          <w:color w:val="auto"/>
        </w:rPr>
        <w:t>3</w:t>
      </w:r>
      <w:r>
        <w:rPr>
          <w:rFonts w:hint="eastAsia"/>
          <w:color w:val="auto"/>
        </w:rPr>
        <w:t>备，布置于主辅控楼的阀厅空调机房，单台组合式空气处理机组制冷量为526kW，单台风量为110000m</w:t>
      </w:r>
      <w:r>
        <w:rPr>
          <w:rFonts w:hint="eastAsia"/>
          <w:color w:val="auto"/>
          <w:vertAlign w:val="superscript"/>
        </w:rPr>
        <w:t>3</w:t>
      </w:r>
      <w:r>
        <w:rPr>
          <w:rFonts w:hint="eastAsia"/>
          <w:color w:val="auto"/>
        </w:rPr>
        <w:t>/h。</w:t>
      </w:r>
    </w:p>
    <w:p w14:paraId="0545CECE">
      <w:pPr>
        <w:pStyle w:val="228"/>
        <w:ind w:firstLine="480"/>
        <w:rPr>
          <w:color w:val="auto"/>
        </w:rPr>
      </w:pPr>
      <w:r>
        <w:rPr>
          <w:rFonts w:hint="eastAsia"/>
          <w:color w:val="auto"/>
        </w:rPr>
        <w:t>在夏季， 冷（热）水机组将提供温度为7℃ 的冷冻水至空气处理机组内的表冷器， 空气处理机组则从阀厅内抽取空气到机组内进行冷却降温、除湿、过滤处理后再通过送风机送入阀厅，使室内温度维持在45℃以下，相对湿度小于60％。在冬季，换流阀正常运行时， 其自身发热量将足以使阀厅温度维持在10℃以上， 空调系统的运行的目的只是控制阀厅内的相对湿度和微正压。若换流阀在冬季停运，且室外温度又很低时，空气处理机组将利用冷（热）水机组提供的热水加热送入室内的空气，当室外气温低至冷热（水）机组无法启动，则可启动组合式空气处理机组内的电加热器加热送入室内的空气，使室内温度不低于10℃以达到保护阀厅内电气设备的目的。</w:t>
      </w:r>
    </w:p>
    <w:p w14:paraId="621B5DE5">
      <w:pPr>
        <w:pStyle w:val="228"/>
        <w:ind w:firstLine="480"/>
        <w:rPr>
          <w:rFonts w:ascii="宋体" w:hAnsi="宋体" w:cs="宋体"/>
          <w:color w:val="auto"/>
        </w:rPr>
      </w:pPr>
      <w:r>
        <w:rPr>
          <w:rFonts w:hint="eastAsia" w:ascii="宋体" w:hAnsi="宋体" w:cs="宋体"/>
          <w:color w:val="auto"/>
        </w:rPr>
        <w:t>组合式空气处理机组由新回风混合段、初效过滤段、表冷段、辅助电热段、加湿段、送风机段、均流段、中间段、中效过滤段、亚高效过滤段、送风段等功能段组成。夏季空气处理机组利用冷冻水通过表冷器冷却循环空气后再向阀厅送冷风</w:t>
      </w:r>
      <w:r>
        <w:rPr>
          <w:rFonts w:ascii="宋体" w:hAnsi="宋体" w:cs="宋体"/>
          <w:color w:val="auto"/>
        </w:rPr>
        <w:t>,冬季换流阀停运期间可利用</w:t>
      </w:r>
      <w:r>
        <w:rPr>
          <w:rFonts w:hint="eastAsia" w:ascii="宋体" w:hAnsi="宋体" w:cs="宋体"/>
          <w:color w:val="auto"/>
        </w:rPr>
        <w:t>制热功能或</w:t>
      </w:r>
      <w:r>
        <w:rPr>
          <w:rFonts w:ascii="宋体" w:hAnsi="宋体" w:cs="宋体"/>
          <w:color w:val="auto"/>
        </w:rPr>
        <w:t>辅助电加热器加热循环空气后再向阀厅送热风，确保阀厅内空气温湿度满足设计要求。在适宜的室外气象条件下,可关闭风冷螺杆式冷水机组,只开启空气处理机内的风</w:t>
      </w:r>
      <w:r>
        <w:rPr>
          <w:rFonts w:hint="eastAsia" w:ascii="宋体" w:hAnsi="宋体" w:cs="宋体"/>
          <w:color w:val="auto"/>
        </w:rPr>
        <w:t>机，直接将室外新风送入室内以维持室内温湿度。为避免粉尘进入室内</w:t>
      </w:r>
      <w:r>
        <w:rPr>
          <w:rFonts w:ascii="宋体" w:hAnsi="宋体" w:cs="宋体"/>
          <w:color w:val="auto"/>
        </w:rPr>
        <w:t xml:space="preserve">,最大新风量不超过间厅换气次数0.25次/h,且室内正压不超过10Pa。为避免室内结露,比较阀厅室内外温度，并设有结露危险报警器。通过调节空气处理机组新风阀门开度，可以使阀厅室内正压值保持在5~10Pa </w:t>
      </w:r>
      <w:r>
        <w:rPr>
          <w:rFonts w:hint="eastAsia" w:ascii="宋体" w:hAnsi="宋体" w:cs="宋体"/>
          <w:color w:val="auto"/>
        </w:rPr>
        <w:t>之间，以防止户外灰尘通过维护结构缝隙渗入阀厅。</w:t>
      </w:r>
    </w:p>
    <w:p w14:paraId="66F8A2C5">
      <w:pPr>
        <w:pStyle w:val="228"/>
        <w:ind w:firstLine="480"/>
        <w:rPr>
          <w:color w:val="auto"/>
        </w:rPr>
      </w:pPr>
      <w:r>
        <w:fldChar w:fldCharType="begin"/>
      </w:r>
      <w:r>
        <w:instrText xml:space="preserve"> HYPERLINK "file:///F:\\01-直流工程\\03-南网直流\\湘黔联网\\可研设计\\可研卷册中间稿\\2025-04-20LTT\\4.6.4.1" </w:instrText>
      </w:r>
      <w:r>
        <w:fldChar w:fldCharType="separate"/>
      </w:r>
      <w:r>
        <w:rPr>
          <w:color w:val="auto"/>
        </w:rPr>
        <w:t>3.2.1.2</w:t>
      </w:r>
      <w:r>
        <w:rPr>
          <w:color w:val="auto"/>
        </w:rPr>
        <w:fldChar w:fldCharType="end"/>
      </w:r>
      <w:r>
        <w:rPr>
          <w:color w:val="auto"/>
        </w:rPr>
        <w:t xml:space="preserve"> </w:t>
      </w:r>
      <w:r>
        <w:rPr>
          <w:rFonts w:hint="eastAsia"/>
          <w:color w:val="auto"/>
        </w:rPr>
        <w:t>通风及防排烟设计</w:t>
      </w:r>
    </w:p>
    <w:p w14:paraId="6B895068">
      <w:pPr>
        <w:pStyle w:val="228"/>
        <w:ind w:firstLine="480"/>
        <w:rPr>
          <w:rFonts w:ascii="宋体" w:hAnsi="宋体" w:cs="宋体"/>
          <w:color w:val="auto"/>
        </w:rPr>
      </w:pPr>
      <w:r>
        <w:rPr>
          <w:rFonts w:hint="eastAsia" w:ascii="宋体" w:hAnsi="宋体" w:cs="宋体"/>
          <w:color w:val="auto"/>
        </w:rPr>
        <w:t>阀厅空调系统送、回风总管在穿越阀厅外墙处设有防火阀，风管采用不燃材料。当阀厅内发生火灾时，火灾报警信号将联锁关闭组合式空调机组内的送风机和送、回风总管上的防火阀。当风管内温度超过</w:t>
      </w:r>
      <w:r>
        <w:rPr>
          <w:rFonts w:ascii="宋体" w:hAnsi="宋体" w:cs="宋体"/>
          <w:color w:val="auto"/>
        </w:rPr>
        <w:t>70℃时，风管上防火阀将关闭，同时输出信号联锁关闭组合式空气处理机组</w:t>
      </w:r>
      <w:r>
        <w:rPr>
          <w:rFonts w:hint="eastAsia" w:ascii="宋体" w:hAnsi="宋体" w:cs="宋体"/>
          <w:color w:val="auto"/>
        </w:rPr>
        <w:t>，以防止火灾蔓延。</w:t>
      </w:r>
    </w:p>
    <w:p w14:paraId="0DDE94C1">
      <w:pPr>
        <w:pStyle w:val="228"/>
        <w:ind w:firstLine="480"/>
        <w:rPr>
          <w:rFonts w:ascii="宋体" w:hAnsi="宋体" w:cs="宋体"/>
          <w:color w:val="auto"/>
        </w:rPr>
      </w:pPr>
      <w:r>
        <w:rPr>
          <w:rFonts w:hint="eastAsia" w:ascii="宋体" w:hAnsi="宋体" w:cs="宋体"/>
          <w:color w:val="auto"/>
        </w:rPr>
        <w:t>阀厅设有独立的灾后通风系统，换气次数宜按</w:t>
      </w:r>
      <w:r>
        <w:rPr>
          <w:rFonts w:ascii="宋体" w:hAnsi="宋体" w:cs="宋体"/>
          <w:color w:val="auto"/>
        </w:rPr>
        <w:t>0.25次/h~0.5次/h确定。设备采用专用的轴流风机，风机布置在阀厅顶部，风机入口装电动风阀，火灾发生以后，在人工确认火灾已扑灭的情况下，手动或自动打开电动风阀和风机通风，另外还可开启空气处</w:t>
      </w:r>
      <w:r>
        <w:rPr>
          <w:rFonts w:hint="eastAsia" w:ascii="宋体" w:hAnsi="宋体" w:cs="宋体"/>
          <w:color w:val="auto"/>
        </w:rPr>
        <w:t>理机组内的送风机将室外新风送入阀厅内。阀厅属于全封闭空间且无人员进入，不涉及消防救援和人员疏散，故不设置火灾发生时的消防排烟系统。</w:t>
      </w:r>
    </w:p>
    <w:p w14:paraId="2EFD640A">
      <w:pPr>
        <w:pStyle w:val="228"/>
        <w:ind w:firstLine="480"/>
        <w:rPr>
          <w:color w:val="auto"/>
        </w:rPr>
      </w:pPr>
      <w:r>
        <w:fldChar w:fldCharType="begin"/>
      </w:r>
      <w:r>
        <w:instrText xml:space="preserve"> HYPERLINK "file:///F:\\01-直流工程\\03-南网直流\\湘黔联网\\可研设计\\可研卷册中间稿\\2025-04-20LTT\\4.6.4.1" </w:instrText>
      </w:r>
      <w:r>
        <w:fldChar w:fldCharType="separate"/>
      </w:r>
      <w:r>
        <w:rPr>
          <w:color w:val="auto"/>
        </w:rPr>
        <w:t>3.2.1.3</w:t>
      </w:r>
      <w:r>
        <w:rPr>
          <w:color w:val="auto"/>
        </w:rPr>
        <w:fldChar w:fldCharType="end"/>
      </w:r>
      <w:r>
        <w:rPr>
          <w:color w:val="auto"/>
        </w:rPr>
        <w:t xml:space="preserve"> </w:t>
      </w:r>
      <w:r>
        <w:rPr>
          <w:rFonts w:hint="eastAsia"/>
          <w:color w:val="auto"/>
        </w:rPr>
        <w:t>空调自动控制系统设计</w:t>
      </w:r>
    </w:p>
    <w:p w14:paraId="49F3A8C0">
      <w:pPr>
        <w:pStyle w:val="228"/>
        <w:ind w:firstLine="480"/>
        <w:rPr>
          <w:rFonts w:ascii="宋体" w:hAnsi="宋体" w:cs="宋体"/>
          <w:color w:val="auto"/>
        </w:rPr>
      </w:pPr>
      <w:r>
        <w:rPr>
          <w:rFonts w:hint="eastAsia" w:ascii="宋体" w:hAnsi="宋体" w:cs="宋体"/>
          <w:color w:val="auto"/>
        </w:rPr>
        <w:t>空调系统全年运行，设有一套自动监控系统。控制系统具有对温度、湿度、风量、风 压、压差等进行自动监测、显示、调节以及系统 故障报警功能，同时对主要部件将提供 必要的保护。空调系统设置远程控制系统，实现在控制室能监测空调系统的运行，提高系 统运行可靠性，同时减少工作人员现场巡查的工作量。</w:t>
      </w:r>
    </w:p>
    <w:p w14:paraId="239DB4C7">
      <w:pPr>
        <w:pStyle w:val="228"/>
        <w:ind w:firstLine="480"/>
        <w:rPr>
          <w:rFonts w:ascii="宋体" w:hAnsi="宋体" w:cs="宋体"/>
          <w:color w:val="auto"/>
        </w:rPr>
      </w:pPr>
      <w:r>
        <w:rPr>
          <w:rFonts w:hint="eastAsia" w:ascii="宋体" w:hAnsi="宋体" w:cs="宋体"/>
          <w:color w:val="auto"/>
        </w:rPr>
        <w:t>阀厅空调采用自动控制为主，手动控制为辅的控制方式。本工程2个阀厅空调系统共设置一套计算机网络监控系统。监控系统主要由中央管理工作站、远程I/O站、现场控制机、通讯电缆、就地检测设备等硬件和相关软件组成。中央管理工作站布置在主控制室， 远程I/ O站分别布置在主控楼和辅控楼空调设备间， 现场控制机布置在被控设备附件。空调控制系统以通讯方式与HVDC控制系统相连， 在HVDC控制系统上可实现对空调系统的远方监控和报警显示等。</w:t>
      </w:r>
    </w:p>
    <w:p w14:paraId="742D06C3">
      <w:pPr>
        <w:pStyle w:val="228"/>
        <w:ind w:firstLine="480"/>
        <w:rPr>
          <w:rFonts w:ascii="宋体" w:hAnsi="宋体" w:cs="宋体"/>
          <w:bCs/>
          <w:color w:val="auto"/>
        </w:rPr>
      </w:pPr>
      <w:r>
        <w:rPr>
          <w:rFonts w:hint="eastAsia" w:ascii="宋体" w:hAnsi="宋体" w:cs="宋体"/>
          <w:color w:val="auto"/>
        </w:rPr>
        <w:t>组合式空气处理机组/空调箱：温度控制由设置在回风口（或送风口）处的温度传感器，控制水路电动二通阀动作，调节水量，达到回风（或送风）温度控制。过渡季节可加大新风量，直至全新风运行。机组新风进风管接共用管井处设开关型电动蝶阀，与风机 联动，风机开，阀门开，风机关，阀门关，失电弹簧复位关闭。</w:t>
      </w:r>
    </w:p>
    <w:p w14:paraId="7E696A30">
      <w:pPr>
        <w:pStyle w:val="229"/>
        <w:ind w:firstLine="480"/>
      </w:pPr>
      <w:r>
        <w:t>3.2.2</w:t>
      </w:r>
      <w:r>
        <w:rPr>
          <w:spacing w:val="17"/>
        </w:rPr>
        <w:t xml:space="preserve"> </w:t>
      </w:r>
      <w:r>
        <w:rPr>
          <w:rFonts w:hint="eastAsia"/>
          <w:spacing w:val="17"/>
        </w:rPr>
        <w:t>主辅控楼通风及</w:t>
      </w:r>
      <w:r>
        <w:rPr>
          <w:rFonts w:hint="eastAsia"/>
        </w:rPr>
        <w:t>空调系统</w:t>
      </w:r>
    </w:p>
    <w:p w14:paraId="2D1B9D50">
      <w:pPr>
        <w:pStyle w:val="228"/>
        <w:ind w:firstLine="480"/>
        <w:rPr>
          <w:rFonts w:ascii="宋体" w:hAnsi="宋体" w:cs="宋体"/>
          <w:color w:val="auto"/>
        </w:rPr>
      </w:pPr>
      <w:r>
        <w:fldChar w:fldCharType="begin"/>
      </w:r>
      <w:r>
        <w:instrText xml:space="preserve"> HYPERLINK "file:///F:\\01-直流工程\\03-南网直流\\湘黔联网\\可研设计\\可研卷册中间稿\\2025-04-20LTT\\4.6.4.1" </w:instrText>
      </w:r>
      <w:r>
        <w:fldChar w:fldCharType="separate"/>
      </w:r>
      <w:r>
        <w:rPr>
          <w:color w:val="auto"/>
        </w:rPr>
        <w:t>3.2.2.1</w:t>
      </w:r>
      <w:r>
        <w:rPr>
          <w:color w:val="auto"/>
        </w:rPr>
        <w:fldChar w:fldCharType="end"/>
      </w:r>
      <w:r>
        <w:rPr>
          <w:rFonts w:hint="eastAsia"/>
          <w:color w:val="auto"/>
        </w:rPr>
        <w:t>空调方案设计</w:t>
      </w:r>
    </w:p>
    <w:p w14:paraId="176ED2DE">
      <w:pPr>
        <w:pStyle w:val="228"/>
        <w:ind w:firstLine="480"/>
        <w:rPr>
          <w:rFonts w:ascii="宋体" w:hAnsi="宋体" w:cs="宋体"/>
          <w:color w:val="auto"/>
        </w:rPr>
      </w:pPr>
      <w:r>
        <w:rPr>
          <w:rFonts w:hint="eastAsia" w:ascii="宋体" w:hAnsi="宋体" w:cs="宋体"/>
          <w:color w:val="auto"/>
        </w:rPr>
        <w:t>（</w:t>
      </w:r>
      <w:r>
        <w:rPr>
          <w:rFonts w:ascii="宋体" w:hAnsi="宋体" w:cs="宋体"/>
          <w:color w:val="auto"/>
        </w:rPr>
        <w:t>1）主控楼常驻人员房间</w:t>
      </w:r>
    </w:p>
    <w:p w14:paraId="119C4918">
      <w:pPr>
        <w:pStyle w:val="228"/>
        <w:ind w:firstLine="480"/>
        <w:rPr>
          <w:rFonts w:ascii="宋体" w:hAnsi="宋体" w:cs="宋体"/>
          <w:color w:val="auto"/>
        </w:rPr>
      </w:pPr>
      <w:r>
        <w:rPr>
          <w:rFonts w:hint="eastAsia" w:ascii="宋体" w:hAnsi="宋体" w:cs="宋体"/>
          <w:color w:val="auto"/>
        </w:rPr>
        <w:t>由于主控楼常驻人员房间（主控室、休息室、会议室、培训室、交接班室等房间）夏季制冷、冬季制热，负荷变化较大，各房间根据面积大小及使用功能分别配置各种不同型式的室内机冷却（加热） 室内空气，以维持所需的室内温度。</w:t>
      </w:r>
    </w:p>
    <w:p w14:paraId="33ACEB45">
      <w:pPr>
        <w:pStyle w:val="228"/>
        <w:ind w:firstLine="480"/>
        <w:rPr>
          <w:rFonts w:ascii="宋体" w:hAnsi="宋体" w:cs="宋体"/>
          <w:color w:val="auto"/>
        </w:rPr>
      </w:pPr>
      <w:r>
        <w:rPr>
          <w:rFonts w:hint="eastAsia" w:ascii="宋体" w:hAnsi="宋体" w:cs="宋体"/>
          <w:color w:val="auto"/>
        </w:rPr>
        <w:t>人员用房采用独立的多联机空调</w:t>
      </w:r>
      <w:r>
        <w:rPr>
          <w:rFonts w:ascii="宋体" w:hAnsi="宋体" w:cs="宋体"/>
          <w:color w:val="auto"/>
        </w:rPr>
        <w:t>系统，夏季制冷，冬季制热。</w:t>
      </w:r>
      <w:r>
        <w:rPr>
          <w:rFonts w:hint="eastAsia" w:ascii="宋体" w:hAnsi="宋体" w:cs="宋体"/>
          <w:color w:val="auto"/>
        </w:rPr>
        <w:t>其中主控制室的室内机和室外机均设置100%备用，总冷量约123kW；其余人员用房总制冷量约90kW。</w:t>
      </w:r>
    </w:p>
    <w:p w14:paraId="0BCA8FD6">
      <w:pPr>
        <w:pStyle w:val="228"/>
        <w:ind w:firstLine="480"/>
        <w:rPr>
          <w:rFonts w:ascii="宋体" w:hAnsi="宋体" w:cs="宋体"/>
          <w:color w:val="auto"/>
        </w:rPr>
      </w:pPr>
      <w:r>
        <w:rPr>
          <w:rFonts w:hint="eastAsia" w:ascii="宋体" w:hAnsi="宋体" w:cs="宋体"/>
          <w:color w:val="auto"/>
        </w:rPr>
        <w:t>空调室外机将集中布置在主辅控楼屋面。空调室内机冷凝水集中排入室外排水井、雨落管井或室内地漏、水池等下水系统，空调送风口和室内机在布置上与电气盘柜、干式变压器和蓄电池错开。常驻人员房间均配置合适形式的室内机空调末端，在吊顶内的空调风口和空调室内机将与吊顶板、灯具协调布置， 做到整齐美观。主控楼空调系统配置一个集中控制器用于监测和控制各房间温度。各房间室内机还将配置遥控器或线控器进行开关控制和温度调节。</w:t>
      </w:r>
    </w:p>
    <w:p w14:paraId="74FCA914">
      <w:pPr>
        <w:pStyle w:val="228"/>
        <w:ind w:firstLine="480"/>
        <w:rPr>
          <w:rFonts w:ascii="宋体" w:hAnsi="宋体" w:cs="宋体"/>
          <w:color w:val="auto"/>
        </w:rPr>
      </w:pPr>
      <w:r>
        <w:rPr>
          <w:rFonts w:hint="eastAsia" w:ascii="宋体" w:hAnsi="宋体" w:cs="宋体"/>
          <w:color w:val="auto"/>
        </w:rPr>
        <w:t>主控制室将设置吊式双向换气机来保证工作人员所需的新鲜空气量，新鲜空气量按每人每小时不小于</w:t>
      </w:r>
      <w:r>
        <w:rPr>
          <w:rFonts w:ascii="宋体" w:hAnsi="宋体" w:cs="宋体"/>
          <w:color w:val="auto"/>
        </w:rPr>
        <w:t>4</w:t>
      </w:r>
      <w:r>
        <w:rPr>
          <w:rFonts w:hint="eastAsia" w:ascii="宋体" w:hAnsi="宋体" w:cs="宋体"/>
          <w:color w:val="auto"/>
        </w:rPr>
        <w:t>0m³设计，达到改善室内空气品质的目的。</w:t>
      </w:r>
    </w:p>
    <w:p w14:paraId="1BEF6824">
      <w:pPr>
        <w:pStyle w:val="228"/>
        <w:ind w:firstLine="480"/>
        <w:rPr>
          <w:rFonts w:ascii="宋体" w:hAnsi="宋体" w:cs="宋体"/>
          <w:color w:val="auto"/>
        </w:rPr>
      </w:pPr>
      <w:r>
        <w:rPr>
          <w:rFonts w:hint="eastAsia" w:ascii="宋体" w:hAnsi="宋体" w:cs="宋体"/>
          <w:color w:val="auto"/>
        </w:rPr>
        <w:t>（</w:t>
      </w:r>
      <w:r>
        <w:rPr>
          <w:rFonts w:ascii="宋体" w:hAnsi="宋体" w:cs="宋体"/>
          <w:color w:val="auto"/>
        </w:rPr>
        <w:t>2）主辅控楼设备房间</w:t>
      </w:r>
    </w:p>
    <w:p w14:paraId="4A7AFAEE">
      <w:pPr>
        <w:pStyle w:val="228"/>
        <w:ind w:firstLine="480"/>
        <w:rPr>
          <w:rFonts w:ascii="宋体" w:hAnsi="宋体" w:cs="宋体"/>
          <w:color w:val="auto"/>
        </w:rPr>
      </w:pPr>
      <w:r>
        <w:rPr>
          <w:rFonts w:hint="eastAsia" w:ascii="宋体" w:hAnsi="宋体" w:cs="宋体"/>
          <w:color w:val="auto"/>
        </w:rPr>
        <w:t>主辅控楼设备房间采用单元式空调机组，室内机的形式结合房间要求采用</w:t>
      </w:r>
      <w:r>
        <w:rPr>
          <w:rFonts w:ascii="宋体" w:hAnsi="宋体" w:cs="宋体"/>
          <w:color w:val="auto"/>
        </w:rPr>
        <w:t>立柜式或吊柜</w:t>
      </w:r>
      <w:r>
        <w:rPr>
          <w:rFonts w:hint="eastAsia" w:ascii="宋体" w:hAnsi="宋体" w:cs="宋体"/>
          <w:color w:val="auto"/>
        </w:rPr>
        <w:t>风管</w:t>
      </w:r>
      <w:r>
        <w:rPr>
          <w:rFonts w:ascii="宋体" w:hAnsi="宋体" w:cs="宋体"/>
          <w:color w:val="auto"/>
        </w:rPr>
        <w:t>式，</w:t>
      </w:r>
      <w:r>
        <w:rPr>
          <w:rFonts w:hint="eastAsia" w:ascii="宋体" w:hAnsi="宋体" w:cs="宋体"/>
          <w:color w:val="auto"/>
        </w:rPr>
        <w:t>其中吊柜风管式室内机可外接送风管，均匀布置室内送风口</w:t>
      </w:r>
      <w:r>
        <w:rPr>
          <w:rFonts w:ascii="宋体" w:hAnsi="宋体" w:cs="宋体"/>
          <w:color w:val="auto"/>
        </w:rPr>
        <w:t>。空调机组</w:t>
      </w:r>
      <w:r>
        <w:rPr>
          <w:rFonts w:hint="eastAsia" w:ascii="宋体" w:hAnsi="宋体" w:cs="宋体"/>
          <w:color w:val="auto"/>
        </w:rPr>
        <w:t>为冷暖型，室内机</w:t>
      </w:r>
      <w:r>
        <w:rPr>
          <w:rFonts w:ascii="宋体" w:hAnsi="宋体" w:cs="宋体"/>
          <w:color w:val="auto"/>
        </w:rPr>
        <w:t>内设电辅热措施，夏季制冷，冬季</w:t>
      </w:r>
      <w:r>
        <w:rPr>
          <w:rFonts w:hint="eastAsia" w:ascii="宋体" w:hAnsi="宋体" w:cs="宋体"/>
          <w:color w:val="auto"/>
        </w:rPr>
        <w:t>制热，湿度过大时开启电辅热功能调节室内相对湿度，</w:t>
      </w:r>
      <w:r>
        <w:rPr>
          <w:rFonts w:ascii="宋体" w:hAnsi="宋体" w:cs="宋体"/>
          <w:color w:val="auto"/>
        </w:rPr>
        <w:t>维持室内温</w:t>
      </w:r>
      <w:r>
        <w:rPr>
          <w:rFonts w:hint="eastAsia" w:ascii="宋体" w:hAnsi="宋体" w:cs="宋体"/>
          <w:color w:val="auto"/>
        </w:rPr>
        <w:t>湿</w:t>
      </w:r>
      <w:r>
        <w:rPr>
          <w:rFonts w:ascii="宋体" w:hAnsi="宋体" w:cs="宋体"/>
          <w:color w:val="auto"/>
        </w:rPr>
        <w:t>度在相应设计范围内。</w:t>
      </w:r>
    </w:p>
    <w:p w14:paraId="6AF94BBC">
      <w:pPr>
        <w:pStyle w:val="228"/>
        <w:ind w:firstLine="480"/>
        <w:rPr>
          <w:rFonts w:ascii="宋体" w:hAnsi="宋体" w:cs="宋体"/>
          <w:color w:val="auto"/>
        </w:rPr>
      </w:pPr>
      <w:r>
        <w:rPr>
          <w:rFonts w:hint="eastAsia" w:ascii="宋体" w:hAnsi="宋体" w:cs="宋体"/>
          <w:color w:val="auto"/>
        </w:rPr>
        <w:t>通信机房、二次设备室、交流配电室及阀冷却保护设备室等工艺要求全年空调开启且温度波动小的房间，为确保房间温湿度要求，空调采用N+1配置</w:t>
      </w:r>
      <w:r>
        <w:rPr>
          <w:rFonts w:ascii="宋体" w:hAnsi="宋体" w:cs="宋体"/>
          <w:color w:val="auto"/>
        </w:rPr>
        <w:t>。</w:t>
      </w:r>
      <w:r>
        <w:rPr>
          <w:rFonts w:hint="eastAsia" w:ascii="宋体" w:hAnsi="宋体" w:cs="宋体"/>
          <w:color w:val="auto"/>
        </w:rPr>
        <w:t>空调均具备独立控制和来电自启功能。蓄电池室配备防爆型吊顶式空气处理机组用于夏季降温</w:t>
      </w:r>
      <w:r>
        <w:rPr>
          <w:rFonts w:ascii="宋体" w:hAnsi="宋体" w:cs="宋体"/>
          <w:color w:val="auto"/>
        </w:rPr>
        <w:t>,并采用防爆轴流风机排风保持房间负压。</w:t>
      </w:r>
    </w:p>
    <w:p w14:paraId="78DB4BE0">
      <w:pPr>
        <w:pStyle w:val="228"/>
        <w:ind w:firstLine="480"/>
        <w:rPr>
          <w:rFonts w:ascii="宋体" w:hAnsi="宋体" w:cs="宋体"/>
          <w:color w:val="auto"/>
        </w:rPr>
      </w:pPr>
      <w:r>
        <w:rPr>
          <w:rFonts w:hint="eastAsia" w:ascii="宋体" w:hAnsi="宋体" w:cs="宋体"/>
          <w:color w:val="auto"/>
        </w:rPr>
        <w:t>所有单元式空调机组均有远程监控功能，可以实现就地/远端控制</w:t>
      </w:r>
      <w:r>
        <w:rPr>
          <w:rFonts w:ascii="宋体" w:hAnsi="宋体" w:cs="宋体"/>
          <w:color w:val="auto"/>
        </w:rPr>
        <w:t>。</w:t>
      </w:r>
    </w:p>
    <w:p w14:paraId="0FFAD5D3">
      <w:pPr>
        <w:pStyle w:val="228"/>
        <w:ind w:firstLine="480"/>
        <w:rPr>
          <w:rFonts w:ascii="宋体" w:hAnsi="宋体" w:cs="宋体"/>
          <w:color w:val="auto"/>
        </w:rPr>
      </w:pPr>
      <w:r>
        <w:fldChar w:fldCharType="begin"/>
      </w:r>
      <w:r>
        <w:instrText xml:space="preserve"> HYPERLINK "file:///F:\\01-直流工程\\03-南网直流\\湘黔联网\\可研设计\\可研卷册中间稿\\2025-04-20LTT\\4.6.4.1" </w:instrText>
      </w:r>
      <w:r>
        <w:fldChar w:fldCharType="separate"/>
      </w:r>
      <w:r>
        <w:rPr>
          <w:color w:val="auto"/>
        </w:rPr>
        <w:t>3.2.2.2</w:t>
      </w:r>
      <w:r>
        <w:rPr>
          <w:color w:val="auto"/>
        </w:rPr>
        <w:fldChar w:fldCharType="end"/>
      </w:r>
      <w:r>
        <w:rPr>
          <w:color w:val="auto"/>
        </w:rPr>
        <w:t xml:space="preserve"> </w:t>
      </w:r>
      <w:r>
        <w:rPr>
          <w:rFonts w:hint="eastAsia"/>
          <w:color w:val="auto"/>
        </w:rPr>
        <w:t>通风方案设计</w:t>
      </w:r>
    </w:p>
    <w:p w14:paraId="24E9C676">
      <w:pPr>
        <w:pStyle w:val="228"/>
        <w:ind w:firstLine="480"/>
        <w:rPr>
          <w:rFonts w:ascii="宋体" w:hAnsi="宋体" w:cs="宋体"/>
          <w:color w:val="auto"/>
        </w:rPr>
      </w:pPr>
      <w:r>
        <w:rPr>
          <w:rFonts w:hint="eastAsia" w:ascii="宋体" w:hAnsi="宋体" w:cs="宋体"/>
          <w:color w:val="auto"/>
        </w:rPr>
        <w:t>通信机房、控制保护室、阀冷却保护设备室设置换气次数不小于</w:t>
      </w:r>
      <w:r>
        <w:rPr>
          <w:rFonts w:ascii="宋体" w:hAnsi="宋体" w:cs="宋体"/>
          <w:color w:val="auto"/>
        </w:rPr>
        <w:t>6次/时的排风系统以满足平时检修巡查人员进入前的换气通风及灾后通风需求。外墙上部设轴流风机排风，风机入口设置电动风阀，电动风阀与风机联锁启闭。开启时，先打开风阀后打开风机；关闭时，先关闭风机后关闭风阀。</w:t>
      </w:r>
    </w:p>
    <w:p w14:paraId="376F694B">
      <w:pPr>
        <w:pStyle w:val="228"/>
        <w:ind w:firstLine="480"/>
        <w:rPr>
          <w:rFonts w:ascii="宋体" w:hAnsi="宋体" w:cs="宋体"/>
          <w:color w:val="auto"/>
        </w:rPr>
      </w:pPr>
      <w:r>
        <w:rPr>
          <w:rFonts w:hint="eastAsia" w:ascii="宋体" w:hAnsi="宋体" w:cs="宋体"/>
          <w:color w:val="auto"/>
        </w:rPr>
        <w:t>阀冷设备间及阀冷控制设备间设置空调维持室内温湿度，同时设计换气次数不小于</w:t>
      </w:r>
      <w:r>
        <w:rPr>
          <w:rFonts w:ascii="宋体" w:hAnsi="宋体" w:cs="宋体"/>
          <w:color w:val="auto"/>
        </w:rPr>
        <w:t xml:space="preserve"> 6次/时的排风系统以满足平时检修巡查人员进入前的换气通风。外墙上部设轴流风机排风，风机入口设置电动风阀，电动风阀与风机联锁启闭。开启时，先打开风阀后打开风机；关闭时，先关闭风机后关闭风阀。</w:t>
      </w:r>
    </w:p>
    <w:p w14:paraId="48274693">
      <w:pPr>
        <w:pStyle w:val="228"/>
        <w:ind w:firstLine="480"/>
        <w:rPr>
          <w:rFonts w:ascii="宋体" w:hAnsi="宋体" w:cs="宋体"/>
          <w:color w:val="auto"/>
        </w:rPr>
      </w:pPr>
      <w:r>
        <w:rPr>
          <w:rFonts w:hint="eastAsia" w:ascii="宋体" w:hAnsi="宋体" w:cs="宋体"/>
          <w:color w:val="auto"/>
        </w:rPr>
        <w:t>蓄电池室设置机械通风系统，采用轴流风机直接排出室外，风机用作事故后排风兼平时通风，通风换气次数不少于</w:t>
      </w:r>
      <w:r>
        <w:rPr>
          <w:rFonts w:ascii="宋体" w:hAnsi="宋体" w:cs="宋体"/>
          <w:color w:val="auto"/>
        </w:rPr>
        <w:t>6次/h。通风机和电机采用防爆式并直联。风机与氢气浓度检测仪联锁，当空气中氢气体积浓度达到0.4%时，风机自动投入运行。</w:t>
      </w:r>
    </w:p>
    <w:p w14:paraId="25CB578F">
      <w:pPr>
        <w:pStyle w:val="228"/>
        <w:ind w:firstLine="480"/>
        <w:rPr>
          <w:rFonts w:ascii="宋体" w:hAnsi="宋体" w:cs="宋体"/>
          <w:color w:val="auto"/>
        </w:rPr>
      </w:pPr>
      <w:r>
        <w:rPr>
          <w:rFonts w:hint="eastAsia" w:ascii="宋体" w:hAnsi="宋体" w:cs="宋体"/>
          <w:color w:val="auto"/>
        </w:rPr>
        <w:t>制冷机房设置事故排风系统兼平时排风系统，平时排风量按</w:t>
      </w:r>
      <w:r>
        <w:rPr>
          <w:rFonts w:ascii="宋体" w:hAnsi="宋体" w:cs="宋体"/>
          <w:color w:val="auto"/>
        </w:rPr>
        <w:t xml:space="preserve"> 6 </w:t>
      </w:r>
      <w:r>
        <w:rPr>
          <w:rFonts w:hint="eastAsia" w:ascii="宋体" w:hAnsi="宋体" w:cs="宋体"/>
          <w:color w:val="auto"/>
        </w:rPr>
        <w:t>次</w:t>
      </w:r>
      <w:r>
        <w:rPr>
          <w:rFonts w:ascii="宋体" w:hAnsi="宋体" w:cs="宋体"/>
          <w:color w:val="auto"/>
        </w:rPr>
        <w:t xml:space="preserve">/时计算，事故排风 </w:t>
      </w:r>
      <w:r>
        <w:rPr>
          <w:rFonts w:hint="eastAsia" w:ascii="宋体" w:hAnsi="宋体" w:cs="宋体"/>
          <w:color w:val="auto"/>
        </w:rPr>
        <w:t>量按</w:t>
      </w:r>
      <w:r>
        <w:rPr>
          <w:rFonts w:ascii="宋体" w:hAnsi="宋体" w:cs="宋体"/>
          <w:color w:val="auto"/>
        </w:rPr>
        <w:t xml:space="preserve"> 12 </w:t>
      </w:r>
      <w:r>
        <w:rPr>
          <w:rFonts w:hint="eastAsia" w:ascii="宋体" w:hAnsi="宋体" w:cs="宋体"/>
          <w:color w:val="auto"/>
        </w:rPr>
        <w:t>次</w:t>
      </w:r>
      <w:r>
        <w:rPr>
          <w:rFonts w:ascii="宋体" w:hAnsi="宋体" w:cs="宋体"/>
          <w:color w:val="auto"/>
        </w:rPr>
        <w:t>/时计算。</w:t>
      </w:r>
    </w:p>
    <w:p w14:paraId="04EAE0D8">
      <w:pPr>
        <w:pStyle w:val="228"/>
        <w:ind w:firstLine="480"/>
        <w:rPr>
          <w:rFonts w:ascii="宋体" w:hAnsi="宋体" w:cs="宋体"/>
          <w:color w:val="auto"/>
        </w:rPr>
      </w:pPr>
      <w:r>
        <w:fldChar w:fldCharType="begin"/>
      </w:r>
      <w:r>
        <w:instrText xml:space="preserve"> HYPERLINK "file:///F:\\01-直流工程\\03-南网直流\\湘黔联网\\可研设计\\可研卷册中间稿\\2025-04-20LTT\\4.6.4.1" </w:instrText>
      </w:r>
      <w:r>
        <w:fldChar w:fldCharType="separate"/>
      </w:r>
      <w:r>
        <w:rPr>
          <w:color w:val="auto"/>
        </w:rPr>
        <w:t>3.2.2.3</w:t>
      </w:r>
      <w:r>
        <w:rPr>
          <w:color w:val="auto"/>
        </w:rPr>
        <w:fldChar w:fldCharType="end"/>
      </w:r>
      <w:r>
        <w:rPr>
          <w:color w:val="auto"/>
        </w:rPr>
        <w:t xml:space="preserve"> </w:t>
      </w:r>
      <w:r>
        <w:rPr>
          <w:rFonts w:hint="eastAsia"/>
          <w:color w:val="auto"/>
        </w:rPr>
        <w:t>防排烟方案设计</w:t>
      </w:r>
    </w:p>
    <w:p w14:paraId="41C0746B">
      <w:pPr>
        <w:pStyle w:val="228"/>
        <w:ind w:firstLine="480"/>
        <w:rPr>
          <w:rFonts w:ascii="宋体" w:hAnsi="宋体" w:cs="宋体"/>
          <w:color w:val="auto"/>
        </w:rPr>
      </w:pPr>
      <w:r>
        <w:rPr>
          <w:rFonts w:hint="eastAsia" w:ascii="宋体" w:hAnsi="宋体" w:cs="宋体"/>
          <w:color w:val="auto"/>
        </w:rPr>
        <w:t>主控、辅控楼大于</w:t>
      </w:r>
      <w:r>
        <w:rPr>
          <w:rFonts w:ascii="宋体" w:hAnsi="宋体" w:cs="宋体"/>
          <w:color w:val="auto"/>
        </w:rPr>
        <w:t>40m的走道，设置排烟系统，排烟系统优先采用自然排烟，不具备自然排烟条件时采用机械排烟系统。其余房间采用可开启门窗进行自然排烟。</w:t>
      </w:r>
    </w:p>
    <w:p w14:paraId="0F3EFE52">
      <w:pPr>
        <w:pStyle w:val="228"/>
        <w:ind w:firstLine="472"/>
        <w:rPr>
          <w:color w:val="auto"/>
          <w:spacing w:val="-2"/>
        </w:rPr>
      </w:pPr>
      <w:r>
        <w:rPr>
          <w:rFonts w:hint="eastAsia"/>
          <w:color w:val="auto"/>
          <w:spacing w:val="-2"/>
        </w:rPr>
        <w:t>地下仅一层的封闭楼梯间在首层设置直通室外的疏散门；</w:t>
      </w:r>
    </w:p>
    <w:p w14:paraId="7EAF5445">
      <w:pPr>
        <w:pStyle w:val="228"/>
        <w:ind w:firstLine="472"/>
        <w:rPr>
          <w:color w:val="auto"/>
          <w:spacing w:val="-2"/>
        </w:rPr>
      </w:pPr>
      <w:r>
        <w:rPr>
          <w:rFonts w:hint="eastAsia"/>
          <w:color w:val="auto"/>
          <w:spacing w:val="-2"/>
        </w:rPr>
        <w:t>地上部分封闭楼梯间、防烟楼梯间及其前室设置可开启外窗自然防烟。楼梯间采用自然通风方式时，在最高部位设置面积不小于</w:t>
      </w:r>
      <w:r>
        <w:rPr>
          <w:color w:val="auto"/>
          <w:spacing w:val="-2"/>
        </w:rPr>
        <w:t>1.0m2</w:t>
      </w:r>
      <w:r>
        <w:rPr>
          <w:rFonts w:hint="eastAsia"/>
          <w:color w:val="auto"/>
          <w:spacing w:val="-2"/>
        </w:rPr>
        <w:t>的可开启外窗；当楼梯服务高度大于</w:t>
      </w:r>
      <w:r>
        <w:rPr>
          <w:color w:val="auto"/>
          <w:spacing w:val="-2"/>
        </w:rPr>
        <w:t xml:space="preserve"> 10m</w:t>
      </w:r>
      <w:r>
        <w:rPr>
          <w:rFonts w:hint="eastAsia"/>
          <w:color w:val="auto"/>
          <w:spacing w:val="-2"/>
        </w:rPr>
        <w:t>时，在楼梯间的外墙上每</w:t>
      </w:r>
      <w:r>
        <w:rPr>
          <w:color w:val="auto"/>
          <w:spacing w:val="-2"/>
        </w:rPr>
        <w:t>5</w:t>
      </w:r>
      <w:r>
        <w:rPr>
          <w:rFonts w:hint="eastAsia"/>
          <w:color w:val="auto"/>
          <w:spacing w:val="-2"/>
        </w:rPr>
        <w:t>层内设置总面积不小于</w:t>
      </w:r>
      <w:r>
        <w:rPr>
          <w:color w:val="auto"/>
          <w:spacing w:val="-2"/>
        </w:rPr>
        <w:t>2.0m2</w:t>
      </w:r>
      <w:r>
        <w:rPr>
          <w:rFonts w:hint="eastAsia"/>
          <w:color w:val="auto"/>
          <w:spacing w:val="-2"/>
        </w:rPr>
        <w:t>可开启外窗或开口，且每隔</w:t>
      </w:r>
      <w:r>
        <w:rPr>
          <w:color w:val="auto"/>
          <w:spacing w:val="-2"/>
        </w:rPr>
        <w:t xml:space="preserve"> 2~3</w:t>
      </w:r>
      <w:r>
        <w:rPr>
          <w:rFonts w:hint="eastAsia"/>
          <w:color w:val="auto"/>
          <w:spacing w:val="-2"/>
        </w:rPr>
        <w:t>层布置。前室采用自然通风方式时，独立前室和消防电梯前室可开启外窗或开口的面积不小于</w:t>
      </w:r>
      <w:r>
        <w:rPr>
          <w:color w:val="auto"/>
          <w:spacing w:val="-2"/>
        </w:rPr>
        <w:t>2.0m2</w:t>
      </w:r>
      <w:r>
        <w:rPr>
          <w:rFonts w:hint="eastAsia"/>
          <w:color w:val="auto"/>
          <w:spacing w:val="-2"/>
        </w:rPr>
        <w:t>，共用前室和合用前室不小于</w:t>
      </w:r>
      <w:r>
        <w:rPr>
          <w:color w:val="auto"/>
          <w:spacing w:val="-2"/>
        </w:rPr>
        <w:t>3.0m2</w:t>
      </w:r>
      <w:r>
        <w:rPr>
          <w:rFonts w:hint="eastAsia"/>
          <w:color w:val="auto"/>
          <w:spacing w:val="-2"/>
        </w:rPr>
        <w:t>。</w:t>
      </w:r>
    </w:p>
    <w:p w14:paraId="2740DC05">
      <w:pPr>
        <w:pStyle w:val="229"/>
        <w:ind w:firstLine="480"/>
      </w:pPr>
      <w:r>
        <w:t>3.2.3</w:t>
      </w:r>
      <w:r>
        <w:rPr>
          <w:spacing w:val="17"/>
        </w:rPr>
        <w:t xml:space="preserve"> </w:t>
      </w:r>
      <w:r>
        <w:rPr>
          <w:rFonts w:hint="eastAsia"/>
          <w:spacing w:val="17"/>
        </w:rPr>
        <w:t>综合楼及警传室通风及</w:t>
      </w:r>
      <w:r>
        <w:rPr>
          <w:rFonts w:hint="eastAsia"/>
        </w:rPr>
        <w:t>空调系统</w:t>
      </w:r>
    </w:p>
    <w:p w14:paraId="7E457684">
      <w:pPr>
        <w:pStyle w:val="228"/>
        <w:ind w:firstLine="472"/>
        <w:rPr>
          <w:color w:val="auto"/>
          <w:spacing w:val="-2"/>
        </w:rPr>
      </w:pPr>
      <w:r>
        <w:rPr>
          <w:rFonts w:hint="eastAsia"/>
          <w:color w:val="auto"/>
          <w:spacing w:val="-2"/>
        </w:rPr>
        <w:t>综合楼采用多联机空调系统调节室内温湿度。多联机系统按楼层和房间功能分区布置，室外机布置于屋面，办公室、休息室、餐厅、会议室等房间均风管式或四出风式室内机。办公房间设置全热交换机引入新风，满足房间空气质量要求。卫生间和餐厅均设排风装置，满足卫生要求。厨房设有轴流风机排风，以改善室内工作条件。</w:t>
      </w:r>
    </w:p>
    <w:p w14:paraId="49E0A9D4">
      <w:pPr>
        <w:pStyle w:val="228"/>
        <w:ind w:firstLine="472"/>
        <w:rPr>
          <w:color w:val="auto"/>
          <w:spacing w:val="-2"/>
        </w:rPr>
      </w:pPr>
      <w:r>
        <w:rPr>
          <w:rFonts w:hint="eastAsia"/>
          <w:color w:val="auto"/>
          <w:spacing w:val="-2"/>
        </w:rPr>
        <w:t>综合楼室一层、二层、三层室内走道大于</w:t>
      </w:r>
      <w:r>
        <w:rPr>
          <w:color w:val="auto"/>
          <w:spacing w:val="-2"/>
        </w:rPr>
        <w:t>20m</w:t>
      </w:r>
      <w:r>
        <w:rPr>
          <w:rFonts w:hint="eastAsia"/>
          <w:color w:val="auto"/>
          <w:spacing w:val="-2"/>
        </w:rPr>
        <w:t>，设置排烟系统。一层食堂、二层培训室</w:t>
      </w:r>
      <w:r>
        <w:rPr>
          <w:color w:val="auto"/>
          <w:spacing w:val="-2"/>
        </w:rPr>
        <w:t>/</w:t>
      </w:r>
      <w:r>
        <w:rPr>
          <w:rFonts w:hint="eastAsia"/>
          <w:color w:val="auto"/>
          <w:spacing w:val="-2"/>
        </w:rPr>
        <w:t>党员活动室、三层会议室房间面积大于</w:t>
      </w:r>
      <w:r>
        <w:rPr>
          <w:color w:val="auto"/>
          <w:spacing w:val="-2"/>
        </w:rPr>
        <w:t>100m</w:t>
      </w:r>
      <w:r>
        <w:rPr>
          <w:color w:val="auto"/>
          <w:spacing w:val="-2"/>
          <w:vertAlign w:val="superscript"/>
        </w:rPr>
        <w:t>2</w:t>
      </w:r>
      <w:r>
        <w:rPr>
          <w:rFonts w:hint="eastAsia"/>
          <w:color w:val="auto"/>
          <w:spacing w:val="-2"/>
        </w:rPr>
        <w:t>，设置排烟系统；排烟方式均采用机械排烟。封闭楼梯间采用自然通风方式时，在最高部位设置面积不小于</w:t>
      </w:r>
      <w:r>
        <w:rPr>
          <w:color w:val="auto"/>
          <w:spacing w:val="-2"/>
        </w:rPr>
        <w:t xml:space="preserve"> 1.0m</w:t>
      </w:r>
      <w:r>
        <w:rPr>
          <w:color w:val="auto"/>
          <w:spacing w:val="-2"/>
          <w:vertAlign w:val="superscript"/>
        </w:rPr>
        <w:t>2</w:t>
      </w:r>
      <w:r>
        <w:rPr>
          <w:color w:val="auto"/>
          <w:spacing w:val="-2"/>
        </w:rPr>
        <w:t xml:space="preserve"> </w:t>
      </w:r>
      <w:r>
        <w:rPr>
          <w:rFonts w:hint="eastAsia"/>
          <w:color w:val="auto"/>
          <w:spacing w:val="-2"/>
        </w:rPr>
        <w:t>的可开启外窗；当楼梯服务高度大于</w:t>
      </w:r>
      <w:r>
        <w:rPr>
          <w:color w:val="auto"/>
          <w:spacing w:val="-2"/>
        </w:rPr>
        <w:t xml:space="preserve"> 10m </w:t>
      </w:r>
      <w:r>
        <w:rPr>
          <w:rFonts w:hint="eastAsia"/>
          <w:color w:val="auto"/>
          <w:spacing w:val="-2"/>
        </w:rPr>
        <w:t>时，在楼梯间的外墙上每</w:t>
      </w:r>
      <w:r>
        <w:rPr>
          <w:color w:val="auto"/>
          <w:spacing w:val="-2"/>
        </w:rPr>
        <w:t xml:space="preserve"> 5 </w:t>
      </w:r>
      <w:r>
        <w:rPr>
          <w:rFonts w:hint="eastAsia"/>
          <w:color w:val="auto"/>
          <w:spacing w:val="-2"/>
        </w:rPr>
        <w:t>层内设置总面积不小于</w:t>
      </w:r>
      <w:r>
        <w:rPr>
          <w:color w:val="auto"/>
          <w:spacing w:val="-2"/>
        </w:rPr>
        <w:t xml:space="preserve"> 2.0m2 </w:t>
      </w:r>
      <w:r>
        <w:rPr>
          <w:rFonts w:hint="eastAsia"/>
          <w:color w:val="auto"/>
          <w:spacing w:val="-2"/>
        </w:rPr>
        <w:t>可开启外窗或开口。</w:t>
      </w:r>
    </w:p>
    <w:p w14:paraId="4ADFF7DE">
      <w:pPr>
        <w:pStyle w:val="228"/>
        <w:ind w:firstLine="472"/>
        <w:rPr>
          <w:color w:val="auto"/>
          <w:spacing w:val="-2"/>
        </w:rPr>
      </w:pPr>
      <w:r>
        <w:rPr>
          <w:rFonts w:hint="eastAsia"/>
          <w:color w:val="auto"/>
          <w:spacing w:val="-2"/>
        </w:rPr>
        <w:t>地上部分防烟楼梯间及其前室设置可开启外窗自然防烟。</w:t>
      </w:r>
    </w:p>
    <w:p w14:paraId="0D34CEED">
      <w:pPr>
        <w:pStyle w:val="228"/>
        <w:ind w:firstLine="472"/>
        <w:rPr>
          <w:color w:val="auto"/>
          <w:spacing w:val="-2"/>
        </w:rPr>
      </w:pPr>
      <w:r>
        <w:rPr>
          <w:rFonts w:hint="eastAsia"/>
          <w:color w:val="auto"/>
          <w:spacing w:val="-2"/>
        </w:rPr>
        <w:t>警传室设有分体壁挂式空调机，改善值班人员的工作环境。</w:t>
      </w:r>
    </w:p>
    <w:p w14:paraId="3DF31451">
      <w:pPr>
        <w:pStyle w:val="229"/>
        <w:ind w:firstLine="480"/>
      </w:pPr>
      <w:r>
        <w:t>3.2.4</w:t>
      </w:r>
      <w:r>
        <w:rPr>
          <w:spacing w:val="17"/>
        </w:rPr>
        <w:t xml:space="preserve"> 500kV GIS</w:t>
      </w:r>
      <w:r>
        <w:rPr>
          <w:rFonts w:hint="eastAsia"/>
          <w:spacing w:val="17"/>
        </w:rPr>
        <w:t>室通风</w:t>
      </w:r>
      <w:r>
        <w:rPr>
          <w:rFonts w:hint="eastAsia"/>
        </w:rPr>
        <w:t>系统</w:t>
      </w:r>
    </w:p>
    <w:p w14:paraId="315F4670">
      <w:pPr>
        <w:pStyle w:val="228"/>
        <w:ind w:firstLine="472"/>
        <w:rPr>
          <w:color w:val="auto"/>
          <w:spacing w:val="-2"/>
        </w:rPr>
      </w:pPr>
      <w:r>
        <w:rPr>
          <w:color w:val="auto"/>
          <w:spacing w:val="-2"/>
        </w:rPr>
        <w:t>GIS</w:t>
      </w:r>
      <w:r>
        <w:rPr>
          <w:rFonts w:hint="eastAsia"/>
          <w:color w:val="auto"/>
          <w:spacing w:val="-2"/>
        </w:rPr>
        <w:t>室设置自然进风、机械排风系统。采用外墙下部设防雨百叶进风进风。机械排风设置上部和下部同时排风系统，下部排风用于平时通风，通风量不小于</w:t>
      </w:r>
      <w:r>
        <w:rPr>
          <w:color w:val="auto"/>
          <w:spacing w:val="-2"/>
        </w:rPr>
        <w:t>4</w:t>
      </w:r>
      <w:r>
        <w:rPr>
          <w:rFonts w:hint="eastAsia"/>
          <w:color w:val="auto"/>
          <w:spacing w:val="-2"/>
        </w:rPr>
        <w:t>次</w:t>
      </w:r>
      <w:r>
        <w:rPr>
          <w:color w:val="auto"/>
          <w:spacing w:val="-2"/>
        </w:rPr>
        <w:t>/h</w:t>
      </w:r>
      <w:r>
        <w:rPr>
          <w:rFonts w:hint="eastAsia"/>
          <w:color w:val="auto"/>
          <w:spacing w:val="-2"/>
        </w:rPr>
        <w:t>，采用箱式离心风机排风；上部设置不小于</w:t>
      </w:r>
      <w:r>
        <w:rPr>
          <w:color w:val="auto"/>
          <w:spacing w:val="-2"/>
        </w:rPr>
        <w:t>2</w:t>
      </w:r>
      <w:r>
        <w:rPr>
          <w:rFonts w:hint="eastAsia"/>
          <w:color w:val="auto"/>
          <w:spacing w:val="-2"/>
        </w:rPr>
        <w:t>次的事故排风，采用轴流风机，事故时同时启动下部排风机。</w:t>
      </w:r>
    </w:p>
    <w:p w14:paraId="2F1DF674">
      <w:pPr>
        <w:pStyle w:val="229"/>
        <w:ind w:firstLine="480"/>
      </w:pPr>
      <w:r>
        <w:t xml:space="preserve">3.2.5  </w:t>
      </w:r>
      <w:r>
        <w:rPr>
          <w:spacing w:val="17"/>
        </w:rPr>
        <w:t>500kV</w:t>
      </w:r>
      <w:r>
        <w:rPr>
          <w:rFonts w:hint="eastAsia"/>
          <w:spacing w:val="17"/>
        </w:rPr>
        <w:t>继电器小室通风及空调</w:t>
      </w:r>
    </w:p>
    <w:p w14:paraId="2B8489B9">
      <w:pPr>
        <w:pStyle w:val="228"/>
        <w:ind w:firstLine="472"/>
        <w:rPr>
          <w:color w:val="auto"/>
          <w:spacing w:val="-2"/>
        </w:rPr>
      </w:pPr>
      <w:r>
        <w:rPr>
          <w:rFonts w:hint="eastAsia"/>
          <w:color w:val="auto"/>
          <w:spacing w:val="-2"/>
        </w:rPr>
        <w:t>各类继电器室均设单元式分体空调和降温型除湿机排除室内余热及控制室内湿度。同时设计换气次数不小于</w:t>
      </w:r>
      <w:r>
        <w:rPr>
          <w:color w:val="auto"/>
          <w:spacing w:val="-2"/>
        </w:rPr>
        <w:t>6</w:t>
      </w:r>
      <w:r>
        <w:rPr>
          <w:rFonts w:hint="eastAsia"/>
          <w:color w:val="auto"/>
          <w:spacing w:val="-2"/>
        </w:rPr>
        <w:t>次</w:t>
      </w:r>
      <w:r>
        <w:rPr>
          <w:color w:val="auto"/>
          <w:spacing w:val="-2"/>
        </w:rPr>
        <w:t>/</w:t>
      </w:r>
      <w:r>
        <w:rPr>
          <w:rFonts w:hint="eastAsia"/>
          <w:color w:val="auto"/>
          <w:spacing w:val="-2"/>
        </w:rPr>
        <w:t>时的排风系统以满足平时检修巡查人员进入前的换气通风。蓄电池室设置防爆通风机排除室内有害气体，通风量不小于</w:t>
      </w:r>
      <w:r>
        <w:rPr>
          <w:color w:val="auto"/>
          <w:spacing w:val="-2"/>
        </w:rPr>
        <w:t>6</w:t>
      </w:r>
      <w:r>
        <w:rPr>
          <w:rFonts w:hint="eastAsia"/>
          <w:color w:val="auto"/>
          <w:spacing w:val="-2"/>
        </w:rPr>
        <w:t>次</w:t>
      </w:r>
      <w:r>
        <w:rPr>
          <w:color w:val="auto"/>
          <w:spacing w:val="-2"/>
        </w:rPr>
        <w:t>/h</w:t>
      </w:r>
      <w:r>
        <w:rPr>
          <w:rFonts w:hint="eastAsia"/>
          <w:color w:val="auto"/>
          <w:spacing w:val="-2"/>
        </w:rPr>
        <w:t>。</w:t>
      </w:r>
    </w:p>
    <w:p w14:paraId="16A43FEC">
      <w:pPr>
        <w:pStyle w:val="229"/>
        <w:ind w:firstLine="480"/>
        <w:rPr>
          <w:spacing w:val="-2"/>
        </w:rPr>
      </w:pPr>
      <w:r>
        <w:t xml:space="preserve">3.2.6  </w:t>
      </w:r>
      <w:r>
        <w:rPr>
          <w:spacing w:val="17"/>
        </w:rPr>
        <w:t>10kV</w:t>
      </w:r>
      <w:r>
        <w:rPr>
          <w:rFonts w:hint="eastAsia"/>
          <w:spacing w:val="17"/>
        </w:rPr>
        <w:t>及</w:t>
      </w:r>
      <w:r>
        <w:rPr>
          <w:spacing w:val="17"/>
        </w:rPr>
        <w:t>380V</w:t>
      </w:r>
      <w:r>
        <w:rPr>
          <w:rFonts w:hint="eastAsia"/>
          <w:spacing w:val="17"/>
        </w:rPr>
        <w:t>配电室通风及空调</w:t>
      </w:r>
    </w:p>
    <w:p w14:paraId="3634FFAD">
      <w:pPr>
        <w:pStyle w:val="228"/>
        <w:ind w:firstLine="480"/>
        <w:rPr>
          <w:rFonts w:ascii="宋体" w:hAnsi="宋体" w:cs="宋体"/>
          <w:color w:val="auto"/>
        </w:rPr>
      </w:pPr>
      <w:r>
        <w:rPr>
          <w:rFonts w:ascii="宋体" w:hAnsi="宋体" w:cs="宋体"/>
          <w:color w:val="auto"/>
        </w:rPr>
        <w:t xml:space="preserve">10kV及 380V </w:t>
      </w:r>
      <w:r>
        <w:rPr>
          <w:rFonts w:hint="eastAsia" w:ascii="宋体" w:hAnsi="宋体" w:cs="宋体"/>
          <w:color w:val="auto"/>
        </w:rPr>
        <w:t>配电室设置单元式分体空调维持室内温湿度，同时设计换气次数不小于</w:t>
      </w:r>
      <w:r>
        <w:rPr>
          <w:rFonts w:ascii="宋体" w:hAnsi="宋体" w:cs="宋体"/>
          <w:color w:val="auto"/>
        </w:rPr>
        <w:t>6次/时的排风系统以满足平时检修巡查人员进入前的换气通风。外墙上部设轴流风机排风，风机入口设置电动风阀，电动风阀与风机</w:t>
      </w:r>
      <w:r>
        <w:rPr>
          <w:rFonts w:hint="eastAsia" w:ascii="宋体" w:hAnsi="宋体" w:cs="宋体"/>
          <w:color w:val="auto"/>
        </w:rPr>
        <w:t>联锁启闭。开启时，先打开风阀后打开风机；关闭时，先关闭风机后关闭风阀。</w:t>
      </w:r>
    </w:p>
    <w:p w14:paraId="2A415981">
      <w:pPr>
        <w:pStyle w:val="229"/>
        <w:ind w:firstLine="480"/>
        <w:rPr>
          <w:spacing w:val="-2"/>
        </w:rPr>
      </w:pPr>
      <w:r>
        <w:t xml:space="preserve">3.2.7 </w:t>
      </w:r>
      <w:r>
        <w:rPr>
          <w:rFonts w:hint="eastAsia"/>
        </w:rPr>
        <w:t>车库、综合水泵房</w:t>
      </w:r>
      <w:r>
        <w:rPr>
          <w:rFonts w:hint="eastAsia"/>
          <w:spacing w:val="17"/>
        </w:rPr>
        <w:t>通风及空调</w:t>
      </w:r>
    </w:p>
    <w:p w14:paraId="2813728C">
      <w:pPr>
        <w:pStyle w:val="228"/>
        <w:ind w:firstLine="472"/>
        <w:rPr>
          <w:color w:val="auto"/>
          <w:spacing w:val="-2"/>
        </w:rPr>
      </w:pPr>
      <w:r>
        <w:rPr>
          <w:rFonts w:hint="eastAsia"/>
          <w:color w:val="auto"/>
          <w:spacing w:val="-2"/>
        </w:rPr>
        <w:t>综合水泵房设置自然进风、机械排风的通风系统，通风次数不小于</w:t>
      </w:r>
      <w:r>
        <w:rPr>
          <w:color w:val="auto"/>
          <w:spacing w:val="-2"/>
        </w:rPr>
        <w:t>6</w:t>
      </w:r>
      <w:r>
        <w:rPr>
          <w:rFonts w:hint="eastAsia"/>
          <w:color w:val="auto"/>
          <w:spacing w:val="-2"/>
        </w:rPr>
        <w:t>次</w:t>
      </w:r>
      <w:r>
        <w:rPr>
          <w:color w:val="auto"/>
          <w:spacing w:val="-2"/>
        </w:rPr>
        <w:t>/h</w:t>
      </w:r>
      <w:r>
        <w:rPr>
          <w:rFonts w:hint="eastAsia"/>
          <w:color w:val="auto"/>
          <w:spacing w:val="-2"/>
        </w:rPr>
        <w:t>，控制室设置立柜式分体空调机进行降温。冬季可关闭泵房通风机，并为防止泵房在极端低温环境下发生管道冻结，配置电暖器供暖。车库设置自然进风、机械排风的通风系统，通风次数不小于</w:t>
      </w:r>
      <w:r>
        <w:rPr>
          <w:color w:val="auto"/>
          <w:spacing w:val="-2"/>
        </w:rPr>
        <w:t>2</w:t>
      </w:r>
      <w:r>
        <w:rPr>
          <w:rFonts w:hint="eastAsia"/>
          <w:color w:val="auto"/>
          <w:spacing w:val="-2"/>
        </w:rPr>
        <w:t>次</w:t>
      </w:r>
      <w:r>
        <w:rPr>
          <w:color w:val="auto"/>
          <w:spacing w:val="-2"/>
        </w:rPr>
        <w:t>/h</w:t>
      </w:r>
      <w:r>
        <w:rPr>
          <w:rFonts w:hint="eastAsia"/>
          <w:color w:val="auto"/>
          <w:spacing w:val="-2"/>
        </w:rPr>
        <w:t>。</w:t>
      </w:r>
    </w:p>
    <w:p w14:paraId="0D1E1FAE">
      <w:pPr>
        <w:pStyle w:val="229"/>
        <w:ind w:firstLine="480"/>
        <w:rPr>
          <w:spacing w:val="-2"/>
        </w:rPr>
      </w:pPr>
      <w:r>
        <w:t xml:space="preserve">3.2.8 </w:t>
      </w:r>
      <w:r>
        <w:rPr>
          <w:rFonts w:hint="eastAsia"/>
        </w:rPr>
        <w:t>专用品库、一次备品备件库通</w:t>
      </w:r>
      <w:r>
        <w:rPr>
          <w:rFonts w:hint="eastAsia"/>
          <w:spacing w:val="17"/>
        </w:rPr>
        <w:t>风及空调</w:t>
      </w:r>
    </w:p>
    <w:p w14:paraId="57B2203D">
      <w:pPr>
        <w:pStyle w:val="228"/>
        <w:ind w:firstLine="472"/>
        <w:rPr>
          <w:color w:val="auto"/>
          <w:spacing w:val="-2"/>
        </w:rPr>
      </w:pPr>
      <w:r>
        <w:rPr>
          <w:rFonts w:hint="eastAsia"/>
          <w:color w:val="auto"/>
          <w:spacing w:val="-2"/>
        </w:rPr>
        <w:t>专用品仓库：专用品仓库设置防爆空调控制室内温湿度，并设置不小于</w:t>
      </w:r>
      <w:r>
        <w:rPr>
          <w:color w:val="auto"/>
          <w:spacing w:val="-2"/>
        </w:rPr>
        <w:t>12</w:t>
      </w:r>
      <w:r>
        <w:rPr>
          <w:rFonts w:hint="eastAsia"/>
          <w:color w:val="auto"/>
          <w:spacing w:val="-2"/>
        </w:rPr>
        <w:t>次</w:t>
      </w:r>
      <w:r>
        <w:rPr>
          <w:color w:val="auto"/>
          <w:spacing w:val="-2"/>
        </w:rPr>
        <w:t>/h</w:t>
      </w:r>
      <w:r>
        <w:rPr>
          <w:rFonts w:hint="eastAsia"/>
          <w:color w:val="auto"/>
          <w:spacing w:val="-2"/>
        </w:rPr>
        <w:t>的通风系统，通风风机采用防爆轴流风机。</w:t>
      </w:r>
    </w:p>
    <w:p w14:paraId="678BAFAE">
      <w:pPr>
        <w:pStyle w:val="228"/>
        <w:ind w:firstLine="472"/>
        <w:rPr>
          <w:color w:val="auto"/>
          <w:spacing w:val="-2"/>
        </w:rPr>
      </w:pPr>
      <w:r>
        <w:rPr>
          <w:rFonts w:hint="eastAsia"/>
          <w:color w:val="auto"/>
          <w:spacing w:val="-2"/>
        </w:rPr>
        <w:t>一次备品备件库：设置不小于</w:t>
      </w:r>
      <w:r>
        <w:rPr>
          <w:color w:val="auto"/>
          <w:spacing w:val="-2"/>
        </w:rPr>
        <w:t>2</w:t>
      </w:r>
      <w:r>
        <w:rPr>
          <w:rFonts w:hint="eastAsia"/>
          <w:color w:val="auto"/>
          <w:spacing w:val="-2"/>
        </w:rPr>
        <w:t>次</w:t>
      </w:r>
      <w:r>
        <w:rPr>
          <w:color w:val="auto"/>
          <w:spacing w:val="-2"/>
        </w:rPr>
        <w:t>/h</w:t>
      </w:r>
      <w:r>
        <w:rPr>
          <w:rFonts w:hint="eastAsia"/>
          <w:color w:val="auto"/>
          <w:spacing w:val="-2"/>
        </w:rPr>
        <w:t>的通风系统，采用自然进风、机械排风系统，采用轴流风机排风。</w:t>
      </w:r>
    </w:p>
    <w:p w14:paraId="74DF9926">
      <w:pPr>
        <w:pStyle w:val="229"/>
        <w:ind w:firstLine="480"/>
        <w:rPr>
          <w:spacing w:val="-2"/>
        </w:rPr>
      </w:pPr>
      <w:r>
        <w:t xml:space="preserve">3.2.9 </w:t>
      </w:r>
      <w:r>
        <w:rPr>
          <w:rFonts w:hint="eastAsia"/>
        </w:rPr>
        <w:t>二次备品库、阀备品库、检修用房通</w:t>
      </w:r>
      <w:r>
        <w:rPr>
          <w:rFonts w:hint="eastAsia"/>
          <w:spacing w:val="17"/>
        </w:rPr>
        <w:t>风及空调</w:t>
      </w:r>
    </w:p>
    <w:p w14:paraId="41033912">
      <w:pPr>
        <w:pStyle w:val="228"/>
        <w:ind w:firstLine="472"/>
        <w:rPr>
          <w:color w:val="auto"/>
          <w:spacing w:val="-2"/>
        </w:rPr>
      </w:pPr>
      <w:r>
        <w:rPr>
          <w:rFonts w:hint="eastAsia"/>
          <w:color w:val="auto"/>
          <w:spacing w:val="-2"/>
        </w:rPr>
        <w:t>二次备品库设置分体空调进行降温，满足二次设备存放的要求。设置机械排风系统用于灾后通风。</w:t>
      </w:r>
    </w:p>
    <w:p w14:paraId="33B14187">
      <w:pPr>
        <w:pStyle w:val="228"/>
        <w:ind w:firstLine="472"/>
        <w:rPr>
          <w:color w:val="auto"/>
          <w:spacing w:val="-2"/>
        </w:rPr>
      </w:pPr>
      <w:r>
        <w:rPr>
          <w:rFonts w:hint="eastAsia"/>
          <w:color w:val="auto"/>
          <w:spacing w:val="-2"/>
        </w:rPr>
        <w:t>阀备品库：阀备品备件库设置屋顶空调系统以维持室内温湿度满足阀存放的环境需求和检修需求，屋顶空调设置于建筑旁边，通过风管送入室内。设置机械排风系统用于灾后通风。</w:t>
      </w:r>
    </w:p>
    <w:p w14:paraId="322BB7A7">
      <w:pPr>
        <w:pStyle w:val="229"/>
        <w:ind w:firstLine="480"/>
        <w:rPr>
          <w:spacing w:val="-2"/>
        </w:rPr>
      </w:pPr>
      <w:r>
        <w:t xml:space="preserve">3.2.10 </w:t>
      </w:r>
      <w:r>
        <w:rPr>
          <w:rFonts w:hint="eastAsia"/>
        </w:rPr>
        <w:t>融冰阀室</w:t>
      </w:r>
    </w:p>
    <w:p w14:paraId="523152D1">
      <w:pPr>
        <w:pStyle w:val="228"/>
        <w:ind w:firstLine="480"/>
        <w:rPr>
          <w:color w:val="auto"/>
        </w:rPr>
      </w:pPr>
      <w:r>
        <w:rPr>
          <w:rFonts w:hint="eastAsia"/>
          <w:color w:val="auto"/>
        </w:rPr>
        <w:t>融冰阀室设置单元式分体空调维持室内设备运行要求的温湿度，空调设备具有来电自启动功能。</w:t>
      </w:r>
      <w:r>
        <w:rPr>
          <w:rFonts w:hint="eastAsia"/>
          <w:color w:val="auto"/>
          <w:spacing w:val="-2"/>
        </w:rPr>
        <w:t>设置机械排风系统用于灾后通风。</w:t>
      </w:r>
    </w:p>
    <w:p w14:paraId="549E743B">
      <w:pPr>
        <w:pStyle w:val="121"/>
        <w:snapToGrid w:val="0"/>
        <w:spacing w:line="480" w:lineRule="atLeast"/>
        <w:ind w:left="0" w:firstLine="482" w:firstLineChars="200"/>
        <w:outlineLvl w:val="0"/>
        <w:rPr>
          <w:rFonts w:eastAsiaTheme="minorEastAsia"/>
          <w:color w:val="000000" w:themeColor="text1"/>
          <w:szCs w:val="24"/>
          <w14:textFill>
            <w14:solidFill>
              <w14:schemeClr w14:val="tx1"/>
            </w14:solidFill>
          </w14:textFill>
        </w:rPr>
      </w:pPr>
      <w:bookmarkStart w:id="528" w:name="_Toc220074805"/>
      <w:r>
        <w:rPr>
          <w:rFonts w:hint="eastAsia" w:eastAsiaTheme="minorEastAsia"/>
          <w:color w:val="000000" w:themeColor="text1"/>
          <w:szCs w:val="24"/>
          <w14:textFill>
            <w14:solidFill>
              <w14:schemeClr w14:val="tx1"/>
            </w14:solidFill>
          </w14:textFill>
        </w:rPr>
        <w:t>通风及空调设备技术要求</w:t>
      </w:r>
      <w:bookmarkEnd w:id="517"/>
      <w:bookmarkEnd w:id="518"/>
      <w:bookmarkEnd w:id="519"/>
      <w:bookmarkEnd w:id="528"/>
    </w:p>
    <w:bookmarkEnd w:id="520"/>
    <w:bookmarkEnd w:id="521"/>
    <w:bookmarkEnd w:id="522"/>
    <w:bookmarkEnd w:id="523"/>
    <w:bookmarkEnd w:id="524"/>
    <w:bookmarkEnd w:id="525"/>
    <w:bookmarkEnd w:id="526"/>
    <w:p w14:paraId="5DDDE4A2">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529" w:name="_Toc526064880"/>
      <w:r>
        <w:rPr>
          <w:rFonts w:eastAsiaTheme="minorEastAsia"/>
          <w:bCs/>
          <w:color w:val="000000" w:themeColor="text1"/>
          <w:szCs w:val="24"/>
          <w14:textFill>
            <w14:solidFill>
              <w14:schemeClr w14:val="tx1"/>
            </w14:solidFill>
          </w14:textFill>
        </w:rPr>
        <w:t xml:space="preserve"> </w:t>
      </w:r>
      <w:bookmarkStart w:id="530" w:name="_Toc526079164"/>
      <w:bookmarkStart w:id="531" w:name="_Toc526079270"/>
      <w:bookmarkStart w:id="532" w:name="_Toc220074806"/>
      <w:r>
        <w:rPr>
          <w:rFonts w:hint="eastAsia" w:eastAsiaTheme="minorEastAsia"/>
          <w:bCs/>
          <w:color w:val="000000" w:themeColor="text1"/>
          <w:szCs w:val="24"/>
          <w14:textFill>
            <w14:solidFill>
              <w14:schemeClr w14:val="tx1"/>
            </w14:solidFill>
          </w14:textFill>
        </w:rPr>
        <w:t>设备设计要求</w:t>
      </w:r>
      <w:bookmarkEnd w:id="529"/>
      <w:bookmarkEnd w:id="530"/>
      <w:bookmarkEnd w:id="531"/>
      <w:bookmarkEnd w:id="532"/>
    </w:p>
    <w:p w14:paraId="2498F59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33" w:name="_Toc279850290"/>
      <w:bookmarkStart w:id="534" w:name="_Toc195501439"/>
      <w:bookmarkStart w:id="535" w:name="_Toc279850703"/>
      <w:r>
        <w:rPr>
          <w:rFonts w:eastAsiaTheme="minorEastAsia"/>
          <w:color w:val="000000" w:themeColor="text1"/>
          <w:sz w:val="24"/>
          <w:szCs w:val="24"/>
          <w14:textFill>
            <w14:solidFill>
              <w14:schemeClr w14:val="tx1"/>
            </w14:solidFill>
          </w14:textFill>
        </w:rPr>
        <w:t xml:space="preserve">4.1.1  </w:t>
      </w:r>
      <w:r>
        <w:rPr>
          <w:rFonts w:hint="eastAsia" w:eastAsiaTheme="minorEastAsia"/>
          <w:color w:val="000000" w:themeColor="text1"/>
          <w:sz w:val="24"/>
          <w:szCs w:val="24"/>
          <w14:textFill>
            <w14:solidFill>
              <w14:schemeClr w14:val="tx1"/>
            </w14:solidFill>
          </w14:textFill>
        </w:rPr>
        <w:t>电动机轴功率安全系数应按下述要求来选择：</w:t>
      </w:r>
    </w:p>
    <w:p w14:paraId="1B127A6C">
      <w:pPr>
        <w:tabs>
          <w:tab w:val="left" w:pos="4536"/>
        </w:tabs>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电动机所需最大轴功率</w:t>
      </w:r>
      <w:r>
        <w:rPr>
          <w:rFonts w:eastAsiaTheme="minorEastAsia"/>
          <w:color w:val="000000" w:themeColor="text1"/>
          <w:sz w:val="24"/>
          <w:szCs w:val="24"/>
          <w14:textFill>
            <w14:solidFill>
              <w14:schemeClr w14:val="tx1"/>
            </w14:solidFill>
          </w14:textFill>
        </w:rPr>
        <w:t xml:space="preserve">(kW)     </w:t>
      </w:r>
      <w:r>
        <w:rPr>
          <w:rFonts w:eastAsiaTheme="minorEastAsia"/>
          <w:color w:val="000000" w:themeColor="text1"/>
          <w:sz w:val="24"/>
          <w:szCs w:val="24"/>
          <w14:textFill>
            <w14:solidFill>
              <w14:schemeClr w14:val="tx1"/>
            </w14:solidFill>
          </w14:textFill>
        </w:rPr>
        <w:tab/>
      </w:r>
      <w:r>
        <w:rPr>
          <w:rFonts w:hint="eastAsia" w:eastAsiaTheme="minorEastAsia"/>
          <w:color w:val="000000" w:themeColor="text1"/>
          <w:sz w:val="24"/>
          <w:szCs w:val="24"/>
          <w14:textFill>
            <w14:solidFill>
              <w14:schemeClr w14:val="tx1"/>
            </w14:solidFill>
          </w14:textFill>
        </w:rPr>
        <w:t>安全系数</w:t>
      </w:r>
    </w:p>
    <w:p w14:paraId="2EEF4F89">
      <w:pPr>
        <w:tabs>
          <w:tab w:val="left" w:pos="4536"/>
        </w:tabs>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 xml:space="preserve">50                   </w:t>
      </w:r>
      <w:r>
        <w:rPr>
          <w:rFonts w:eastAsiaTheme="minorEastAsia"/>
          <w:color w:val="000000" w:themeColor="text1"/>
          <w:sz w:val="24"/>
          <w:szCs w:val="24"/>
          <w14:textFill>
            <w14:solidFill>
              <w14:schemeClr w14:val="tx1"/>
            </w14:solidFill>
          </w14:textFill>
        </w:rPr>
        <w:tab/>
      </w:r>
      <w:r>
        <w:rPr>
          <w:rFonts w:eastAsiaTheme="minorEastAsia"/>
          <w:color w:val="000000" w:themeColor="text1"/>
          <w:sz w:val="24"/>
          <w:szCs w:val="24"/>
          <w14:textFill>
            <w14:solidFill>
              <w14:schemeClr w14:val="tx1"/>
            </w14:solidFill>
          </w14:textFill>
        </w:rPr>
        <w:t>1.10</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1.15</w:t>
      </w:r>
    </w:p>
    <w:p w14:paraId="2DCB0D7E">
      <w:pPr>
        <w:tabs>
          <w:tab w:val="left" w:pos="4536"/>
        </w:tabs>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50</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 xml:space="preserve">100               </w:t>
      </w:r>
      <w:r>
        <w:rPr>
          <w:rFonts w:eastAsiaTheme="minorEastAsia"/>
          <w:color w:val="000000" w:themeColor="text1"/>
          <w:sz w:val="24"/>
          <w:szCs w:val="24"/>
          <w14:textFill>
            <w14:solidFill>
              <w14:schemeClr w14:val="tx1"/>
            </w14:solidFill>
          </w14:textFill>
        </w:rPr>
        <w:tab/>
      </w:r>
      <w:r>
        <w:rPr>
          <w:rFonts w:eastAsiaTheme="minorEastAsia"/>
          <w:color w:val="000000" w:themeColor="text1"/>
          <w:sz w:val="24"/>
          <w:szCs w:val="24"/>
          <w14:textFill>
            <w14:solidFill>
              <w14:schemeClr w14:val="tx1"/>
            </w14:solidFill>
          </w14:textFill>
        </w:rPr>
        <w:t>1.08</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1.05</w:t>
      </w:r>
    </w:p>
    <w:p w14:paraId="61D162A1">
      <w:pPr>
        <w:tabs>
          <w:tab w:val="left" w:pos="4536"/>
        </w:tabs>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大于</w:t>
      </w:r>
      <w:r>
        <w:rPr>
          <w:rFonts w:eastAsiaTheme="minorEastAsia"/>
          <w:color w:val="000000" w:themeColor="text1"/>
          <w:sz w:val="24"/>
          <w:szCs w:val="24"/>
          <w14:textFill>
            <w14:solidFill>
              <w14:schemeClr w14:val="tx1"/>
            </w14:solidFill>
          </w14:textFill>
        </w:rPr>
        <w:t xml:space="preserve">100                </w:t>
      </w:r>
      <w:r>
        <w:rPr>
          <w:rFonts w:eastAsiaTheme="minorEastAsia"/>
          <w:color w:val="000000" w:themeColor="text1"/>
          <w:sz w:val="24"/>
          <w:szCs w:val="24"/>
          <w14:textFill>
            <w14:solidFill>
              <w14:schemeClr w14:val="tx1"/>
            </w14:solidFill>
          </w14:textFill>
        </w:rPr>
        <w:tab/>
      </w:r>
      <w:r>
        <w:rPr>
          <w:rFonts w:eastAsiaTheme="minorEastAsia"/>
          <w:color w:val="000000" w:themeColor="text1"/>
          <w:sz w:val="24"/>
          <w:szCs w:val="24"/>
          <w14:textFill>
            <w14:solidFill>
              <w14:schemeClr w14:val="tx1"/>
            </w14:solidFill>
          </w14:textFill>
        </w:rPr>
        <w:t>1.05</w:t>
      </w:r>
    </w:p>
    <w:p w14:paraId="38C19BB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4.1.2  </w:t>
      </w:r>
      <w:r>
        <w:rPr>
          <w:rFonts w:hint="eastAsia" w:eastAsiaTheme="minorEastAsia"/>
          <w:color w:val="000000" w:themeColor="text1"/>
          <w:sz w:val="24"/>
          <w:szCs w:val="24"/>
          <w14:textFill>
            <w14:solidFill>
              <w14:schemeClr w14:val="tx1"/>
            </w14:solidFill>
          </w14:textFill>
        </w:rPr>
        <w:t>除了轴承、密封圈及转运部件可在正常寿命期间更换外，其余材料和部件应在正常情况下运行二十年。轴承、密封圈及转运部件的寿命期如下表：</w:t>
      </w:r>
    </w:p>
    <w:p w14:paraId="7680BF6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p>
    <w:tbl>
      <w:tblPr>
        <w:tblStyle w:val="41"/>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041"/>
        <w:gridCol w:w="3043"/>
        <w:gridCol w:w="3043"/>
      </w:tblGrid>
      <w:tr w14:paraId="3623D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041" w:type="dxa"/>
            <w:vAlign w:val="center"/>
          </w:tcPr>
          <w:p w14:paraId="443AFA01">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部</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件</w:t>
            </w:r>
          </w:p>
        </w:tc>
        <w:tc>
          <w:tcPr>
            <w:tcW w:w="3043" w:type="dxa"/>
            <w:vAlign w:val="center"/>
          </w:tcPr>
          <w:p w14:paraId="2595C551">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正常寿命</w:t>
            </w:r>
          </w:p>
        </w:tc>
        <w:tc>
          <w:tcPr>
            <w:tcW w:w="3043" w:type="dxa"/>
            <w:vAlign w:val="center"/>
          </w:tcPr>
          <w:p w14:paraId="7DBF7CCE">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备</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注</w:t>
            </w:r>
          </w:p>
        </w:tc>
      </w:tr>
      <w:tr w14:paraId="089E0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041" w:type="dxa"/>
            <w:vAlign w:val="center"/>
          </w:tcPr>
          <w:p w14:paraId="17E913D1">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轴承</w:t>
            </w:r>
          </w:p>
        </w:tc>
        <w:tc>
          <w:tcPr>
            <w:tcW w:w="3043" w:type="dxa"/>
            <w:vAlign w:val="center"/>
          </w:tcPr>
          <w:p w14:paraId="63AA038D">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131400h</w:t>
            </w:r>
          </w:p>
        </w:tc>
        <w:tc>
          <w:tcPr>
            <w:tcW w:w="3043" w:type="dxa"/>
            <w:vAlign w:val="center"/>
          </w:tcPr>
          <w:p w14:paraId="0C573522">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6D0DB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041" w:type="dxa"/>
            <w:vAlign w:val="center"/>
          </w:tcPr>
          <w:p w14:paraId="31312045">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密封圈</w:t>
            </w:r>
          </w:p>
        </w:tc>
        <w:tc>
          <w:tcPr>
            <w:tcW w:w="3043" w:type="dxa"/>
            <w:vAlign w:val="center"/>
          </w:tcPr>
          <w:p w14:paraId="44AFB4CF">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17520h</w:t>
            </w:r>
          </w:p>
        </w:tc>
        <w:tc>
          <w:tcPr>
            <w:tcW w:w="3043" w:type="dxa"/>
            <w:vAlign w:val="center"/>
          </w:tcPr>
          <w:p w14:paraId="23B83674">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4623D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041" w:type="dxa"/>
            <w:vAlign w:val="center"/>
          </w:tcPr>
          <w:p w14:paraId="43401418">
            <w:pPr>
              <w:snapToGrid w:val="0"/>
              <w:spacing w:line="480" w:lineRule="atLeast"/>
              <w:jc w:val="center"/>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皮带</w:t>
            </w:r>
          </w:p>
        </w:tc>
        <w:tc>
          <w:tcPr>
            <w:tcW w:w="3043" w:type="dxa"/>
            <w:vAlign w:val="center"/>
          </w:tcPr>
          <w:p w14:paraId="0C4FB8CF">
            <w:pPr>
              <w:snapToGrid w:val="0"/>
              <w:spacing w:line="480" w:lineRule="atLeast"/>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8760h</w:t>
            </w:r>
          </w:p>
        </w:tc>
        <w:tc>
          <w:tcPr>
            <w:tcW w:w="3043" w:type="dxa"/>
            <w:vAlign w:val="center"/>
          </w:tcPr>
          <w:p w14:paraId="697199BD">
            <w:pPr>
              <w:snapToGrid w:val="0"/>
              <w:spacing w:line="480" w:lineRule="atLeast"/>
              <w:jc w:val="center"/>
              <w:rPr>
                <w:rFonts w:eastAsiaTheme="minorEastAsia"/>
                <w:color w:val="000000" w:themeColor="text1"/>
                <w:sz w:val="24"/>
                <w:szCs w:val="24"/>
                <w14:textFill>
                  <w14:solidFill>
                    <w14:schemeClr w14:val="tx1"/>
                  </w14:solidFill>
                </w14:textFill>
              </w:rPr>
            </w:pPr>
          </w:p>
        </w:tc>
      </w:tr>
    </w:tbl>
    <w:p w14:paraId="6929EA7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4.1.3  </w:t>
      </w:r>
      <w:r>
        <w:rPr>
          <w:rFonts w:hint="eastAsia" w:eastAsiaTheme="minorEastAsia"/>
          <w:color w:val="000000" w:themeColor="text1"/>
          <w:sz w:val="24"/>
          <w:szCs w:val="24"/>
          <w14:textFill>
            <w14:solidFill>
              <w14:schemeClr w14:val="tx1"/>
            </w14:solidFill>
          </w14:textFill>
        </w:rPr>
        <w:t>多联机空调系统、单元式空调机、分体空调的设计应使其在满足设计负荷的条件下平稳运行以消除机组过多的噪音、振动和位移。机组内部部件的碰撞及高速运行的地方也应尽量减少。</w:t>
      </w:r>
    </w:p>
    <w:p w14:paraId="08151F8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4.1.4  </w:t>
      </w:r>
      <w:r>
        <w:rPr>
          <w:rFonts w:hint="eastAsia" w:eastAsiaTheme="minorEastAsia"/>
          <w:color w:val="000000" w:themeColor="text1"/>
          <w:sz w:val="24"/>
          <w:szCs w:val="24"/>
          <w14:textFill>
            <w14:solidFill>
              <w14:schemeClr w14:val="tx1"/>
            </w14:solidFill>
          </w14:textFill>
        </w:rPr>
        <w:t>多联机空调系统、单元式空调机、分体空调的结构件应设计成能适应几个荷载同时作用的最严重情况，荷载包括但不限于以下项目。</w:t>
      </w:r>
    </w:p>
    <w:p w14:paraId="2D66D29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a. </w:t>
      </w:r>
      <w:r>
        <w:rPr>
          <w:rFonts w:hint="eastAsia" w:eastAsiaTheme="minorEastAsia"/>
          <w:color w:val="000000" w:themeColor="text1"/>
          <w:sz w:val="24"/>
          <w:szCs w:val="24"/>
          <w14:textFill>
            <w14:solidFill>
              <w14:schemeClr w14:val="tx1"/>
            </w14:solidFill>
          </w14:textFill>
        </w:rPr>
        <w:t>在运行和测试条件下设备部件及介质的本身荷载；</w:t>
      </w:r>
    </w:p>
    <w:p w14:paraId="5CA990D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b. </w:t>
      </w:r>
      <w:r>
        <w:rPr>
          <w:rFonts w:hint="eastAsia" w:eastAsiaTheme="minorEastAsia"/>
          <w:color w:val="000000" w:themeColor="text1"/>
          <w:sz w:val="24"/>
          <w:szCs w:val="24"/>
          <w14:textFill>
            <w14:solidFill>
              <w14:schemeClr w14:val="tx1"/>
            </w14:solidFill>
          </w14:textFill>
        </w:rPr>
        <w:t>在运行条件下所产生的工作压力；</w:t>
      </w:r>
    </w:p>
    <w:p w14:paraId="70268BD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c. </w:t>
      </w:r>
      <w:r>
        <w:rPr>
          <w:rFonts w:hint="eastAsia" w:eastAsiaTheme="minorEastAsia"/>
          <w:color w:val="000000" w:themeColor="text1"/>
          <w:sz w:val="24"/>
          <w:szCs w:val="24"/>
          <w14:textFill>
            <w14:solidFill>
              <w14:schemeClr w14:val="tx1"/>
            </w14:solidFill>
          </w14:textFill>
        </w:rPr>
        <w:t>在运行条件下所产生的热应力；</w:t>
      </w:r>
    </w:p>
    <w:p w14:paraId="11CF2A4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d. </w:t>
      </w:r>
      <w:r>
        <w:rPr>
          <w:rFonts w:hint="eastAsia" w:eastAsiaTheme="minorEastAsia"/>
          <w:color w:val="000000" w:themeColor="text1"/>
          <w:sz w:val="24"/>
          <w:szCs w:val="24"/>
          <w14:textFill>
            <w14:solidFill>
              <w14:schemeClr w14:val="tx1"/>
            </w14:solidFill>
          </w14:textFill>
        </w:rPr>
        <w:t>其它部件包括轴承反作用力、保温和机座反作用力等所引起的附加荷载；</w:t>
      </w:r>
    </w:p>
    <w:p w14:paraId="539656D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e. </w:t>
      </w:r>
      <w:r>
        <w:rPr>
          <w:rFonts w:hint="eastAsia" w:eastAsiaTheme="minorEastAsia"/>
          <w:color w:val="000000" w:themeColor="text1"/>
          <w:sz w:val="24"/>
          <w:szCs w:val="24"/>
          <w14:textFill>
            <w14:solidFill>
              <w14:schemeClr w14:val="tx1"/>
            </w14:solidFill>
          </w14:textFill>
        </w:rPr>
        <w:t>流体的运行、阀门的快关、安全阀的快开所形成的流体动力；</w:t>
      </w:r>
    </w:p>
    <w:p w14:paraId="498E368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f. </w:t>
      </w:r>
      <w:r>
        <w:rPr>
          <w:rFonts w:hint="eastAsia" w:eastAsiaTheme="minorEastAsia"/>
          <w:color w:val="000000" w:themeColor="text1"/>
          <w:sz w:val="24"/>
          <w:szCs w:val="24"/>
          <w14:textFill>
            <w14:solidFill>
              <w14:schemeClr w14:val="tx1"/>
            </w14:solidFill>
          </w14:textFill>
        </w:rPr>
        <w:t>地震荷载。</w:t>
      </w:r>
    </w:p>
    <w:p w14:paraId="6FCF546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4.1.5  </w:t>
      </w:r>
      <w:r>
        <w:rPr>
          <w:rFonts w:hint="eastAsia" w:eastAsiaTheme="minorEastAsia"/>
          <w:color w:val="000000" w:themeColor="text1"/>
          <w:sz w:val="24"/>
          <w:szCs w:val="24"/>
          <w14:textFill>
            <w14:solidFill>
              <w14:schemeClr w14:val="tx1"/>
            </w14:solidFill>
          </w14:textFill>
        </w:rPr>
        <w:t>所有室外电动设备、阀门执行机构、传感器必须是防雨型，并设置不锈钢防雨罩。</w:t>
      </w:r>
    </w:p>
    <w:p w14:paraId="7FE6C2F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4.1.6  </w:t>
      </w:r>
      <w:r>
        <w:rPr>
          <w:rFonts w:hint="eastAsia" w:eastAsiaTheme="minorEastAsia"/>
          <w:color w:val="000000" w:themeColor="text1"/>
          <w:sz w:val="24"/>
          <w:szCs w:val="24"/>
          <w14:textFill>
            <w14:solidFill>
              <w14:schemeClr w14:val="tx1"/>
            </w14:solidFill>
          </w14:textFill>
        </w:rPr>
        <w:t>坚持资源节约型和环境友好型原则，同时考虑降低投资成本和提高运行经济性，空调设备的制冷工质应采用环保型。</w:t>
      </w:r>
    </w:p>
    <w:p w14:paraId="52D1A6B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4.1.7  </w:t>
      </w:r>
      <w:r>
        <w:rPr>
          <w:rFonts w:hint="eastAsia" w:eastAsiaTheme="minorEastAsia"/>
          <w:color w:val="000000" w:themeColor="text1"/>
          <w:sz w:val="24"/>
          <w:szCs w:val="24"/>
          <w14:textFill>
            <w14:solidFill>
              <w14:schemeClr w14:val="tx1"/>
            </w14:solidFill>
          </w14:textFill>
        </w:rPr>
        <w:t>应对噪声、工频电场和磁场、高频电磁波、通信干扰等方面采取必要的防治措施，并满足国家相关标准的要求。</w:t>
      </w:r>
    </w:p>
    <w:p w14:paraId="4FF67EF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p>
    <w:p w14:paraId="3E72CA6A">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536" w:name="_Toc526064881"/>
      <w:r>
        <w:rPr>
          <w:rFonts w:eastAsiaTheme="minorEastAsia"/>
          <w:bCs/>
          <w:color w:val="000000" w:themeColor="text1"/>
          <w:szCs w:val="24"/>
          <w14:textFill>
            <w14:solidFill>
              <w14:schemeClr w14:val="tx1"/>
            </w14:solidFill>
          </w14:textFill>
        </w:rPr>
        <w:t xml:space="preserve"> </w:t>
      </w:r>
      <w:bookmarkStart w:id="537" w:name="_Toc526079271"/>
      <w:bookmarkStart w:id="538" w:name="_Toc220074807"/>
      <w:bookmarkStart w:id="539" w:name="_Toc526079165"/>
      <w:r>
        <w:rPr>
          <w:rFonts w:hint="eastAsia" w:eastAsiaTheme="minorEastAsia"/>
          <w:bCs/>
          <w:color w:val="000000" w:themeColor="text1"/>
          <w:szCs w:val="24"/>
          <w14:textFill>
            <w14:solidFill>
              <w14:schemeClr w14:val="tx1"/>
            </w14:solidFill>
          </w14:textFill>
        </w:rPr>
        <w:t>设备设计和结构特点</w:t>
      </w:r>
      <w:bookmarkEnd w:id="536"/>
      <w:bookmarkEnd w:id="537"/>
      <w:bookmarkEnd w:id="538"/>
      <w:bookmarkEnd w:id="539"/>
    </w:p>
    <w:p w14:paraId="7F723578">
      <w:pPr>
        <w:pStyle w:val="121"/>
        <w:numPr>
          <w:ilvl w:val="2"/>
          <w:numId w:val="20"/>
        </w:numPr>
        <w:tabs>
          <w:tab w:val="left" w:pos="1134"/>
        </w:tabs>
        <w:snapToGrid w:val="0"/>
        <w:spacing w:line="480" w:lineRule="atLeast"/>
        <w:outlineLvl w:val="2"/>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多联机空调系统</w:t>
      </w:r>
    </w:p>
    <w:p w14:paraId="04B8D37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4.2.1</w:t>
      </w:r>
      <w:r>
        <w:rPr>
          <w:rFonts w:eastAsiaTheme="minorEastAsia"/>
          <w:color w:val="000000" w:themeColor="text1"/>
          <w:sz w:val="24"/>
          <w:szCs w:val="24"/>
          <w14:textFill>
            <w14:solidFill>
              <w14:schemeClr w14:val="tx1"/>
            </w14:solidFill>
          </w14:textFill>
        </w:rPr>
        <w:t xml:space="preserve">.1 </w:t>
      </w:r>
      <w:r>
        <w:rPr>
          <w:rFonts w:hint="eastAsia" w:eastAsiaTheme="minorEastAsia"/>
          <w:color w:val="000000" w:themeColor="text1"/>
          <w:sz w:val="24"/>
          <w:szCs w:val="24"/>
          <w14:textFill>
            <w14:solidFill>
              <w14:schemeClr w14:val="tx1"/>
            </w14:solidFill>
          </w14:textFill>
        </w:rPr>
        <w:t>主要技术要求</w:t>
      </w:r>
    </w:p>
    <w:p w14:paraId="4194DD9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多联机空调机组应选用优质</w:t>
      </w:r>
      <w:r>
        <w:rPr>
          <w:rFonts w:hint="eastAsia" w:eastAsiaTheme="minorEastAsia"/>
          <w:color w:val="000000" w:themeColor="text1"/>
          <w:sz w:val="24"/>
          <w:szCs w:val="24"/>
          <w:lang w:val="en-US" w:eastAsia="zh-CN"/>
          <w14:textFill>
            <w14:solidFill>
              <w14:schemeClr w14:val="tx1"/>
            </w14:solidFill>
          </w14:textFill>
        </w:rPr>
        <w:t>产品</w:t>
      </w:r>
      <w:r>
        <w:rPr>
          <w:rFonts w:hint="eastAsia" w:eastAsiaTheme="minorEastAsia"/>
          <w:color w:val="000000" w:themeColor="text1"/>
          <w:sz w:val="24"/>
          <w:szCs w:val="24"/>
          <w14:textFill>
            <w14:solidFill>
              <w14:schemeClr w14:val="tx1"/>
            </w14:solidFill>
          </w14:textFill>
        </w:rPr>
        <w:t>，机组采用环保冷媒，机组全年性能系数（APF）应达到《建筑节能与可再生能源利用通用规范》（GB55015）规范中3.2.12的各制冷量所对应的限值。</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2972"/>
        <w:gridCol w:w="3544"/>
      </w:tblGrid>
      <w:tr w14:paraId="0FB9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972" w:type="dxa"/>
            <w:vAlign w:val="center"/>
          </w:tcPr>
          <w:p w14:paraId="0705922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名义制冷量CC</w:t>
            </w:r>
          </w:p>
          <w:p w14:paraId="7BC54AD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（kW）</w:t>
            </w:r>
          </w:p>
        </w:tc>
        <w:tc>
          <w:tcPr>
            <w:tcW w:w="3544" w:type="dxa"/>
            <w:vAlign w:val="center"/>
          </w:tcPr>
          <w:p w14:paraId="5AD433E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风冷多联式空调（热泵）机组</w:t>
            </w:r>
          </w:p>
          <w:p w14:paraId="19D8080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全年性能系数（APF）</w:t>
            </w:r>
          </w:p>
        </w:tc>
      </w:tr>
      <w:tr w14:paraId="4053A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972" w:type="dxa"/>
            <w:vAlign w:val="center"/>
          </w:tcPr>
          <w:p w14:paraId="5E5A17A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CC≤14.0</w:t>
            </w:r>
          </w:p>
        </w:tc>
        <w:tc>
          <w:tcPr>
            <w:tcW w:w="3544" w:type="dxa"/>
            <w:vAlign w:val="center"/>
          </w:tcPr>
          <w:p w14:paraId="41499E8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4.40</w:t>
            </w:r>
          </w:p>
        </w:tc>
      </w:tr>
      <w:tr w14:paraId="6EDDB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972" w:type="dxa"/>
            <w:vAlign w:val="center"/>
          </w:tcPr>
          <w:p w14:paraId="64CDAF0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14＜CC≤28</w:t>
            </w:r>
          </w:p>
        </w:tc>
        <w:tc>
          <w:tcPr>
            <w:tcW w:w="3544" w:type="dxa"/>
            <w:vAlign w:val="center"/>
          </w:tcPr>
          <w:p w14:paraId="41BF9C5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4.30</w:t>
            </w:r>
          </w:p>
        </w:tc>
      </w:tr>
      <w:tr w14:paraId="6B1EE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972" w:type="dxa"/>
            <w:vAlign w:val="center"/>
          </w:tcPr>
          <w:p w14:paraId="4A46FB5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28＜CC≤50</w:t>
            </w:r>
          </w:p>
        </w:tc>
        <w:tc>
          <w:tcPr>
            <w:tcW w:w="3544" w:type="dxa"/>
            <w:vAlign w:val="center"/>
          </w:tcPr>
          <w:p w14:paraId="2025F46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4.20</w:t>
            </w:r>
          </w:p>
        </w:tc>
      </w:tr>
      <w:tr w14:paraId="17306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972" w:type="dxa"/>
            <w:vAlign w:val="center"/>
          </w:tcPr>
          <w:p w14:paraId="1C2BB8A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50＜CC≤68</w:t>
            </w:r>
          </w:p>
        </w:tc>
        <w:tc>
          <w:tcPr>
            <w:tcW w:w="3544" w:type="dxa"/>
            <w:vAlign w:val="center"/>
          </w:tcPr>
          <w:p w14:paraId="54568B7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4.00</w:t>
            </w:r>
          </w:p>
        </w:tc>
      </w:tr>
      <w:tr w14:paraId="3FF9F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972" w:type="dxa"/>
            <w:vAlign w:val="center"/>
          </w:tcPr>
          <w:p w14:paraId="37C0684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CC＞68</w:t>
            </w:r>
          </w:p>
        </w:tc>
        <w:tc>
          <w:tcPr>
            <w:tcW w:w="3544" w:type="dxa"/>
            <w:vAlign w:val="center"/>
          </w:tcPr>
          <w:p w14:paraId="6B6C976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3.80</w:t>
            </w:r>
          </w:p>
        </w:tc>
      </w:tr>
    </w:tbl>
    <w:p w14:paraId="73671F5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p>
    <w:p w14:paraId="562AA03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制冷运转范围：15</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55℃</w:t>
      </w:r>
      <w:r>
        <w:rPr>
          <w:rFonts w:eastAsiaTheme="minorEastAsia"/>
          <w:color w:val="000000" w:themeColor="text1"/>
          <w:sz w:val="24"/>
          <w:szCs w:val="24"/>
          <w14:textFill>
            <w14:solidFill>
              <w14:schemeClr w14:val="tx1"/>
            </w14:solidFill>
          </w14:textFill>
        </w:rPr>
        <w:t>(DB)；制热运转范围：-15</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～15</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(WB)。</w:t>
      </w:r>
    </w:p>
    <w:p w14:paraId="3C50C2E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运转：按GB/T 18837-2002试验，所测电流、电压、输入功率等参数应符合设计要求。</w:t>
      </w:r>
    </w:p>
    <w:p w14:paraId="01530EB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制冷（热）量：按GB/T 18837试验时，机组的实测制冷量不应小于其名义制冷（热）量的92%。热泵型机组的热泵名义制热量不应低于其名义制冷量。</w:t>
      </w:r>
    </w:p>
    <w:p w14:paraId="6A68255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制冷系统密封性能：按GB/T 18837试验时，制冷系统各部分不应有制冷剂泄漏。</w:t>
      </w:r>
    </w:p>
    <w:p w14:paraId="386CA66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制冷（热）消耗功率：按GB/T 18837试验时，机组的实测制冷（热）消耗功率不应大于其名义制冷消耗功率的l10%。</w:t>
      </w:r>
    </w:p>
    <w:p w14:paraId="3B3802F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电热装置制热消耗功率：按GB/T 18837试验时，机组的多联机检测实测制热消耗功率要求为：每种电热装置的消耗功率允差应为电热装置额定消耗功率的-10%-+5%。</w:t>
      </w:r>
    </w:p>
    <w:p w14:paraId="6ED6F09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室内机最小运行制冷：按GB/T 18837试验时，机组多联机检测在停机10min后起动，连续运行4h，运行中安全装置不应跳开，室内机蒸发器的迎风面表面凝结的冰霜面积不应大于蒸发器面积的50%。</w:t>
      </w:r>
    </w:p>
    <w:p w14:paraId="46D8741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室内机凝露：按GB/T 18837试验时，机组室内机箱体外表面凝露不应有滴下，室内送风不应带有水滴。</w:t>
      </w:r>
    </w:p>
    <w:p w14:paraId="78E9BEC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室内机凝结水排除能力：按GB/T 18837试验时，机组室内机应具有排除凝结水的能力（</w:t>
      </w:r>
      <w:r>
        <w:rPr>
          <w:rFonts w:hint="eastAsia" w:eastAsiaTheme="minorEastAsia"/>
          <w:color w:val="000000" w:themeColor="text1"/>
          <w:sz w:val="24"/>
          <w:szCs w:val="24"/>
          <w14:textFill>
            <w14:solidFill>
              <w14:schemeClr w14:val="tx1"/>
            </w14:solidFill>
          </w14:textFill>
        </w:rPr>
        <w:t>带冷凝水排水泵</w:t>
      </w:r>
      <w:r>
        <w:rPr>
          <w:rFonts w:eastAsiaTheme="minorEastAsia"/>
          <w:color w:val="000000" w:themeColor="text1"/>
          <w:sz w:val="24"/>
          <w:szCs w:val="24"/>
          <w14:textFill>
            <w14:solidFill>
              <w14:schemeClr w14:val="tx1"/>
            </w14:solidFill>
          </w14:textFill>
        </w:rPr>
        <w:t>），不应有水从机组中溢出或吹出。</w:t>
      </w:r>
    </w:p>
    <w:p w14:paraId="4B0FDBC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自动除霜：按GB/T 18837试验时，要求多联机检测除霜所需总时间不超过试验总时间的20%；在除霜周期中，室内机的送风温度低于18℃的持续时间应不超过l min。融霜周期结束时，室外侧的空气温度升高不应大于5℃。</w:t>
      </w:r>
    </w:p>
    <w:p w14:paraId="3A48321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室外机噪声不得超过65dB(A)，室内机噪声不得超过45dB(A)，测试环境满足国家相关规范要求。噪声测试点为离机组1.5m，离地1m高处。</w:t>
      </w:r>
    </w:p>
    <w:p w14:paraId="220607D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室外设备及元件要采取有效的防暴晒及冬季防冻防雪措施，室外布置的电动执行器、等均需选用防雨型，并设置不锈钢防雨罩，室外布置的传感器、变送器、温度计、压力表采用防冻、防水型，防水等级不低于IP45，并带保护套。</w:t>
      </w:r>
    </w:p>
    <w:p w14:paraId="7EB6113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4.2.1.2</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主要部件及材质</w:t>
      </w:r>
    </w:p>
    <w:p w14:paraId="29BE5C2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（1）</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 </w:t>
      </w:r>
      <w:r>
        <w:rPr>
          <w:rFonts w:eastAsiaTheme="minorEastAsia"/>
          <w:color w:val="000000" w:themeColor="text1"/>
          <w:sz w:val="24"/>
          <w:szCs w:val="24"/>
          <w14:textFill>
            <w14:solidFill>
              <w14:schemeClr w14:val="tx1"/>
            </w14:solidFill>
          </w14:textFill>
        </w:rPr>
        <w:t>空调机组所采用的压缩机、风机、换热盘管、膨胀阀及电气元器件应采用优质名牌产品，在宽广的温度和压力范围内可高效运行。压缩机需带减</w:t>
      </w:r>
      <w:r>
        <w:rPr>
          <w:rFonts w:hint="eastAsia" w:eastAsiaTheme="minorEastAsia"/>
          <w:color w:val="000000" w:themeColor="text1"/>
          <w:sz w:val="24"/>
          <w:szCs w:val="24"/>
          <w14:textFill>
            <w14:solidFill>
              <w14:schemeClr w14:val="tx1"/>
            </w14:solidFill>
          </w14:textFill>
        </w:rPr>
        <w:t>振</w:t>
      </w:r>
      <w:r>
        <w:rPr>
          <w:rFonts w:eastAsiaTheme="minorEastAsia"/>
          <w:color w:val="000000" w:themeColor="text1"/>
          <w:sz w:val="24"/>
          <w:szCs w:val="24"/>
          <w14:textFill>
            <w14:solidFill>
              <w14:schemeClr w14:val="tx1"/>
            </w14:solidFill>
          </w14:textFill>
        </w:rPr>
        <w:t>装置，维修方便。在运行中，有良好的润滑保障。压缩机应有良好的回油措施，回油运转时间短，降低对系统的污染。</w:t>
      </w:r>
    </w:p>
    <w:p w14:paraId="06E2AFA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 </w:t>
      </w:r>
      <w:r>
        <w:rPr>
          <w:rFonts w:eastAsiaTheme="minorEastAsia"/>
          <w:color w:val="000000" w:themeColor="text1"/>
          <w:sz w:val="24"/>
          <w:szCs w:val="24"/>
          <w14:textFill>
            <w14:solidFill>
              <w14:schemeClr w14:val="tx1"/>
            </w14:solidFill>
          </w14:textFill>
        </w:rPr>
        <w:t>各转动件必须转动灵活，不得有卡阻现象，润滑部分应密封良好，不得有油脂渗漏现象。</w:t>
      </w:r>
    </w:p>
    <w:p w14:paraId="417A08F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 </w:t>
      </w:r>
      <w:r>
        <w:rPr>
          <w:rFonts w:eastAsiaTheme="minorEastAsia"/>
          <w:color w:val="000000" w:themeColor="text1"/>
          <w:sz w:val="24"/>
          <w:szCs w:val="24"/>
          <w14:textFill>
            <w14:solidFill>
              <w14:schemeClr w14:val="tx1"/>
            </w14:solidFill>
          </w14:textFill>
        </w:rPr>
        <w:t>机组各零部件的安装应牢固可靠，管路与零部件不应有相互摩擦和碰撞，对于易于磨损、腐蚀、老化或需要调整、检查和更换的部件应提供备品备件，且所使用的零件或组件应有良好的互换性，并能方便地拆卸、更换和修理。</w:t>
      </w:r>
    </w:p>
    <w:p w14:paraId="01B7B1E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 </w:t>
      </w:r>
      <w:r>
        <w:rPr>
          <w:rFonts w:eastAsiaTheme="minorEastAsia"/>
          <w:color w:val="000000" w:themeColor="text1"/>
          <w:sz w:val="24"/>
          <w:szCs w:val="24"/>
          <w14:textFill>
            <w14:solidFill>
              <w14:schemeClr w14:val="tx1"/>
            </w14:solidFill>
          </w14:textFill>
        </w:rPr>
        <w:t>机组制冷系统零部件的材料应能在制冷剂、润滑油及其混合物的作用下，不产生劣化且保证整机正常工作。</w:t>
      </w:r>
    </w:p>
    <w:p w14:paraId="7F306BD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 </w:t>
      </w:r>
      <w:r>
        <w:rPr>
          <w:rFonts w:eastAsiaTheme="minorEastAsia"/>
          <w:color w:val="000000" w:themeColor="text1"/>
          <w:sz w:val="24"/>
          <w:szCs w:val="24"/>
          <w14:textFill>
            <w14:solidFill>
              <w14:schemeClr w14:val="tx1"/>
            </w14:solidFill>
          </w14:textFill>
        </w:rPr>
        <w:t>机组结构和系统零部件的材料，应考虑采用环保材料和可作为再生资源而利用的材料。</w:t>
      </w:r>
    </w:p>
    <w:p w14:paraId="7FA511A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（6） </w:t>
      </w:r>
      <w:r>
        <w:rPr>
          <w:rFonts w:eastAsiaTheme="minorEastAsia"/>
          <w:color w:val="000000" w:themeColor="text1"/>
          <w:sz w:val="24"/>
          <w:szCs w:val="24"/>
          <w14:textFill>
            <w14:solidFill>
              <w14:schemeClr w14:val="tx1"/>
            </w14:solidFill>
          </w14:textFill>
        </w:rPr>
        <w:t>机组的黑色金属制件表面应进行防锈蚀处理，电镀件表面应光滑、色泽均匀，不得有剥落、针孔，不应有明显的花斑和划伤等缺陷。</w:t>
      </w:r>
    </w:p>
    <w:p w14:paraId="7AA35DF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（7） </w:t>
      </w:r>
      <w:r>
        <w:rPr>
          <w:rFonts w:eastAsiaTheme="minorEastAsia"/>
          <w:color w:val="000000" w:themeColor="text1"/>
          <w:sz w:val="24"/>
          <w:szCs w:val="24"/>
          <w14:textFill>
            <w14:solidFill>
              <w14:schemeClr w14:val="tx1"/>
            </w14:solidFill>
          </w14:textFill>
        </w:rPr>
        <w:t>涂漆件表面不应有明显的气泡、流痕、漏涂、底漆外露及不应有的皱纹和其他损伤。涂漆件的涂膜附着力按国家标准试验后，漆膜脱落格数不超过15%。</w:t>
      </w:r>
    </w:p>
    <w:p w14:paraId="68593B1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（8） </w:t>
      </w:r>
      <w:r>
        <w:rPr>
          <w:rFonts w:eastAsiaTheme="minorEastAsia"/>
          <w:color w:val="000000" w:themeColor="text1"/>
          <w:sz w:val="24"/>
          <w:szCs w:val="24"/>
          <w14:textFill>
            <w14:solidFill>
              <w14:schemeClr w14:val="tx1"/>
            </w14:solidFill>
          </w14:textFill>
        </w:rPr>
        <w:t>装饰性塑料件表面应平整、色泽均匀，不得有裂痕、气泡和明显缩孔等缺陷，塑料件应耐老化。</w:t>
      </w:r>
    </w:p>
    <w:p w14:paraId="423C407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（9） </w:t>
      </w:r>
      <w:r>
        <w:rPr>
          <w:rFonts w:eastAsiaTheme="minorEastAsia"/>
          <w:color w:val="000000" w:themeColor="text1"/>
          <w:sz w:val="24"/>
          <w:szCs w:val="24"/>
          <w14:textFill>
            <w14:solidFill>
              <w14:schemeClr w14:val="tx1"/>
            </w14:solidFill>
          </w14:textFill>
        </w:rPr>
        <w:t>机组电镀件试验后，金属镀层上的每个锈点锈迹面积不应超过1mm</w:t>
      </w:r>
      <w:r>
        <w:rPr>
          <w:rFonts w:eastAsiaTheme="minorEastAsia"/>
          <w:color w:val="000000" w:themeColor="text1"/>
          <w:sz w:val="24"/>
          <w:szCs w:val="24"/>
          <w:vertAlign w:val="superscript"/>
          <w14:textFill>
            <w14:solidFill>
              <w14:schemeClr w14:val="tx1"/>
            </w14:solidFill>
          </w14:textFill>
        </w:rPr>
        <w:t>2</w:t>
      </w:r>
      <w:r>
        <w:rPr>
          <w:rFonts w:eastAsiaTheme="minorEastAsia"/>
          <w:color w:val="000000" w:themeColor="text1"/>
          <w:sz w:val="24"/>
          <w:szCs w:val="24"/>
          <w14:textFill>
            <w14:solidFill>
              <w14:schemeClr w14:val="tx1"/>
            </w14:solidFill>
          </w14:textFill>
        </w:rPr>
        <w:t>，大于100cm</w:t>
      </w:r>
      <w:r>
        <w:rPr>
          <w:rFonts w:eastAsiaTheme="minorEastAsia"/>
          <w:color w:val="000000" w:themeColor="text1"/>
          <w:sz w:val="24"/>
          <w:szCs w:val="24"/>
          <w:vertAlign w:val="superscript"/>
          <w14:textFill>
            <w14:solidFill>
              <w14:schemeClr w14:val="tx1"/>
            </w14:solidFill>
          </w14:textFill>
        </w:rPr>
        <w:t>2</w:t>
      </w:r>
      <w:r>
        <w:rPr>
          <w:rFonts w:eastAsiaTheme="minorEastAsia"/>
          <w:color w:val="000000" w:themeColor="text1"/>
          <w:sz w:val="24"/>
          <w:szCs w:val="24"/>
          <w14:textFill>
            <w14:solidFill>
              <w14:schemeClr w14:val="tx1"/>
            </w14:solidFill>
          </w14:textFill>
        </w:rPr>
        <w:t>的试件，每100cm</w:t>
      </w:r>
      <w:r>
        <w:rPr>
          <w:rFonts w:eastAsiaTheme="minorEastAsia"/>
          <w:color w:val="000000" w:themeColor="text1"/>
          <w:sz w:val="24"/>
          <w:szCs w:val="24"/>
          <w:vertAlign w:val="superscript"/>
          <w14:textFill>
            <w14:solidFill>
              <w14:schemeClr w14:val="tx1"/>
            </w14:solidFill>
          </w14:textFill>
        </w:rPr>
        <w:t>2</w:t>
      </w:r>
      <w:r>
        <w:rPr>
          <w:rFonts w:eastAsiaTheme="minorEastAsia"/>
          <w:color w:val="000000" w:themeColor="text1"/>
          <w:sz w:val="24"/>
          <w:szCs w:val="24"/>
          <w14:textFill>
            <w14:solidFill>
              <w14:schemeClr w14:val="tx1"/>
            </w14:solidFill>
          </w14:textFill>
        </w:rPr>
        <w:t>试件镀层不超过2个锈点、锈迹；小于100cm</w:t>
      </w:r>
      <w:r>
        <w:rPr>
          <w:rFonts w:eastAsiaTheme="minorEastAsia"/>
          <w:color w:val="000000" w:themeColor="text1"/>
          <w:sz w:val="24"/>
          <w:szCs w:val="24"/>
          <w:vertAlign w:val="superscript"/>
          <w14:textFill>
            <w14:solidFill>
              <w14:schemeClr w14:val="tx1"/>
            </w14:solidFill>
          </w14:textFill>
        </w:rPr>
        <w:t>2</w:t>
      </w:r>
      <w:r>
        <w:rPr>
          <w:rFonts w:eastAsiaTheme="minorEastAsia"/>
          <w:color w:val="000000" w:themeColor="text1"/>
          <w:sz w:val="24"/>
          <w:szCs w:val="24"/>
          <w14:textFill>
            <w14:solidFill>
              <w14:schemeClr w14:val="tx1"/>
            </w14:solidFill>
          </w14:textFill>
        </w:rPr>
        <w:t>的试件，不应有锈点和锈迹。</w:t>
      </w:r>
    </w:p>
    <w:p w14:paraId="1C81D2A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（10）</w:t>
      </w:r>
      <w:r>
        <w:rPr>
          <w:rFonts w:eastAsiaTheme="minorEastAsia"/>
          <w:color w:val="000000" w:themeColor="text1"/>
          <w:sz w:val="24"/>
          <w:szCs w:val="24"/>
          <w14:textFill>
            <w14:solidFill>
              <w14:schemeClr w14:val="tx1"/>
            </w14:solidFill>
          </w14:textFill>
        </w:rPr>
        <w:t>变频多联空调机应提供室内、外机组的连接铜管及配件，管道之间的连接必须严密，不得有泄漏制冷剂现象，系统中所有需维修或可拆卸的部件均采用扩口接头，系统管道连接完成后，应经过2.24MPa干燥氮气的耐压试验和制冷剂的检漏试验。</w:t>
      </w:r>
    </w:p>
    <w:p w14:paraId="3B7BE83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（11） </w:t>
      </w:r>
      <w:r>
        <w:rPr>
          <w:rFonts w:eastAsiaTheme="minorEastAsia"/>
          <w:color w:val="000000" w:themeColor="text1"/>
          <w:sz w:val="24"/>
          <w:szCs w:val="24"/>
          <w14:textFill>
            <w14:solidFill>
              <w14:schemeClr w14:val="tx1"/>
            </w14:solidFill>
          </w14:textFill>
        </w:rPr>
        <w:t>机组应有良好的隔热措施。隔热材料应具有无毒、无腐蚀、无异味、不起尘、无异味、不吸湿的性能，并符合有关建筑防火规范的要求。粘贴应平整、牢固。不得有附着不良、剥落和霉烂等现象。隔热材料应符合国家有关标准的要求。</w:t>
      </w:r>
    </w:p>
    <w:p w14:paraId="1B88C77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7.6.3</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室内机型式</w:t>
      </w:r>
    </w:p>
    <w:p w14:paraId="69583A1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 </w:t>
      </w:r>
      <w:r>
        <w:rPr>
          <w:rFonts w:eastAsiaTheme="minorEastAsia"/>
          <w:color w:val="000000" w:themeColor="text1"/>
          <w:sz w:val="24"/>
          <w:szCs w:val="24"/>
          <w14:textFill>
            <w14:solidFill>
              <w14:schemeClr w14:val="tx1"/>
            </w14:solidFill>
          </w14:textFill>
        </w:rPr>
        <w:t>室内机的型式应根据设计确定，在本规范</w:t>
      </w:r>
      <w:r>
        <w:rPr>
          <w:rFonts w:hint="eastAsia" w:eastAsiaTheme="minorEastAsia"/>
          <w:color w:val="000000" w:themeColor="text1"/>
          <w:sz w:val="24"/>
          <w:szCs w:val="24"/>
          <w14:textFill>
            <w14:solidFill>
              <w14:schemeClr w14:val="tx1"/>
            </w14:solidFill>
          </w14:textFill>
        </w:rPr>
        <w:t>书的</w:t>
      </w:r>
      <w:r>
        <w:rPr>
          <w:rFonts w:eastAsiaTheme="minorEastAsia"/>
          <w:color w:val="000000" w:themeColor="text1"/>
          <w:sz w:val="24"/>
          <w:szCs w:val="24"/>
          <w14:textFill>
            <w14:solidFill>
              <w14:schemeClr w14:val="tx1"/>
            </w14:solidFill>
          </w14:textFill>
        </w:rPr>
        <w:t>室内温湿度条件下，空调装置的室内机应能保证送风不结露。室内机款式</w:t>
      </w:r>
      <w:r>
        <w:rPr>
          <w:rFonts w:hint="eastAsia" w:eastAsiaTheme="minorEastAsia"/>
          <w:color w:val="000000" w:themeColor="text1"/>
          <w:sz w:val="24"/>
          <w:szCs w:val="24"/>
          <w14:textFill>
            <w14:solidFill>
              <w14:schemeClr w14:val="tx1"/>
            </w14:solidFill>
          </w14:textFill>
        </w:rPr>
        <w:t>应与建筑装修匹配，</w:t>
      </w:r>
      <w:r>
        <w:rPr>
          <w:rFonts w:eastAsiaTheme="minorEastAsia"/>
          <w:color w:val="000000" w:themeColor="text1"/>
          <w:sz w:val="24"/>
          <w:szCs w:val="24"/>
          <w14:textFill>
            <w14:solidFill>
              <w14:schemeClr w14:val="tx1"/>
            </w14:solidFill>
          </w14:textFill>
        </w:rPr>
        <w:t>必须包含</w:t>
      </w:r>
      <w:r>
        <w:rPr>
          <w:rFonts w:hint="eastAsia" w:eastAsiaTheme="minorEastAsia"/>
          <w:color w:val="000000" w:themeColor="text1"/>
          <w:sz w:val="24"/>
          <w:szCs w:val="24"/>
          <w14:textFill>
            <w14:solidFill>
              <w14:schemeClr w14:val="tx1"/>
            </w14:solidFill>
          </w14:textFill>
        </w:rPr>
        <w:t>并不限于高静压风管式</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卧式暗装式、卧式明装式、</w:t>
      </w:r>
      <w:r>
        <w:rPr>
          <w:rFonts w:eastAsiaTheme="minorEastAsia"/>
          <w:color w:val="000000" w:themeColor="text1"/>
          <w:sz w:val="24"/>
          <w:szCs w:val="24"/>
          <w14:textFill>
            <w14:solidFill>
              <w14:schemeClr w14:val="tx1"/>
            </w14:solidFill>
          </w14:textFill>
        </w:rPr>
        <w:t>四面出风天花板嵌入式</w:t>
      </w:r>
      <w:r>
        <w:rPr>
          <w:rFonts w:hint="eastAsia" w:ascii="宋体" w:hAnsi="宋体"/>
          <w:sz w:val="24"/>
          <w:szCs w:val="24"/>
        </w:rPr>
        <w:t>、</w:t>
      </w:r>
      <w:r>
        <w:rPr>
          <w:rFonts w:ascii="宋体" w:hAnsi="宋体"/>
          <w:sz w:val="24"/>
          <w:szCs w:val="24"/>
        </w:rPr>
        <w:t>新风机</w:t>
      </w:r>
      <w:r>
        <w:rPr>
          <w:rFonts w:eastAsiaTheme="minorEastAsia"/>
          <w:color w:val="000000" w:themeColor="text1"/>
          <w:sz w:val="24"/>
          <w:szCs w:val="24"/>
          <w14:textFill>
            <w14:solidFill>
              <w14:schemeClr w14:val="tx1"/>
            </w14:solidFill>
          </w14:textFill>
        </w:rPr>
        <w:t>等。</w:t>
      </w:r>
      <w:r>
        <w:rPr>
          <w:rFonts w:hint="eastAsia" w:eastAsiaTheme="minorEastAsia"/>
          <w:color w:val="000000" w:themeColor="text1"/>
          <w:sz w:val="24"/>
          <w:szCs w:val="24"/>
          <w14:textFill>
            <w14:solidFill>
              <w14:schemeClr w14:val="tx1"/>
            </w14:solidFill>
          </w14:textFill>
        </w:rPr>
        <w:t>风管式室内机具有多段静压（可调节），满足安装风管的要求。所有室内机具有良好的静音性能，室内机送风风速最少设置三挡。</w:t>
      </w:r>
    </w:p>
    <w:p w14:paraId="78B9E18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7.6.4</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压缩机</w:t>
      </w:r>
    </w:p>
    <w:p w14:paraId="0E0E7322">
      <w:pPr>
        <w:snapToGrid w:val="0"/>
        <w:spacing w:line="480" w:lineRule="atLeast"/>
        <w:ind w:firstLine="480" w:firstLineChars="200"/>
        <w:rPr>
          <w:rFonts w:eastAsiaTheme="minorEastAsia"/>
          <w:bCs/>
          <w:color w:val="000000" w:themeColor="text1"/>
          <w:sz w:val="24"/>
          <w:szCs w:val="24"/>
          <w14:textFill>
            <w14:solidFill>
              <w14:schemeClr w14:val="tx1"/>
            </w14:solidFill>
          </w14:textFill>
        </w:rPr>
      </w:pPr>
      <w:r>
        <w:rPr>
          <w:rFonts w:eastAsiaTheme="minorEastAsia"/>
          <w:bCs/>
          <w:color w:val="000000" w:themeColor="text1"/>
          <w:sz w:val="24"/>
          <w:szCs w:val="24"/>
          <w14:textFill>
            <w14:solidFill>
              <w14:schemeClr w14:val="tx1"/>
            </w14:solidFill>
          </w14:textFill>
        </w:rPr>
        <w:t>制冷压缩机</w:t>
      </w:r>
      <w:r>
        <w:rPr>
          <w:rFonts w:hint="eastAsia" w:eastAsiaTheme="minorEastAsia"/>
          <w:color w:val="000000" w:themeColor="text1"/>
          <w:sz w:val="24"/>
          <w:szCs w:val="24"/>
          <w14:textFill>
            <w14:solidFill>
              <w14:schemeClr w14:val="tx1"/>
            </w14:solidFill>
          </w14:textFill>
        </w:rPr>
        <w:t>应选用与主机同一品牌</w:t>
      </w:r>
      <w:r>
        <w:rPr>
          <w:rFonts w:eastAsiaTheme="minorEastAsia"/>
          <w:bCs/>
          <w:color w:val="000000" w:themeColor="text1"/>
          <w:sz w:val="24"/>
          <w:szCs w:val="24"/>
          <w14:textFill>
            <w14:solidFill>
              <w14:schemeClr w14:val="tx1"/>
            </w14:solidFill>
          </w14:textFill>
        </w:rPr>
        <w:t>，根据室外气象参数和室内负荷的变化，压缩机采用直流变频技术，通过自动改变运行频率的方式节省能量。</w:t>
      </w:r>
      <w:r>
        <w:rPr>
          <w:rFonts w:hint="eastAsia" w:ascii="宋体" w:hAnsi="宋体"/>
          <w:sz w:val="24"/>
          <w:szCs w:val="24"/>
        </w:rPr>
        <w:t>冬季采用不停机除霜技术，缩短除霜时间。</w:t>
      </w:r>
    </w:p>
    <w:p w14:paraId="5B63868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机组采用模块化设计，每个单元模块必须有一台数码涡旋压缩机或变频压缩机，保证各模块能够按顺序启动和轮流运行。各模块之间可以互相替代，且保证在个别模块出现故障时，其余模块能够正常运行并且代替故障模块进行工作。机组应具有较强的抗电磁干扰能力。</w:t>
      </w:r>
    </w:p>
    <w:p w14:paraId="142D35E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空调机组所采用的压缩机、风机、换热盘管、膨胀阀及电气元器件应采用优质名牌产品，在宽广的温度和压力范围内可高效运行。在运行中，有良好的润滑保障。压缩机应有良好的回油措施，回油运转时间短，降低对系统的污染。</w:t>
      </w:r>
    </w:p>
    <w:p w14:paraId="2579834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7.6.5</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风冷冷凝器</w:t>
      </w:r>
    </w:p>
    <w:p w14:paraId="41AD587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所采用的冷凝器应符合国家或行业相关规定，在工作压力下应能长期正常运行、无渗漏，且所投产品应采用多面型的换热器，提供说明如何高效换热；风机应采用高效三维轴流风叶。</w:t>
      </w:r>
    </w:p>
    <w:p w14:paraId="3228814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冷凝器应翅片应采用高防腐性翅片，铝箔表面应作防腐涂层处理。冷凝器盘管应采用紫铜管，应排列整齐、片距均匀，无裂纹、毛刺等，不允许有碰撞损坏。</w:t>
      </w:r>
    </w:p>
    <w:p w14:paraId="56F3B69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在正常使用状态下，人有可能触及的运行部分和高温零件等，机组应设置适当的防护罩或防护网，以便对人员安全提供充分的防护。防护罩、防护网或 类似部件应有足够的机械强度。</w:t>
      </w:r>
    </w:p>
    <w:p w14:paraId="5EB1859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冷凝器在压力下工作的部件应符合有关规定，在工作压力下应能长期正常运行、无渗漏。</w:t>
      </w:r>
    </w:p>
    <w:p w14:paraId="5B5FDD6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室外机冷凝风机应采用低噪音风机，可进行直流变速调节。</w:t>
      </w:r>
    </w:p>
    <w:p w14:paraId="07BDC4E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7.6.6</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制冷剂配管</w:t>
      </w:r>
    </w:p>
    <w:p w14:paraId="1637E83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 </w:t>
      </w:r>
      <w:r>
        <w:rPr>
          <w:rFonts w:eastAsiaTheme="minorEastAsia"/>
          <w:color w:val="000000" w:themeColor="text1"/>
          <w:sz w:val="24"/>
          <w:szCs w:val="24"/>
          <w14:textFill>
            <w14:solidFill>
              <w14:schemeClr w14:val="tx1"/>
            </w14:solidFill>
          </w14:textFill>
        </w:rPr>
        <w:t>机组应标注在各种条件下安全、可靠工作的技术参数，包括室内、外机的最大高度差，室内、外机最大管长，室内机之间的高差，多联机检测最大配置率，最小配置率，最低环境温度制冷，最低环境温度制热。</w:t>
      </w:r>
    </w:p>
    <w:p w14:paraId="79D4BAC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 </w:t>
      </w:r>
      <w:r>
        <w:rPr>
          <w:rFonts w:eastAsiaTheme="minorEastAsia"/>
          <w:color w:val="000000" w:themeColor="text1"/>
          <w:sz w:val="24"/>
          <w:szCs w:val="24"/>
          <w14:textFill>
            <w14:solidFill>
              <w14:schemeClr w14:val="tx1"/>
            </w14:solidFill>
          </w14:textFill>
        </w:rPr>
        <w:t>室外机容量应根据室内机容量和同时使用系数选择，并根据配管距离、室内外机的落差、环境温度等进行修正。</w:t>
      </w:r>
    </w:p>
    <w:p w14:paraId="710E6FF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7.6.7</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保温</w:t>
      </w:r>
    </w:p>
    <w:p w14:paraId="51E9FA0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 </w:t>
      </w:r>
      <w:r>
        <w:rPr>
          <w:rFonts w:eastAsiaTheme="minorEastAsia"/>
          <w:color w:val="000000" w:themeColor="text1"/>
          <w:sz w:val="24"/>
          <w:szCs w:val="24"/>
          <w14:textFill>
            <w14:solidFill>
              <w14:schemeClr w14:val="tx1"/>
            </w14:solidFill>
          </w14:textFill>
        </w:rPr>
        <w:t>冷媒铜管、冷凝水管的保温应采用橡塑保温材料，密度应达到50kg/m</w:t>
      </w:r>
      <w:r>
        <w:rPr>
          <w:rFonts w:eastAsiaTheme="minorEastAsia"/>
          <w:color w:val="000000" w:themeColor="text1"/>
          <w:sz w:val="24"/>
          <w:szCs w:val="24"/>
          <w:vertAlign w:val="superscript"/>
          <w14:textFill>
            <w14:solidFill>
              <w14:schemeClr w14:val="tx1"/>
            </w14:solidFill>
          </w14:textFill>
        </w:rPr>
        <w:t>3</w:t>
      </w:r>
      <w:r>
        <w:rPr>
          <w:rFonts w:eastAsiaTheme="minorEastAsia"/>
          <w:color w:val="000000" w:themeColor="text1"/>
          <w:sz w:val="24"/>
          <w:szCs w:val="24"/>
          <w14:textFill>
            <w14:solidFill>
              <w14:schemeClr w14:val="tx1"/>
            </w14:solidFill>
          </w14:textFill>
        </w:rPr>
        <w:t>±10%，0°C导热系数不大于0.035W/（m.k），湿阻因子不小于7500，难燃B1级，主管保温层厚度不小于22mm，支管保温层厚度不小于18mm，投入使用后外表面不得有潮湿或结露现象。</w:t>
      </w:r>
    </w:p>
    <w:p w14:paraId="182980F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7.6.7</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机组控制</w:t>
      </w:r>
    </w:p>
    <w:p w14:paraId="0B4438F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 </w:t>
      </w:r>
      <w:r>
        <w:rPr>
          <w:rFonts w:eastAsiaTheme="minorEastAsia"/>
          <w:color w:val="000000" w:themeColor="text1"/>
          <w:sz w:val="24"/>
          <w:szCs w:val="24"/>
          <w14:textFill>
            <w14:solidFill>
              <w14:schemeClr w14:val="tx1"/>
            </w14:solidFill>
          </w14:textFill>
        </w:rPr>
        <w:t>机组应具有多种控制方式，包括有线、无线遥控、集中控制和管理。</w:t>
      </w:r>
    </w:p>
    <w:p w14:paraId="534A94B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 </w:t>
      </w:r>
      <w:r>
        <w:rPr>
          <w:rFonts w:eastAsiaTheme="minorEastAsia"/>
          <w:color w:val="000000" w:themeColor="text1"/>
          <w:sz w:val="24"/>
          <w:szCs w:val="24"/>
          <w14:textFill>
            <w14:solidFill>
              <w14:schemeClr w14:val="tx1"/>
            </w14:solidFill>
          </w14:textFill>
        </w:rPr>
        <w:t>每台室内机配置一台标准有线控制器，控制器固定在墙上，在屏幕液晶显示面板能显示所有的运行情况，具有温度设定、制冷及制热模式设定，以及风量调节和故障自我诊断功能。</w:t>
      </w:r>
    </w:p>
    <w:p w14:paraId="6F388F7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（3）</w:t>
      </w:r>
      <w:r>
        <w:rPr>
          <w:rFonts w:eastAsiaTheme="minorEastAsia"/>
          <w:color w:val="000000" w:themeColor="text1"/>
          <w:sz w:val="24"/>
          <w:szCs w:val="24"/>
          <w14:textFill>
            <w14:solidFill>
              <w14:schemeClr w14:val="tx1"/>
            </w14:solidFill>
          </w14:textFill>
        </w:rPr>
        <w:t>室外机组控制系统应具备自动调节功能，能根据设定的室内温度和室内机的运行状况，自动调节压缩机的运行，并联机组或有多台压缩机时，应能使各机组压缩机具有循环启动功能。</w:t>
      </w:r>
    </w:p>
    <w:p w14:paraId="67E4B7A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w:t>
      </w:r>
      <w:r>
        <w:rPr>
          <w:rFonts w:eastAsiaTheme="minorEastAsia"/>
          <w:color w:val="000000" w:themeColor="text1"/>
          <w:sz w:val="24"/>
          <w:szCs w:val="24"/>
          <w14:textFill>
            <w14:solidFill>
              <w14:schemeClr w14:val="tx1"/>
            </w14:solidFill>
          </w14:textFill>
        </w:rPr>
        <w:t>机组应具有自动重启功能、断电后再来电时自动启动功能、故障自动检测功能、一键复位功能、24小时开/关定时功能等。</w:t>
      </w:r>
    </w:p>
    <w:p w14:paraId="5E39227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（5）机组应带有以下保护装置，至少但不限于：</w:t>
      </w:r>
    </w:p>
    <w:p w14:paraId="50EC0BD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a.压缩机吸排气压力保护</w:t>
      </w:r>
    </w:p>
    <w:p w14:paraId="0A8F246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b.压缩机排气高温保护</w:t>
      </w:r>
    </w:p>
    <w:p w14:paraId="307543F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c.过流保护</w:t>
      </w:r>
    </w:p>
    <w:p w14:paraId="1DBD107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d.压缩机频繁启停保护</w:t>
      </w:r>
    </w:p>
    <w:p w14:paraId="792D150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e.压缩机油温保护</w:t>
      </w:r>
    </w:p>
    <w:p w14:paraId="518D3E3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f.压缩机过载保护</w:t>
      </w:r>
    </w:p>
    <w:p w14:paraId="329850C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g.室内机防高温保护</w:t>
      </w:r>
    </w:p>
    <w:p w14:paraId="186057E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h.防冻结和</w:t>
      </w:r>
      <w:r>
        <w:rPr>
          <w:rFonts w:eastAsiaTheme="minorEastAsia"/>
          <w:color w:val="000000" w:themeColor="text1"/>
          <w:sz w:val="24"/>
          <w:szCs w:val="24"/>
          <w14:textFill>
            <w14:solidFill>
              <w14:schemeClr w14:val="tx1"/>
            </w14:solidFill>
          </w14:textFill>
        </w:rPr>
        <w:t>结</w:t>
      </w:r>
      <w:r>
        <w:rPr>
          <w:rFonts w:hint="eastAsia" w:eastAsiaTheme="minorEastAsia"/>
          <w:color w:val="000000" w:themeColor="text1"/>
          <w:sz w:val="24"/>
          <w:szCs w:val="24"/>
          <w14:textFill>
            <w14:solidFill>
              <w14:schemeClr w14:val="tx1"/>
            </w14:solidFill>
          </w14:textFill>
        </w:rPr>
        <w:t>霜保护</w:t>
      </w:r>
    </w:p>
    <w:p w14:paraId="4319492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i.防电磁干扰、抗雷击保护</w:t>
      </w:r>
    </w:p>
    <w:p w14:paraId="4C66390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（6）集中控制器应具备以下功能：</w:t>
      </w:r>
    </w:p>
    <w:p w14:paraId="08A7176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a. </w:t>
      </w:r>
      <w:r>
        <w:rPr>
          <w:rFonts w:hint="eastAsia" w:eastAsiaTheme="minorEastAsia"/>
          <w:color w:val="000000" w:themeColor="text1"/>
          <w:sz w:val="24"/>
          <w:szCs w:val="24"/>
          <w14:textFill>
            <w14:solidFill>
              <w14:schemeClr w14:val="tx1"/>
            </w14:solidFill>
          </w14:textFill>
        </w:rPr>
        <w:t>监控功能:可以对系统内的所有室内机、外机实行运转状态监控，具备空调故障预测功能，以及对每个房间连续运转时间监控功能和断电监控功能，对每台室内机进行温度设定的级别为系统最高优先级。</w:t>
      </w:r>
    </w:p>
    <w:p w14:paraId="0D391A3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b</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控制、操作和设置功能:能进行注册设置、独立设置、组群开关/组控设置、日程控制、断电/解除控制以及空调集中控制。</w:t>
      </w:r>
    </w:p>
    <w:p w14:paraId="62B077D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c. </w:t>
      </w:r>
      <w:r>
        <w:rPr>
          <w:rFonts w:hint="eastAsia" w:eastAsiaTheme="minorEastAsia"/>
          <w:color w:val="000000" w:themeColor="text1"/>
          <w:sz w:val="24"/>
          <w:szCs w:val="24"/>
          <w14:textFill>
            <w14:solidFill>
              <w14:schemeClr w14:val="tx1"/>
            </w14:solidFill>
          </w14:textFill>
        </w:rPr>
        <w:t>显示功能</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房间（含所在楼、层）名称/图标/列表显示、控制组列表显示、屏幕滚动功能、操作时间显示、一体化开关数字显示、检查显示、清洗显示、历史记录显示（故障、报警、控制）。</w:t>
      </w:r>
    </w:p>
    <w:p w14:paraId="26F3541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d. </w:t>
      </w:r>
      <w:r>
        <w:rPr>
          <w:rFonts w:hint="eastAsia" w:eastAsiaTheme="minorEastAsia"/>
          <w:color w:val="000000" w:themeColor="text1"/>
          <w:sz w:val="24"/>
          <w:szCs w:val="24"/>
          <w14:textFill>
            <w14:solidFill>
              <w14:schemeClr w14:val="tx1"/>
            </w14:solidFill>
          </w14:textFill>
        </w:rPr>
        <w:t>管理功能：运转历史管理,生成日报表、月报表和年度报表。</w:t>
      </w:r>
    </w:p>
    <w:p w14:paraId="5FEDEB6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e. </w:t>
      </w:r>
      <w:r>
        <w:rPr>
          <w:rFonts w:hint="eastAsia" w:eastAsiaTheme="minorEastAsia"/>
          <w:color w:val="000000" w:themeColor="text1"/>
          <w:sz w:val="24"/>
          <w:szCs w:val="24"/>
          <w14:textFill>
            <w14:solidFill>
              <w14:schemeClr w14:val="tx1"/>
            </w14:solidFill>
          </w14:textFill>
        </w:rPr>
        <w:t>数据存储/报告功能：数据存储、打印输出功能。</w:t>
      </w:r>
    </w:p>
    <w:p w14:paraId="456C50E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f. </w:t>
      </w:r>
      <w:r>
        <w:rPr>
          <w:rFonts w:hint="eastAsia" w:eastAsiaTheme="minorEastAsia"/>
          <w:color w:val="000000" w:themeColor="text1"/>
          <w:sz w:val="24"/>
          <w:szCs w:val="24"/>
          <w14:textFill>
            <w14:solidFill>
              <w14:schemeClr w14:val="tx1"/>
            </w14:solidFill>
          </w14:textFill>
        </w:rPr>
        <w:t>报警功能</w:t>
      </w:r>
      <w:r>
        <w:rPr>
          <w:rFonts w:eastAsiaTheme="minorEastAsia"/>
          <w:color w:val="000000" w:themeColor="text1"/>
          <w:sz w:val="24"/>
          <w:szCs w:val="24"/>
          <w14:textFill>
            <w14:solidFill>
              <w14:schemeClr w14:val="tx1"/>
            </w14:solidFill>
          </w14:textFill>
        </w:rPr>
        <w:t>。</w:t>
      </w:r>
    </w:p>
    <w:p w14:paraId="14BCDB1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40" w:name="_Toc389231126"/>
    </w:p>
    <w:p w14:paraId="2C2EEA5D">
      <w:pPr>
        <w:pStyle w:val="121"/>
        <w:numPr>
          <w:ilvl w:val="2"/>
          <w:numId w:val="5"/>
        </w:numPr>
        <w:snapToGrid w:val="0"/>
        <w:spacing w:line="480" w:lineRule="atLeast"/>
        <w:ind w:left="0" w:firstLine="482" w:firstLineChars="200"/>
        <w:outlineLvl w:val="2"/>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柜式空气处理机组及风机盘管</w:t>
      </w:r>
    </w:p>
    <w:p w14:paraId="1EE1AAC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4.2.2.1  </w:t>
      </w:r>
      <w:r>
        <w:rPr>
          <w:rFonts w:hint="eastAsia" w:eastAsiaTheme="minorEastAsia"/>
          <w:color w:val="000000" w:themeColor="text1"/>
          <w:sz w:val="24"/>
          <w:szCs w:val="24"/>
          <w14:textFill>
            <w14:solidFill>
              <w14:schemeClr w14:val="tx1"/>
            </w14:solidFill>
          </w14:textFill>
        </w:rPr>
        <w:t>柜式空气处理机组及风机盘管应按国家有关的规范及行业标准制造。</w:t>
      </w:r>
    </w:p>
    <w:p w14:paraId="5262837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4.2.2.2  </w:t>
      </w:r>
      <w:r>
        <w:rPr>
          <w:rFonts w:hint="eastAsia" w:eastAsiaTheme="minorEastAsia"/>
          <w:color w:val="000000" w:themeColor="text1"/>
          <w:sz w:val="24"/>
          <w:szCs w:val="24"/>
          <w14:textFill>
            <w14:solidFill>
              <w14:schemeClr w14:val="tx1"/>
            </w14:solidFill>
          </w14:textFill>
        </w:rPr>
        <w:t>各转动件必须转动灵活，不得有卡阻现象。润滑部分密封良好，不得有油脂渗漏现象，加油方便。</w:t>
      </w:r>
    </w:p>
    <w:p w14:paraId="2859616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4.2.2.3  </w:t>
      </w:r>
      <w:r>
        <w:rPr>
          <w:rFonts w:hint="eastAsia" w:eastAsiaTheme="minorEastAsia"/>
          <w:color w:val="000000" w:themeColor="text1"/>
          <w:sz w:val="24"/>
          <w:szCs w:val="24"/>
          <w14:textFill>
            <w14:solidFill>
              <w14:schemeClr w14:val="tx1"/>
            </w14:solidFill>
          </w14:textFill>
        </w:rPr>
        <w:t>易于磨损、腐蚀、老化或需要调整、检查和更换的部件应提供备品备件，并能方便地拆卸、更换和修理。</w:t>
      </w:r>
    </w:p>
    <w:p w14:paraId="07F9FCE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4.2.2.4  </w:t>
      </w:r>
      <w:r>
        <w:rPr>
          <w:rFonts w:hint="eastAsia" w:eastAsiaTheme="minorEastAsia"/>
          <w:color w:val="000000" w:themeColor="text1"/>
          <w:sz w:val="24"/>
          <w:szCs w:val="24"/>
          <w14:textFill>
            <w14:solidFill>
              <w14:schemeClr w14:val="tx1"/>
            </w14:solidFill>
          </w14:textFill>
        </w:rPr>
        <w:t>箱体面板结构应采用双层面板结构，外面板材料应为彩钢板，内面板材料应为不锈钢</w:t>
      </w:r>
      <w:r>
        <w:rPr>
          <w:rFonts w:eastAsiaTheme="minorEastAsia"/>
          <w:color w:val="000000" w:themeColor="text1"/>
          <w:sz w:val="24"/>
          <w:szCs w:val="24"/>
          <w14:textFill>
            <w14:solidFill>
              <w14:schemeClr w14:val="tx1"/>
            </w14:solidFill>
          </w14:textFill>
        </w:rPr>
        <w:t>316</w:t>
      </w:r>
      <w:r>
        <w:rPr>
          <w:rFonts w:hint="eastAsia" w:eastAsiaTheme="minorEastAsia"/>
          <w:color w:val="000000" w:themeColor="text1"/>
          <w:sz w:val="24"/>
          <w:szCs w:val="24"/>
          <w14:textFill>
            <w14:solidFill>
              <w14:schemeClr w14:val="tx1"/>
            </w14:solidFill>
          </w14:textFill>
        </w:rPr>
        <w:t>材料；内、外钢板厚应≥</w:t>
      </w:r>
      <w:r>
        <w:rPr>
          <w:rFonts w:eastAsiaTheme="minorEastAsia"/>
          <w:color w:val="000000" w:themeColor="text1"/>
          <w:sz w:val="24"/>
          <w:szCs w:val="24"/>
          <w14:textFill>
            <w14:solidFill>
              <w14:schemeClr w14:val="tx1"/>
            </w14:solidFill>
          </w14:textFill>
        </w:rPr>
        <w:t>1mm</w:t>
      </w:r>
      <w:r>
        <w:rPr>
          <w:rFonts w:hint="eastAsia" w:eastAsiaTheme="minorEastAsia"/>
          <w:color w:val="000000" w:themeColor="text1"/>
          <w:sz w:val="24"/>
          <w:szCs w:val="24"/>
          <w14:textFill>
            <w14:solidFill>
              <w14:schemeClr w14:val="tx1"/>
            </w14:solidFill>
          </w14:textFill>
        </w:rPr>
        <w:t>。两钢板间宜采用</w:t>
      </w:r>
      <w:r>
        <w:rPr>
          <w:rFonts w:eastAsiaTheme="minorEastAsia"/>
          <w:color w:val="000000" w:themeColor="text1"/>
          <w:sz w:val="24"/>
          <w:szCs w:val="24"/>
          <w14:textFill>
            <w14:solidFill>
              <w14:schemeClr w14:val="tx1"/>
            </w14:solidFill>
          </w14:textFill>
        </w:rPr>
        <w:t xml:space="preserve"> A </w:t>
      </w:r>
      <w:r>
        <w:rPr>
          <w:rFonts w:hint="eastAsia" w:eastAsiaTheme="minorEastAsia"/>
          <w:color w:val="000000" w:themeColor="text1"/>
          <w:sz w:val="24"/>
          <w:szCs w:val="24"/>
          <w14:textFill>
            <w14:solidFill>
              <w14:schemeClr w14:val="tx1"/>
            </w14:solidFill>
          </w14:textFill>
        </w:rPr>
        <w:t>级不燃型保温材料，密度应≥</w:t>
      </w:r>
      <w:r>
        <w:rPr>
          <w:rFonts w:eastAsiaTheme="minorEastAsia"/>
          <w:color w:val="000000" w:themeColor="text1"/>
          <w:sz w:val="24"/>
          <w:szCs w:val="24"/>
          <w14:textFill>
            <w14:solidFill>
              <w14:schemeClr w14:val="tx1"/>
            </w14:solidFill>
          </w14:textFill>
        </w:rPr>
        <w:t>100kg/m3</w:t>
      </w:r>
      <w:r>
        <w:rPr>
          <w:rFonts w:hint="eastAsia" w:eastAsiaTheme="minorEastAsia"/>
          <w:color w:val="000000" w:themeColor="text1"/>
          <w:sz w:val="24"/>
          <w:szCs w:val="24"/>
          <w14:textFill>
            <w14:solidFill>
              <w14:schemeClr w14:val="tx1"/>
            </w14:solidFill>
          </w14:textFill>
        </w:rPr>
        <w:t>，最大导热系数应小于</w:t>
      </w:r>
      <w:r>
        <w:rPr>
          <w:rFonts w:eastAsiaTheme="minorEastAsia"/>
          <w:color w:val="000000" w:themeColor="text1"/>
          <w:sz w:val="24"/>
          <w:szCs w:val="24"/>
          <w14:textFill>
            <w14:solidFill>
              <w14:schemeClr w14:val="tx1"/>
            </w14:solidFill>
          </w14:textFill>
        </w:rPr>
        <w:t xml:space="preserve"> 0.04W/m•</w:t>
      </w:r>
      <w:r>
        <w:rPr>
          <w:rFonts w:hint="eastAsia" w:ascii="宋体" w:hAnsi="宋体" w:cs="宋体"/>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，保温材料厚度应≥</w:t>
      </w:r>
      <w:r>
        <w:rPr>
          <w:rFonts w:eastAsiaTheme="minorEastAsia"/>
          <w:color w:val="000000" w:themeColor="text1"/>
          <w:sz w:val="24"/>
          <w:szCs w:val="24"/>
          <w14:textFill>
            <w14:solidFill>
              <w14:schemeClr w14:val="tx1"/>
            </w14:solidFill>
          </w14:textFill>
        </w:rPr>
        <w:t>50mm</w:t>
      </w:r>
      <w:r>
        <w:rPr>
          <w:rFonts w:hint="eastAsia" w:eastAsiaTheme="minorEastAsia"/>
          <w:color w:val="000000" w:themeColor="text1"/>
          <w:sz w:val="24"/>
          <w:szCs w:val="24"/>
          <w14:textFill>
            <w14:solidFill>
              <w14:schemeClr w14:val="tx1"/>
            </w14:solidFill>
          </w14:textFill>
        </w:rPr>
        <w:t>。</w:t>
      </w:r>
    </w:p>
    <w:p w14:paraId="1C6870B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4.2.2.5  </w:t>
      </w:r>
      <w:r>
        <w:rPr>
          <w:rFonts w:hint="eastAsia" w:eastAsiaTheme="minorEastAsia"/>
          <w:color w:val="000000" w:themeColor="text1"/>
          <w:sz w:val="24"/>
          <w:szCs w:val="24"/>
          <w14:textFill>
            <w14:solidFill>
              <w14:schemeClr w14:val="tx1"/>
            </w14:solidFill>
          </w14:textFill>
        </w:rPr>
        <w:t>风机及其配套电机应采用名牌产品，具有效率高、振动低、噪声低、使用寿命长等优点。</w:t>
      </w:r>
    </w:p>
    <w:p w14:paraId="6DB87F1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4.2.2.6  </w:t>
      </w:r>
      <w:r>
        <w:rPr>
          <w:rFonts w:hint="eastAsia" w:eastAsiaTheme="minorEastAsia"/>
          <w:color w:val="000000" w:themeColor="text1"/>
          <w:sz w:val="24"/>
          <w:szCs w:val="24"/>
          <w14:textFill>
            <w14:solidFill>
              <w14:schemeClr w14:val="tx1"/>
            </w14:solidFill>
          </w14:textFill>
        </w:rPr>
        <w:t>表冷器换热盘管应为铜管串铝翅片的形式，具有效率高、热阻小等特性。通过冷却盘管的迎面风速应≤</w:t>
      </w:r>
      <w:r>
        <w:rPr>
          <w:rFonts w:eastAsiaTheme="minorEastAsia"/>
          <w:color w:val="000000" w:themeColor="text1"/>
          <w:sz w:val="24"/>
          <w:szCs w:val="24"/>
          <w14:textFill>
            <w14:solidFill>
              <w14:schemeClr w14:val="tx1"/>
            </w14:solidFill>
          </w14:textFill>
        </w:rPr>
        <w:t>2.5m/s</w:t>
      </w:r>
      <w:r>
        <w:rPr>
          <w:rFonts w:hint="eastAsia" w:eastAsiaTheme="minorEastAsia"/>
          <w:color w:val="000000" w:themeColor="text1"/>
          <w:sz w:val="24"/>
          <w:szCs w:val="24"/>
          <w14:textFill>
            <w14:solidFill>
              <w14:schemeClr w14:val="tx1"/>
            </w14:solidFill>
          </w14:textFill>
        </w:rPr>
        <w:t>，机组在设计风量下不应有水滴吹出。表冷器排数应不小于</w:t>
      </w:r>
      <w:r>
        <w:rPr>
          <w:rFonts w:eastAsiaTheme="minorEastAsia"/>
          <w:color w:val="000000" w:themeColor="text1"/>
          <w:sz w:val="24"/>
          <w:szCs w:val="24"/>
          <w14:textFill>
            <w14:solidFill>
              <w14:schemeClr w14:val="tx1"/>
            </w14:solidFill>
          </w14:textFill>
        </w:rPr>
        <w:t>4</w:t>
      </w:r>
      <w:r>
        <w:rPr>
          <w:rFonts w:hint="eastAsia" w:eastAsiaTheme="minorEastAsia"/>
          <w:color w:val="000000" w:themeColor="text1"/>
          <w:sz w:val="24"/>
          <w:szCs w:val="24"/>
          <w14:textFill>
            <w14:solidFill>
              <w14:schemeClr w14:val="tx1"/>
            </w14:solidFill>
          </w14:textFill>
        </w:rPr>
        <w:t>排，表冷器水阻不大于</w:t>
      </w:r>
      <w:r>
        <w:rPr>
          <w:rFonts w:eastAsiaTheme="minorEastAsia"/>
          <w:color w:val="000000" w:themeColor="text1"/>
          <w:sz w:val="24"/>
          <w:szCs w:val="24"/>
          <w14:textFill>
            <w14:solidFill>
              <w14:schemeClr w14:val="tx1"/>
            </w14:solidFill>
          </w14:textFill>
        </w:rPr>
        <w:t>3.0mH2O</w:t>
      </w:r>
      <w:r>
        <w:rPr>
          <w:rFonts w:hint="eastAsia" w:eastAsiaTheme="minorEastAsia"/>
          <w:color w:val="000000" w:themeColor="text1"/>
          <w:sz w:val="24"/>
          <w:szCs w:val="24"/>
          <w14:textFill>
            <w14:solidFill>
              <w14:schemeClr w14:val="tx1"/>
            </w14:solidFill>
          </w14:textFill>
        </w:rPr>
        <w:t>。</w:t>
      </w:r>
    </w:p>
    <w:p w14:paraId="59F1273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4.2.2.7  </w:t>
      </w:r>
      <w:r>
        <w:rPr>
          <w:rFonts w:hint="eastAsia" w:eastAsiaTheme="minorEastAsia"/>
          <w:color w:val="000000" w:themeColor="text1"/>
          <w:sz w:val="24"/>
          <w:szCs w:val="24"/>
          <w14:textFill>
            <w14:solidFill>
              <w14:schemeClr w14:val="tx1"/>
            </w14:solidFill>
          </w14:textFill>
        </w:rPr>
        <w:t>空气过滤器：机组均设置初效及中效过滤器，空气过滤器应为扁平式，其外框应是铝合金或镀锌钢板制作。初效过滤器等级</w:t>
      </w:r>
      <w:r>
        <w:rPr>
          <w:rFonts w:eastAsiaTheme="minorEastAsia"/>
          <w:color w:val="000000" w:themeColor="text1"/>
          <w:sz w:val="24"/>
          <w:szCs w:val="24"/>
          <w14:textFill>
            <w14:solidFill>
              <w14:schemeClr w14:val="tx1"/>
            </w14:solidFill>
          </w14:textFill>
        </w:rPr>
        <w:t>C4</w:t>
      </w:r>
      <w:r>
        <w:rPr>
          <w:rFonts w:hint="eastAsia" w:eastAsiaTheme="minorEastAsia"/>
          <w:color w:val="000000" w:themeColor="text1"/>
          <w:sz w:val="24"/>
          <w:szCs w:val="24"/>
          <w14:textFill>
            <w14:solidFill>
              <w14:schemeClr w14:val="tx1"/>
            </w14:solidFill>
          </w14:textFill>
        </w:rPr>
        <w:t>；中效过滤器等级</w:t>
      </w:r>
      <w:r>
        <w:rPr>
          <w:rFonts w:eastAsiaTheme="minorEastAsia"/>
          <w:color w:val="000000" w:themeColor="text1"/>
          <w:sz w:val="24"/>
          <w:szCs w:val="24"/>
          <w14:textFill>
            <w14:solidFill>
              <w14:schemeClr w14:val="tx1"/>
            </w14:solidFill>
          </w14:textFill>
        </w:rPr>
        <w:t>Z3</w:t>
      </w:r>
      <w:r>
        <w:rPr>
          <w:rFonts w:hint="eastAsia" w:eastAsiaTheme="minorEastAsia"/>
          <w:color w:val="000000" w:themeColor="text1"/>
          <w:sz w:val="24"/>
          <w:szCs w:val="24"/>
          <w14:textFill>
            <w14:solidFill>
              <w14:schemeClr w14:val="tx1"/>
            </w14:solidFill>
          </w14:textFill>
        </w:rPr>
        <w:t>。过滤材料应为非燃或阻燃型。</w:t>
      </w:r>
    </w:p>
    <w:p w14:paraId="137A654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4.2.2.8  </w:t>
      </w:r>
      <w:r>
        <w:rPr>
          <w:rFonts w:hint="eastAsia" w:eastAsiaTheme="minorEastAsia"/>
          <w:color w:val="000000" w:themeColor="text1"/>
          <w:sz w:val="24"/>
          <w:szCs w:val="24"/>
          <w14:textFill>
            <w14:solidFill>
              <w14:schemeClr w14:val="tx1"/>
            </w14:solidFill>
          </w14:textFill>
        </w:rPr>
        <w:t>滴水盘应足够大，材料应采用≥1.6mm厚镀锌钢板或≥1mm厚不锈钢板，外表面采用非燃或阻燃性保温材料保温，以防止滴水盘外表面结露。滴水盘内应全部涂上环氧树脂或相当的防腐漆。滴水盘大小及容量应设计成能使制冷盘管之冷凝水全部流入滴水盘中，并应能畅通地排水。其边角应焊接。</w:t>
      </w:r>
    </w:p>
    <w:p w14:paraId="598C887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4.2.2.9 </w:t>
      </w:r>
      <w:r>
        <w:rPr>
          <w:rFonts w:hint="eastAsia" w:eastAsiaTheme="minorEastAsia"/>
          <w:color w:val="000000" w:themeColor="text1"/>
          <w:sz w:val="24"/>
          <w:szCs w:val="24"/>
          <w14:textFill>
            <w14:solidFill>
              <w14:schemeClr w14:val="tx1"/>
            </w14:solidFill>
          </w14:textFill>
        </w:rPr>
        <w:t>箱体内应提供带有蒸汽防护型灯罩的</w:t>
      </w:r>
      <w:r>
        <w:rPr>
          <w:rFonts w:eastAsiaTheme="minorEastAsia"/>
          <w:color w:val="000000" w:themeColor="text1"/>
          <w:sz w:val="24"/>
          <w:szCs w:val="24"/>
          <w14:textFill>
            <w14:solidFill>
              <w14:schemeClr w14:val="tx1"/>
            </w14:solidFill>
          </w14:textFill>
        </w:rPr>
        <w:t>24V LED</w:t>
      </w:r>
      <w:r>
        <w:rPr>
          <w:rFonts w:hint="eastAsia" w:eastAsiaTheme="minorEastAsia"/>
          <w:color w:val="000000" w:themeColor="text1"/>
          <w:sz w:val="24"/>
          <w:szCs w:val="24"/>
          <w14:textFill>
            <w14:solidFill>
              <w14:schemeClr w14:val="tx1"/>
            </w14:solidFill>
          </w14:textFill>
        </w:rPr>
        <w:t>灯，并配备</w:t>
      </w:r>
      <w:r>
        <w:rPr>
          <w:rFonts w:eastAsiaTheme="minorEastAsia"/>
          <w:color w:val="000000" w:themeColor="text1"/>
          <w:sz w:val="24"/>
          <w:szCs w:val="24"/>
          <w14:textFill>
            <w14:solidFill>
              <w14:schemeClr w14:val="tx1"/>
            </w14:solidFill>
          </w14:textFill>
        </w:rPr>
        <w:t>220V/24V</w:t>
      </w:r>
      <w:r>
        <w:rPr>
          <w:rFonts w:hint="eastAsia" w:eastAsiaTheme="minorEastAsia"/>
          <w:color w:val="000000" w:themeColor="text1"/>
          <w:sz w:val="24"/>
          <w:szCs w:val="24"/>
          <w14:textFill>
            <w14:solidFill>
              <w14:schemeClr w14:val="tx1"/>
            </w14:solidFill>
          </w14:textFill>
        </w:rPr>
        <w:t>变压器，</w:t>
      </w:r>
    </w:p>
    <w:p w14:paraId="7F5C537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4.2.2.10  </w:t>
      </w:r>
      <w:r>
        <w:rPr>
          <w:rFonts w:hint="eastAsia" w:eastAsiaTheme="minorEastAsia"/>
          <w:color w:val="000000" w:themeColor="text1"/>
          <w:sz w:val="24"/>
          <w:szCs w:val="24"/>
          <w14:textFill>
            <w14:solidFill>
              <w14:schemeClr w14:val="tx1"/>
            </w14:solidFill>
          </w14:textFill>
        </w:rPr>
        <w:t>电动三通调节阀或电动二通阀（包括驱动装置）采用优质</w:t>
      </w:r>
      <w:r>
        <w:rPr>
          <w:rFonts w:hint="eastAsia" w:eastAsiaTheme="minorEastAsia"/>
          <w:color w:val="000000" w:themeColor="text1"/>
          <w:sz w:val="24"/>
          <w:szCs w:val="24"/>
          <w:lang w:val="en-US" w:eastAsia="zh-CN"/>
          <w14:textFill>
            <w14:solidFill>
              <w14:schemeClr w14:val="tx1"/>
            </w14:solidFill>
          </w14:textFill>
        </w:rPr>
        <w:t>产品</w:t>
      </w:r>
      <w:r>
        <w:rPr>
          <w:rFonts w:hint="eastAsia" w:eastAsiaTheme="minorEastAsia"/>
          <w:color w:val="000000" w:themeColor="text1"/>
          <w:sz w:val="24"/>
          <w:szCs w:val="24"/>
          <w14:textFill>
            <w14:solidFill>
              <w14:schemeClr w14:val="tx1"/>
            </w14:solidFill>
          </w14:textFill>
        </w:rPr>
        <w:t>。</w:t>
      </w:r>
    </w:p>
    <w:p w14:paraId="13FAB6F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4.2.2.11 </w:t>
      </w:r>
      <w:r>
        <w:rPr>
          <w:rFonts w:hint="eastAsia" w:eastAsiaTheme="minorEastAsia"/>
          <w:color w:val="000000" w:themeColor="text1"/>
          <w:sz w:val="24"/>
          <w:szCs w:val="24"/>
          <w14:textFill>
            <w14:solidFill>
              <w14:schemeClr w14:val="tx1"/>
            </w14:solidFill>
          </w14:textFill>
        </w:rPr>
        <w:t>机组整体实测时应满足：</w:t>
      </w:r>
    </w:p>
    <w:p w14:paraId="144A57E2">
      <w:pPr>
        <w:snapToGrid w:val="0"/>
        <w:spacing w:line="480" w:lineRule="atLeast"/>
        <w:ind w:firstLine="1274" w:firstLineChars="531"/>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在规定的试验工况下（参考柜式风机盘管机组</w:t>
      </w:r>
      <w:r>
        <w:rPr>
          <w:rFonts w:eastAsiaTheme="minorEastAsia"/>
          <w:color w:val="000000" w:themeColor="text1"/>
          <w:sz w:val="24"/>
          <w:szCs w:val="24"/>
          <w14:textFill>
            <w14:solidFill>
              <w14:schemeClr w14:val="tx1"/>
            </w14:solidFill>
          </w14:textFill>
        </w:rPr>
        <w:t>JB/T9066-1999</w:t>
      </w:r>
      <w:r>
        <w:rPr>
          <w:rFonts w:hint="eastAsia" w:eastAsiaTheme="minorEastAsia"/>
          <w:color w:val="000000" w:themeColor="text1"/>
          <w:sz w:val="24"/>
          <w:szCs w:val="24"/>
          <w14:textFill>
            <w14:solidFill>
              <w14:schemeClr w14:val="tx1"/>
            </w14:solidFill>
          </w14:textFill>
        </w:rPr>
        <w:t>）：</w:t>
      </w:r>
    </w:p>
    <w:p w14:paraId="031A4263">
      <w:pPr>
        <w:snapToGrid w:val="0"/>
        <w:spacing w:line="480" w:lineRule="atLeast"/>
        <w:ind w:firstLine="1274" w:firstLineChars="531"/>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风量实测值≥名义值的</w:t>
      </w:r>
      <w:r>
        <w:rPr>
          <w:rFonts w:eastAsiaTheme="minorEastAsia"/>
          <w:color w:val="000000" w:themeColor="text1"/>
          <w:sz w:val="24"/>
          <w:szCs w:val="24"/>
          <w14:textFill>
            <w14:solidFill>
              <w14:schemeClr w14:val="tx1"/>
            </w14:solidFill>
          </w14:textFill>
        </w:rPr>
        <w:t>95%</w:t>
      </w:r>
      <w:r>
        <w:rPr>
          <w:rFonts w:hint="eastAsia" w:eastAsiaTheme="minorEastAsia"/>
          <w:color w:val="000000" w:themeColor="text1"/>
          <w:sz w:val="24"/>
          <w:szCs w:val="24"/>
          <w14:textFill>
            <w14:solidFill>
              <w14:schemeClr w14:val="tx1"/>
            </w14:solidFill>
          </w14:textFill>
        </w:rPr>
        <w:t>。</w:t>
      </w:r>
    </w:p>
    <w:p w14:paraId="217175CE">
      <w:pPr>
        <w:snapToGrid w:val="0"/>
        <w:spacing w:line="480" w:lineRule="atLeast"/>
        <w:ind w:firstLine="1274" w:firstLineChars="531"/>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供冷量实测值≥名义值的</w:t>
      </w:r>
      <w:r>
        <w:rPr>
          <w:rFonts w:eastAsiaTheme="minorEastAsia"/>
          <w:color w:val="000000" w:themeColor="text1"/>
          <w:sz w:val="24"/>
          <w:szCs w:val="24"/>
          <w14:textFill>
            <w14:solidFill>
              <w14:schemeClr w14:val="tx1"/>
            </w14:solidFill>
          </w14:textFill>
        </w:rPr>
        <w:t>95</w:t>
      </w:r>
      <w:r>
        <w:rPr>
          <w:rFonts w:hint="eastAsia" w:eastAsiaTheme="minorEastAsia"/>
          <w:color w:val="000000" w:themeColor="text1"/>
          <w:sz w:val="24"/>
          <w:szCs w:val="24"/>
          <w14:textFill>
            <w14:solidFill>
              <w14:schemeClr w14:val="tx1"/>
            </w14:solidFill>
          </w14:textFill>
        </w:rPr>
        <w:t>％。</w:t>
      </w:r>
    </w:p>
    <w:p w14:paraId="18C12F44">
      <w:pPr>
        <w:snapToGrid w:val="0"/>
        <w:spacing w:line="480" w:lineRule="atLeast"/>
        <w:ind w:firstLine="1274" w:firstLineChars="531"/>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水阻力实测值≤名义值的</w:t>
      </w:r>
      <w:r>
        <w:rPr>
          <w:rFonts w:eastAsiaTheme="minorEastAsia"/>
          <w:color w:val="000000" w:themeColor="text1"/>
          <w:sz w:val="24"/>
          <w:szCs w:val="24"/>
          <w14:textFill>
            <w14:solidFill>
              <w14:schemeClr w14:val="tx1"/>
            </w14:solidFill>
          </w14:textFill>
        </w:rPr>
        <w:t>110%</w:t>
      </w:r>
      <w:r>
        <w:rPr>
          <w:rFonts w:hint="eastAsia" w:eastAsiaTheme="minorEastAsia"/>
          <w:color w:val="000000" w:themeColor="text1"/>
          <w:sz w:val="24"/>
          <w:szCs w:val="24"/>
          <w14:textFill>
            <w14:solidFill>
              <w14:schemeClr w14:val="tx1"/>
            </w14:solidFill>
          </w14:textFill>
        </w:rPr>
        <w:t>。</w:t>
      </w:r>
    </w:p>
    <w:p w14:paraId="463EFC80">
      <w:pPr>
        <w:snapToGrid w:val="0"/>
        <w:spacing w:line="480" w:lineRule="atLeast"/>
        <w:ind w:firstLine="1274" w:firstLineChars="531"/>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输入功率实测值≤名义值的</w:t>
      </w:r>
      <w:r>
        <w:rPr>
          <w:rFonts w:eastAsiaTheme="minorEastAsia"/>
          <w:color w:val="000000" w:themeColor="text1"/>
          <w:sz w:val="24"/>
          <w:szCs w:val="24"/>
          <w14:textFill>
            <w14:solidFill>
              <w14:schemeClr w14:val="tx1"/>
            </w14:solidFill>
          </w14:textFill>
        </w:rPr>
        <w:t>115%</w:t>
      </w:r>
      <w:r>
        <w:rPr>
          <w:rFonts w:hint="eastAsia" w:eastAsiaTheme="minorEastAsia"/>
          <w:color w:val="000000" w:themeColor="text1"/>
          <w:sz w:val="24"/>
          <w:szCs w:val="24"/>
          <w14:textFill>
            <w14:solidFill>
              <w14:schemeClr w14:val="tx1"/>
            </w14:solidFill>
          </w14:textFill>
        </w:rPr>
        <w:t>。</w:t>
      </w:r>
    </w:p>
    <w:p w14:paraId="79698833">
      <w:pPr>
        <w:snapToGrid w:val="0"/>
        <w:spacing w:line="480" w:lineRule="atLeast"/>
        <w:ind w:firstLine="1274" w:firstLineChars="531"/>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全压实测值≥名义值的</w:t>
      </w:r>
      <w:r>
        <w:rPr>
          <w:rFonts w:eastAsiaTheme="minorEastAsia"/>
          <w:color w:val="000000" w:themeColor="text1"/>
          <w:sz w:val="24"/>
          <w:szCs w:val="24"/>
          <w14:textFill>
            <w14:solidFill>
              <w14:schemeClr w14:val="tx1"/>
            </w14:solidFill>
          </w14:textFill>
        </w:rPr>
        <w:t>90</w:t>
      </w:r>
      <w:r>
        <w:rPr>
          <w:rFonts w:hint="eastAsia" w:eastAsiaTheme="minorEastAsia"/>
          <w:color w:val="000000" w:themeColor="text1"/>
          <w:sz w:val="24"/>
          <w:szCs w:val="24"/>
          <w14:textFill>
            <w14:solidFill>
              <w14:schemeClr w14:val="tx1"/>
            </w14:solidFill>
          </w14:textFill>
        </w:rPr>
        <w:t>％。</w:t>
      </w:r>
    </w:p>
    <w:p w14:paraId="609AF43A">
      <w:pPr>
        <w:snapToGrid w:val="0"/>
        <w:spacing w:line="480" w:lineRule="atLeast"/>
        <w:ind w:firstLine="1274" w:firstLineChars="531"/>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机组额定风量时出口噪音声压级不超过</w:t>
      </w:r>
      <w:r>
        <w:rPr>
          <w:rFonts w:eastAsiaTheme="minorEastAsia"/>
          <w:color w:val="000000" w:themeColor="text1"/>
          <w:sz w:val="24"/>
          <w:szCs w:val="24"/>
          <w14:textFill>
            <w14:solidFill>
              <w14:schemeClr w14:val="tx1"/>
            </w14:solidFill>
          </w14:textFill>
        </w:rPr>
        <w:t>70dB</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A</w:t>
      </w:r>
      <w:r>
        <w:rPr>
          <w:rFonts w:hint="eastAsia" w:eastAsiaTheme="minorEastAsia"/>
          <w:color w:val="000000" w:themeColor="text1"/>
          <w:sz w:val="24"/>
          <w:szCs w:val="24"/>
          <w14:textFill>
            <w14:solidFill>
              <w14:schemeClr w14:val="tx1"/>
            </w14:solidFill>
          </w14:textFill>
        </w:rPr>
        <w:t>）。</w:t>
      </w:r>
    </w:p>
    <w:p w14:paraId="7F2F6AB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4.2.2.12 带电加热器的风机盘管应设置欠风保护或送风超温保护。</w:t>
      </w:r>
    </w:p>
    <w:p w14:paraId="7F0E82C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4.2.2.13</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防爆型空调机组的防爆等级：E</w:t>
      </w:r>
      <w:r>
        <w:rPr>
          <w:rFonts w:eastAsiaTheme="minorEastAsia"/>
          <w:color w:val="000000" w:themeColor="text1"/>
          <w:sz w:val="24"/>
          <w:szCs w:val="24"/>
          <w14:textFill>
            <w14:solidFill>
              <w14:schemeClr w14:val="tx1"/>
            </w14:solidFill>
          </w14:textFill>
        </w:rPr>
        <w:t>x</w:t>
      </w:r>
      <w:r>
        <w:rPr>
          <w:rFonts w:hint="eastAsia" w:eastAsiaTheme="minorEastAsia"/>
          <w:color w:val="000000" w:themeColor="text1"/>
          <w:sz w:val="24"/>
          <w:szCs w:val="24"/>
          <w14:textFill>
            <w14:solidFill>
              <w14:schemeClr w14:val="tx1"/>
            </w14:solidFill>
          </w14:textFill>
        </w:rPr>
        <w:t xml:space="preserve"> d II</w:t>
      </w:r>
      <w:r>
        <w:rPr>
          <w:rFonts w:eastAsiaTheme="minorEastAsia"/>
          <w:color w:val="000000" w:themeColor="text1"/>
          <w:sz w:val="24"/>
          <w:szCs w:val="24"/>
          <w14:textFill>
            <w14:solidFill>
              <w14:schemeClr w14:val="tx1"/>
            </w14:solidFill>
          </w14:textFill>
        </w:rPr>
        <w:t>C</w:t>
      </w:r>
      <w:r>
        <w:rPr>
          <w:rFonts w:hint="eastAsia" w:eastAsiaTheme="minorEastAsia"/>
          <w:color w:val="000000" w:themeColor="text1"/>
          <w:sz w:val="24"/>
          <w:szCs w:val="24"/>
          <w14:textFill>
            <w14:solidFill>
              <w14:schemeClr w14:val="tx1"/>
            </w14:solidFill>
          </w14:textFill>
        </w:rPr>
        <w:t xml:space="preserve"> T4</w:t>
      </w:r>
      <w:r>
        <w:rPr>
          <w:rFonts w:eastAsiaTheme="minorEastAsia"/>
          <w:color w:val="000000" w:themeColor="text1"/>
          <w:sz w:val="24"/>
          <w:szCs w:val="24"/>
          <w14:textFill>
            <w14:solidFill>
              <w14:schemeClr w14:val="tx1"/>
            </w14:solidFill>
          </w14:textFill>
        </w:rPr>
        <w:t>。</w:t>
      </w:r>
    </w:p>
    <w:p w14:paraId="7FC61DE9">
      <w:pPr>
        <w:pStyle w:val="121"/>
        <w:numPr>
          <w:ilvl w:val="2"/>
          <w:numId w:val="5"/>
        </w:numPr>
        <w:snapToGrid w:val="0"/>
        <w:spacing w:line="480" w:lineRule="atLeast"/>
        <w:outlineLvl w:val="2"/>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降温型除湿机</w:t>
      </w:r>
    </w:p>
    <w:p w14:paraId="6E765F0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4.2.3.</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通用要求</w:t>
      </w:r>
    </w:p>
    <w:p w14:paraId="4E28018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机组性能系数应达到《建筑节能与可再生能源利用通用规范》（GB55015）规范中3.2.13的各制冷量所对应的限值。机组的制冷量/制热量不允许负偏差，正偏差不宜大于5%。</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2972"/>
        <w:gridCol w:w="3119"/>
        <w:gridCol w:w="2969"/>
      </w:tblGrid>
      <w:tr w14:paraId="13896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972" w:type="dxa"/>
            <w:vAlign w:val="center"/>
          </w:tcPr>
          <w:p w14:paraId="6FCF9997">
            <w:pPr>
              <w:pStyle w:val="153"/>
              <w:spacing w:line="360" w:lineRule="auto"/>
              <w:jc w:val="center"/>
              <w:rPr>
                <w:sz w:val="24"/>
                <w:szCs w:val="20"/>
                <w:lang w:bidi="he-IL"/>
              </w:rPr>
            </w:pPr>
            <w:r>
              <w:rPr>
                <w:rFonts w:hint="eastAsia"/>
                <w:sz w:val="24"/>
                <w:szCs w:val="20"/>
                <w:lang w:bidi="he-IL"/>
              </w:rPr>
              <w:t>名义制冷量CC</w:t>
            </w:r>
          </w:p>
          <w:p w14:paraId="0A44383C">
            <w:pPr>
              <w:pStyle w:val="153"/>
              <w:spacing w:line="360" w:lineRule="auto"/>
              <w:jc w:val="center"/>
              <w:rPr>
                <w:sz w:val="24"/>
                <w:szCs w:val="20"/>
                <w:lang w:bidi="he-IL"/>
              </w:rPr>
            </w:pPr>
            <w:r>
              <w:rPr>
                <w:rFonts w:hint="eastAsia"/>
                <w:sz w:val="24"/>
                <w:szCs w:val="20"/>
                <w:lang w:bidi="he-IL"/>
              </w:rPr>
              <w:t>（kW）</w:t>
            </w:r>
          </w:p>
        </w:tc>
        <w:tc>
          <w:tcPr>
            <w:tcW w:w="3119" w:type="dxa"/>
            <w:vAlign w:val="center"/>
          </w:tcPr>
          <w:p w14:paraId="762E0B5E">
            <w:pPr>
              <w:pStyle w:val="153"/>
              <w:spacing w:line="360" w:lineRule="auto"/>
              <w:jc w:val="center"/>
              <w:rPr>
                <w:sz w:val="24"/>
                <w:szCs w:val="20"/>
                <w:lang w:bidi="he-IL"/>
              </w:rPr>
            </w:pPr>
            <w:r>
              <w:rPr>
                <w:rFonts w:hint="eastAsia"/>
                <w:sz w:val="24"/>
                <w:szCs w:val="20"/>
                <w:lang w:bidi="he-IL"/>
              </w:rPr>
              <w:t>风冷单冷型</w:t>
            </w:r>
          </w:p>
          <w:p w14:paraId="5F77107B">
            <w:pPr>
              <w:pStyle w:val="153"/>
              <w:spacing w:line="360" w:lineRule="auto"/>
              <w:jc w:val="center"/>
              <w:rPr>
                <w:sz w:val="24"/>
                <w:szCs w:val="20"/>
                <w:lang w:bidi="he-IL"/>
              </w:rPr>
            </w:pPr>
            <w:r>
              <w:rPr>
                <w:rFonts w:hint="eastAsia"/>
                <w:sz w:val="24"/>
                <w:szCs w:val="20"/>
                <w:lang w:bidi="he-IL"/>
              </w:rPr>
              <w:t>制冷季节能效比（SEER）</w:t>
            </w:r>
          </w:p>
        </w:tc>
        <w:tc>
          <w:tcPr>
            <w:tcW w:w="2969" w:type="dxa"/>
            <w:vAlign w:val="center"/>
          </w:tcPr>
          <w:p w14:paraId="75C017EC">
            <w:pPr>
              <w:pStyle w:val="153"/>
              <w:spacing w:line="360" w:lineRule="auto"/>
              <w:jc w:val="center"/>
              <w:rPr>
                <w:sz w:val="24"/>
                <w:szCs w:val="20"/>
                <w:lang w:bidi="he-IL"/>
              </w:rPr>
            </w:pPr>
            <w:r>
              <w:rPr>
                <w:rFonts w:hint="eastAsia"/>
                <w:sz w:val="24"/>
                <w:szCs w:val="20"/>
                <w:lang w:bidi="he-IL"/>
              </w:rPr>
              <w:t>风冷热泵型</w:t>
            </w:r>
          </w:p>
          <w:p w14:paraId="65629F62">
            <w:pPr>
              <w:pStyle w:val="153"/>
              <w:spacing w:line="360" w:lineRule="auto"/>
              <w:jc w:val="center"/>
              <w:rPr>
                <w:sz w:val="24"/>
                <w:szCs w:val="20"/>
                <w:lang w:bidi="he-IL"/>
              </w:rPr>
            </w:pPr>
            <w:r>
              <w:rPr>
                <w:rFonts w:hint="eastAsia"/>
                <w:sz w:val="24"/>
                <w:szCs w:val="20"/>
                <w:lang w:bidi="he-IL"/>
              </w:rPr>
              <w:t>全年性能系数（APF）</w:t>
            </w:r>
          </w:p>
        </w:tc>
      </w:tr>
      <w:tr w14:paraId="79BBF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972" w:type="dxa"/>
            <w:vAlign w:val="center"/>
          </w:tcPr>
          <w:p w14:paraId="1A2BA457">
            <w:pPr>
              <w:pStyle w:val="153"/>
              <w:spacing w:line="360" w:lineRule="auto"/>
              <w:jc w:val="center"/>
              <w:rPr>
                <w:sz w:val="24"/>
                <w:szCs w:val="20"/>
                <w:lang w:bidi="he-IL"/>
              </w:rPr>
            </w:pPr>
            <w:r>
              <w:rPr>
                <w:sz w:val="24"/>
                <w:szCs w:val="20"/>
                <w:lang w:bidi="he-IL"/>
              </w:rPr>
              <w:t>7.0</w:t>
            </w:r>
            <w:r>
              <w:rPr>
                <w:rFonts w:hint="eastAsia"/>
                <w:sz w:val="24"/>
                <w:szCs w:val="20"/>
                <w:lang w:bidi="he-IL"/>
              </w:rPr>
              <w:t>＜CC≤14.0</w:t>
            </w:r>
          </w:p>
        </w:tc>
        <w:tc>
          <w:tcPr>
            <w:tcW w:w="3119" w:type="dxa"/>
            <w:vAlign w:val="center"/>
          </w:tcPr>
          <w:p w14:paraId="174C56EE">
            <w:pPr>
              <w:pStyle w:val="153"/>
              <w:spacing w:line="360" w:lineRule="auto"/>
              <w:jc w:val="center"/>
              <w:rPr>
                <w:sz w:val="24"/>
                <w:szCs w:val="20"/>
                <w:lang w:bidi="he-IL"/>
              </w:rPr>
            </w:pPr>
            <w:r>
              <w:rPr>
                <w:sz w:val="24"/>
                <w:szCs w:val="20"/>
                <w:lang w:bidi="he-IL"/>
              </w:rPr>
              <w:t>3.80</w:t>
            </w:r>
          </w:p>
        </w:tc>
        <w:tc>
          <w:tcPr>
            <w:tcW w:w="2969" w:type="dxa"/>
            <w:vAlign w:val="center"/>
          </w:tcPr>
          <w:p w14:paraId="66AF9A36">
            <w:pPr>
              <w:pStyle w:val="153"/>
              <w:spacing w:line="360" w:lineRule="auto"/>
              <w:jc w:val="center"/>
              <w:rPr>
                <w:sz w:val="24"/>
                <w:szCs w:val="20"/>
                <w:lang w:bidi="he-IL"/>
              </w:rPr>
            </w:pPr>
            <w:r>
              <w:rPr>
                <w:sz w:val="24"/>
                <w:szCs w:val="20"/>
                <w:lang w:bidi="he-IL"/>
              </w:rPr>
              <w:t>3.10</w:t>
            </w:r>
          </w:p>
        </w:tc>
      </w:tr>
      <w:tr w14:paraId="2CF06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972" w:type="dxa"/>
            <w:vAlign w:val="center"/>
          </w:tcPr>
          <w:p w14:paraId="3B92A8D4">
            <w:pPr>
              <w:pStyle w:val="153"/>
              <w:spacing w:line="360" w:lineRule="auto"/>
              <w:jc w:val="center"/>
              <w:rPr>
                <w:sz w:val="24"/>
                <w:szCs w:val="20"/>
                <w:lang w:bidi="he-IL"/>
              </w:rPr>
            </w:pPr>
            <w:r>
              <w:rPr>
                <w:rFonts w:hint="eastAsia"/>
                <w:sz w:val="24"/>
                <w:szCs w:val="20"/>
                <w:lang w:bidi="he-IL"/>
              </w:rPr>
              <w:t>CC＞14.0</w:t>
            </w:r>
          </w:p>
        </w:tc>
        <w:tc>
          <w:tcPr>
            <w:tcW w:w="3119" w:type="dxa"/>
            <w:vAlign w:val="center"/>
          </w:tcPr>
          <w:p w14:paraId="046392C7">
            <w:pPr>
              <w:pStyle w:val="153"/>
              <w:spacing w:line="360" w:lineRule="auto"/>
              <w:jc w:val="center"/>
              <w:rPr>
                <w:sz w:val="24"/>
                <w:szCs w:val="20"/>
                <w:lang w:bidi="he-IL"/>
              </w:rPr>
            </w:pPr>
            <w:r>
              <w:rPr>
                <w:sz w:val="24"/>
                <w:szCs w:val="20"/>
                <w:lang w:bidi="he-IL"/>
              </w:rPr>
              <w:t>3.00</w:t>
            </w:r>
          </w:p>
        </w:tc>
        <w:tc>
          <w:tcPr>
            <w:tcW w:w="2969" w:type="dxa"/>
            <w:vAlign w:val="center"/>
          </w:tcPr>
          <w:p w14:paraId="7B0293E3">
            <w:pPr>
              <w:pStyle w:val="153"/>
              <w:spacing w:line="360" w:lineRule="auto"/>
              <w:jc w:val="center"/>
              <w:rPr>
                <w:sz w:val="24"/>
                <w:szCs w:val="20"/>
                <w:lang w:bidi="he-IL"/>
              </w:rPr>
            </w:pPr>
            <w:r>
              <w:rPr>
                <w:sz w:val="24"/>
                <w:szCs w:val="20"/>
                <w:lang w:bidi="he-IL"/>
              </w:rPr>
              <w:t>3.00</w:t>
            </w:r>
          </w:p>
        </w:tc>
      </w:tr>
    </w:tbl>
    <w:p w14:paraId="1D179F9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4.2.3.</w:t>
      </w:r>
      <w:r>
        <w:rPr>
          <w:rFonts w:hint="eastAsia" w:eastAsiaTheme="minorEastAsia"/>
          <w:color w:val="000000" w:themeColor="text1"/>
          <w:sz w:val="24"/>
          <w:szCs w:val="24"/>
          <w14:textFill>
            <w14:solidFill>
              <w14:schemeClr w14:val="tx1"/>
            </w14:solidFill>
          </w14:textFill>
        </w:rPr>
        <w:t>2 室外机机柜</w:t>
      </w:r>
    </w:p>
    <w:p w14:paraId="2E530D7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a. 机柜面板应采用不锈钢板冲压成型。</w:t>
      </w:r>
    </w:p>
    <w:p w14:paraId="4338A0B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b. 机柜的框架为整体型，其框架用不锈钢板预压成型。全部面板都是可拆卸的，以便于维修。</w:t>
      </w:r>
    </w:p>
    <w:p w14:paraId="6E7A6A7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4.2.3.</w:t>
      </w:r>
      <w:r>
        <w:rPr>
          <w:rFonts w:hint="eastAsia" w:eastAsiaTheme="minorEastAsia"/>
          <w:color w:val="000000" w:themeColor="text1"/>
          <w:sz w:val="24"/>
          <w:szCs w:val="24"/>
          <w14:textFill>
            <w14:solidFill>
              <w14:schemeClr w14:val="tx1"/>
            </w14:solidFill>
          </w14:textFill>
        </w:rPr>
        <w:t>3 制冷压缩机</w:t>
      </w:r>
    </w:p>
    <w:p w14:paraId="6952425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a. 压缩机应置于室外冷凝机组内。</w:t>
      </w:r>
    </w:p>
    <w:p w14:paraId="13C82D5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b. 压缩机为全封闭型，并妥善地安装在弹簧隔振器上。</w:t>
      </w:r>
    </w:p>
    <w:p w14:paraId="017F663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c. 机组应按机组制冷量选用一台或多台同一型号的制冷压缩机。</w:t>
      </w:r>
    </w:p>
    <w:p w14:paraId="0F8184D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4.2.3.</w:t>
      </w:r>
      <w:r>
        <w:rPr>
          <w:rFonts w:hint="eastAsia" w:eastAsiaTheme="minorEastAsia"/>
          <w:color w:val="000000" w:themeColor="text1"/>
          <w:sz w:val="24"/>
          <w:szCs w:val="24"/>
          <w14:textFill>
            <w14:solidFill>
              <w14:schemeClr w14:val="tx1"/>
            </w14:solidFill>
          </w14:textFill>
        </w:rPr>
        <w:t>4 风冷式冷凝机组</w:t>
      </w:r>
    </w:p>
    <w:p w14:paraId="76D196F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a. 冷凝盘管应进行气压试验和水压试验，其试验压力分别为1.2MPa和3.0MPa。</w:t>
      </w:r>
    </w:p>
    <w:p w14:paraId="6199D19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b. 冷凝风机应为直接传动垂直安装式轴流风机。</w:t>
      </w:r>
    </w:p>
    <w:p w14:paraId="650B861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c.</w:t>
      </w:r>
      <w:r>
        <w:rPr>
          <w:rFonts w:hint="eastAsia" w:eastAsiaTheme="minorEastAsia"/>
          <w:color w:val="000000" w:themeColor="text1"/>
          <w:sz w:val="24"/>
          <w:szCs w:val="24"/>
          <w14:textFill>
            <w14:solidFill>
              <w14:schemeClr w14:val="tx1"/>
            </w14:solidFill>
          </w14:textFill>
        </w:rPr>
        <w:tab/>
      </w:r>
      <w:r>
        <w:rPr>
          <w:rFonts w:hint="eastAsia" w:eastAsiaTheme="minorEastAsia"/>
          <w:color w:val="000000" w:themeColor="text1"/>
          <w:sz w:val="24"/>
          <w:szCs w:val="24"/>
          <w14:textFill>
            <w14:solidFill>
              <w14:schemeClr w14:val="tx1"/>
            </w14:solidFill>
          </w14:textFill>
        </w:rPr>
        <w:t>叶轮应由高强度塑料原料注塑而成。</w:t>
      </w:r>
    </w:p>
    <w:p w14:paraId="06233B0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d. 冷凝器翅片应采用高防腐性翅片。</w:t>
      </w:r>
    </w:p>
    <w:p w14:paraId="109D4BC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4.2.3.</w:t>
      </w:r>
      <w:r>
        <w:rPr>
          <w:rFonts w:hint="eastAsia" w:eastAsiaTheme="minorEastAsia"/>
          <w:color w:val="000000" w:themeColor="text1"/>
          <w:sz w:val="24"/>
          <w:szCs w:val="24"/>
          <w14:textFill>
            <w14:solidFill>
              <w14:schemeClr w14:val="tx1"/>
            </w14:solidFill>
          </w14:textFill>
        </w:rPr>
        <w:t>5 冷却盘管</w:t>
      </w:r>
    </w:p>
    <w:p w14:paraId="7D6FB90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a. 冷却盘管应由紫铜管机械外胀铜翅片制成。</w:t>
      </w:r>
    </w:p>
    <w:p w14:paraId="421AF95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b. 冷却盘管及所连接的制冷剂管道应进行气压试验和水压试验，其试验压力分别为1.2MPa和3.0MPa。</w:t>
      </w:r>
    </w:p>
    <w:p w14:paraId="1FDB914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c. 空气通过冷却盘管的最大迎风面风速不应超过3m/s。最大盘管排数不宜超过8排。</w:t>
      </w:r>
    </w:p>
    <w:p w14:paraId="456176D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4.2.3.</w:t>
      </w:r>
      <w:r>
        <w:rPr>
          <w:rFonts w:hint="eastAsia" w:eastAsiaTheme="minorEastAsia"/>
          <w:color w:val="000000" w:themeColor="text1"/>
          <w:sz w:val="24"/>
          <w:szCs w:val="24"/>
          <w14:textFill>
            <w14:solidFill>
              <w14:schemeClr w14:val="tx1"/>
            </w14:solidFill>
          </w14:textFill>
        </w:rPr>
        <w:t>6 室内机风机</w:t>
      </w:r>
    </w:p>
    <w:p w14:paraId="4718B70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a. 风机应是离心式的。风机叶轮和轴应在制造厂内做静平衡和动平衡试验。</w:t>
      </w:r>
    </w:p>
    <w:p w14:paraId="1A314AE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b. 外壳由镀锌钢板制作。</w:t>
      </w:r>
    </w:p>
    <w:p w14:paraId="70123EF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4.2.3.</w:t>
      </w:r>
      <w:r>
        <w:rPr>
          <w:rFonts w:hint="eastAsia" w:eastAsiaTheme="minorEastAsia"/>
          <w:color w:val="000000" w:themeColor="text1"/>
          <w:sz w:val="24"/>
          <w:szCs w:val="24"/>
          <w14:textFill>
            <w14:solidFill>
              <w14:schemeClr w14:val="tx1"/>
            </w14:solidFill>
          </w14:textFill>
        </w:rPr>
        <w:t>7 空气过滤器</w:t>
      </w:r>
    </w:p>
    <w:p w14:paraId="0706E13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a. 空气过滤器盒应为扁平式，其外框应是不锈钢板制作。</w:t>
      </w:r>
    </w:p>
    <w:p w14:paraId="2DFB30D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b. 空气过滤器安装在机组回风口上。</w:t>
      </w:r>
    </w:p>
    <w:p w14:paraId="188D2F2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c. 通过过滤器的面风速不应超过过滤器制造厂所建议的最大的迎风面风速。</w:t>
      </w:r>
    </w:p>
    <w:p w14:paraId="7B56A17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d. 初效过滤器等级C4；高中效过滤器等级GZ。过滤材料应为非燃或阻燃型。</w:t>
      </w:r>
    </w:p>
    <w:p w14:paraId="457E2CB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4.2.3.</w:t>
      </w:r>
      <w:r>
        <w:rPr>
          <w:rFonts w:hint="eastAsia" w:eastAsiaTheme="minorEastAsia"/>
          <w:color w:val="000000" w:themeColor="text1"/>
          <w:sz w:val="24"/>
          <w:szCs w:val="24"/>
          <w14:textFill>
            <w14:solidFill>
              <w14:schemeClr w14:val="tx1"/>
            </w14:solidFill>
          </w14:textFill>
        </w:rPr>
        <w:t>8 滴水盘</w:t>
      </w:r>
    </w:p>
    <w:p w14:paraId="1485A54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a. 滴水盘大小及容量应设计成能使制冷盘管之冷凝水全部流入滴水盘中，并应能畅通地排水。</w:t>
      </w:r>
    </w:p>
    <w:p w14:paraId="6622248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b. 滴水盘应采用至少1mm厚不锈钢板制作。其边角应焊接。</w:t>
      </w:r>
    </w:p>
    <w:p w14:paraId="46E02E6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4.2.3.</w:t>
      </w:r>
      <w:r>
        <w:rPr>
          <w:rFonts w:hint="eastAsia" w:eastAsiaTheme="minorEastAsia"/>
          <w:color w:val="000000" w:themeColor="text1"/>
          <w:sz w:val="24"/>
          <w:szCs w:val="24"/>
          <w14:textFill>
            <w14:solidFill>
              <w14:schemeClr w14:val="tx1"/>
            </w14:solidFill>
          </w14:textFill>
        </w:rPr>
        <w:t>9 制冷剂管路系统</w:t>
      </w:r>
    </w:p>
    <w:p w14:paraId="2161EE3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a. 系统中所有需维修或可拆卸的部件均采用扩口接头。</w:t>
      </w:r>
    </w:p>
    <w:p w14:paraId="44FC1C3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b. 系统管道连接完成后，应经过2.4MPa干燥氮气的耐压试验和R22的检漏试验。</w:t>
      </w:r>
    </w:p>
    <w:p w14:paraId="16D3C70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4.2.3.</w:t>
      </w:r>
      <w:r>
        <w:rPr>
          <w:rFonts w:hint="eastAsia" w:eastAsiaTheme="minorEastAsia"/>
          <w:color w:val="000000" w:themeColor="text1"/>
          <w:sz w:val="24"/>
          <w:szCs w:val="24"/>
          <w14:textFill>
            <w14:solidFill>
              <w14:schemeClr w14:val="tx1"/>
            </w14:solidFill>
          </w14:textFill>
        </w:rPr>
        <w:t>10 保温</w:t>
      </w:r>
    </w:p>
    <w:p w14:paraId="5586DE8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a. 室内机机柜面板保温均由响应供应商在工厂内负责进行。</w:t>
      </w:r>
    </w:p>
    <w:p w14:paraId="32131D4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b. 保温材料应采用难燃性保温材料，其传热系数K值应不大于0.034W/m2.℃。</w:t>
      </w:r>
    </w:p>
    <w:p w14:paraId="225831B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c. 制冷剂管保温层外应设置隔汽层和保护层，以防止保温层受潮和受损。</w:t>
      </w:r>
    </w:p>
    <w:p w14:paraId="2C79424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4.2.3.</w:t>
      </w:r>
      <w:r>
        <w:rPr>
          <w:rFonts w:hint="eastAsia" w:eastAsiaTheme="minorEastAsia"/>
          <w:color w:val="000000" w:themeColor="text1"/>
          <w:sz w:val="24"/>
          <w:szCs w:val="24"/>
          <w14:textFill>
            <w14:solidFill>
              <w14:schemeClr w14:val="tx1"/>
            </w14:solidFill>
          </w14:textFill>
        </w:rPr>
        <w:t>11 冷凝水管</w:t>
      </w:r>
    </w:p>
    <w:p w14:paraId="42EF979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空调室内机的冷凝水管应采用铝塑复合管，空调冷凝水应集中排放至卫生间地漏或室外排水井，布置在室内的冷凝水管应采取措施（如保温）以防二次结露。</w:t>
      </w:r>
    </w:p>
    <w:p w14:paraId="7C97963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4.2.3.</w:t>
      </w:r>
      <w:r>
        <w:rPr>
          <w:rFonts w:hint="eastAsia" w:eastAsiaTheme="minorEastAsia"/>
          <w:color w:val="000000" w:themeColor="text1"/>
          <w:sz w:val="24"/>
          <w:szCs w:val="24"/>
          <w14:textFill>
            <w14:solidFill>
              <w14:schemeClr w14:val="tx1"/>
            </w14:solidFill>
          </w14:textFill>
        </w:rPr>
        <w:t>12 机组控制</w:t>
      </w:r>
    </w:p>
    <w:p w14:paraId="5E6A4FF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ab/>
      </w:r>
      <w:r>
        <w:rPr>
          <w:rFonts w:hint="eastAsia" w:eastAsiaTheme="minorEastAsia"/>
          <w:color w:val="000000" w:themeColor="text1"/>
          <w:sz w:val="24"/>
          <w:szCs w:val="24"/>
          <w14:textFill>
            <w14:solidFill>
              <w14:schemeClr w14:val="tx1"/>
            </w14:solidFill>
          </w14:textFill>
        </w:rPr>
        <w:t>a. 自适应控制功能：机组的自适应控制应在系统的任一参数变化到极限而有可能损坏机器或因此引起停机的情况下能够起动保护机组的作用功能。</w:t>
      </w:r>
    </w:p>
    <w:p w14:paraId="2F8B639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ab/>
      </w:r>
      <w:r>
        <w:rPr>
          <w:rFonts w:hint="eastAsia" w:eastAsiaTheme="minorEastAsia"/>
          <w:color w:val="000000" w:themeColor="text1"/>
          <w:sz w:val="24"/>
          <w:szCs w:val="24"/>
          <w14:textFill>
            <w14:solidFill>
              <w14:schemeClr w14:val="tx1"/>
            </w14:solidFill>
          </w14:textFill>
        </w:rPr>
        <w:t>b. 机组应配置相应线控器，且具有RS485接口。</w:t>
      </w:r>
    </w:p>
    <w:p w14:paraId="1177968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4.2.3.</w:t>
      </w:r>
      <w:r>
        <w:rPr>
          <w:rFonts w:hint="eastAsia" w:eastAsiaTheme="minorEastAsia"/>
          <w:color w:val="000000" w:themeColor="text1"/>
          <w:sz w:val="24"/>
          <w:szCs w:val="24"/>
          <w14:textFill>
            <w14:solidFill>
              <w14:schemeClr w14:val="tx1"/>
            </w14:solidFill>
          </w14:textFill>
        </w:rPr>
        <w:t>13 安装</w:t>
      </w:r>
    </w:p>
    <w:p w14:paraId="33D6A59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a. 机组水平放置在与机组尺寸及重量相对应的基座上，且不需采用减振器。</w:t>
      </w:r>
    </w:p>
    <w:p w14:paraId="4C9C597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b. 吊装式室内机组的基座应配置吊筋穿孔以便设备的吊装。</w:t>
      </w:r>
    </w:p>
    <w:p w14:paraId="33983DE5">
      <w:pPr>
        <w:snapToGrid w:val="0"/>
        <w:spacing w:line="480" w:lineRule="atLeast"/>
        <w:rPr>
          <w:rFonts w:eastAsiaTheme="minorEastAsia"/>
          <w:color w:val="000000" w:themeColor="text1"/>
          <w:sz w:val="24"/>
          <w:szCs w:val="24"/>
          <w14:textFill>
            <w14:solidFill>
              <w14:schemeClr w14:val="tx1"/>
            </w14:solidFill>
          </w14:textFill>
        </w:rPr>
      </w:pPr>
    </w:p>
    <w:p w14:paraId="728B5873">
      <w:pPr>
        <w:pStyle w:val="121"/>
        <w:numPr>
          <w:ilvl w:val="2"/>
          <w:numId w:val="5"/>
        </w:numPr>
        <w:snapToGrid w:val="0"/>
        <w:spacing w:line="480" w:lineRule="atLeast"/>
        <w:ind w:left="0" w:firstLine="482" w:firstLineChars="200"/>
        <w:outlineLvl w:val="2"/>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风冷热泵型单元式空调机</w:t>
      </w:r>
    </w:p>
    <w:p w14:paraId="66CD20F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4.2.4.1 </w:t>
      </w:r>
      <w:r>
        <w:rPr>
          <w:rFonts w:hint="eastAsia" w:eastAsiaTheme="minorEastAsia"/>
          <w:color w:val="000000" w:themeColor="text1"/>
          <w:sz w:val="24"/>
          <w:szCs w:val="24"/>
          <w14:textFill>
            <w14:solidFill>
              <w14:schemeClr w14:val="tx1"/>
            </w14:solidFill>
          </w14:textFill>
        </w:rPr>
        <w:t>风冷热泵型单元式空调机采用环保冷媒，机组能效等级</w:t>
      </w:r>
      <w:r>
        <w:rPr>
          <w:rFonts w:eastAsiaTheme="minorEastAsia"/>
          <w:color w:val="000000" w:themeColor="text1"/>
          <w:sz w:val="24"/>
          <w:szCs w:val="24"/>
          <w14:textFill>
            <w14:solidFill>
              <w14:schemeClr w14:val="tx1"/>
            </w14:solidFill>
          </w14:textFill>
        </w:rPr>
        <w:t>EER</w:t>
      </w:r>
      <w:r>
        <w:rPr>
          <w:rFonts w:hint="eastAsia" w:eastAsiaTheme="minorEastAsia"/>
          <w:color w:val="000000" w:themeColor="text1"/>
          <w:sz w:val="24"/>
          <w:szCs w:val="24"/>
          <w14:textFill>
            <w14:solidFill>
              <w14:schemeClr w14:val="tx1"/>
            </w14:solidFill>
          </w14:textFill>
        </w:rPr>
        <w:t>达到《单元式空气调节机能效限定值及能效等级》（</w:t>
      </w:r>
      <w:r>
        <w:rPr>
          <w:rFonts w:eastAsiaTheme="minorEastAsia"/>
          <w:color w:val="000000" w:themeColor="text1"/>
          <w:sz w:val="24"/>
          <w:szCs w:val="24"/>
          <w14:textFill>
            <w14:solidFill>
              <w14:schemeClr w14:val="tx1"/>
            </w14:solidFill>
          </w14:textFill>
        </w:rPr>
        <w:t>GB 19576</w:t>
      </w:r>
      <w:r>
        <w:rPr>
          <w:rFonts w:hint="eastAsia" w:eastAsiaTheme="minorEastAsia"/>
          <w:color w:val="000000" w:themeColor="text1"/>
          <w:sz w:val="24"/>
          <w:szCs w:val="24"/>
          <w14:textFill>
            <w14:solidFill>
              <w14:schemeClr w14:val="tx1"/>
            </w14:solidFill>
          </w14:textFill>
        </w:rPr>
        <w:t>）节能评价值中能效等级</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级水平，全年能效系数A</w:t>
      </w:r>
      <w:r>
        <w:rPr>
          <w:rFonts w:eastAsiaTheme="minorEastAsia"/>
          <w:color w:val="000000" w:themeColor="text1"/>
          <w:sz w:val="24"/>
          <w:szCs w:val="24"/>
          <w14:textFill>
            <w14:solidFill>
              <w14:schemeClr w14:val="tx1"/>
            </w14:solidFill>
          </w14:textFill>
        </w:rPr>
        <w:t>PF</w:t>
      </w:r>
      <w:r>
        <w:rPr>
          <w:rFonts w:hint="eastAsia" w:eastAsiaTheme="minorEastAsia"/>
          <w:color w:val="000000" w:themeColor="text1"/>
          <w:sz w:val="24"/>
          <w:szCs w:val="24"/>
          <w14:textFill>
            <w14:solidFill>
              <w14:schemeClr w14:val="tx1"/>
            </w14:solidFill>
          </w14:textFill>
        </w:rPr>
        <w:t>满足《建筑节能与可再生能源利用通用规范》（GB55015）规范中3.2.13的各制冷量所对的限值。机组的制冷量/制热量不允许负偏差，正偏差不宜大于3%。</w:t>
      </w:r>
    </w:p>
    <w:tbl>
      <w:tblPr>
        <w:tblStyle w:val="41"/>
        <w:tblpPr w:leftFromText="180" w:rightFromText="180" w:vertAnchor="text" w:horzAnchor="margin" w:tblpY="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2972"/>
        <w:gridCol w:w="3119"/>
        <w:gridCol w:w="2969"/>
      </w:tblGrid>
      <w:tr w14:paraId="3E383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2972" w:type="dxa"/>
            <w:vAlign w:val="center"/>
          </w:tcPr>
          <w:p w14:paraId="365D9EB4">
            <w:pPr>
              <w:pStyle w:val="153"/>
              <w:spacing w:line="360" w:lineRule="auto"/>
              <w:ind w:left="480"/>
              <w:jc w:val="center"/>
              <w:rPr>
                <w:sz w:val="24"/>
                <w:szCs w:val="20"/>
                <w:lang w:bidi="he-IL"/>
              </w:rPr>
            </w:pPr>
            <w:r>
              <w:rPr>
                <w:rFonts w:hint="eastAsia"/>
                <w:sz w:val="24"/>
                <w:szCs w:val="20"/>
                <w:lang w:bidi="he-IL"/>
              </w:rPr>
              <w:t>名义制冷量CC</w:t>
            </w:r>
          </w:p>
          <w:p w14:paraId="409E3256">
            <w:pPr>
              <w:pStyle w:val="153"/>
              <w:spacing w:line="360" w:lineRule="auto"/>
              <w:ind w:left="480"/>
              <w:jc w:val="center"/>
              <w:rPr>
                <w:sz w:val="24"/>
                <w:szCs w:val="20"/>
                <w:lang w:bidi="he-IL"/>
              </w:rPr>
            </w:pPr>
            <w:r>
              <w:rPr>
                <w:rFonts w:hint="eastAsia"/>
                <w:sz w:val="24"/>
                <w:szCs w:val="20"/>
                <w:lang w:bidi="he-IL"/>
              </w:rPr>
              <w:t>（kW）</w:t>
            </w:r>
          </w:p>
        </w:tc>
        <w:tc>
          <w:tcPr>
            <w:tcW w:w="3119" w:type="dxa"/>
            <w:vAlign w:val="center"/>
          </w:tcPr>
          <w:p w14:paraId="0FFDEA02">
            <w:pPr>
              <w:pStyle w:val="153"/>
              <w:spacing w:line="360" w:lineRule="auto"/>
              <w:jc w:val="center"/>
              <w:rPr>
                <w:sz w:val="24"/>
                <w:szCs w:val="20"/>
                <w:lang w:bidi="he-IL"/>
              </w:rPr>
            </w:pPr>
            <w:r>
              <w:rPr>
                <w:rFonts w:hint="eastAsia"/>
                <w:sz w:val="24"/>
                <w:szCs w:val="20"/>
                <w:lang w:bidi="he-IL"/>
              </w:rPr>
              <w:t>风冷单冷型</w:t>
            </w:r>
          </w:p>
          <w:p w14:paraId="1B06FD42">
            <w:pPr>
              <w:pStyle w:val="153"/>
              <w:spacing w:line="360" w:lineRule="auto"/>
              <w:jc w:val="center"/>
              <w:rPr>
                <w:sz w:val="24"/>
                <w:szCs w:val="20"/>
                <w:lang w:bidi="he-IL"/>
              </w:rPr>
            </w:pPr>
            <w:r>
              <w:rPr>
                <w:rFonts w:hint="eastAsia"/>
                <w:sz w:val="24"/>
                <w:szCs w:val="20"/>
                <w:lang w:bidi="he-IL"/>
              </w:rPr>
              <w:t>制冷季节能效比（SEER）</w:t>
            </w:r>
          </w:p>
        </w:tc>
        <w:tc>
          <w:tcPr>
            <w:tcW w:w="2969" w:type="dxa"/>
            <w:vAlign w:val="center"/>
          </w:tcPr>
          <w:p w14:paraId="762E9F18">
            <w:pPr>
              <w:pStyle w:val="153"/>
              <w:spacing w:line="360" w:lineRule="auto"/>
              <w:jc w:val="center"/>
              <w:rPr>
                <w:sz w:val="24"/>
                <w:szCs w:val="20"/>
                <w:lang w:bidi="he-IL"/>
              </w:rPr>
            </w:pPr>
            <w:r>
              <w:rPr>
                <w:rFonts w:hint="eastAsia"/>
                <w:sz w:val="24"/>
                <w:szCs w:val="20"/>
                <w:lang w:bidi="he-IL"/>
              </w:rPr>
              <w:t>风冷热泵型</w:t>
            </w:r>
          </w:p>
          <w:p w14:paraId="759A5EEA">
            <w:pPr>
              <w:pStyle w:val="153"/>
              <w:spacing w:line="360" w:lineRule="auto"/>
              <w:jc w:val="center"/>
              <w:rPr>
                <w:sz w:val="24"/>
                <w:szCs w:val="20"/>
                <w:lang w:bidi="he-IL"/>
              </w:rPr>
            </w:pPr>
            <w:r>
              <w:rPr>
                <w:rFonts w:hint="eastAsia"/>
                <w:sz w:val="24"/>
                <w:szCs w:val="20"/>
                <w:lang w:bidi="he-IL"/>
              </w:rPr>
              <w:t>全年性能系数（APF）</w:t>
            </w:r>
          </w:p>
        </w:tc>
      </w:tr>
      <w:tr w14:paraId="5913F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2972" w:type="dxa"/>
            <w:vAlign w:val="center"/>
          </w:tcPr>
          <w:p w14:paraId="0DFB60BF">
            <w:pPr>
              <w:pStyle w:val="153"/>
              <w:spacing w:line="360" w:lineRule="auto"/>
              <w:jc w:val="center"/>
              <w:rPr>
                <w:sz w:val="24"/>
                <w:szCs w:val="20"/>
                <w:lang w:bidi="he-IL"/>
              </w:rPr>
            </w:pPr>
            <w:r>
              <w:rPr>
                <w:sz w:val="24"/>
                <w:szCs w:val="20"/>
                <w:lang w:bidi="he-IL"/>
              </w:rPr>
              <w:t>7.0</w:t>
            </w:r>
            <w:r>
              <w:rPr>
                <w:rFonts w:hint="eastAsia"/>
                <w:sz w:val="24"/>
                <w:szCs w:val="20"/>
                <w:lang w:bidi="he-IL"/>
              </w:rPr>
              <w:t>＜CC≤14.0</w:t>
            </w:r>
          </w:p>
        </w:tc>
        <w:tc>
          <w:tcPr>
            <w:tcW w:w="3119" w:type="dxa"/>
            <w:vAlign w:val="center"/>
          </w:tcPr>
          <w:p w14:paraId="7FBB3914">
            <w:pPr>
              <w:pStyle w:val="153"/>
              <w:spacing w:line="360" w:lineRule="auto"/>
              <w:jc w:val="center"/>
              <w:rPr>
                <w:sz w:val="24"/>
                <w:szCs w:val="20"/>
                <w:lang w:bidi="he-IL"/>
              </w:rPr>
            </w:pPr>
            <w:r>
              <w:rPr>
                <w:sz w:val="24"/>
                <w:szCs w:val="20"/>
                <w:lang w:bidi="he-IL"/>
              </w:rPr>
              <w:t>3.80</w:t>
            </w:r>
          </w:p>
        </w:tc>
        <w:tc>
          <w:tcPr>
            <w:tcW w:w="2969" w:type="dxa"/>
            <w:vAlign w:val="center"/>
          </w:tcPr>
          <w:p w14:paraId="4C89AF39">
            <w:pPr>
              <w:pStyle w:val="153"/>
              <w:spacing w:line="360" w:lineRule="auto"/>
              <w:jc w:val="center"/>
              <w:rPr>
                <w:sz w:val="24"/>
                <w:szCs w:val="20"/>
                <w:lang w:bidi="he-IL"/>
              </w:rPr>
            </w:pPr>
            <w:r>
              <w:rPr>
                <w:sz w:val="24"/>
                <w:szCs w:val="20"/>
                <w:lang w:bidi="he-IL"/>
              </w:rPr>
              <w:t>3.10</w:t>
            </w:r>
          </w:p>
        </w:tc>
      </w:tr>
      <w:tr w14:paraId="359D9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2972" w:type="dxa"/>
            <w:vAlign w:val="center"/>
          </w:tcPr>
          <w:p w14:paraId="6E79C29D">
            <w:pPr>
              <w:pStyle w:val="153"/>
              <w:spacing w:line="360" w:lineRule="auto"/>
              <w:jc w:val="center"/>
              <w:rPr>
                <w:sz w:val="24"/>
                <w:szCs w:val="20"/>
                <w:lang w:bidi="he-IL"/>
              </w:rPr>
            </w:pPr>
            <w:r>
              <w:rPr>
                <w:rFonts w:hint="eastAsia"/>
                <w:sz w:val="24"/>
                <w:szCs w:val="20"/>
                <w:lang w:bidi="he-IL"/>
              </w:rPr>
              <w:t>CC＞14.0</w:t>
            </w:r>
          </w:p>
        </w:tc>
        <w:tc>
          <w:tcPr>
            <w:tcW w:w="3119" w:type="dxa"/>
            <w:vAlign w:val="center"/>
          </w:tcPr>
          <w:p w14:paraId="502BFDA4">
            <w:pPr>
              <w:pStyle w:val="153"/>
              <w:spacing w:line="360" w:lineRule="auto"/>
              <w:jc w:val="center"/>
              <w:rPr>
                <w:sz w:val="24"/>
                <w:szCs w:val="20"/>
                <w:lang w:bidi="he-IL"/>
              </w:rPr>
            </w:pPr>
            <w:r>
              <w:rPr>
                <w:sz w:val="24"/>
                <w:szCs w:val="20"/>
                <w:lang w:bidi="he-IL"/>
              </w:rPr>
              <w:t>3.00</w:t>
            </w:r>
          </w:p>
        </w:tc>
        <w:tc>
          <w:tcPr>
            <w:tcW w:w="2969" w:type="dxa"/>
            <w:vAlign w:val="center"/>
          </w:tcPr>
          <w:p w14:paraId="42AE591D">
            <w:pPr>
              <w:pStyle w:val="153"/>
              <w:spacing w:line="360" w:lineRule="auto"/>
              <w:jc w:val="center"/>
              <w:rPr>
                <w:sz w:val="24"/>
                <w:szCs w:val="20"/>
                <w:lang w:bidi="he-IL"/>
              </w:rPr>
            </w:pPr>
            <w:r>
              <w:rPr>
                <w:sz w:val="24"/>
                <w:szCs w:val="20"/>
                <w:lang w:bidi="he-IL"/>
              </w:rPr>
              <w:t>3.00</w:t>
            </w:r>
          </w:p>
        </w:tc>
      </w:tr>
    </w:tbl>
    <w:p w14:paraId="63DCB67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p>
    <w:p w14:paraId="6675D6C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41" w:name="_Toc279850353"/>
      <w:bookmarkStart w:id="542" w:name="_Toc279850766"/>
      <w:r>
        <w:rPr>
          <w:rFonts w:eastAsiaTheme="minorEastAsia"/>
          <w:color w:val="000000" w:themeColor="text1"/>
          <w:sz w:val="24"/>
          <w:szCs w:val="24"/>
          <w14:textFill>
            <w14:solidFill>
              <w14:schemeClr w14:val="tx1"/>
            </w14:solidFill>
          </w14:textFill>
        </w:rPr>
        <w:t xml:space="preserve">4.2.4.2 </w:t>
      </w:r>
      <w:r>
        <w:rPr>
          <w:rFonts w:hint="eastAsia" w:eastAsiaTheme="minorEastAsia"/>
          <w:color w:val="000000" w:themeColor="text1"/>
          <w:sz w:val="24"/>
          <w:szCs w:val="24"/>
          <w14:textFill>
            <w14:solidFill>
              <w14:schemeClr w14:val="tx1"/>
            </w14:solidFill>
          </w14:textFill>
        </w:rPr>
        <w:t>室内机机柜</w:t>
      </w:r>
      <w:bookmarkEnd w:id="541"/>
      <w:bookmarkEnd w:id="542"/>
    </w:p>
    <w:p w14:paraId="51BD7B97">
      <w:pPr>
        <w:pStyle w:val="178"/>
        <w:numPr>
          <w:ilvl w:val="0"/>
          <w:numId w:val="21"/>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机柜面板应采用厚度不小于</w:t>
      </w:r>
      <w:r>
        <w:rPr>
          <w:rFonts w:eastAsiaTheme="minorEastAsia"/>
          <w:color w:val="000000" w:themeColor="text1"/>
          <w:szCs w:val="24"/>
          <w14:textFill>
            <w14:solidFill>
              <w14:schemeClr w14:val="tx1"/>
            </w14:solidFill>
          </w14:textFill>
        </w:rPr>
        <w:t>1.2mm</w:t>
      </w:r>
      <w:r>
        <w:rPr>
          <w:rFonts w:hint="eastAsia" w:eastAsiaTheme="minorEastAsia"/>
          <w:color w:val="000000" w:themeColor="text1"/>
          <w:szCs w:val="24"/>
          <w14:textFill>
            <w14:solidFill>
              <w14:schemeClr w14:val="tx1"/>
            </w14:solidFill>
          </w14:textFill>
        </w:rPr>
        <w:t>的镀锌钢板冲压成型，外表面均采用喷塑处理。</w:t>
      </w:r>
    </w:p>
    <w:p w14:paraId="6D3B2DE3">
      <w:pPr>
        <w:pStyle w:val="178"/>
        <w:numPr>
          <w:ilvl w:val="0"/>
          <w:numId w:val="21"/>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机柜的框架为整体型，其框架用厚度不小于</w:t>
      </w:r>
      <w:r>
        <w:rPr>
          <w:rFonts w:eastAsiaTheme="minorEastAsia"/>
          <w:color w:val="000000" w:themeColor="text1"/>
          <w:szCs w:val="24"/>
          <w14:textFill>
            <w14:solidFill>
              <w14:schemeClr w14:val="tx1"/>
            </w14:solidFill>
          </w14:textFill>
        </w:rPr>
        <w:t>2.0mm</w:t>
      </w:r>
      <w:r>
        <w:rPr>
          <w:rFonts w:hint="eastAsia" w:eastAsiaTheme="minorEastAsia"/>
          <w:color w:val="000000" w:themeColor="text1"/>
          <w:szCs w:val="24"/>
          <w14:textFill>
            <w14:solidFill>
              <w14:schemeClr w14:val="tx1"/>
            </w14:solidFill>
          </w14:textFill>
        </w:rPr>
        <w:t>的镀锌钢板预压成型。全部面板都是可拆卸的，以便于维修。</w:t>
      </w:r>
    </w:p>
    <w:p w14:paraId="125C5C1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43" w:name="_Toc279850354"/>
      <w:bookmarkStart w:id="544" w:name="_Toc279850767"/>
      <w:r>
        <w:rPr>
          <w:rFonts w:eastAsiaTheme="minorEastAsia"/>
          <w:color w:val="000000" w:themeColor="text1"/>
          <w:sz w:val="24"/>
          <w:szCs w:val="24"/>
          <w14:textFill>
            <w14:solidFill>
              <w14:schemeClr w14:val="tx1"/>
            </w14:solidFill>
          </w14:textFill>
        </w:rPr>
        <w:t xml:space="preserve">4.2.4.3 </w:t>
      </w:r>
      <w:r>
        <w:rPr>
          <w:rFonts w:hint="eastAsia" w:eastAsiaTheme="minorEastAsia"/>
          <w:color w:val="000000" w:themeColor="text1"/>
          <w:sz w:val="24"/>
          <w:szCs w:val="24"/>
          <w14:textFill>
            <w14:solidFill>
              <w14:schemeClr w14:val="tx1"/>
            </w14:solidFill>
          </w14:textFill>
        </w:rPr>
        <w:t>制冷压缩机</w:t>
      </w:r>
      <w:bookmarkEnd w:id="543"/>
      <w:bookmarkEnd w:id="544"/>
    </w:p>
    <w:p w14:paraId="7C45DDA8">
      <w:pPr>
        <w:pStyle w:val="178"/>
        <w:numPr>
          <w:ilvl w:val="0"/>
          <w:numId w:val="22"/>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压缩机应置于室外冷凝机组内。</w:t>
      </w:r>
    </w:p>
    <w:p w14:paraId="1F55672D">
      <w:pPr>
        <w:pStyle w:val="178"/>
        <w:numPr>
          <w:ilvl w:val="0"/>
          <w:numId w:val="22"/>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压缩机为全封闭型，并妥善地安装在弹簧隔振器上。</w:t>
      </w:r>
    </w:p>
    <w:p w14:paraId="2A63E79D">
      <w:pPr>
        <w:pStyle w:val="178"/>
        <w:numPr>
          <w:ilvl w:val="0"/>
          <w:numId w:val="22"/>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机组应按机组制冷量选用一台或多台同一型号的制冷压缩机。</w:t>
      </w:r>
    </w:p>
    <w:p w14:paraId="55B949B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4.2.4.4 </w:t>
      </w:r>
      <w:r>
        <w:rPr>
          <w:rFonts w:hint="eastAsia" w:eastAsiaTheme="minorEastAsia"/>
          <w:color w:val="000000" w:themeColor="text1"/>
          <w:sz w:val="24"/>
          <w:szCs w:val="24"/>
          <w14:textFill>
            <w14:solidFill>
              <w14:schemeClr w14:val="tx1"/>
            </w14:solidFill>
          </w14:textFill>
        </w:rPr>
        <w:t>风冷式冷凝机组</w:t>
      </w:r>
    </w:p>
    <w:p w14:paraId="404D45CC">
      <w:pPr>
        <w:pStyle w:val="178"/>
        <w:numPr>
          <w:ilvl w:val="0"/>
          <w:numId w:val="23"/>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冷凝盘管应进行气压试验和水压试验，其试验压力分别为</w:t>
      </w:r>
      <w:r>
        <w:rPr>
          <w:rFonts w:eastAsiaTheme="minorEastAsia"/>
          <w:color w:val="000000" w:themeColor="text1"/>
          <w:szCs w:val="24"/>
          <w14:textFill>
            <w14:solidFill>
              <w14:schemeClr w14:val="tx1"/>
            </w14:solidFill>
          </w14:textFill>
        </w:rPr>
        <w:t>1.2MPa</w:t>
      </w:r>
      <w:r>
        <w:rPr>
          <w:rFonts w:hint="eastAsia" w:eastAsiaTheme="minorEastAsia"/>
          <w:color w:val="000000" w:themeColor="text1"/>
          <w:szCs w:val="24"/>
          <w14:textFill>
            <w14:solidFill>
              <w14:schemeClr w14:val="tx1"/>
            </w14:solidFill>
          </w14:textFill>
        </w:rPr>
        <w:t>和</w:t>
      </w:r>
      <w:r>
        <w:rPr>
          <w:rFonts w:eastAsiaTheme="minorEastAsia"/>
          <w:color w:val="000000" w:themeColor="text1"/>
          <w:szCs w:val="24"/>
          <w14:textFill>
            <w14:solidFill>
              <w14:schemeClr w14:val="tx1"/>
            </w14:solidFill>
          </w14:textFill>
        </w:rPr>
        <w:t>3.0MPa</w:t>
      </w:r>
      <w:r>
        <w:rPr>
          <w:rFonts w:hint="eastAsia" w:eastAsiaTheme="minorEastAsia"/>
          <w:color w:val="000000" w:themeColor="text1"/>
          <w:szCs w:val="24"/>
          <w14:textFill>
            <w14:solidFill>
              <w14:schemeClr w14:val="tx1"/>
            </w14:solidFill>
          </w14:textFill>
        </w:rPr>
        <w:t>。</w:t>
      </w:r>
    </w:p>
    <w:p w14:paraId="6F7B80EB">
      <w:pPr>
        <w:pStyle w:val="178"/>
        <w:numPr>
          <w:ilvl w:val="0"/>
          <w:numId w:val="23"/>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冷凝风机应为直接传动垂直安装式轴流风机。</w:t>
      </w:r>
    </w:p>
    <w:p w14:paraId="700DA118">
      <w:pPr>
        <w:pStyle w:val="178"/>
        <w:numPr>
          <w:ilvl w:val="0"/>
          <w:numId w:val="23"/>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叶轮应由铝合金买方制成。</w:t>
      </w:r>
    </w:p>
    <w:p w14:paraId="55E9FAF2">
      <w:pPr>
        <w:pStyle w:val="178"/>
        <w:numPr>
          <w:ilvl w:val="0"/>
          <w:numId w:val="23"/>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风机叶轮（包括轴）应当在组装之前进行动平衡和静平衡试验。轴流风机转速不应大于</w:t>
      </w:r>
      <w:r>
        <w:rPr>
          <w:rFonts w:eastAsiaTheme="minorEastAsia"/>
          <w:color w:val="000000" w:themeColor="text1"/>
          <w:szCs w:val="24"/>
          <w14:textFill>
            <w14:solidFill>
              <w14:schemeClr w14:val="tx1"/>
            </w14:solidFill>
          </w14:textFill>
        </w:rPr>
        <w:t>960r.p.m.</w:t>
      </w:r>
      <w:r>
        <w:rPr>
          <w:rFonts w:hint="eastAsia" w:eastAsiaTheme="minorEastAsia"/>
          <w:color w:val="000000" w:themeColor="text1"/>
          <w:szCs w:val="24"/>
          <w14:textFill>
            <w14:solidFill>
              <w14:schemeClr w14:val="tx1"/>
            </w14:solidFill>
          </w14:textFill>
        </w:rPr>
        <w:t>，风机应设置满足下列要求而设计的弹簧减振器：</w:t>
      </w:r>
    </w:p>
    <w:tbl>
      <w:tblPr>
        <w:tblStyle w:val="4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7" w:type="dxa"/>
          <w:bottom w:w="0" w:type="dxa"/>
          <w:right w:w="107" w:type="dxa"/>
        </w:tblCellMar>
      </w:tblPr>
      <w:tblGrid>
        <w:gridCol w:w="4300"/>
        <w:gridCol w:w="2504"/>
      </w:tblGrid>
      <w:tr w14:paraId="5159A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7" w:type="dxa"/>
            <w:bottom w:w="0" w:type="dxa"/>
            <w:right w:w="107" w:type="dxa"/>
          </w:tblCellMar>
        </w:tblPrEx>
        <w:trPr>
          <w:trHeight w:val="240" w:hRule="atLeast"/>
          <w:jc w:val="center"/>
        </w:trPr>
        <w:tc>
          <w:tcPr>
            <w:tcW w:w="4300" w:type="dxa"/>
            <w:vAlign w:val="center"/>
          </w:tcPr>
          <w:p w14:paraId="0C4CFF0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风机转速</w:t>
            </w:r>
          </w:p>
        </w:tc>
        <w:tc>
          <w:tcPr>
            <w:tcW w:w="2504" w:type="dxa"/>
            <w:vAlign w:val="center"/>
          </w:tcPr>
          <w:p w14:paraId="00E0F66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减振效率</w:t>
            </w:r>
          </w:p>
        </w:tc>
      </w:tr>
      <w:tr w14:paraId="6A0AC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7" w:type="dxa"/>
            <w:bottom w:w="0" w:type="dxa"/>
            <w:right w:w="107" w:type="dxa"/>
          </w:tblCellMar>
        </w:tblPrEx>
        <w:trPr>
          <w:trHeight w:val="240" w:hRule="atLeast"/>
          <w:jc w:val="center"/>
        </w:trPr>
        <w:tc>
          <w:tcPr>
            <w:tcW w:w="4300" w:type="dxa"/>
            <w:vAlign w:val="center"/>
          </w:tcPr>
          <w:p w14:paraId="77DF9BB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达</w:t>
            </w:r>
            <w:r>
              <w:rPr>
                <w:rFonts w:eastAsiaTheme="minorEastAsia"/>
                <w:color w:val="000000" w:themeColor="text1"/>
                <w:sz w:val="24"/>
                <w:szCs w:val="24"/>
                <w14:textFill>
                  <w14:solidFill>
                    <w14:schemeClr w14:val="tx1"/>
                  </w14:solidFill>
                </w14:textFill>
              </w:rPr>
              <w:t>450r.p.m.</w:t>
            </w:r>
          </w:p>
        </w:tc>
        <w:tc>
          <w:tcPr>
            <w:tcW w:w="2504" w:type="dxa"/>
            <w:vAlign w:val="center"/>
          </w:tcPr>
          <w:p w14:paraId="58665D0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80%</w:t>
            </w:r>
          </w:p>
        </w:tc>
      </w:tr>
      <w:tr w14:paraId="2DF93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7" w:type="dxa"/>
            <w:bottom w:w="0" w:type="dxa"/>
            <w:right w:w="107" w:type="dxa"/>
          </w:tblCellMar>
        </w:tblPrEx>
        <w:trPr>
          <w:trHeight w:val="240" w:hRule="atLeast"/>
          <w:jc w:val="center"/>
        </w:trPr>
        <w:tc>
          <w:tcPr>
            <w:tcW w:w="4300" w:type="dxa"/>
            <w:vAlign w:val="center"/>
          </w:tcPr>
          <w:p w14:paraId="3A06AAE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450r.p.m.</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850r.p.m.</w:t>
            </w:r>
          </w:p>
        </w:tc>
        <w:tc>
          <w:tcPr>
            <w:tcW w:w="2504" w:type="dxa"/>
            <w:vAlign w:val="center"/>
          </w:tcPr>
          <w:p w14:paraId="2CD6229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90%</w:t>
            </w:r>
          </w:p>
        </w:tc>
      </w:tr>
      <w:tr w14:paraId="2488E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7" w:type="dxa"/>
            <w:bottom w:w="0" w:type="dxa"/>
            <w:right w:w="107" w:type="dxa"/>
          </w:tblCellMar>
        </w:tblPrEx>
        <w:trPr>
          <w:trHeight w:val="240" w:hRule="atLeast"/>
          <w:jc w:val="center"/>
        </w:trPr>
        <w:tc>
          <w:tcPr>
            <w:tcW w:w="4300" w:type="dxa"/>
            <w:vAlign w:val="center"/>
          </w:tcPr>
          <w:p w14:paraId="4D59EB9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850r.p.m.</w:t>
            </w:r>
            <w:r>
              <w:rPr>
                <w:rFonts w:hint="eastAsia" w:eastAsiaTheme="minorEastAsia"/>
                <w:color w:val="000000" w:themeColor="text1"/>
                <w:sz w:val="24"/>
                <w:szCs w:val="24"/>
                <w14:textFill>
                  <w14:solidFill>
                    <w14:schemeClr w14:val="tx1"/>
                  </w14:solidFill>
                </w14:textFill>
              </w:rPr>
              <w:t>以上</w:t>
            </w:r>
          </w:p>
        </w:tc>
        <w:tc>
          <w:tcPr>
            <w:tcW w:w="2504" w:type="dxa"/>
            <w:vAlign w:val="center"/>
          </w:tcPr>
          <w:p w14:paraId="0DAF98E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95%</w:t>
            </w:r>
          </w:p>
        </w:tc>
      </w:tr>
    </w:tbl>
    <w:p w14:paraId="3281183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45" w:name="_Toc279850356"/>
      <w:bookmarkStart w:id="546" w:name="_Toc279850769"/>
      <w:r>
        <w:rPr>
          <w:rFonts w:eastAsiaTheme="minorEastAsia"/>
          <w:color w:val="000000" w:themeColor="text1"/>
          <w:sz w:val="24"/>
          <w:szCs w:val="24"/>
          <w14:textFill>
            <w14:solidFill>
              <w14:schemeClr w14:val="tx1"/>
            </w14:solidFill>
          </w14:textFill>
        </w:rPr>
        <w:t>4.2.4.5</w:t>
      </w:r>
      <w:r>
        <w:rPr>
          <w:rFonts w:hint="eastAsia" w:eastAsiaTheme="minorEastAsia"/>
          <w:color w:val="000000" w:themeColor="text1"/>
          <w:sz w:val="24"/>
          <w:szCs w:val="24"/>
          <w14:textFill>
            <w14:solidFill>
              <w14:schemeClr w14:val="tx1"/>
            </w14:solidFill>
          </w14:textFill>
        </w:rPr>
        <w:t>直接蒸发盘管（冷却盘管）</w:t>
      </w:r>
      <w:bookmarkEnd w:id="545"/>
      <w:bookmarkEnd w:id="546"/>
    </w:p>
    <w:p w14:paraId="1D8A8CB0">
      <w:pPr>
        <w:pStyle w:val="178"/>
        <w:numPr>
          <w:ilvl w:val="0"/>
          <w:numId w:val="24"/>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直接蒸发盘管应由紫铜管机械外胀由铝或铝合金翅片制成。</w:t>
      </w:r>
    </w:p>
    <w:p w14:paraId="6743F0D6">
      <w:pPr>
        <w:pStyle w:val="178"/>
        <w:numPr>
          <w:ilvl w:val="0"/>
          <w:numId w:val="24"/>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冷却盘管及所连接的制冷剂管道应进行气压试验和水压试验，其试验压力分别为</w:t>
      </w:r>
      <w:r>
        <w:rPr>
          <w:rFonts w:eastAsiaTheme="minorEastAsia"/>
          <w:color w:val="000000" w:themeColor="text1"/>
          <w:szCs w:val="24"/>
          <w14:textFill>
            <w14:solidFill>
              <w14:schemeClr w14:val="tx1"/>
            </w14:solidFill>
          </w14:textFill>
        </w:rPr>
        <w:t>1.2MPa</w:t>
      </w:r>
      <w:r>
        <w:rPr>
          <w:rFonts w:hint="eastAsia" w:eastAsiaTheme="minorEastAsia"/>
          <w:color w:val="000000" w:themeColor="text1"/>
          <w:szCs w:val="24"/>
          <w14:textFill>
            <w14:solidFill>
              <w14:schemeClr w14:val="tx1"/>
            </w14:solidFill>
          </w14:textFill>
        </w:rPr>
        <w:t>和</w:t>
      </w:r>
      <w:r>
        <w:rPr>
          <w:rFonts w:eastAsiaTheme="minorEastAsia"/>
          <w:color w:val="000000" w:themeColor="text1"/>
          <w:szCs w:val="24"/>
          <w14:textFill>
            <w14:solidFill>
              <w14:schemeClr w14:val="tx1"/>
            </w14:solidFill>
          </w14:textFill>
        </w:rPr>
        <w:t>3.0MPa</w:t>
      </w:r>
      <w:r>
        <w:rPr>
          <w:rFonts w:hint="eastAsia" w:eastAsiaTheme="minorEastAsia"/>
          <w:color w:val="000000" w:themeColor="text1"/>
          <w:szCs w:val="24"/>
          <w14:textFill>
            <w14:solidFill>
              <w14:schemeClr w14:val="tx1"/>
            </w14:solidFill>
          </w14:textFill>
        </w:rPr>
        <w:t>。</w:t>
      </w:r>
    </w:p>
    <w:p w14:paraId="347B24B9">
      <w:pPr>
        <w:pStyle w:val="178"/>
        <w:numPr>
          <w:ilvl w:val="0"/>
          <w:numId w:val="24"/>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空气通过冷却盘管的最大迎风面风速不应超过</w:t>
      </w:r>
      <w:r>
        <w:rPr>
          <w:rFonts w:eastAsiaTheme="minorEastAsia"/>
          <w:color w:val="000000" w:themeColor="text1"/>
          <w:szCs w:val="24"/>
          <w14:textFill>
            <w14:solidFill>
              <w14:schemeClr w14:val="tx1"/>
            </w14:solidFill>
          </w14:textFill>
        </w:rPr>
        <w:t>3m/s</w:t>
      </w:r>
      <w:r>
        <w:rPr>
          <w:rFonts w:hint="eastAsia" w:eastAsiaTheme="minorEastAsia"/>
          <w:color w:val="000000" w:themeColor="text1"/>
          <w:szCs w:val="24"/>
          <w14:textFill>
            <w14:solidFill>
              <w14:schemeClr w14:val="tx1"/>
            </w14:solidFill>
          </w14:textFill>
        </w:rPr>
        <w:t>。</w:t>
      </w:r>
    </w:p>
    <w:p w14:paraId="733CA50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47" w:name="_Toc279850357"/>
      <w:bookmarkStart w:id="548" w:name="_Toc279850770"/>
      <w:r>
        <w:rPr>
          <w:rFonts w:eastAsiaTheme="minorEastAsia"/>
          <w:color w:val="000000" w:themeColor="text1"/>
          <w:sz w:val="24"/>
          <w:szCs w:val="24"/>
          <w14:textFill>
            <w14:solidFill>
              <w14:schemeClr w14:val="tx1"/>
            </w14:solidFill>
          </w14:textFill>
        </w:rPr>
        <w:t xml:space="preserve">4.2.4.6 </w:t>
      </w:r>
      <w:r>
        <w:rPr>
          <w:rFonts w:hint="eastAsia" w:eastAsiaTheme="minorEastAsia"/>
          <w:color w:val="000000" w:themeColor="text1"/>
          <w:sz w:val="24"/>
          <w:szCs w:val="24"/>
          <w14:textFill>
            <w14:solidFill>
              <w14:schemeClr w14:val="tx1"/>
            </w14:solidFill>
          </w14:textFill>
        </w:rPr>
        <w:t>室内机风机</w:t>
      </w:r>
      <w:bookmarkEnd w:id="547"/>
      <w:bookmarkEnd w:id="548"/>
    </w:p>
    <w:p w14:paraId="7893AC85">
      <w:pPr>
        <w:pStyle w:val="178"/>
        <w:numPr>
          <w:ilvl w:val="0"/>
          <w:numId w:val="25"/>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风机应是离心式的。风机叶轮和轴应在制造厂内做静平衡和动平衡试验。</w:t>
      </w:r>
    </w:p>
    <w:p w14:paraId="544E6652">
      <w:pPr>
        <w:pStyle w:val="178"/>
        <w:numPr>
          <w:ilvl w:val="0"/>
          <w:numId w:val="25"/>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外壳由镀锌钢板制作。</w:t>
      </w:r>
    </w:p>
    <w:p w14:paraId="5EB8494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49" w:name="_Toc279850771"/>
      <w:bookmarkStart w:id="550" w:name="_Toc279850358"/>
      <w:r>
        <w:rPr>
          <w:rFonts w:eastAsiaTheme="minorEastAsia"/>
          <w:color w:val="000000" w:themeColor="text1"/>
          <w:sz w:val="24"/>
          <w:szCs w:val="24"/>
          <w14:textFill>
            <w14:solidFill>
              <w14:schemeClr w14:val="tx1"/>
            </w14:solidFill>
          </w14:textFill>
        </w:rPr>
        <w:t xml:space="preserve">4.2.4.7 </w:t>
      </w:r>
      <w:r>
        <w:rPr>
          <w:rFonts w:hint="eastAsia" w:eastAsiaTheme="minorEastAsia"/>
          <w:color w:val="000000" w:themeColor="text1"/>
          <w:sz w:val="24"/>
          <w:szCs w:val="24"/>
          <w14:textFill>
            <w14:solidFill>
              <w14:schemeClr w14:val="tx1"/>
            </w14:solidFill>
          </w14:textFill>
        </w:rPr>
        <w:t>空气过滤器</w:t>
      </w:r>
      <w:bookmarkEnd w:id="549"/>
      <w:bookmarkEnd w:id="550"/>
    </w:p>
    <w:p w14:paraId="5EE1164B">
      <w:pPr>
        <w:pStyle w:val="178"/>
        <w:numPr>
          <w:ilvl w:val="0"/>
          <w:numId w:val="26"/>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空气过滤器盒应为扁平式，其外框应是铝合金或镀锌钢板制作。</w:t>
      </w:r>
    </w:p>
    <w:p w14:paraId="7C2116BB">
      <w:pPr>
        <w:pStyle w:val="178"/>
        <w:numPr>
          <w:ilvl w:val="0"/>
          <w:numId w:val="26"/>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空气过滤器安装在机组回风口上。</w:t>
      </w:r>
    </w:p>
    <w:p w14:paraId="1C71FBD2">
      <w:pPr>
        <w:pStyle w:val="178"/>
        <w:numPr>
          <w:ilvl w:val="0"/>
          <w:numId w:val="26"/>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通过过滤器的面风速不应超过过滤器制造厂所建议的最大的迎风面风速。</w:t>
      </w:r>
    </w:p>
    <w:p w14:paraId="5BD672BE">
      <w:pPr>
        <w:pStyle w:val="178"/>
        <w:numPr>
          <w:ilvl w:val="0"/>
          <w:numId w:val="26"/>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过滤器过滤效率应大于</w:t>
      </w:r>
      <w:r>
        <w:rPr>
          <w:rFonts w:eastAsiaTheme="minorEastAsia"/>
          <w:color w:val="000000" w:themeColor="text1"/>
          <w:szCs w:val="24"/>
          <w14:textFill>
            <w14:solidFill>
              <w14:schemeClr w14:val="tx1"/>
            </w14:solidFill>
          </w14:textFill>
        </w:rPr>
        <w:t>65%</w:t>
      </w:r>
      <w:r>
        <w:rPr>
          <w:rFonts w:hint="eastAsia" w:eastAsiaTheme="minorEastAsia"/>
          <w:color w:val="000000" w:themeColor="text1"/>
          <w:szCs w:val="24"/>
          <w14:textFill>
            <w14:solidFill>
              <w14:schemeClr w14:val="tx1"/>
            </w14:solidFill>
          </w14:textFill>
        </w:rPr>
        <w:t>（重量法）。</w:t>
      </w:r>
    </w:p>
    <w:p w14:paraId="4CFCB97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4.2.4.8 </w:t>
      </w:r>
      <w:r>
        <w:rPr>
          <w:rFonts w:hint="eastAsia" w:eastAsiaTheme="minorEastAsia"/>
          <w:color w:val="000000" w:themeColor="text1"/>
          <w:sz w:val="24"/>
          <w:szCs w:val="24"/>
          <w14:textFill>
            <w14:solidFill>
              <w14:schemeClr w14:val="tx1"/>
            </w14:solidFill>
          </w14:textFill>
        </w:rPr>
        <w:t>滴水盘</w:t>
      </w:r>
    </w:p>
    <w:p w14:paraId="1664E1C8">
      <w:pPr>
        <w:pStyle w:val="178"/>
        <w:numPr>
          <w:ilvl w:val="0"/>
          <w:numId w:val="27"/>
        </w:numPr>
        <w:snapToGrid w:val="0"/>
        <w:spacing w:line="480" w:lineRule="atLeast"/>
        <w:ind w:left="0" w:firstLine="480" w:firstLineChars="0"/>
        <w:rPr>
          <w:rFonts w:eastAsiaTheme="minorEastAsia"/>
          <w:color w:val="000000" w:themeColor="text1"/>
          <w:szCs w:val="24"/>
          <w14:textFill>
            <w14:solidFill>
              <w14:schemeClr w14:val="tx1"/>
            </w14:solidFill>
          </w14:textFill>
        </w:rPr>
      </w:pPr>
      <w:bookmarkStart w:id="551" w:name="_Toc279850359"/>
      <w:bookmarkStart w:id="552" w:name="_Toc279850772"/>
      <w:r>
        <w:rPr>
          <w:rFonts w:hint="eastAsia" w:eastAsiaTheme="minorEastAsia"/>
          <w:color w:val="000000" w:themeColor="text1"/>
          <w:szCs w:val="24"/>
          <w14:textFill>
            <w14:solidFill>
              <w14:schemeClr w14:val="tx1"/>
            </w14:solidFill>
          </w14:textFill>
        </w:rPr>
        <w:t>滴水盘应足够大，材料应为镀锌钢板或不锈钢板，外表面采用非燃或阻燃性保温材料保温，以防止滴水盘外表面结露。当采用镀锌钢板时，滴水盘内应全部涂上环氧树脂或相当的防腐漆。</w:t>
      </w:r>
      <w:bookmarkEnd w:id="551"/>
      <w:bookmarkEnd w:id="552"/>
    </w:p>
    <w:p w14:paraId="37366250">
      <w:pPr>
        <w:pStyle w:val="178"/>
        <w:numPr>
          <w:ilvl w:val="0"/>
          <w:numId w:val="27"/>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滴水盘大小及容量应设计成能使制冷盘管之冷凝水全部流入滴水盘中，并应能畅通地排水。</w:t>
      </w:r>
    </w:p>
    <w:p w14:paraId="3C667ACB">
      <w:pPr>
        <w:pStyle w:val="178"/>
        <w:numPr>
          <w:ilvl w:val="0"/>
          <w:numId w:val="27"/>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滴水盘应采用至少</w:t>
      </w:r>
      <w:r>
        <w:rPr>
          <w:rFonts w:eastAsiaTheme="minorEastAsia"/>
          <w:color w:val="000000" w:themeColor="text1"/>
          <w:szCs w:val="24"/>
          <w14:textFill>
            <w14:solidFill>
              <w14:schemeClr w14:val="tx1"/>
            </w14:solidFill>
          </w14:textFill>
        </w:rPr>
        <w:t>1.6mm</w:t>
      </w:r>
      <w:r>
        <w:rPr>
          <w:rFonts w:hint="eastAsia" w:eastAsiaTheme="minorEastAsia"/>
          <w:color w:val="000000" w:themeColor="text1"/>
          <w:szCs w:val="24"/>
          <w14:textFill>
            <w14:solidFill>
              <w14:schemeClr w14:val="tx1"/>
            </w14:solidFill>
          </w14:textFill>
        </w:rPr>
        <w:t>厚镀锌钢板或</w:t>
      </w:r>
      <w:r>
        <w:rPr>
          <w:rFonts w:eastAsiaTheme="minorEastAsia"/>
          <w:color w:val="000000" w:themeColor="text1"/>
          <w:szCs w:val="24"/>
          <w14:textFill>
            <w14:solidFill>
              <w14:schemeClr w14:val="tx1"/>
            </w14:solidFill>
          </w14:textFill>
        </w:rPr>
        <w:t>1mm</w:t>
      </w:r>
      <w:r>
        <w:rPr>
          <w:rFonts w:hint="eastAsia" w:eastAsiaTheme="minorEastAsia"/>
          <w:color w:val="000000" w:themeColor="text1"/>
          <w:szCs w:val="24"/>
          <w14:textFill>
            <w14:solidFill>
              <w14:schemeClr w14:val="tx1"/>
            </w14:solidFill>
          </w14:textFill>
        </w:rPr>
        <w:t>厚不锈钢板制作。其边角应焊接。</w:t>
      </w:r>
    </w:p>
    <w:p w14:paraId="42818E8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53" w:name="_Toc279850360"/>
      <w:bookmarkStart w:id="554" w:name="_Toc279850773"/>
      <w:r>
        <w:rPr>
          <w:rFonts w:eastAsiaTheme="minorEastAsia"/>
          <w:color w:val="000000" w:themeColor="text1"/>
          <w:sz w:val="24"/>
          <w:szCs w:val="24"/>
          <w14:textFill>
            <w14:solidFill>
              <w14:schemeClr w14:val="tx1"/>
            </w14:solidFill>
          </w14:textFill>
        </w:rPr>
        <w:t xml:space="preserve">4.2.4.9 </w:t>
      </w:r>
      <w:r>
        <w:rPr>
          <w:rFonts w:hint="eastAsia" w:eastAsiaTheme="minorEastAsia"/>
          <w:color w:val="000000" w:themeColor="text1"/>
          <w:sz w:val="24"/>
          <w:szCs w:val="24"/>
          <w14:textFill>
            <w14:solidFill>
              <w14:schemeClr w14:val="tx1"/>
            </w14:solidFill>
          </w14:textFill>
        </w:rPr>
        <w:t>制冷剂管路系统</w:t>
      </w:r>
      <w:bookmarkEnd w:id="553"/>
      <w:bookmarkEnd w:id="554"/>
    </w:p>
    <w:p w14:paraId="7F4556CF">
      <w:pPr>
        <w:pStyle w:val="178"/>
        <w:numPr>
          <w:ilvl w:val="0"/>
          <w:numId w:val="2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系统中所有需维修或可拆卸的部件均采用扩口接头。</w:t>
      </w:r>
    </w:p>
    <w:p w14:paraId="222042E1">
      <w:pPr>
        <w:pStyle w:val="178"/>
        <w:numPr>
          <w:ilvl w:val="0"/>
          <w:numId w:val="27"/>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系统管道连接完成后，应经过</w:t>
      </w:r>
      <w:r>
        <w:rPr>
          <w:rFonts w:eastAsiaTheme="minorEastAsia"/>
          <w:color w:val="000000" w:themeColor="text1"/>
          <w:szCs w:val="24"/>
          <w14:textFill>
            <w14:solidFill>
              <w14:schemeClr w14:val="tx1"/>
            </w14:solidFill>
          </w14:textFill>
        </w:rPr>
        <w:t>2.4MPa</w:t>
      </w:r>
      <w:r>
        <w:rPr>
          <w:rFonts w:hint="eastAsia" w:eastAsiaTheme="minorEastAsia"/>
          <w:color w:val="000000" w:themeColor="text1"/>
          <w:szCs w:val="24"/>
          <w14:textFill>
            <w14:solidFill>
              <w14:schemeClr w14:val="tx1"/>
            </w14:solidFill>
          </w14:textFill>
        </w:rPr>
        <w:t>干燥氮气的耐压试验和</w:t>
      </w:r>
      <w:r>
        <w:rPr>
          <w:rFonts w:eastAsiaTheme="minorEastAsia"/>
          <w:color w:val="000000" w:themeColor="text1"/>
          <w:szCs w:val="24"/>
          <w14:textFill>
            <w14:solidFill>
              <w14:schemeClr w14:val="tx1"/>
            </w14:solidFill>
          </w14:textFill>
        </w:rPr>
        <w:t>R22</w:t>
      </w:r>
      <w:r>
        <w:rPr>
          <w:rFonts w:hint="eastAsia" w:eastAsiaTheme="minorEastAsia"/>
          <w:color w:val="000000" w:themeColor="text1"/>
          <w:szCs w:val="24"/>
          <w14:textFill>
            <w14:solidFill>
              <w14:schemeClr w14:val="tx1"/>
            </w14:solidFill>
          </w14:textFill>
        </w:rPr>
        <w:t>的检漏试验。</w:t>
      </w:r>
    </w:p>
    <w:p w14:paraId="4AB278FF">
      <w:pPr>
        <w:snapToGrid w:val="0"/>
        <w:spacing w:line="480" w:lineRule="atLeast"/>
        <w:ind w:firstLine="480" w:firstLineChars="200"/>
        <w:rPr>
          <w:rFonts w:eastAsiaTheme="minorEastAsia"/>
          <w:color w:val="000000" w:themeColor="text1"/>
          <w:szCs w:val="24"/>
          <w14:textFill>
            <w14:solidFill>
              <w14:schemeClr w14:val="tx1"/>
            </w14:solidFill>
          </w14:textFill>
        </w:rPr>
      </w:pPr>
      <w:bookmarkStart w:id="555" w:name="_Toc279850362"/>
      <w:bookmarkStart w:id="556" w:name="_Toc279850775"/>
      <w:r>
        <w:rPr>
          <w:rFonts w:eastAsiaTheme="minorEastAsia"/>
          <w:color w:val="000000" w:themeColor="text1"/>
          <w:sz w:val="24"/>
          <w:szCs w:val="24"/>
          <w14:textFill>
            <w14:solidFill>
              <w14:schemeClr w14:val="tx1"/>
            </w14:solidFill>
          </w14:textFill>
        </w:rPr>
        <w:t xml:space="preserve">4.2.4.10 </w:t>
      </w:r>
      <w:r>
        <w:rPr>
          <w:rFonts w:hint="eastAsia" w:eastAsiaTheme="minorEastAsia"/>
          <w:color w:val="000000" w:themeColor="text1"/>
          <w:sz w:val="24"/>
          <w:szCs w:val="24"/>
          <w14:textFill>
            <w14:solidFill>
              <w14:schemeClr w14:val="tx1"/>
            </w14:solidFill>
          </w14:textFill>
        </w:rPr>
        <w:t>保温</w:t>
      </w:r>
      <w:bookmarkEnd w:id="555"/>
      <w:bookmarkEnd w:id="556"/>
    </w:p>
    <w:p w14:paraId="3BD89E83">
      <w:pPr>
        <w:pStyle w:val="178"/>
        <w:numPr>
          <w:ilvl w:val="0"/>
          <w:numId w:val="28"/>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室内机机柜面板保温均由投标方在工厂内负责进行。</w:t>
      </w:r>
    </w:p>
    <w:p w14:paraId="0045D332">
      <w:pPr>
        <w:pStyle w:val="178"/>
        <w:numPr>
          <w:ilvl w:val="0"/>
          <w:numId w:val="28"/>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保温材料应采用难燃性保温材料，其传热系数</w:t>
      </w:r>
      <w:r>
        <w:rPr>
          <w:rFonts w:eastAsiaTheme="minorEastAsia"/>
          <w:color w:val="000000" w:themeColor="text1"/>
          <w:szCs w:val="24"/>
          <w14:textFill>
            <w14:solidFill>
              <w14:schemeClr w14:val="tx1"/>
            </w14:solidFill>
          </w14:textFill>
        </w:rPr>
        <w:t>K</w:t>
      </w:r>
      <w:r>
        <w:rPr>
          <w:rFonts w:hint="eastAsia" w:eastAsiaTheme="minorEastAsia"/>
          <w:color w:val="000000" w:themeColor="text1"/>
          <w:szCs w:val="24"/>
          <w14:textFill>
            <w14:solidFill>
              <w14:schemeClr w14:val="tx1"/>
            </w14:solidFill>
          </w14:textFill>
        </w:rPr>
        <w:t>值应不大于</w:t>
      </w:r>
      <w:r>
        <w:rPr>
          <w:rFonts w:eastAsiaTheme="minorEastAsia"/>
          <w:color w:val="000000" w:themeColor="text1"/>
          <w:szCs w:val="24"/>
          <w14:textFill>
            <w14:solidFill>
              <w14:schemeClr w14:val="tx1"/>
            </w14:solidFill>
          </w14:textFill>
        </w:rPr>
        <w:t>0.036W/m2.</w:t>
      </w:r>
      <w:r>
        <w:rPr>
          <w:rFonts w:hint="eastAsia" w:eastAsiaTheme="minorEastAsia"/>
          <w:color w:val="000000" w:themeColor="text1"/>
          <w:szCs w:val="24"/>
          <w14:textFill>
            <w14:solidFill>
              <w14:schemeClr w14:val="tx1"/>
            </w14:solidFill>
          </w14:textFill>
        </w:rPr>
        <w:t>℃。</w:t>
      </w:r>
    </w:p>
    <w:p w14:paraId="11C3E335">
      <w:pPr>
        <w:pStyle w:val="178"/>
        <w:numPr>
          <w:ilvl w:val="0"/>
          <w:numId w:val="28"/>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制冷剂管保温层外应设置隔汽层和保护层，以防止保温层受潮和受损。</w:t>
      </w:r>
    </w:p>
    <w:p w14:paraId="22F02B05">
      <w:pPr>
        <w:pStyle w:val="178"/>
        <w:numPr>
          <w:ilvl w:val="0"/>
          <w:numId w:val="28"/>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除湿机应保证在当地气象条件下的除湿量。除湿机不考虑连接风管。</w:t>
      </w:r>
    </w:p>
    <w:p w14:paraId="72AF1A9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4.2.4.11</w:t>
      </w:r>
      <w:r>
        <w:rPr>
          <w:rFonts w:hint="eastAsia" w:eastAsiaTheme="minorEastAsia"/>
          <w:color w:val="000000" w:themeColor="text1"/>
          <w:sz w:val="24"/>
          <w:szCs w:val="24"/>
          <w14:textFill>
            <w14:solidFill>
              <w14:schemeClr w14:val="tx1"/>
            </w14:solidFill>
          </w14:textFill>
        </w:rPr>
        <w:t>安装</w:t>
      </w:r>
    </w:p>
    <w:p w14:paraId="429BF29D">
      <w:pPr>
        <w:pStyle w:val="178"/>
        <w:numPr>
          <w:ilvl w:val="0"/>
          <w:numId w:val="29"/>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机组应在与机组尺寸及重量相对应的基座上。</w:t>
      </w:r>
    </w:p>
    <w:p w14:paraId="5A8F3BBC">
      <w:pPr>
        <w:pStyle w:val="178"/>
        <w:numPr>
          <w:ilvl w:val="0"/>
          <w:numId w:val="29"/>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吊装式机组应配置吊架及吊筋穿孔以便设备的吊装</w:t>
      </w:r>
      <w:r>
        <w:rPr>
          <w:rFonts w:eastAsiaTheme="minorEastAsia"/>
          <w:color w:val="000000" w:themeColor="text1"/>
          <w:szCs w:val="24"/>
          <w14:textFill>
            <w14:solidFill>
              <w14:schemeClr w14:val="tx1"/>
            </w14:solidFill>
          </w14:textFill>
        </w:rPr>
        <w:t>,</w:t>
      </w:r>
      <w:r>
        <w:rPr>
          <w:rFonts w:hint="eastAsia" w:eastAsiaTheme="minorEastAsia"/>
          <w:color w:val="000000" w:themeColor="text1"/>
          <w:szCs w:val="24"/>
          <w14:textFill>
            <w14:solidFill>
              <w14:schemeClr w14:val="tx1"/>
            </w14:solidFill>
          </w14:textFill>
        </w:rPr>
        <w:t>吊装时应设置弹簧减振器。</w:t>
      </w:r>
    </w:p>
    <w:p w14:paraId="6DD58B4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p>
    <w:p w14:paraId="19E3D5CE">
      <w:pPr>
        <w:pStyle w:val="121"/>
        <w:numPr>
          <w:ilvl w:val="2"/>
          <w:numId w:val="5"/>
        </w:numPr>
        <w:snapToGrid w:val="0"/>
        <w:spacing w:line="480" w:lineRule="atLeast"/>
        <w:ind w:left="0" w:firstLine="482" w:firstLineChars="200"/>
        <w:outlineLvl w:val="2"/>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风冷热泵型分体空调</w:t>
      </w:r>
    </w:p>
    <w:p w14:paraId="548E031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4.2.5.1 通用要求</w:t>
      </w:r>
    </w:p>
    <w:p w14:paraId="671A9A7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分体式空调应选用优质</w:t>
      </w:r>
      <w:r>
        <w:rPr>
          <w:rFonts w:hint="eastAsia" w:eastAsiaTheme="minorEastAsia"/>
          <w:color w:val="000000" w:themeColor="text1"/>
          <w:sz w:val="24"/>
          <w:szCs w:val="24"/>
          <w:lang w:val="en-US" w:eastAsia="zh-CN"/>
          <w14:textFill>
            <w14:solidFill>
              <w14:schemeClr w14:val="tx1"/>
            </w14:solidFill>
          </w14:textFill>
        </w:rPr>
        <w:t>产品</w:t>
      </w:r>
      <w:r>
        <w:rPr>
          <w:rFonts w:hint="eastAsia" w:eastAsiaTheme="minorEastAsia"/>
          <w:color w:val="000000" w:themeColor="text1"/>
          <w:sz w:val="24"/>
          <w:szCs w:val="24"/>
          <w14:textFill>
            <w14:solidFill>
              <w14:schemeClr w14:val="tx1"/>
            </w14:solidFill>
          </w14:textFill>
        </w:rPr>
        <w:t>。机组采用环保冷媒，机组性能系数应达到《建筑节能与可再生能源利用通用规范》（</w:t>
      </w:r>
      <w:r>
        <w:rPr>
          <w:rFonts w:eastAsiaTheme="minorEastAsia"/>
          <w:color w:val="000000" w:themeColor="text1"/>
          <w:sz w:val="24"/>
          <w:szCs w:val="24"/>
          <w14:textFill>
            <w14:solidFill>
              <w14:schemeClr w14:val="tx1"/>
            </w14:solidFill>
          </w14:textFill>
        </w:rPr>
        <w:t>GB55015</w:t>
      </w:r>
      <w:r>
        <w:rPr>
          <w:rFonts w:hint="eastAsia" w:eastAsiaTheme="minorEastAsia"/>
          <w:color w:val="000000" w:themeColor="text1"/>
          <w:sz w:val="24"/>
          <w:szCs w:val="24"/>
          <w14:textFill>
            <w14:solidFill>
              <w14:schemeClr w14:val="tx1"/>
            </w14:solidFill>
          </w14:textFill>
        </w:rPr>
        <w:t>）规范中3.2.14的各制冷量所对应的限值。机组的制冷量/制热量不允许负偏差，正偏差不宜大于3%。室外机噪声不得超过65dB(A)，室内机噪声不得超过45dB(A)，测试环境满足国家相关规范要求。噪声测试点为离机组1.5m，离地1m高处。</w:t>
      </w:r>
    </w:p>
    <w:tbl>
      <w:tblPr>
        <w:tblStyle w:val="41"/>
        <w:tblpPr w:leftFromText="180" w:rightFromText="180" w:vertAnchor="text" w:horzAnchor="margin" w:tblpY="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2972"/>
        <w:gridCol w:w="3119"/>
        <w:gridCol w:w="2969"/>
      </w:tblGrid>
      <w:tr w14:paraId="005C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2972" w:type="dxa"/>
            <w:vAlign w:val="center"/>
          </w:tcPr>
          <w:p w14:paraId="39ED6A7B">
            <w:pPr>
              <w:pStyle w:val="153"/>
              <w:spacing w:line="360" w:lineRule="auto"/>
              <w:ind w:left="480"/>
              <w:jc w:val="center"/>
              <w:rPr>
                <w:sz w:val="24"/>
                <w:szCs w:val="20"/>
                <w:lang w:bidi="he-IL"/>
              </w:rPr>
            </w:pPr>
            <w:r>
              <w:rPr>
                <w:rFonts w:hint="eastAsia"/>
                <w:sz w:val="24"/>
                <w:szCs w:val="20"/>
                <w:lang w:bidi="he-IL"/>
              </w:rPr>
              <w:t>名义制冷量CC</w:t>
            </w:r>
          </w:p>
          <w:p w14:paraId="641ACB58">
            <w:pPr>
              <w:pStyle w:val="153"/>
              <w:spacing w:line="360" w:lineRule="auto"/>
              <w:ind w:left="480"/>
              <w:jc w:val="center"/>
              <w:rPr>
                <w:sz w:val="24"/>
                <w:szCs w:val="20"/>
                <w:lang w:bidi="he-IL"/>
              </w:rPr>
            </w:pPr>
            <w:r>
              <w:rPr>
                <w:rFonts w:hint="eastAsia"/>
                <w:sz w:val="24"/>
                <w:szCs w:val="20"/>
                <w:lang w:bidi="he-IL"/>
              </w:rPr>
              <w:t>（kW）</w:t>
            </w:r>
          </w:p>
        </w:tc>
        <w:tc>
          <w:tcPr>
            <w:tcW w:w="3119" w:type="dxa"/>
            <w:vAlign w:val="center"/>
          </w:tcPr>
          <w:p w14:paraId="78DD2DB4">
            <w:pPr>
              <w:pStyle w:val="153"/>
              <w:spacing w:line="360" w:lineRule="auto"/>
              <w:jc w:val="center"/>
              <w:rPr>
                <w:sz w:val="24"/>
                <w:szCs w:val="20"/>
                <w:lang w:bidi="he-IL"/>
              </w:rPr>
            </w:pPr>
            <w:r>
              <w:rPr>
                <w:rFonts w:hint="eastAsia"/>
                <w:sz w:val="24"/>
                <w:szCs w:val="20"/>
                <w:lang w:bidi="he-IL"/>
              </w:rPr>
              <w:t>热泵型房间空气调节器</w:t>
            </w:r>
          </w:p>
          <w:p w14:paraId="2B630AE2">
            <w:pPr>
              <w:pStyle w:val="153"/>
              <w:spacing w:line="360" w:lineRule="auto"/>
              <w:jc w:val="center"/>
              <w:rPr>
                <w:sz w:val="24"/>
                <w:szCs w:val="20"/>
                <w:lang w:bidi="he-IL"/>
              </w:rPr>
            </w:pPr>
            <w:r>
              <w:rPr>
                <w:rFonts w:hint="eastAsia"/>
                <w:sz w:val="24"/>
                <w:szCs w:val="20"/>
                <w:lang w:bidi="he-IL"/>
              </w:rPr>
              <w:t>全年性能系数（A</w:t>
            </w:r>
            <w:r>
              <w:rPr>
                <w:sz w:val="24"/>
                <w:szCs w:val="20"/>
                <w:lang w:bidi="he-IL"/>
              </w:rPr>
              <w:t>PF</w:t>
            </w:r>
            <w:r>
              <w:rPr>
                <w:rFonts w:hint="eastAsia"/>
                <w:sz w:val="24"/>
                <w:szCs w:val="20"/>
                <w:lang w:bidi="he-IL"/>
              </w:rPr>
              <w:t>）</w:t>
            </w:r>
          </w:p>
        </w:tc>
        <w:tc>
          <w:tcPr>
            <w:tcW w:w="2969" w:type="dxa"/>
            <w:vAlign w:val="center"/>
          </w:tcPr>
          <w:p w14:paraId="45EE2835">
            <w:pPr>
              <w:pStyle w:val="153"/>
              <w:spacing w:line="360" w:lineRule="auto"/>
              <w:jc w:val="center"/>
              <w:rPr>
                <w:sz w:val="24"/>
                <w:szCs w:val="20"/>
                <w:lang w:bidi="he-IL"/>
              </w:rPr>
            </w:pPr>
            <w:r>
              <w:rPr>
                <w:rFonts w:hint="eastAsia"/>
                <w:sz w:val="24"/>
                <w:szCs w:val="20"/>
                <w:lang w:bidi="he-IL"/>
              </w:rPr>
              <w:t>单冷式房间空气调节器</w:t>
            </w:r>
          </w:p>
          <w:p w14:paraId="0E58D129">
            <w:pPr>
              <w:pStyle w:val="153"/>
              <w:spacing w:line="360" w:lineRule="auto"/>
              <w:jc w:val="center"/>
              <w:rPr>
                <w:sz w:val="24"/>
                <w:szCs w:val="20"/>
                <w:lang w:bidi="he-IL"/>
              </w:rPr>
            </w:pPr>
            <w:r>
              <w:rPr>
                <w:rFonts w:hint="eastAsia"/>
                <w:sz w:val="24"/>
                <w:szCs w:val="20"/>
                <w:lang w:bidi="he-IL"/>
              </w:rPr>
              <w:t>制冷季节能效比（S</w:t>
            </w:r>
            <w:r>
              <w:rPr>
                <w:sz w:val="24"/>
                <w:szCs w:val="20"/>
                <w:lang w:bidi="he-IL"/>
              </w:rPr>
              <w:t>EER</w:t>
            </w:r>
            <w:r>
              <w:rPr>
                <w:rFonts w:hint="eastAsia"/>
                <w:sz w:val="24"/>
                <w:szCs w:val="20"/>
                <w:lang w:bidi="he-IL"/>
              </w:rPr>
              <w:t>）</w:t>
            </w:r>
          </w:p>
        </w:tc>
      </w:tr>
      <w:tr w14:paraId="724DF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2972" w:type="dxa"/>
            <w:vAlign w:val="center"/>
          </w:tcPr>
          <w:p w14:paraId="007FF109">
            <w:pPr>
              <w:pStyle w:val="153"/>
              <w:spacing w:line="360" w:lineRule="auto"/>
              <w:jc w:val="center"/>
              <w:rPr>
                <w:sz w:val="24"/>
                <w:szCs w:val="20"/>
                <w:lang w:bidi="he-IL"/>
              </w:rPr>
            </w:pPr>
            <w:r>
              <w:rPr>
                <w:rFonts w:hint="eastAsia"/>
                <w:sz w:val="24"/>
                <w:szCs w:val="20"/>
                <w:lang w:bidi="he-IL"/>
              </w:rPr>
              <w:t>CC≤4.5</w:t>
            </w:r>
          </w:p>
        </w:tc>
        <w:tc>
          <w:tcPr>
            <w:tcW w:w="3119" w:type="dxa"/>
            <w:vAlign w:val="center"/>
          </w:tcPr>
          <w:p w14:paraId="474E928E">
            <w:pPr>
              <w:pStyle w:val="153"/>
              <w:spacing w:line="360" w:lineRule="auto"/>
              <w:jc w:val="center"/>
              <w:rPr>
                <w:sz w:val="24"/>
                <w:szCs w:val="20"/>
                <w:lang w:bidi="he-IL"/>
              </w:rPr>
            </w:pPr>
            <w:r>
              <w:rPr>
                <w:rFonts w:hint="eastAsia"/>
                <w:sz w:val="24"/>
                <w:szCs w:val="20"/>
                <w:lang w:bidi="he-IL"/>
              </w:rPr>
              <w:t>4</w:t>
            </w:r>
            <w:r>
              <w:rPr>
                <w:sz w:val="24"/>
                <w:szCs w:val="20"/>
                <w:lang w:bidi="he-IL"/>
              </w:rPr>
              <w:t>.00</w:t>
            </w:r>
          </w:p>
        </w:tc>
        <w:tc>
          <w:tcPr>
            <w:tcW w:w="2969" w:type="dxa"/>
            <w:vAlign w:val="center"/>
          </w:tcPr>
          <w:p w14:paraId="2C5920D9">
            <w:pPr>
              <w:pStyle w:val="153"/>
              <w:spacing w:line="360" w:lineRule="auto"/>
              <w:jc w:val="center"/>
              <w:rPr>
                <w:sz w:val="24"/>
                <w:szCs w:val="20"/>
                <w:lang w:bidi="he-IL"/>
              </w:rPr>
            </w:pPr>
            <w:r>
              <w:rPr>
                <w:rFonts w:hint="eastAsia"/>
                <w:sz w:val="24"/>
                <w:szCs w:val="20"/>
                <w:lang w:bidi="he-IL"/>
              </w:rPr>
              <w:t>5</w:t>
            </w:r>
            <w:r>
              <w:rPr>
                <w:sz w:val="24"/>
                <w:szCs w:val="20"/>
                <w:lang w:bidi="he-IL"/>
              </w:rPr>
              <w:t>.00</w:t>
            </w:r>
          </w:p>
        </w:tc>
      </w:tr>
      <w:tr w14:paraId="04044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2972" w:type="dxa"/>
            <w:vAlign w:val="center"/>
          </w:tcPr>
          <w:p w14:paraId="347DA62D">
            <w:pPr>
              <w:pStyle w:val="153"/>
              <w:spacing w:line="360" w:lineRule="auto"/>
              <w:jc w:val="center"/>
              <w:rPr>
                <w:sz w:val="24"/>
                <w:szCs w:val="20"/>
                <w:lang w:bidi="he-IL"/>
              </w:rPr>
            </w:pPr>
            <w:r>
              <w:rPr>
                <w:sz w:val="24"/>
                <w:szCs w:val="20"/>
                <w:lang w:bidi="he-IL"/>
              </w:rPr>
              <w:t>4.5</w:t>
            </w:r>
            <w:r>
              <w:rPr>
                <w:rFonts w:hint="eastAsia"/>
                <w:sz w:val="24"/>
                <w:szCs w:val="20"/>
                <w:lang w:bidi="he-IL"/>
              </w:rPr>
              <w:t>＜CC≤7.1</w:t>
            </w:r>
          </w:p>
        </w:tc>
        <w:tc>
          <w:tcPr>
            <w:tcW w:w="3119" w:type="dxa"/>
            <w:vAlign w:val="center"/>
          </w:tcPr>
          <w:p w14:paraId="535CD8B3">
            <w:pPr>
              <w:pStyle w:val="153"/>
              <w:spacing w:line="360" w:lineRule="auto"/>
              <w:jc w:val="center"/>
              <w:rPr>
                <w:sz w:val="24"/>
                <w:szCs w:val="20"/>
                <w:lang w:bidi="he-IL"/>
              </w:rPr>
            </w:pPr>
            <w:r>
              <w:rPr>
                <w:rFonts w:hint="eastAsia"/>
                <w:sz w:val="24"/>
                <w:szCs w:val="20"/>
                <w:lang w:bidi="he-IL"/>
              </w:rPr>
              <w:t>3</w:t>
            </w:r>
            <w:r>
              <w:rPr>
                <w:sz w:val="24"/>
                <w:szCs w:val="20"/>
                <w:lang w:bidi="he-IL"/>
              </w:rPr>
              <w:t>.50</w:t>
            </w:r>
          </w:p>
        </w:tc>
        <w:tc>
          <w:tcPr>
            <w:tcW w:w="2969" w:type="dxa"/>
            <w:vAlign w:val="center"/>
          </w:tcPr>
          <w:p w14:paraId="2BF22864">
            <w:pPr>
              <w:pStyle w:val="153"/>
              <w:spacing w:line="360" w:lineRule="auto"/>
              <w:jc w:val="center"/>
              <w:rPr>
                <w:sz w:val="24"/>
                <w:szCs w:val="20"/>
                <w:lang w:bidi="he-IL"/>
              </w:rPr>
            </w:pPr>
            <w:r>
              <w:rPr>
                <w:rFonts w:hint="eastAsia"/>
                <w:sz w:val="24"/>
                <w:szCs w:val="20"/>
                <w:lang w:bidi="he-IL"/>
              </w:rPr>
              <w:t>4</w:t>
            </w:r>
            <w:r>
              <w:rPr>
                <w:sz w:val="24"/>
                <w:szCs w:val="20"/>
                <w:lang w:bidi="he-IL"/>
              </w:rPr>
              <w:t>.40</w:t>
            </w:r>
          </w:p>
        </w:tc>
      </w:tr>
      <w:tr w14:paraId="0ED2A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2972" w:type="dxa"/>
            <w:vAlign w:val="center"/>
          </w:tcPr>
          <w:p w14:paraId="17456722">
            <w:pPr>
              <w:pStyle w:val="153"/>
              <w:spacing w:line="360" w:lineRule="auto"/>
              <w:jc w:val="center"/>
              <w:rPr>
                <w:sz w:val="24"/>
                <w:szCs w:val="20"/>
                <w:lang w:bidi="he-IL"/>
              </w:rPr>
            </w:pPr>
            <w:r>
              <w:rPr>
                <w:sz w:val="24"/>
                <w:szCs w:val="20"/>
                <w:lang w:bidi="he-IL"/>
              </w:rPr>
              <w:t>7.1</w:t>
            </w:r>
            <w:r>
              <w:rPr>
                <w:rFonts w:hint="eastAsia"/>
                <w:sz w:val="24"/>
                <w:szCs w:val="20"/>
                <w:lang w:bidi="he-IL"/>
              </w:rPr>
              <w:t>＜CC≤14.0</w:t>
            </w:r>
          </w:p>
        </w:tc>
        <w:tc>
          <w:tcPr>
            <w:tcW w:w="3119" w:type="dxa"/>
            <w:vAlign w:val="center"/>
          </w:tcPr>
          <w:p w14:paraId="5C92492F">
            <w:pPr>
              <w:pStyle w:val="153"/>
              <w:spacing w:line="360" w:lineRule="auto"/>
              <w:jc w:val="center"/>
              <w:rPr>
                <w:sz w:val="24"/>
                <w:szCs w:val="20"/>
                <w:lang w:bidi="he-IL"/>
              </w:rPr>
            </w:pPr>
            <w:r>
              <w:rPr>
                <w:rFonts w:hint="eastAsia"/>
                <w:sz w:val="24"/>
                <w:szCs w:val="20"/>
                <w:lang w:bidi="he-IL"/>
              </w:rPr>
              <w:t>3</w:t>
            </w:r>
            <w:r>
              <w:rPr>
                <w:sz w:val="24"/>
                <w:szCs w:val="20"/>
                <w:lang w:bidi="he-IL"/>
              </w:rPr>
              <w:t>.30</w:t>
            </w:r>
          </w:p>
        </w:tc>
        <w:tc>
          <w:tcPr>
            <w:tcW w:w="2969" w:type="dxa"/>
            <w:vAlign w:val="center"/>
          </w:tcPr>
          <w:p w14:paraId="730E835E">
            <w:pPr>
              <w:pStyle w:val="153"/>
              <w:spacing w:line="360" w:lineRule="auto"/>
              <w:jc w:val="center"/>
              <w:rPr>
                <w:sz w:val="24"/>
                <w:szCs w:val="20"/>
                <w:lang w:bidi="he-IL"/>
              </w:rPr>
            </w:pPr>
            <w:r>
              <w:rPr>
                <w:rFonts w:hint="eastAsia"/>
                <w:sz w:val="24"/>
                <w:szCs w:val="20"/>
                <w:lang w:bidi="he-IL"/>
              </w:rPr>
              <w:t>4</w:t>
            </w:r>
            <w:r>
              <w:rPr>
                <w:sz w:val="24"/>
                <w:szCs w:val="20"/>
                <w:lang w:bidi="he-IL"/>
              </w:rPr>
              <w:t>.00</w:t>
            </w:r>
          </w:p>
        </w:tc>
      </w:tr>
    </w:tbl>
    <w:p w14:paraId="02A3ED9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4.2.5.</w:t>
      </w:r>
      <w:r>
        <w:rPr>
          <w:rFonts w:eastAsiaTheme="minorEastAsia"/>
          <w:color w:val="000000" w:themeColor="text1"/>
          <w:sz w:val="24"/>
          <w:szCs w:val="24"/>
          <w14:textFill>
            <w14:solidFill>
              <w14:schemeClr w14:val="tx1"/>
            </w14:solidFill>
          </w14:textFill>
        </w:rPr>
        <w:t xml:space="preserve">3 </w:t>
      </w:r>
      <w:r>
        <w:rPr>
          <w:rFonts w:hint="eastAsia" w:eastAsiaTheme="minorEastAsia"/>
          <w:color w:val="000000" w:themeColor="text1"/>
          <w:sz w:val="24"/>
          <w:szCs w:val="24"/>
          <w14:textFill>
            <w14:solidFill>
              <w14:schemeClr w14:val="tx1"/>
            </w14:solidFill>
          </w14:textFill>
        </w:rPr>
        <w:t>制冷压缩机</w:t>
      </w:r>
    </w:p>
    <w:p w14:paraId="65DF96F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a. </w:t>
      </w:r>
      <w:r>
        <w:rPr>
          <w:rFonts w:hint="eastAsia" w:eastAsiaTheme="minorEastAsia"/>
          <w:color w:val="000000" w:themeColor="text1"/>
          <w:sz w:val="24"/>
          <w:szCs w:val="24"/>
          <w14:textFill>
            <w14:solidFill>
              <w14:schemeClr w14:val="tx1"/>
            </w14:solidFill>
          </w14:textFill>
        </w:rPr>
        <w:t>压缩机应置于室外冷凝机组内。</w:t>
      </w:r>
    </w:p>
    <w:p w14:paraId="4DAEA5D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b. </w:t>
      </w:r>
      <w:r>
        <w:rPr>
          <w:rFonts w:hint="eastAsia" w:eastAsiaTheme="minorEastAsia"/>
          <w:color w:val="000000" w:themeColor="text1"/>
          <w:sz w:val="24"/>
          <w:szCs w:val="24"/>
          <w14:textFill>
            <w14:solidFill>
              <w14:schemeClr w14:val="tx1"/>
            </w14:solidFill>
          </w14:textFill>
        </w:rPr>
        <w:t>压缩机为全封闭型，并妥善地安装在弹簧隔振器上。</w:t>
      </w:r>
    </w:p>
    <w:p w14:paraId="401E325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c. </w:t>
      </w:r>
      <w:r>
        <w:rPr>
          <w:rFonts w:hint="eastAsia" w:eastAsiaTheme="minorEastAsia"/>
          <w:color w:val="000000" w:themeColor="text1"/>
          <w:sz w:val="24"/>
          <w:szCs w:val="24"/>
          <w14:textFill>
            <w14:solidFill>
              <w14:schemeClr w14:val="tx1"/>
            </w14:solidFill>
          </w14:textFill>
        </w:rPr>
        <w:t>机组应按机组制冷量选用一台或多台同一型号的制冷压缩机。</w:t>
      </w:r>
    </w:p>
    <w:p w14:paraId="617DA3F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e. </w:t>
      </w:r>
      <w:r>
        <w:rPr>
          <w:rFonts w:hint="eastAsia" w:eastAsiaTheme="minorEastAsia"/>
          <w:color w:val="000000" w:themeColor="text1"/>
          <w:sz w:val="24"/>
          <w:szCs w:val="24"/>
          <w14:textFill>
            <w14:solidFill>
              <w14:schemeClr w14:val="tx1"/>
            </w14:solidFill>
          </w14:textFill>
        </w:rPr>
        <w:t>制冷工质应采用环保型冷媒。</w:t>
      </w:r>
    </w:p>
    <w:p w14:paraId="2C07562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4.2.5.</w:t>
      </w:r>
      <w:r>
        <w:rPr>
          <w:rFonts w:eastAsiaTheme="minorEastAsia"/>
          <w:color w:val="000000" w:themeColor="text1"/>
          <w:sz w:val="24"/>
          <w:szCs w:val="24"/>
          <w14:textFill>
            <w14:solidFill>
              <w14:schemeClr w14:val="tx1"/>
            </w14:solidFill>
          </w14:textFill>
        </w:rPr>
        <w:t xml:space="preserve">4 </w:t>
      </w:r>
      <w:r>
        <w:rPr>
          <w:rFonts w:hint="eastAsia" w:eastAsiaTheme="minorEastAsia"/>
          <w:color w:val="000000" w:themeColor="text1"/>
          <w:sz w:val="24"/>
          <w:szCs w:val="24"/>
          <w14:textFill>
            <w14:solidFill>
              <w14:schemeClr w14:val="tx1"/>
            </w14:solidFill>
          </w14:textFill>
        </w:rPr>
        <w:t>风冷式冷凝机组</w:t>
      </w:r>
    </w:p>
    <w:p w14:paraId="3081DF5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a. </w:t>
      </w:r>
      <w:r>
        <w:rPr>
          <w:rFonts w:hint="eastAsia" w:eastAsiaTheme="minorEastAsia"/>
          <w:color w:val="000000" w:themeColor="text1"/>
          <w:sz w:val="24"/>
          <w:szCs w:val="24"/>
          <w14:textFill>
            <w14:solidFill>
              <w14:schemeClr w14:val="tx1"/>
            </w14:solidFill>
          </w14:textFill>
        </w:rPr>
        <w:t>冷凝盘管应进行气压试验和水压试验，其试验压力分别为</w:t>
      </w:r>
      <w:r>
        <w:rPr>
          <w:rFonts w:eastAsiaTheme="minorEastAsia"/>
          <w:color w:val="000000" w:themeColor="text1"/>
          <w:sz w:val="24"/>
          <w:szCs w:val="24"/>
          <w14:textFill>
            <w14:solidFill>
              <w14:schemeClr w14:val="tx1"/>
            </w14:solidFill>
          </w14:textFill>
        </w:rPr>
        <w:t>1.2MPa</w:t>
      </w:r>
      <w:r>
        <w:rPr>
          <w:rFonts w:hint="eastAsia" w:eastAsiaTheme="minorEastAsia"/>
          <w:color w:val="000000" w:themeColor="text1"/>
          <w:sz w:val="24"/>
          <w:szCs w:val="24"/>
          <w14:textFill>
            <w14:solidFill>
              <w14:schemeClr w14:val="tx1"/>
            </w14:solidFill>
          </w14:textFill>
        </w:rPr>
        <w:t>和</w:t>
      </w:r>
      <w:r>
        <w:rPr>
          <w:rFonts w:eastAsiaTheme="minorEastAsia"/>
          <w:color w:val="000000" w:themeColor="text1"/>
          <w:sz w:val="24"/>
          <w:szCs w:val="24"/>
          <w14:textFill>
            <w14:solidFill>
              <w14:schemeClr w14:val="tx1"/>
            </w14:solidFill>
          </w14:textFill>
        </w:rPr>
        <w:t>3.0MPa</w:t>
      </w:r>
      <w:r>
        <w:rPr>
          <w:rFonts w:hint="eastAsia" w:eastAsiaTheme="minorEastAsia"/>
          <w:color w:val="000000" w:themeColor="text1"/>
          <w:sz w:val="24"/>
          <w:szCs w:val="24"/>
          <w14:textFill>
            <w14:solidFill>
              <w14:schemeClr w14:val="tx1"/>
            </w14:solidFill>
          </w14:textFill>
        </w:rPr>
        <w:t>。</w:t>
      </w:r>
    </w:p>
    <w:p w14:paraId="0161715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b. </w:t>
      </w:r>
      <w:r>
        <w:rPr>
          <w:rFonts w:hint="eastAsia" w:eastAsiaTheme="minorEastAsia"/>
          <w:color w:val="000000" w:themeColor="text1"/>
          <w:sz w:val="24"/>
          <w:szCs w:val="24"/>
          <w14:textFill>
            <w14:solidFill>
              <w14:schemeClr w14:val="tx1"/>
            </w14:solidFill>
          </w14:textFill>
        </w:rPr>
        <w:t>冷凝风机应为直接传动垂直安装式轴流风机。</w:t>
      </w:r>
    </w:p>
    <w:p w14:paraId="12459F3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c. </w:t>
      </w:r>
      <w:r>
        <w:rPr>
          <w:rFonts w:hint="eastAsia" w:eastAsiaTheme="minorEastAsia"/>
          <w:color w:val="000000" w:themeColor="text1"/>
          <w:sz w:val="24"/>
          <w:szCs w:val="24"/>
          <w14:textFill>
            <w14:solidFill>
              <w14:schemeClr w14:val="tx1"/>
            </w14:solidFill>
          </w14:textFill>
        </w:rPr>
        <w:t>叶轮应由铝合金（或招标方可接受的材料）制成。</w:t>
      </w:r>
    </w:p>
    <w:p w14:paraId="13FA234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d. </w:t>
      </w:r>
      <w:r>
        <w:rPr>
          <w:rFonts w:hint="eastAsia" w:eastAsiaTheme="minorEastAsia"/>
          <w:color w:val="000000" w:themeColor="text1"/>
          <w:sz w:val="24"/>
          <w:szCs w:val="24"/>
          <w14:textFill>
            <w14:solidFill>
              <w14:schemeClr w14:val="tx1"/>
            </w14:solidFill>
          </w14:textFill>
        </w:rPr>
        <w:t>风机叶轮应当在组装之前进行动平衡和静平衡试验。</w:t>
      </w:r>
      <w:r>
        <w:rPr>
          <w:rFonts w:eastAsiaTheme="minorEastAsia"/>
          <w:color w:val="000000" w:themeColor="text1"/>
          <w:sz w:val="24"/>
          <w:szCs w:val="24"/>
          <w14:textFill>
            <w14:solidFill>
              <w14:schemeClr w14:val="tx1"/>
            </w14:solidFill>
          </w14:textFill>
        </w:rPr>
        <w:t xml:space="preserve"> </w:t>
      </w:r>
    </w:p>
    <w:p w14:paraId="7E282A6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4.2.5.</w:t>
      </w:r>
      <w:r>
        <w:rPr>
          <w:rFonts w:eastAsiaTheme="minorEastAsia"/>
          <w:color w:val="000000" w:themeColor="text1"/>
          <w:sz w:val="24"/>
          <w:szCs w:val="24"/>
          <w14:textFill>
            <w14:solidFill>
              <w14:schemeClr w14:val="tx1"/>
            </w14:solidFill>
          </w14:textFill>
        </w:rPr>
        <w:t xml:space="preserve">5 </w:t>
      </w:r>
      <w:r>
        <w:rPr>
          <w:rFonts w:hint="eastAsia" w:eastAsiaTheme="minorEastAsia"/>
          <w:color w:val="000000" w:themeColor="text1"/>
          <w:sz w:val="24"/>
          <w:szCs w:val="24"/>
          <w14:textFill>
            <w14:solidFill>
              <w14:schemeClr w14:val="tx1"/>
            </w14:solidFill>
          </w14:textFill>
        </w:rPr>
        <w:t>冷却盘管</w:t>
      </w:r>
    </w:p>
    <w:p w14:paraId="65EF9E2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a. </w:t>
      </w:r>
      <w:r>
        <w:rPr>
          <w:rFonts w:hint="eastAsia" w:eastAsiaTheme="minorEastAsia"/>
          <w:color w:val="000000" w:themeColor="text1"/>
          <w:sz w:val="24"/>
          <w:szCs w:val="24"/>
          <w14:textFill>
            <w14:solidFill>
              <w14:schemeClr w14:val="tx1"/>
            </w14:solidFill>
          </w14:textFill>
        </w:rPr>
        <w:t>冷却盘管应由紫铜管机械外胀有铝或铝合金翅片制成。</w:t>
      </w:r>
    </w:p>
    <w:p w14:paraId="3494040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b. </w:t>
      </w:r>
      <w:r>
        <w:rPr>
          <w:rFonts w:hint="eastAsia" w:eastAsiaTheme="minorEastAsia"/>
          <w:color w:val="000000" w:themeColor="text1"/>
          <w:sz w:val="24"/>
          <w:szCs w:val="24"/>
          <w14:textFill>
            <w14:solidFill>
              <w14:schemeClr w14:val="tx1"/>
            </w14:solidFill>
          </w14:textFill>
        </w:rPr>
        <w:t>冷却盘管及所连接的制冷剂管道应进行气压试验和水压试验，其试验压力分别为</w:t>
      </w:r>
      <w:r>
        <w:rPr>
          <w:rFonts w:eastAsiaTheme="minorEastAsia"/>
          <w:color w:val="000000" w:themeColor="text1"/>
          <w:sz w:val="24"/>
          <w:szCs w:val="24"/>
          <w14:textFill>
            <w14:solidFill>
              <w14:schemeClr w14:val="tx1"/>
            </w14:solidFill>
          </w14:textFill>
        </w:rPr>
        <w:t>1.2MPa</w:t>
      </w:r>
      <w:r>
        <w:rPr>
          <w:rFonts w:hint="eastAsia" w:eastAsiaTheme="minorEastAsia"/>
          <w:color w:val="000000" w:themeColor="text1"/>
          <w:sz w:val="24"/>
          <w:szCs w:val="24"/>
          <w14:textFill>
            <w14:solidFill>
              <w14:schemeClr w14:val="tx1"/>
            </w14:solidFill>
          </w14:textFill>
        </w:rPr>
        <w:t>和</w:t>
      </w:r>
      <w:r>
        <w:rPr>
          <w:rFonts w:eastAsiaTheme="minorEastAsia"/>
          <w:color w:val="000000" w:themeColor="text1"/>
          <w:sz w:val="24"/>
          <w:szCs w:val="24"/>
          <w14:textFill>
            <w14:solidFill>
              <w14:schemeClr w14:val="tx1"/>
            </w14:solidFill>
          </w14:textFill>
        </w:rPr>
        <w:t>3.0MPa</w:t>
      </w:r>
      <w:r>
        <w:rPr>
          <w:rFonts w:hint="eastAsia" w:eastAsiaTheme="minorEastAsia"/>
          <w:color w:val="000000" w:themeColor="text1"/>
          <w:sz w:val="24"/>
          <w:szCs w:val="24"/>
          <w14:textFill>
            <w14:solidFill>
              <w14:schemeClr w14:val="tx1"/>
            </w14:solidFill>
          </w14:textFill>
        </w:rPr>
        <w:t>。</w:t>
      </w:r>
    </w:p>
    <w:p w14:paraId="2D6B7F0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c. </w:t>
      </w:r>
      <w:r>
        <w:rPr>
          <w:rFonts w:hint="eastAsia" w:eastAsiaTheme="minorEastAsia"/>
          <w:color w:val="000000" w:themeColor="text1"/>
          <w:sz w:val="24"/>
          <w:szCs w:val="24"/>
          <w14:textFill>
            <w14:solidFill>
              <w14:schemeClr w14:val="tx1"/>
            </w14:solidFill>
          </w14:textFill>
        </w:rPr>
        <w:t>空气通过冷却盘管的最大迎风面风速不应超过</w:t>
      </w:r>
      <w:r>
        <w:rPr>
          <w:rFonts w:eastAsiaTheme="minorEastAsia"/>
          <w:color w:val="000000" w:themeColor="text1"/>
          <w:sz w:val="24"/>
          <w:szCs w:val="24"/>
          <w14:textFill>
            <w14:solidFill>
              <w14:schemeClr w14:val="tx1"/>
            </w14:solidFill>
          </w14:textFill>
        </w:rPr>
        <w:t>3m/s</w:t>
      </w:r>
      <w:r>
        <w:rPr>
          <w:rFonts w:hint="eastAsia" w:eastAsiaTheme="minorEastAsia"/>
          <w:color w:val="000000" w:themeColor="text1"/>
          <w:sz w:val="24"/>
          <w:szCs w:val="24"/>
          <w14:textFill>
            <w14:solidFill>
              <w14:schemeClr w14:val="tx1"/>
            </w14:solidFill>
          </w14:textFill>
        </w:rPr>
        <w:t>。最大盘管排数不宜超过</w:t>
      </w:r>
      <w:r>
        <w:rPr>
          <w:rFonts w:eastAsiaTheme="minorEastAsia"/>
          <w:color w:val="000000" w:themeColor="text1"/>
          <w:sz w:val="24"/>
          <w:szCs w:val="24"/>
          <w14:textFill>
            <w14:solidFill>
              <w14:schemeClr w14:val="tx1"/>
            </w14:solidFill>
          </w14:textFill>
        </w:rPr>
        <w:t>8</w:t>
      </w:r>
      <w:r>
        <w:rPr>
          <w:rFonts w:hint="eastAsia" w:eastAsiaTheme="minorEastAsia"/>
          <w:color w:val="000000" w:themeColor="text1"/>
          <w:sz w:val="24"/>
          <w:szCs w:val="24"/>
          <w14:textFill>
            <w14:solidFill>
              <w14:schemeClr w14:val="tx1"/>
            </w14:solidFill>
          </w14:textFill>
        </w:rPr>
        <w:t>排。</w:t>
      </w:r>
    </w:p>
    <w:p w14:paraId="0FF4D40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4.2.5.</w:t>
      </w:r>
      <w:r>
        <w:rPr>
          <w:rFonts w:eastAsiaTheme="minorEastAsia"/>
          <w:color w:val="000000" w:themeColor="text1"/>
          <w:sz w:val="24"/>
          <w:szCs w:val="24"/>
          <w14:textFill>
            <w14:solidFill>
              <w14:schemeClr w14:val="tx1"/>
            </w14:solidFill>
          </w14:textFill>
        </w:rPr>
        <w:t xml:space="preserve">6 </w:t>
      </w:r>
      <w:r>
        <w:rPr>
          <w:rFonts w:hint="eastAsia" w:eastAsiaTheme="minorEastAsia"/>
          <w:color w:val="000000" w:themeColor="text1"/>
          <w:sz w:val="24"/>
          <w:szCs w:val="24"/>
          <w14:textFill>
            <w14:solidFill>
              <w14:schemeClr w14:val="tx1"/>
            </w14:solidFill>
          </w14:textFill>
        </w:rPr>
        <w:t>室内机风机</w:t>
      </w:r>
    </w:p>
    <w:p w14:paraId="3E77225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a. </w:t>
      </w:r>
      <w:r>
        <w:rPr>
          <w:rFonts w:hint="eastAsia" w:eastAsiaTheme="minorEastAsia"/>
          <w:color w:val="000000" w:themeColor="text1"/>
          <w:sz w:val="24"/>
          <w:szCs w:val="24"/>
          <w14:textFill>
            <w14:solidFill>
              <w14:schemeClr w14:val="tx1"/>
            </w14:solidFill>
          </w14:textFill>
        </w:rPr>
        <w:t>风机应是离心式的。风机叶轮和轴应在制造厂内做静平衡和动平衡试验。</w:t>
      </w:r>
    </w:p>
    <w:p w14:paraId="7B6DC2A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b. </w:t>
      </w:r>
      <w:r>
        <w:rPr>
          <w:rFonts w:hint="eastAsia" w:eastAsiaTheme="minorEastAsia"/>
          <w:color w:val="000000" w:themeColor="text1"/>
          <w:sz w:val="24"/>
          <w:szCs w:val="24"/>
          <w14:textFill>
            <w14:solidFill>
              <w14:schemeClr w14:val="tx1"/>
            </w14:solidFill>
          </w14:textFill>
        </w:rPr>
        <w:t>外壳由镀锌钢板制作。</w:t>
      </w:r>
    </w:p>
    <w:p w14:paraId="3CD1EA2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4.2.5.</w:t>
      </w:r>
      <w:r>
        <w:rPr>
          <w:rFonts w:eastAsiaTheme="minorEastAsia"/>
          <w:color w:val="000000" w:themeColor="text1"/>
          <w:sz w:val="24"/>
          <w:szCs w:val="24"/>
          <w14:textFill>
            <w14:solidFill>
              <w14:schemeClr w14:val="tx1"/>
            </w14:solidFill>
          </w14:textFill>
        </w:rPr>
        <w:t xml:space="preserve">7 </w:t>
      </w:r>
      <w:r>
        <w:rPr>
          <w:rFonts w:hint="eastAsia" w:eastAsiaTheme="minorEastAsia"/>
          <w:color w:val="000000" w:themeColor="text1"/>
          <w:sz w:val="24"/>
          <w:szCs w:val="24"/>
          <w14:textFill>
            <w14:solidFill>
              <w14:schemeClr w14:val="tx1"/>
            </w14:solidFill>
          </w14:textFill>
        </w:rPr>
        <w:t>空气过滤器</w:t>
      </w:r>
    </w:p>
    <w:p w14:paraId="5C1066F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a. </w:t>
      </w:r>
      <w:r>
        <w:rPr>
          <w:rFonts w:hint="eastAsia" w:eastAsiaTheme="minorEastAsia"/>
          <w:color w:val="000000" w:themeColor="text1"/>
          <w:sz w:val="24"/>
          <w:szCs w:val="24"/>
          <w14:textFill>
            <w14:solidFill>
              <w14:schemeClr w14:val="tx1"/>
            </w14:solidFill>
          </w14:textFill>
        </w:rPr>
        <w:t>空气过滤器盒应为扁平式，其外框应是铝合金或镀锌钢板制作。</w:t>
      </w:r>
    </w:p>
    <w:p w14:paraId="7C4B875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b. </w:t>
      </w:r>
      <w:r>
        <w:rPr>
          <w:rFonts w:hint="eastAsia" w:eastAsiaTheme="minorEastAsia"/>
          <w:color w:val="000000" w:themeColor="text1"/>
          <w:sz w:val="24"/>
          <w:szCs w:val="24"/>
          <w14:textFill>
            <w14:solidFill>
              <w14:schemeClr w14:val="tx1"/>
            </w14:solidFill>
          </w14:textFill>
        </w:rPr>
        <w:t>空气过滤器安装在机组回风口上。</w:t>
      </w:r>
    </w:p>
    <w:p w14:paraId="789424D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c. </w:t>
      </w:r>
      <w:r>
        <w:rPr>
          <w:rFonts w:hint="eastAsia" w:eastAsiaTheme="minorEastAsia"/>
          <w:color w:val="000000" w:themeColor="text1"/>
          <w:sz w:val="24"/>
          <w:szCs w:val="24"/>
          <w14:textFill>
            <w14:solidFill>
              <w14:schemeClr w14:val="tx1"/>
            </w14:solidFill>
          </w14:textFill>
        </w:rPr>
        <w:t>通过过滤器的面风速不应超过过滤器制造厂所建议的最大的迎风面风速。</w:t>
      </w:r>
    </w:p>
    <w:p w14:paraId="66563F4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d. </w:t>
      </w:r>
      <w:r>
        <w:rPr>
          <w:rFonts w:hint="eastAsia" w:eastAsiaTheme="minorEastAsia"/>
          <w:color w:val="000000" w:themeColor="text1"/>
          <w:sz w:val="24"/>
          <w:szCs w:val="24"/>
          <w14:textFill>
            <w14:solidFill>
              <w14:schemeClr w14:val="tx1"/>
            </w14:solidFill>
          </w14:textFill>
        </w:rPr>
        <w:t>过滤器过滤效率应大于</w:t>
      </w:r>
      <w:r>
        <w:rPr>
          <w:rFonts w:eastAsiaTheme="minorEastAsia"/>
          <w:color w:val="000000" w:themeColor="text1"/>
          <w:sz w:val="24"/>
          <w:szCs w:val="24"/>
          <w14:textFill>
            <w14:solidFill>
              <w14:schemeClr w14:val="tx1"/>
            </w14:solidFill>
          </w14:textFill>
        </w:rPr>
        <w:t>65%</w:t>
      </w:r>
      <w:r>
        <w:rPr>
          <w:rFonts w:hint="eastAsia" w:eastAsiaTheme="minorEastAsia"/>
          <w:color w:val="000000" w:themeColor="text1"/>
          <w:sz w:val="24"/>
          <w:szCs w:val="24"/>
          <w14:textFill>
            <w14:solidFill>
              <w14:schemeClr w14:val="tx1"/>
            </w14:solidFill>
          </w14:textFill>
        </w:rPr>
        <w:t>（重量法）。</w:t>
      </w:r>
    </w:p>
    <w:p w14:paraId="15C61AF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4.2.5.</w:t>
      </w:r>
      <w:r>
        <w:rPr>
          <w:rFonts w:eastAsiaTheme="minorEastAsia"/>
          <w:color w:val="000000" w:themeColor="text1"/>
          <w:sz w:val="24"/>
          <w:szCs w:val="24"/>
          <w14:textFill>
            <w14:solidFill>
              <w14:schemeClr w14:val="tx1"/>
            </w14:solidFill>
          </w14:textFill>
        </w:rPr>
        <w:t xml:space="preserve">8 </w:t>
      </w:r>
      <w:r>
        <w:rPr>
          <w:rFonts w:hint="eastAsia" w:eastAsiaTheme="minorEastAsia"/>
          <w:color w:val="000000" w:themeColor="text1"/>
          <w:sz w:val="24"/>
          <w:szCs w:val="24"/>
          <w14:textFill>
            <w14:solidFill>
              <w14:schemeClr w14:val="tx1"/>
            </w14:solidFill>
          </w14:textFill>
        </w:rPr>
        <w:t>滴水盘</w:t>
      </w:r>
    </w:p>
    <w:p w14:paraId="6C04B0C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a. </w:t>
      </w:r>
      <w:r>
        <w:rPr>
          <w:rFonts w:hint="eastAsia" w:eastAsiaTheme="minorEastAsia"/>
          <w:color w:val="000000" w:themeColor="text1"/>
          <w:sz w:val="24"/>
          <w:szCs w:val="24"/>
          <w14:textFill>
            <w14:solidFill>
              <w14:schemeClr w14:val="tx1"/>
            </w14:solidFill>
          </w14:textFill>
        </w:rPr>
        <w:t>滴水盘大小及容量应设计成能使制冷盘管之冷凝水全部流入滴水盘中，并应能畅通地排水。</w:t>
      </w:r>
    </w:p>
    <w:p w14:paraId="0AFF57C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b. </w:t>
      </w:r>
      <w:r>
        <w:rPr>
          <w:rFonts w:hint="eastAsia" w:eastAsiaTheme="minorEastAsia"/>
          <w:color w:val="000000" w:themeColor="text1"/>
          <w:sz w:val="24"/>
          <w:szCs w:val="24"/>
          <w14:textFill>
            <w14:solidFill>
              <w14:schemeClr w14:val="tx1"/>
            </w14:solidFill>
          </w14:textFill>
        </w:rPr>
        <w:t>滴水盘应采用至少</w:t>
      </w:r>
      <w:r>
        <w:rPr>
          <w:rFonts w:eastAsiaTheme="minorEastAsia"/>
          <w:color w:val="000000" w:themeColor="text1"/>
          <w:sz w:val="24"/>
          <w:szCs w:val="24"/>
          <w14:textFill>
            <w14:solidFill>
              <w14:schemeClr w14:val="tx1"/>
            </w14:solidFill>
          </w14:textFill>
        </w:rPr>
        <w:t>1.6mm</w:t>
      </w:r>
      <w:r>
        <w:rPr>
          <w:rFonts w:hint="eastAsia" w:eastAsiaTheme="minorEastAsia"/>
          <w:color w:val="000000" w:themeColor="text1"/>
          <w:sz w:val="24"/>
          <w:szCs w:val="24"/>
          <w14:textFill>
            <w14:solidFill>
              <w14:schemeClr w14:val="tx1"/>
            </w14:solidFill>
          </w14:textFill>
        </w:rPr>
        <w:t>厚镀锌钢板，其边角应焊接。</w:t>
      </w:r>
    </w:p>
    <w:p w14:paraId="00D6524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4.2.5.</w:t>
      </w:r>
      <w:r>
        <w:rPr>
          <w:rFonts w:eastAsiaTheme="minorEastAsia"/>
          <w:color w:val="000000" w:themeColor="text1"/>
          <w:sz w:val="24"/>
          <w:szCs w:val="24"/>
          <w14:textFill>
            <w14:solidFill>
              <w14:schemeClr w14:val="tx1"/>
            </w14:solidFill>
          </w14:textFill>
        </w:rPr>
        <w:t xml:space="preserve">9 </w:t>
      </w:r>
      <w:r>
        <w:rPr>
          <w:rFonts w:hint="eastAsia" w:eastAsiaTheme="minorEastAsia"/>
          <w:color w:val="000000" w:themeColor="text1"/>
          <w:sz w:val="24"/>
          <w:szCs w:val="24"/>
          <w14:textFill>
            <w14:solidFill>
              <w14:schemeClr w14:val="tx1"/>
            </w14:solidFill>
          </w14:textFill>
        </w:rPr>
        <w:t>制冷剂管路系统</w:t>
      </w:r>
    </w:p>
    <w:p w14:paraId="391EDBA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a. </w:t>
      </w:r>
      <w:r>
        <w:rPr>
          <w:rFonts w:hint="eastAsia" w:eastAsiaTheme="minorEastAsia"/>
          <w:color w:val="000000" w:themeColor="text1"/>
          <w:sz w:val="24"/>
          <w:szCs w:val="24"/>
          <w14:textFill>
            <w14:solidFill>
              <w14:schemeClr w14:val="tx1"/>
            </w14:solidFill>
          </w14:textFill>
        </w:rPr>
        <w:t>系统中所有需维修或可拆卸的部件均采用扩口接头。</w:t>
      </w:r>
    </w:p>
    <w:p w14:paraId="6FDDBDE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b. </w:t>
      </w:r>
      <w:r>
        <w:rPr>
          <w:rFonts w:hint="eastAsia" w:eastAsiaTheme="minorEastAsia"/>
          <w:color w:val="000000" w:themeColor="text1"/>
          <w:sz w:val="24"/>
          <w:szCs w:val="24"/>
          <w14:textFill>
            <w14:solidFill>
              <w14:schemeClr w14:val="tx1"/>
            </w14:solidFill>
          </w14:textFill>
        </w:rPr>
        <w:t>系统管道连接完成后，应经过耐压试验和检漏试验。</w:t>
      </w:r>
    </w:p>
    <w:p w14:paraId="28CA641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4.2.5.</w:t>
      </w:r>
      <w:r>
        <w:rPr>
          <w:rFonts w:eastAsiaTheme="minorEastAsia"/>
          <w:color w:val="000000" w:themeColor="text1"/>
          <w:sz w:val="24"/>
          <w:szCs w:val="24"/>
          <w14:textFill>
            <w14:solidFill>
              <w14:schemeClr w14:val="tx1"/>
            </w14:solidFill>
          </w14:textFill>
        </w:rPr>
        <w:t xml:space="preserve">10 </w:t>
      </w:r>
      <w:r>
        <w:rPr>
          <w:rFonts w:hint="eastAsia" w:eastAsiaTheme="minorEastAsia"/>
          <w:color w:val="000000" w:themeColor="text1"/>
          <w:sz w:val="24"/>
          <w:szCs w:val="24"/>
          <w14:textFill>
            <w14:solidFill>
              <w14:schemeClr w14:val="tx1"/>
            </w14:solidFill>
          </w14:textFill>
        </w:rPr>
        <w:t>保温</w:t>
      </w:r>
    </w:p>
    <w:p w14:paraId="776E89D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a. </w:t>
      </w:r>
      <w:r>
        <w:rPr>
          <w:rFonts w:hint="eastAsia" w:eastAsiaTheme="minorEastAsia"/>
          <w:color w:val="000000" w:themeColor="text1"/>
          <w:sz w:val="24"/>
          <w:szCs w:val="24"/>
          <w14:textFill>
            <w14:solidFill>
              <w14:schemeClr w14:val="tx1"/>
            </w14:solidFill>
          </w14:textFill>
        </w:rPr>
        <w:t>室内机机柜面板保温均由投标方在工厂内负责进行。</w:t>
      </w:r>
    </w:p>
    <w:p w14:paraId="66ABD65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b. </w:t>
      </w:r>
      <w:r>
        <w:rPr>
          <w:rFonts w:hint="eastAsia" w:eastAsiaTheme="minorEastAsia"/>
          <w:color w:val="000000" w:themeColor="text1"/>
          <w:sz w:val="24"/>
          <w:szCs w:val="24"/>
          <w14:textFill>
            <w14:solidFill>
              <w14:schemeClr w14:val="tx1"/>
            </w14:solidFill>
          </w14:textFill>
        </w:rPr>
        <w:t>保温材料应采用难燃性保温材料，其传热系数</w:t>
      </w:r>
      <w:r>
        <w:rPr>
          <w:rFonts w:eastAsiaTheme="minorEastAsia"/>
          <w:color w:val="000000" w:themeColor="text1"/>
          <w:sz w:val="24"/>
          <w:szCs w:val="24"/>
          <w14:textFill>
            <w14:solidFill>
              <w14:schemeClr w14:val="tx1"/>
            </w14:solidFill>
          </w14:textFill>
        </w:rPr>
        <w:t>K</w:t>
      </w:r>
      <w:r>
        <w:rPr>
          <w:rFonts w:hint="eastAsia" w:eastAsiaTheme="minorEastAsia"/>
          <w:color w:val="000000" w:themeColor="text1"/>
          <w:sz w:val="24"/>
          <w:szCs w:val="24"/>
          <w14:textFill>
            <w14:solidFill>
              <w14:schemeClr w14:val="tx1"/>
            </w14:solidFill>
          </w14:textFill>
        </w:rPr>
        <w:t>值应不大于</w:t>
      </w:r>
      <w:r>
        <w:rPr>
          <w:rFonts w:eastAsiaTheme="minorEastAsia"/>
          <w:color w:val="000000" w:themeColor="text1"/>
          <w:sz w:val="24"/>
          <w:szCs w:val="24"/>
          <w14:textFill>
            <w14:solidFill>
              <w14:schemeClr w14:val="tx1"/>
            </w14:solidFill>
          </w14:textFill>
        </w:rPr>
        <w:t>0.034W/m2.</w:t>
      </w:r>
      <w:r>
        <w:rPr>
          <w:rFonts w:hint="eastAsia" w:eastAsiaTheme="minorEastAsia"/>
          <w:color w:val="000000" w:themeColor="text1"/>
          <w:sz w:val="24"/>
          <w:szCs w:val="24"/>
          <w14:textFill>
            <w14:solidFill>
              <w14:schemeClr w14:val="tx1"/>
            </w14:solidFill>
          </w14:textFill>
        </w:rPr>
        <w:t>℃。</w:t>
      </w:r>
    </w:p>
    <w:p w14:paraId="694BFAB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c. </w:t>
      </w:r>
      <w:r>
        <w:rPr>
          <w:rFonts w:hint="eastAsia" w:eastAsiaTheme="minorEastAsia"/>
          <w:color w:val="000000" w:themeColor="text1"/>
          <w:sz w:val="24"/>
          <w:szCs w:val="24"/>
          <w14:textFill>
            <w14:solidFill>
              <w14:schemeClr w14:val="tx1"/>
            </w14:solidFill>
          </w14:textFill>
        </w:rPr>
        <w:t>制冷剂管保温层外应设置隔汽层和保护层，以防止保温层受潮和受损。</w:t>
      </w:r>
    </w:p>
    <w:p w14:paraId="22DE102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4.2.5.</w:t>
      </w:r>
      <w:r>
        <w:rPr>
          <w:rFonts w:eastAsiaTheme="minorEastAsia"/>
          <w:color w:val="000000" w:themeColor="text1"/>
          <w:sz w:val="24"/>
          <w:szCs w:val="24"/>
          <w14:textFill>
            <w14:solidFill>
              <w14:schemeClr w14:val="tx1"/>
            </w14:solidFill>
          </w14:textFill>
        </w:rPr>
        <w:t xml:space="preserve">11 </w:t>
      </w:r>
      <w:r>
        <w:rPr>
          <w:rFonts w:hint="eastAsia" w:eastAsiaTheme="minorEastAsia"/>
          <w:color w:val="000000" w:themeColor="text1"/>
          <w:sz w:val="24"/>
          <w:szCs w:val="24"/>
          <w14:textFill>
            <w14:solidFill>
              <w14:schemeClr w14:val="tx1"/>
            </w14:solidFill>
          </w14:textFill>
        </w:rPr>
        <w:t>冷凝水管</w:t>
      </w:r>
    </w:p>
    <w:p w14:paraId="3C1E818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空调室内机的冷凝水管应采用铝塑复合管，空调冷凝水应集中排放至卫生间地漏或室外排水井，布置在室内的冷凝水管应采取措施（如保温）以防二次结露。</w:t>
      </w:r>
    </w:p>
    <w:p w14:paraId="795D192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4.2.5.</w:t>
      </w:r>
      <w:r>
        <w:rPr>
          <w:rFonts w:eastAsiaTheme="minorEastAsia"/>
          <w:color w:val="000000" w:themeColor="text1"/>
          <w:sz w:val="24"/>
          <w:szCs w:val="24"/>
          <w14:textFill>
            <w14:solidFill>
              <w14:schemeClr w14:val="tx1"/>
            </w14:solidFill>
          </w14:textFill>
        </w:rPr>
        <w:t xml:space="preserve">12 </w:t>
      </w:r>
      <w:r>
        <w:rPr>
          <w:rFonts w:hint="eastAsia" w:eastAsiaTheme="minorEastAsia"/>
          <w:color w:val="000000" w:themeColor="text1"/>
          <w:sz w:val="24"/>
          <w:szCs w:val="24"/>
          <w14:textFill>
            <w14:solidFill>
              <w14:schemeClr w14:val="tx1"/>
            </w14:solidFill>
          </w14:textFill>
        </w:rPr>
        <w:t>安装</w:t>
      </w:r>
    </w:p>
    <w:p w14:paraId="039B9F1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a. </w:t>
      </w:r>
      <w:r>
        <w:rPr>
          <w:rFonts w:hint="eastAsia" w:eastAsiaTheme="minorEastAsia"/>
          <w:color w:val="000000" w:themeColor="text1"/>
          <w:sz w:val="24"/>
          <w:szCs w:val="24"/>
          <w14:textFill>
            <w14:solidFill>
              <w14:schemeClr w14:val="tx1"/>
            </w14:solidFill>
          </w14:textFill>
        </w:rPr>
        <w:t>机组水平放置在与机组尺寸及重量相对应的基座上，且不需采用减振器。</w:t>
      </w:r>
    </w:p>
    <w:p w14:paraId="0433748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b. </w:t>
      </w:r>
      <w:r>
        <w:rPr>
          <w:rFonts w:hint="eastAsia" w:eastAsiaTheme="minorEastAsia"/>
          <w:color w:val="000000" w:themeColor="text1"/>
          <w:sz w:val="24"/>
          <w:szCs w:val="24"/>
          <w14:textFill>
            <w14:solidFill>
              <w14:schemeClr w14:val="tx1"/>
            </w14:solidFill>
          </w14:textFill>
        </w:rPr>
        <w:t>吊装式室内机组的基座应配置吊筋穿孔以便设备的吊装。</w:t>
      </w:r>
    </w:p>
    <w:p w14:paraId="0C537251">
      <w:pPr>
        <w:pStyle w:val="3"/>
      </w:pPr>
    </w:p>
    <w:p w14:paraId="7510F4F2">
      <w:pPr>
        <w:pStyle w:val="3"/>
      </w:pPr>
    </w:p>
    <w:p w14:paraId="4E48CCD1">
      <w:pPr>
        <w:pStyle w:val="121"/>
        <w:numPr>
          <w:ilvl w:val="2"/>
          <w:numId w:val="5"/>
        </w:numPr>
        <w:snapToGrid w:val="0"/>
        <w:spacing w:line="480" w:lineRule="atLeast"/>
        <w:ind w:left="0" w:firstLine="482" w:firstLineChars="200"/>
        <w:outlineLvl w:val="2"/>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排烟风机及轴流式通风机</w:t>
      </w:r>
    </w:p>
    <w:p w14:paraId="0133D93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4.2.6..1</w:t>
      </w:r>
      <w:r>
        <w:rPr>
          <w:rFonts w:hint="eastAsia" w:eastAsiaTheme="minorEastAsia"/>
          <w:color w:val="000000" w:themeColor="text1"/>
          <w:sz w:val="24"/>
          <w:szCs w:val="24"/>
          <w14:textFill>
            <w14:solidFill>
              <w14:schemeClr w14:val="tx1"/>
            </w14:solidFill>
          </w14:textFill>
        </w:rPr>
        <w:t>投标方提供的设备必须满足招标方提出的风机的各项性能参数要求，并且能够在当地的室外气象条件下正常运行</w:t>
      </w:r>
      <w:r>
        <w:rPr>
          <w:rFonts w:eastAsiaTheme="minorEastAsia"/>
          <w:color w:val="000000" w:themeColor="text1"/>
          <w:sz w:val="24"/>
          <w:szCs w:val="24"/>
          <w14:textFill>
            <w14:solidFill>
              <w14:schemeClr w14:val="tx1"/>
            </w14:solidFill>
          </w14:textFill>
        </w:rPr>
        <w:t>15</w:t>
      </w:r>
      <w:r>
        <w:rPr>
          <w:rFonts w:hint="eastAsia" w:eastAsiaTheme="minorEastAsia"/>
          <w:color w:val="000000" w:themeColor="text1"/>
          <w:sz w:val="24"/>
          <w:szCs w:val="24"/>
          <w14:textFill>
            <w14:solidFill>
              <w14:schemeClr w14:val="tx1"/>
            </w14:solidFill>
          </w14:textFill>
        </w:rPr>
        <w:t>年。</w:t>
      </w:r>
    </w:p>
    <w:p w14:paraId="3D20E13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4.2.6..2</w:t>
      </w:r>
      <w:r>
        <w:rPr>
          <w:rFonts w:hint="eastAsia" w:eastAsiaTheme="minorEastAsia"/>
          <w:color w:val="000000" w:themeColor="text1"/>
          <w:sz w:val="24"/>
          <w:szCs w:val="24"/>
          <w14:textFill>
            <w14:solidFill>
              <w14:schemeClr w14:val="tx1"/>
            </w14:solidFill>
          </w14:textFill>
        </w:rPr>
        <w:t>风机特性允许的偏差应满足以下要求：</w:t>
      </w:r>
    </w:p>
    <w:p w14:paraId="316C7A0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流量偏差：在规定的静压下，所对应的流量偏差不超过</w:t>
      </w: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w:t>
      </w:r>
    </w:p>
    <w:p w14:paraId="2991762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全压偏差：在规定的流量下，所对应的全压偏差不超过</w:t>
      </w: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w:t>
      </w:r>
    </w:p>
    <w:p w14:paraId="4C6F287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风机效率偏差：风机的全压效率不得低于其对应点效率的</w:t>
      </w: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；或者静压效率不得低于其对应点效率的</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。风机效率不应低于现行国家标准《通风机能效限定值及能效等级》GB 19761规定的通风机能效等级的2级。</w:t>
      </w:r>
    </w:p>
    <w:p w14:paraId="5F71073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4.2.6..3</w:t>
      </w:r>
      <w:r>
        <w:rPr>
          <w:rFonts w:hint="eastAsia" w:eastAsiaTheme="minorEastAsia"/>
          <w:color w:val="000000" w:themeColor="text1"/>
          <w:sz w:val="24"/>
          <w:szCs w:val="24"/>
          <w14:textFill>
            <w14:solidFill>
              <w14:schemeClr w14:val="tx1"/>
            </w14:solidFill>
          </w14:textFill>
        </w:rPr>
        <w:t>风机叶轮应能承受紊流工况下所引起的各种附加力作用，并且能够长期、安全、可靠地运行。</w:t>
      </w:r>
    </w:p>
    <w:p w14:paraId="0E2ED7F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4.2.6..4</w:t>
      </w:r>
      <w:r>
        <w:rPr>
          <w:rFonts w:hint="eastAsia" w:eastAsiaTheme="minorEastAsia"/>
          <w:color w:val="000000" w:themeColor="text1"/>
          <w:sz w:val="24"/>
          <w:szCs w:val="24"/>
          <w14:textFill>
            <w14:solidFill>
              <w14:schemeClr w14:val="tx1"/>
            </w14:solidFill>
          </w14:textFill>
        </w:rPr>
        <w:t>风机及其附属设备应有可靠的控制、调节及保护措施，以确保安全、经济运行。</w:t>
      </w:r>
    </w:p>
    <w:p w14:paraId="361F284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4.2.6..5</w:t>
      </w:r>
      <w:r>
        <w:rPr>
          <w:rFonts w:hint="eastAsia" w:eastAsiaTheme="minorEastAsia"/>
          <w:color w:val="000000" w:themeColor="text1"/>
          <w:sz w:val="24"/>
          <w:szCs w:val="24"/>
          <w14:textFill>
            <w14:solidFill>
              <w14:schemeClr w14:val="tx1"/>
            </w14:solidFill>
          </w14:textFill>
        </w:rPr>
        <w:t>风机及其附属设备</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包括支架等</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，应充分考虑到当地的地震力影响，确保在设计地震烈度的情况下，能够保持结构上的完整性。</w:t>
      </w:r>
    </w:p>
    <w:p w14:paraId="6458B23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4.2.6..6</w:t>
      </w:r>
      <w:r>
        <w:rPr>
          <w:rFonts w:hint="eastAsia" w:eastAsiaTheme="minorEastAsia"/>
          <w:color w:val="000000" w:themeColor="text1"/>
          <w:sz w:val="24"/>
          <w:szCs w:val="24"/>
          <w14:textFill>
            <w14:solidFill>
              <w14:schemeClr w14:val="tx1"/>
            </w14:solidFill>
          </w14:textFill>
        </w:rPr>
        <w:t>风机的噪声按</w:t>
      </w:r>
      <w:r>
        <w:rPr>
          <w:rFonts w:eastAsiaTheme="minorEastAsia"/>
          <w:color w:val="000000" w:themeColor="text1"/>
          <w:sz w:val="24"/>
          <w:szCs w:val="24"/>
          <w14:textFill>
            <w14:solidFill>
              <w14:schemeClr w14:val="tx1"/>
            </w14:solidFill>
          </w14:textFill>
        </w:rPr>
        <w:t>GB/T 2888</w:t>
      </w:r>
      <w:r>
        <w:rPr>
          <w:rFonts w:hint="eastAsia" w:eastAsiaTheme="minorEastAsia"/>
          <w:color w:val="000000" w:themeColor="text1"/>
          <w:sz w:val="24"/>
          <w:szCs w:val="24"/>
          <w14:textFill>
            <w14:solidFill>
              <w14:schemeClr w14:val="tx1"/>
            </w14:solidFill>
          </w14:textFill>
        </w:rPr>
        <w:t>《风机和罗茨鼓风机噪声测量方法》进行测试，并且风机最高效率的噪声应符合</w:t>
      </w:r>
      <w:r>
        <w:rPr>
          <w:rFonts w:eastAsiaTheme="minorEastAsia"/>
          <w:color w:val="000000" w:themeColor="text1"/>
          <w:sz w:val="24"/>
          <w:szCs w:val="24"/>
          <w14:textFill>
            <w14:solidFill>
              <w14:schemeClr w14:val="tx1"/>
            </w14:solidFill>
          </w14:textFill>
        </w:rPr>
        <w:t>JB/T 8690</w:t>
      </w:r>
      <w:r>
        <w:rPr>
          <w:rFonts w:hint="eastAsia" w:eastAsiaTheme="minorEastAsia"/>
          <w:color w:val="000000" w:themeColor="text1"/>
          <w:sz w:val="24"/>
          <w:szCs w:val="24"/>
          <w14:textFill>
            <w14:solidFill>
              <w14:schemeClr w14:val="tx1"/>
            </w14:solidFill>
          </w14:textFill>
        </w:rPr>
        <w:t>《通风机 噪声限值》的规定。</w:t>
      </w:r>
    </w:p>
    <w:p w14:paraId="39BA997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4.2.6.7</w:t>
      </w:r>
      <w:r>
        <w:rPr>
          <w:rFonts w:hint="eastAsia" w:eastAsiaTheme="minorEastAsia"/>
          <w:color w:val="000000" w:themeColor="text1"/>
          <w:sz w:val="24"/>
          <w:szCs w:val="24"/>
          <w14:textFill>
            <w14:solidFill>
              <w14:schemeClr w14:val="tx1"/>
            </w14:solidFill>
          </w14:textFill>
        </w:rPr>
        <w:t>防腐轴流风机机壳应采用玻璃钢整体制作，通过整形的表面修磨，提高制作精度。</w:t>
      </w:r>
    </w:p>
    <w:p w14:paraId="469E32C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4.2.6.8</w:t>
      </w:r>
      <w:r>
        <w:rPr>
          <w:rFonts w:hint="eastAsia" w:eastAsiaTheme="minorEastAsia"/>
          <w:color w:val="000000" w:themeColor="text1"/>
          <w:sz w:val="24"/>
          <w:szCs w:val="24"/>
          <w14:textFill>
            <w14:solidFill>
              <w14:schemeClr w14:val="tx1"/>
            </w14:solidFill>
          </w14:textFill>
        </w:rPr>
        <w:t>风机叶轮在安装前，应进行静、动平衡试验，并应彻底校正不平衡部位，使风机运行时基本不产生振动。风机叶轮经过静、动平衡后，风机的振动满足《通风机振动检测及其限值》</w:t>
      </w:r>
      <w:r>
        <w:rPr>
          <w:rFonts w:eastAsiaTheme="minorEastAsia"/>
          <w:color w:val="000000" w:themeColor="text1"/>
          <w:sz w:val="24"/>
          <w:szCs w:val="24"/>
          <w14:textFill>
            <w14:solidFill>
              <w14:schemeClr w14:val="tx1"/>
            </w14:solidFill>
          </w14:textFill>
        </w:rPr>
        <w:t>(JB/T 8689)</w:t>
      </w:r>
      <w:r>
        <w:rPr>
          <w:rFonts w:hint="eastAsia" w:eastAsiaTheme="minorEastAsia"/>
          <w:color w:val="000000" w:themeColor="text1"/>
          <w:sz w:val="24"/>
          <w:szCs w:val="24"/>
          <w14:textFill>
            <w14:solidFill>
              <w14:schemeClr w14:val="tx1"/>
            </w14:solidFill>
          </w14:textFill>
        </w:rPr>
        <w:t>的要求。</w:t>
      </w:r>
    </w:p>
    <w:p w14:paraId="3E0E361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4.2.6.9</w:t>
      </w:r>
      <w:r>
        <w:rPr>
          <w:rFonts w:hint="eastAsia" w:eastAsiaTheme="minorEastAsia"/>
          <w:color w:val="000000" w:themeColor="text1"/>
          <w:sz w:val="24"/>
          <w:szCs w:val="24"/>
          <w14:textFill>
            <w14:solidFill>
              <w14:schemeClr w14:val="tx1"/>
            </w14:solidFill>
          </w14:textFill>
        </w:rPr>
        <w:t>对电动机直联型的轴流风机，在机壳内应设有安装电动机的支座，且连接用的螺栓应准确可靠地预埋在玻璃钢构件中，确保防腐，并要保证支座有足够的强度和刚度，能够承受所产生的动荷载。</w:t>
      </w:r>
    </w:p>
    <w:p w14:paraId="423DBC4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4.2.6..10</w:t>
      </w:r>
      <w:r>
        <w:rPr>
          <w:rFonts w:hint="eastAsia" w:eastAsiaTheme="minorEastAsia"/>
          <w:color w:val="000000" w:themeColor="text1"/>
          <w:sz w:val="24"/>
          <w:szCs w:val="24"/>
          <w14:textFill>
            <w14:solidFill>
              <w14:schemeClr w14:val="tx1"/>
            </w14:solidFill>
          </w14:textFill>
        </w:rPr>
        <w:t>风机机壳出口的法兰表面应平整，法兰连接物和尺寸应符合</w:t>
      </w:r>
      <w:r>
        <w:rPr>
          <w:rFonts w:eastAsiaTheme="minorEastAsia"/>
          <w:color w:val="000000" w:themeColor="text1"/>
          <w:sz w:val="24"/>
          <w:szCs w:val="24"/>
          <w14:textFill>
            <w14:solidFill>
              <w14:schemeClr w14:val="tx1"/>
            </w14:solidFill>
          </w14:textFill>
        </w:rPr>
        <w:t>GB/T 3235</w:t>
      </w:r>
      <w:r>
        <w:rPr>
          <w:rFonts w:hint="eastAsia" w:eastAsiaTheme="minorEastAsia"/>
          <w:color w:val="000000" w:themeColor="text1"/>
          <w:sz w:val="24"/>
          <w:szCs w:val="24"/>
          <w14:textFill>
            <w14:solidFill>
              <w14:schemeClr w14:val="tx1"/>
            </w14:solidFill>
          </w14:textFill>
        </w:rPr>
        <w:t>《通风机基本型式、尺寸参数及性能曲线》。</w:t>
      </w:r>
    </w:p>
    <w:p w14:paraId="556C411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4.2.6..11</w:t>
      </w:r>
      <w:r>
        <w:rPr>
          <w:rFonts w:hint="eastAsia" w:eastAsiaTheme="minorEastAsia"/>
          <w:color w:val="000000" w:themeColor="text1"/>
          <w:sz w:val="24"/>
          <w:szCs w:val="24"/>
          <w14:textFill>
            <w14:solidFill>
              <w14:schemeClr w14:val="tx1"/>
            </w14:solidFill>
          </w14:textFill>
        </w:rPr>
        <w:t>根据需要可在轴流风机入口处装设集流器，集流器应具有收敛型环状截面，并具有最优的当量锥角。</w:t>
      </w:r>
    </w:p>
    <w:p w14:paraId="350AC92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4.2.6..12</w:t>
      </w:r>
      <w:r>
        <w:rPr>
          <w:rFonts w:hint="eastAsia" w:eastAsiaTheme="minorEastAsia"/>
          <w:color w:val="000000" w:themeColor="text1"/>
          <w:sz w:val="24"/>
          <w:szCs w:val="24"/>
          <w14:textFill>
            <w14:solidFill>
              <w14:schemeClr w14:val="tx1"/>
            </w14:solidFill>
          </w14:textFill>
        </w:rPr>
        <w:t>防腐轴流风机叶片应采用玻璃钢、钢制或铝合金制作，轮彀与叶片采用螺栓连接，叶片应为机翼型。</w:t>
      </w:r>
    </w:p>
    <w:p w14:paraId="79D3D24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4.2.6..13</w:t>
      </w:r>
      <w:r>
        <w:rPr>
          <w:rFonts w:hint="eastAsia" w:eastAsiaTheme="minorEastAsia"/>
          <w:color w:val="000000" w:themeColor="text1"/>
          <w:sz w:val="24"/>
          <w:szCs w:val="24"/>
          <w14:textFill>
            <w14:solidFill>
              <w14:schemeClr w14:val="tx1"/>
            </w14:solidFill>
          </w14:textFill>
        </w:rPr>
        <w:t>风机叶轮应具有足够的刚度，在搬运和运转中不得有任何变形。叶轮应满足最高工作转速的</w:t>
      </w:r>
      <w:r>
        <w:rPr>
          <w:rFonts w:eastAsiaTheme="minorEastAsia"/>
          <w:color w:val="000000" w:themeColor="text1"/>
          <w:sz w:val="24"/>
          <w:szCs w:val="24"/>
          <w14:textFill>
            <w14:solidFill>
              <w14:schemeClr w14:val="tx1"/>
            </w14:solidFill>
          </w14:textFill>
        </w:rPr>
        <w:t>110%</w:t>
      </w:r>
      <w:r>
        <w:rPr>
          <w:rFonts w:hint="eastAsia" w:eastAsiaTheme="minorEastAsia"/>
          <w:color w:val="000000" w:themeColor="text1"/>
          <w:sz w:val="24"/>
          <w:szCs w:val="24"/>
          <w14:textFill>
            <w14:solidFill>
              <w14:schemeClr w14:val="tx1"/>
            </w14:solidFill>
          </w14:textFill>
        </w:rPr>
        <w:t>，并满足</w:t>
      </w:r>
      <w:r>
        <w:rPr>
          <w:rFonts w:eastAsiaTheme="minorEastAsia"/>
          <w:color w:val="000000" w:themeColor="text1"/>
          <w:sz w:val="24"/>
          <w:szCs w:val="24"/>
          <w14:textFill>
            <w14:solidFill>
              <w14:schemeClr w14:val="tx1"/>
            </w14:solidFill>
          </w14:textFill>
        </w:rPr>
        <w:t>JB/T 6445</w:t>
      </w:r>
      <w:r>
        <w:rPr>
          <w:rFonts w:hint="eastAsia" w:eastAsiaTheme="minorEastAsia"/>
          <w:color w:val="000000" w:themeColor="text1"/>
          <w:sz w:val="24"/>
          <w:szCs w:val="24"/>
          <w14:textFill>
            <w14:solidFill>
              <w14:schemeClr w14:val="tx1"/>
            </w14:solidFill>
          </w14:textFill>
        </w:rPr>
        <w:t>《通风机叶轮超速试验》。</w:t>
      </w:r>
    </w:p>
    <w:p w14:paraId="4E36EA5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4.2.6..14</w:t>
      </w:r>
      <w:r>
        <w:rPr>
          <w:rFonts w:hint="eastAsia" w:eastAsiaTheme="minorEastAsia"/>
          <w:color w:val="000000" w:themeColor="text1"/>
          <w:sz w:val="24"/>
          <w:szCs w:val="24"/>
          <w14:textFill>
            <w14:solidFill>
              <w14:schemeClr w14:val="tx1"/>
            </w14:solidFill>
          </w14:textFill>
        </w:rPr>
        <w:t>风机所用玻璃钢主要原料应符合有关标准规定，以及防爆、防静电和防爆要求，其中液体不饱和树脂应满足</w:t>
      </w:r>
      <w:r>
        <w:rPr>
          <w:rFonts w:eastAsiaTheme="minorEastAsia"/>
          <w:color w:val="000000" w:themeColor="text1"/>
          <w:sz w:val="24"/>
          <w:szCs w:val="24"/>
          <w14:textFill>
            <w14:solidFill>
              <w14:schemeClr w14:val="tx1"/>
            </w14:solidFill>
          </w14:textFill>
        </w:rPr>
        <w:t>GB/T 8237</w:t>
      </w:r>
      <w:r>
        <w:rPr>
          <w:rFonts w:hint="eastAsia" w:eastAsiaTheme="minorEastAsia"/>
          <w:color w:val="000000" w:themeColor="text1"/>
          <w:sz w:val="24"/>
          <w:szCs w:val="24"/>
          <w14:textFill>
            <w14:solidFill>
              <w14:schemeClr w14:val="tx1"/>
            </w14:solidFill>
          </w14:textFill>
        </w:rPr>
        <w:t>《纤维增强塑料用液体不饱和聚酯树脂》的规定。外表面采用间苯型胶衣树脂或者聚胺酸防腐漆，内表面涂富裕树脂层。玻璃钢材料中应加入适量的抗老化增塑剂，以延长使用年限。</w:t>
      </w:r>
    </w:p>
    <w:p w14:paraId="2BC847C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4.2.6..15</w:t>
      </w:r>
      <w:r>
        <w:rPr>
          <w:rFonts w:hint="eastAsia" w:eastAsiaTheme="minorEastAsia"/>
          <w:color w:val="000000" w:themeColor="text1"/>
          <w:sz w:val="24"/>
          <w:szCs w:val="24"/>
          <w14:textFill>
            <w14:solidFill>
              <w14:schemeClr w14:val="tx1"/>
            </w14:solidFill>
          </w14:textFill>
        </w:rPr>
        <w:t>排烟风机采用诱导式电机散热系统消防排烟风机。</w:t>
      </w:r>
    </w:p>
    <w:p w14:paraId="3D77283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4.2.6..17</w:t>
      </w:r>
      <w:r>
        <w:rPr>
          <w:rFonts w:hint="eastAsia" w:eastAsiaTheme="minorEastAsia"/>
          <w:color w:val="000000" w:themeColor="text1"/>
          <w:sz w:val="24"/>
          <w:szCs w:val="24"/>
          <w14:textFill>
            <w14:solidFill>
              <w14:schemeClr w14:val="tx1"/>
            </w14:solidFill>
          </w14:textFill>
        </w:rPr>
        <w:t>排烟风机的制造、材料选择、各项测试均应符合国家有关风机制造及消防规范或标准的要求。</w:t>
      </w:r>
    </w:p>
    <w:p w14:paraId="1F4D936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4.2.6..18</w:t>
      </w:r>
      <w:r>
        <w:rPr>
          <w:rFonts w:hint="eastAsia" w:eastAsiaTheme="minorEastAsia"/>
          <w:color w:val="000000" w:themeColor="text1"/>
          <w:sz w:val="24"/>
          <w:szCs w:val="24"/>
          <w14:textFill>
            <w14:solidFill>
              <w14:schemeClr w14:val="tx1"/>
            </w14:solidFill>
          </w14:textFill>
        </w:rPr>
        <w:t>排烟风机需在</w:t>
      </w:r>
      <w:r>
        <w:rPr>
          <w:rFonts w:eastAsiaTheme="minorEastAsia"/>
          <w:color w:val="000000" w:themeColor="text1"/>
          <w:sz w:val="24"/>
          <w:szCs w:val="24"/>
          <w14:textFill>
            <w14:solidFill>
              <w14:schemeClr w14:val="tx1"/>
            </w14:solidFill>
          </w14:textFill>
        </w:rPr>
        <w:t>400</w:t>
      </w:r>
      <w:r>
        <w:rPr>
          <w:rFonts w:hint="eastAsia" w:eastAsiaTheme="minorEastAsia"/>
          <w:color w:val="000000" w:themeColor="text1"/>
          <w:sz w:val="24"/>
          <w:szCs w:val="24"/>
          <w14:textFill>
            <w14:solidFill>
              <w14:schemeClr w14:val="tx1"/>
            </w14:solidFill>
          </w14:textFill>
        </w:rPr>
        <w:t>℃高温条件下能连续运行</w:t>
      </w:r>
      <w:r>
        <w:rPr>
          <w:rFonts w:eastAsiaTheme="minorEastAsia"/>
          <w:color w:val="000000" w:themeColor="text1"/>
          <w:sz w:val="24"/>
          <w:szCs w:val="24"/>
          <w14:textFill>
            <w14:solidFill>
              <w14:schemeClr w14:val="tx1"/>
            </w14:solidFill>
          </w14:textFill>
        </w:rPr>
        <w:t>100</w:t>
      </w:r>
      <w:r>
        <w:rPr>
          <w:rFonts w:hint="eastAsia" w:eastAsiaTheme="minorEastAsia"/>
          <w:color w:val="000000" w:themeColor="text1"/>
          <w:sz w:val="24"/>
          <w:szCs w:val="24"/>
          <w14:textFill>
            <w14:solidFill>
              <w14:schemeClr w14:val="tx1"/>
            </w14:solidFill>
          </w14:textFill>
        </w:rPr>
        <w:t>分钟以上、</w:t>
      </w:r>
      <w:r>
        <w:rPr>
          <w:rFonts w:eastAsiaTheme="minorEastAsia"/>
          <w:color w:val="000000" w:themeColor="text1"/>
          <w:sz w:val="24"/>
          <w:szCs w:val="24"/>
          <w14:textFill>
            <w14:solidFill>
              <w14:schemeClr w14:val="tx1"/>
            </w14:solidFill>
          </w14:textFill>
        </w:rPr>
        <w:t>100</w:t>
      </w:r>
      <w:r>
        <w:rPr>
          <w:rFonts w:hint="eastAsia" w:eastAsiaTheme="minorEastAsia"/>
          <w:color w:val="000000" w:themeColor="text1"/>
          <w:sz w:val="24"/>
          <w:szCs w:val="24"/>
          <w14:textFill>
            <w14:solidFill>
              <w14:schemeClr w14:val="tx1"/>
            </w14:solidFill>
          </w14:textFill>
        </w:rPr>
        <w:t>℃温度条件下能连续运行</w:t>
      </w:r>
      <w:r>
        <w:rPr>
          <w:rFonts w:eastAsiaTheme="minorEastAsia"/>
          <w:color w:val="000000" w:themeColor="text1"/>
          <w:sz w:val="24"/>
          <w:szCs w:val="24"/>
          <w14:textFill>
            <w14:solidFill>
              <w14:schemeClr w14:val="tx1"/>
            </w14:solidFill>
          </w14:textFill>
        </w:rPr>
        <w:t>20</w:t>
      </w:r>
      <w:r>
        <w:rPr>
          <w:rFonts w:hint="eastAsia" w:eastAsiaTheme="minorEastAsia"/>
          <w:color w:val="000000" w:themeColor="text1"/>
          <w:sz w:val="24"/>
          <w:szCs w:val="24"/>
          <w14:textFill>
            <w14:solidFill>
              <w14:schemeClr w14:val="tx1"/>
            </w14:solidFill>
          </w14:textFill>
        </w:rPr>
        <w:t>小时</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次不损坏。</w:t>
      </w:r>
    </w:p>
    <w:p w14:paraId="7E1D9C3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4.2.6..18</w:t>
      </w:r>
      <w:r>
        <w:rPr>
          <w:rFonts w:hint="eastAsia" w:eastAsiaTheme="minorEastAsia"/>
          <w:color w:val="000000" w:themeColor="text1"/>
          <w:sz w:val="24"/>
          <w:szCs w:val="24"/>
          <w14:textFill>
            <w14:solidFill>
              <w14:schemeClr w14:val="tx1"/>
            </w14:solidFill>
          </w14:textFill>
        </w:rPr>
        <w:t>配套的电动机应满足以下要求：</w:t>
      </w:r>
    </w:p>
    <w:p w14:paraId="50FE6E6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电动机应能够在</w:t>
      </w:r>
      <w:r>
        <w:rPr>
          <w:rFonts w:eastAsiaTheme="minorEastAsia"/>
          <w:color w:val="000000" w:themeColor="text1"/>
          <w:sz w:val="24"/>
          <w:szCs w:val="24"/>
          <w14:textFill>
            <w14:solidFill>
              <w14:schemeClr w14:val="tx1"/>
            </w14:solidFill>
          </w14:textFill>
        </w:rPr>
        <w:t>80</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110%</w:t>
      </w:r>
      <w:r>
        <w:rPr>
          <w:rFonts w:hint="eastAsia" w:eastAsiaTheme="minorEastAsia"/>
          <w:color w:val="000000" w:themeColor="text1"/>
          <w:sz w:val="24"/>
          <w:szCs w:val="24"/>
          <w14:textFill>
            <w14:solidFill>
              <w14:schemeClr w14:val="tx1"/>
            </w14:solidFill>
          </w14:textFill>
        </w:rPr>
        <w:t>的额定工作电压和</w:t>
      </w:r>
      <w:r>
        <w:rPr>
          <w:rFonts w:eastAsiaTheme="minorEastAsia"/>
          <w:color w:val="000000" w:themeColor="text1"/>
          <w:sz w:val="24"/>
          <w:szCs w:val="24"/>
          <w14:textFill>
            <w14:solidFill>
              <w14:schemeClr w14:val="tx1"/>
            </w14:solidFill>
          </w14:textFill>
        </w:rPr>
        <w:t>50Hz±2.5%</w:t>
      </w:r>
      <w:r>
        <w:rPr>
          <w:rFonts w:hint="eastAsia" w:eastAsiaTheme="minorEastAsia"/>
          <w:color w:val="000000" w:themeColor="text1"/>
          <w:sz w:val="24"/>
          <w:szCs w:val="24"/>
          <w14:textFill>
            <w14:solidFill>
              <w14:schemeClr w14:val="tx1"/>
            </w14:solidFill>
          </w14:textFill>
        </w:rPr>
        <w:t>的额定工作频率的范围内正常运行，并符合</w:t>
      </w:r>
      <w:r>
        <w:rPr>
          <w:rFonts w:eastAsiaTheme="minorEastAsia"/>
          <w:color w:val="000000" w:themeColor="text1"/>
          <w:sz w:val="24"/>
          <w:szCs w:val="24"/>
          <w14:textFill>
            <w14:solidFill>
              <w14:schemeClr w14:val="tx1"/>
            </w14:solidFill>
          </w14:textFill>
        </w:rPr>
        <w:t>GB/T 5171.1</w:t>
      </w:r>
      <w:r>
        <w:rPr>
          <w:rFonts w:hint="eastAsia" w:eastAsiaTheme="minorEastAsia"/>
          <w:color w:val="000000" w:themeColor="text1"/>
          <w:sz w:val="24"/>
          <w:szCs w:val="24"/>
          <w14:textFill>
            <w14:solidFill>
              <w14:schemeClr w14:val="tx1"/>
            </w14:solidFill>
          </w14:textFill>
        </w:rPr>
        <w:t>《小功率电动机</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第</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部分：通用技术条件》。</w:t>
      </w:r>
    </w:p>
    <w:p w14:paraId="4BDE347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额定功率小于或者等于</w:t>
      </w:r>
      <w:r>
        <w:rPr>
          <w:rFonts w:eastAsiaTheme="minorEastAsia"/>
          <w:color w:val="000000" w:themeColor="text1"/>
          <w:sz w:val="24"/>
          <w:szCs w:val="24"/>
          <w14:textFill>
            <w14:solidFill>
              <w14:schemeClr w14:val="tx1"/>
            </w14:solidFill>
          </w14:textFill>
        </w:rPr>
        <w:t>15kW</w:t>
      </w:r>
      <w:r>
        <w:rPr>
          <w:rFonts w:hint="eastAsia" w:eastAsiaTheme="minorEastAsia"/>
          <w:color w:val="000000" w:themeColor="text1"/>
          <w:sz w:val="24"/>
          <w:szCs w:val="24"/>
          <w14:textFill>
            <w14:solidFill>
              <w14:schemeClr w14:val="tx1"/>
            </w14:solidFill>
          </w14:textFill>
        </w:rPr>
        <w:t>的小型电动机，应采用等级为</w:t>
      </w:r>
      <w:r>
        <w:rPr>
          <w:rFonts w:eastAsiaTheme="minorEastAsia"/>
          <w:color w:val="000000" w:themeColor="text1"/>
          <w:sz w:val="24"/>
          <w:szCs w:val="24"/>
          <w14:textFill>
            <w14:solidFill>
              <w14:schemeClr w14:val="tx1"/>
            </w14:solidFill>
          </w14:textFill>
        </w:rPr>
        <w:t>IP54</w:t>
      </w:r>
      <w:r>
        <w:rPr>
          <w:rFonts w:hint="eastAsia" w:eastAsiaTheme="minorEastAsia"/>
          <w:color w:val="000000" w:themeColor="text1"/>
          <w:sz w:val="24"/>
          <w:szCs w:val="24"/>
          <w14:textFill>
            <w14:solidFill>
              <w14:schemeClr w14:val="tx1"/>
            </w14:solidFill>
          </w14:textFill>
        </w:rPr>
        <w:t>的全封闭式风冷型。</w:t>
      </w:r>
    </w:p>
    <w:p w14:paraId="268FAB4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电机应有</w:t>
      </w:r>
      <w:r>
        <w:rPr>
          <w:rFonts w:eastAsiaTheme="minorEastAsia"/>
          <w:color w:val="000000" w:themeColor="text1"/>
          <w:sz w:val="24"/>
          <w:szCs w:val="24"/>
          <w14:textFill>
            <w14:solidFill>
              <w14:schemeClr w14:val="tx1"/>
            </w14:solidFill>
          </w14:textFill>
        </w:rPr>
        <w:t>B</w:t>
      </w:r>
      <w:r>
        <w:rPr>
          <w:rFonts w:hint="eastAsia" w:eastAsiaTheme="minorEastAsia"/>
          <w:color w:val="000000" w:themeColor="text1"/>
          <w:sz w:val="24"/>
          <w:szCs w:val="24"/>
          <w14:textFill>
            <w14:solidFill>
              <w14:schemeClr w14:val="tx1"/>
            </w14:solidFill>
          </w14:textFill>
        </w:rPr>
        <w:t>级绝缘等级。在周围环境温度为</w:t>
      </w:r>
      <w:r>
        <w:rPr>
          <w:rFonts w:eastAsiaTheme="minorEastAsia"/>
          <w:color w:val="000000" w:themeColor="text1"/>
          <w:sz w:val="24"/>
          <w:szCs w:val="24"/>
          <w14:textFill>
            <w14:solidFill>
              <w14:schemeClr w14:val="tx1"/>
            </w14:solidFill>
          </w14:textFill>
        </w:rPr>
        <w:t>40</w:t>
      </w:r>
      <w:r>
        <w:rPr>
          <w:rFonts w:hint="eastAsia" w:eastAsiaTheme="minorEastAsia"/>
          <w:color w:val="000000" w:themeColor="text1"/>
          <w:sz w:val="24"/>
          <w:szCs w:val="24"/>
          <w14:textFill>
            <w14:solidFill>
              <w14:schemeClr w14:val="tx1"/>
            </w14:solidFill>
          </w14:textFill>
        </w:rPr>
        <w:t>℃时，</w:t>
      </w:r>
      <w:r>
        <w:rPr>
          <w:rFonts w:eastAsiaTheme="minorEastAsia"/>
          <w:color w:val="000000" w:themeColor="text1"/>
          <w:sz w:val="24"/>
          <w:szCs w:val="24"/>
          <w14:textFill>
            <w14:solidFill>
              <w14:schemeClr w14:val="tx1"/>
            </w14:solidFill>
          </w14:textFill>
        </w:rPr>
        <w:t>B</w:t>
      </w:r>
      <w:r>
        <w:rPr>
          <w:rFonts w:hint="eastAsia" w:eastAsiaTheme="minorEastAsia"/>
          <w:color w:val="000000" w:themeColor="text1"/>
          <w:sz w:val="24"/>
          <w:szCs w:val="24"/>
          <w14:textFill>
            <w14:solidFill>
              <w14:schemeClr w14:val="tx1"/>
            </w14:solidFill>
          </w14:textFill>
        </w:rPr>
        <w:t>级绝缘等级的电动机的温升不超过</w:t>
      </w:r>
      <w:r>
        <w:rPr>
          <w:rFonts w:eastAsiaTheme="minorEastAsia"/>
          <w:color w:val="000000" w:themeColor="text1"/>
          <w:sz w:val="24"/>
          <w:szCs w:val="24"/>
          <w14:textFill>
            <w14:solidFill>
              <w14:schemeClr w14:val="tx1"/>
            </w14:solidFill>
          </w14:textFill>
        </w:rPr>
        <w:t>80</w:t>
      </w:r>
      <w:r>
        <w:rPr>
          <w:rFonts w:hint="eastAsia" w:eastAsiaTheme="minorEastAsia"/>
          <w:color w:val="000000" w:themeColor="text1"/>
          <w:sz w:val="24"/>
          <w:szCs w:val="24"/>
          <w14:textFill>
            <w14:solidFill>
              <w14:schemeClr w14:val="tx1"/>
            </w14:solidFill>
          </w14:textFill>
        </w:rPr>
        <w:t>℃。</w:t>
      </w:r>
    </w:p>
    <w:p w14:paraId="70AA617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电动机的轴承结构应该是密封的，能够隔绝污物和水，并不使润滑剂进入线圈，其使用年限不少于</w:t>
      </w:r>
      <w:r>
        <w:rPr>
          <w:rFonts w:eastAsiaTheme="minorEastAsia"/>
          <w:color w:val="000000" w:themeColor="text1"/>
          <w:sz w:val="24"/>
          <w:szCs w:val="24"/>
          <w14:textFill>
            <w14:solidFill>
              <w14:schemeClr w14:val="tx1"/>
            </w14:solidFill>
          </w14:textFill>
        </w:rPr>
        <w:t>15</w:t>
      </w:r>
      <w:r>
        <w:rPr>
          <w:rFonts w:hint="eastAsia" w:eastAsiaTheme="minorEastAsia"/>
          <w:color w:val="000000" w:themeColor="text1"/>
          <w:sz w:val="24"/>
          <w:szCs w:val="24"/>
          <w14:textFill>
            <w14:solidFill>
              <w14:schemeClr w14:val="tx1"/>
            </w14:solidFill>
          </w14:textFill>
        </w:rPr>
        <w:t>年。</w:t>
      </w:r>
    </w:p>
    <w:p w14:paraId="5368EAB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4.2.6..19</w:t>
      </w:r>
      <w:r>
        <w:rPr>
          <w:rFonts w:hint="eastAsia" w:eastAsiaTheme="minorEastAsia"/>
          <w:color w:val="000000" w:themeColor="text1"/>
          <w:sz w:val="24"/>
          <w:szCs w:val="24"/>
          <w14:textFill>
            <w14:solidFill>
              <w14:schemeClr w14:val="tx1"/>
            </w14:solidFill>
          </w14:textFill>
        </w:rPr>
        <w:t>轴流风机出口所配用的风动百叶采用铝合金型材制造，转轴采用不锈钢。风动百叶应采用连杆式机构，风动百叶片厚度应为</w:t>
      </w:r>
      <w:r>
        <w:rPr>
          <w:rFonts w:eastAsiaTheme="minorEastAsia"/>
          <w:color w:val="000000" w:themeColor="text1"/>
          <w:sz w:val="24"/>
          <w:szCs w:val="24"/>
          <w14:textFill>
            <w14:solidFill>
              <w14:schemeClr w14:val="tx1"/>
            </w14:solidFill>
          </w14:textFill>
        </w:rPr>
        <w:t>1mm</w:t>
      </w:r>
      <w:r>
        <w:rPr>
          <w:rFonts w:hint="eastAsia" w:eastAsiaTheme="minorEastAsia"/>
          <w:color w:val="000000" w:themeColor="text1"/>
          <w:sz w:val="24"/>
          <w:szCs w:val="24"/>
          <w14:textFill>
            <w14:solidFill>
              <w14:schemeClr w14:val="tx1"/>
            </w14:solidFill>
          </w14:textFill>
        </w:rPr>
        <w:t>，风口框架厚度应为</w:t>
      </w:r>
      <w:r>
        <w:rPr>
          <w:rFonts w:eastAsiaTheme="minorEastAsia"/>
          <w:color w:val="000000" w:themeColor="text1"/>
          <w:sz w:val="24"/>
          <w:szCs w:val="24"/>
          <w14:textFill>
            <w14:solidFill>
              <w14:schemeClr w14:val="tx1"/>
            </w14:solidFill>
          </w14:textFill>
        </w:rPr>
        <w:t>2mm</w:t>
      </w:r>
      <w:r>
        <w:rPr>
          <w:rFonts w:hint="eastAsia" w:eastAsiaTheme="minorEastAsia"/>
          <w:color w:val="000000" w:themeColor="text1"/>
          <w:sz w:val="24"/>
          <w:szCs w:val="24"/>
          <w14:textFill>
            <w14:solidFill>
              <w14:schemeClr w14:val="tx1"/>
            </w14:solidFill>
          </w14:textFill>
        </w:rPr>
        <w:t>。</w:t>
      </w:r>
    </w:p>
    <w:p w14:paraId="7B005C7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4.2.6..20</w:t>
      </w:r>
      <w:r>
        <w:rPr>
          <w:rFonts w:hint="eastAsia" w:eastAsiaTheme="minorEastAsia"/>
          <w:color w:val="000000" w:themeColor="text1"/>
          <w:sz w:val="24"/>
          <w:szCs w:val="24"/>
          <w14:textFill>
            <w14:solidFill>
              <w14:schemeClr w14:val="tx1"/>
            </w14:solidFill>
          </w14:textFill>
        </w:rPr>
        <w:t>所有风机均需要在其服务的对应房间内配置就地控制箱或启停开关。</w:t>
      </w:r>
    </w:p>
    <w:p w14:paraId="11AF12CF">
      <w:pPr>
        <w:pStyle w:val="3"/>
      </w:pPr>
    </w:p>
    <w:p w14:paraId="53C57F90">
      <w:pPr>
        <w:pStyle w:val="121"/>
        <w:numPr>
          <w:ilvl w:val="2"/>
          <w:numId w:val="5"/>
        </w:numPr>
        <w:snapToGrid w:val="0"/>
        <w:spacing w:line="480" w:lineRule="atLeast"/>
        <w:ind w:left="0" w:firstLine="482" w:firstLineChars="200"/>
        <w:outlineLvl w:val="2"/>
        <w:rPr>
          <w:rFonts w:eastAsiaTheme="minorEastAsia"/>
          <w:color w:val="000000" w:themeColor="text1"/>
          <w:szCs w:val="24"/>
          <w14:textFill>
            <w14:solidFill>
              <w14:schemeClr w14:val="tx1"/>
            </w14:solidFill>
          </w14:textFill>
        </w:rPr>
      </w:pPr>
      <w:bookmarkStart w:id="557" w:name="_Toc279850393"/>
      <w:bookmarkStart w:id="558" w:name="_Toc279850806"/>
      <w:r>
        <w:rPr>
          <w:rFonts w:hint="eastAsia" w:eastAsiaTheme="minorEastAsia"/>
          <w:color w:val="000000" w:themeColor="text1"/>
          <w:szCs w:val="24"/>
          <w14:textFill>
            <w14:solidFill>
              <w14:schemeClr w14:val="tx1"/>
            </w14:solidFill>
          </w14:textFill>
        </w:rPr>
        <w:t>箱式离心风机</w:t>
      </w:r>
      <w:bookmarkEnd w:id="557"/>
      <w:bookmarkEnd w:id="558"/>
    </w:p>
    <w:p w14:paraId="6175A3D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4.2.7.1</w:t>
      </w:r>
      <w:r>
        <w:rPr>
          <w:rFonts w:hint="eastAsia" w:eastAsiaTheme="minorEastAsia"/>
          <w:color w:val="000000" w:themeColor="text1"/>
          <w:sz w:val="24"/>
          <w:szCs w:val="24"/>
          <w14:textFill>
            <w14:solidFill>
              <w14:schemeClr w14:val="tx1"/>
            </w14:solidFill>
          </w14:textFill>
        </w:rPr>
        <w:t>箱体式风机所配置的风机及电机与箱体之间的连接应采取可靠的减振措施。</w:t>
      </w:r>
    </w:p>
    <w:p w14:paraId="791C3C4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4.2.7.2</w:t>
      </w:r>
      <w:r>
        <w:rPr>
          <w:rFonts w:hint="eastAsia" w:eastAsiaTheme="minorEastAsia"/>
          <w:color w:val="000000" w:themeColor="text1"/>
          <w:sz w:val="24"/>
          <w:szCs w:val="24"/>
          <w14:textFill>
            <w14:solidFill>
              <w14:schemeClr w14:val="tx1"/>
            </w14:solidFill>
          </w14:textFill>
        </w:rPr>
        <w:t>箱式离心风机箱箱体要采用复合或双层优质镀锌钢板，内夹吸（隔）声材料的方式进行消声处理。要求内层的穿孔板由厚度不小于</w:t>
      </w:r>
      <w:r>
        <w:rPr>
          <w:rFonts w:eastAsiaTheme="minorEastAsia"/>
          <w:color w:val="000000" w:themeColor="text1"/>
          <w:sz w:val="24"/>
          <w:szCs w:val="24"/>
          <w14:textFill>
            <w14:solidFill>
              <w14:schemeClr w14:val="tx1"/>
            </w14:solidFill>
          </w14:textFill>
        </w:rPr>
        <w:t>1.0mm</w:t>
      </w:r>
      <w:r>
        <w:rPr>
          <w:rFonts w:hint="eastAsia" w:eastAsiaTheme="minorEastAsia"/>
          <w:color w:val="000000" w:themeColor="text1"/>
          <w:sz w:val="24"/>
          <w:szCs w:val="24"/>
          <w14:textFill>
            <w14:solidFill>
              <w14:schemeClr w14:val="tx1"/>
            </w14:solidFill>
          </w14:textFill>
        </w:rPr>
        <w:t>的镀锌钢板制成，吸（隔）声材料采用难燃</w:t>
      </w:r>
      <w:r>
        <w:rPr>
          <w:rFonts w:eastAsiaTheme="minorEastAsia"/>
          <w:color w:val="000000" w:themeColor="text1"/>
          <w:sz w:val="24"/>
          <w:szCs w:val="24"/>
          <w14:textFill>
            <w14:solidFill>
              <w14:schemeClr w14:val="tx1"/>
            </w14:solidFill>
          </w14:textFill>
        </w:rPr>
        <w:t>B1</w:t>
      </w:r>
      <w:r>
        <w:rPr>
          <w:rFonts w:hint="eastAsia" w:eastAsiaTheme="minorEastAsia"/>
          <w:color w:val="000000" w:themeColor="text1"/>
          <w:sz w:val="24"/>
          <w:szCs w:val="24"/>
          <w14:textFill>
            <w14:solidFill>
              <w14:schemeClr w14:val="tx1"/>
            </w14:solidFill>
          </w14:textFill>
        </w:rPr>
        <w:t>超级细离心玻璃棉板（毡）或认可的其他材料。外层镀锌钢板的厚度不小于</w:t>
      </w:r>
      <w:r>
        <w:rPr>
          <w:rFonts w:eastAsiaTheme="minorEastAsia"/>
          <w:color w:val="000000" w:themeColor="text1"/>
          <w:sz w:val="24"/>
          <w:szCs w:val="24"/>
          <w14:textFill>
            <w14:solidFill>
              <w14:schemeClr w14:val="tx1"/>
            </w14:solidFill>
          </w14:textFill>
        </w:rPr>
        <w:t>1.0mm</w:t>
      </w:r>
      <w:r>
        <w:rPr>
          <w:rFonts w:hint="eastAsia" w:eastAsiaTheme="minorEastAsia"/>
          <w:color w:val="000000" w:themeColor="text1"/>
          <w:sz w:val="24"/>
          <w:szCs w:val="24"/>
          <w14:textFill>
            <w14:solidFill>
              <w14:schemeClr w14:val="tx1"/>
            </w14:solidFill>
          </w14:textFill>
        </w:rPr>
        <w:t>。内粘吸（隔）声材料要采用整板下料，严禁使用碎料填充。</w:t>
      </w:r>
    </w:p>
    <w:p w14:paraId="4B42998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4.2.7.3</w:t>
      </w:r>
      <w:r>
        <w:rPr>
          <w:rFonts w:hint="eastAsia" w:eastAsiaTheme="minorEastAsia"/>
          <w:color w:val="000000" w:themeColor="text1"/>
          <w:sz w:val="24"/>
          <w:szCs w:val="24"/>
          <w14:textFill>
            <w14:solidFill>
              <w14:schemeClr w14:val="tx1"/>
            </w14:solidFill>
          </w14:textFill>
        </w:rPr>
        <w:t>如风机的进风口直径大于</w:t>
      </w:r>
      <w:r>
        <w:rPr>
          <w:rFonts w:eastAsiaTheme="minorEastAsia"/>
          <w:color w:val="000000" w:themeColor="text1"/>
          <w:sz w:val="24"/>
          <w:szCs w:val="24"/>
          <w14:textFill>
            <w14:solidFill>
              <w14:schemeClr w14:val="tx1"/>
            </w14:solidFill>
          </w14:textFill>
        </w:rPr>
        <w:t>300mm</w:t>
      </w:r>
      <w:r>
        <w:rPr>
          <w:rFonts w:hint="eastAsia" w:eastAsiaTheme="minorEastAsia"/>
          <w:color w:val="000000" w:themeColor="text1"/>
          <w:sz w:val="24"/>
          <w:szCs w:val="24"/>
          <w14:textFill>
            <w14:solidFill>
              <w14:schemeClr w14:val="tx1"/>
            </w14:solidFill>
          </w14:textFill>
        </w:rPr>
        <w:t>时，在风机外壳上应加设一适合清理及维修用的检修门。风机的进、出风口须配有接驳风管及柔接头的法兰。</w:t>
      </w:r>
    </w:p>
    <w:p w14:paraId="762C62F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4.2.7.</w:t>
      </w:r>
      <w:r>
        <w:rPr>
          <w:rFonts w:eastAsiaTheme="minorEastAsia"/>
          <w:color w:val="000000" w:themeColor="text1"/>
          <w:sz w:val="24"/>
          <w:szCs w:val="24"/>
          <w14:textFill>
            <w14:solidFill>
              <w14:schemeClr w14:val="tx1"/>
            </w14:solidFill>
          </w14:textFill>
        </w:rPr>
        <w:t>4</w:t>
      </w:r>
      <w:r>
        <w:rPr>
          <w:rFonts w:hint="eastAsia" w:eastAsiaTheme="minorEastAsia"/>
          <w:color w:val="000000" w:themeColor="text1"/>
          <w:sz w:val="24"/>
          <w:szCs w:val="24"/>
          <w14:textFill>
            <w14:solidFill>
              <w14:schemeClr w14:val="tx1"/>
            </w14:solidFill>
          </w14:textFill>
        </w:rPr>
        <w:t>风机效率不应低于现行国家标准《通风机能效限定值及能效等级》GB 19761规定的通风机能效等级的2级。</w:t>
      </w:r>
    </w:p>
    <w:p w14:paraId="5508F9E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4.2.7.5</w:t>
      </w:r>
      <w:r>
        <w:rPr>
          <w:rFonts w:hint="eastAsia" w:eastAsiaTheme="minorEastAsia"/>
          <w:color w:val="000000" w:themeColor="text1"/>
          <w:sz w:val="24"/>
          <w:szCs w:val="24"/>
          <w14:textFill>
            <w14:solidFill>
              <w14:schemeClr w14:val="tx1"/>
            </w14:solidFill>
          </w14:textFill>
        </w:rPr>
        <w:t>配套的电动机应满足以下要求：</w:t>
      </w:r>
    </w:p>
    <w:p w14:paraId="54680AA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电动机应能够在</w:t>
      </w:r>
      <w:r>
        <w:rPr>
          <w:rFonts w:eastAsiaTheme="minorEastAsia"/>
          <w:color w:val="000000" w:themeColor="text1"/>
          <w:sz w:val="24"/>
          <w:szCs w:val="24"/>
          <w14:textFill>
            <w14:solidFill>
              <w14:schemeClr w14:val="tx1"/>
            </w14:solidFill>
          </w14:textFill>
        </w:rPr>
        <w:t>80</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110%</w:t>
      </w:r>
      <w:r>
        <w:rPr>
          <w:rFonts w:hint="eastAsia" w:eastAsiaTheme="minorEastAsia"/>
          <w:color w:val="000000" w:themeColor="text1"/>
          <w:sz w:val="24"/>
          <w:szCs w:val="24"/>
          <w14:textFill>
            <w14:solidFill>
              <w14:schemeClr w14:val="tx1"/>
            </w14:solidFill>
          </w14:textFill>
        </w:rPr>
        <w:t>的额定工作电压和</w:t>
      </w:r>
      <w:r>
        <w:rPr>
          <w:rFonts w:eastAsiaTheme="minorEastAsia"/>
          <w:color w:val="000000" w:themeColor="text1"/>
          <w:sz w:val="24"/>
          <w:szCs w:val="24"/>
          <w14:textFill>
            <w14:solidFill>
              <w14:schemeClr w14:val="tx1"/>
            </w14:solidFill>
          </w14:textFill>
        </w:rPr>
        <w:t>50Hz±2.5%</w:t>
      </w:r>
      <w:r>
        <w:rPr>
          <w:rFonts w:hint="eastAsia" w:eastAsiaTheme="minorEastAsia"/>
          <w:color w:val="000000" w:themeColor="text1"/>
          <w:sz w:val="24"/>
          <w:szCs w:val="24"/>
          <w14:textFill>
            <w14:solidFill>
              <w14:schemeClr w14:val="tx1"/>
            </w14:solidFill>
          </w14:textFill>
        </w:rPr>
        <w:t>的额定工作频率的范围内正常运行，并符合《</w:t>
      </w:r>
      <w:r>
        <w:fldChar w:fldCharType="begin"/>
      </w:r>
      <w:r>
        <w:instrText xml:space="preserve"> HYPERLINK "http://bzinfo:830/page/tbsbrowser.cbs?urlname=tbss%3A%2F%2FOUrFGKEJo9%2F9sSlnpLlYov20LrBzcNsDgutcB3tkR7O08%2DhG5zoxbdz25Ph9dthLZeFoKZkHOgYtWrS%2FZH5o7I4ZQ%2DsTgksBM17JmQEST%2DJGPDq2EcClA6qfd6x%2FCZyv3pikPToCNHSFLgH3KgQBPqgPhjPAUG6QUanTXsz12aegjo9BFzbpE7DHcsNZHolXL18jcSxfXckWn3UrgboZFbxj85G78Sd%2FjfqgFLNDHNj6SBAlPqsOa4442cmxHR7I" \t "_blank" </w:instrText>
      </w:r>
      <w:r>
        <w:fldChar w:fldCharType="separate"/>
      </w:r>
      <w:r>
        <w:rPr>
          <w:rFonts w:hint="eastAsia" w:eastAsiaTheme="minorEastAsia"/>
          <w:color w:val="000000" w:themeColor="text1"/>
          <w:sz w:val="24"/>
          <w:szCs w:val="24"/>
          <w14:textFill>
            <w14:solidFill>
              <w14:schemeClr w14:val="tx1"/>
            </w14:solidFill>
          </w14:textFill>
        </w:rPr>
        <w:t>旋转电机</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定额和性能</w:t>
      </w:r>
      <w:r>
        <w:rPr>
          <w:rFonts w:hint="eastAsia" w:eastAsiaTheme="minorEastAsia"/>
          <w:color w:val="000000" w:themeColor="text1"/>
          <w:sz w:val="24"/>
          <w:szCs w:val="24"/>
          <w14:textFill>
            <w14:solidFill>
              <w14:schemeClr w14:val="tx1"/>
            </w14:solidFill>
          </w14:textFill>
        </w:rPr>
        <w:fldChar w:fldCharType="end"/>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GB/T 755</w:t>
      </w:r>
      <w:r>
        <w:rPr>
          <w:rFonts w:hint="eastAsia" w:eastAsiaTheme="minorEastAsia"/>
          <w:color w:val="000000" w:themeColor="text1"/>
          <w:sz w:val="24"/>
          <w:szCs w:val="24"/>
          <w14:textFill>
            <w14:solidFill>
              <w14:schemeClr w14:val="tx1"/>
            </w14:solidFill>
          </w14:textFill>
        </w:rPr>
        <w:t>）和《小功率电动机</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第</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部分：通用技术条件》（</w:t>
      </w:r>
      <w:r>
        <w:rPr>
          <w:rFonts w:eastAsiaTheme="minorEastAsia"/>
          <w:color w:val="000000" w:themeColor="text1"/>
          <w:sz w:val="24"/>
          <w:szCs w:val="24"/>
          <w14:textFill>
            <w14:solidFill>
              <w14:schemeClr w14:val="tx1"/>
            </w14:solidFill>
          </w14:textFill>
        </w:rPr>
        <w:t>GB/T 5171.1</w:t>
      </w:r>
      <w:r>
        <w:rPr>
          <w:rFonts w:hint="eastAsia" w:eastAsiaTheme="minorEastAsia"/>
          <w:color w:val="000000" w:themeColor="text1"/>
          <w:sz w:val="24"/>
          <w:szCs w:val="24"/>
          <w14:textFill>
            <w14:solidFill>
              <w14:schemeClr w14:val="tx1"/>
            </w14:solidFill>
          </w14:textFill>
        </w:rPr>
        <w:t>）。</w:t>
      </w:r>
    </w:p>
    <w:p w14:paraId="366D8C8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额定功率小于或者等于</w:t>
      </w:r>
      <w:r>
        <w:rPr>
          <w:rFonts w:eastAsiaTheme="minorEastAsia"/>
          <w:color w:val="000000" w:themeColor="text1"/>
          <w:sz w:val="24"/>
          <w:szCs w:val="24"/>
          <w14:textFill>
            <w14:solidFill>
              <w14:schemeClr w14:val="tx1"/>
            </w14:solidFill>
          </w14:textFill>
        </w:rPr>
        <w:t>15kW</w:t>
      </w:r>
      <w:r>
        <w:rPr>
          <w:rFonts w:hint="eastAsia" w:eastAsiaTheme="minorEastAsia"/>
          <w:color w:val="000000" w:themeColor="text1"/>
          <w:sz w:val="24"/>
          <w:szCs w:val="24"/>
          <w14:textFill>
            <w14:solidFill>
              <w14:schemeClr w14:val="tx1"/>
            </w14:solidFill>
          </w14:textFill>
        </w:rPr>
        <w:t>的小型电动机，应采用等级为</w:t>
      </w:r>
      <w:r>
        <w:rPr>
          <w:rFonts w:eastAsiaTheme="minorEastAsia"/>
          <w:color w:val="000000" w:themeColor="text1"/>
          <w:sz w:val="24"/>
          <w:szCs w:val="24"/>
          <w14:textFill>
            <w14:solidFill>
              <w14:schemeClr w14:val="tx1"/>
            </w14:solidFill>
          </w14:textFill>
        </w:rPr>
        <w:t>IP55</w:t>
      </w:r>
      <w:r>
        <w:rPr>
          <w:rFonts w:hint="eastAsia" w:eastAsiaTheme="minorEastAsia"/>
          <w:color w:val="000000" w:themeColor="text1"/>
          <w:sz w:val="24"/>
          <w:szCs w:val="24"/>
          <w14:textFill>
            <w14:solidFill>
              <w14:schemeClr w14:val="tx1"/>
            </w14:solidFill>
          </w14:textFill>
        </w:rPr>
        <w:t>的全封闭式风冷型。</w:t>
      </w:r>
    </w:p>
    <w:p w14:paraId="23B5B59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电机应有</w:t>
      </w:r>
      <w:r>
        <w:rPr>
          <w:rFonts w:eastAsiaTheme="minorEastAsia"/>
          <w:color w:val="000000" w:themeColor="text1"/>
          <w:sz w:val="24"/>
          <w:szCs w:val="24"/>
          <w14:textFill>
            <w14:solidFill>
              <w14:schemeClr w14:val="tx1"/>
            </w14:solidFill>
          </w14:textFill>
        </w:rPr>
        <w:t>B</w:t>
      </w:r>
      <w:r>
        <w:rPr>
          <w:rFonts w:hint="eastAsia" w:eastAsiaTheme="minorEastAsia"/>
          <w:color w:val="000000" w:themeColor="text1"/>
          <w:sz w:val="24"/>
          <w:szCs w:val="24"/>
          <w14:textFill>
            <w14:solidFill>
              <w14:schemeClr w14:val="tx1"/>
            </w14:solidFill>
          </w14:textFill>
        </w:rPr>
        <w:t>级绝缘等级。在周围环境温度为</w:t>
      </w:r>
      <w:r>
        <w:rPr>
          <w:rFonts w:eastAsiaTheme="minorEastAsia"/>
          <w:color w:val="000000" w:themeColor="text1"/>
          <w:sz w:val="24"/>
          <w:szCs w:val="24"/>
          <w14:textFill>
            <w14:solidFill>
              <w14:schemeClr w14:val="tx1"/>
            </w14:solidFill>
          </w14:textFill>
        </w:rPr>
        <w:t>40</w:t>
      </w:r>
      <w:r>
        <w:rPr>
          <w:rFonts w:hint="eastAsia" w:eastAsiaTheme="minorEastAsia"/>
          <w:color w:val="000000" w:themeColor="text1"/>
          <w:sz w:val="24"/>
          <w:szCs w:val="24"/>
          <w14:textFill>
            <w14:solidFill>
              <w14:schemeClr w14:val="tx1"/>
            </w14:solidFill>
          </w14:textFill>
        </w:rPr>
        <w:t>℃时，</w:t>
      </w:r>
      <w:r>
        <w:rPr>
          <w:rFonts w:eastAsiaTheme="minorEastAsia"/>
          <w:color w:val="000000" w:themeColor="text1"/>
          <w:sz w:val="24"/>
          <w:szCs w:val="24"/>
          <w14:textFill>
            <w14:solidFill>
              <w14:schemeClr w14:val="tx1"/>
            </w14:solidFill>
          </w14:textFill>
        </w:rPr>
        <w:t>B</w:t>
      </w:r>
      <w:r>
        <w:rPr>
          <w:rFonts w:hint="eastAsia" w:eastAsiaTheme="minorEastAsia"/>
          <w:color w:val="000000" w:themeColor="text1"/>
          <w:sz w:val="24"/>
          <w:szCs w:val="24"/>
          <w14:textFill>
            <w14:solidFill>
              <w14:schemeClr w14:val="tx1"/>
            </w14:solidFill>
          </w14:textFill>
        </w:rPr>
        <w:t>级绝缘等级的电动机的温升不超过</w:t>
      </w:r>
      <w:r>
        <w:rPr>
          <w:rFonts w:eastAsiaTheme="minorEastAsia"/>
          <w:color w:val="000000" w:themeColor="text1"/>
          <w:sz w:val="24"/>
          <w:szCs w:val="24"/>
          <w14:textFill>
            <w14:solidFill>
              <w14:schemeClr w14:val="tx1"/>
            </w14:solidFill>
          </w14:textFill>
        </w:rPr>
        <w:t>80</w:t>
      </w:r>
      <w:r>
        <w:rPr>
          <w:rFonts w:hint="eastAsia" w:eastAsiaTheme="minorEastAsia"/>
          <w:color w:val="000000" w:themeColor="text1"/>
          <w:sz w:val="24"/>
          <w:szCs w:val="24"/>
          <w14:textFill>
            <w14:solidFill>
              <w14:schemeClr w14:val="tx1"/>
            </w14:solidFill>
          </w14:textFill>
        </w:rPr>
        <w:t>℃。</w:t>
      </w:r>
    </w:p>
    <w:p w14:paraId="0D036C4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电动机的轴承结构应该是密封的，能够隔绝污物和水，并不使润滑剂进入线圈，其使用年限不少于</w:t>
      </w:r>
      <w:r>
        <w:rPr>
          <w:rFonts w:eastAsiaTheme="minorEastAsia"/>
          <w:color w:val="000000" w:themeColor="text1"/>
          <w:sz w:val="24"/>
          <w:szCs w:val="24"/>
          <w14:textFill>
            <w14:solidFill>
              <w14:schemeClr w14:val="tx1"/>
            </w14:solidFill>
          </w14:textFill>
        </w:rPr>
        <w:t>15</w:t>
      </w:r>
      <w:r>
        <w:rPr>
          <w:rFonts w:hint="eastAsia" w:eastAsiaTheme="minorEastAsia"/>
          <w:color w:val="000000" w:themeColor="text1"/>
          <w:sz w:val="24"/>
          <w:szCs w:val="24"/>
          <w14:textFill>
            <w14:solidFill>
              <w14:schemeClr w14:val="tx1"/>
            </w14:solidFill>
          </w14:textFill>
        </w:rPr>
        <w:t>年。</w:t>
      </w:r>
    </w:p>
    <w:p w14:paraId="575E534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所有风机均需要在其服务的对应房间内配置就地控制箱或启停开关。</w:t>
      </w:r>
    </w:p>
    <w:p w14:paraId="7665CB13">
      <w:pPr>
        <w:pStyle w:val="3"/>
      </w:pPr>
    </w:p>
    <w:p w14:paraId="43F37F07">
      <w:pPr>
        <w:pStyle w:val="121"/>
        <w:numPr>
          <w:ilvl w:val="2"/>
          <w:numId w:val="5"/>
        </w:numPr>
        <w:snapToGrid w:val="0"/>
        <w:spacing w:line="480" w:lineRule="atLeast"/>
        <w:ind w:left="0" w:firstLine="482" w:firstLineChars="200"/>
        <w:outlineLvl w:val="2"/>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铝合金百叶窗</w:t>
      </w:r>
      <w:bookmarkEnd w:id="540"/>
    </w:p>
    <w:p w14:paraId="6F5D005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59" w:name="_Toc389231127"/>
      <w:r>
        <w:rPr>
          <w:rFonts w:eastAsiaTheme="minorEastAsia"/>
          <w:color w:val="000000" w:themeColor="text1"/>
          <w:sz w:val="24"/>
          <w:szCs w:val="24"/>
          <w14:textFill>
            <w14:solidFill>
              <w14:schemeClr w14:val="tx1"/>
            </w14:solidFill>
          </w14:textFill>
        </w:rPr>
        <w:t xml:space="preserve">4.2.8.1  </w:t>
      </w:r>
      <w:r>
        <w:rPr>
          <w:rFonts w:hint="eastAsia" w:eastAsiaTheme="minorEastAsia"/>
          <w:color w:val="000000" w:themeColor="text1"/>
          <w:sz w:val="24"/>
          <w:szCs w:val="24"/>
          <w14:textFill>
            <w14:solidFill>
              <w14:schemeClr w14:val="tx1"/>
            </w14:solidFill>
          </w14:textFill>
        </w:rPr>
        <w:t>百叶窗的设计和制造应符合国家有关的技术规范和标准。</w:t>
      </w:r>
    </w:p>
    <w:p w14:paraId="5DE1F5E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4.2.8.2 </w:t>
      </w:r>
      <w:r>
        <w:rPr>
          <w:rFonts w:hint="eastAsia" w:eastAsiaTheme="minorEastAsia"/>
          <w:color w:val="000000" w:themeColor="text1"/>
          <w:sz w:val="24"/>
          <w:szCs w:val="24"/>
          <w14:textFill>
            <w14:solidFill>
              <w14:schemeClr w14:val="tx1"/>
            </w14:solidFill>
          </w14:textFill>
        </w:rPr>
        <w:t>投标方提供的百叶窗必须满足招标方提出的各项性能参数要求，并且能够在当地的室外气象条件下正常运行</w:t>
      </w:r>
      <w:r>
        <w:rPr>
          <w:rFonts w:eastAsiaTheme="minorEastAsia"/>
          <w:color w:val="000000" w:themeColor="text1"/>
          <w:sz w:val="24"/>
          <w:szCs w:val="24"/>
          <w14:textFill>
            <w14:solidFill>
              <w14:schemeClr w14:val="tx1"/>
            </w14:solidFill>
          </w14:textFill>
        </w:rPr>
        <w:t>15</w:t>
      </w:r>
      <w:r>
        <w:rPr>
          <w:rFonts w:hint="eastAsia" w:eastAsiaTheme="minorEastAsia"/>
          <w:color w:val="000000" w:themeColor="text1"/>
          <w:sz w:val="24"/>
          <w:szCs w:val="24"/>
          <w14:textFill>
            <w14:solidFill>
              <w14:schemeClr w14:val="tx1"/>
            </w14:solidFill>
          </w14:textFill>
        </w:rPr>
        <w:t>年。防雨叶片（或非防雨百叶片）及框架应由高强度稀土铝合金型材制作，型材需经过时效氧化处理。</w:t>
      </w:r>
    </w:p>
    <w:p w14:paraId="40A4382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4.2.8.3  </w:t>
      </w:r>
      <w:r>
        <w:rPr>
          <w:rFonts w:hint="eastAsia" w:eastAsiaTheme="minorEastAsia"/>
          <w:color w:val="000000" w:themeColor="text1"/>
          <w:sz w:val="24"/>
          <w:szCs w:val="24"/>
          <w14:textFill>
            <w14:solidFill>
              <w14:schemeClr w14:val="tx1"/>
            </w14:solidFill>
          </w14:textFill>
        </w:rPr>
        <w:t>防雨叶片应为流线型以减小进风阻力，叶片及框架的表面应平整、光洁和具有防腐性。每个调节叶片的轴向长度不大于</w:t>
      </w:r>
      <w:r>
        <w:rPr>
          <w:rFonts w:eastAsiaTheme="minorEastAsia"/>
          <w:color w:val="000000" w:themeColor="text1"/>
          <w:sz w:val="24"/>
          <w:szCs w:val="24"/>
          <w14:textFill>
            <w14:solidFill>
              <w14:schemeClr w14:val="tx1"/>
            </w14:solidFill>
          </w14:textFill>
        </w:rPr>
        <w:t>1500mm</w:t>
      </w:r>
      <w:r>
        <w:rPr>
          <w:rFonts w:hint="eastAsia" w:eastAsiaTheme="minorEastAsia"/>
          <w:color w:val="000000" w:themeColor="text1"/>
          <w:sz w:val="24"/>
          <w:szCs w:val="24"/>
          <w14:textFill>
            <w14:solidFill>
              <w14:schemeClr w14:val="tx1"/>
            </w14:solidFill>
          </w14:textFill>
        </w:rPr>
        <w:t>。</w:t>
      </w:r>
    </w:p>
    <w:p w14:paraId="7709F1D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4.2.8.4  </w:t>
      </w:r>
      <w:r>
        <w:rPr>
          <w:rFonts w:hint="eastAsia" w:eastAsiaTheme="minorEastAsia"/>
          <w:color w:val="000000" w:themeColor="text1"/>
          <w:sz w:val="24"/>
          <w:szCs w:val="24"/>
          <w14:textFill>
            <w14:solidFill>
              <w14:schemeClr w14:val="tx1"/>
            </w14:solidFill>
          </w14:textFill>
        </w:rPr>
        <w:t>百叶窗需设计合适的安装方式并配备所有必需的安装件。</w:t>
      </w:r>
    </w:p>
    <w:p w14:paraId="539003F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4.2.8.5  </w:t>
      </w:r>
      <w:r>
        <w:rPr>
          <w:rFonts w:hint="eastAsia" w:eastAsiaTheme="minorEastAsia"/>
          <w:color w:val="000000" w:themeColor="text1"/>
          <w:sz w:val="24"/>
          <w:szCs w:val="24"/>
          <w14:textFill>
            <w14:solidFill>
              <w14:schemeClr w14:val="tx1"/>
            </w14:solidFill>
          </w14:textFill>
        </w:rPr>
        <w:t>单层铝合金防雨百叶窗应该包括防雨百叶、外框、防虫网、安装附件。防虫网设置在百叶窗内侧。</w:t>
      </w:r>
    </w:p>
    <w:p w14:paraId="56F44D5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4.2.8.6  </w:t>
      </w:r>
      <w:r>
        <w:rPr>
          <w:rFonts w:hint="eastAsia" w:eastAsiaTheme="minorEastAsia"/>
          <w:color w:val="000000" w:themeColor="text1"/>
          <w:sz w:val="24"/>
          <w:szCs w:val="24"/>
          <w14:textFill>
            <w14:solidFill>
              <w14:schemeClr w14:val="tx1"/>
            </w14:solidFill>
          </w14:textFill>
        </w:rPr>
        <w:t>单层铝合金防雨百叶窗（带过滤）应该包括防雨百叶、外框、铝合金风口过滤器、安装附件。铝合金风口过滤器采用铝合金薄板经过成网加工后叠合而成，两侧外层网板材厚度为</w:t>
      </w:r>
      <w:r>
        <w:rPr>
          <w:rFonts w:eastAsiaTheme="minorEastAsia"/>
          <w:color w:val="000000" w:themeColor="text1"/>
          <w:sz w:val="24"/>
          <w:szCs w:val="24"/>
          <w14:textFill>
            <w14:solidFill>
              <w14:schemeClr w14:val="tx1"/>
            </w14:solidFill>
          </w14:textFill>
        </w:rPr>
        <w:t>0.4mm</w:t>
      </w:r>
      <w:r>
        <w:rPr>
          <w:rFonts w:hint="eastAsia" w:eastAsiaTheme="minorEastAsia"/>
          <w:color w:val="000000" w:themeColor="text1"/>
          <w:sz w:val="24"/>
          <w:szCs w:val="24"/>
          <w14:textFill>
            <w14:solidFill>
              <w14:schemeClr w14:val="tx1"/>
            </w14:solidFill>
          </w14:textFill>
        </w:rPr>
        <w:t>，并制成瓦楞状，内层网用</w:t>
      </w:r>
      <w:r>
        <w:rPr>
          <w:rFonts w:eastAsiaTheme="minorEastAsia"/>
          <w:color w:val="000000" w:themeColor="text1"/>
          <w:sz w:val="24"/>
          <w:szCs w:val="24"/>
          <w14:textFill>
            <w14:solidFill>
              <w14:schemeClr w14:val="tx1"/>
            </w14:solidFill>
          </w14:textFill>
        </w:rPr>
        <w:t>0.05mm</w:t>
      </w:r>
      <w:r>
        <w:rPr>
          <w:rFonts w:hint="eastAsia" w:eastAsiaTheme="minorEastAsia"/>
          <w:color w:val="000000" w:themeColor="text1"/>
          <w:sz w:val="24"/>
          <w:szCs w:val="24"/>
          <w14:textFill>
            <w14:solidFill>
              <w14:schemeClr w14:val="tx1"/>
            </w14:solidFill>
          </w14:textFill>
        </w:rPr>
        <w:t>厚铝箔网经过纵横多层叠合而成，过滤器厚度不应小于</w:t>
      </w:r>
      <w:r>
        <w:rPr>
          <w:rFonts w:eastAsiaTheme="minorEastAsia"/>
          <w:color w:val="000000" w:themeColor="text1"/>
          <w:sz w:val="24"/>
          <w:szCs w:val="24"/>
          <w14:textFill>
            <w14:solidFill>
              <w14:schemeClr w14:val="tx1"/>
            </w14:solidFill>
          </w14:textFill>
        </w:rPr>
        <w:t>19mm</w:t>
      </w:r>
      <w:r>
        <w:rPr>
          <w:rFonts w:hint="eastAsia" w:eastAsiaTheme="minorEastAsia"/>
          <w:color w:val="000000" w:themeColor="text1"/>
          <w:sz w:val="24"/>
          <w:szCs w:val="24"/>
          <w14:textFill>
            <w14:solidFill>
              <w14:schemeClr w14:val="tx1"/>
            </w14:solidFill>
          </w14:textFill>
        </w:rPr>
        <w:t>。过滤器应能方便拆卸清洗。</w:t>
      </w:r>
    </w:p>
    <w:p w14:paraId="7547775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4.2.8.7  </w:t>
      </w:r>
      <w:r>
        <w:rPr>
          <w:rFonts w:hint="eastAsia" w:eastAsiaTheme="minorEastAsia"/>
          <w:color w:val="000000" w:themeColor="text1"/>
          <w:sz w:val="24"/>
          <w:szCs w:val="24"/>
          <w14:textFill>
            <w14:solidFill>
              <w14:schemeClr w14:val="tx1"/>
            </w14:solidFill>
          </w14:textFill>
        </w:rPr>
        <w:t>铝合金防火百叶窗应该包括百叶片、外框、防火百叶叶片、熔断关闭机构、安装附件组成。</w:t>
      </w:r>
    </w:p>
    <w:p w14:paraId="51BB218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4.2.8.8  </w:t>
      </w:r>
      <w:r>
        <w:rPr>
          <w:rFonts w:hint="eastAsia" w:eastAsiaTheme="minorEastAsia"/>
          <w:color w:val="000000" w:themeColor="text1"/>
          <w:sz w:val="24"/>
          <w:szCs w:val="24"/>
          <w14:textFill>
            <w14:solidFill>
              <w14:schemeClr w14:val="tx1"/>
            </w14:solidFill>
          </w14:textFill>
        </w:rPr>
        <w:t>防雨百叶窗的过水量不应该超过</w:t>
      </w:r>
      <w:r>
        <w:rPr>
          <w:rFonts w:eastAsiaTheme="minorEastAsia"/>
          <w:color w:val="000000" w:themeColor="text1"/>
          <w:sz w:val="24"/>
          <w:szCs w:val="24"/>
          <w14:textFill>
            <w14:solidFill>
              <w14:schemeClr w14:val="tx1"/>
            </w14:solidFill>
          </w14:textFill>
        </w:rPr>
        <w:t>1.5g/kg</w:t>
      </w:r>
      <w:r>
        <w:rPr>
          <w:rFonts w:hint="eastAsia" w:eastAsiaTheme="minorEastAsia"/>
          <w:color w:val="000000" w:themeColor="text1"/>
          <w:sz w:val="24"/>
          <w:szCs w:val="24"/>
          <w14:textFill>
            <w14:solidFill>
              <w14:schemeClr w14:val="tx1"/>
            </w14:solidFill>
          </w14:textFill>
        </w:rPr>
        <w:t>（风速为</w:t>
      </w:r>
      <w:r>
        <w:rPr>
          <w:rFonts w:eastAsiaTheme="minorEastAsia"/>
          <w:color w:val="000000" w:themeColor="text1"/>
          <w:sz w:val="24"/>
          <w:szCs w:val="24"/>
          <w14:textFill>
            <w14:solidFill>
              <w14:schemeClr w14:val="tx1"/>
            </w14:solidFill>
          </w14:textFill>
        </w:rPr>
        <w:t>6m/s</w:t>
      </w:r>
      <w:r>
        <w:rPr>
          <w:rFonts w:hint="eastAsia" w:eastAsiaTheme="minorEastAsia"/>
          <w:color w:val="000000" w:themeColor="text1"/>
          <w:sz w:val="24"/>
          <w:szCs w:val="24"/>
          <w14:textFill>
            <w14:solidFill>
              <w14:schemeClr w14:val="tx1"/>
            </w14:solidFill>
          </w14:textFill>
        </w:rPr>
        <w:t>时）。</w:t>
      </w:r>
    </w:p>
    <w:p w14:paraId="1302CDF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4.2.8.9  </w:t>
      </w:r>
      <w:r>
        <w:rPr>
          <w:rFonts w:hint="eastAsia" w:eastAsiaTheme="minorEastAsia"/>
          <w:color w:val="000000" w:themeColor="text1"/>
          <w:sz w:val="24"/>
          <w:szCs w:val="24"/>
          <w14:textFill>
            <w14:solidFill>
              <w14:schemeClr w14:val="tx1"/>
            </w14:solidFill>
          </w14:textFill>
        </w:rPr>
        <w:t>所有百叶窗有效面积系数不小于</w:t>
      </w:r>
      <w:r>
        <w:rPr>
          <w:rFonts w:eastAsiaTheme="minorEastAsia"/>
          <w:color w:val="000000" w:themeColor="text1"/>
          <w:sz w:val="24"/>
          <w:szCs w:val="24"/>
          <w14:textFill>
            <w14:solidFill>
              <w14:schemeClr w14:val="tx1"/>
            </w14:solidFill>
          </w14:textFill>
        </w:rPr>
        <w:t>0.6</w:t>
      </w:r>
      <w:r>
        <w:rPr>
          <w:rFonts w:hint="eastAsia" w:eastAsiaTheme="minorEastAsia"/>
          <w:color w:val="000000" w:themeColor="text1"/>
          <w:sz w:val="24"/>
          <w:szCs w:val="24"/>
          <w14:textFill>
            <w14:solidFill>
              <w14:schemeClr w14:val="tx1"/>
            </w14:solidFill>
          </w14:textFill>
        </w:rPr>
        <w:t>。</w:t>
      </w:r>
    </w:p>
    <w:p w14:paraId="6DA3D82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4.2.8.10  </w:t>
      </w:r>
      <w:r>
        <w:rPr>
          <w:rFonts w:hint="eastAsia" w:eastAsiaTheme="minorEastAsia"/>
          <w:color w:val="000000" w:themeColor="text1"/>
          <w:sz w:val="24"/>
          <w:szCs w:val="24"/>
          <w14:textFill>
            <w14:solidFill>
              <w14:schemeClr w14:val="tx1"/>
            </w14:solidFill>
          </w14:textFill>
        </w:rPr>
        <w:t>铝合金防火百叶窗的铝合金框架耐火极限不得低于</w:t>
      </w:r>
      <w:r>
        <w:rPr>
          <w:rFonts w:eastAsiaTheme="minorEastAsia"/>
          <w:color w:val="000000" w:themeColor="text1"/>
          <w:sz w:val="24"/>
          <w:szCs w:val="24"/>
          <w14:textFill>
            <w14:solidFill>
              <w14:schemeClr w14:val="tx1"/>
            </w14:solidFill>
          </w14:textFill>
        </w:rPr>
        <w:t>1.5h</w:t>
      </w:r>
      <w:r>
        <w:rPr>
          <w:rFonts w:hint="eastAsia" w:eastAsiaTheme="minorEastAsia"/>
          <w:color w:val="000000" w:themeColor="text1"/>
          <w:sz w:val="24"/>
          <w:szCs w:val="24"/>
          <w14:textFill>
            <w14:solidFill>
              <w14:schemeClr w14:val="tx1"/>
            </w14:solidFill>
          </w14:textFill>
        </w:rPr>
        <w:t>，防火百叶片的耐火极限不得低于</w:t>
      </w:r>
      <w:r>
        <w:rPr>
          <w:rFonts w:eastAsiaTheme="minorEastAsia"/>
          <w:color w:val="000000" w:themeColor="text1"/>
          <w:sz w:val="24"/>
          <w:szCs w:val="24"/>
          <w14:textFill>
            <w14:solidFill>
              <w14:schemeClr w14:val="tx1"/>
            </w14:solidFill>
          </w14:textFill>
        </w:rPr>
        <w:t>3h</w:t>
      </w:r>
      <w:r>
        <w:rPr>
          <w:rFonts w:hint="eastAsia" w:eastAsiaTheme="minorEastAsia"/>
          <w:color w:val="000000" w:themeColor="text1"/>
          <w:sz w:val="24"/>
          <w:szCs w:val="24"/>
          <w14:textFill>
            <w14:solidFill>
              <w14:schemeClr w14:val="tx1"/>
            </w14:solidFill>
          </w14:textFill>
        </w:rPr>
        <w:t>。其它百叶窗耐火极限不得低于</w:t>
      </w:r>
      <w:r>
        <w:rPr>
          <w:rFonts w:eastAsiaTheme="minorEastAsia"/>
          <w:color w:val="000000" w:themeColor="text1"/>
          <w:sz w:val="24"/>
          <w:szCs w:val="24"/>
          <w14:textFill>
            <w14:solidFill>
              <w14:schemeClr w14:val="tx1"/>
            </w14:solidFill>
          </w14:textFill>
        </w:rPr>
        <w:t>0.5h</w:t>
      </w:r>
      <w:r>
        <w:rPr>
          <w:rFonts w:hint="eastAsia" w:eastAsiaTheme="minorEastAsia"/>
          <w:color w:val="000000" w:themeColor="text1"/>
          <w:sz w:val="24"/>
          <w:szCs w:val="24"/>
          <w14:textFill>
            <w14:solidFill>
              <w14:schemeClr w14:val="tx1"/>
            </w14:solidFill>
          </w14:textFill>
        </w:rPr>
        <w:t>。</w:t>
      </w:r>
    </w:p>
    <w:p w14:paraId="41A8AAE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4.2.8.11  </w:t>
      </w:r>
      <w:r>
        <w:rPr>
          <w:rFonts w:hint="eastAsia" w:eastAsiaTheme="minorEastAsia"/>
          <w:color w:val="000000" w:themeColor="text1"/>
          <w:sz w:val="24"/>
          <w:szCs w:val="24"/>
          <w14:textFill>
            <w14:solidFill>
              <w14:schemeClr w14:val="tx1"/>
            </w14:solidFill>
          </w14:textFill>
        </w:rPr>
        <w:t>外墙上安装的百叶窗应进行喷塑处理，表面涂层颜色应与控制楼压型钢板外墙色标一致。</w:t>
      </w:r>
    </w:p>
    <w:p w14:paraId="7EB0820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4.2.8.12  </w:t>
      </w:r>
      <w:r>
        <w:rPr>
          <w:rFonts w:hint="eastAsia" w:eastAsiaTheme="minorEastAsia"/>
          <w:color w:val="000000" w:themeColor="text1"/>
          <w:sz w:val="24"/>
          <w:szCs w:val="24"/>
          <w14:textFill>
            <w14:solidFill>
              <w14:schemeClr w14:val="tx1"/>
            </w14:solidFill>
          </w14:textFill>
        </w:rPr>
        <w:t>百叶窗材质厚度要求</w:t>
      </w:r>
    </w:p>
    <w:p w14:paraId="5479564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防雨叶片：不小于</w:t>
      </w:r>
      <w:r>
        <w:rPr>
          <w:rFonts w:eastAsiaTheme="minorEastAsia"/>
          <w:color w:val="000000" w:themeColor="text1"/>
          <w:sz w:val="24"/>
          <w:szCs w:val="24"/>
          <w14:textFill>
            <w14:solidFill>
              <w14:schemeClr w14:val="tx1"/>
            </w14:solidFill>
          </w14:textFill>
        </w:rPr>
        <w:t>2mm</w:t>
      </w:r>
    </w:p>
    <w:p w14:paraId="4DEEE47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框架：不小于</w:t>
      </w:r>
      <w:r>
        <w:rPr>
          <w:rFonts w:eastAsiaTheme="minorEastAsia"/>
          <w:color w:val="000000" w:themeColor="text1"/>
          <w:sz w:val="24"/>
          <w:szCs w:val="24"/>
          <w14:textFill>
            <w14:solidFill>
              <w14:schemeClr w14:val="tx1"/>
            </w14:solidFill>
          </w14:textFill>
        </w:rPr>
        <w:t>3mm</w:t>
      </w:r>
    </w:p>
    <w:p w14:paraId="60BE7AF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p>
    <w:p w14:paraId="067F8317">
      <w:pPr>
        <w:pStyle w:val="121"/>
        <w:numPr>
          <w:ilvl w:val="2"/>
          <w:numId w:val="5"/>
        </w:numPr>
        <w:snapToGrid w:val="0"/>
        <w:spacing w:line="480" w:lineRule="atLeast"/>
        <w:ind w:left="0" w:firstLine="482" w:firstLineChars="200"/>
        <w:outlineLvl w:val="2"/>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防火阀</w:t>
      </w:r>
      <w:bookmarkEnd w:id="559"/>
    </w:p>
    <w:p w14:paraId="64D4AF6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60" w:name="_Toc389231129"/>
      <w:r>
        <w:rPr>
          <w:rFonts w:eastAsiaTheme="minorEastAsia"/>
          <w:color w:val="000000" w:themeColor="text1"/>
          <w:sz w:val="24"/>
          <w:szCs w:val="24"/>
          <w14:textFill>
            <w14:solidFill>
              <w14:schemeClr w14:val="tx1"/>
            </w14:solidFill>
          </w14:textFill>
        </w:rPr>
        <w:t xml:space="preserve">4.2.9.1  </w:t>
      </w:r>
      <w:r>
        <w:rPr>
          <w:rFonts w:hint="eastAsia" w:eastAsiaTheme="minorEastAsia"/>
          <w:color w:val="000000" w:themeColor="text1"/>
          <w:sz w:val="24"/>
          <w:szCs w:val="24"/>
          <w14:textFill>
            <w14:solidFill>
              <w14:schemeClr w14:val="tx1"/>
            </w14:solidFill>
          </w14:textFill>
        </w:rPr>
        <w:t>防火阀的的设计和制造应符合国家有关的技术规范和标准。</w:t>
      </w:r>
    </w:p>
    <w:p w14:paraId="4E5A803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4.2.9.2  </w:t>
      </w:r>
      <w:r>
        <w:rPr>
          <w:rFonts w:hint="eastAsia" w:eastAsiaTheme="minorEastAsia"/>
          <w:color w:val="000000" w:themeColor="text1"/>
          <w:sz w:val="24"/>
          <w:szCs w:val="24"/>
          <w14:textFill>
            <w14:solidFill>
              <w14:schemeClr w14:val="tx1"/>
            </w14:solidFill>
          </w14:textFill>
        </w:rPr>
        <w:t>防火阀</w:t>
      </w:r>
      <w:r>
        <w:rPr>
          <w:rFonts w:eastAsiaTheme="minorEastAsia"/>
          <w:color w:val="000000" w:themeColor="text1"/>
          <w:sz w:val="24"/>
          <w:szCs w:val="24"/>
          <w14:textFill>
            <w14:solidFill>
              <w14:schemeClr w14:val="tx1"/>
            </w14:solidFill>
          </w14:textFill>
        </w:rPr>
        <w:t>70</w:t>
      </w:r>
      <w:r>
        <w:rPr>
          <w:rFonts w:hint="eastAsia" w:ascii="宋体" w:hAnsi="宋体" w:cs="宋体"/>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温度熔断关闭并输出阀门关闭信号。全自动防火阀</w:t>
      </w:r>
      <w:r>
        <w:rPr>
          <w:rFonts w:eastAsiaTheme="minorEastAsia"/>
          <w:color w:val="000000" w:themeColor="text1"/>
          <w:sz w:val="24"/>
          <w:szCs w:val="24"/>
          <w14:textFill>
            <w14:solidFill>
              <w14:schemeClr w14:val="tx1"/>
            </w14:solidFill>
          </w14:textFill>
        </w:rPr>
        <w:t>70</w:t>
      </w:r>
      <w:r>
        <w:rPr>
          <w:rFonts w:hint="eastAsia" w:ascii="宋体" w:hAnsi="宋体" w:cs="宋体"/>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温度熔断自动关闭，</w:t>
      </w:r>
      <w:r>
        <w:rPr>
          <w:rFonts w:eastAsiaTheme="minorEastAsia"/>
          <w:color w:val="000000" w:themeColor="text1"/>
          <w:sz w:val="24"/>
          <w:szCs w:val="24"/>
          <w14:textFill>
            <w14:solidFill>
              <w14:schemeClr w14:val="tx1"/>
            </w14:solidFill>
          </w14:textFill>
        </w:rPr>
        <w:t>DC24V</w:t>
      </w:r>
      <w:r>
        <w:rPr>
          <w:rFonts w:hint="eastAsia" w:eastAsiaTheme="minorEastAsia"/>
          <w:color w:val="000000" w:themeColor="text1"/>
          <w:sz w:val="24"/>
          <w:szCs w:val="24"/>
          <w14:textFill>
            <w14:solidFill>
              <w14:schemeClr w14:val="tx1"/>
            </w14:solidFill>
          </w14:textFill>
        </w:rPr>
        <w:t>电源关闭及复位，输出阀门关闭及开启动作信号，并具备接受消防火灾信号自动关闭及远程电信号开启功能。</w:t>
      </w:r>
    </w:p>
    <w:p w14:paraId="00F506B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4.2.9.3  </w:t>
      </w:r>
      <w:r>
        <w:rPr>
          <w:rFonts w:hint="eastAsia" w:eastAsiaTheme="minorEastAsia"/>
          <w:color w:val="000000" w:themeColor="text1"/>
          <w:sz w:val="24"/>
          <w:szCs w:val="24"/>
          <w14:textFill>
            <w14:solidFill>
              <w14:schemeClr w14:val="tx1"/>
            </w14:solidFill>
          </w14:textFill>
        </w:rPr>
        <w:t>排烟防火阀</w:t>
      </w:r>
      <w:r>
        <w:rPr>
          <w:rFonts w:eastAsiaTheme="minorEastAsia"/>
          <w:color w:val="000000" w:themeColor="text1"/>
          <w:sz w:val="24"/>
          <w:szCs w:val="24"/>
          <w14:textFill>
            <w14:solidFill>
              <w14:schemeClr w14:val="tx1"/>
            </w14:solidFill>
          </w14:textFill>
        </w:rPr>
        <w:t>280</w:t>
      </w:r>
      <w:r>
        <w:rPr>
          <w:rFonts w:hint="eastAsia" w:ascii="宋体" w:hAnsi="宋体" w:cs="宋体"/>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温度熔断关闭并输出阀门关闭信号。全自动排烟防火阀</w:t>
      </w:r>
      <w:r>
        <w:rPr>
          <w:rFonts w:eastAsiaTheme="minorEastAsia"/>
          <w:color w:val="000000" w:themeColor="text1"/>
          <w:sz w:val="24"/>
          <w:szCs w:val="24"/>
          <w14:textFill>
            <w14:solidFill>
              <w14:schemeClr w14:val="tx1"/>
            </w14:solidFill>
          </w14:textFill>
        </w:rPr>
        <w:t>280</w:t>
      </w:r>
      <w:r>
        <w:rPr>
          <w:rFonts w:hint="eastAsia" w:ascii="宋体" w:hAnsi="宋体" w:cs="宋体"/>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温度熔断自动关闭，</w:t>
      </w:r>
      <w:r>
        <w:rPr>
          <w:rFonts w:eastAsiaTheme="minorEastAsia"/>
          <w:color w:val="000000" w:themeColor="text1"/>
          <w:sz w:val="24"/>
          <w:szCs w:val="24"/>
          <w14:textFill>
            <w14:solidFill>
              <w14:schemeClr w14:val="tx1"/>
            </w14:solidFill>
          </w14:textFill>
        </w:rPr>
        <w:t>DC24V</w:t>
      </w:r>
      <w:r>
        <w:rPr>
          <w:rFonts w:hint="eastAsia" w:eastAsiaTheme="minorEastAsia"/>
          <w:color w:val="000000" w:themeColor="text1"/>
          <w:sz w:val="24"/>
          <w:szCs w:val="24"/>
          <w14:textFill>
            <w14:solidFill>
              <w14:schemeClr w14:val="tx1"/>
            </w14:solidFill>
          </w14:textFill>
        </w:rPr>
        <w:t>电源开启及复位，输出阀门开启及关闭动作信号，并具备接受消防火灾信号自动开启及远程电信号开启功能。</w:t>
      </w:r>
    </w:p>
    <w:p w14:paraId="530E3F7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4.2.9.4  </w:t>
      </w:r>
      <w:r>
        <w:rPr>
          <w:rFonts w:hint="eastAsia" w:eastAsiaTheme="minorEastAsia"/>
          <w:color w:val="000000" w:themeColor="text1"/>
          <w:sz w:val="24"/>
          <w:szCs w:val="24"/>
          <w14:textFill>
            <w14:solidFill>
              <w14:schemeClr w14:val="tx1"/>
            </w14:solidFill>
          </w14:textFill>
        </w:rPr>
        <w:t>阀门各零部件的表面均应作防腐，经处理的表面应光滑平整，无划伤、裂纹和压伤，涂层应牢固，不允许有剥落，漏漆。流淌等缺陷。紧固件不应出现松动，损伤。防火百叶窗内外涂两层防锈底漆，涂一层防火漆。</w:t>
      </w:r>
    </w:p>
    <w:p w14:paraId="64A5948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4.2.9.5  </w:t>
      </w:r>
      <w:r>
        <w:rPr>
          <w:rFonts w:hint="eastAsia" w:eastAsiaTheme="minorEastAsia"/>
          <w:color w:val="000000" w:themeColor="text1"/>
          <w:sz w:val="24"/>
          <w:szCs w:val="24"/>
          <w14:textFill>
            <w14:solidFill>
              <w14:schemeClr w14:val="tx1"/>
            </w14:solidFill>
          </w14:textFill>
        </w:rPr>
        <w:t>阀门的焊缝表面应光滑，平整，不允许有孔，夹渣，疏松等缺陷。</w:t>
      </w:r>
    </w:p>
    <w:p w14:paraId="39A458E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4.2.9.</w:t>
      </w:r>
      <w:r>
        <w:rPr>
          <w:rFonts w:eastAsiaTheme="minorEastAsia"/>
          <w:color w:val="000000" w:themeColor="text1"/>
          <w:sz w:val="24"/>
          <w:szCs w:val="24"/>
          <w14:textFill>
            <w14:solidFill>
              <w14:schemeClr w14:val="tx1"/>
            </w14:solidFill>
          </w14:textFill>
        </w:rPr>
        <w:t xml:space="preserve">6  </w:t>
      </w:r>
      <w:r>
        <w:rPr>
          <w:rFonts w:hint="eastAsia" w:eastAsiaTheme="minorEastAsia"/>
          <w:color w:val="000000" w:themeColor="text1"/>
          <w:sz w:val="24"/>
          <w:szCs w:val="24"/>
          <w14:textFill>
            <w14:solidFill>
              <w14:schemeClr w14:val="tx1"/>
            </w14:solidFill>
          </w14:textFill>
        </w:rPr>
        <w:t>防爆型防火阀除应符合上述技术要求外，其本体（应有防止阀关闭时摩擦产生火星的措施）及执行机构应为本安型（并具有防爆合格证）。防爆型防火阀的电动执行机构的防爆等级应为ExiaIICT1。</w:t>
      </w:r>
    </w:p>
    <w:p w14:paraId="559BF50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4.2.9.</w:t>
      </w:r>
      <w:r>
        <w:rPr>
          <w:rFonts w:eastAsiaTheme="minorEastAsia"/>
          <w:color w:val="000000" w:themeColor="text1"/>
          <w:sz w:val="24"/>
          <w:szCs w:val="24"/>
          <w14:textFill>
            <w14:solidFill>
              <w14:schemeClr w14:val="tx1"/>
            </w14:solidFill>
          </w14:textFill>
        </w:rPr>
        <w:t xml:space="preserve">7 </w:t>
      </w:r>
      <w:r>
        <w:rPr>
          <w:rFonts w:hint="eastAsia" w:eastAsiaTheme="minorEastAsia"/>
          <w:color w:val="000000" w:themeColor="text1"/>
          <w:sz w:val="24"/>
          <w:szCs w:val="24"/>
          <w14:textFill>
            <w14:solidFill>
              <w14:schemeClr w14:val="tx1"/>
            </w14:solidFill>
          </w14:textFill>
        </w:rPr>
        <w:t>直径或长边尺寸大于或等于630mm的防火阀，应设独立支、吊架。</w:t>
      </w:r>
    </w:p>
    <w:p w14:paraId="3F40756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p>
    <w:p w14:paraId="26E4F99D">
      <w:pPr>
        <w:pStyle w:val="121"/>
        <w:numPr>
          <w:ilvl w:val="2"/>
          <w:numId w:val="5"/>
        </w:numPr>
        <w:snapToGrid w:val="0"/>
        <w:spacing w:line="480" w:lineRule="atLeast"/>
        <w:ind w:left="0" w:firstLine="482" w:firstLineChars="200"/>
        <w:outlineLvl w:val="2"/>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风管、风口及阀门</w:t>
      </w:r>
      <w:bookmarkEnd w:id="560"/>
    </w:p>
    <w:p w14:paraId="3948C5E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4.2.10.1  </w:t>
      </w:r>
      <w:r>
        <w:rPr>
          <w:rFonts w:hint="eastAsia" w:eastAsiaTheme="minorEastAsia"/>
          <w:color w:val="000000" w:themeColor="text1"/>
          <w:sz w:val="24"/>
          <w:szCs w:val="24"/>
          <w14:textFill>
            <w14:solidFill>
              <w14:schemeClr w14:val="tx1"/>
            </w14:solidFill>
          </w14:textFill>
        </w:rPr>
        <w:t>风管要求采用工厂加工机制风管，不得人工现场加工制作。风管采用镀锌钢板折边、咬口等工序制成，板的最小厚度不小于</w:t>
      </w:r>
      <w:r>
        <w:rPr>
          <w:rFonts w:eastAsiaTheme="minorEastAsia"/>
          <w:color w:val="000000" w:themeColor="text1"/>
          <w:sz w:val="24"/>
          <w:szCs w:val="24"/>
          <w14:textFill>
            <w14:solidFill>
              <w14:schemeClr w14:val="tx1"/>
            </w14:solidFill>
          </w14:textFill>
        </w:rPr>
        <w:t>0.75mm</w:t>
      </w:r>
      <w:r>
        <w:rPr>
          <w:rFonts w:hint="eastAsia" w:eastAsiaTheme="minorEastAsia"/>
          <w:color w:val="000000" w:themeColor="text1"/>
          <w:sz w:val="24"/>
          <w:szCs w:val="24"/>
          <w14:textFill>
            <w14:solidFill>
              <w14:schemeClr w14:val="tx1"/>
            </w14:solidFill>
          </w14:textFill>
        </w:rPr>
        <w:t>。风管系统应是包括法兰、螺栓、垫片、螺帽以及调节阀门、弯头、变径管、软接头、检查门及支吊架等所组成的一个完整的系统。风管及其保温材料均为不燃型。</w:t>
      </w:r>
    </w:p>
    <w:p w14:paraId="37DD7F9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4.2.10.2  </w:t>
      </w:r>
      <w:r>
        <w:rPr>
          <w:rFonts w:hint="eastAsia" w:eastAsiaTheme="minorEastAsia"/>
          <w:color w:val="000000" w:themeColor="text1"/>
          <w:sz w:val="24"/>
          <w:szCs w:val="24"/>
          <w14:textFill>
            <w14:solidFill>
              <w14:schemeClr w14:val="tx1"/>
            </w14:solidFill>
          </w14:textFill>
        </w:rPr>
        <w:t>风管的尺寸按照设计图纸确定，风管用板材厚度、加强肋等要求和加工制作应符合国家有关标准和规范的要求，重点应执行《通风与空调工程施工质量验收规范》</w:t>
      </w:r>
      <w:r>
        <w:rPr>
          <w:rFonts w:eastAsiaTheme="minorEastAsia"/>
          <w:color w:val="000000" w:themeColor="text1"/>
          <w:sz w:val="24"/>
          <w:szCs w:val="24"/>
          <w14:textFill>
            <w14:solidFill>
              <w14:schemeClr w14:val="tx1"/>
            </w14:solidFill>
          </w14:textFill>
        </w:rPr>
        <w:t>GB50243</w:t>
      </w:r>
      <w:r>
        <w:rPr>
          <w:rFonts w:hint="eastAsia" w:eastAsiaTheme="minorEastAsia"/>
          <w:color w:val="000000" w:themeColor="text1"/>
          <w:sz w:val="24"/>
          <w:szCs w:val="24"/>
          <w14:textFill>
            <w14:solidFill>
              <w14:schemeClr w14:val="tx1"/>
            </w14:solidFill>
          </w14:textFill>
        </w:rPr>
        <w:t>及《建筑防烟排烟系统技术标准》（</w:t>
      </w:r>
      <w:r>
        <w:rPr>
          <w:rFonts w:eastAsiaTheme="minorEastAsia"/>
          <w:color w:val="000000" w:themeColor="text1"/>
          <w:sz w:val="24"/>
          <w:szCs w:val="24"/>
          <w14:textFill>
            <w14:solidFill>
              <w14:schemeClr w14:val="tx1"/>
            </w14:solidFill>
          </w14:textFill>
        </w:rPr>
        <w:t>GB 51251</w:t>
      </w:r>
      <w:r>
        <w:rPr>
          <w:rFonts w:hint="eastAsia" w:eastAsiaTheme="minorEastAsia"/>
          <w:color w:val="000000" w:themeColor="text1"/>
          <w:sz w:val="24"/>
          <w:szCs w:val="24"/>
          <w14:textFill>
            <w14:solidFill>
              <w14:schemeClr w14:val="tx1"/>
            </w14:solidFill>
          </w14:textFill>
        </w:rPr>
        <w:t>）。风管内外壁必须光滑，无孔隙</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无凹陷</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无折皱或凸起，所有接缝必须整洁</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方正</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所有锐棱必须清除，风管连接和支撑后不得有噪声和振动。风管的漏风率应小于</w:t>
      </w: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w:t>
      </w:r>
    </w:p>
    <w:p w14:paraId="4774BF0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4.2.10.3  </w:t>
      </w:r>
      <w:r>
        <w:rPr>
          <w:rFonts w:hint="eastAsia" w:eastAsiaTheme="minorEastAsia"/>
          <w:color w:val="000000" w:themeColor="text1"/>
          <w:sz w:val="24"/>
          <w:szCs w:val="24"/>
          <w14:textFill>
            <w14:solidFill>
              <w14:schemeClr w14:val="tx1"/>
            </w14:solidFill>
          </w14:textFill>
        </w:rPr>
        <w:t>空调风管的保温材料应为不燃型超细玻璃棉板材，导热系数不大于</w:t>
      </w:r>
      <w:r>
        <w:rPr>
          <w:rFonts w:eastAsiaTheme="minorEastAsia"/>
          <w:color w:val="000000" w:themeColor="text1"/>
          <w:sz w:val="24"/>
          <w:szCs w:val="24"/>
          <w14:textFill>
            <w14:solidFill>
              <w14:schemeClr w14:val="tx1"/>
            </w14:solidFill>
          </w14:textFill>
        </w:rPr>
        <w:t>0.030W/</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m.K</w:t>
      </w:r>
      <w:r>
        <w:rPr>
          <w:rFonts w:hint="eastAsia" w:eastAsiaTheme="minorEastAsia"/>
          <w:color w:val="000000" w:themeColor="text1"/>
          <w:sz w:val="24"/>
          <w:szCs w:val="24"/>
          <w14:textFill>
            <w14:solidFill>
              <w14:schemeClr w14:val="tx1"/>
            </w14:solidFill>
          </w14:textFill>
        </w:rPr>
        <w:t>），室外风管保温厚度</w:t>
      </w:r>
      <w:r>
        <w:rPr>
          <w:rFonts w:eastAsiaTheme="minorEastAsia"/>
          <w:color w:val="000000" w:themeColor="text1"/>
          <w:sz w:val="24"/>
          <w:szCs w:val="24"/>
          <w14:textFill>
            <w14:solidFill>
              <w14:schemeClr w14:val="tx1"/>
            </w14:solidFill>
          </w14:textFill>
        </w:rPr>
        <w:t>50mm</w:t>
      </w:r>
      <w:r>
        <w:rPr>
          <w:rFonts w:hint="eastAsia" w:eastAsiaTheme="minorEastAsia"/>
          <w:color w:val="000000" w:themeColor="text1"/>
          <w:sz w:val="24"/>
          <w:szCs w:val="24"/>
          <w14:textFill>
            <w14:solidFill>
              <w14:schemeClr w14:val="tx1"/>
            </w14:solidFill>
          </w14:textFill>
        </w:rPr>
        <w:t>，保温层外表面需用厚度为</w:t>
      </w:r>
      <w:r>
        <w:rPr>
          <w:rFonts w:eastAsiaTheme="minorEastAsia"/>
          <w:color w:val="000000" w:themeColor="text1"/>
          <w:sz w:val="24"/>
          <w:szCs w:val="24"/>
          <w14:textFill>
            <w14:solidFill>
              <w14:schemeClr w14:val="tx1"/>
            </w14:solidFill>
          </w14:textFill>
        </w:rPr>
        <w:t>1.0mm</w:t>
      </w:r>
      <w:r>
        <w:rPr>
          <w:rFonts w:hint="eastAsia" w:eastAsiaTheme="minorEastAsia"/>
          <w:color w:val="000000" w:themeColor="text1"/>
          <w:sz w:val="24"/>
          <w:szCs w:val="24"/>
          <w14:textFill>
            <w14:solidFill>
              <w14:schemeClr w14:val="tx1"/>
            </w14:solidFill>
          </w14:textFill>
        </w:rPr>
        <w:t>的铝板作保护层，搭接处应设置在风管下部，搭接长度应大于</w:t>
      </w:r>
      <w:r>
        <w:rPr>
          <w:rFonts w:eastAsiaTheme="minorEastAsia"/>
          <w:color w:val="000000" w:themeColor="text1"/>
          <w:sz w:val="24"/>
          <w:szCs w:val="24"/>
          <w14:textFill>
            <w14:solidFill>
              <w14:schemeClr w14:val="tx1"/>
            </w14:solidFill>
          </w14:textFill>
        </w:rPr>
        <w:t>20mm</w:t>
      </w:r>
      <w:r>
        <w:rPr>
          <w:rFonts w:hint="eastAsia" w:eastAsiaTheme="minorEastAsia"/>
          <w:color w:val="000000" w:themeColor="text1"/>
          <w:sz w:val="24"/>
          <w:szCs w:val="24"/>
          <w14:textFill>
            <w14:solidFill>
              <w14:schemeClr w14:val="tx1"/>
            </w14:solidFill>
          </w14:textFill>
        </w:rPr>
        <w:t>；室内风管保温厚度</w:t>
      </w:r>
      <w:r>
        <w:rPr>
          <w:rFonts w:eastAsiaTheme="minorEastAsia"/>
          <w:color w:val="000000" w:themeColor="text1"/>
          <w:sz w:val="24"/>
          <w:szCs w:val="24"/>
          <w14:textFill>
            <w14:solidFill>
              <w14:schemeClr w14:val="tx1"/>
            </w14:solidFill>
          </w14:textFill>
        </w:rPr>
        <w:t>30mm</w:t>
      </w:r>
      <w:r>
        <w:rPr>
          <w:rFonts w:hint="eastAsia" w:eastAsiaTheme="minorEastAsia"/>
          <w:color w:val="000000" w:themeColor="text1"/>
          <w:sz w:val="24"/>
          <w:szCs w:val="24"/>
          <w14:textFill>
            <w14:solidFill>
              <w14:schemeClr w14:val="tx1"/>
            </w14:solidFill>
          </w14:textFill>
        </w:rPr>
        <w:t>，风管使用时外表面不得有结露现象。</w:t>
      </w:r>
    </w:p>
    <w:p w14:paraId="64D1ADC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4.2.10.4  </w:t>
      </w:r>
      <w:r>
        <w:rPr>
          <w:rFonts w:hint="eastAsia" w:eastAsiaTheme="minorEastAsia"/>
          <w:color w:val="000000" w:themeColor="text1"/>
          <w:sz w:val="24"/>
          <w:szCs w:val="24"/>
          <w14:textFill>
            <w14:solidFill>
              <w14:schemeClr w14:val="tx1"/>
            </w14:solidFill>
          </w14:textFill>
        </w:rPr>
        <w:t>空调新风管及送回风管需要保温。</w:t>
      </w:r>
    </w:p>
    <w:p w14:paraId="5B04D8F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4.2.10.5  </w:t>
      </w:r>
      <w:r>
        <w:rPr>
          <w:rFonts w:hint="eastAsia" w:eastAsiaTheme="minorEastAsia"/>
          <w:color w:val="000000" w:themeColor="text1"/>
          <w:sz w:val="24"/>
          <w:szCs w:val="24"/>
          <w14:textFill>
            <w14:solidFill>
              <w14:schemeClr w14:val="tx1"/>
            </w14:solidFill>
          </w14:textFill>
        </w:rPr>
        <w:t>风管联接方式及技术要求需满足《通风与空调工程施工质量验收规范》</w:t>
      </w:r>
      <w:r>
        <w:rPr>
          <w:rFonts w:eastAsiaTheme="minorEastAsia"/>
          <w:color w:val="000000" w:themeColor="text1"/>
          <w:sz w:val="24"/>
          <w:szCs w:val="24"/>
          <w14:textFill>
            <w14:solidFill>
              <w14:schemeClr w14:val="tx1"/>
            </w14:solidFill>
          </w14:textFill>
        </w:rPr>
        <w:t>GB50243</w:t>
      </w:r>
      <w:r>
        <w:rPr>
          <w:rFonts w:hint="eastAsia" w:eastAsiaTheme="minorEastAsia"/>
          <w:color w:val="000000" w:themeColor="text1"/>
          <w:sz w:val="24"/>
          <w:szCs w:val="24"/>
          <w14:textFill>
            <w14:solidFill>
              <w14:schemeClr w14:val="tx1"/>
            </w14:solidFill>
          </w14:textFill>
        </w:rPr>
        <w:t>及《建筑防烟排烟系统技术标准》（</w:t>
      </w:r>
      <w:r>
        <w:rPr>
          <w:rFonts w:eastAsiaTheme="minorEastAsia"/>
          <w:color w:val="000000" w:themeColor="text1"/>
          <w:sz w:val="24"/>
          <w:szCs w:val="24"/>
          <w14:textFill>
            <w14:solidFill>
              <w14:schemeClr w14:val="tx1"/>
            </w14:solidFill>
          </w14:textFill>
        </w:rPr>
        <w:t>GB 51251</w:t>
      </w:r>
      <w:r>
        <w:rPr>
          <w:rFonts w:hint="eastAsia" w:eastAsiaTheme="minorEastAsia"/>
          <w:color w:val="000000" w:themeColor="text1"/>
          <w:sz w:val="24"/>
          <w:szCs w:val="24"/>
          <w14:textFill>
            <w14:solidFill>
              <w14:schemeClr w14:val="tx1"/>
            </w14:solidFill>
          </w14:textFill>
        </w:rPr>
        <w:t>）要求，当风管采用共板法兰连接，风管法兰之间的连接螺栓采用高强度不锈钢螺栓；。</w:t>
      </w:r>
    </w:p>
    <w:p w14:paraId="6404CA4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4.2.10.6  </w:t>
      </w:r>
      <w:r>
        <w:rPr>
          <w:rFonts w:hint="eastAsia" w:eastAsiaTheme="minorEastAsia"/>
          <w:color w:val="000000" w:themeColor="text1"/>
          <w:sz w:val="24"/>
          <w:szCs w:val="24"/>
          <w14:textFill>
            <w14:solidFill>
              <w14:schemeClr w14:val="tx1"/>
            </w14:solidFill>
          </w14:textFill>
        </w:rPr>
        <w:t>风管道需按设计要求在适当位置设置清扫口，清扫口尺寸视风管尺寸确定。</w:t>
      </w:r>
    </w:p>
    <w:p w14:paraId="26D20A3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4.2.10.7  </w:t>
      </w:r>
      <w:r>
        <w:rPr>
          <w:rFonts w:hint="eastAsia" w:eastAsiaTheme="minorEastAsia"/>
          <w:color w:val="000000" w:themeColor="text1"/>
          <w:sz w:val="24"/>
          <w:szCs w:val="24"/>
          <w14:textFill>
            <w14:solidFill>
              <w14:schemeClr w14:val="tx1"/>
            </w14:solidFill>
          </w14:textFill>
        </w:rPr>
        <w:t>风管支吊接全部采用热镀锌材料。</w:t>
      </w:r>
    </w:p>
    <w:p w14:paraId="62DEF82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4.2.10.8 </w:t>
      </w:r>
      <w:r>
        <w:rPr>
          <w:rFonts w:hint="eastAsia" w:eastAsiaTheme="minorEastAsia"/>
          <w:color w:val="000000" w:themeColor="text1"/>
          <w:sz w:val="24"/>
          <w:szCs w:val="24"/>
          <w14:textFill>
            <w14:solidFill>
              <w14:schemeClr w14:val="tx1"/>
            </w14:solidFill>
          </w14:textFill>
        </w:rPr>
        <w:t>除地面安装的送风格栅采用镀锌钢板材质外，其它风口和格栅采用铝合金材质制作，其制作应符合国家有关标准和规范的要求。阀厅内所有风口和格栅必须配置风量调节挡板，且操纵装置需设置在风口正面并方便操作。</w:t>
      </w:r>
    </w:p>
    <w:p w14:paraId="1EE3135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4.2.10.9 </w:t>
      </w:r>
      <w:r>
        <w:rPr>
          <w:rFonts w:hint="eastAsia" w:eastAsiaTheme="minorEastAsia"/>
          <w:color w:val="000000" w:themeColor="text1"/>
          <w:sz w:val="24"/>
          <w:szCs w:val="24"/>
          <w14:textFill>
            <w14:solidFill>
              <w14:schemeClr w14:val="tx1"/>
            </w14:solidFill>
          </w14:textFill>
        </w:rPr>
        <w:t>地面送风格栅应具有足够的强度，满足阀厅升降车通过要求。</w:t>
      </w:r>
    </w:p>
    <w:p w14:paraId="086AA1C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4.2.10.10 </w:t>
      </w:r>
      <w:r>
        <w:rPr>
          <w:rFonts w:hint="eastAsia" w:eastAsiaTheme="minorEastAsia"/>
          <w:color w:val="000000" w:themeColor="text1"/>
          <w:sz w:val="24"/>
          <w:szCs w:val="24"/>
          <w14:textFill>
            <w14:solidFill>
              <w14:schemeClr w14:val="tx1"/>
            </w14:solidFill>
          </w14:textFill>
        </w:rPr>
        <w:t>组合式空气处理机组及风管应根据要求预留火灾探测传感器接口。</w:t>
      </w:r>
    </w:p>
    <w:p w14:paraId="7DCD956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4.2.10.11 </w:t>
      </w:r>
      <w:r>
        <w:rPr>
          <w:rFonts w:hint="eastAsia" w:eastAsiaTheme="minorEastAsia"/>
          <w:color w:val="000000" w:themeColor="text1"/>
          <w:sz w:val="24"/>
          <w:szCs w:val="24"/>
          <w14:textFill>
            <w14:solidFill>
              <w14:schemeClr w14:val="tx1"/>
            </w14:solidFill>
          </w14:textFill>
        </w:rPr>
        <w:t>风管上用的软接管采用绿色维纶防火帆布</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难燃型，氧指数不小于</w:t>
      </w:r>
      <w:r>
        <w:rPr>
          <w:rFonts w:eastAsiaTheme="minorEastAsia"/>
          <w:color w:val="000000" w:themeColor="text1"/>
          <w:sz w:val="24"/>
          <w:szCs w:val="24"/>
          <w14:textFill>
            <w14:solidFill>
              <w14:schemeClr w14:val="tx1"/>
            </w14:solidFill>
          </w14:textFill>
        </w:rPr>
        <w:t>35</w:t>
      </w:r>
      <w:r>
        <w:rPr>
          <w:rFonts w:hint="eastAsia" w:eastAsiaTheme="minorEastAsia"/>
          <w:color w:val="000000" w:themeColor="text1"/>
          <w:sz w:val="24"/>
          <w:szCs w:val="24"/>
          <w14:textFill>
            <w14:solidFill>
              <w14:schemeClr w14:val="tx1"/>
            </w14:solidFill>
          </w14:textFill>
        </w:rPr>
        <w:t>；燃烧后炭化，不液滴；厚度不小于</w:t>
      </w:r>
      <w:r>
        <w:rPr>
          <w:rFonts w:eastAsiaTheme="minorEastAsia"/>
          <w:color w:val="000000" w:themeColor="text1"/>
          <w:sz w:val="24"/>
          <w:szCs w:val="24"/>
          <w14:textFill>
            <w14:solidFill>
              <w14:schemeClr w14:val="tx1"/>
            </w14:solidFill>
          </w14:textFill>
        </w:rPr>
        <w:t>0.40mm</w:t>
      </w:r>
      <w:r>
        <w:rPr>
          <w:rFonts w:hint="eastAsia" w:eastAsiaTheme="minorEastAsia"/>
          <w:color w:val="000000" w:themeColor="text1"/>
          <w:sz w:val="24"/>
          <w:szCs w:val="24"/>
          <w14:textFill>
            <w14:solidFill>
              <w14:schemeClr w14:val="tx1"/>
            </w14:solidFill>
          </w14:textFill>
        </w:rPr>
        <w:t>；常温下伸缩不小于</w:t>
      </w:r>
      <w:r>
        <w:rPr>
          <w:rFonts w:eastAsiaTheme="minorEastAsia"/>
          <w:color w:val="000000" w:themeColor="text1"/>
          <w:sz w:val="24"/>
          <w:szCs w:val="24"/>
          <w14:textFill>
            <w14:solidFill>
              <w14:schemeClr w14:val="tx1"/>
            </w14:solidFill>
          </w14:textFill>
        </w:rPr>
        <w:t>10000</w:t>
      </w:r>
      <w:r>
        <w:rPr>
          <w:rFonts w:hint="eastAsia" w:eastAsiaTheme="minorEastAsia"/>
          <w:color w:val="000000" w:themeColor="text1"/>
          <w:sz w:val="24"/>
          <w:szCs w:val="24"/>
          <w14:textFill>
            <w14:solidFill>
              <w14:schemeClr w14:val="tx1"/>
            </w14:solidFill>
          </w14:textFill>
        </w:rPr>
        <w:t>次。</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制作。</w:t>
      </w:r>
      <w:r>
        <w:rPr>
          <w:rFonts w:eastAsiaTheme="minorEastAsia"/>
          <w:color w:val="000000" w:themeColor="text1"/>
          <w:sz w:val="24"/>
          <w:szCs w:val="24"/>
          <w14:textFill>
            <w14:solidFill>
              <w14:schemeClr w14:val="tx1"/>
            </w14:solidFill>
          </w14:textFill>
        </w:rPr>
        <w:t xml:space="preserve">  </w:t>
      </w:r>
    </w:p>
    <w:p w14:paraId="52E9742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4.2.10.12 </w:t>
      </w:r>
      <w:r>
        <w:rPr>
          <w:rFonts w:hint="eastAsia" w:eastAsiaTheme="minorEastAsia"/>
          <w:color w:val="000000" w:themeColor="text1"/>
          <w:sz w:val="24"/>
          <w:szCs w:val="24"/>
          <w14:textFill>
            <w14:solidFill>
              <w14:schemeClr w14:val="tx1"/>
            </w14:solidFill>
          </w14:textFill>
        </w:rPr>
        <w:t>风管的法兰之间可采用厚</w:t>
      </w: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5mm</w:t>
      </w:r>
      <w:r>
        <w:rPr>
          <w:rFonts w:hint="eastAsia" w:eastAsiaTheme="minorEastAsia"/>
          <w:color w:val="000000" w:themeColor="text1"/>
          <w:sz w:val="24"/>
          <w:szCs w:val="24"/>
          <w14:textFill>
            <w14:solidFill>
              <w14:schemeClr w14:val="tx1"/>
            </w14:solidFill>
          </w14:textFill>
        </w:rPr>
        <w:t>的三元乙丙闭孔海绵橡胶板（</w:t>
      </w:r>
      <w:r>
        <w:rPr>
          <w:rFonts w:eastAsiaTheme="minorEastAsia"/>
          <w:color w:val="000000" w:themeColor="text1"/>
          <w:sz w:val="24"/>
          <w:szCs w:val="24"/>
          <w14:textFill>
            <w14:solidFill>
              <w14:schemeClr w14:val="tx1"/>
            </w14:solidFill>
          </w14:textFill>
        </w:rPr>
        <w:t>EPDM</w:t>
      </w:r>
      <w:r>
        <w:rPr>
          <w:rFonts w:hint="eastAsia" w:eastAsiaTheme="minorEastAsia"/>
          <w:color w:val="000000" w:themeColor="text1"/>
          <w:sz w:val="24"/>
          <w:szCs w:val="24"/>
          <w14:textFill>
            <w14:solidFill>
              <w14:schemeClr w14:val="tx1"/>
            </w14:solidFill>
          </w14:textFill>
        </w:rPr>
        <w:t>，难燃型）作密封垫圈。</w:t>
      </w:r>
    </w:p>
    <w:p w14:paraId="6119A6A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4.2.10.13</w:t>
      </w:r>
      <w:r>
        <w:rPr>
          <w:rFonts w:hint="eastAsia" w:eastAsiaTheme="minorEastAsia"/>
          <w:color w:val="000000" w:themeColor="text1"/>
          <w:sz w:val="24"/>
          <w:szCs w:val="24"/>
          <w14:textFill>
            <w14:solidFill>
              <w14:schemeClr w14:val="tx1"/>
            </w14:solidFill>
          </w14:textFill>
        </w:rPr>
        <w:t>当风管穿过需要封闭的防火、防爆的墙体或楼板时，必须设置厚度不小于1.6mm的钢制防护套管；风管与防护套管之间应采用不燃柔性材料封堵严密，不燃柔性材料宜为矿棉或岩棉；保护壳端面应与墙面平齐或略高，并有良好的接地。风管穿过防火隔墙、楼板和防火墙时，穿越处风管上的防火阀、排烟防火阀两侧各2．0m范围内的风管应采用耐火风管或风管外壁应采取防火保护措施，且耐火极限不应低于该防火分隔体的耐火极限。</w:t>
      </w:r>
    </w:p>
    <w:p w14:paraId="301B2E2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4.2.10.14 </w:t>
      </w:r>
      <w:r>
        <w:rPr>
          <w:rFonts w:hint="eastAsia" w:eastAsiaTheme="minorEastAsia"/>
          <w:color w:val="000000" w:themeColor="text1"/>
          <w:sz w:val="24"/>
          <w:szCs w:val="24"/>
          <w14:textFill>
            <w14:solidFill>
              <w14:schemeClr w14:val="tx1"/>
            </w14:solidFill>
          </w14:textFill>
        </w:rPr>
        <w:t>风量调节阀外框使用电镀钢板，机翼型叶片外包延展性铝材。驱动轴把手采用工程塑料制作，可以保证</w:t>
      </w:r>
      <w:r>
        <w:rPr>
          <w:rFonts w:eastAsiaTheme="minorEastAsia"/>
          <w:color w:val="000000" w:themeColor="text1"/>
          <w:sz w:val="24"/>
          <w:szCs w:val="24"/>
          <w14:textFill>
            <w14:solidFill>
              <w14:schemeClr w14:val="tx1"/>
            </w14:solidFill>
          </w14:textFill>
        </w:rPr>
        <w:t>80</w:t>
      </w:r>
      <w:r>
        <w:rPr>
          <w:rFonts w:hint="eastAsia" w:eastAsiaTheme="minorEastAsia"/>
          <w:color w:val="000000" w:themeColor="text1"/>
          <w:sz w:val="24"/>
          <w:szCs w:val="24"/>
          <w14:textFill>
            <w14:solidFill>
              <w14:schemeClr w14:val="tx1"/>
            </w14:solidFill>
          </w14:textFill>
        </w:rPr>
        <w:t>度条件下的正常使用。叶片通过</w:t>
      </w:r>
      <w:r>
        <w:rPr>
          <w:rFonts w:eastAsiaTheme="minorEastAsia"/>
          <w:color w:val="000000" w:themeColor="text1"/>
          <w:sz w:val="24"/>
          <w:szCs w:val="24"/>
          <w14:textFill>
            <w14:solidFill>
              <w14:schemeClr w14:val="tx1"/>
            </w14:solidFill>
          </w14:textFill>
        </w:rPr>
        <w:t>12*6mm</w:t>
      </w:r>
      <w:r>
        <w:rPr>
          <w:rFonts w:hint="eastAsia" w:eastAsiaTheme="minorEastAsia"/>
          <w:color w:val="000000" w:themeColor="text1"/>
          <w:sz w:val="24"/>
          <w:szCs w:val="24"/>
          <w14:textFill>
            <w14:solidFill>
              <w14:schemeClr w14:val="tx1"/>
            </w14:solidFill>
          </w14:textFill>
        </w:rPr>
        <w:t>的轴体与直径</w:t>
      </w:r>
      <w:r>
        <w:rPr>
          <w:rFonts w:eastAsiaTheme="minorEastAsia"/>
          <w:color w:val="000000" w:themeColor="text1"/>
          <w:sz w:val="24"/>
          <w:szCs w:val="24"/>
          <w14:textFill>
            <w14:solidFill>
              <w14:schemeClr w14:val="tx1"/>
            </w14:solidFill>
          </w14:textFill>
        </w:rPr>
        <w:t>12mm</w:t>
      </w:r>
      <w:r>
        <w:rPr>
          <w:rFonts w:hint="eastAsia" w:eastAsiaTheme="minorEastAsia"/>
          <w:color w:val="000000" w:themeColor="text1"/>
          <w:sz w:val="24"/>
          <w:szCs w:val="24"/>
          <w14:textFill>
            <w14:solidFill>
              <w14:schemeClr w14:val="tx1"/>
            </w14:solidFill>
          </w14:textFill>
        </w:rPr>
        <w:t>的驱动末端相连。叶片带有标准边部联动装置，保证对开动作。叶片顶端密封采用合成密封材料，可承受</w:t>
      </w:r>
      <w:r>
        <w:rPr>
          <w:rFonts w:eastAsiaTheme="minorEastAsia"/>
          <w:color w:val="000000" w:themeColor="text1"/>
          <w:sz w:val="24"/>
          <w:szCs w:val="24"/>
          <w14:textFill>
            <w14:solidFill>
              <w14:schemeClr w14:val="tx1"/>
            </w14:solidFill>
          </w14:textFill>
        </w:rPr>
        <w:t>90</w:t>
      </w:r>
      <w:r>
        <w:rPr>
          <w:rFonts w:hint="eastAsia" w:eastAsiaTheme="minorEastAsia"/>
          <w:color w:val="000000" w:themeColor="text1"/>
          <w:sz w:val="24"/>
          <w:szCs w:val="24"/>
          <w14:textFill>
            <w14:solidFill>
              <w14:schemeClr w14:val="tx1"/>
            </w14:solidFill>
          </w14:textFill>
        </w:rPr>
        <w:t>℃高温。驱动轴带有手动锁紧装置，防滑动。</w:t>
      </w:r>
    </w:p>
    <w:p w14:paraId="1DC5A38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4.2.10.15 </w:t>
      </w:r>
      <w:r>
        <w:rPr>
          <w:rFonts w:hint="eastAsia" w:eastAsiaTheme="minorEastAsia"/>
          <w:color w:val="000000" w:themeColor="text1"/>
          <w:sz w:val="24"/>
          <w:szCs w:val="24"/>
          <w14:textFill>
            <w14:solidFill>
              <w14:schemeClr w14:val="tx1"/>
            </w14:solidFill>
          </w14:textFill>
        </w:rPr>
        <w:t>所有风管道需在适当位置设置清扫口，清扫口尺寸为</w:t>
      </w:r>
      <w:r>
        <w:rPr>
          <w:rFonts w:eastAsiaTheme="minorEastAsia"/>
          <w:color w:val="000000" w:themeColor="text1"/>
          <w:sz w:val="24"/>
          <w:szCs w:val="24"/>
          <w14:textFill>
            <w14:solidFill>
              <w14:schemeClr w14:val="tx1"/>
            </w14:solidFill>
          </w14:textFill>
        </w:rPr>
        <w:t>400x400</w:t>
      </w:r>
      <w:r>
        <w:rPr>
          <w:rFonts w:hint="eastAsia" w:eastAsiaTheme="minorEastAsia"/>
          <w:color w:val="000000" w:themeColor="text1"/>
          <w:sz w:val="24"/>
          <w:szCs w:val="24"/>
          <w14:textFill>
            <w14:solidFill>
              <w14:schemeClr w14:val="tx1"/>
            </w14:solidFill>
          </w14:textFill>
        </w:rPr>
        <w:t>，或视风管尺寸确定大小。</w:t>
      </w:r>
    </w:p>
    <w:p w14:paraId="421FF97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4.2.10.16 </w:t>
      </w:r>
      <w:r>
        <w:rPr>
          <w:rFonts w:hint="eastAsia" w:eastAsiaTheme="minorEastAsia"/>
          <w:color w:val="000000" w:themeColor="text1"/>
          <w:sz w:val="24"/>
          <w:szCs w:val="24"/>
          <w14:textFill>
            <w14:solidFill>
              <w14:schemeClr w14:val="tx1"/>
            </w14:solidFill>
          </w14:textFill>
        </w:rPr>
        <w:t>风管消声器：消声器采用金属微穿孔板式，消声量不小于</w:t>
      </w:r>
      <w:r>
        <w:rPr>
          <w:rFonts w:eastAsiaTheme="minorEastAsia"/>
          <w:color w:val="000000" w:themeColor="text1"/>
          <w:sz w:val="24"/>
          <w:szCs w:val="24"/>
          <w14:textFill>
            <w14:solidFill>
              <w14:schemeClr w14:val="tx1"/>
            </w14:solidFill>
          </w14:textFill>
        </w:rPr>
        <w:t>15dB(A)</w:t>
      </w:r>
      <w:r>
        <w:rPr>
          <w:rFonts w:hint="eastAsia" w:eastAsiaTheme="minorEastAsia"/>
          <w:color w:val="000000" w:themeColor="text1"/>
          <w:sz w:val="24"/>
          <w:szCs w:val="24"/>
          <w14:textFill>
            <w14:solidFill>
              <w14:schemeClr w14:val="tx1"/>
            </w14:solidFill>
          </w14:textFill>
        </w:rPr>
        <w:t>。</w:t>
      </w:r>
    </w:p>
    <w:p w14:paraId="6DD34F5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4.2.10.17电动风量调节阀所配执行机构采用优质进口产品，执行机构参考采用博力谋金属外壳防雨型产品或其他同等品质产品。执行机构必须具有开关阀门所需要的足够的扭矩。</w:t>
      </w:r>
    </w:p>
    <w:p w14:paraId="5E986DF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4.2.10.18</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矩形消声弯管平面边长大于800mm时，应设置吸声导流片。</w:t>
      </w:r>
    </w:p>
    <w:p w14:paraId="18BE713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4.2.10.19</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镀锌钢板及含有各类复合保护层的钢板应采用咬口连接或铆接，不得采用焊接连接。</w:t>
      </w:r>
    </w:p>
    <w:p w14:paraId="56A53C6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4.2.10.20</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风管的密封应以板材连接的密封为主，也可采用密封胶嵌缝与其他方法。密封胶的性能应符合使用环境的要求，密封面宜设在风管的正压侧。</w:t>
      </w:r>
    </w:p>
    <w:p w14:paraId="5FB3232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p>
    <w:p w14:paraId="652D3B00">
      <w:pPr>
        <w:snapToGrid w:val="0"/>
        <w:spacing w:line="480" w:lineRule="atLeast"/>
        <w:rPr>
          <w:rFonts w:eastAsiaTheme="minorEastAsia"/>
          <w:color w:val="000000" w:themeColor="text1"/>
          <w:sz w:val="24"/>
          <w:szCs w:val="24"/>
          <w14:textFill>
            <w14:solidFill>
              <w14:schemeClr w14:val="tx1"/>
            </w14:solidFill>
          </w14:textFill>
        </w:rPr>
      </w:pPr>
    </w:p>
    <w:p w14:paraId="133D58CD">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561" w:name="_Toc526064882"/>
      <w:r>
        <w:rPr>
          <w:rFonts w:eastAsiaTheme="minorEastAsia"/>
          <w:bCs/>
          <w:color w:val="000000" w:themeColor="text1"/>
          <w:szCs w:val="24"/>
          <w14:textFill>
            <w14:solidFill>
              <w14:schemeClr w14:val="tx1"/>
            </w14:solidFill>
          </w14:textFill>
        </w:rPr>
        <w:t xml:space="preserve"> </w:t>
      </w:r>
      <w:bookmarkStart w:id="562" w:name="_Toc526079272"/>
      <w:bookmarkStart w:id="563" w:name="_Toc220074808"/>
      <w:bookmarkStart w:id="564" w:name="_Toc526079166"/>
      <w:r>
        <w:rPr>
          <w:rFonts w:hint="eastAsia" w:eastAsiaTheme="minorEastAsia"/>
          <w:bCs/>
          <w:color w:val="000000" w:themeColor="text1"/>
          <w:szCs w:val="24"/>
          <w14:textFill>
            <w14:solidFill>
              <w14:schemeClr w14:val="tx1"/>
            </w14:solidFill>
          </w14:textFill>
        </w:rPr>
        <w:t>电气及仪表控制</w:t>
      </w:r>
      <w:bookmarkEnd w:id="561"/>
      <w:bookmarkEnd w:id="562"/>
      <w:bookmarkEnd w:id="563"/>
      <w:bookmarkEnd w:id="564"/>
    </w:p>
    <w:p w14:paraId="3384763B">
      <w:pPr>
        <w:pStyle w:val="121"/>
        <w:numPr>
          <w:ilvl w:val="2"/>
          <w:numId w:val="5"/>
        </w:numPr>
        <w:tabs>
          <w:tab w:val="left" w:pos="1276"/>
        </w:tabs>
        <w:snapToGrid w:val="0"/>
        <w:spacing w:line="480" w:lineRule="atLeast"/>
        <w:ind w:left="0" w:firstLine="480" w:firstLineChars="200"/>
        <w:outlineLvl w:val="2"/>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总则</w:t>
      </w:r>
    </w:p>
    <w:p w14:paraId="7BB8936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4.3.1.1  </w:t>
      </w:r>
      <w:r>
        <w:rPr>
          <w:rFonts w:hint="eastAsia" w:eastAsiaTheme="minorEastAsia"/>
          <w:color w:val="000000" w:themeColor="text1"/>
          <w:sz w:val="24"/>
          <w:szCs w:val="24"/>
          <w14:textFill>
            <w14:solidFill>
              <w14:schemeClr w14:val="tx1"/>
            </w14:solidFill>
          </w14:textFill>
        </w:rPr>
        <w:t>投标方应按照本协议书的技术要求为贵州侧GIS室、湖南侧GIS室、专用品仓库、二次备品库及车库、综合泵房、综合楼、警传室、油化实验室的通风及空调系统提供配电柜（配电箱）、就地配电控制柜。从配电柜（配电箱）至各用电点的电缆、电缆桥架和预埋管等均由投标方提供。对于从配电柜（配电箱）至各用电点的电缆通道，投标方应提出要求，由设计院统一规划。</w:t>
      </w:r>
    </w:p>
    <w:p w14:paraId="72FB5AF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4.3.1.2  </w:t>
      </w:r>
      <w:r>
        <w:rPr>
          <w:rFonts w:hint="eastAsia" w:eastAsiaTheme="minorEastAsia"/>
          <w:color w:val="000000" w:themeColor="text1"/>
          <w:sz w:val="24"/>
          <w:szCs w:val="24"/>
          <w14:textFill>
            <w14:solidFill>
              <w14:schemeClr w14:val="tx1"/>
            </w14:solidFill>
          </w14:textFill>
        </w:rPr>
        <w:t>投标方所选用的电气元件（继电器、接触器、断路器、开关及按钮等）必须是经过招标方认可的产品。电气控制及检测元件要求能防电磁干扰，且能在温度</w:t>
      </w:r>
      <w:r>
        <w:rPr>
          <w:rFonts w:eastAsiaTheme="minorEastAsia"/>
          <w:color w:val="000000" w:themeColor="text1"/>
          <w:sz w:val="24"/>
          <w:szCs w:val="24"/>
          <w14:textFill>
            <w14:solidFill>
              <w14:schemeClr w14:val="tx1"/>
            </w14:solidFill>
          </w14:textFill>
        </w:rPr>
        <w:t>45</w:t>
      </w:r>
      <w:r>
        <w:rPr>
          <w:rFonts w:hint="eastAsia" w:ascii="宋体" w:hAnsi="宋体" w:cs="宋体"/>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，相对湿度为</w:t>
      </w:r>
      <w:r>
        <w:rPr>
          <w:rFonts w:eastAsiaTheme="minorEastAsia"/>
          <w:color w:val="000000" w:themeColor="text1"/>
          <w:sz w:val="24"/>
          <w:szCs w:val="24"/>
          <w14:textFill>
            <w14:solidFill>
              <w14:schemeClr w14:val="tx1"/>
            </w14:solidFill>
          </w14:textFill>
        </w:rPr>
        <w:t>95</w:t>
      </w:r>
      <w:r>
        <w:rPr>
          <w:rFonts w:hint="eastAsia" w:eastAsiaTheme="minorEastAsia"/>
          <w:color w:val="000000" w:themeColor="text1"/>
          <w:sz w:val="24"/>
          <w:szCs w:val="24"/>
          <w14:textFill>
            <w14:solidFill>
              <w14:schemeClr w14:val="tx1"/>
            </w14:solidFill>
          </w14:textFill>
        </w:rPr>
        <w:t>％的情况下长期稳定地运行。</w:t>
      </w:r>
    </w:p>
    <w:p w14:paraId="2FDE78E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4.3.1.3  </w:t>
      </w:r>
      <w:r>
        <w:rPr>
          <w:rFonts w:hint="eastAsia" w:eastAsiaTheme="minorEastAsia"/>
          <w:color w:val="000000" w:themeColor="text1"/>
          <w:sz w:val="24"/>
          <w:szCs w:val="24"/>
          <w14:textFill>
            <w14:solidFill>
              <w14:schemeClr w14:val="tx1"/>
            </w14:solidFill>
          </w14:textFill>
        </w:rPr>
        <w:t>对所有电动机均采用</w:t>
      </w:r>
      <w:r>
        <w:rPr>
          <w:rFonts w:eastAsiaTheme="minorEastAsia"/>
          <w:color w:val="000000" w:themeColor="text1"/>
          <w:sz w:val="24"/>
          <w:szCs w:val="24"/>
          <w14:textFill>
            <w14:solidFill>
              <w14:schemeClr w14:val="tx1"/>
            </w14:solidFill>
          </w14:textFill>
        </w:rPr>
        <w:t>380V</w:t>
      </w:r>
      <w:r>
        <w:rPr>
          <w:rFonts w:hint="eastAsia" w:eastAsiaTheme="minorEastAsia"/>
          <w:color w:val="000000" w:themeColor="text1"/>
          <w:sz w:val="24"/>
          <w:szCs w:val="24"/>
          <w14:textFill>
            <w14:solidFill>
              <w14:schemeClr w14:val="tx1"/>
            </w14:solidFill>
          </w14:textFill>
        </w:rPr>
        <w:t>、三相、三线、</w:t>
      </w:r>
      <w:r>
        <w:rPr>
          <w:rFonts w:eastAsiaTheme="minorEastAsia"/>
          <w:color w:val="000000" w:themeColor="text1"/>
          <w:sz w:val="24"/>
          <w:szCs w:val="24"/>
          <w14:textFill>
            <w14:solidFill>
              <w14:schemeClr w14:val="tx1"/>
            </w14:solidFill>
          </w14:textFill>
        </w:rPr>
        <w:t>50Hz</w:t>
      </w:r>
      <w:r>
        <w:rPr>
          <w:rFonts w:hint="eastAsia" w:eastAsiaTheme="minorEastAsia"/>
          <w:color w:val="000000" w:themeColor="text1"/>
          <w:sz w:val="24"/>
          <w:szCs w:val="24"/>
          <w14:textFill>
            <w14:solidFill>
              <w14:schemeClr w14:val="tx1"/>
            </w14:solidFill>
          </w14:textFill>
        </w:rPr>
        <w:t>交流电系统，电压变化范围为</w:t>
      </w:r>
      <w:r>
        <w:rPr>
          <w:rFonts w:eastAsiaTheme="minorEastAsia"/>
          <w:color w:val="000000" w:themeColor="text1"/>
          <w:sz w:val="24"/>
          <w:szCs w:val="24"/>
          <w14:textFill>
            <w14:solidFill>
              <w14:schemeClr w14:val="tx1"/>
            </w14:solidFill>
          </w14:textFill>
        </w:rPr>
        <w:sym w:font="Symbol" w:char="F0B1"/>
      </w:r>
      <w:r>
        <w:rPr>
          <w:rFonts w:eastAsiaTheme="minorEastAsia"/>
          <w:color w:val="000000" w:themeColor="text1"/>
          <w:sz w:val="24"/>
          <w:szCs w:val="24"/>
          <w14:textFill>
            <w14:solidFill>
              <w14:schemeClr w14:val="tx1"/>
            </w14:solidFill>
          </w14:textFill>
        </w:rPr>
        <w:t>10%</w:t>
      </w:r>
      <w:r>
        <w:rPr>
          <w:rFonts w:hint="eastAsia" w:eastAsiaTheme="minorEastAsia"/>
          <w:color w:val="000000" w:themeColor="text1"/>
          <w:sz w:val="24"/>
          <w:szCs w:val="24"/>
          <w14:textFill>
            <w14:solidFill>
              <w14:schemeClr w14:val="tx1"/>
            </w14:solidFill>
          </w14:textFill>
        </w:rPr>
        <w:t>。</w:t>
      </w:r>
    </w:p>
    <w:p w14:paraId="04D0D31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4.3.1.4  </w:t>
      </w:r>
      <w:r>
        <w:rPr>
          <w:rFonts w:hint="eastAsia" w:eastAsiaTheme="minorEastAsia"/>
          <w:color w:val="000000" w:themeColor="text1"/>
          <w:sz w:val="24"/>
          <w:szCs w:val="24"/>
          <w14:textFill>
            <w14:solidFill>
              <w14:schemeClr w14:val="tx1"/>
            </w14:solidFill>
          </w14:textFill>
        </w:rPr>
        <w:t>对于设备内部照明、防火阀、电动风阀驱动装置、电动水阀、传感器、其它仪表及控制系统所需</w:t>
      </w:r>
      <w:r>
        <w:rPr>
          <w:rFonts w:eastAsiaTheme="minorEastAsia"/>
          <w:color w:val="000000" w:themeColor="text1"/>
          <w:sz w:val="24"/>
          <w:szCs w:val="24"/>
          <w14:textFill>
            <w14:solidFill>
              <w14:schemeClr w14:val="tx1"/>
            </w14:solidFill>
          </w14:textFill>
        </w:rPr>
        <w:t>24V</w:t>
      </w:r>
      <w:r>
        <w:rPr>
          <w:rFonts w:hint="eastAsia" w:eastAsiaTheme="minorEastAsia"/>
          <w:color w:val="000000" w:themeColor="text1"/>
          <w:sz w:val="24"/>
          <w:szCs w:val="24"/>
          <w14:textFill>
            <w14:solidFill>
              <w14:schemeClr w14:val="tx1"/>
            </w14:solidFill>
          </w14:textFill>
        </w:rPr>
        <w:t>电源由投标方自己解决。如果</w:t>
      </w:r>
      <w:r>
        <w:rPr>
          <w:rFonts w:eastAsiaTheme="minorEastAsia"/>
          <w:color w:val="000000" w:themeColor="text1"/>
          <w:sz w:val="24"/>
          <w:szCs w:val="24"/>
          <w14:textFill>
            <w14:solidFill>
              <w14:schemeClr w14:val="tx1"/>
            </w14:solidFill>
          </w14:textFill>
        </w:rPr>
        <w:t>24V</w:t>
      </w:r>
      <w:r>
        <w:rPr>
          <w:rFonts w:hint="eastAsia" w:eastAsiaTheme="minorEastAsia"/>
          <w:color w:val="000000" w:themeColor="text1"/>
          <w:sz w:val="24"/>
          <w:szCs w:val="24"/>
          <w14:textFill>
            <w14:solidFill>
              <w14:schemeClr w14:val="tx1"/>
            </w14:solidFill>
          </w14:textFill>
        </w:rPr>
        <w:t>中断，自动控制的设计应避免系统发生故障，通常空调系统在失电后（如电压降低或短时中断）不需要报警而自动再启动。</w:t>
      </w:r>
    </w:p>
    <w:p w14:paraId="5A3DFFE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4.3.1.5  </w:t>
      </w:r>
      <w:r>
        <w:rPr>
          <w:rFonts w:hint="eastAsia" w:eastAsiaTheme="minorEastAsia"/>
          <w:color w:val="000000" w:themeColor="text1"/>
          <w:sz w:val="24"/>
          <w:szCs w:val="24"/>
          <w14:textFill>
            <w14:solidFill>
              <w14:schemeClr w14:val="tx1"/>
            </w14:solidFill>
          </w14:textFill>
        </w:rPr>
        <w:t>所有风机均需要在其服务的对应房间内配置就地控制箱或启停开关。</w:t>
      </w:r>
    </w:p>
    <w:p w14:paraId="178F1AC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4.3.1.6  </w:t>
      </w:r>
      <w:r>
        <w:rPr>
          <w:rFonts w:hint="eastAsia" w:eastAsiaTheme="minorEastAsia"/>
          <w:color w:val="000000" w:themeColor="text1"/>
          <w:sz w:val="24"/>
          <w:szCs w:val="24"/>
          <w14:textFill>
            <w14:solidFill>
              <w14:schemeClr w14:val="tx1"/>
            </w14:solidFill>
          </w14:textFill>
        </w:rPr>
        <w:t>室外布置的就地配电柜应提供检修用电源及开关。</w:t>
      </w:r>
    </w:p>
    <w:p w14:paraId="6802562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4.3.1.7  </w:t>
      </w:r>
      <w:r>
        <w:rPr>
          <w:rFonts w:hint="eastAsia" w:eastAsiaTheme="minorEastAsia"/>
          <w:color w:val="000000" w:themeColor="text1"/>
          <w:sz w:val="24"/>
          <w:szCs w:val="24"/>
          <w14:textFill>
            <w14:solidFill>
              <w14:schemeClr w14:val="tx1"/>
            </w14:solidFill>
          </w14:textFill>
        </w:rPr>
        <w:t>室外布置的配电柜，面板要求采用亚光不锈钢</w:t>
      </w:r>
      <w:r>
        <w:rPr>
          <w:rFonts w:eastAsiaTheme="minorEastAsia"/>
          <w:color w:val="000000" w:themeColor="text1"/>
          <w:sz w:val="24"/>
          <w:szCs w:val="24"/>
          <w14:textFill>
            <w14:solidFill>
              <w14:schemeClr w14:val="tx1"/>
            </w14:solidFill>
          </w14:textFill>
        </w:rPr>
        <w:t>402</w:t>
      </w:r>
      <w:r>
        <w:rPr>
          <w:rFonts w:hint="eastAsia" w:eastAsiaTheme="minorEastAsia"/>
          <w:color w:val="000000" w:themeColor="text1"/>
          <w:sz w:val="24"/>
          <w:szCs w:val="24"/>
          <w14:textFill>
            <w14:solidFill>
              <w14:schemeClr w14:val="tx1"/>
            </w14:solidFill>
          </w14:textFill>
        </w:rPr>
        <w:t>制作，材料厚度不小于</w:t>
      </w:r>
      <w:r>
        <w:rPr>
          <w:rFonts w:eastAsiaTheme="minorEastAsia"/>
          <w:color w:val="000000" w:themeColor="text1"/>
          <w:sz w:val="24"/>
          <w:szCs w:val="24"/>
          <w14:textFill>
            <w14:solidFill>
              <w14:schemeClr w14:val="tx1"/>
            </w14:solidFill>
          </w14:textFill>
        </w:rPr>
        <w:t>2.5mm</w:t>
      </w:r>
      <w:r>
        <w:rPr>
          <w:rFonts w:hint="eastAsia" w:eastAsiaTheme="minorEastAsia"/>
          <w:color w:val="000000" w:themeColor="text1"/>
          <w:sz w:val="24"/>
          <w:szCs w:val="24"/>
          <w14:textFill>
            <w14:solidFill>
              <w14:schemeClr w14:val="tx1"/>
            </w14:solidFill>
          </w14:textFill>
        </w:rPr>
        <w:t>，且门上设置观察窗，配电柜防护等级为</w:t>
      </w:r>
      <w:r>
        <w:rPr>
          <w:rFonts w:eastAsiaTheme="minorEastAsia"/>
          <w:color w:val="000000" w:themeColor="text1"/>
          <w:sz w:val="24"/>
          <w:szCs w:val="24"/>
          <w14:textFill>
            <w14:solidFill>
              <w14:schemeClr w14:val="tx1"/>
            </w14:solidFill>
          </w14:textFill>
        </w:rPr>
        <w:t>IP56</w:t>
      </w:r>
      <w:r>
        <w:rPr>
          <w:rFonts w:hint="eastAsia" w:eastAsiaTheme="minorEastAsia"/>
          <w:color w:val="000000" w:themeColor="text1"/>
          <w:sz w:val="24"/>
          <w:szCs w:val="24"/>
          <w14:textFill>
            <w14:solidFill>
              <w14:schemeClr w14:val="tx1"/>
            </w14:solidFill>
          </w14:textFill>
        </w:rPr>
        <w:t>。室内布置的配电柜尺寸应按照招标方的统一要求而定，外表面颜色统一为</w:t>
      </w:r>
      <w:r>
        <w:rPr>
          <w:rFonts w:eastAsiaTheme="minorEastAsia"/>
          <w:color w:val="000000" w:themeColor="text1"/>
          <w:sz w:val="24"/>
          <w:szCs w:val="24"/>
          <w14:textFill>
            <w14:solidFill>
              <w14:schemeClr w14:val="tx1"/>
            </w14:solidFill>
          </w14:textFill>
        </w:rPr>
        <w:t>RAL7032</w:t>
      </w:r>
      <w:r>
        <w:rPr>
          <w:rFonts w:hint="eastAsia" w:eastAsiaTheme="minorEastAsia"/>
          <w:color w:val="000000" w:themeColor="text1"/>
          <w:sz w:val="24"/>
          <w:szCs w:val="24"/>
          <w14:textFill>
            <w14:solidFill>
              <w14:schemeClr w14:val="tx1"/>
            </w14:solidFill>
          </w14:textFill>
        </w:rPr>
        <w:t>（暂定），并按照南方电网安健环标准、超高压标准化细则的要求来制造屏柜、标签等。</w:t>
      </w:r>
    </w:p>
    <w:p w14:paraId="3CAFC93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4.3.1.8  </w:t>
      </w:r>
      <w:r>
        <w:rPr>
          <w:rFonts w:hint="eastAsia" w:eastAsiaTheme="minorEastAsia"/>
          <w:color w:val="000000" w:themeColor="text1"/>
          <w:sz w:val="24"/>
          <w:szCs w:val="24"/>
          <w14:textFill>
            <w14:solidFill>
              <w14:schemeClr w14:val="tx1"/>
            </w14:solidFill>
          </w14:textFill>
        </w:rPr>
        <w:t>每台组合式空气处理机组及冷水机组分别设置一个配电控制柜。</w:t>
      </w:r>
    </w:p>
    <w:p w14:paraId="3EC6516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4.3.1.9  </w:t>
      </w:r>
      <w:r>
        <w:rPr>
          <w:rFonts w:hint="eastAsia" w:eastAsiaTheme="minorEastAsia"/>
          <w:color w:val="000000" w:themeColor="text1"/>
          <w:sz w:val="24"/>
          <w:szCs w:val="24"/>
          <w14:textFill>
            <w14:solidFill>
              <w14:schemeClr w14:val="tx1"/>
            </w14:solidFill>
          </w14:textFill>
        </w:rPr>
        <w:t>投标方提供的动力电缆及控制电缆应符合国家标准。动力、控制电缆应分别成束、分开布置，电缆的排列应整齐，并应有清晰的编号。所有动力电缆均应为铜芯绝缘导线（</w:t>
      </w:r>
      <w:r>
        <w:rPr>
          <w:rFonts w:eastAsiaTheme="minorEastAsia"/>
          <w:color w:val="000000" w:themeColor="text1"/>
          <w:sz w:val="24"/>
          <w:szCs w:val="24"/>
          <w14:textFill>
            <w14:solidFill>
              <w14:schemeClr w14:val="tx1"/>
            </w14:solidFill>
          </w14:textFill>
        </w:rPr>
        <w:t>A</w:t>
      </w:r>
      <w:r>
        <w:rPr>
          <w:rFonts w:hint="eastAsia" w:eastAsiaTheme="minorEastAsia"/>
          <w:color w:val="000000" w:themeColor="text1"/>
          <w:sz w:val="24"/>
          <w:szCs w:val="24"/>
          <w14:textFill>
            <w14:solidFill>
              <w14:schemeClr w14:val="tx1"/>
            </w14:solidFill>
          </w14:textFill>
        </w:rPr>
        <w:t>级阻燃型），控制电缆应为屏蔽电缆，且用线槽或线管对屏蔽电缆进行保护，室外动力电缆则要求采用铠装。</w:t>
      </w:r>
    </w:p>
    <w:p w14:paraId="592D351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4.3.1.10 </w:t>
      </w:r>
      <w:r>
        <w:rPr>
          <w:rFonts w:hint="eastAsia" w:eastAsiaTheme="minorEastAsia"/>
          <w:color w:val="000000" w:themeColor="text1"/>
          <w:sz w:val="24"/>
          <w:szCs w:val="24"/>
          <w14:textFill>
            <w14:solidFill>
              <w14:schemeClr w14:val="tx1"/>
            </w14:solidFill>
          </w14:textFill>
        </w:rPr>
        <w:t>屏柜内顶板上装有照明装置，采用手动开关控制其开闭。</w:t>
      </w:r>
    </w:p>
    <w:p w14:paraId="365A329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4.3.1.11 </w:t>
      </w:r>
      <w:r>
        <w:rPr>
          <w:rFonts w:hint="eastAsia" w:eastAsiaTheme="minorEastAsia"/>
          <w:color w:val="000000" w:themeColor="text1"/>
          <w:sz w:val="24"/>
          <w:szCs w:val="24"/>
          <w14:textFill>
            <w14:solidFill>
              <w14:schemeClr w14:val="tx1"/>
            </w14:solidFill>
          </w14:textFill>
        </w:rPr>
        <w:t>屏柜标识应统一美观。屏柜标识采用南网“安健环”标准，安装于屏柜标牌栏的中央。所有屏柜均按统一的规定进行编号，每面屏柜的编号均是独立的。本工程屏柜的编号在联络会阶段由设计提供。</w:t>
      </w:r>
    </w:p>
    <w:p w14:paraId="3D54453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4.3.1.12 </w:t>
      </w:r>
      <w:r>
        <w:rPr>
          <w:rFonts w:hint="eastAsia" w:eastAsiaTheme="minorEastAsia"/>
          <w:color w:val="000000" w:themeColor="text1"/>
          <w:sz w:val="24"/>
          <w:szCs w:val="24"/>
          <w14:textFill>
            <w14:solidFill>
              <w14:schemeClr w14:val="tx1"/>
            </w14:solidFill>
          </w14:textFill>
        </w:rPr>
        <w:t>硬接点报警信号采用双套独立的无源接点。</w:t>
      </w:r>
    </w:p>
    <w:p w14:paraId="5387C4C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4.3.1.13 电气安装、接线要求、电缆要求等必须满足现行国家标准规范要求。</w:t>
      </w:r>
    </w:p>
    <w:p w14:paraId="1A94FA7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4.3.1.14 控制系统故障不应导致空调系统停运。</w:t>
      </w:r>
    </w:p>
    <w:p w14:paraId="3A26046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4.3.1.15 UPS设备由投标方提供，一路输入为交流，另一路输入为直流，主用为交流，当主用电源故障时能实现自动切换不掉电；当UPS装置故障时能手动旁路，保持自控供电不间断。</w:t>
      </w:r>
    </w:p>
    <w:p w14:paraId="6F76DDC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w:t>
      </w:r>
      <w:r>
        <w:rPr>
          <w:rFonts w:eastAsiaTheme="minorEastAsia"/>
          <w:color w:val="000000" w:themeColor="text1"/>
          <w:sz w:val="24"/>
          <w:szCs w:val="24"/>
          <w14:textFill>
            <w14:solidFill>
              <w14:schemeClr w14:val="tx1"/>
            </w14:solidFill>
          </w14:textFill>
        </w:rPr>
        <w:t xml:space="preserve">.3.1.16 </w:t>
      </w:r>
      <w:r>
        <w:rPr>
          <w:rFonts w:hint="eastAsia" w:eastAsiaTheme="minorEastAsia"/>
          <w:color w:val="000000" w:themeColor="text1"/>
          <w:sz w:val="24"/>
          <w:szCs w:val="24"/>
          <w14:textFill>
            <w14:solidFill>
              <w14:schemeClr w14:val="tx1"/>
            </w14:solidFill>
          </w14:textFill>
        </w:rPr>
        <w:t>暖通电源进线柜需满足以下要求：交流电源进线断路器需能够实现消防切非(励磁脱扣）功能，还应能反馈断路器位置信号(OF接点)至消防系统，其中消防电源为DC24V。</w:t>
      </w:r>
    </w:p>
    <w:p w14:paraId="345052A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4.3.1.17 </w:t>
      </w:r>
      <w:r>
        <w:rPr>
          <w:rFonts w:hint="eastAsia" w:eastAsiaTheme="minorEastAsia"/>
          <w:color w:val="000000" w:themeColor="text1"/>
          <w:sz w:val="24"/>
          <w:szCs w:val="24"/>
          <w14:textFill>
            <w14:solidFill>
              <w14:schemeClr w14:val="tx1"/>
            </w14:solidFill>
          </w14:textFill>
        </w:rPr>
        <w:t>通风空调系统的电动风机与风阀的联动由投标方实现；防排烟系统中风阀与消防风机硬接线连锁由投标方实现，其他连锁方式由消防报警系统实现。</w:t>
      </w:r>
    </w:p>
    <w:p w14:paraId="4910486F">
      <w:pPr>
        <w:pStyle w:val="121"/>
        <w:numPr>
          <w:ilvl w:val="2"/>
          <w:numId w:val="5"/>
        </w:numPr>
        <w:snapToGrid w:val="0"/>
        <w:spacing w:line="480" w:lineRule="atLeast"/>
        <w:ind w:left="0" w:firstLine="480" w:firstLineChars="200"/>
        <w:outlineLvl w:val="2"/>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接线要求</w:t>
      </w:r>
    </w:p>
    <w:p w14:paraId="10B7956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4.3.2.1  </w:t>
      </w:r>
      <w:r>
        <w:rPr>
          <w:rFonts w:hint="eastAsia" w:eastAsiaTheme="minorEastAsia"/>
          <w:color w:val="000000" w:themeColor="text1"/>
          <w:sz w:val="24"/>
          <w:szCs w:val="24"/>
          <w14:textFill>
            <w14:solidFill>
              <w14:schemeClr w14:val="tx1"/>
            </w14:solidFill>
          </w14:textFill>
        </w:rPr>
        <w:t>机组内部电力电缆应按照国家有关标准合理布置。</w:t>
      </w:r>
    </w:p>
    <w:p w14:paraId="6DEB6A6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4.3.2.2  </w:t>
      </w:r>
      <w:r>
        <w:rPr>
          <w:rFonts w:hint="eastAsia" w:eastAsiaTheme="minorEastAsia"/>
          <w:color w:val="000000" w:themeColor="text1"/>
          <w:sz w:val="24"/>
          <w:szCs w:val="24"/>
          <w14:textFill>
            <w14:solidFill>
              <w14:schemeClr w14:val="tx1"/>
            </w14:solidFill>
          </w14:textFill>
        </w:rPr>
        <w:t>应尽量减少机组外表面接线孔，穿孔处应有套管。</w:t>
      </w:r>
    </w:p>
    <w:p w14:paraId="7B5DF76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4.3.2.3  </w:t>
      </w:r>
      <w:r>
        <w:rPr>
          <w:rFonts w:hint="eastAsia" w:eastAsiaTheme="minorEastAsia"/>
          <w:color w:val="000000" w:themeColor="text1"/>
          <w:sz w:val="24"/>
          <w:szCs w:val="24"/>
          <w14:textFill>
            <w14:solidFill>
              <w14:schemeClr w14:val="tx1"/>
            </w14:solidFill>
          </w14:textFill>
        </w:rPr>
        <w:t>投标方应在其配电箱内配备接线端子供连接电源线。</w:t>
      </w:r>
    </w:p>
    <w:p w14:paraId="5EE8887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4.3.2.4  </w:t>
      </w:r>
      <w:r>
        <w:rPr>
          <w:rFonts w:hint="eastAsia" w:eastAsiaTheme="minorEastAsia"/>
          <w:color w:val="000000" w:themeColor="text1"/>
          <w:sz w:val="24"/>
          <w:szCs w:val="24"/>
          <w14:textFill>
            <w14:solidFill>
              <w14:schemeClr w14:val="tx1"/>
            </w14:solidFill>
          </w14:textFill>
        </w:rPr>
        <w:t>所有电缆敷设必须穿套管和走线槽，不得裸露安装。</w:t>
      </w:r>
    </w:p>
    <w:p w14:paraId="19C87F5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4.3.2.5  </w:t>
      </w:r>
      <w:r>
        <w:rPr>
          <w:rFonts w:hint="eastAsia" w:eastAsiaTheme="minorEastAsia"/>
          <w:color w:val="000000" w:themeColor="text1"/>
          <w:sz w:val="24"/>
          <w:szCs w:val="24"/>
          <w14:textFill>
            <w14:solidFill>
              <w14:schemeClr w14:val="tx1"/>
            </w14:solidFill>
          </w14:textFill>
        </w:rPr>
        <w:t>所有电缆敷设必须有合适的防护措施避免老鼠等的破坏。</w:t>
      </w:r>
    </w:p>
    <w:p w14:paraId="3BCB2B3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4.3.2.6 </w:t>
      </w:r>
      <w:r>
        <w:rPr>
          <w:rFonts w:hint="eastAsia" w:eastAsiaTheme="minorEastAsia"/>
          <w:color w:val="000000" w:themeColor="text1"/>
          <w:sz w:val="24"/>
          <w:szCs w:val="24"/>
          <w14:textFill>
            <w14:solidFill>
              <w14:schemeClr w14:val="tx1"/>
            </w14:solidFill>
          </w14:textFill>
        </w:rPr>
        <w:t>机组与外部控制柜的控制电缆须采用</w:t>
      </w:r>
      <w:r>
        <w:rPr>
          <w:rFonts w:eastAsiaTheme="minorEastAsia"/>
          <w:color w:val="000000" w:themeColor="text1"/>
          <w:sz w:val="24"/>
          <w:szCs w:val="24"/>
          <w14:textFill>
            <w14:solidFill>
              <w14:schemeClr w14:val="tx1"/>
            </w14:solidFill>
          </w14:textFill>
        </w:rPr>
        <w:t>2.5</w:t>
      </w:r>
      <w:r>
        <w:rPr>
          <w:rFonts w:hint="eastAsia" w:eastAsiaTheme="minorEastAsia"/>
          <w:color w:val="000000" w:themeColor="text1"/>
          <w:sz w:val="24"/>
          <w:szCs w:val="24"/>
          <w14:textFill>
            <w14:solidFill>
              <w14:schemeClr w14:val="tx1"/>
            </w14:solidFill>
          </w14:textFill>
        </w:rPr>
        <w:t>平方硬性导线连接，每根电缆必须有</w:t>
      </w:r>
      <w:r>
        <w:rPr>
          <w:rFonts w:eastAsiaTheme="minorEastAsia"/>
          <w:color w:val="000000" w:themeColor="text1"/>
          <w:sz w:val="24"/>
          <w:szCs w:val="24"/>
          <w14:textFill>
            <w14:solidFill>
              <w14:schemeClr w14:val="tx1"/>
            </w14:solidFill>
          </w14:textFill>
        </w:rPr>
        <w:t>1-2</w:t>
      </w:r>
      <w:r>
        <w:rPr>
          <w:rFonts w:hint="eastAsia" w:eastAsiaTheme="minorEastAsia"/>
          <w:color w:val="000000" w:themeColor="text1"/>
          <w:sz w:val="24"/>
          <w:szCs w:val="24"/>
          <w14:textFill>
            <w14:solidFill>
              <w14:schemeClr w14:val="tx1"/>
            </w14:solidFill>
          </w14:textFill>
        </w:rPr>
        <w:t>根冗余设置。</w:t>
      </w:r>
    </w:p>
    <w:p w14:paraId="7C44BBC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p>
    <w:p w14:paraId="73E5D933">
      <w:pPr>
        <w:pStyle w:val="121"/>
        <w:numPr>
          <w:ilvl w:val="2"/>
          <w:numId w:val="5"/>
        </w:numPr>
        <w:snapToGrid w:val="0"/>
        <w:spacing w:line="480" w:lineRule="atLeast"/>
        <w:ind w:left="0" w:firstLine="480" w:firstLineChars="200"/>
        <w:outlineLvl w:val="2"/>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电器安全性能</w:t>
      </w:r>
    </w:p>
    <w:p w14:paraId="53CA740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电器的安全性能应满足国家的有关标准，至少不能低于下列要求：</w:t>
      </w:r>
    </w:p>
    <w:p w14:paraId="18D25683">
      <w:pPr>
        <w:numPr>
          <w:ilvl w:val="0"/>
          <w:numId w:val="30"/>
        </w:numPr>
        <w:snapToGrid w:val="0"/>
        <w:spacing w:line="480" w:lineRule="atLeast"/>
        <w:ind w:left="0" w:firstLine="480" w:firstLineChars="200"/>
        <w:outlineLvl w:val="3"/>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绝缘电阻值不应小于</w:t>
      </w:r>
      <w:r>
        <w:rPr>
          <w:rFonts w:eastAsiaTheme="minorEastAsia"/>
          <w:color w:val="000000" w:themeColor="text1"/>
          <w:sz w:val="24"/>
          <w:szCs w:val="24"/>
          <w14:textFill>
            <w14:solidFill>
              <w14:schemeClr w14:val="tx1"/>
            </w14:solidFill>
          </w14:textFill>
        </w:rPr>
        <w:t>10MΩ</w:t>
      </w:r>
      <w:r>
        <w:rPr>
          <w:rFonts w:hint="eastAsia" w:eastAsiaTheme="minorEastAsia"/>
          <w:color w:val="000000" w:themeColor="text1"/>
          <w:sz w:val="24"/>
          <w:szCs w:val="24"/>
          <w14:textFill>
            <w14:solidFill>
              <w14:schemeClr w14:val="tx1"/>
            </w14:solidFill>
          </w14:textFill>
        </w:rPr>
        <w:t>。</w:t>
      </w:r>
    </w:p>
    <w:p w14:paraId="584D9FE1">
      <w:pPr>
        <w:numPr>
          <w:ilvl w:val="0"/>
          <w:numId w:val="30"/>
        </w:numPr>
        <w:snapToGrid w:val="0"/>
        <w:spacing w:line="480" w:lineRule="atLeast"/>
        <w:ind w:left="0" w:firstLine="480" w:firstLineChars="200"/>
        <w:outlineLvl w:val="3"/>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介电强度试验时不应击穿和闪络。</w:t>
      </w:r>
    </w:p>
    <w:p w14:paraId="34FB4EBC">
      <w:pPr>
        <w:numPr>
          <w:ilvl w:val="0"/>
          <w:numId w:val="30"/>
        </w:numPr>
        <w:snapToGrid w:val="0"/>
        <w:spacing w:line="480" w:lineRule="atLeast"/>
        <w:ind w:left="0" w:firstLine="480" w:firstLineChars="200"/>
        <w:outlineLvl w:val="3"/>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接地电阻不应大于</w:t>
      </w:r>
      <w:r>
        <w:rPr>
          <w:rFonts w:eastAsiaTheme="minorEastAsia"/>
          <w:color w:val="000000" w:themeColor="text1"/>
          <w:sz w:val="24"/>
          <w:szCs w:val="24"/>
          <w14:textFill>
            <w14:solidFill>
              <w14:schemeClr w14:val="tx1"/>
            </w14:solidFill>
          </w14:textFill>
        </w:rPr>
        <w:t>0.5Ω</w:t>
      </w:r>
      <w:r>
        <w:rPr>
          <w:rFonts w:hint="eastAsia" w:eastAsiaTheme="minorEastAsia"/>
          <w:color w:val="000000" w:themeColor="text1"/>
          <w:sz w:val="24"/>
          <w:szCs w:val="24"/>
          <w14:textFill>
            <w14:solidFill>
              <w14:schemeClr w14:val="tx1"/>
            </w14:solidFill>
          </w14:textFill>
        </w:rPr>
        <w:t>。</w:t>
      </w:r>
    </w:p>
    <w:p w14:paraId="28084D87">
      <w:pPr>
        <w:numPr>
          <w:ilvl w:val="0"/>
          <w:numId w:val="30"/>
        </w:numPr>
        <w:snapToGrid w:val="0"/>
        <w:spacing w:line="480" w:lineRule="atLeast"/>
        <w:ind w:left="0" w:firstLine="480" w:firstLineChars="200"/>
        <w:outlineLvl w:val="3"/>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泄漏电流值应不大于</w:t>
      </w:r>
      <w:r>
        <w:rPr>
          <w:rFonts w:eastAsiaTheme="minorEastAsia"/>
          <w:color w:val="000000" w:themeColor="text1"/>
          <w:sz w:val="24"/>
          <w:szCs w:val="24"/>
          <w14:textFill>
            <w14:solidFill>
              <w14:schemeClr w14:val="tx1"/>
            </w14:solidFill>
          </w14:textFill>
        </w:rPr>
        <w:t>5mA</w:t>
      </w:r>
      <w:r>
        <w:rPr>
          <w:rFonts w:hint="eastAsia" w:eastAsiaTheme="minorEastAsia"/>
          <w:color w:val="000000" w:themeColor="text1"/>
          <w:sz w:val="24"/>
          <w:szCs w:val="24"/>
          <w14:textFill>
            <w14:solidFill>
              <w14:schemeClr w14:val="tx1"/>
            </w14:solidFill>
          </w14:textFill>
        </w:rPr>
        <w:t>。</w:t>
      </w:r>
    </w:p>
    <w:p w14:paraId="6192F59A">
      <w:pPr>
        <w:tabs>
          <w:tab w:val="left" w:pos="839"/>
        </w:tabs>
        <w:snapToGrid w:val="0"/>
        <w:spacing w:line="480" w:lineRule="atLeast"/>
        <w:ind w:left="480"/>
        <w:outlineLvl w:val="3"/>
        <w:rPr>
          <w:rFonts w:eastAsiaTheme="minorEastAsia"/>
          <w:color w:val="000000" w:themeColor="text1"/>
          <w:sz w:val="24"/>
          <w:szCs w:val="24"/>
          <w14:textFill>
            <w14:solidFill>
              <w14:schemeClr w14:val="tx1"/>
            </w14:solidFill>
          </w14:textFill>
        </w:rPr>
      </w:pPr>
    </w:p>
    <w:p w14:paraId="5DE512AC">
      <w:pPr>
        <w:pStyle w:val="121"/>
        <w:numPr>
          <w:ilvl w:val="2"/>
          <w:numId w:val="5"/>
        </w:numPr>
        <w:snapToGrid w:val="0"/>
        <w:spacing w:line="480" w:lineRule="atLeast"/>
        <w:ind w:left="0" w:firstLine="480" w:firstLineChars="200"/>
        <w:outlineLvl w:val="2"/>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低压配电柜</w:t>
      </w:r>
    </w:p>
    <w:p w14:paraId="380A48B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4.3.4.1  </w:t>
      </w:r>
      <w:r>
        <w:rPr>
          <w:rFonts w:hint="eastAsia" w:eastAsiaTheme="minorEastAsia"/>
          <w:color w:val="000000" w:themeColor="text1"/>
          <w:sz w:val="24"/>
          <w:szCs w:val="24"/>
          <w14:textFill>
            <w14:solidFill>
              <w14:schemeClr w14:val="tx1"/>
            </w14:solidFill>
          </w14:textFill>
        </w:rPr>
        <w:t>低压配电柜应用标准和规范：</w:t>
      </w:r>
    </w:p>
    <w:p w14:paraId="7D958F5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本规范书所涉及的低压配电柜内部所有电气、机械连接以及电气元件应完全符合低压成套开关和控制装置型式试验（</w:t>
      </w:r>
      <w:r>
        <w:rPr>
          <w:rFonts w:eastAsiaTheme="minorEastAsia"/>
          <w:color w:val="000000" w:themeColor="text1"/>
          <w:sz w:val="24"/>
          <w:szCs w:val="24"/>
          <w14:textFill>
            <w14:solidFill>
              <w14:schemeClr w14:val="tx1"/>
            </w14:solidFill>
          </w14:textFill>
        </w:rPr>
        <w:t>TTA</w:t>
      </w:r>
      <w:r>
        <w:rPr>
          <w:rFonts w:hint="eastAsia" w:eastAsiaTheme="minorEastAsia"/>
          <w:color w:val="000000" w:themeColor="text1"/>
          <w:sz w:val="24"/>
          <w:szCs w:val="24"/>
          <w14:textFill>
            <w14:solidFill>
              <w14:schemeClr w14:val="tx1"/>
            </w14:solidFill>
          </w14:textFill>
        </w:rPr>
        <w:t>）规范和标准。</w:t>
      </w:r>
    </w:p>
    <w:p w14:paraId="6DA7FEA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低压配电柜内须预留</w:t>
      </w:r>
      <w:r>
        <w:rPr>
          <w:rFonts w:eastAsiaTheme="minorEastAsia"/>
          <w:color w:val="000000" w:themeColor="text1"/>
          <w:sz w:val="24"/>
          <w:szCs w:val="24"/>
          <w14:textFill>
            <w14:solidFill>
              <w14:schemeClr w14:val="tx1"/>
            </w14:solidFill>
          </w14:textFill>
        </w:rPr>
        <w:t>10~20%</w:t>
      </w:r>
      <w:r>
        <w:rPr>
          <w:rFonts w:hint="eastAsia" w:eastAsiaTheme="minorEastAsia"/>
          <w:color w:val="000000" w:themeColor="text1"/>
          <w:sz w:val="24"/>
          <w:szCs w:val="24"/>
          <w14:textFill>
            <w14:solidFill>
              <w14:schemeClr w14:val="tx1"/>
            </w14:solidFill>
          </w14:textFill>
        </w:rPr>
        <w:t>的空余配电回路。</w:t>
      </w:r>
    </w:p>
    <w:p w14:paraId="60E1199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低压配电柜柜型尺寸为</w:t>
      </w:r>
      <w:r>
        <w:rPr>
          <w:rFonts w:eastAsiaTheme="minorEastAsia"/>
          <w:color w:val="000000" w:themeColor="text1"/>
          <w:sz w:val="24"/>
          <w:szCs w:val="24"/>
          <w14:textFill>
            <w14:solidFill>
              <w14:schemeClr w14:val="tx1"/>
            </w14:solidFill>
          </w14:textFill>
        </w:rPr>
        <w:t>2200mm×800mm×600mm</w:t>
      </w:r>
      <w:r>
        <w:rPr>
          <w:rFonts w:hint="eastAsia" w:eastAsiaTheme="minorEastAsia"/>
          <w:color w:val="000000" w:themeColor="text1"/>
          <w:sz w:val="24"/>
          <w:szCs w:val="24"/>
          <w14:textFill>
            <w14:solidFill>
              <w14:schemeClr w14:val="tx1"/>
            </w14:solidFill>
          </w14:textFill>
        </w:rPr>
        <w:t>（高</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宽</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深）。</w:t>
      </w:r>
    </w:p>
    <w:p w14:paraId="36A0B13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4.3.4.2  </w:t>
      </w:r>
      <w:r>
        <w:rPr>
          <w:rFonts w:hint="eastAsia" w:eastAsiaTheme="minorEastAsia"/>
          <w:color w:val="000000" w:themeColor="text1"/>
          <w:sz w:val="24"/>
          <w:szCs w:val="24"/>
          <w14:textFill>
            <w14:solidFill>
              <w14:schemeClr w14:val="tx1"/>
            </w14:solidFill>
          </w14:textFill>
        </w:rPr>
        <w:t>框架和柜体</w:t>
      </w:r>
    </w:p>
    <w:p w14:paraId="4DBB7D9F">
      <w:pPr>
        <w:pStyle w:val="178"/>
        <w:numPr>
          <w:ilvl w:val="0"/>
          <w:numId w:val="31"/>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应有坚固的框架，具有良好的密封性。所有部件有足够的强度，能承受运输、安装和运行时短路所引起的作用力而不致损坏。所有安装在柜上的设备在受到地震、震动和撞击时应能达到</w:t>
      </w:r>
      <w:r>
        <w:rPr>
          <w:rFonts w:eastAsiaTheme="minorEastAsia"/>
          <w:color w:val="000000" w:themeColor="text1"/>
          <w:szCs w:val="24"/>
          <w14:textFill>
            <w14:solidFill>
              <w14:schemeClr w14:val="tx1"/>
            </w14:solidFill>
          </w14:textFill>
        </w:rPr>
        <w:t>GB</w:t>
      </w:r>
      <w:r>
        <w:rPr>
          <w:rFonts w:hint="eastAsia" w:eastAsiaTheme="minorEastAsia"/>
          <w:color w:val="000000" w:themeColor="text1"/>
          <w:szCs w:val="24"/>
          <w14:textFill>
            <w14:solidFill>
              <w14:schemeClr w14:val="tx1"/>
            </w14:solidFill>
          </w14:textFill>
        </w:rPr>
        <w:t>或</w:t>
      </w:r>
      <w:r>
        <w:rPr>
          <w:rFonts w:eastAsiaTheme="minorEastAsia"/>
          <w:color w:val="000000" w:themeColor="text1"/>
          <w:szCs w:val="24"/>
          <w14:textFill>
            <w14:solidFill>
              <w14:schemeClr w14:val="tx1"/>
            </w14:solidFill>
          </w14:textFill>
        </w:rPr>
        <w:t>IEC</w:t>
      </w:r>
      <w:r>
        <w:rPr>
          <w:rFonts w:hint="eastAsia" w:eastAsiaTheme="minorEastAsia"/>
          <w:color w:val="000000" w:themeColor="text1"/>
          <w:szCs w:val="24"/>
          <w14:textFill>
            <w14:solidFill>
              <w14:schemeClr w14:val="tx1"/>
            </w14:solidFill>
          </w14:textFill>
        </w:rPr>
        <w:t>所规定的标准。</w:t>
      </w:r>
    </w:p>
    <w:p w14:paraId="2CCF1328">
      <w:pPr>
        <w:pStyle w:val="178"/>
        <w:numPr>
          <w:ilvl w:val="0"/>
          <w:numId w:val="31"/>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开关柜内的每个柜体分隔为三室，即水平母线隔室，功能单元隔室及电缆室，室与室之间用整块高强度阻燃环保塑料功能板和敷铝锌板相互隔开。开关柜设备进线方式根据施工图确定。</w:t>
      </w:r>
    </w:p>
    <w:p w14:paraId="1F1EA992">
      <w:pPr>
        <w:pStyle w:val="178"/>
        <w:numPr>
          <w:ilvl w:val="0"/>
          <w:numId w:val="31"/>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开关柜的前门应为铰链门，开关柜背后为可拆卸的盖板。</w:t>
      </w:r>
    </w:p>
    <w:p w14:paraId="765BF6D0">
      <w:pPr>
        <w:pStyle w:val="178"/>
        <w:numPr>
          <w:ilvl w:val="0"/>
          <w:numId w:val="31"/>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柜内的每个功能单元均设置机械联锁装置，为了确保操作程序以及维护时的人身安全，装置都应具备机械连锁。对于固定式部件的连接只能在成套设备断电的情况下进行接线和断开。</w:t>
      </w:r>
    </w:p>
    <w:p w14:paraId="41189348">
      <w:pPr>
        <w:pStyle w:val="178"/>
        <w:numPr>
          <w:ilvl w:val="0"/>
          <w:numId w:val="31"/>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为便于运行和维护</w:t>
      </w:r>
      <w:r>
        <w:rPr>
          <w:rFonts w:eastAsiaTheme="minorEastAsia"/>
          <w:color w:val="000000" w:themeColor="text1"/>
          <w:szCs w:val="24"/>
          <w14:textFill>
            <w14:solidFill>
              <w14:schemeClr w14:val="tx1"/>
            </w14:solidFill>
          </w14:textFill>
        </w:rPr>
        <w:t>,</w:t>
      </w:r>
      <w:r>
        <w:rPr>
          <w:rFonts w:hint="eastAsia" w:eastAsiaTheme="minorEastAsia"/>
          <w:color w:val="000000" w:themeColor="text1"/>
          <w:szCs w:val="24"/>
          <w14:textFill>
            <w14:solidFill>
              <w14:schemeClr w14:val="tx1"/>
            </w14:solidFill>
          </w14:textFill>
        </w:rPr>
        <w:t>应利用标准化元件和组件，相同规格的功能单元具有互换性。</w:t>
      </w:r>
    </w:p>
    <w:p w14:paraId="66D7059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4.3.4.3  </w:t>
      </w:r>
      <w:r>
        <w:rPr>
          <w:rFonts w:hint="eastAsia" w:eastAsiaTheme="minorEastAsia"/>
          <w:color w:val="000000" w:themeColor="text1"/>
          <w:sz w:val="24"/>
          <w:szCs w:val="24"/>
          <w14:textFill>
            <w14:solidFill>
              <w14:schemeClr w14:val="tx1"/>
            </w14:solidFill>
          </w14:textFill>
        </w:rPr>
        <w:t>母线</w:t>
      </w:r>
    </w:p>
    <w:p w14:paraId="61FEB39E">
      <w:pPr>
        <w:pStyle w:val="178"/>
        <w:numPr>
          <w:ilvl w:val="0"/>
          <w:numId w:val="32"/>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低压配电柜内的主母线和配电母线材料为导电率达</w:t>
      </w:r>
      <w:r>
        <w:rPr>
          <w:rFonts w:eastAsiaTheme="minorEastAsia"/>
          <w:color w:val="000000" w:themeColor="text1"/>
          <w:szCs w:val="24"/>
          <w14:textFill>
            <w14:solidFill>
              <w14:schemeClr w14:val="tx1"/>
            </w14:solidFill>
          </w14:textFill>
        </w:rPr>
        <w:t>99.99%</w:t>
      </w:r>
      <w:r>
        <w:rPr>
          <w:rFonts w:hint="eastAsia" w:eastAsiaTheme="minorEastAsia"/>
          <w:color w:val="000000" w:themeColor="text1"/>
          <w:szCs w:val="24"/>
          <w14:textFill>
            <w14:solidFill>
              <w14:schemeClr w14:val="tx1"/>
            </w14:solidFill>
          </w14:textFill>
        </w:rPr>
        <w:t>电解铜，所有螺栓连接的主母线接头和分支母线接头采用镀银处理。导体表面根据相序套对应颜色的热缩套管。</w:t>
      </w:r>
    </w:p>
    <w:p w14:paraId="033DA9F7">
      <w:pPr>
        <w:pStyle w:val="178"/>
        <w:numPr>
          <w:ilvl w:val="0"/>
          <w:numId w:val="32"/>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主母线及分支母线（含连接部分）外表面全部采用有机绝缘，母线小室及电缆小室内母线不得有裸露部分（电缆接线端子除外），接合处应有防止电场集中和局部放电的措施（如安装均压罩等）。</w:t>
      </w:r>
    </w:p>
    <w:p w14:paraId="6FAE1BFB">
      <w:pPr>
        <w:pStyle w:val="178"/>
        <w:numPr>
          <w:ilvl w:val="0"/>
          <w:numId w:val="32"/>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应保证触头的接触压力或温升应满足相关的国家标准、行业标准。应提供已通过国家权威部门并符合国家标准的一次插接试验报告。插拔式机构抽拉应灵活、轻便、无卡阻、碰撞现象；机构的动、静触头的中心线应一致，触头接触应紧密。三相通断时间应符合有关标准。主、辅触头通断可靠、准确，插入深度应符合要求；机械或电气联锁装置应动作正确，闭锁或接触均应可靠。</w:t>
      </w:r>
    </w:p>
    <w:p w14:paraId="05744F52">
      <w:pPr>
        <w:pStyle w:val="178"/>
        <w:numPr>
          <w:ilvl w:val="0"/>
          <w:numId w:val="32"/>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ascii="宋体" w:hAnsi="宋体"/>
        </w:rPr>
        <w:t>母线相别标识及颜色应符合</w:t>
      </w:r>
      <w:r>
        <w:rPr>
          <w:rFonts w:hint="eastAsia" w:ascii="宋体" w:hAnsi="宋体"/>
        </w:rPr>
        <w:t>《电气装置安装工程</w:t>
      </w:r>
      <w:r>
        <w:rPr>
          <w:rFonts w:ascii="宋体" w:hAnsi="宋体"/>
        </w:rPr>
        <w:t xml:space="preserve"> </w:t>
      </w:r>
      <w:r>
        <w:rPr>
          <w:rFonts w:hint="eastAsia" w:ascii="宋体" w:hAnsi="宋体"/>
        </w:rPr>
        <w:t>母线装置施工及验收规范》</w:t>
      </w:r>
      <w:r>
        <w:rPr>
          <w:rFonts w:ascii="宋体" w:hAnsi="宋体"/>
        </w:rPr>
        <w:t>GB 50149标准</w:t>
      </w:r>
      <w:r>
        <w:rPr>
          <w:rFonts w:hint="eastAsia" w:eastAsiaTheme="minorEastAsia"/>
          <w:color w:val="000000" w:themeColor="text1"/>
          <w:szCs w:val="24"/>
          <w14:textFill>
            <w14:solidFill>
              <w14:schemeClr w14:val="tx1"/>
            </w14:solidFill>
          </w14:textFill>
        </w:rPr>
        <w:t>。</w:t>
      </w:r>
    </w:p>
    <w:p w14:paraId="5A13ACD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4.3.4.4  </w:t>
      </w:r>
      <w:r>
        <w:rPr>
          <w:rFonts w:hint="eastAsia" w:eastAsiaTheme="minorEastAsia"/>
          <w:color w:val="000000" w:themeColor="text1"/>
          <w:sz w:val="24"/>
          <w:szCs w:val="24"/>
          <w14:textFill>
            <w14:solidFill>
              <w14:schemeClr w14:val="tx1"/>
            </w14:solidFill>
          </w14:textFill>
        </w:rPr>
        <w:t>表面处理</w:t>
      </w:r>
    </w:p>
    <w:p w14:paraId="3FD9B853">
      <w:pPr>
        <w:pStyle w:val="178"/>
        <w:numPr>
          <w:ilvl w:val="0"/>
          <w:numId w:val="33"/>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油漆采用招标方要求的颜色，并保证在第一次维修之前有</w:t>
      </w:r>
      <w:r>
        <w:rPr>
          <w:rFonts w:eastAsiaTheme="minorEastAsia"/>
          <w:color w:val="000000" w:themeColor="text1"/>
          <w:szCs w:val="24"/>
          <w14:textFill>
            <w14:solidFill>
              <w14:schemeClr w14:val="tx1"/>
            </w14:solidFill>
          </w14:textFill>
        </w:rPr>
        <w:t>15</w:t>
      </w:r>
      <w:r>
        <w:rPr>
          <w:rFonts w:hint="eastAsia" w:eastAsiaTheme="minorEastAsia"/>
          <w:color w:val="000000" w:themeColor="text1"/>
          <w:szCs w:val="24"/>
          <w14:textFill>
            <w14:solidFill>
              <w14:schemeClr w14:val="tx1"/>
            </w14:solidFill>
          </w14:textFill>
        </w:rPr>
        <w:t>年的寿命。</w:t>
      </w:r>
    </w:p>
    <w:p w14:paraId="1E811F4C">
      <w:pPr>
        <w:pStyle w:val="178"/>
        <w:numPr>
          <w:ilvl w:val="0"/>
          <w:numId w:val="33"/>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柜体的内部和外部应清洁、无污迹。内外油漆的表面运输、存放和正常运行时不脱落和被腐蚀。</w:t>
      </w:r>
    </w:p>
    <w:p w14:paraId="5A9A639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4.3.4.5  </w:t>
      </w:r>
      <w:r>
        <w:rPr>
          <w:rFonts w:hint="eastAsia" w:eastAsiaTheme="minorEastAsia"/>
          <w:color w:val="000000" w:themeColor="text1"/>
          <w:sz w:val="24"/>
          <w:szCs w:val="24"/>
          <w14:textFill>
            <w14:solidFill>
              <w14:schemeClr w14:val="tx1"/>
            </w14:solidFill>
          </w14:textFill>
        </w:rPr>
        <w:t>金属部分保护接地：</w:t>
      </w:r>
      <w:r>
        <w:rPr>
          <w:rFonts w:eastAsiaTheme="minorEastAsia"/>
          <w:color w:val="000000" w:themeColor="text1"/>
          <w:sz w:val="24"/>
          <w:szCs w:val="24"/>
          <w14:textFill>
            <w14:solidFill>
              <w14:schemeClr w14:val="tx1"/>
            </w14:solidFill>
          </w14:textFill>
        </w:rPr>
        <w:t>PE</w:t>
      </w:r>
      <w:r>
        <w:rPr>
          <w:rFonts w:hint="eastAsia" w:eastAsiaTheme="minorEastAsia"/>
          <w:color w:val="000000" w:themeColor="text1"/>
          <w:sz w:val="24"/>
          <w:szCs w:val="24"/>
          <w14:textFill>
            <w14:solidFill>
              <w14:schemeClr w14:val="tx1"/>
            </w14:solidFill>
          </w14:textFill>
        </w:rPr>
        <w:t>线贯穿整段柜体，金属柜体的外露各导电部分与</w:t>
      </w:r>
      <w:r>
        <w:rPr>
          <w:rFonts w:eastAsiaTheme="minorEastAsia"/>
          <w:color w:val="000000" w:themeColor="text1"/>
          <w:sz w:val="24"/>
          <w:szCs w:val="24"/>
          <w14:textFill>
            <w14:solidFill>
              <w14:schemeClr w14:val="tx1"/>
            </w14:solidFill>
          </w14:textFill>
        </w:rPr>
        <w:t>PE</w:t>
      </w:r>
      <w:r>
        <w:rPr>
          <w:rFonts w:hint="eastAsia" w:eastAsiaTheme="minorEastAsia"/>
          <w:color w:val="000000" w:themeColor="text1"/>
          <w:sz w:val="24"/>
          <w:szCs w:val="24"/>
          <w14:textFill>
            <w14:solidFill>
              <w14:schemeClr w14:val="tx1"/>
            </w14:solidFill>
          </w14:textFill>
        </w:rPr>
        <w:t>线具有良好的导电性能，并有螺栓连接到每一单元上，以及每一接地触头端子上。设置接地端子以实现整个柜体的外露各导电部分与机房内专设的接地排的连结。</w:t>
      </w:r>
    </w:p>
    <w:p w14:paraId="6FEBDF3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4.3.4.6  </w:t>
      </w:r>
      <w:r>
        <w:rPr>
          <w:rFonts w:hint="eastAsia" w:eastAsiaTheme="minorEastAsia"/>
          <w:color w:val="000000" w:themeColor="text1"/>
          <w:sz w:val="24"/>
          <w:szCs w:val="24"/>
          <w14:textFill>
            <w14:solidFill>
              <w14:schemeClr w14:val="tx1"/>
            </w14:solidFill>
          </w14:textFill>
        </w:rPr>
        <w:t>辅助回路接线端子设有清晰的编号，每个端子只接一根最多不超过两根导线。每列端子排设有不少于</w:t>
      </w:r>
      <w:r>
        <w:rPr>
          <w:rFonts w:eastAsiaTheme="minorEastAsia"/>
          <w:color w:val="000000" w:themeColor="text1"/>
          <w:sz w:val="24"/>
          <w:szCs w:val="24"/>
          <w14:textFill>
            <w14:solidFill>
              <w14:schemeClr w14:val="tx1"/>
            </w14:solidFill>
          </w14:textFill>
        </w:rPr>
        <w:t>15%</w:t>
      </w:r>
      <w:r>
        <w:rPr>
          <w:rFonts w:hint="eastAsia" w:eastAsiaTheme="minorEastAsia"/>
          <w:color w:val="000000" w:themeColor="text1"/>
          <w:sz w:val="24"/>
          <w:szCs w:val="24"/>
          <w14:textFill>
            <w14:solidFill>
              <w14:schemeClr w14:val="tx1"/>
            </w14:solidFill>
          </w14:textFill>
        </w:rPr>
        <w:t>且不少于</w:t>
      </w: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个的备用端子。</w:t>
      </w:r>
    </w:p>
    <w:p w14:paraId="46E00E4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4.3.4.7  </w:t>
      </w:r>
      <w:r>
        <w:rPr>
          <w:rFonts w:hint="eastAsia" w:eastAsiaTheme="minorEastAsia"/>
          <w:color w:val="000000" w:themeColor="text1"/>
          <w:sz w:val="24"/>
          <w:szCs w:val="24"/>
          <w14:textFill>
            <w14:solidFill>
              <w14:schemeClr w14:val="tx1"/>
            </w14:solidFill>
          </w14:textFill>
        </w:rPr>
        <w:t>控制信号接点</w:t>
      </w:r>
    </w:p>
    <w:p w14:paraId="1C8FF7C9">
      <w:pPr>
        <w:pStyle w:val="178"/>
        <w:numPr>
          <w:ilvl w:val="0"/>
          <w:numId w:val="34"/>
        </w:numPr>
        <w:snapToGrid w:val="0"/>
        <w:spacing w:line="480" w:lineRule="atLeast"/>
        <w:ind w:left="0" w:firstLine="426"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低压配电柜应设置接点，接受由设备自控系统（</w:t>
      </w:r>
      <w:r>
        <w:rPr>
          <w:rFonts w:eastAsiaTheme="minorEastAsia"/>
          <w:color w:val="000000" w:themeColor="text1"/>
          <w:szCs w:val="24"/>
          <w14:textFill>
            <w14:solidFill>
              <w14:schemeClr w14:val="tx1"/>
            </w14:solidFill>
          </w14:textFill>
        </w:rPr>
        <w:t>PLC</w:t>
      </w:r>
      <w:r>
        <w:rPr>
          <w:rFonts w:hint="eastAsia" w:eastAsiaTheme="minorEastAsia"/>
          <w:color w:val="000000" w:themeColor="text1"/>
          <w:szCs w:val="24"/>
          <w14:textFill>
            <w14:solidFill>
              <w14:schemeClr w14:val="tx1"/>
            </w14:solidFill>
          </w14:textFill>
        </w:rPr>
        <w:t>）发出的控制指令，启动或停止相关设备。</w:t>
      </w:r>
    </w:p>
    <w:p w14:paraId="5A218C85">
      <w:pPr>
        <w:pStyle w:val="178"/>
        <w:numPr>
          <w:ilvl w:val="0"/>
          <w:numId w:val="34"/>
        </w:numPr>
        <w:snapToGrid w:val="0"/>
        <w:spacing w:line="480" w:lineRule="atLeast"/>
        <w:ind w:left="0" w:firstLine="426"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低压配电柜应设置接点，接受由火灾自动报警与联动控制系统发出的控制指令，切断相关设备的电源。</w:t>
      </w:r>
    </w:p>
    <w:p w14:paraId="5418B47D">
      <w:pPr>
        <w:pStyle w:val="178"/>
        <w:numPr>
          <w:ilvl w:val="0"/>
          <w:numId w:val="34"/>
        </w:numPr>
        <w:snapToGrid w:val="0"/>
        <w:spacing w:line="480" w:lineRule="atLeast"/>
        <w:ind w:left="0" w:firstLine="426"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在低压配电柜前能通过按钮等设备的设置来实现对相关设备的现场起停控制。</w:t>
      </w:r>
    </w:p>
    <w:p w14:paraId="52D1080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4.3.4.8  </w:t>
      </w:r>
      <w:r>
        <w:rPr>
          <w:rFonts w:hint="eastAsia" w:eastAsiaTheme="minorEastAsia"/>
          <w:color w:val="000000" w:themeColor="text1"/>
          <w:sz w:val="24"/>
          <w:szCs w:val="24"/>
          <w14:textFill>
            <w14:solidFill>
              <w14:schemeClr w14:val="tx1"/>
            </w14:solidFill>
          </w14:textFill>
        </w:rPr>
        <w:t>电源接口：由招标方提供</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路</w:t>
      </w:r>
      <w:r>
        <w:rPr>
          <w:rFonts w:eastAsiaTheme="minorEastAsia"/>
          <w:color w:val="000000" w:themeColor="text1"/>
          <w:sz w:val="24"/>
          <w:szCs w:val="24"/>
          <w14:textFill>
            <w14:solidFill>
              <w14:schemeClr w14:val="tx1"/>
            </w14:solidFill>
          </w14:textFill>
        </w:rPr>
        <w:t>380V</w:t>
      </w:r>
      <w:r>
        <w:rPr>
          <w:rFonts w:hint="eastAsia" w:eastAsiaTheme="minorEastAsia"/>
          <w:color w:val="000000" w:themeColor="text1"/>
          <w:sz w:val="24"/>
          <w:szCs w:val="24"/>
          <w14:textFill>
            <w14:solidFill>
              <w14:schemeClr w14:val="tx1"/>
            </w14:solidFill>
          </w14:textFill>
        </w:rPr>
        <w:t>交流电源至投标方低压配电柜进线端子排，投标方应提供自动切换装置。</w:t>
      </w:r>
    </w:p>
    <w:p w14:paraId="7B57B45A">
      <w:pPr>
        <w:pStyle w:val="121"/>
        <w:numPr>
          <w:ilvl w:val="2"/>
          <w:numId w:val="5"/>
        </w:numPr>
        <w:snapToGrid w:val="0"/>
        <w:spacing w:line="480" w:lineRule="atLeast"/>
        <w:ind w:left="0" w:firstLine="480" w:firstLineChars="200"/>
        <w:outlineLvl w:val="2"/>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风机控制箱及空调电源箱</w:t>
      </w:r>
    </w:p>
    <w:p w14:paraId="17A7185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4.3.5.1 </w:t>
      </w:r>
      <w:r>
        <w:rPr>
          <w:rFonts w:hint="eastAsia" w:eastAsiaTheme="minorEastAsia"/>
          <w:color w:val="000000" w:themeColor="text1"/>
          <w:sz w:val="24"/>
          <w:szCs w:val="24"/>
          <w14:textFill>
            <w14:solidFill>
              <w14:schemeClr w14:val="tx1"/>
            </w14:solidFill>
          </w14:textFill>
        </w:rPr>
        <w:t>安装方式</w:t>
      </w:r>
    </w:p>
    <w:p w14:paraId="42012FB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风机控制箱及空调电源箱采用不锈钢，采用嵌入式安装，箱体四面嵌墙部分为平面，外露部分须有箱体材料一致的外凸限位结构，保证箱体牢牢固定在墙上。</w:t>
      </w:r>
    </w:p>
    <w:p w14:paraId="01C2015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4.3.5.2</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箱体尺寸</w:t>
      </w:r>
    </w:p>
    <w:p w14:paraId="743B4F3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箱体的尺寸应为</w:t>
      </w:r>
      <w:r>
        <w:rPr>
          <w:rFonts w:eastAsiaTheme="minorEastAsia"/>
          <w:color w:val="000000" w:themeColor="text1"/>
          <w:sz w:val="24"/>
          <w:szCs w:val="24"/>
          <w14:textFill>
            <w14:solidFill>
              <w14:schemeClr w14:val="tx1"/>
            </w14:solidFill>
          </w14:textFill>
        </w:rPr>
        <w:t>600</w:t>
      </w:r>
      <w:r>
        <w:rPr>
          <w:rFonts w:hint="eastAsia" w:ascii="宋体" w:hAnsi="宋体"/>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600</w:t>
      </w:r>
      <w:r>
        <w:rPr>
          <w:rFonts w:hint="eastAsia" w:ascii="宋体" w:hAnsi="宋体"/>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150</w:t>
      </w:r>
      <w:r>
        <w:rPr>
          <w:rFonts w:hint="eastAsia" w:eastAsiaTheme="minorEastAsia"/>
          <w:color w:val="000000" w:themeColor="text1"/>
          <w:sz w:val="24"/>
          <w:szCs w:val="24"/>
          <w14:textFill>
            <w14:solidFill>
              <w14:schemeClr w14:val="tx1"/>
            </w14:solidFill>
          </w14:textFill>
        </w:rPr>
        <w:t>或</w:t>
      </w:r>
      <w:r>
        <w:rPr>
          <w:rFonts w:eastAsiaTheme="minorEastAsia"/>
          <w:color w:val="000000" w:themeColor="text1"/>
          <w:sz w:val="24"/>
          <w:szCs w:val="24"/>
          <w14:textFill>
            <w14:solidFill>
              <w14:schemeClr w14:val="tx1"/>
            </w14:solidFill>
          </w14:textFill>
        </w:rPr>
        <w:t>800</w:t>
      </w:r>
      <w:r>
        <w:rPr>
          <w:rFonts w:hint="eastAsia" w:ascii="宋体" w:hAnsi="宋体"/>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600</w:t>
      </w:r>
      <w:r>
        <w:rPr>
          <w:rFonts w:hint="eastAsia" w:ascii="宋体" w:hAnsi="宋体"/>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150mm</w:t>
      </w:r>
      <w:r>
        <w:rPr>
          <w:rFonts w:hint="eastAsia" w:eastAsiaTheme="minorEastAsia"/>
          <w:color w:val="000000" w:themeColor="text1"/>
          <w:sz w:val="24"/>
          <w:szCs w:val="24"/>
          <w14:textFill>
            <w14:solidFill>
              <w14:schemeClr w14:val="tx1"/>
            </w14:solidFill>
          </w14:textFill>
        </w:rPr>
        <w:t>（宽</w:t>
      </w:r>
      <w:r>
        <w:rPr>
          <w:rFonts w:hint="eastAsia" w:ascii="宋体" w:hAnsi="宋体"/>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高</w:t>
      </w:r>
      <w:r>
        <w:rPr>
          <w:rFonts w:hint="eastAsia" w:ascii="宋体" w:hAnsi="宋体"/>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深）。</w:t>
      </w:r>
    </w:p>
    <w:p w14:paraId="010A34B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4.3.5.3</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结构形式</w:t>
      </w:r>
    </w:p>
    <w:p w14:paraId="66F7698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采用前单开门结构，箱体正面设外门及防触电金属内门，背面密封不开门。</w:t>
      </w:r>
    </w:p>
    <w:p w14:paraId="3C97583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箱门把手为金属材质，箱门和箱体确保密封良好，门板带有一定的折弯角度，确保美观，外门背面需附接线图。</w:t>
      </w:r>
    </w:p>
    <w:p w14:paraId="151F6A4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箱体外门采用单点锁定式门锁。</w:t>
      </w:r>
    </w:p>
    <w:p w14:paraId="71C54A4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内门为防止触电的金属内门板，门板用门铰链固定与外门同向开启。门铰链采用高硬度合金材料，保证门板开启和关闭过程中灵活，不会移动，不会变形。外门打开后只露出开关操作手柄，内门打开方可检修更换开关。内门配有防碰撞装置，以保护门板在开关时不损坏喷涂层和产生噪音。</w:t>
      </w:r>
    </w:p>
    <w:p w14:paraId="38BF8ACB">
      <w:pPr>
        <w:snapToGrid w:val="0"/>
        <w:spacing w:line="480" w:lineRule="atLeast"/>
        <w:ind w:firstLine="480" w:firstLineChars="200"/>
        <w:rPr>
          <w:rFonts w:eastAsiaTheme="minorEastAsia"/>
          <w:color w:val="000000" w:themeColor="text1"/>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箱下边需配有防电线（缆）摩擦的胶边。</w:t>
      </w:r>
    </w:p>
    <w:p w14:paraId="273C511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箱体上、下、左、右均设敲落孔用于电缆（线）穿线，开孔数量和规格根据工程实际情况确定，箱体线孔可配合线槽或</w:t>
      </w:r>
      <w:r>
        <w:rPr>
          <w:rFonts w:eastAsiaTheme="minorEastAsia"/>
          <w:color w:val="000000" w:themeColor="text1"/>
          <w:sz w:val="24"/>
          <w:szCs w:val="24"/>
          <w14:textFill>
            <w14:solidFill>
              <w14:schemeClr w14:val="tx1"/>
            </w14:solidFill>
          </w14:textFill>
        </w:rPr>
        <w:t>PVC</w:t>
      </w:r>
      <w:r>
        <w:rPr>
          <w:rFonts w:hint="eastAsia" w:eastAsiaTheme="minorEastAsia"/>
          <w:color w:val="000000" w:themeColor="text1"/>
          <w:sz w:val="24"/>
          <w:szCs w:val="24"/>
          <w14:textFill>
            <w14:solidFill>
              <w14:schemeClr w14:val="tx1"/>
            </w14:solidFill>
          </w14:textFill>
        </w:rPr>
        <w:t>圆管，并采取橡胶圈保护，满足防尘要求。</w:t>
      </w:r>
    </w:p>
    <w:p w14:paraId="50005DF6">
      <w:pPr>
        <w:snapToGrid w:val="0"/>
        <w:spacing w:line="480" w:lineRule="atLeast"/>
        <w:ind w:firstLine="480" w:firstLineChars="200"/>
        <w:rPr>
          <w:rFonts w:eastAsiaTheme="minorEastAsia"/>
          <w:color w:val="000000" w:themeColor="text1"/>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安装板为活动式结构，方便安装时调整。</w:t>
      </w:r>
    </w:p>
    <w:p w14:paraId="39218873">
      <w:pPr>
        <w:pStyle w:val="58"/>
        <w:spacing w:line="360" w:lineRule="auto"/>
        <w:rPr>
          <w:rFonts w:hAnsi="宋体"/>
          <w:szCs w:val="21"/>
        </w:rPr>
      </w:pPr>
      <w:r>
        <w:rPr>
          <w:rFonts w:hint="eastAsia" w:hAnsi="宋体"/>
          <w:szCs w:val="21"/>
        </w:rPr>
        <w:t>箱体角落应确保焊缝的连续性，内部结构件和柜体应焊接牢固，箱体焊点和焊缝应光洁均匀，无焊穿，裂纹，焊渣和气孔现象。焊接后喷漆不到的地方需进行手工刷漆。箱体内零部件边缘和开孔处应平整光滑，无毛刺和裂口现象。</w:t>
      </w:r>
    </w:p>
    <w:p w14:paraId="567C74B3">
      <w:pPr>
        <w:pStyle w:val="58"/>
        <w:spacing w:line="360" w:lineRule="auto"/>
        <w:rPr>
          <w:rFonts w:hAnsi="宋体"/>
          <w:szCs w:val="21"/>
        </w:rPr>
      </w:pPr>
      <w:r>
        <w:rPr>
          <w:rFonts w:hint="eastAsia" w:hAnsi="宋体"/>
          <w:szCs w:val="21"/>
        </w:rPr>
        <w:t>箱体深、宽和高方向的尺寸误差应至少满足GB</w:t>
      </w:r>
      <w:r>
        <w:rPr>
          <w:rFonts w:hAnsi="宋体"/>
          <w:szCs w:val="21"/>
        </w:rPr>
        <w:t>/</w:t>
      </w:r>
      <w:r>
        <w:rPr>
          <w:rFonts w:hint="eastAsia" w:hAnsi="宋体"/>
          <w:szCs w:val="21"/>
        </w:rPr>
        <w:t>T 1804 《一般公差 未注公差的线性和角度尺寸的公差》中的C级要求，即（120,400）范围内误差为±1.2mm，（400,1000）范围内误差为±2mm，（1000,2000）范围内误差为±3mm。</w:t>
      </w:r>
    </w:p>
    <w:p w14:paraId="7F95D775">
      <w:pPr>
        <w:pStyle w:val="58"/>
        <w:spacing w:line="360" w:lineRule="auto"/>
        <w:rPr>
          <w:rFonts w:hAnsi="宋体"/>
          <w:szCs w:val="21"/>
        </w:rPr>
      </w:pPr>
      <w:r>
        <w:rPr>
          <w:rFonts w:hint="eastAsia" w:hAnsi="宋体"/>
          <w:szCs w:val="21"/>
        </w:rPr>
        <w:t>箱体外表面不允许有皱纹，流痕，针孔，起泡，透底等现象，色泽应均匀。</w:t>
      </w:r>
    </w:p>
    <w:p w14:paraId="6240D038">
      <w:pPr>
        <w:pStyle w:val="58"/>
        <w:spacing w:line="360" w:lineRule="auto"/>
        <w:rPr>
          <w:rFonts w:hAnsi="宋体"/>
          <w:szCs w:val="21"/>
        </w:rPr>
      </w:pPr>
      <w:r>
        <w:rPr>
          <w:rFonts w:hint="eastAsia" w:hAnsi="宋体"/>
          <w:szCs w:val="21"/>
        </w:rPr>
        <w:t>外壳防护等级：≥</w:t>
      </w:r>
      <w:r>
        <w:rPr>
          <w:rFonts w:hAnsi="宋体"/>
          <w:szCs w:val="21"/>
        </w:rPr>
        <w:t>IP30</w:t>
      </w:r>
      <w:r>
        <w:rPr>
          <w:rFonts w:hint="eastAsia" w:hAnsi="宋体"/>
          <w:szCs w:val="21"/>
        </w:rPr>
        <w:t>。外壳防撞等级：≥</w:t>
      </w:r>
      <w:r>
        <w:rPr>
          <w:rFonts w:hAnsi="宋体"/>
          <w:szCs w:val="21"/>
        </w:rPr>
        <w:t>IK10</w:t>
      </w:r>
      <w:r>
        <w:rPr>
          <w:rFonts w:hint="eastAsia" w:hAnsi="宋体"/>
          <w:szCs w:val="21"/>
        </w:rPr>
        <w:t>。</w:t>
      </w:r>
    </w:p>
    <w:p w14:paraId="11803417">
      <w:pPr>
        <w:pStyle w:val="58"/>
        <w:spacing w:line="360" w:lineRule="auto"/>
        <w:rPr>
          <w:rFonts w:hAnsi="宋体"/>
          <w:szCs w:val="21"/>
        </w:rPr>
      </w:pPr>
      <w:r>
        <w:rPr>
          <w:rFonts w:hint="eastAsia" w:hAnsi="宋体"/>
          <w:szCs w:val="21"/>
        </w:rPr>
        <w:t>箱体外壳采用</w:t>
      </w:r>
      <w:r>
        <w:rPr>
          <w:rFonts w:hAnsi="宋体"/>
          <w:szCs w:val="21"/>
        </w:rPr>
        <w:t>304</w:t>
      </w:r>
      <w:r>
        <w:rPr>
          <w:rFonts w:hint="eastAsia" w:hAnsi="宋体"/>
          <w:szCs w:val="21"/>
        </w:rPr>
        <w:t>不锈钢，厚度不小于</w:t>
      </w:r>
      <w:r>
        <w:rPr>
          <w:rFonts w:hAnsi="宋体"/>
          <w:szCs w:val="21"/>
        </w:rPr>
        <w:t>2.0mm</w:t>
      </w:r>
      <w:r>
        <w:rPr>
          <w:rFonts w:hint="eastAsia" w:hAnsi="宋体"/>
          <w:szCs w:val="21"/>
        </w:rPr>
        <w:t>，焊接结构，使用年限不少于</w:t>
      </w:r>
      <w:r>
        <w:rPr>
          <w:rFonts w:hAnsi="宋体"/>
          <w:szCs w:val="21"/>
        </w:rPr>
        <w:t>30</w:t>
      </w:r>
      <w:r>
        <w:rPr>
          <w:rFonts w:hint="eastAsia" w:hAnsi="宋体"/>
          <w:szCs w:val="21"/>
        </w:rPr>
        <w:t>年。</w:t>
      </w:r>
    </w:p>
    <w:p w14:paraId="7E5B0CE6">
      <w:pPr>
        <w:pStyle w:val="58"/>
        <w:spacing w:line="360" w:lineRule="auto"/>
        <w:rPr>
          <w:rFonts w:hAnsi="宋体"/>
          <w:szCs w:val="21"/>
        </w:rPr>
      </w:pPr>
      <w:r>
        <w:rPr>
          <w:rFonts w:hint="eastAsia" w:hAnsi="宋体"/>
          <w:szCs w:val="21"/>
        </w:rPr>
        <w:t>箱体表面拉丝抛光处理。</w:t>
      </w:r>
    </w:p>
    <w:p w14:paraId="060ADCC1">
      <w:pPr>
        <w:pStyle w:val="58"/>
        <w:spacing w:line="360" w:lineRule="auto"/>
        <w:rPr>
          <w:rFonts w:hAnsi="宋体"/>
          <w:szCs w:val="21"/>
        </w:rPr>
      </w:pPr>
      <w:r>
        <w:rPr>
          <w:rFonts w:hint="eastAsia" w:hAnsi="宋体"/>
          <w:szCs w:val="21"/>
        </w:rPr>
        <w:t>不锈钢的化学成分应符合下表要求。</w:t>
      </w:r>
    </w:p>
    <w:p w14:paraId="69C37BB4">
      <w:pPr>
        <w:pStyle w:val="58"/>
        <w:ind w:firstLine="420"/>
        <w:jc w:val="center"/>
        <w:rPr>
          <w:sz w:val="21"/>
          <w:szCs w:val="21"/>
        </w:rPr>
      </w:pPr>
      <w:r>
        <w:rPr>
          <w:rFonts w:hint="eastAsia"/>
          <w:sz w:val="21"/>
          <w:szCs w:val="21"/>
        </w:rPr>
        <w:t>表4.3.5-1</w:t>
      </w:r>
      <w:r>
        <w:rPr>
          <w:sz w:val="21"/>
          <w:szCs w:val="21"/>
        </w:rPr>
        <w:t xml:space="preserve">  </w:t>
      </w:r>
      <w:r>
        <w:rPr>
          <w:rFonts w:hint="eastAsia" w:hAnsi="宋体"/>
          <w:sz w:val="21"/>
          <w:szCs w:val="21"/>
        </w:rPr>
        <w:t>不锈钢的化学成分</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6"/>
        <w:gridCol w:w="1127"/>
        <w:gridCol w:w="1127"/>
        <w:gridCol w:w="1127"/>
        <w:gridCol w:w="1186"/>
        <w:gridCol w:w="1186"/>
        <w:gridCol w:w="1140"/>
        <w:gridCol w:w="1128"/>
      </w:tblGrid>
      <w:tr w14:paraId="0B32D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9" w:type="dxa"/>
            <w:vAlign w:val="center"/>
          </w:tcPr>
          <w:p w14:paraId="0B6D8CF3">
            <w:pPr>
              <w:spacing w:line="360" w:lineRule="auto"/>
              <w:jc w:val="center"/>
              <w:rPr>
                <w:rFonts w:ascii="宋体" w:hAnsi="宋体"/>
                <w:szCs w:val="21"/>
              </w:rPr>
            </w:pPr>
            <w:r>
              <w:rPr>
                <w:rFonts w:hint="eastAsia" w:ascii="宋体" w:hAnsi="宋体"/>
                <w:szCs w:val="21"/>
              </w:rPr>
              <w:t>材料</w:t>
            </w:r>
          </w:p>
        </w:tc>
        <w:tc>
          <w:tcPr>
            <w:tcW w:w="1189" w:type="dxa"/>
            <w:vAlign w:val="center"/>
          </w:tcPr>
          <w:p w14:paraId="04C4F09E">
            <w:pPr>
              <w:spacing w:line="360" w:lineRule="auto"/>
              <w:jc w:val="center"/>
              <w:rPr>
                <w:rFonts w:ascii="宋体" w:hAnsi="宋体"/>
                <w:szCs w:val="21"/>
              </w:rPr>
            </w:pPr>
            <w:r>
              <w:rPr>
                <w:rFonts w:ascii="宋体" w:hAnsi="宋体"/>
                <w:szCs w:val="21"/>
              </w:rPr>
              <w:t>C</w:t>
            </w:r>
          </w:p>
        </w:tc>
        <w:tc>
          <w:tcPr>
            <w:tcW w:w="1189" w:type="dxa"/>
            <w:vAlign w:val="center"/>
          </w:tcPr>
          <w:p w14:paraId="124F8291">
            <w:pPr>
              <w:spacing w:line="360" w:lineRule="auto"/>
              <w:jc w:val="center"/>
              <w:rPr>
                <w:rFonts w:ascii="宋体" w:hAnsi="宋体"/>
                <w:szCs w:val="21"/>
              </w:rPr>
            </w:pPr>
            <w:r>
              <w:rPr>
                <w:rFonts w:ascii="宋体" w:hAnsi="宋体"/>
                <w:szCs w:val="21"/>
              </w:rPr>
              <w:t>Mn</w:t>
            </w:r>
          </w:p>
        </w:tc>
        <w:tc>
          <w:tcPr>
            <w:tcW w:w="1189" w:type="dxa"/>
            <w:vAlign w:val="center"/>
          </w:tcPr>
          <w:p w14:paraId="0F50ABC0">
            <w:pPr>
              <w:spacing w:line="360" w:lineRule="auto"/>
              <w:jc w:val="center"/>
              <w:rPr>
                <w:rFonts w:ascii="宋体" w:hAnsi="宋体"/>
                <w:szCs w:val="21"/>
              </w:rPr>
            </w:pPr>
            <w:r>
              <w:rPr>
                <w:rFonts w:ascii="宋体" w:hAnsi="宋体"/>
                <w:szCs w:val="21"/>
              </w:rPr>
              <w:t>Si</w:t>
            </w:r>
          </w:p>
        </w:tc>
        <w:tc>
          <w:tcPr>
            <w:tcW w:w="1189" w:type="dxa"/>
            <w:vAlign w:val="center"/>
          </w:tcPr>
          <w:p w14:paraId="24D9ABA2">
            <w:pPr>
              <w:spacing w:line="360" w:lineRule="auto"/>
              <w:jc w:val="center"/>
              <w:rPr>
                <w:rFonts w:ascii="宋体" w:hAnsi="宋体"/>
                <w:szCs w:val="21"/>
              </w:rPr>
            </w:pPr>
            <w:r>
              <w:rPr>
                <w:rFonts w:ascii="宋体" w:hAnsi="宋体"/>
                <w:szCs w:val="21"/>
              </w:rPr>
              <w:t>Cr</w:t>
            </w:r>
          </w:p>
        </w:tc>
        <w:tc>
          <w:tcPr>
            <w:tcW w:w="1189" w:type="dxa"/>
            <w:vAlign w:val="center"/>
          </w:tcPr>
          <w:p w14:paraId="4D9A393F">
            <w:pPr>
              <w:spacing w:line="360" w:lineRule="auto"/>
              <w:jc w:val="center"/>
              <w:rPr>
                <w:rFonts w:ascii="宋体" w:hAnsi="宋体"/>
                <w:szCs w:val="21"/>
              </w:rPr>
            </w:pPr>
            <w:r>
              <w:rPr>
                <w:rFonts w:ascii="宋体" w:hAnsi="宋体"/>
                <w:szCs w:val="21"/>
              </w:rPr>
              <w:t>Ni</w:t>
            </w:r>
          </w:p>
        </w:tc>
        <w:tc>
          <w:tcPr>
            <w:tcW w:w="1190" w:type="dxa"/>
            <w:vAlign w:val="center"/>
          </w:tcPr>
          <w:p w14:paraId="30930619">
            <w:pPr>
              <w:spacing w:line="360" w:lineRule="auto"/>
              <w:jc w:val="center"/>
              <w:rPr>
                <w:rFonts w:ascii="宋体" w:hAnsi="宋体"/>
                <w:szCs w:val="21"/>
              </w:rPr>
            </w:pPr>
            <w:r>
              <w:rPr>
                <w:rFonts w:ascii="宋体" w:hAnsi="宋体"/>
                <w:szCs w:val="21"/>
              </w:rPr>
              <w:t>P</w:t>
            </w:r>
          </w:p>
        </w:tc>
        <w:tc>
          <w:tcPr>
            <w:tcW w:w="1190" w:type="dxa"/>
            <w:vAlign w:val="center"/>
          </w:tcPr>
          <w:p w14:paraId="135DA941">
            <w:pPr>
              <w:spacing w:line="360" w:lineRule="auto"/>
              <w:jc w:val="center"/>
              <w:rPr>
                <w:rFonts w:ascii="宋体" w:hAnsi="宋体"/>
                <w:szCs w:val="21"/>
              </w:rPr>
            </w:pPr>
            <w:r>
              <w:rPr>
                <w:rFonts w:ascii="宋体" w:hAnsi="宋体"/>
                <w:szCs w:val="21"/>
              </w:rPr>
              <w:t>S</w:t>
            </w:r>
          </w:p>
        </w:tc>
      </w:tr>
      <w:tr w14:paraId="7E9E3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9" w:type="dxa"/>
            <w:vAlign w:val="center"/>
          </w:tcPr>
          <w:p w14:paraId="377A2B78">
            <w:pPr>
              <w:spacing w:line="360" w:lineRule="auto"/>
              <w:jc w:val="center"/>
              <w:rPr>
                <w:rFonts w:ascii="宋体" w:hAnsi="宋体"/>
                <w:szCs w:val="21"/>
              </w:rPr>
            </w:pPr>
            <w:r>
              <w:rPr>
                <w:rFonts w:ascii="宋体" w:hAnsi="宋体"/>
                <w:szCs w:val="21"/>
              </w:rPr>
              <w:t>00Cr19Ni10</w:t>
            </w:r>
          </w:p>
        </w:tc>
        <w:tc>
          <w:tcPr>
            <w:tcW w:w="1189" w:type="dxa"/>
            <w:vAlign w:val="center"/>
          </w:tcPr>
          <w:p w14:paraId="64E26DE9">
            <w:pPr>
              <w:spacing w:line="360" w:lineRule="auto"/>
              <w:jc w:val="center"/>
              <w:rPr>
                <w:rFonts w:ascii="宋体" w:hAnsi="宋体"/>
                <w:szCs w:val="21"/>
              </w:rPr>
            </w:pPr>
            <w:r>
              <w:rPr>
                <w:rFonts w:ascii="宋体" w:hAnsi="宋体"/>
                <w:szCs w:val="21"/>
              </w:rPr>
              <w:t>0.03</w:t>
            </w:r>
          </w:p>
        </w:tc>
        <w:tc>
          <w:tcPr>
            <w:tcW w:w="1189" w:type="dxa"/>
            <w:vAlign w:val="center"/>
          </w:tcPr>
          <w:p w14:paraId="5D9F833F">
            <w:pPr>
              <w:spacing w:line="360" w:lineRule="auto"/>
              <w:jc w:val="center"/>
              <w:rPr>
                <w:rFonts w:ascii="宋体" w:hAnsi="宋体"/>
                <w:szCs w:val="21"/>
              </w:rPr>
            </w:pPr>
            <w:r>
              <w:rPr>
                <w:rFonts w:ascii="宋体" w:hAnsi="宋体"/>
                <w:szCs w:val="21"/>
              </w:rPr>
              <w:t>2.00</w:t>
            </w:r>
          </w:p>
        </w:tc>
        <w:tc>
          <w:tcPr>
            <w:tcW w:w="1189" w:type="dxa"/>
            <w:vAlign w:val="center"/>
          </w:tcPr>
          <w:p w14:paraId="4B7AEE8A">
            <w:pPr>
              <w:spacing w:line="360" w:lineRule="auto"/>
              <w:jc w:val="center"/>
              <w:rPr>
                <w:rFonts w:ascii="宋体" w:hAnsi="宋体"/>
                <w:szCs w:val="21"/>
              </w:rPr>
            </w:pPr>
            <w:r>
              <w:rPr>
                <w:rFonts w:ascii="宋体" w:hAnsi="宋体"/>
                <w:szCs w:val="21"/>
              </w:rPr>
              <w:t>1.00</w:t>
            </w:r>
          </w:p>
        </w:tc>
        <w:tc>
          <w:tcPr>
            <w:tcW w:w="1189" w:type="dxa"/>
            <w:vAlign w:val="center"/>
          </w:tcPr>
          <w:p w14:paraId="461DF821">
            <w:pPr>
              <w:spacing w:line="360" w:lineRule="auto"/>
              <w:jc w:val="center"/>
              <w:rPr>
                <w:rFonts w:ascii="宋体" w:hAnsi="宋体"/>
                <w:szCs w:val="21"/>
              </w:rPr>
            </w:pPr>
            <w:r>
              <w:rPr>
                <w:rFonts w:ascii="宋体" w:hAnsi="宋体"/>
                <w:szCs w:val="21"/>
              </w:rPr>
              <w:t>18.0~20.0</w:t>
            </w:r>
          </w:p>
        </w:tc>
        <w:tc>
          <w:tcPr>
            <w:tcW w:w="1189" w:type="dxa"/>
            <w:vAlign w:val="center"/>
          </w:tcPr>
          <w:p w14:paraId="06C4D538">
            <w:pPr>
              <w:spacing w:line="360" w:lineRule="auto"/>
              <w:jc w:val="center"/>
              <w:rPr>
                <w:rFonts w:ascii="宋体" w:hAnsi="宋体"/>
                <w:szCs w:val="21"/>
              </w:rPr>
            </w:pPr>
            <w:r>
              <w:rPr>
                <w:rFonts w:ascii="宋体" w:hAnsi="宋体"/>
                <w:szCs w:val="21"/>
              </w:rPr>
              <w:t>8.00~12.0</w:t>
            </w:r>
          </w:p>
        </w:tc>
        <w:tc>
          <w:tcPr>
            <w:tcW w:w="1190" w:type="dxa"/>
            <w:vAlign w:val="center"/>
          </w:tcPr>
          <w:p w14:paraId="483486E8">
            <w:pPr>
              <w:spacing w:line="360" w:lineRule="auto"/>
              <w:jc w:val="center"/>
              <w:rPr>
                <w:rFonts w:ascii="宋体" w:hAnsi="宋体"/>
                <w:szCs w:val="21"/>
              </w:rPr>
            </w:pPr>
            <w:r>
              <w:rPr>
                <w:rFonts w:ascii="宋体" w:hAnsi="宋体"/>
                <w:szCs w:val="21"/>
              </w:rPr>
              <w:t>0.045</w:t>
            </w:r>
          </w:p>
        </w:tc>
        <w:tc>
          <w:tcPr>
            <w:tcW w:w="1190" w:type="dxa"/>
            <w:vAlign w:val="center"/>
          </w:tcPr>
          <w:p w14:paraId="222849A6">
            <w:pPr>
              <w:spacing w:line="360" w:lineRule="auto"/>
              <w:jc w:val="center"/>
              <w:rPr>
                <w:rFonts w:ascii="宋体" w:hAnsi="宋体"/>
                <w:szCs w:val="21"/>
              </w:rPr>
            </w:pPr>
            <w:r>
              <w:rPr>
                <w:rFonts w:ascii="宋体" w:hAnsi="宋体"/>
                <w:szCs w:val="21"/>
              </w:rPr>
              <w:t>0.03</w:t>
            </w:r>
          </w:p>
        </w:tc>
      </w:tr>
    </w:tbl>
    <w:p w14:paraId="16B88DD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不锈钢表面加工等级为</w:t>
      </w:r>
      <w:r>
        <w:rPr>
          <w:rFonts w:eastAsiaTheme="minorEastAsia"/>
          <w:color w:val="000000" w:themeColor="text1"/>
          <w:sz w:val="24"/>
          <w:szCs w:val="24"/>
          <w14:textFill>
            <w14:solidFill>
              <w14:schemeClr w14:val="tx1"/>
            </w14:solidFill>
          </w14:textFill>
        </w:rPr>
        <w:t>BA</w:t>
      </w:r>
      <w:r>
        <w:rPr>
          <w:rFonts w:hint="eastAsia" w:eastAsiaTheme="minorEastAsia"/>
          <w:color w:val="000000" w:themeColor="text1"/>
          <w:sz w:val="24"/>
          <w:szCs w:val="24"/>
          <w14:textFill>
            <w14:solidFill>
              <w14:schemeClr w14:val="tx1"/>
            </w14:solidFill>
          </w14:textFill>
        </w:rPr>
        <w:t>，即为取得光亮表面，可在受控炉气中进行退火，经此处理后的钢带</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不得有分层、裂纹、气泡、夹杂和结疤，不得有氧化皮和过酸洗，允许有深度不大于钢带厚度公差的轻微麻点、轻微划伤、凹坑和辊印，对于表面的有害缺陷，允许用修磨的方式清除，但应保证钢带的最小厚度。</w:t>
      </w:r>
    </w:p>
    <w:p w14:paraId="4125998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钢带的边缘应平整，切边钢带的边不允许有超过深度超过宽度公差一半的切割不齐和大于钢带厚度的毛刺不切边钢带不允许有大于宽度公差的裂边。</w:t>
      </w:r>
    </w:p>
    <w:p w14:paraId="292D360B">
      <w:pPr>
        <w:snapToGrid w:val="0"/>
        <w:spacing w:line="480" w:lineRule="atLeast"/>
        <w:ind w:firstLine="480" w:firstLineChars="200"/>
        <w:rPr>
          <w:rFonts w:eastAsiaTheme="minorEastAsia"/>
          <w:color w:val="000000" w:themeColor="text1"/>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对油区、危险化学品间等特殊场所，应选用防爆型电源箱。</w:t>
      </w:r>
    </w:p>
    <w:p w14:paraId="7262C03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65" w:name="_Toc412810140"/>
      <w:r>
        <w:rPr>
          <w:rFonts w:eastAsiaTheme="minorEastAsia"/>
          <w:color w:val="000000" w:themeColor="text1"/>
          <w:sz w:val="24"/>
          <w:szCs w:val="24"/>
          <w14:textFill>
            <w14:solidFill>
              <w14:schemeClr w14:val="tx1"/>
            </w14:solidFill>
          </w14:textFill>
        </w:rPr>
        <w:t xml:space="preserve">4.3.5.4 </w:t>
      </w:r>
      <w:r>
        <w:rPr>
          <w:rFonts w:hint="eastAsia" w:eastAsiaTheme="minorEastAsia"/>
          <w:color w:val="000000" w:themeColor="text1"/>
          <w:sz w:val="24"/>
          <w:szCs w:val="24"/>
          <w14:textFill>
            <w14:solidFill>
              <w14:schemeClr w14:val="tx1"/>
            </w14:solidFill>
          </w14:textFill>
        </w:rPr>
        <w:t>电气技术要求</w:t>
      </w:r>
      <w:bookmarkEnd w:id="565"/>
    </w:p>
    <w:p w14:paraId="51762FD1">
      <w:pPr>
        <w:pStyle w:val="178"/>
        <w:numPr>
          <w:ilvl w:val="0"/>
          <w:numId w:val="35"/>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电气元件</w:t>
      </w:r>
    </w:p>
    <w:p w14:paraId="3E153360">
      <w:pPr>
        <w:snapToGrid w:val="0"/>
        <w:spacing w:line="480" w:lineRule="atLeast"/>
        <w:ind w:firstLine="480" w:firstLineChars="200"/>
        <w:rPr>
          <w:rFonts w:eastAsiaTheme="minorEastAsia"/>
          <w:color w:val="000000" w:themeColor="text1"/>
          <w:sz w:val="24"/>
          <w:szCs w:val="24"/>
          <w:u w:val="single"/>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）电器元件质量良好，型号、规格应符合设计要求，外观应完好，且附件齐全。</w:t>
      </w:r>
      <w:r>
        <w:rPr>
          <w:rFonts w:hint="eastAsia" w:eastAsiaTheme="minorEastAsia"/>
          <w:color w:val="000000" w:themeColor="text1"/>
          <w:sz w:val="24"/>
          <w:szCs w:val="24"/>
          <w:u w:val="single"/>
          <w14:textFill>
            <w14:solidFill>
              <w14:schemeClr w14:val="tx1"/>
            </w14:solidFill>
          </w14:textFill>
        </w:rPr>
        <w:t>开关选用施耐德、</w:t>
      </w:r>
      <w:r>
        <w:rPr>
          <w:rFonts w:eastAsiaTheme="minorEastAsia"/>
          <w:color w:val="000000" w:themeColor="text1"/>
          <w:sz w:val="24"/>
          <w:szCs w:val="24"/>
          <w:u w:val="single"/>
          <w14:textFill>
            <w14:solidFill>
              <w14:schemeClr w14:val="tx1"/>
            </w14:solidFill>
          </w14:textFill>
        </w:rPr>
        <w:t>ABB</w:t>
      </w:r>
      <w:r>
        <w:rPr>
          <w:rFonts w:hint="eastAsia" w:eastAsiaTheme="minorEastAsia"/>
          <w:color w:val="000000" w:themeColor="text1"/>
          <w:sz w:val="24"/>
          <w:szCs w:val="24"/>
          <w:u w:val="single"/>
          <w14:textFill>
            <w14:solidFill>
              <w14:schemeClr w14:val="tx1"/>
            </w14:solidFill>
          </w14:textFill>
        </w:rPr>
        <w:t>、西门子公司产品。</w:t>
      </w:r>
    </w:p>
    <w:p w14:paraId="4E60CA8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）所有额定值和结构相同的元件应具有互换性。</w:t>
      </w:r>
    </w:p>
    <w:p w14:paraId="7246A96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）箱内元件应排列整齐，固定牢靠，相位标识清楚，按功能单元布置，相对独立，方便维护。</w:t>
      </w:r>
    </w:p>
    <w:p w14:paraId="1BDCF69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4</w:t>
      </w:r>
      <w:r>
        <w:rPr>
          <w:rFonts w:hint="eastAsia" w:eastAsiaTheme="minorEastAsia"/>
          <w:color w:val="000000" w:themeColor="text1"/>
          <w:sz w:val="24"/>
          <w:szCs w:val="24"/>
          <w14:textFill>
            <w14:solidFill>
              <w14:schemeClr w14:val="tx1"/>
            </w14:solidFill>
          </w14:textFill>
        </w:rPr>
        <w:t>）各元件应能单独拆装更换，不影响其它电器及导线束固定。</w:t>
      </w:r>
    </w:p>
    <w:p w14:paraId="06ED88A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）箱内电器选择单相或三相快速自动空气开关，严禁使用带有熔丝的各类保险，空气开关的参数选择既要满足所带负载的需要，又要满足上下级差的要求，确保选择性。</w:t>
      </w:r>
    </w:p>
    <w:p w14:paraId="619F46A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6</w:t>
      </w:r>
      <w:r>
        <w:rPr>
          <w:rFonts w:hint="eastAsia" w:eastAsiaTheme="minorEastAsia"/>
          <w:color w:val="000000" w:themeColor="text1"/>
          <w:sz w:val="24"/>
          <w:szCs w:val="24"/>
          <w14:textFill>
            <w14:solidFill>
              <w14:schemeClr w14:val="tx1"/>
            </w14:solidFill>
          </w14:textFill>
        </w:rPr>
        <w:t>）箱内三相汇流母线以及中性线和保护地线均为铜排。</w:t>
      </w:r>
    </w:p>
    <w:p w14:paraId="366751E9">
      <w:pPr>
        <w:pStyle w:val="178"/>
        <w:numPr>
          <w:ilvl w:val="0"/>
          <w:numId w:val="35"/>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接线要求</w:t>
      </w:r>
    </w:p>
    <w:p w14:paraId="34BE232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）箱内使用的导线均为阻燃型铜芯塑线，组装及配线时，结合到电器外形尺寸、使用及维修方便等进行合理布局，导线颜色按国家标准要求进行配线：</w:t>
      </w:r>
      <w:r>
        <w:rPr>
          <w:rFonts w:eastAsiaTheme="minorEastAsia"/>
          <w:color w:val="000000" w:themeColor="text1"/>
          <w:sz w:val="24"/>
          <w:szCs w:val="24"/>
          <w14:textFill>
            <w14:solidFill>
              <w14:schemeClr w14:val="tx1"/>
            </w14:solidFill>
          </w14:textFill>
        </w:rPr>
        <w:t>A</w:t>
      </w:r>
      <w:r>
        <w:rPr>
          <w:rFonts w:hint="eastAsia" w:eastAsiaTheme="minorEastAsia"/>
          <w:color w:val="000000" w:themeColor="text1"/>
          <w:sz w:val="24"/>
          <w:szCs w:val="24"/>
          <w14:textFill>
            <w14:solidFill>
              <w14:schemeClr w14:val="tx1"/>
            </w14:solidFill>
          </w14:textFill>
        </w:rPr>
        <w:t>相：黄色；</w:t>
      </w:r>
      <w:r>
        <w:rPr>
          <w:rFonts w:eastAsiaTheme="minorEastAsia"/>
          <w:color w:val="000000" w:themeColor="text1"/>
          <w:sz w:val="24"/>
          <w:szCs w:val="24"/>
          <w14:textFill>
            <w14:solidFill>
              <w14:schemeClr w14:val="tx1"/>
            </w14:solidFill>
          </w14:textFill>
        </w:rPr>
        <w:t>B</w:t>
      </w:r>
      <w:r>
        <w:rPr>
          <w:rFonts w:hint="eastAsia" w:eastAsiaTheme="minorEastAsia"/>
          <w:color w:val="000000" w:themeColor="text1"/>
          <w:sz w:val="24"/>
          <w:szCs w:val="24"/>
          <w14:textFill>
            <w14:solidFill>
              <w14:schemeClr w14:val="tx1"/>
            </w14:solidFill>
          </w14:textFill>
        </w:rPr>
        <w:t>相：绿色；</w:t>
      </w:r>
      <w:r>
        <w:rPr>
          <w:rFonts w:eastAsiaTheme="minorEastAsia"/>
          <w:color w:val="000000" w:themeColor="text1"/>
          <w:sz w:val="24"/>
          <w:szCs w:val="24"/>
          <w14:textFill>
            <w14:solidFill>
              <w14:schemeClr w14:val="tx1"/>
            </w14:solidFill>
          </w14:textFill>
        </w:rPr>
        <w:t>C</w:t>
      </w:r>
      <w:r>
        <w:rPr>
          <w:rFonts w:hint="eastAsia" w:eastAsiaTheme="minorEastAsia"/>
          <w:color w:val="000000" w:themeColor="text1"/>
          <w:sz w:val="24"/>
          <w:szCs w:val="24"/>
          <w14:textFill>
            <w14:solidFill>
              <w14:schemeClr w14:val="tx1"/>
            </w14:solidFill>
          </w14:textFill>
        </w:rPr>
        <w:t>相：红色；零线（</w:t>
      </w:r>
      <w:r>
        <w:rPr>
          <w:rFonts w:eastAsiaTheme="minorEastAsia"/>
          <w:color w:val="000000" w:themeColor="text1"/>
          <w:sz w:val="24"/>
          <w:szCs w:val="24"/>
          <w14:textFill>
            <w14:solidFill>
              <w14:schemeClr w14:val="tx1"/>
            </w14:solidFill>
          </w14:textFill>
        </w:rPr>
        <w:t>N</w:t>
      </w:r>
      <w:r>
        <w:rPr>
          <w:rFonts w:hint="eastAsia" w:eastAsiaTheme="minorEastAsia"/>
          <w:color w:val="000000" w:themeColor="text1"/>
          <w:sz w:val="24"/>
          <w:szCs w:val="24"/>
          <w14:textFill>
            <w14:solidFill>
              <w14:schemeClr w14:val="tx1"/>
            </w14:solidFill>
          </w14:textFill>
        </w:rPr>
        <w:t>）：淡蓝色；地线（</w:t>
      </w:r>
      <w:r>
        <w:rPr>
          <w:rFonts w:eastAsiaTheme="minorEastAsia"/>
          <w:color w:val="000000" w:themeColor="text1"/>
          <w:sz w:val="24"/>
          <w:szCs w:val="24"/>
          <w14:textFill>
            <w14:solidFill>
              <w14:schemeClr w14:val="tx1"/>
            </w14:solidFill>
          </w14:textFill>
        </w:rPr>
        <w:t>PE</w:t>
      </w:r>
      <w:r>
        <w:rPr>
          <w:rFonts w:hint="eastAsia" w:eastAsiaTheme="minorEastAsia"/>
          <w:color w:val="000000" w:themeColor="text1"/>
          <w:sz w:val="24"/>
          <w:szCs w:val="24"/>
          <w14:textFill>
            <w14:solidFill>
              <w14:schemeClr w14:val="tx1"/>
            </w14:solidFill>
          </w14:textFill>
        </w:rPr>
        <w:t>）：黄绿双色。引出或引进的导线应留有适当的余量长度，以便检修。导线剥削处不应过长，导线压头应牢固可靠。多股导线需用冷压端头压接且不得减少导线股数。导线连接采用直接或加装压线端子。零线和</w:t>
      </w:r>
      <w:r>
        <w:rPr>
          <w:rFonts w:eastAsiaTheme="minorEastAsia"/>
          <w:color w:val="000000" w:themeColor="text1"/>
          <w:sz w:val="24"/>
          <w:szCs w:val="24"/>
          <w14:textFill>
            <w14:solidFill>
              <w14:schemeClr w14:val="tx1"/>
            </w14:solidFill>
          </w14:textFill>
        </w:rPr>
        <w:t>PE</w:t>
      </w:r>
      <w:r>
        <w:rPr>
          <w:rFonts w:hint="eastAsia" w:eastAsiaTheme="minorEastAsia"/>
          <w:color w:val="000000" w:themeColor="text1"/>
          <w:sz w:val="24"/>
          <w:szCs w:val="24"/>
          <w14:textFill>
            <w14:solidFill>
              <w14:schemeClr w14:val="tx1"/>
            </w14:solidFill>
          </w14:textFill>
        </w:rPr>
        <w:t>线端子排应保证一孔一线。</w:t>
      </w:r>
    </w:p>
    <w:p w14:paraId="7D582C6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导线与电器元件连接均采用冷压端头，冷压端头与导线压接质量符合国家标准。接线端部均应标明回路编号，编号正确、字迹清晰不易褪色。布线整齐、清晰、美观，导线良好无损伤，布线时应保证整齐、美观。</w:t>
      </w:r>
    </w:p>
    <w:p w14:paraId="3AACF21E">
      <w:pPr>
        <w:snapToGrid w:val="0"/>
        <w:spacing w:line="480" w:lineRule="atLeast"/>
        <w:ind w:firstLine="480" w:firstLineChars="200"/>
        <w:rPr>
          <w:rFonts w:eastAsiaTheme="minorEastAsia"/>
          <w:color w:val="000000" w:themeColor="text1"/>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）箱体消防联动接线需使用端子排，端子排性能要求如下：</w:t>
      </w:r>
    </w:p>
    <w:p w14:paraId="17D13C7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）采用耐压等级</w:t>
      </w:r>
      <w:r>
        <w:rPr>
          <w:rFonts w:eastAsiaTheme="minorEastAsia"/>
          <w:color w:val="000000" w:themeColor="text1"/>
          <w:sz w:val="24"/>
          <w:szCs w:val="24"/>
          <w14:textFill>
            <w14:solidFill>
              <w14:schemeClr w14:val="tx1"/>
            </w14:solidFill>
          </w14:textFill>
        </w:rPr>
        <w:t>1000V</w:t>
      </w:r>
      <w:r>
        <w:rPr>
          <w:rFonts w:hint="eastAsia" w:eastAsiaTheme="minorEastAsia"/>
          <w:color w:val="000000" w:themeColor="text1"/>
          <w:sz w:val="24"/>
          <w:szCs w:val="24"/>
          <w14:textFill>
            <w14:solidFill>
              <w14:schemeClr w14:val="tx1"/>
            </w14:solidFill>
          </w14:textFill>
        </w:rPr>
        <w:t>，阻燃</w:t>
      </w:r>
      <w:r>
        <w:rPr>
          <w:rFonts w:eastAsiaTheme="minorEastAsia"/>
          <w:color w:val="000000" w:themeColor="text1"/>
          <w:sz w:val="24"/>
          <w:szCs w:val="24"/>
          <w14:textFill>
            <w14:solidFill>
              <w14:schemeClr w14:val="tx1"/>
            </w14:solidFill>
          </w14:textFill>
        </w:rPr>
        <w:t>V0</w:t>
      </w:r>
      <w:r>
        <w:rPr>
          <w:rFonts w:hint="eastAsia" w:eastAsiaTheme="minorEastAsia"/>
          <w:color w:val="000000" w:themeColor="text1"/>
          <w:sz w:val="24"/>
          <w:szCs w:val="24"/>
          <w14:textFill>
            <w14:solidFill>
              <w14:schemeClr w14:val="tx1"/>
            </w14:solidFill>
          </w14:textFill>
        </w:rPr>
        <w:t>级的压接型端子，所有金属件为铜质。</w:t>
      </w:r>
    </w:p>
    <w:p w14:paraId="5108A93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）端子排间应绝缘良好，每个端子应标有序号，每节端子之间应有分隔标示端子。交流输入端子间应用空端子或绝缘隔片分区隔离。</w:t>
      </w:r>
    </w:p>
    <w:p w14:paraId="544FBD7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）交直流不同电源分开，强、弱电端子之间应有明显标志并设空端子隔开或设加强绝缘的隔板，箱内交流空气开关与二次回路的端子排中间要以绝缘板隔开。</w:t>
      </w:r>
    </w:p>
    <w:p w14:paraId="1223E04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4</w:t>
      </w:r>
      <w:r>
        <w:rPr>
          <w:rFonts w:hint="eastAsia" w:eastAsiaTheme="minorEastAsia"/>
          <w:color w:val="000000" w:themeColor="text1"/>
          <w:sz w:val="24"/>
          <w:szCs w:val="24"/>
          <w14:textFill>
            <w14:solidFill>
              <w14:schemeClr w14:val="tx1"/>
            </w14:solidFill>
          </w14:textFill>
        </w:rPr>
        <w:t>）电流回路应经过试验端子。</w:t>
      </w:r>
    </w:p>
    <w:p w14:paraId="055F2B02">
      <w:pPr>
        <w:snapToGrid w:val="0"/>
        <w:spacing w:line="480" w:lineRule="atLeast"/>
        <w:ind w:firstLine="480" w:firstLineChars="200"/>
        <w:rPr>
          <w:rFonts w:eastAsiaTheme="minorEastAsia"/>
          <w:color w:val="000000" w:themeColor="text1"/>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）每个端子只允许接一根导线。</w:t>
      </w:r>
    </w:p>
    <w:p w14:paraId="2F0195D6">
      <w:pPr>
        <w:pStyle w:val="178"/>
        <w:numPr>
          <w:ilvl w:val="0"/>
          <w:numId w:val="35"/>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箱内设备安装</w:t>
      </w:r>
    </w:p>
    <w:p w14:paraId="6ADE0FBA">
      <w:pPr>
        <w:snapToGrid w:val="0"/>
        <w:spacing w:line="480" w:lineRule="atLeast"/>
        <w:ind w:firstLine="480" w:firstLineChars="200"/>
        <w:rPr>
          <w:rFonts w:eastAsiaTheme="minorEastAsia"/>
          <w:color w:val="000000" w:themeColor="text1"/>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）箱内元器件的布置按功能单元区分，并在每个元器件上加贴元器件代号及用途，代号必须打印，不能手写。</w:t>
      </w:r>
    </w:p>
    <w:p w14:paraId="640E3C5E">
      <w:pPr>
        <w:snapToGrid w:val="0"/>
        <w:spacing w:line="480" w:lineRule="atLeast"/>
        <w:ind w:firstLine="480" w:firstLineChars="200"/>
        <w:rPr>
          <w:rFonts w:eastAsiaTheme="minorEastAsia"/>
          <w:color w:val="000000" w:themeColor="text1"/>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）电器元件应能单独拆装更换而不应影响其它电器及导线束的固定。</w:t>
      </w:r>
    </w:p>
    <w:p w14:paraId="112ECE46">
      <w:pPr>
        <w:snapToGrid w:val="0"/>
        <w:spacing w:line="480" w:lineRule="atLeast"/>
        <w:ind w:firstLine="480" w:firstLineChars="200"/>
        <w:rPr>
          <w:rFonts w:eastAsiaTheme="minorEastAsia"/>
          <w:color w:val="000000" w:themeColor="text1"/>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）箱内两导体间，导电体与裸露的不带电的导体间，电气间隙和爬电距离应符合表4.3.5-2的要求。</w:t>
      </w:r>
    </w:p>
    <w:p w14:paraId="4BAC0B07">
      <w:pPr>
        <w:pStyle w:val="58"/>
        <w:spacing w:line="360" w:lineRule="auto"/>
        <w:ind w:firstLine="0" w:firstLineChars="0"/>
        <w:jc w:val="center"/>
        <w:rPr>
          <w:rFonts w:hAnsi="宋体"/>
          <w:sz w:val="18"/>
          <w:szCs w:val="18"/>
        </w:rPr>
      </w:pPr>
      <w:r>
        <w:rPr>
          <w:rFonts w:hint="eastAsia" w:hAnsi="宋体"/>
          <w:sz w:val="18"/>
          <w:szCs w:val="18"/>
        </w:rPr>
        <w:t>表4.3.5-2 允许最小电气间隙及爬电距离（mm）</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93"/>
        <w:gridCol w:w="1499"/>
        <w:gridCol w:w="1499"/>
        <w:gridCol w:w="1499"/>
        <w:gridCol w:w="1497"/>
      </w:tblGrid>
      <w:tr w14:paraId="68591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3" w:type="pct"/>
            <w:vMerge w:val="restart"/>
            <w:vAlign w:val="center"/>
          </w:tcPr>
          <w:p w14:paraId="222FDCD8">
            <w:pPr>
              <w:jc w:val="center"/>
              <w:rPr>
                <w:rFonts w:ascii="宋体" w:hAnsi="宋体"/>
                <w:sz w:val="18"/>
                <w:szCs w:val="18"/>
              </w:rPr>
            </w:pPr>
            <w:r>
              <w:rPr>
                <w:rFonts w:hint="eastAsia" w:ascii="宋体" w:hAnsi="宋体"/>
                <w:sz w:val="18"/>
                <w:szCs w:val="18"/>
              </w:rPr>
              <w:t>额定电压（V）</w:t>
            </w:r>
          </w:p>
          <w:p w14:paraId="21380105">
            <w:pPr>
              <w:jc w:val="center"/>
              <w:rPr>
                <w:rFonts w:ascii="宋体" w:hAnsi="宋体"/>
                <w:sz w:val="18"/>
                <w:szCs w:val="18"/>
              </w:rPr>
            </w:pPr>
          </w:p>
        </w:tc>
        <w:tc>
          <w:tcPr>
            <w:tcW w:w="1614" w:type="pct"/>
            <w:gridSpan w:val="2"/>
            <w:vAlign w:val="center"/>
          </w:tcPr>
          <w:p w14:paraId="7C8BD948">
            <w:pPr>
              <w:jc w:val="center"/>
              <w:rPr>
                <w:rFonts w:ascii="宋体" w:hAnsi="宋体"/>
                <w:sz w:val="18"/>
                <w:szCs w:val="18"/>
              </w:rPr>
            </w:pPr>
            <w:r>
              <w:rPr>
                <w:rFonts w:hint="eastAsia" w:ascii="宋体" w:hAnsi="宋体"/>
                <w:sz w:val="18"/>
                <w:szCs w:val="18"/>
              </w:rPr>
              <w:t>电气间隙</w:t>
            </w:r>
          </w:p>
        </w:tc>
        <w:tc>
          <w:tcPr>
            <w:tcW w:w="1613" w:type="pct"/>
            <w:gridSpan w:val="2"/>
            <w:vAlign w:val="center"/>
          </w:tcPr>
          <w:p w14:paraId="1C1B8F67">
            <w:pPr>
              <w:jc w:val="center"/>
              <w:rPr>
                <w:rFonts w:ascii="宋体" w:hAnsi="宋体"/>
                <w:sz w:val="18"/>
                <w:szCs w:val="18"/>
              </w:rPr>
            </w:pPr>
            <w:r>
              <w:rPr>
                <w:rFonts w:hint="eastAsia" w:ascii="宋体" w:hAnsi="宋体"/>
                <w:sz w:val="18"/>
                <w:szCs w:val="18"/>
              </w:rPr>
              <w:t>爬电距离</w:t>
            </w:r>
          </w:p>
        </w:tc>
      </w:tr>
      <w:tr w14:paraId="28AA1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3" w:type="pct"/>
            <w:vMerge w:val="continue"/>
            <w:vAlign w:val="center"/>
          </w:tcPr>
          <w:p w14:paraId="3D3F3D24">
            <w:pPr>
              <w:pStyle w:val="58"/>
              <w:widowControl w:val="0"/>
              <w:spacing w:line="360" w:lineRule="auto"/>
              <w:ind w:firstLine="0" w:firstLineChars="0"/>
              <w:jc w:val="center"/>
              <w:rPr>
                <w:rFonts w:hAnsi="宋体"/>
                <w:sz w:val="18"/>
                <w:szCs w:val="18"/>
              </w:rPr>
            </w:pPr>
          </w:p>
        </w:tc>
        <w:tc>
          <w:tcPr>
            <w:tcW w:w="1614" w:type="pct"/>
            <w:gridSpan w:val="2"/>
            <w:vAlign w:val="center"/>
          </w:tcPr>
          <w:p w14:paraId="3E1950FD">
            <w:pPr>
              <w:pStyle w:val="58"/>
              <w:widowControl w:val="0"/>
              <w:spacing w:line="360" w:lineRule="auto"/>
              <w:ind w:firstLine="0" w:firstLineChars="0"/>
              <w:jc w:val="center"/>
              <w:rPr>
                <w:rFonts w:hAnsi="宋体"/>
                <w:sz w:val="18"/>
                <w:szCs w:val="18"/>
              </w:rPr>
            </w:pPr>
            <w:r>
              <w:rPr>
                <w:rFonts w:hint="eastAsia" w:hAnsi="宋体"/>
                <w:sz w:val="18"/>
                <w:szCs w:val="18"/>
              </w:rPr>
              <w:t>额定工作电流</w:t>
            </w:r>
          </w:p>
        </w:tc>
        <w:tc>
          <w:tcPr>
            <w:tcW w:w="1613" w:type="pct"/>
            <w:gridSpan w:val="2"/>
            <w:vAlign w:val="center"/>
          </w:tcPr>
          <w:p w14:paraId="6C44DB9D">
            <w:pPr>
              <w:pStyle w:val="58"/>
              <w:widowControl w:val="0"/>
              <w:spacing w:line="360" w:lineRule="auto"/>
              <w:ind w:firstLine="0" w:firstLineChars="0"/>
              <w:jc w:val="center"/>
              <w:rPr>
                <w:rFonts w:hAnsi="宋体"/>
                <w:sz w:val="18"/>
                <w:szCs w:val="18"/>
              </w:rPr>
            </w:pPr>
            <w:r>
              <w:rPr>
                <w:rFonts w:hint="eastAsia" w:hAnsi="宋体"/>
                <w:sz w:val="18"/>
                <w:szCs w:val="18"/>
              </w:rPr>
              <w:t>额定工作电流</w:t>
            </w:r>
          </w:p>
        </w:tc>
      </w:tr>
      <w:tr w14:paraId="2AC1F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3" w:type="pct"/>
            <w:vMerge w:val="continue"/>
            <w:vAlign w:val="center"/>
          </w:tcPr>
          <w:p w14:paraId="1F54FD39">
            <w:pPr>
              <w:pStyle w:val="58"/>
              <w:widowControl w:val="0"/>
              <w:spacing w:line="360" w:lineRule="auto"/>
              <w:ind w:firstLine="0" w:firstLineChars="0"/>
              <w:jc w:val="center"/>
              <w:rPr>
                <w:rFonts w:hAnsi="宋体"/>
                <w:sz w:val="18"/>
                <w:szCs w:val="18"/>
              </w:rPr>
            </w:pPr>
          </w:p>
        </w:tc>
        <w:tc>
          <w:tcPr>
            <w:tcW w:w="807" w:type="pct"/>
            <w:vAlign w:val="center"/>
          </w:tcPr>
          <w:p w14:paraId="1A832384">
            <w:pPr>
              <w:pStyle w:val="58"/>
              <w:widowControl w:val="0"/>
              <w:spacing w:line="360" w:lineRule="auto"/>
              <w:ind w:firstLine="0" w:firstLineChars="0"/>
              <w:jc w:val="center"/>
              <w:rPr>
                <w:rFonts w:hAnsi="宋体"/>
                <w:sz w:val="18"/>
                <w:szCs w:val="18"/>
              </w:rPr>
            </w:pPr>
            <w:r>
              <w:rPr>
                <w:rFonts w:hint="eastAsia" w:hAnsi="宋体"/>
                <w:sz w:val="18"/>
                <w:szCs w:val="18"/>
              </w:rPr>
              <w:t>≤63A</w:t>
            </w:r>
          </w:p>
        </w:tc>
        <w:tc>
          <w:tcPr>
            <w:tcW w:w="807" w:type="pct"/>
            <w:vAlign w:val="center"/>
          </w:tcPr>
          <w:p w14:paraId="33F62E16">
            <w:pPr>
              <w:pStyle w:val="58"/>
              <w:widowControl w:val="0"/>
              <w:spacing w:line="360" w:lineRule="auto"/>
              <w:ind w:firstLine="0" w:firstLineChars="0"/>
              <w:jc w:val="center"/>
              <w:rPr>
                <w:rFonts w:hAnsi="宋体"/>
                <w:sz w:val="18"/>
                <w:szCs w:val="18"/>
              </w:rPr>
            </w:pPr>
            <w:r>
              <w:rPr>
                <w:rFonts w:hint="eastAsia" w:hAnsi="宋体"/>
                <w:sz w:val="18"/>
                <w:szCs w:val="18"/>
              </w:rPr>
              <w:t>＞63A</w:t>
            </w:r>
          </w:p>
        </w:tc>
        <w:tc>
          <w:tcPr>
            <w:tcW w:w="807" w:type="pct"/>
            <w:vAlign w:val="center"/>
          </w:tcPr>
          <w:p w14:paraId="0652BF23">
            <w:pPr>
              <w:pStyle w:val="58"/>
              <w:widowControl w:val="0"/>
              <w:spacing w:line="360" w:lineRule="auto"/>
              <w:ind w:firstLine="0" w:firstLineChars="0"/>
              <w:jc w:val="center"/>
              <w:rPr>
                <w:rFonts w:hAnsi="宋体"/>
                <w:sz w:val="18"/>
                <w:szCs w:val="18"/>
              </w:rPr>
            </w:pPr>
            <w:r>
              <w:rPr>
                <w:rFonts w:hint="eastAsia" w:hAnsi="宋体"/>
                <w:sz w:val="18"/>
                <w:szCs w:val="18"/>
              </w:rPr>
              <w:t>≤63A</w:t>
            </w:r>
          </w:p>
        </w:tc>
        <w:tc>
          <w:tcPr>
            <w:tcW w:w="806" w:type="pct"/>
            <w:vAlign w:val="center"/>
          </w:tcPr>
          <w:p w14:paraId="2F7B5D95">
            <w:pPr>
              <w:pStyle w:val="58"/>
              <w:widowControl w:val="0"/>
              <w:spacing w:line="360" w:lineRule="auto"/>
              <w:ind w:firstLine="0" w:firstLineChars="0"/>
              <w:jc w:val="center"/>
              <w:rPr>
                <w:rFonts w:hAnsi="宋体"/>
                <w:sz w:val="18"/>
                <w:szCs w:val="18"/>
              </w:rPr>
            </w:pPr>
            <w:r>
              <w:rPr>
                <w:rFonts w:hint="eastAsia" w:hAnsi="宋体"/>
                <w:sz w:val="18"/>
                <w:szCs w:val="18"/>
              </w:rPr>
              <w:t>＞63A</w:t>
            </w:r>
          </w:p>
        </w:tc>
      </w:tr>
      <w:tr w14:paraId="16B3F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3" w:type="pct"/>
            <w:vAlign w:val="center"/>
          </w:tcPr>
          <w:p w14:paraId="6EECF119">
            <w:pPr>
              <w:jc w:val="center"/>
              <w:rPr>
                <w:rFonts w:ascii="宋体" w:hAnsi="宋体"/>
                <w:sz w:val="18"/>
                <w:szCs w:val="18"/>
              </w:rPr>
            </w:pPr>
            <w:r>
              <w:rPr>
                <w:rFonts w:hint="eastAsia" w:ascii="宋体" w:hAnsi="宋体"/>
                <w:sz w:val="18"/>
                <w:szCs w:val="18"/>
              </w:rPr>
              <w:t>≤60</w:t>
            </w:r>
          </w:p>
        </w:tc>
        <w:tc>
          <w:tcPr>
            <w:tcW w:w="807" w:type="pct"/>
            <w:vAlign w:val="center"/>
          </w:tcPr>
          <w:p w14:paraId="12EA4445">
            <w:pPr>
              <w:jc w:val="center"/>
              <w:rPr>
                <w:rFonts w:ascii="宋体" w:hAnsi="宋体"/>
                <w:sz w:val="18"/>
                <w:szCs w:val="18"/>
              </w:rPr>
            </w:pPr>
            <w:r>
              <w:rPr>
                <w:rFonts w:hint="eastAsia" w:ascii="宋体" w:hAnsi="宋体"/>
                <w:sz w:val="18"/>
                <w:szCs w:val="18"/>
              </w:rPr>
              <w:t>3.0</w:t>
            </w:r>
          </w:p>
        </w:tc>
        <w:tc>
          <w:tcPr>
            <w:tcW w:w="807" w:type="pct"/>
            <w:vAlign w:val="center"/>
          </w:tcPr>
          <w:p w14:paraId="4049CC08">
            <w:pPr>
              <w:jc w:val="center"/>
              <w:rPr>
                <w:rFonts w:ascii="宋体" w:hAnsi="宋体"/>
                <w:sz w:val="18"/>
                <w:szCs w:val="18"/>
              </w:rPr>
            </w:pPr>
            <w:r>
              <w:rPr>
                <w:rFonts w:hint="eastAsia" w:ascii="宋体" w:hAnsi="宋体"/>
                <w:sz w:val="18"/>
                <w:szCs w:val="18"/>
              </w:rPr>
              <w:t>5.0</w:t>
            </w:r>
          </w:p>
        </w:tc>
        <w:tc>
          <w:tcPr>
            <w:tcW w:w="807" w:type="pct"/>
            <w:vAlign w:val="center"/>
          </w:tcPr>
          <w:p w14:paraId="6A2514E3">
            <w:pPr>
              <w:jc w:val="center"/>
              <w:rPr>
                <w:rFonts w:ascii="宋体" w:hAnsi="宋体"/>
                <w:sz w:val="18"/>
                <w:szCs w:val="18"/>
              </w:rPr>
            </w:pPr>
            <w:r>
              <w:rPr>
                <w:rFonts w:hint="eastAsia" w:ascii="宋体" w:hAnsi="宋体"/>
                <w:sz w:val="18"/>
                <w:szCs w:val="18"/>
              </w:rPr>
              <w:t>3.0</w:t>
            </w:r>
          </w:p>
        </w:tc>
        <w:tc>
          <w:tcPr>
            <w:tcW w:w="806" w:type="pct"/>
            <w:vAlign w:val="center"/>
          </w:tcPr>
          <w:p w14:paraId="2B9F3B55">
            <w:pPr>
              <w:jc w:val="center"/>
              <w:rPr>
                <w:rFonts w:ascii="宋体" w:hAnsi="宋体"/>
                <w:sz w:val="18"/>
                <w:szCs w:val="18"/>
              </w:rPr>
            </w:pPr>
            <w:r>
              <w:rPr>
                <w:rFonts w:hint="eastAsia" w:ascii="宋体" w:hAnsi="宋体"/>
                <w:sz w:val="18"/>
                <w:szCs w:val="18"/>
              </w:rPr>
              <w:t>5.0</w:t>
            </w:r>
          </w:p>
        </w:tc>
      </w:tr>
      <w:tr w14:paraId="1D07A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3" w:type="pct"/>
            <w:vAlign w:val="center"/>
          </w:tcPr>
          <w:p w14:paraId="102A399A">
            <w:pPr>
              <w:jc w:val="center"/>
              <w:rPr>
                <w:rFonts w:ascii="宋体" w:hAnsi="宋体"/>
                <w:sz w:val="18"/>
                <w:szCs w:val="18"/>
              </w:rPr>
            </w:pPr>
            <w:r>
              <w:rPr>
                <w:rFonts w:hint="eastAsia" w:ascii="宋体" w:hAnsi="宋体"/>
                <w:sz w:val="18"/>
                <w:szCs w:val="18"/>
              </w:rPr>
              <w:t>60＜V≤300</w:t>
            </w:r>
          </w:p>
        </w:tc>
        <w:tc>
          <w:tcPr>
            <w:tcW w:w="807" w:type="pct"/>
            <w:vAlign w:val="center"/>
          </w:tcPr>
          <w:p w14:paraId="3EF07AD9">
            <w:pPr>
              <w:jc w:val="center"/>
              <w:rPr>
                <w:rFonts w:ascii="宋体" w:hAnsi="宋体"/>
                <w:sz w:val="18"/>
                <w:szCs w:val="18"/>
              </w:rPr>
            </w:pPr>
            <w:r>
              <w:rPr>
                <w:rFonts w:hint="eastAsia" w:ascii="宋体" w:hAnsi="宋体"/>
                <w:sz w:val="18"/>
                <w:szCs w:val="18"/>
              </w:rPr>
              <w:t>5.0</w:t>
            </w:r>
          </w:p>
        </w:tc>
        <w:tc>
          <w:tcPr>
            <w:tcW w:w="807" w:type="pct"/>
            <w:vAlign w:val="center"/>
          </w:tcPr>
          <w:p w14:paraId="2AA5AFA0">
            <w:pPr>
              <w:jc w:val="center"/>
              <w:rPr>
                <w:rFonts w:ascii="宋体" w:hAnsi="宋体"/>
                <w:sz w:val="18"/>
                <w:szCs w:val="18"/>
              </w:rPr>
            </w:pPr>
            <w:r>
              <w:rPr>
                <w:rFonts w:hint="eastAsia" w:ascii="宋体" w:hAnsi="宋体"/>
                <w:sz w:val="18"/>
                <w:szCs w:val="18"/>
              </w:rPr>
              <w:t>6.0</w:t>
            </w:r>
          </w:p>
        </w:tc>
        <w:tc>
          <w:tcPr>
            <w:tcW w:w="807" w:type="pct"/>
            <w:vAlign w:val="center"/>
          </w:tcPr>
          <w:p w14:paraId="314F49F8">
            <w:pPr>
              <w:jc w:val="center"/>
              <w:rPr>
                <w:rFonts w:ascii="宋体" w:hAnsi="宋体"/>
                <w:sz w:val="18"/>
                <w:szCs w:val="18"/>
              </w:rPr>
            </w:pPr>
            <w:r>
              <w:rPr>
                <w:rFonts w:hint="eastAsia" w:ascii="宋体" w:hAnsi="宋体"/>
                <w:sz w:val="18"/>
                <w:szCs w:val="18"/>
              </w:rPr>
              <w:t>6.0</w:t>
            </w:r>
          </w:p>
        </w:tc>
        <w:tc>
          <w:tcPr>
            <w:tcW w:w="806" w:type="pct"/>
            <w:vAlign w:val="center"/>
          </w:tcPr>
          <w:p w14:paraId="49D57573">
            <w:pPr>
              <w:jc w:val="center"/>
              <w:rPr>
                <w:rFonts w:ascii="宋体" w:hAnsi="宋体"/>
                <w:sz w:val="18"/>
                <w:szCs w:val="18"/>
              </w:rPr>
            </w:pPr>
            <w:r>
              <w:rPr>
                <w:rFonts w:hint="eastAsia" w:ascii="宋体" w:hAnsi="宋体"/>
                <w:sz w:val="18"/>
                <w:szCs w:val="18"/>
              </w:rPr>
              <w:t>8.0</w:t>
            </w:r>
          </w:p>
        </w:tc>
      </w:tr>
      <w:tr w14:paraId="504A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3" w:type="pct"/>
            <w:vAlign w:val="center"/>
          </w:tcPr>
          <w:p w14:paraId="4A62F7F4">
            <w:pPr>
              <w:jc w:val="center"/>
              <w:rPr>
                <w:rFonts w:ascii="宋体" w:hAnsi="宋体"/>
                <w:sz w:val="18"/>
                <w:szCs w:val="18"/>
              </w:rPr>
            </w:pPr>
            <w:r>
              <w:rPr>
                <w:rFonts w:hint="eastAsia" w:ascii="宋体" w:hAnsi="宋体"/>
                <w:sz w:val="18"/>
                <w:szCs w:val="18"/>
              </w:rPr>
              <w:t>300＜V≤500</w:t>
            </w:r>
          </w:p>
        </w:tc>
        <w:tc>
          <w:tcPr>
            <w:tcW w:w="807" w:type="pct"/>
            <w:vAlign w:val="center"/>
          </w:tcPr>
          <w:p w14:paraId="51CF2B8C">
            <w:pPr>
              <w:jc w:val="center"/>
              <w:rPr>
                <w:rFonts w:ascii="宋体" w:hAnsi="宋体"/>
                <w:sz w:val="18"/>
                <w:szCs w:val="18"/>
              </w:rPr>
            </w:pPr>
            <w:r>
              <w:rPr>
                <w:rFonts w:hint="eastAsia" w:ascii="宋体" w:hAnsi="宋体"/>
                <w:sz w:val="18"/>
                <w:szCs w:val="18"/>
              </w:rPr>
              <w:t>8.0</w:t>
            </w:r>
          </w:p>
        </w:tc>
        <w:tc>
          <w:tcPr>
            <w:tcW w:w="807" w:type="pct"/>
            <w:vAlign w:val="center"/>
          </w:tcPr>
          <w:p w14:paraId="13C686E2">
            <w:pPr>
              <w:jc w:val="center"/>
              <w:rPr>
                <w:rFonts w:ascii="宋体" w:hAnsi="宋体"/>
                <w:sz w:val="18"/>
                <w:szCs w:val="18"/>
              </w:rPr>
            </w:pPr>
            <w:r>
              <w:rPr>
                <w:rFonts w:hint="eastAsia" w:ascii="宋体" w:hAnsi="宋体"/>
                <w:sz w:val="18"/>
                <w:szCs w:val="18"/>
              </w:rPr>
              <w:t>10.0</w:t>
            </w:r>
          </w:p>
        </w:tc>
        <w:tc>
          <w:tcPr>
            <w:tcW w:w="807" w:type="pct"/>
            <w:vAlign w:val="center"/>
          </w:tcPr>
          <w:p w14:paraId="42314A98">
            <w:pPr>
              <w:jc w:val="center"/>
              <w:rPr>
                <w:rFonts w:ascii="宋体" w:hAnsi="宋体"/>
                <w:sz w:val="18"/>
                <w:szCs w:val="18"/>
              </w:rPr>
            </w:pPr>
            <w:r>
              <w:rPr>
                <w:rFonts w:hint="eastAsia" w:ascii="宋体" w:hAnsi="宋体"/>
                <w:sz w:val="18"/>
                <w:szCs w:val="18"/>
              </w:rPr>
              <w:t>10.0</w:t>
            </w:r>
          </w:p>
        </w:tc>
        <w:tc>
          <w:tcPr>
            <w:tcW w:w="806" w:type="pct"/>
            <w:vAlign w:val="center"/>
          </w:tcPr>
          <w:p w14:paraId="78076F6C">
            <w:pPr>
              <w:jc w:val="center"/>
              <w:rPr>
                <w:rFonts w:ascii="宋体" w:hAnsi="宋体"/>
                <w:sz w:val="18"/>
                <w:szCs w:val="18"/>
              </w:rPr>
            </w:pPr>
            <w:r>
              <w:rPr>
                <w:rFonts w:hint="eastAsia" w:ascii="宋体" w:hAnsi="宋体"/>
                <w:sz w:val="18"/>
                <w:szCs w:val="18"/>
              </w:rPr>
              <w:t>12.0</w:t>
            </w:r>
          </w:p>
        </w:tc>
      </w:tr>
    </w:tbl>
    <w:p w14:paraId="569D274C">
      <w:pPr>
        <w:pStyle w:val="178"/>
        <w:numPr>
          <w:ilvl w:val="0"/>
          <w:numId w:val="35"/>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箱门标示</w:t>
      </w:r>
    </w:p>
    <w:p w14:paraId="65F96DC4">
      <w:pPr>
        <w:snapToGrid w:val="0"/>
        <w:spacing w:line="480" w:lineRule="atLeast"/>
        <w:ind w:firstLine="480" w:firstLineChars="200"/>
        <w:rPr>
          <w:rFonts w:eastAsiaTheme="minorEastAsia"/>
          <w:color w:val="000000" w:themeColor="text1"/>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箱正面应标明编号、名称和用途，字迹应清晰工整，不易脱色。</w:t>
      </w:r>
    </w:p>
    <w:p w14:paraId="2CF4EC45">
      <w:pPr>
        <w:pStyle w:val="178"/>
        <w:numPr>
          <w:ilvl w:val="0"/>
          <w:numId w:val="35"/>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箱体内外门应采用不少于</w:t>
      </w:r>
      <w:r>
        <w:rPr>
          <w:rFonts w:eastAsiaTheme="minorEastAsia"/>
          <w:color w:val="000000" w:themeColor="text1"/>
          <w:szCs w:val="24"/>
          <w14:textFill>
            <w14:solidFill>
              <w14:schemeClr w14:val="tx1"/>
            </w14:solidFill>
          </w14:textFill>
        </w:rPr>
        <w:t>4mm2</w:t>
      </w:r>
      <w:r>
        <w:rPr>
          <w:rFonts w:hint="eastAsia" w:eastAsiaTheme="minorEastAsia"/>
          <w:color w:val="000000" w:themeColor="text1"/>
          <w:szCs w:val="24"/>
          <w14:textFill>
            <w14:solidFill>
              <w14:schemeClr w14:val="tx1"/>
            </w14:solidFill>
          </w14:textFill>
        </w:rPr>
        <w:t>的铜网编织带连接箱体主体，铜网编织带外套透明的柔软</w:t>
      </w:r>
      <w:r>
        <w:rPr>
          <w:rFonts w:eastAsiaTheme="minorEastAsia"/>
          <w:color w:val="000000" w:themeColor="text1"/>
          <w:szCs w:val="24"/>
          <w14:textFill>
            <w14:solidFill>
              <w14:schemeClr w14:val="tx1"/>
            </w14:solidFill>
          </w14:textFill>
        </w:rPr>
        <w:t>PVC</w:t>
      </w:r>
      <w:r>
        <w:rPr>
          <w:rFonts w:hint="eastAsia" w:eastAsiaTheme="minorEastAsia"/>
          <w:color w:val="000000" w:themeColor="text1"/>
          <w:szCs w:val="24"/>
          <w14:textFill>
            <w14:solidFill>
              <w14:schemeClr w14:val="tx1"/>
            </w14:solidFill>
          </w14:textFill>
        </w:rPr>
        <w:t>绝缘塑料管。</w:t>
      </w:r>
      <w:r>
        <w:rPr>
          <w:rFonts w:eastAsiaTheme="minorEastAsia"/>
          <w:color w:val="000000" w:themeColor="text1"/>
          <w:szCs w:val="24"/>
          <w14:textFill>
            <w14:solidFill>
              <w14:schemeClr w14:val="tx1"/>
            </w14:solidFill>
          </w14:textFill>
        </w:rPr>
        <w:t xml:space="preserve"> </w:t>
      </w:r>
    </w:p>
    <w:p w14:paraId="4B18D467">
      <w:pPr>
        <w:pStyle w:val="178"/>
        <w:numPr>
          <w:ilvl w:val="0"/>
          <w:numId w:val="35"/>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箱内缆、线固定</w:t>
      </w:r>
    </w:p>
    <w:p w14:paraId="12995C3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箱内应配固定线夹固定电缆、电线，不松动脱落。</w:t>
      </w:r>
    </w:p>
    <w:p w14:paraId="207494C9">
      <w:pPr>
        <w:pStyle w:val="178"/>
        <w:numPr>
          <w:ilvl w:val="0"/>
          <w:numId w:val="36"/>
        </w:numPr>
        <w:snapToGrid w:val="0"/>
        <w:spacing w:line="480" w:lineRule="atLeast"/>
        <w:ind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零线排及地线排要求</w:t>
      </w:r>
    </w:p>
    <w:p w14:paraId="337CA9D4">
      <w:pPr>
        <w:snapToGrid w:val="0"/>
        <w:spacing w:line="480" w:lineRule="atLeast"/>
        <w:ind w:firstLine="480" w:firstLineChars="200"/>
        <w:rPr>
          <w:rFonts w:eastAsiaTheme="minorEastAsia"/>
          <w:color w:val="000000" w:themeColor="text1"/>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应采用铜质镀镍（锡）材料，截面积不小于</w:t>
      </w:r>
      <w:r>
        <w:rPr>
          <w:rFonts w:eastAsiaTheme="minorEastAsia"/>
          <w:color w:val="000000" w:themeColor="text1"/>
          <w:sz w:val="24"/>
          <w:szCs w:val="24"/>
          <w14:textFill>
            <w14:solidFill>
              <w14:schemeClr w14:val="tx1"/>
            </w14:solidFill>
          </w14:textFill>
        </w:rPr>
        <w:t>40mm2</w:t>
      </w:r>
      <w:r>
        <w:rPr>
          <w:rFonts w:hint="eastAsia" w:eastAsiaTheme="minorEastAsia"/>
          <w:color w:val="000000" w:themeColor="text1"/>
          <w:sz w:val="24"/>
          <w:szCs w:val="24"/>
          <w14:textFill>
            <w14:solidFill>
              <w14:schemeClr w14:val="tx1"/>
            </w14:solidFill>
          </w14:textFill>
        </w:rPr>
        <w:t>，并进行防腐处理</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表面光亮、接触良好，可长久使用不易氧化和生锈。</w:t>
      </w:r>
    </w:p>
    <w:p w14:paraId="508BF671">
      <w:pPr>
        <w:snapToGrid w:val="0"/>
        <w:spacing w:line="480" w:lineRule="atLeast"/>
        <w:ind w:firstLine="480" w:firstLineChars="200"/>
        <w:rPr>
          <w:rFonts w:eastAsiaTheme="minorEastAsia"/>
          <w:color w:val="000000" w:themeColor="text1"/>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地线排必须有足够多的线孔，开孔直径按设计要求，配置铜质镀镍（锡）材料螺丝，并满足线耳引线连接方式。</w:t>
      </w:r>
    </w:p>
    <w:p w14:paraId="247A3162">
      <w:pPr>
        <w:snapToGrid w:val="0"/>
        <w:spacing w:line="480" w:lineRule="atLeast"/>
        <w:ind w:firstLine="480" w:firstLineChars="200"/>
        <w:rPr>
          <w:rFonts w:eastAsiaTheme="minorEastAsia"/>
          <w:color w:val="000000" w:themeColor="text1"/>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接地铜排末端应预留线孔，可接截面不小于</w:t>
      </w:r>
      <w:r>
        <w:rPr>
          <w:rFonts w:eastAsiaTheme="minorEastAsia"/>
          <w:color w:val="000000" w:themeColor="text1"/>
          <w:sz w:val="24"/>
          <w:szCs w:val="24"/>
          <w14:textFill>
            <w14:solidFill>
              <w14:schemeClr w14:val="tx1"/>
            </w14:solidFill>
          </w14:textFill>
        </w:rPr>
        <w:t>50mm2</w:t>
      </w:r>
      <w:r>
        <w:rPr>
          <w:rFonts w:hint="eastAsia" w:eastAsiaTheme="minorEastAsia"/>
          <w:color w:val="000000" w:themeColor="text1"/>
          <w:sz w:val="24"/>
          <w:szCs w:val="24"/>
          <w14:textFill>
            <w14:solidFill>
              <w14:schemeClr w14:val="tx1"/>
            </w14:solidFill>
          </w14:textFill>
        </w:rPr>
        <w:t>的铜缆。</w:t>
      </w:r>
    </w:p>
    <w:p w14:paraId="7EC53864">
      <w:pPr>
        <w:snapToGrid w:val="0"/>
        <w:spacing w:line="480" w:lineRule="atLeast"/>
        <w:ind w:firstLine="480" w:firstLineChars="200"/>
        <w:rPr>
          <w:rFonts w:eastAsiaTheme="minorEastAsia"/>
          <w:color w:val="000000" w:themeColor="text1"/>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零线排必须采用绝缘子固定于电箱，避免零线与箱体导通。</w:t>
      </w:r>
    </w:p>
    <w:p w14:paraId="6F11529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电源箱箱体外壳不设接地端子，箱内</w:t>
      </w:r>
      <w:r>
        <w:rPr>
          <w:rFonts w:eastAsiaTheme="minorEastAsia"/>
          <w:color w:val="000000" w:themeColor="text1"/>
          <w:sz w:val="24"/>
          <w:szCs w:val="24"/>
          <w14:textFill>
            <w14:solidFill>
              <w14:schemeClr w14:val="tx1"/>
            </w14:solidFill>
          </w14:textFill>
        </w:rPr>
        <w:t>PE</w:t>
      </w:r>
      <w:r>
        <w:rPr>
          <w:rFonts w:hint="eastAsia" w:eastAsiaTheme="minorEastAsia"/>
          <w:color w:val="000000" w:themeColor="text1"/>
          <w:sz w:val="24"/>
          <w:szCs w:val="24"/>
          <w14:textFill>
            <w14:solidFill>
              <w14:schemeClr w14:val="tx1"/>
            </w14:solidFill>
          </w14:textFill>
        </w:rPr>
        <w:t>排需与地网可靠连接。箱体需单独接地。</w:t>
      </w:r>
    </w:p>
    <w:p w14:paraId="5C2C727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电器元件组装接线完毕后，用兆欧表测量，相间及对地绝缘性能要良好（大于</w:t>
      </w:r>
      <w:r>
        <w:rPr>
          <w:rFonts w:eastAsiaTheme="minorEastAsia"/>
          <w:color w:val="000000" w:themeColor="text1"/>
          <w:sz w:val="24"/>
          <w:szCs w:val="24"/>
          <w14:textFill>
            <w14:solidFill>
              <w14:schemeClr w14:val="tx1"/>
            </w14:solidFill>
          </w14:textFill>
        </w:rPr>
        <w:t>36M</w:t>
      </w:r>
      <w:r>
        <w:rPr>
          <w:rFonts w:hint="eastAsia" w:eastAsiaTheme="minorEastAsia"/>
          <w:color w:val="000000" w:themeColor="text1"/>
          <w:sz w:val="24"/>
          <w:szCs w:val="24"/>
          <w14:textFill>
            <w14:solidFill>
              <w14:schemeClr w14:val="tx1"/>
            </w14:solidFill>
          </w14:textFill>
        </w:rPr>
        <w:t>Ω以上）。</w:t>
      </w:r>
    </w:p>
    <w:p w14:paraId="302F46BF">
      <w:pPr>
        <w:snapToGrid w:val="0"/>
        <w:spacing w:line="480" w:lineRule="atLeast"/>
        <w:ind w:firstLine="480" w:firstLineChars="200"/>
        <w:rPr>
          <w:rFonts w:eastAsiaTheme="minorEastAsia"/>
          <w:color w:val="000000" w:themeColor="text1"/>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箱体顶端应能承受</w:t>
      </w: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分钟不小于</w:t>
      </w:r>
      <w:r>
        <w:rPr>
          <w:rFonts w:eastAsiaTheme="minorEastAsia"/>
          <w:color w:val="000000" w:themeColor="text1"/>
          <w:sz w:val="24"/>
          <w:szCs w:val="24"/>
          <w14:textFill>
            <w14:solidFill>
              <w14:schemeClr w14:val="tx1"/>
            </w14:solidFill>
          </w14:textFill>
        </w:rPr>
        <w:t>8500N</w:t>
      </w:r>
      <w:r>
        <w:rPr>
          <w:rFonts w:hint="eastAsia" w:eastAsiaTheme="minorEastAsia"/>
          <w:color w:val="000000" w:themeColor="text1"/>
          <w:sz w:val="24"/>
          <w:szCs w:val="24"/>
          <w14:textFill>
            <w14:solidFill>
              <w14:schemeClr w14:val="tx1"/>
            </w14:solidFill>
          </w14:textFill>
        </w:rPr>
        <w:t>的均布垂直力，箱门打开后，在门的最外端应能承受</w:t>
      </w:r>
      <w:r>
        <w:rPr>
          <w:rFonts w:eastAsiaTheme="minorEastAsia"/>
          <w:color w:val="000000" w:themeColor="text1"/>
          <w:sz w:val="24"/>
          <w:szCs w:val="24"/>
          <w14:textFill>
            <w14:solidFill>
              <w14:schemeClr w14:val="tx1"/>
            </w14:solidFill>
          </w14:textFill>
        </w:rPr>
        <w:t>3S</w:t>
      </w:r>
      <w:r>
        <w:rPr>
          <w:rFonts w:hint="eastAsia" w:eastAsiaTheme="minorEastAsia"/>
          <w:color w:val="000000" w:themeColor="text1"/>
          <w:sz w:val="24"/>
          <w:szCs w:val="24"/>
          <w14:textFill>
            <w14:solidFill>
              <w14:schemeClr w14:val="tx1"/>
            </w14:solidFill>
          </w14:textFill>
        </w:rPr>
        <w:t>不小于</w:t>
      </w:r>
      <w:r>
        <w:rPr>
          <w:rFonts w:eastAsiaTheme="minorEastAsia"/>
          <w:color w:val="000000" w:themeColor="text1"/>
          <w:sz w:val="24"/>
          <w:szCs w:val="24"/>
          <w14:textFill>
            <w14:solidFill>
              <w14:schemeClr w14:val="tx1"/>
            </w14:solidFill>
          </w14:textFill>
        </w:rPr>
        <w:t>200N</w:t>
      </w:r>
      <w:r>
        <w:rPr>
          <w:rFonts w:hint="eastAsia" w:eastAsiaTheme="minorEastAsia"/>
          <w:color w:val="000000" w:themeColor="text1"/>
          <w:sz w:val="24"/>
          <w:szCs w:val="24"/>
          <w14:textFill>
            <w14:solidFill>
              <w14:schemeClr w14:val="tx1"/>
            </w14:solidFill>
          </w14:textFill>
        </w:rPr>
        <w:t>的垂直力。卸去负荷后，箱体无破坏性痕迹和永久变形。</w:t>
      </w:r>
    </w:p>
    <w:p w14:paraId="20B9E43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66" w:name="_Toc412810141"/>
      <w:r>
        <w:rPr>
          <w:rFonts w:eastAsiaTheme="minorEastAsia"/>
          <w:color w:val="000000" w:themeColor="text1"/>
          <w:sz w:val="24"/>
          <w:szCs w:val="24"/>
          <w14:textFill>
            <w14:solidFill>
              <w14:schemeClr w14:val="tx1"/>
            </w14:solidFill>
          </w14:textFill>
        </w:rPr>
        <w:t xml:space="preserve">4.3.5.5 </w:t>
      </w:r>
      <w:r>
        <w:rPr>
          <w:rFonts w:hint="eastAsia" w:eastAsiaTheme="minorEastAsia"/>
          <w:color w:val="000000" w:themeColor="text1"/>
          <w:sz w:val="24"/>
          <w:szCs w:val="24"/>
          <w14:textFill>
            <w14:solidFill>
              <w14:schemeClr w14:val="tx1"/>
            </w14:solidFill>
          </w14:textFill>
        </w:rPr>
        <w:t>生产工艺</w:t>
      </w:r>
      <w:bookmarkEnd w:id="566"/>
    </w:p>
    <w:p w14:paraId="167572E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箱体内设备与各构件间连接应牢固。</w:t>
      </w:r>
    </w:p>
    <w:p w14:paraId="32C65FC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回路结线应符合下列要求：</w:t>
      </w:r>
    </w:p>
    <w:p w14:paraId="7F55879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）按图施工，接线正确。</w:t>
      </w:r>
    </w:p>
    <w:p w14:paraId="0F40C44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）导线与电气元件间采用螺栓连接、插接、焊接或压接等，均应牢固可靠。</w:t>
      </w:r>
    </w:p>
    <w:p w14:paraId="42B7298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）箱体内的导线不应有接头，导线芯线应无损伤。</w:t>
      </w:r>
    </w:p>
    <w:p w14:paraId="07C0969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4</w:t>
      </w:r>
      <w:r>
        <w:rPr>
          <w:rFonts w:hint="eastAsia" w:eastAsiaTheme="minorEastAsia"/>
          <w:color w:val="000000" w:themeColor="text1"/>
          <w:sz w:val="24"/>
          <w:szCs w:val="24"/>
          <w14:textFill>
            <w14:solidFill>
              <w14:schemeClr w14:val="tx1"/>
            </w14:solidFill>
          </w14:textFill>
        </w:rPr>
        <w:t>）配线应整齐、清晰、美观，导线绝缘应良好，无损伤。</w:t>
      </w:r>
    </w:p>
    <w:p w14:paraId="025E702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箱体的漆层应完整，无损伤。</w:t>
      </w:r>
    </w:p>
    <w:p w14:paraId="7C00883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箱体内的电缆（线）芯线，应按垂直或水平有规律地配置，不得任意歪斜交叉连接。</w:t>
      </w:r>
    </w:p>
    <w:p w14:paraId="3B75905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导线与电气元件间连接牢固可靠。</w:t>
      </w:r>
    </w:p>
    <w:p w14:paraId="282FA14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体内部结构按生产结构图装配布置，且生产结构图需考虑外部电缆缆线的布线位置空间及固定点，外部电源及馈线电缆缆线的布线位置及固定点处的装配固定件的边缘应平整，有快口的切边应生产为内卷或设置保护条，以防止缆线绝缘层受损。</w:t>
      </w:r>
    </w:p>
    <w:p w14:paraId="464B707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元器件组装顺序应从板前视，由左至右，由上至下，电气元件不应横装或倒装，较重元件应装箱底部。</w:t>
      </w:r>
    </w:p>
    <w:p w14:paraId="57277F1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同一型号产品应保证组装一致。</w:t>
      </w:r>
    </w:p>
    <w:p w14:paraId="2143961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组装产品应符合以下条件：</w:t>
      </w:r>
    </w:p>
    <w:p w14:paraId="38E17FB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）操作方便。元器件在操作时，不应受到空间的防碍，不应有触及带电体的可能。</w:t>
      </w:r>
    </w:p>
    <w:p w14:paraId="3DED726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）维修容易。能够较方便地更换元器件及维修连线。</w:t>
      </w:r>
    </w:p>
    <w:p w14:paraId="594A10D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）各种电气元件和装置的电气间隙、爬电距离应符合相关的规定。</w:t>
      </w:r>
    </w:p>
    <w:p w14:paraId="0973D508">
      <w:pPr>
        <w:snapToGrid w:val="0"/>
        <w:spacing w:line="480" w:lineRule="atLeast"/>
        <w:ind w:firstLine="480" w:firstLineChars="200"/>
        <w:rPr>
          <w:rFonts w:ascii="宋体" w:hAnsi="宋体"/>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4</w:t>
      </w:r>
      <w:r>
        <w:rPr>
          <w:rFonts w:hint="eastAsia" w:eastAsiaTheme="minorEastAsia"/>
          <w:color w:val="000000" w:themeColor="text1"/>
          <w:sz w:val="24"/>
          <w:szCs w:val="24"/>
          <w14:textFill>
            <w14:solidFill>
              <w14:schemeClr w14:val="tx1"/>
            </w14:solidFill>
          </w14:textFill>
        </w:rPr>
        <w:t>）组装所用紧固件及金属零部件均应有防护层，对螺钉过孔、边缘及表面的毛刺、尖锋应打磨平整后再涂敷导电膏。</w:t>
      </w:r>
    </w:p>
    <w:p w14:paraId="3BC042B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）对于螺栓的紧固应选择适当的工具，不得破坏紧固件的防护层，并注意相应的扭距。</w:t>
      </w:r>
    </w:p>
    <w:p w14:paraId="59CD144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6</w:t>
      </w:r>
      <w:r>
        <w:rPr>
          <w:rFonts w:hint="eastAsia" w:eastAsiaTheme="minorEastAsia"/>
          <w:color w:val="000000" w:themeColor="text1"/>
          <w:sz w:val="24"/>
          <w:szCs w:val="24"/>
          <w14:textFill>
            <w14:solidFill>
              <w14:schemeClr w14:val="tx1"/>
            </w14:solidFill>
          </w14:textFill>
        </w:rPr>
        <w:t>）所有电器元件及附件，均应固定安装在支架或底板上，不得悬吊在电器及连线上。</w:t>
      </w:r>
    </w:p>
    <w:p w14:paraId="2B904D9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7</w:t>
      </w:r>
      <w:r>
        <w:rPr>
          <w:rFonts w:hint="eastAsia" w:eastAsiaTheme="minorEastAsia"/>
          <w:color w:val="000000" w:themeColor="text1"/>
          <w:sz w:val="24"/>
          <w:szCs w:val="24"/>
          <w14:textFill>
            <w14:solidFill>
              <w14:schemeClr w14:val="tx1"/>
            </w14:solidFill>
          </w14:textFill>
        </w:rPr>
        <w:t>）接线面每个元件的附近有标牌，标注应与图纸相符。除元件本身附有供填写的标志牌外，标志牌不得固定在元件本体上。</w:t>
      </w:r>
    </w:p>
    <w:p w14:paraId="59FDC3F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8</w:t>
      </w:r>
      <w:r>
        <w:rPr>
          <w:rFonts w:hint="eastAsia" w:eastAsiaTheme="minorEastAsia"/>
          <w:color w:val="000000" w:themeColor="text1"/>
          <w:sz w:val="24"/>
          <w:szCs w:val="24"/>
          <w14:textFill>
            <w14:solidFill>
              <w14:schemeClr w14:val="tx1"/>
            </w14:solidFill>
          </w14:textFill>
        </w:rPr>
        <w:t>）标号应完整、清晰、牢固。标号粘贴位置应明确、醒目。</w:t>
      </w:r>
    </w:p>
    <w:p w14:paraId="7752DAD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9</w:t>
      </w:r>
      <w:r>
        <w:rPr>
          <w:rFonts w:hint="eastAsia" w:eastAsiaTheme="minorEastAsia"/>
          <w:color w:val="000000" w:themeColor="text1"/>
          <w:sz w:val="24"/>
          <w:szCs w:val="24"/>
          <w14:textFill>
            <w14:solidFill>
              <w14:schemeClr w14:val="tx1"/>
            </w14:solidFill>
          </w14:textFill>
        </w:rPr>
        <w:t>）安装于面板、门板上的元件，其标号应粘贴于面板及门板背面元件下方，如下方无位置时可贴于左方，但粘贴位置尽可能一致。</w:t>
      </w:r>
    </w:p>
    <w:p w14:paraId="40A1CE8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10</w:t>
      </w:r>
      <w:r>
        <w:rPr>
          <w:rFonts w:hint="eastAsia" w:eastAsiaTheme="minorEastAsia"/>
          <w:color w:val="000000" w:themeColor="text1"/>
          <w:sz w:val="24"/>
          <w:szCs w:val="24"/>
          <w14:textFill>
            <w14:solidFill>
              <w14:schemeClr w14:val="tx1"/>
            </w14:solidFill>
          </w14:textFill>
        </w:rPr>
        <w:t>）保护接地连续性</w:t>
      </w:r>
    </w:p>
    <w:p w14:paraId="1A7D173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）保护接地连续性利用结构件有效连接来保证。</w:t>
      </w:r>
    </w:p>
    <w:p w14:paraId="4BF1653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）门上的接地处要加“抓垫”，防止因为油漆的问题而接触不好，而且连接线尽量短。</w:t>
      </w:r>
    </w:p>
    <w:p w14:paraId="06C4B19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11</w:t>
      </w:r>
      <w:r>
        <w:rPr>
          <w:rFonts w:hint="eastAsia" w:eastAsiaTheme="minorEastAsia"/>
          <w:color w:val="000000" w:themeColor="text1"/>
          <w:sz w:val="24"/>
          <w:szCs w:val="24"/>
          <w14:textFill>
            <w14:solidFill>
              <w14:schemeClr w14:val="tx1"/>
            </w14:solidFill>
          </w14:textFill>
        </w:rPr>
        <w:t>）安装因振动易损坏的元件时，应在元件和安装板之间加装橡胶垫减震。</w:t>
      </w:r>
    </w:p>
    <w:p w14:paraId="42DDDA0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12</w:t>
      </w:r>
      <w:r>
        <w:rPr>
          <w:rFonts w:hint="eastAsia" w:eastAsiaTheme="minorEastAsia"/>
          <w:color w:val="000000" w:themeColor="text1"/>
          <w:sz w:val="24"/>
          <w:szCs w:val="24"/>
          <w14:textFill>
            <w14:solidFill>
              <w14:schemeClr w14:val="tx1"/>
            </w14:solidFill>
          </w14:textFill>
        </w:rPr>
        <w:t>）对于有操作手柄的元件应将其调整到位，不得有卡阻现象。</w:t>
      </w:r>
    </w:p>
    <w:p w14:paraId="540309A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13</w:t>
      </w:r>
      <w:r>
        <w:rPr>
          <w:rFonts w:hint="eastAsia" w:eastAsiaTheme="minorEastAsia"/>
          <w:color w:val="000000" w:themeColor="text1"/>
          <w:sz w:val="24"/>
          <w:szCs w:val="24"/>
          <w14:textFill>
            <w14:solidFill>
              <w14:schemeClr w14:val="tx1"/>
            </w14:solidFill>
          </w14:textFill>
        </w:rPr>
        <w:t>）母线和元件上预留给客户接线用的螺栓应拧紧。</w:t>
      </w:r>
    </w:p>
    <w:p w14:paraId="139618D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67" w:name="_Toc412810142"/>
      <w:r>
        <w:rPr>
          <w:rFonts w:hint="eastAsia" w:eastAsiaTheme="minorEastAsia"/>
          <w:color w:val="000000" w:themeColor="text1"/>
          <w:sz w:val="24"/>
          <w:szCs w:val="24"/>
          <w14:textFill>
            <w14:solidFill>
              <w14:schemeClr w14:val="tx1"/>
            </w14:solidFill>
          </w14:textFill>
        </w:rPr>
        <w:t>4.3.5.6</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主要元件参数</w:t>
      </w:r>
      <w:bookmarkEnd w:id="567"/>
    </w:p>
    <w:p w14:paraId="0043F3C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塑壳式断路器</w:t>
      </w:r>
    </w:p>
    <w:p w14:paraId="49EB126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）额定工作电压</w:t>
      </w:r>
      <w:r>
        <w:rPr>
          <w:rFonts w:eastAsiaTheme="minorEastAsia"/>
          <w:color w:val="000000" w:themeColor="text1"/>
          <w:sz w:val="24"/>
          <w:szCs w:val="24"/>
          <w14:textFill>
            <w14:solidFill>
              <w14:schemeClr w14:val="tx1"/>
            </w14:solidFill>
          </w14:textFill>
        </w:rPr>
        <w:t>:  400V</w:t>
      </w:r>
    </w:p>
    <w:p w14:paraId="5A2E94D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）额定绝缘电压</w:t>
      </w:r>
      <w:r>
        <w:rPr>
          <w:rFonts w:eastAsiaTheme="minorEastAsia"/>
          <w:color w:val="000000" w:themeColor="text1"/>
          <w:sz w:val="24"/>
          <w:szCs w:val="24"/>
          <w14:textFill>
            <w14:solidFill>
              <w14:schemeClr w14:val="tx1"/>
            </w14:solidFill>
          </w14:textFill>
        </w:rPr>
        <w:t>:  690V</w:t>
      </w:r>
    </w:p>
    <w:p w14:paraId="48121CD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）额定冲击耐受电压</w:t>
      </w:r>
      <w:r>
        <w:rPr>
          <w:rFonts w:eastAsiaTheme="minorEastAsia"/>
          <w:color w:val="000000" w:themeColor="text1"/>
          <w:sz w:val="24"/>
          <w:szCs w:val="24"/>
          <w14:textFill>
            <w14:solidFill>
              <w14:schemeClr w14:val="tx1"/>
            </w14:solidFill>
          </w14:textFill>
        </w:rPr>
        <w:t>:  8kV</w:t>
      </w:r>
    </w:p>
    <w:p w14:paraId="79E9E25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4</w:t>
      </w:r>
      <w:r>
        <w:rPr>
          <w:rFonts w:hint="eastAsia" w:eastAsiaTheme="minorEastAsia"/>
          <w:color w:val="000000" w:themeColor="text1"/>
          <w:sz w:val="24"/>
          <w:szCs w:val="24"/>
          <w14:textFill>
            <w14:solidFill>
              <w14:schemeClr w14:val="tx1"/>
            </w14:solidFill>
          </w14:textFill>
        </w:rPr>
        <w:t>）额定工作电流</w:t>
      </w:r>
      <w:r>
        <w:rPr>
          <w:rFonts w:eastAsiaTheme="minorEastAsia"/>
          <w:color w:val="000000" w:themeColor="text1"/>
          <w:sz w:val="24"/>
          <w:szCs w:val="24"/>
          <w14:textFill>
            <w14:solidFill>
              <w14:schemeClr w14:val="tx1"/>
            </w14:solidFill>
          </w14:textFill>
        </w:rPr>
        <w:t>: 16A-630A</w:t>
      </w:r>
    </w:p>
    <w:p w14:paraId="1C9CE2D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）相数</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三相</w:t>
      </w:r>
    </w:p>
    <w:p w14:paraId="49B75DF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6</w:t>
      </w:r>
      <w:r>
        <w:rPr>
          <w:rFonts w:hint="eastAsia" w:eastAsiaTheme="minorEastAsia"/>
          <w:color w:val="000000" w:themeColor="text1"/>
          <w:sz w:val="24"/>
          <w:szCs w:val="24"/>
          <w14:textFill>
            <w14:solidFill>
              <w14:schemeClr w14:val="tx1"/>
            </w14:solidFill>
          </w14:textFill>
        </w:rPr>
        <w:t>）极数：</w:t>
      </w:r>
      <w:r>
        <w:rPr>
          <w:rFonts w:eastAsiaTheme="minorEastAsia"/>
          <w:color w:val="000000" w:themeColor="text1"/>
          <w:sz w:val="24"/>
          <w:szCs w:val="24"/>
          <w14:textFill>
            <w14:solidFill>
              <w14:schemeClr w14:val="tx1"/>
            </w14:solidFill>
          </w14:textFill>
        </w:rPr>
        <w:t xml:space="preserve"> 3</w:t>
      </w:r>
      <w:r>
        <w:rPr>
          <w:rFonts w:hint="eastAsia" w:eastAsiaTheme="minorEastAsia"/>
          <w:color w:val="000000" w:themeColor="text1"/>
          <w:sz w:val="24"/>
          <w:szCs w:val="24"/>
          <w14:textFill>
            <w14:solidFill>
              <w14:schemeClr w14:val="tx1"/>
            </w14:solidFill>
          </w14:textFill>
        </w:rPr>
        <w:t>极、</w:t>
      </w:r>
      <w:r>
        <w:rPr>
          <w:rFonts w:eastAsiaTheme="minorEastAsia"/>
          <w:color w:val="000000" w:themeColor="text1"/>
          <w:sz w:val="24"/>
          <w:szCs w:val="24"/>
          <w14:textFill>
            <w14:solidFill>
              <w14:schemeClr w14:val="tx1"/>
            </w14:solidFill>
          </w14:textFill>
        </w:rPr>
        <w:t>4</w:t>
      </w:r>
      <w:r>
        <w:rPr>
          <w:rFonts w:hint="eastAsia" w:eastAsiaTheme="minorEastAsia"/>
          <w:color w:val="000000" w:themeColor="text1"/>
          <w:sz w:val="24"/>
          <w:szCs w:val="24"/>
          <w14:textFill>
            <w14:solidFill>
              <w14:schemeClr w14:val="tx1"/>
            </w14:solidFill>
          </w14:textFill>
        </w:rPr>
        <w:t>极，具体根据工程实际需要</w:t>
      </w:r>
    </w:p>
    <w:p w14:paraId="1A9DDE3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7</w:t>
      </w:r>
      <w:r>
        <w:rPr>
          <w:rFonts w:hint="eastAsia" w:eastAsiaTheme="minorEastAsia"/>
          <w:color w:val="000000" w:themeColor="text1"/>
          <w:sz w:val="24"/>
          <w:szCs w:val="24"/>
          <w14:textFill>
            <w14:solidFill>
              <w14:schemeClr w14:val="tx1"/>
            </w14:solidFill>
          </w14:textFill>
        </w:rPr>
        <w:t>）额定频率：</w:t>
      </w:r>
      <w:r>
        <w:rPr>
          <w:rFonts w:eastAsiaTheme="minorEastAsia"/>
          <w:color w:val="000000" w:themeColor="text1"/>
          <w:sz w:val="24"/>
          <w:szCs w:val="24"/>
          <w14:textFill>
            <w14:solidFill>
              <w14:schemeClr w14:val="tx1"/>
            </w14:solidFill>
          </w14:textFill>
        </w:rPr>
        <w:t xml:space="preserve"> 50HZ</w:t>
      </w:r>
    </w:p>
    <w:p w14:paraId="356206D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8</w:t>
      </w:r>
      <w:r>
        <w:rPr>
          <w:rFonts w:hint="eastAsia" w:eastAsiaTheme="minorEastAsia"/>
          <w:color w:val="000000" w:themeColor="text1"/>
          <w:sz w:val="24"/>
          <w:szCs w:val="24"/>
          <w14:textFill>
            <w14:solidFill>
              <w14:schemeClr w14:val="tx1"/>
            </w14:solidFill>
          </w14:textFill>
        </w:rPr>
        <w:t>）污染等级：</w:t>
      </w:r>
      <w:r>
        <w:rPr>
          <w:rFonts w:eastAsiaTheme="minorEastAsia"/>
          <w:color w:val="000000" w:themeColor="text1"/>
          <w:sz w:val="24"/>
          <w:szCs w:val="24"/>
          <w14:textFill>
            <w14:solidFill>
              <w14:schemeClr w14:val="tx1"/>
            </w14:solidFill>
          </w14:textFill>
        </w:rPr>
        <w:t xml:space="preserve"> 3</w:t>
      </w:r>
      <w:r>
        <w:rPr>
          <w:rFonts w:hint="eastAsia" w:eastAsiaTheme="minorEastAsia"/>
          <w:color w:val="000000" w:themeColor="text1"/>
          <w:sz w:val="24"/>
          <w:szCs w:val="24"/>
          <w14:textFill>
            <w14:solidFill>
              <w14:schemeClr w14:val="tx1"/>
            </w14:solidFill>
          </w14:textFill>
        </w:rPr>
        <w:t>级</w:t>
      </w:r>
    </w:p>
    <w:p w14:paraId="0CAD6EC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9</w:t>
      </w:r>
      <w:r>
        <w:rPr>
          <w:rFonts w:hint="eastAsia" w:eastAsiaTheme="minorEastAsia"/>
          <w:color w:val="000000" w:themeColor="text1"/>
          <w:sz w:val="24"/>
          <w:szCs w:val="24"/>
          <w14:textFill>
            <w14:solidFill>
              <w14:schemeClr w14:val="tx1"/>
            </w14:solidFill>
          </w14:textFill>
        </w:rPr>
        <w:t>）极限开断电流：根据</w:t>
      </w:r>
      <w:r>
        <w:rPr>
          <w:rFonts w:eastAsiaTheme="minorEastAsia"/>
          <w:color w:val="000000" w:themeColor="text1"/>
          <w:sz w:val="24"/>
          <w:szCs w:val="24"/>
          <w14:textFill>
            <w14:solidFill>
              <w14:schemeClr w14:val="tx1"/>
            </w14:solidFill>
          </w14:textFill>
        </w:rPr>
        <w:t>工程需要</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不小于</w:t>
      </w:r>
      <w:r>
        <w:rPr>
          <w:rFonts w:hint="eastAsia" w:eastAsiaTheme="minorEastAsia"/>
          <w:color w:val="000000" w:themeColor="text1"/>
          <w:sz w:val="24"/>
          <w:szCs w:val="24"/>
          <w14:textFill>
            <w14:solidFill>
              <w14:schemeClr w14:val="tx1"/>
            </w14:solidFill>
          </w14:textFill>
        </w:rPr>
        <w:t>5</w:t>
      </w:r>
      <w:r>
        <w:rPr>
          <w:rFonts w:eastAsiaTheme="minorEastAsia"/>
          <w:color w:val="000000" w:themeColor="text1"/>
          <w:sz w:val="24"/>
          <w:szCs w:val="24"/>
          <w14:textFill>
            <w14:solidFill>
              <w14:schemeClr w14:val="tx1"/>
            </w14:solidFill>
          </w14:textFill>
        </w:rPr>
        <w:t>0kA</w:t>
      </w:r>
    </w:p>
    <w:p w14:paraId="747F87C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10</w:t>
      </w:r>
      <w:r>
        <w:rPr>
          <w:rFonts w:hint="eastAsia" w:eastAsiaTheme="minorEastAsia"/>
          <w:color w:val="000000" w:themeColor="text1"/>
          <w:sz w:val="24"/>
          <w:szCs w:val="24"/>
          <w14:textFill>
            <w14:solidFill>
              <w14:schemeClr w14:val="tx1"/>
            </w14:solidFill>
          </w14:textFill>
        </w:rPr>
        <w:t>）安装方式：</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固定式或插入式</w:t>
      </w:r>
    </w:p>
    <w:p w14:paraId="5B87F18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11</w:t>
      </w:r>
      <w:r>
        <w:rPr>
          <w:rFonts w:hint="eastAsia" w:eastAsiaTheme="minorEastAsia"/>
          <w:color w:val="000000" w:themeColor="text1"/>
          <w:sz w:val="24"/>
          <w:szCs w:val="24"/>
          <w14:textFill>
            <w14:solidFill>
              <w14:schemeClr w14:val="tx1"/>
            </w14:solidFill>
          </w14:textFill>
        </w:rPr>
        <w:t>）分励脱扣器、漏电、辅助触点等：可配置，漏电</w:t>
      </w:r>
      <w:r>
        <w:rPr>
          <w:rFonts w:eastAsiaTheme="minorEastAsia"/>
          <w:color w:val="000000" w:themeColor="text1"/>
          <w:sz w:val="24"/>
          <w:szCs w:val="24"/>
          <w14:textFill>
            <w14:solidFill>
              <w14:schemeClr w14:val="tx1"/>
            </w14:solidFill>
          </w14:textFill>
        </w:rPr>
        <w:t>30mA~500mA</w:t>
      </w:r>
      <w:r>
        <w:rPr>
          <w:rFonts w:hint="eastAsia" w:eastAsiaTheme="minorEastAsia"/>
          <w:color w:val="000000" w:themeColor="text1"/>
          <w:sz w:val="24"/>
          <w:szCs w:val="24"/>
          <w14:textFill>
            <w14:solidFill>
              <w14:schemeClr w14:val="tx1"/>
            </w14:solidFill>
          </w14:textFill>
        </w:rPr>
        <w:t>可选。</w:t>
      </w:r>
    </w:p>
    <w:p w14:paraId="094A5A3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微型断路器</w:t>
      </w:r>
    </w:p>
    <w:p w14:paraId="04736EA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）额定工作电压</w:t>
      </w:r>
      <w:r>
        <w:rPr>
          <w:rFonts w:eastAsiaTheme="minorEastAsia"/>
          <w:color w:val="000000" w:themeColor="text1"/>
          <w:sz w:val="24"/>
          <w:szCs w:val="24"/>
          <w14:textFill>
            <w14:solidFill>
              <w14:schemeClr w14:val="tx1"/>
            </w14:solidFill>
          </w14:textFill>
        </w:rPr>
        <w:t>:  400V</w:t>
      </w:r>
    </w:p>
    <w:p w14:paraId="5B680C5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）额定绝缘电压</w:t>
      </w:r>
      <w:r>
        <w:rPr>
          <w:rFonts w:eastAsiaTheme="minorEastAsia"/>
          <w:color w:val="000000" w:themeColor="text1"/>
          <w:sz w:val="24"/>
          <w:szCs w:val="24"/>
          <w14:textFill>
            <w14:solidFill>
              <w14:schemeClr w14:val="tx1"/>
            </w14:solidFill>
          </w14:textFill>
        </w:rPr>
        <w:t>:  690V</w:t>
      </w:r>
    </w:p>
    <w:p w14:paraId="41AEA7D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）额定冲击耐受电压</w:t>
      </w:r>
      <w:r>
        <w:rPr>
          <w:rFonts w:eastAsiaTheme="minorEastAsia"/>
          <w:color w:val="000000" w:themeColor="text1"/>
          <w:sz w:val="24"/>
          <w:szCs w:val="24"/>
          <w14:textFill>
            <w14:solidFill>
              <w14:schemeClr w14:val="tx1"/>
            </w14:solidFill>
          </w14:textFill>
        </w:rPr>
        <w:t>:  6kV</w:t>
      </w:r>
    </w:p>
    <w:p w14:paraId="6468F5E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4</w:t>
      </w:r>
      <w:r>
        <w:rPr>
          <w:rFonts w:hint="eastAsia" w:eastAsiaTheme="minorEastAsia"/>
          <w:color w:val="000000" w:themeColor="text1"/>
          <w:sz w:val="24"/>
          <w:szCs w:val="24"/>
          <w14:textFill>
            <w14:solidFill>
              <w14:schemeClr w14:val="tx1"/>
            </w14:solidFill>
          </w14:textFill>
        </w:rPr>
        <w:t>）额定工作电流</w:t>
      </w:r>
      <w:r>
        <w:rPr>
          <w:rFonts w:eastAsiaTheme="minorEastAsia"/>
          <w:color w:val="000000" w:themeColor="text1"/>
          <w:sz w:val="24"/>
          <w:szCs w:val="24"/>
          <w14:textFill>
            <w14:solidFill>
              <w14:schemeClr w14:val="tx1"/>
            </w14:solidFill>
          </w14:textFill>
        </w:rPr>
        <w:t>: 0-125A</w:t>
      </w:r>
    </w:p>
    <w:p w14:paraId="29AFB91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）相数</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单相、三相，具体根据工程需要</w:t>
      </w:r>
    </w:p>
    <w:p w14:paraId="555BF34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6</w:t>
      </w:r>
      <w:r>
        <w:rPr>
          <w:rFonts w:hint="eastAsia" w:eastAsiaTheme="minorEastAsia"/>
          <w:color w:val="000000" w:themeColor="text1"/>
          <w:sz w:val="24"/>
          <w:szCs w:val="24"/>
          <w14:textFill>
            <w14:solidFill>
              <w14:schemeClr w14:val="tx1"/>
            </w14:solidFill>
          </w14:textFill>
        </w:rPr>
        <w:t>）极数：</w:t>
      </w:r>
      <w:r>
        <w:rPr>
          <w:rFonts w:eastAsiaTheme="minorEastAsia"/>
          <w:color w:val="000000" w:themeColor="text1"/>
          <w:sz w:val="24"/>
          <w:szCs w:val="24"/>
          <w14:textFill>
            <w14:solidFill>
              <w14:schemeClr w14:val="tx1"/>
            </w14:solidFill>
          </w14:textFill>
        </w:rPr>
        <w:t xml:space="preserve"> 1</w:t>
      </w:r>
      <w:r>
        <w:rPr>
          <w:rFonts w:hint="eastAsia" w:eastAsiaTheme="minorEastAsia"/>
          <w:color w:val="000000" w:themeColor="text1"/>
          <w:sz w:val="24"/>
          <w:szCs w:val="24"/>
          <w14:textFill>
            <w14:solidFill>
              <w14:schemeClr w14:val="tx1"/>
            </w14:solidFill>
          </w14:textFill>
        </w:rPr>
        <w:t>极、</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极、</w:t>
      </w: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极、</w:t>
      </w:r>
      <w:r>
        <w:rPr>
          <w:rFonts w:eastAsiaTheme="minorEastAsia"/>
          <w:color w:val="000000" w:themeColor="text1"/>
          <w:sz w:val="24"/>
          <w:szCs w:val="24"/>
          <w14:textFill>
            <w14:solidFill>
              <w14:schemeClr w14:val="tx1"/>
            </w14:solidFill>
          </w14:textFill>
        </w:rPr>
        <w:t>4</w:t>
      </w:r>
      <w:r>
        <w:rPr>
          <w:rFonts w:hint="eastAsia" w:eastAsiaTheme="minorEastAsia"/>
          <w:color w:val="000000" w:themeColor="text1"/>
          <w:sz w:val="24"/>
          <w:szCs w:val="24"/>
          <w14:textFill>
            <w14:solidFill>
              <w14:schemeClr w14:val="tx1"/>
            </w14:solidFill>
          </w14:textFill>
        </w:rPr>
        <w:t>极，具体根据工程需要</w:t>
      </w:r>
    </w:p>
    <w:p w14:paraId="4390E1C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7</w:t>
      </w:r>
      <w:r>
        <w:rPr>
          <w:rFonts w:hint="eastAsia" w:eastAsiaTheme="minorEastAsia"/>
          <w:color w:val="000000" w:themeColor="text1"/>
          <w:sz w:val="24"/>
          <w:szCs w:val="24"/>
          <w14:textFill>
            <w14:solidFill>
              <w14:schemeClr w14:val="tx1"/>
            </w14:solidFill>
          </w14:textFill>
        </w:rPr>
        <w:t>）额定频率：</w:t>
      </w:r>
      <w:r>
        <w:rPr>
          <w:rFonts w:eastAsiaTheme="minorEastAsia"/>
          <w:color w:val="000000" w:themeColor="text1"/>
          <w:sz w:val="24"/>
          <w:szCs w:val="24"/>
          <w14:textFill>
            <w14:solidFill>
              <w14:schemeClr w14:val="tx1"/>
            </w14:solidFill>
          </w14:textFill>
        </w:rPr>
        <w:t xml:space="preserve"> 50HZ</w:t>
      </w:r>
    </w:p>
    <w:p w14:paraId="28327A3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8</w:t>
      </w:r>
      <w:r>
        <w:rPr>
          <w:rFonts w:hint="eastAsia" w:eastAsiaTheme="minorEastAsia"/>
          <w:color w:val="000000" w:themeColor="text1"/>
          <w:sz w:val="24"/>
          <w:szCs w:val="24"/>
          <w14:textFill>
            <w14:solidFill>
              <w14:schemeClr w14:val="tx1"/>
            </w14:solidFill>
          </w14:textFill>
        </w:rPr>
        <w:t>）污染等级：</w:t>
      </w:r>
      <w:r>
        <w:rPr>
          <w:rFonts w:eastAsiaTheme="minorEastAsia"/>
          <w:color w:val="000000" w:themeColor="text1"/>
          <w:sz w:val="24"/>
          <w:szCs w:val="24"/>
          <w14:textFill>
            <w14:solidFill>
              <w14:schemeClr w14:val="tx1"/>
            </w14:solidFill>
          </w14:textFill>
        </w:rPr>
        <w:t xml:space="preserve"> 3</w:t>
      </w:r>
      <w:r>
        <w:rPr>
          <w:rFonts w:hint="eastAsia" w:eastAsiaTheme="minorEastAsia"/>
          <w:color w:val="000000" w:themeColor="text1"/>
          <w:sz w:val="24"/>
          <w:szCs w:val="24"/>
          <w14:textFill>
            <w14:solidFill>
              <w14:schemeClr w14:val="tx1"/>
            </w14:solidFill>
          </w14:textFill>
        </w:rPr>
        <w:t>级</w:t>
      </w:r>
    </w:p>
    <w:p w14:paraId="3387718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9</w:t>
      </w:r>
      <w:r>
        <w:rPr>
          <w:rFonts w:hint="eastAsia" w:eastAsiaTheme="minorEastAsia"/>
          <w:color w:val="000000" w:themeColor="text1"/>
          <w:sz w:val="24"/>
          <w:szCs w:val="24"/>
          <w14:textFill>
            <w14:solidFill>
              <w14:schemeClr w14:val="tx1"/>
            </w14:solidFill>
          </w14:textFill>
        </w:rPr>
        <w:t>）极限开断电流：根据</w:t>
      </w:r>
      <w:r>
        <w:rPr>
          <w:rFonts w:eastAsiaTheme="minorEastAsia"/>
          <w:color w:val="000000" w:themeColor="text1"/>
          <w:sz w:val="24"/>
          <w:szCs w:val="24"/>
          <w14:textFill>
            <w14:solidFill>
              <w14:schemeClr w14:val="tx1"/>
            </w14:solidFill>
          </w14:textFill>
        </w:rPr>
        <w:t>工程</w:t>
      </w:r>
      <w:r>
        <w:rPr>
          <w:rFonts w:hint="eastAsia" w:eastAsiaTheme="minorEastAsia"/>
          <w:color w:val="000000" w:themeColor="text1"/>
          <w:sz w:val="24"/>
          <w:szCs w:val="24"/>
          <w14:textFill>
            <w14:solidFill>
              <w14:schemeClr w14:val="tx1"/>
            </w14:solidFill>
          </w14:textFill>
        </w:rPr>
        <w:t>需要</w:t>
      </w:r>
      <w:r>
        <w:rPr>
          <w:rFonts w:eastAsiaTheme="minorEastAsia"/>
          <w:color w:val="000000" w:themeColor="text1"/>
          <w:sz w:val="24"/>
          <w:szCs w:val="24"/>
          <w14:textFill>
            <w14:solidFill>
              <w14:schemeClr w14:val="tx1"/>
            </w14:solidFill>
          </w14:textFill>
        </w:rPr>
        <w:t>，不小于</w:t>
      </w:r>
      <w:r>
        <w:rPr>
          <w:rFonts w:hint="eastAsia" w:eastAsiaTheme="minorEastAsia"/>
          <w:color w:val="000000" w:themeColor="text1"/>
          <w:sz w:val="24"/>
          <w:szCs w:val="24"/>
          <w14:textFill>
            <w14:solidFill>
              <w14:schemeClr w14:val="tx1"/>
            </w14:solidFill>
          </w14:textFill>
        </w:rPr>
        <w:t>5</w:t>
      </w:r>
      <w:r>
        <w:rPr>
          <w:rFonts w:eastAsiaTheme="minorEastAsia"/>
          <w:color w:val="000000" w:themeColor="text1"/>
          <w:sz w:val="24"/>
          <w:szCs w:val="24"/>
          <w14:textFill>
            <w14:solidFill>
              <w14:schemeClr w14:val="tx1"/>
            </w14:solidFill>
          </w14:textFill>
        </w:rPr>
        <w:t>0kA</w:t>
      </w:r>
    </w:p>
    <w:p w14:paraId="6E1B81A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10</w:t>
      </w:r>
      <w:r>
        <w:rPr>
          <w:rFonts w:hint="eastAsia" w:eastAsiaTheme="minorEastAsia"/>
          <w:color w:val="000000" w:themeColor="text1"/>
          <w:sz w:val="24"/>
          <w:szCs w:val="24"/>
          <w14:textFill>
            <w14:solidFill>
              <w14:schemeClr w14:val="tx1"/>
            </w14:solidFill>
          </w14:textFill>
        </w:rPr>
        <w:t>）安装方式：</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固定式或插入式</w:t>
      </w:r>
    </w:p>
    <w:p w14:paraId="3049477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11</w:t>
      </w:r>
      <w:r>
        <w:rPr>
          <w:rFonts w:hint="eastAsia" w:eastAsiaTheme="minorEastAsia"/>
          <w:color w:val="000000" w:themeColor="text1"/>
          <w:sz w:val="24"/>
          <w:szCs w:val="24"/>
          <w14:textFill>
            <w14:solidFill>
              <w14:schemeClr w14:val="tx1"/>
            </w14:solidFill>
          </w14:textFill>
        </w:rPr>
        <w:t>）分励脱扣器、漏电、辅助触点等：可配置，漏电</w:t>
      </w:r>
      <w:r>
        <w:rPr>
          <w:rFonts w:eastAsiaTheme="minorEastAsia"/>
          <w:color w:val="000000" w:themeColor="text1"/>
          <w:sz w:val="24"/>
          <w:szCs w:val="24"/>
          <w14:textFill>
            <w14:solidFill>
              <w14:schemeClr w14:val="tx1"/>
            </w14:solidFill>
          </w14:textFill>
        </w:rPr>
        <w:t>30mA~500mA</w:t>
      </w:r>
      <w:r>
        <w:rPr>
          <w:rFonts w:hint="eastAsia" w:eastAsiaTheme="minorEastAsia"/>
          <w:color w:val="000000" w:themeColor="text1"/>
          <w:sz w:val="24"/>
          <w:szCs w:val="24"/>
          <w14:textFill>
            <w14:solidFill>
              <w14:schemeClr w14:val="tx1"/>
            </w14:solidFill>
          </w14:textFill>
        </w:rPr>
        <w:t>可选。</w:t>
      </w:r>
    </w:p>
    <w:p w14:paraId="1CDFF6A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68" w:name="_Toc412810143"/>
      <w:r>
        <w:rPr>
          <w:rFonts w:hint="eastAsia" w:eastAsiaTheme="minorEastAsia"/>
          <w:color w:val="000000" w:themeColor="text1"/>
          <w:sz w:val="24"/>
          <w:szCs w:val="24"/>
          <w14:textFill>
            <w14:solidFill>
              <w14:schemeClr w14:val="tx1"/>
            </w14:solidFill>
          </w14:textFill>
        </w:rPr>
        <w:t>4.3.5.7</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安装要求</w:t>
      </w:r>
      <w:bookmarkEnd w:id="568"/>
    </w:p>
    <w:p w14:paraId="5706F52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箱体单独或成列安装时，其垂直度、水平偏差及箱面偏差和箱间接缝的允许偏差应符合规范规定。</w:t>
      </w:r>
    </w:p>
    <w:p w14:paraId="40F8D79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箱体安装应牢固，封闭良好，并应能防潮、防尘。安装的位置应便于检查</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成列安装时，应排列整齐。</w:t>
      </w:r>
    </w:p>
    <w:p w14:paraId="25740C6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箱内的接地应牢固良好。</w:t>
      </w:r>
    </w:p>
    <w:p w14:paraId="700BD27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箱体表面漆层应完整，无损伤。</w:t>
      </w:r>
    </w:p>
    <w:p w14:paraId="1096B27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69" w:name="_Toc412810144"/>
      <w:r>
        <w:rPr>
          <w:rFonts w:eastAsiaTheme="minorEastAsia"/>
          <w:color w:val="000000" w:themeColor="text1"/>
          <w:sz w:val="24"/>
          <w:szCs w:val="24"/>
          <w14:textFill>
            <w14:solidFill>
              <w14:schemeClr w14:val="tx1"/>
            </w14:solidFill>
          </w14:textFill>
        </w:rPr>
        <w:t xml:space="preserve">4.3.5.8 </w:t>
      </w:r>
      <w:r>
        <w:rPr>
          <w:rFonts w:hint="eastAsia" w:eastAsiaTheme="minorEastAsia"/>
          <w:color w:val="000000" w:themeColor="text1"/>
          <w:sz w:val="24"/>
          <w:szCs w:val="24"/>
          <w14:textFill>
            <w14:solidFill>
              <w14:schemeClr w14:val="tx1"/>
            </w14:solidFill>
          </w14:textFill>
        </w:rPr>
        <w:t>箱体结构标准图</w:t>
      </w:r>
      <w:bookmarkEnd w:id="569"/>
    </w:p>
    <w:p w14:paraId="00487956">
      <w:pPr>
        <w:jc w:val="center"/>
        <w:rPr>
          <w:rFonts w:ascii="宋体" w:hAnsi="宋体"/>
        </w:rPr>
      </w:pPr>
      <w:r>
        <w:rPr>
          <w:rFonts w:ascii="宋体" w:hAnsi="宋体"/>
        </w:rPr>
        <w:object>
          <v:shape id="_x0000_i1026" o:spt="75" type="#_x0000_t75" style="height:216pt;width:492.95pt;" o:ole="t" filled="f" o:preferrelative="t" stroked="f" coordsize="21600,21600">
            <v:path/>
            <v:fill on="f" focussize="0,0"/>
            <v:stroke on="f" joinstyle="miter"/>
            <v:imagedata r:id="rId16" o:title=""/>
            <o:lock v:ext="edit" aspectratio="t"/>
            <w10:wrap type="none"/>
            <w10:anchorlock/>
          </v:shape>
          <o:OLEObject Type="Embed" ProgID="AutoCAD.Drawing.17" ShapeID="_x0000_i1026" DrawAspect="Content" ObjectID="_1468075726" r:id="rId15">
            <o:LockedField>false</o:LockedField>
          </o:OLEObject>
        </w:object>
      </w:r>
    </w:p>
    <w:p w14:paraId="77639B60">
      <w:pPr>
        <w:jc w:val="center"/>
        <w:rPr>
          <w:rFonts w:ascii="宋体" w:hAnsi="宋体"/>
          <w:sz w:val="18"/>
          <w:szCs w:val="18"/>
        </w:rPr>
      </w:pPr>
      <w:r>
        <w:rPr>
          <w:rFonts w:hint="eastAsia" w:ascii="宋体" w:hAnsi="宋体"/>
          <w:sz w:val="18"/>
          <w:szCs w:val="18"/>
        </w:rPr>
        <w:t>图4.3.5-1  箱体标准图</w:t>
      </w:r>
    </w:p>
    <w:p w14:paraId="4536111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70" w:name="_Toc412810145"/>
      <w:r>
        <w:rPr>
          <w:rFonts w:eastAsiaTheme="minorEastAsia"/>
          <w:color w:val="000000" w:themeColor="text1"/>
          <w:sz w:val="24"/>
          <w:szCs w:val="24"/>
          <w14:textFill>
            <w14:solidFill>
              <w14:schemeClr w14:val="tx1"/>
            </w14:solidFill>
          </w14:textFill>
        </w:rPr>
        <w:t xml:space="preserve">4.3.5.9 </w:t>
      </w:r>
      <w:r>
        <w:rPr>
          <w:rFonts w:hint="eastAsia" w:eastAsiaTheme="minorEastAsia"/>
          <w:color w:val="000000" w:themeColor="text1"/>
          <w:sz w:val="24"/>
          <w:szCs w:val="24"/>
          <w14:textFill>
            <w14:solidFill>
              <w14:schemeClr w14:val="tx1"/>
            </w14:solidFill>
          </w14:textFill>
        </w:rPr>
        <w:t>专业接口要求</w:t>
      </w:r>
      <w:bookmarkEnd w:id="570"/>
    </w:p>
    <w:p w14:paraId="463A44B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71" w:name="_Toc271281212"/>
      <w:bookmarkStart w:id="572" w:name="_Toc276490905"/>
      <w:bookmarkStart w:id="573" w:name="_Toc276492417"/>
      <w:r>
        <w:rPr>
          <w:rFonts w:eastAsiaTheme="minorEastAsia"/>
          <w:color w:val="000000" w:themeColor="text1"/>
          <w:sz w:val="24"/>
          <w:szCs w:val="24"/>
          <w14:textFill>
            <w14:solidFill>
              <w14:schemeClr w14:val="tx1"/>
            </w14:solidFill>
          </w14:textFill>
        </w:rPr>
        <w:t xml:space="preserve">1） </w:t>
      </w:r>
      <w:r>
        <w:rPr>
          <w:rFonts w:hint="eastAsia" w:eastAsiaTheme="minorEastAsia"/>
          <w:color w:val="000000" w:themeColor="text1"/>
          <w:sz w:val="24"/>
          <w:szCs w:val="24"/>
          <w14:textFill>
            <w14:solidFill>
              <w14:schemeClr w14:val="tx1"/>
            </w14:solidFill>
          </w14:textFill>
        </w:rPr>
        <w:t>电气一次接口</w:t>
      </w:r>
      <w:bookmarkStart w:id="574" w:name="_Toc278474594"/>
      <w:bookmarkStart w:id="575" w:name="_Toc277686856"/>
    </w:p>
    <w:p w14:paraId="446C1F5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控制箱及</w:t>
      </w:r>
      <w:r>
        <w:rPr>
          <w:rFonts w:eastAsiaTheme="minorEastAsia"/>
          <w:color w:val="000000" w:themeColor="text1"/>
          <w:sz w:val="24"/>
          <w:szCs w:val="24"/>
          <w14:textFill>
            <w14:solidFill>
              <w14:schemeClr w14:val="tx1"/>
            </w14:solidFill>
          </w14:textFill>
        </w:rPr>
        <w:t>电源</w:t>
      </w:r>
      <w:r>
        <w:rPr>
          <w:rFonts w:hint="eastAsia" w:eastAsiaTheme="minorEastAsia"/>
          <w:color w:val="000000" w:themeColor="text1"/>
          <w:sz w:val="24"/>
          <w:szCs w:val="24"/>
          <w14:textFill>
            <w14:solidFill>
              <w14:schemeClr w14:val="tx1"/>
            </w14:solidFill>
          </w14:textFill>
        </w:rPr>
        <w:t>箱接线根据具体工程设计给出，</w:t>
      </w:r>
      <w:r>
        <w:rPr>
          <w:rFonts w:eastAsiaTheme="minorEastAsia"/>
          <w:color w:val="000000" w:themeColor="text1"/>
          <w:sz w:val="24"/>
          <w:szCs w:val="24"/>
          <w14:textFill>
            <w14:solidFill>
              <w14:schemeClr w14:val="tx1"/>
            </w14:solidFill>
          </w14:textFill>
        </w:rPr>
        <w:t>厂家</w:t>
      </w:r>
      <w:r>
        <w:rPr>
          <w:rFonts w:hint="eastAsia" w:eastAsiaTheme="minorEastAsia"/>
          <w:color w:val="000000" w:themeColor="text1"/>
          <w:sz w:val="24"/>
          <w:szCs w:val="24"/>
          <w14:textFill>
            <w14:solidFill>
              <w14:schemeClr w14:val="tx1"/>
            </w14:solidFill>
          </w14:textFill>
        </w:rPr>
        <w:t>完成</w:t>
      </w:r>
      <w:r>
        <w:rPr>
          <w:rFonts w:eastAsiaTheme="minorEastAsia"/>
          <w:color w:val="000000" w:themeColor="text1"/>
          <w:sz w:val="24"/>
          <w:szCs w:val="24"/>
          <w14:textFill>
            <w14:solidFill>
              <w14:schemeClr w14:val="tx1"/>
            </w14:solidFill>
          </w14:textFill>
        </w:rPr>
        <w:t>后</w:t>
      </w:r>
      <w:r>
        <w:rPr>
          <w:rFonts w:hint="eastAsia" w:eastAsiaTheme="minorEastAsia"/>
          <w:color w:val="000000" w:themeColor="text1"/>
          <w:sz w:val="24"/>
          <w:szCs w:val="24"/>
          <w14:textFill>
            <w14:solidFill>
              <w14:schemeClr w14:val="tx1"/>
            </w14:solidFill>
          </w14:textFill>
        </w:rPr>
        <w:t>给</w:t>
      </w:r>
      <w:r>
        <w:rPr>
          <w:rFonts w:eastAsiaTheme="minorEastAsia"/>
          <w:color w:val="000000" w:themeColor="text1"/>
          <w:sz w:val="24"/>
          <w:szCs w:val="24"/>
          <w14:textFill>
            <w14:solidFill>
              <w14:schemeClr w14:val="tx1"/>
            </w14:solidFill>
          </w14:textFill>
        </w:rPr>
        <w:t>业主</w:t>
      </w:r>
      <w:r>
        <w:rPr>
          <w:rFonts w:hint="eastAsia" w:eastAsiaTheme="minorEastAsia"/>
          <w:color w:val="000000" w:themeColor="text1"/>
          <w:sz w:val="24"/>
          <w:szCs w:val="24"/>
          <w14:textFill>
            <w14:solidFill>
              <w14:schemeClr w14:val="tx1"/>
            </w14:solidFill>
          </w14:textFill>
        </w:rPr>
        <w:t>和</w:t>
      </w:r>
      <w:r>
        <w:rPr>
          <w:rFonts w:eastAsiaTheme="minorEastAsia"/>
          <w:color w:val="000000" w:themeColor="text1"/>
          <w:sz w:val="24"/>
          <w:szCs w:val="24"/>
          <w14:textFill>
            <w14:solidFill>
              <w14:schemeClr w14:val="tx1"/>
            </w14:solidFill>
          </w14:textFill>
        </w:rPr>
        <w:t>设计</w:t>
      </w:r>
      <w:r>
        <w:rPr>
          <w:rFonts w:hint="eastAsia" w:eastAsiaTheme="minorEastAsia"/>
          <w:color w:val="000000" w:themeColor="text1"/>
          <w:sz w:val="24"/>
          <w:szCs w:val="24"/>
          <w14:textFill>
            <w14:solidFill>
              <w14:schemeClr w14:val="tx1"/>
            </w14:solidFill>
          </w14:textFill>
        </w:rPr>
        <w:t>进行审核。</w:t>
      </w:r>
    </w:p>
    <w:bookmarkEnd w:id="574"/>
    <w:bookmarkEnd w:id="575"/>
    <w:p w14:paraId="4FB08A4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 </w:t>
      </w:r>
      <w:r>
        <w:rPr>
          <w:rFonts w:hint="eastAsia" w:eastAsiaTheme="minorEastAsia"/>
          <w:color w:val="000000" w:themeColor="text1"/>
          <w:sz w:val="24"/>
          <w:szCs w:val="24"/>
          <w14:textFill>
            <w14:solidFill>
              <w14:schemeClr w14:val="tx1"/>
            </w14:solidFill>
          </w14:textFill>
        </w:rPr>
        <w:t>土建接口</w:t>
      </w:r>
    </w:p>
    <w:p w14:paraId="42B6B2C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嵌入墙内暗装时，电箱墙上开孔尺寸为</w:t>
      </w:r>
      <w:r>
        <w:rPr>
          <w:rFonts w:eastAsiaTheme="minorEastAsia"/>
          <w:color w:val="000000" w:themeColor="text1"/>
          <w:sz w:val="24"/>
          <w:szCs w:val="24"/>
          <w14:textFill>
            <w14:solidFill>
              <w14:schemeClr w14:val="tx1"/>
            </w14:solidFill>
          </w14:textFill>
        </w:rPr>
        <w:t>150x620x620(</w:t>
      </w:r>
      <w:r>
        <w:rPr>
          <w:rFonts w:hint="eastAsia" w:eastAsiaTheme="minorEastAsia"/>
          <w:color w:val="000000" w:themeColor="text1"/>
          <w:sz w:val="24"/>
          <w:szCs w:val="24"/>
          <w14:textFill>
            <w14:solidFill>
              <w14:schemeClr w14:val="tx1"/>
            </w14:solidFill>
          </w14:textFill>
        </w:rPr>
        <w:t>深</w:t>
      </w:r>
      <w:r>
        <w:rPr>
          <w:rFonts w:eastAsiaTheme="minorEastAsia"/>
          <w:color w:val="000000" w:themeColor="text1"/>
          <w:sz w:val="24"/>
          <w:szCs w:val="24"/>
          <w14:textFill>
            <w14:solidFill>
              <w14:schemeClr w14:val="tx1"/>
            </w14:solidFill>
          </w14:textFill>
        </w:rPr>
        <w:t>x</w:t>
      </w:r>
      <w:r>
        <w:rPr>
          <w:rFonts w:hint="eastAsia" w:eastAsiaTheme="minorEastAsia"/>
          <w:color w:val="000000" w:themeColor="text1"/>
          <w:sz w:val="24"/>
          <w:szCs w:val="24"/>
          <w14:textFill>
            <w14:solidFill>
              <w14:schemeClr w14:val="tx1"/>
            </w14:solidFill>
          </w14:textFill>
        </w:rPr>
        <w:t>宽</w:t>
      </w:r>
      <w:r>
        <w:rPr>
          <w:rFonts w:eastAsiaTheme="minorEastAsia"/>
          <w:color w:val="000000" w:themeColor="text1"/>
          <w:sz w:val="24"/>
          <w:szCs w:val="24"/>
          <w14:textFill>
            <w14:solidFill>
              <w14:schemeClr w14:val="tx1"/>
            </w14:solidFill>
          </w14:textFill>
        </w:rPr>
        <w:t>x</w:t>
      </w:r>
      <w:r>
        <w:rPr>
          <w:rFonts w:hint="eastAsia" w:eastAsiaTheme="minorEastAsia"/>
          <w:color w:val="000000" w:themeColor="text1"/>
          <w:sz w:val="24"/>
          <w:szCs w:val="24"/>
          <w14:textFill>
            <w14:solidFill>
              <w14:schemeClr w14:val="tx1"/>
            </w14:solidFill>
          </w14:textFill>
        </w:rPr>
        <w:t>高</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或</w:t>
      </w:r>
      <w:r>
        <w:rPr>
          <w:rFonts w:eastAsiaTheme="minorEastAsia"/>
          <w:color w:val="000000" w:themeColor="text1"/>
          <w:sz w:val="24"/>
          <w:szCs w:val="24"/>
          <w14:textFill>
            <w14:solidFill>
              <w14:schemeClr w14:val="tx1"/>
            </w14:solidFill>
          </w14:textFill>
        </w:rPr>
        <w:t>150x820x620(</w:t>
      </w:r>
      <w:r>
        <w:rPr>
          <w:rFonts w:hint="eastAsia" w:eastAsiaTheme="minorEastAsia"/>
          <w:color w:val="000000" w:themeColor="text1"/>
          <w:sz w:val="24"/>
          <w:szCs w:val="24"/>
          <w14:textFill>
            <w14:solidFill>
              <w14:schemeClr w14:val="tx1"/>
            </w14:solidFill>
          </w14:textFill>
        </w:rPr>
        <w:t>深</w:t>
      </w:r>
      <w:r>
        <w:rPr>
          <w:rFonts w:eastAsiaTheme="minorEastAsia"/>
          <w:color w:val="000000" w:themeColor="text1"/>
          <w:sz w:val="24"/>
          <w:szCs w:val="24"/>
          <w14:textFill>
            <w14:solidFill>
              <w14:schemeClr w14:val="tx1"/>
            </w14:solidFill>
          </w14:textFill>
        </w:rPr>
        <w:t>x</w:t>
      </w:r>
      <w:r>
        <w:rPr>
          <w:rFonts w:hint="eastAsia" w:eastAsiaTheme="minorEastAsia"/>
          <w:color w:val="000000" w:themeColor="text1"/>
          <w:sz w:val="24"/>
          <w:szCs w:val="24"/>
          <w14:textFill>
            <w14:solidFill>
              <w14:schemeClr w14:val="tx1"/>
            </w14:solidFill>
          </w14:textFill>
        </w:rPr>
        <w:t>宽</w:t>
      </w:r>
      <w:r>
        <w:rPr>
          <w:rFonts w:eastAsiaTheme="minorEastAsia"/>
          <w:color w:val="000000" w:themeColor="text1"/>
          <w:sz w:val="24"/>
          <w:szCs w:val="24"/>
          <w14:textFill>
            <w14:solidFill>
              <w14:schemeClr w14:val="tx1"/>
            </w14:solidFill>
          </w14:textFill>
        </w:rPr>
        <w:t>x</w:t>
      </w:r>
      <w:r>
        <w:rPr>
          <w:rFonts w:hint="eastAsia" w:eastAsiaTheme="minorEastAsia"/>
          <w:color w:val="000000" w:themeColor="text1"/>
          <w:sz w:val="24"/>
          <w:szCs w:val="24"/>
          <w14:textFill>
            <w14:solidFill>
              <w14:schemeClr w14:val="tx1"/>
            </w14:solidFill>
          </w14:textFill>
        </w:rPr>
        <w:t>高</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，安装方式见下图。</w:t>
      </w:r>
    </w:p>
    <w:p w14:paraId="75F500A3">
      <w:pPr>
        <w:pStyle w:val="58"/>
        <w:keepNext/>
        <w:spacing w:line="360" w:lineRule="auto"/>
        <w:ind w:firstLine="0" w:firstLineChars="0"/>
        <w:jc w:val="center"/>
        <w:rPr>
          <w:rFonts w:hAnsi="宋体"/>
          <w:szCs w:val="21"/>
        </w:rPr>
      </w:pPr>
      <w:r>
        <w:rPr>
          <w:rFonts w:hAnsi="宋体"/>
          <w:szCs w:val="21"/>
        </w:rPr>
        <w:drawing>
          <wp:inline distT="0" distB="0" distL="0" distR="0">
            <wp:extent cx="2194560" cy="275018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2194560" cy="2750185"/>
                    </a:xfrm>
                    <a:prstGeom prst="rect">
                      <a:avLst/>
                    </a:prstGeom>
                    <a:noFill/>
                    <a:ln>
                      <a:noFill/>
                    </a:ln>
                  </pic:spPr>
                </pic:pic>
              </a:graphicData>
            </a:graphic>
          </wp:inline>
        </w:drawing>
      </w:r>
    </w:p>
    <w:p w14:paraId="53265B95">
      <w:pPr>
        <w:spacing w:line="360" w:lineRule="auto"/>
        <w:jc w:val="center"/>
        <w:rPr>
          <w:rFonts w:ascii="宋体" w:hAnsi="宋体"/>
          <w:sz w:val="18"/>
          <w:szCs w:val="18"/>
        </w:rPr>
      </w:pPr>
      <w:r>
        <w:rPr>
          <w:rFonts w:hint="eastAsia" w:ascii="宋体" w:hAnsi="宋体"/>
          <w:sz w:val="18"/>
          <w:szCs w:val="18"/>
        </w:rPr>
        <w:t>图4.</w:t>
      </w:r>
      <w:r>
        <w:rPr>
          <w:rFonts w:ascii="宋体" w:hAnsi="宋体"/>
          <w:sz w:val="18"/>
          <w:szCs w:val="18"/>
        </w:rPr>
        <w:t>3.5-2</w:t>
      </w:r>
      <w:r>
        <w:rPr>
          <w:rFonts w:hint="eastAsia" w:ascii="宋体" w:hAnsi="宋体"/>
          <w:sz w:val="18"/>
          <w:szCs w:val="18"/>
        </w:rPr>
        <w:t xml:space="preserve">  箱体安装土建条件图</w:t>
      </w:r>
    </w:p>
    <w:p w14:paraId="534BB4D9">
      <w:pPr>
        <w:spacing w:line="360" w:lineRule="auto"/>
        <w:ind w:firstLine="420" w:firstLineChars="200"/>
        <w:jc w:val="left"/>
        <w:rPr>
          <w:rFonts w:ascii="宋体" w:hAnsi="宋体"/>
          <w:szCs w:val="21"/>
        </w:rPr>
      </w:pPr>
    </w:p>
    <w:p w14:paraId="1A65C419">
      <w:pPr>
        <w:snapToGrid w:val="0"/>
        <w:spacing w:line="480" w:lineRule="atLeast"/>
        <w:ind w:firstLine="480" w:firstLineChars="200"/>
        <w:rPr>
          <w:rFonts w:eastAsiaTheme="minorEastAsia"/>
          <w:color w:val="000000" w:themeColor="text1"/>
          <w:szCs w:val="24"/>
          <w14:textFill>
            <w14:solidFill>
              <w14:schemeClr w14:val="tx1"/>
            </w14:solidFill>
          </w14:textFill>
        </w:rPr>
      </w:pPr>
      <w:bookmarkStart w:id="576" w:name="_Toc412810146"/>
      <w:r>
        <w:rPr>
          <w:rFonts w:eastAsiaTheme="minorEastAsia"/>
          <w:color w:val="000000" w:themeColor="text1"/>
          <w:sz w:val="24"/>
          <w:szCs w:val="24"/>
          <w14:textFill>
            <w14:solidFill>
              <w14:schemeClr w14:val="tx1"/>
            </w14:solidFill>
          </w14:textFill>
        </w:rPr>
        <w:t xml:space="preserve">4.3.5.10 </w:t>
      </w:r>
      <w:r>
        <w:rPr>
          <w:rFonts w:hint="eastAsia" w:eastAsiaTheme="minorEastAsia"/>
          <w:color w:val="000000" w:themeColor="text1"/>
          <w:sz w:val="24"/>
          <w:szCs w:val="24"/>
          <w14:textFill>
            <w14:solidFill>
              <w14:schemeClr w14:val="tx1"/>
            </w14:solidFill>
          </w14:textFill>
        </w:rPr>
        <w:t>试验</w:t>
      </w:r>
      <w:bookmarkEnd w:id="571"/>
      <w:bookmarkEnd w:id="572"/>
      <w:bookmarkEnd w:id="573"/>
      <w:bookmarkEnd w:id="576"/>
    </w:p>
    <w:p w14:paraId="4D20AFB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根据相关国标和行标等有关标准及其补充说明进行各项试验，有关条款的特殊要求和补充应在试验期间遵守并执行。</w:t>
      </w:r>
    </w:p>
    <w:p w14:paraId="7A013DD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77" w:name="_Toc241314867"/>
      <w:bookmarkStart w:id="578" w:name="_Toc241749411"/>
      <w:bookmarkStart w:id="579" w:name="_Toc283110354"/>
      <w:bookmarkStart w:id="580" w:name="_Toc412810147"/>
      <w:bookmarkStart w:id="581" w:name="_Toc242394252"/>
      <w:bookmarkStart w:id="582" w:name="_Toc224635171"/>
      <w:r>
        <w:rPr>
          <w:rFonts w:eastAsiaTheme="minorEastAsia"/>
          <w:color w:val="000000" w:themeColor="text1"/>
          <w:sz w:val="24"/>
          <w:szCs w:val="24"/>
          <w14:textFill>
            <w14:solidFill>
              <w14:schemeClr w14:val="tx1"/>
            </w14:solidFill>
          </w14:textFill>
        </w:rPr>
        <w:t xml:space="preserve">1） </w:t>
      </w:r>
      <w:r>
        <w:rPr>
          <w:rFonts w:hint="eastAsia" w:eastAsiaTheme="minorEastAsia"/>
          <w:color w:val="000000" w:themeColor="text1"/>
          <w:sz w:val="24"/>
          <w:szCs w:val="24"/>
          <w14:textFill>
            <w14:solidFill>
              <w14:schemeClr w14:val="tx1"/>
            </w14:solidFill>
          </w14:textFill>
        </w:rPr>
        <w:t>型式试验</w:t>
      </w:r>
      <w:bookmarkEnd w:id="577"/>
      <w:bookmarkEnd w:id="578"/>
      <w:bookmarkEnd w:id="579"/>
      <w:bookmarkEnd w:id="580"/>
      <w:bookmarkEnd w:id="581"/>
      <w:bookmarkEnd w:id="582"/>
    </w:p>
    <w:p w14:paraId="1CAE5CD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结构及外观检查：</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目测。</w:t>
      </w:r>
    </w:p>
    <w:p w14:paraId="682B6D3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通电检查：按检验规程通电后测试参数和性能。</w:t>
      </w:r>
    </w:p>
    <w:p w14:paraId="6509555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电气间隙和爬电距离验证</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按</w:t>
      </w:r>
      <w:r>
        <w:rPr>
          <w:rFonts w:eastAsiaTheme="minorEastAsia"/>
          <w:color w:val="000000" w:themeColor="text1"/>
          <w:sz w:val="24"/>
          <w:szCs w:val="24"/>
          <w14:textFill>
            <w14:solidFill>
              <w14:schemeClr w14:val="tx1"/>
            </w14:solidFill>
          </w14:textFill>
        </w:rPr>
        <w:t>GB7251.1</w:t>
      </w:r>
      <w:r>
        <w:rPr>
          <w:rFonts w:hint="eastAsia" w:eastAsiaTheme="minorEastAsia"/>
          <w:color w:val="000000" w:themeColor="text1"/>
          <w:sz w:val="24"/>
          <w:szCs w:val="24"/>
          <w14:textFill>
            <w14:solidFill>
              <w14:schemeClr w14:val="tx1"/>
            </w14:solidFill>
          </w14:textFill>
        </w:rPr>
        <w:t>标准验证。</w:t>
      </w:r>
    </w:p>
    <w:p w14:paraId="321B77D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防护等级验证</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按</w:t>
      </w:r>
      <w:r>
        <w:rPr>
          <w:rFonts w:eastAsiaTheme="minorEastAsia"/>
          <w:color w:val="000000" w:themeColor="text1"/>
          <w:sz w:val="24"/>
          <w:szCs w:val="24"/>
          <w14:textFill>
            <w14:solidFill>
              <w14:schemeClr w14:val="tx1"/>
            </w14:solidFill>
          </w14:textFill>
        </w:rPr>
        <w:t>GB7251.1</w:t>
      </w:r>
      <w:r>
        <w:rPr>
          <w:rFonts w:hint="eastAsia" w:eastAsiaTheme="minorEastAsia"/>
          <w:color w:val="000000" w:themeColor="text1"/>
          <w:sz w:val="24"/>
          <w:szCs w:val="24"/>
          <w14:textFill>
            <w14:solidFill>
              <w14:schemeClr w14:val="tx1"/>
            </w14:solidFill>
          </w14:textFill>
        </w:rPr>
        <w:t>标准验证。</w:t>
      </w:r>
    </w:p>
    <w:p w14:paraId="62D25F4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绝缘性能检验：按</w:t>
      </w:r>
      <w:r>
        <w:rPr>
          <w:rFonts w:eastAsiaTheme="minorEastAsia"/>
          <w:color w:val="000000" w:themeColor="text1"/>
          <w:sz w:val="24"/>
          <w:szCs w:val="24"/>
          <w14:textFill>
            <w14:solidFill>
              <w14:schemeClr w14:val="tx1"/>
            </w14:solidFill>
          </w14:textFill>
        </w:rPr>
        <w:t>GB7261</w:t>
      </w:r>
      <w:r>
        <w:rPr>
          <w:rFonts w:hint="eastAsia" w:eastAsiaTheme="minorEastAsia"/>
          <w:color w:val="000000" w:themeColor="text1"/>
          <w:sz w:val="24"/>
          <w:szCs w:val="24"/>
          <w14:textFill>
            <w14:solidFill>
              <w14:schemeClr w14:val="tx1"/>
            </w14:solidFill>
          </w14:textFill>
        </w:rPr>
        <w:t>标准试验。</w:t>
      </w:r>
    </w:p>
    <w:p w14:paraId="3B9D382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机械性能检验</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按</w:t>
      </w:r>
      <w:r>
        <w:rPr>
          <w:rFonts w:eastAsiaTheme="minorEastAsia"/>
          <w:color w:val="000000" w:themeColor="text1"/>
          <w:sz w:val="24"/>
          <w:szCs w:val="24"/>
          <w14:textFill>
            <w14:solidFill>
              <w14:schemeClr w14:val="tx1"/>
            </w14:solidFill>
          </w14:textFill>
        </w:rPr>
        <w:t>GB/T11287</w:t>
      </w:r>
      <w:r>
        <w:rPr>
          <w:rFonts w:hint="eastAsia" w:eastAsiaTheme="minorEastAsia"/>
          <w:color w:val="000000" w:themeColor="text1"/>
          <w:sz w:val="24"/>
          <w:szCs w:val="24"/>
          <w14:textFill>
            <w14:solidFill>
              <w14:schemeClr w14:val="tx1"/>
            </w14:solidFill>
          </w14:textFill>
        </w:rPr>
        <w:t>或</w:t>
      </w:r>
      <w:r>
        <w:rPr>
          <w:rFonts w:eastAsiaTheme="minorEastAsia"/>
          <w:color w:val="000000" w:themeColor="text1"/>
          <w:sz w:val="24"/>
          <w:szCs w:val="24"/>
          <w14:textFill>
            <w14:solidFill>
              <w14:schemeClr w14:val="tx1"/>
            </w14:solidFill>
          </w14:textFill>
        </w:rPr>
        <w:t>GB/T20138</w:t>
      </w:r>
      <w:r>
        <w:rPr>
          <w:rFonts w:hint="eastAsia" w:eastAsiaTheme="minorEastAsia"/>
          <w:color w:val="000000" w:themeColor="text1"/>
          <w:sz w:val="24"/>
          <w:szCs w:val="24"/>
          <w14:textFill>
            <w14:solidFill>
              <w14:schemeClr w14:val="tx1"/>
            </w14:solidFill>
          </w14:textFill>
        </w:rPr>
        <w:t>标准试验。</w:t>
      </w:r>
    </w:p>
    <w:p w14:paraId="197EF29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基本功能测试</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按</w:t>
      </w:r>
      <w:r>
        <w:rPr>
          <w:rFonts w:eastAsiaTheme="minorEastAsia"/>
          <w:color w:val="000000" w:themeColor="text1"/>
          <w:sz w:val="24"/>
          <w:szCs w:val="24"/>
          <w14:textFill>
            <w14:solidFill>
              <w14:schemeClr w14:val="tx1"/>
            </w14:solidFill>
          </w14:textFill>
        </w:rPr>
        <w:t>GB/T13729</w:t>
      </w:r>
      <w:r>
        <w:rPr>
          <w:rFonts w:hint="eastAsia" w:eastAsiaTheme="minorEastAsia"/>
          <w:color w:val="000000" w:themeColor="text1"/>
          <w:sz w:val="24"/>
          <w:szCs w:val="24"/>
          <w14:textFill>
            <w14:solidFill>
              <w14:schemeClr w14:val="tx1"/>
            </w14:solidFill>
          </w14:textFill>
        </w:rPr>
        <w:t>中</w:t>
      </w:r>
      <w:r>
        <w:rPr>
          <w:rFonts w:eastAsiaTheme="minorEastAsia"/>
          <w:color w:val="000000" w:themeColor="text1"/>
          <w:sz w:val="24"/>
          <w:szCs w:val="24"/>
          <w14:textFill>
            <w14:solidFill>
              <w14:schemeClr w14:val="tx1"/>
            </w14:solidFill>
          </w14:textFill>
        </w:rPr>
        <w:t>4.4</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DL/T630</w:t>
      </w:r>
      <w:r>
        <w:rPr>
          <w:rFonts w:hint="eastAsia" w:eastAsiaTheme="minorEastAsia"/>
          <w:color w:val="000000" w:themeColor="text1"/>
          <w:sz w:val="24"/>
          <w:szCs w:val="24"/>
          <w14:textFill>
            <w14:solidFill>
              <w14:schemeClr w14:val="tx1"/>
            </w14:solidFill>
          </w14:textFill>
        </w:rPr>
        <w:t>中</w:t>
      </w:r>
      <w:r>
        <w:rPr>
          <w:rFonts w:eastAsiaTheme="minorEastAsia"/>
          <w:color w:val="000000" w:themeColor="text1"/>
          <w:sz w:val="24"/>
          <w:szCs w:val="24"/>
          <w14:textFill>
            <w14:solidFill>
              <w14:schemeClr w14:val="tx1"/>
            </w14:solidFill>
          </w14:textFill>
        </w:rPr>
        <w:t>5.4</w:t>
      </w:r>
      <w:r>
        <w:rPr>
          <w:rFonts w:hint="eastAsia" w:eastAsiaTheme="minorEastAsia"/>
          <w:color w:val="000000" w:themeColor="text1"/>
          <w:sz w:val="24"/>
          <w:szCs w:val="24"/>
          <w14:textFill>
            <w14:solidFill>
              <w14:schemeClr w14:val="tx1"/>
            </w14:solidFill>
          </w14:textFill>
        </w:rPr>
        <w:t>和</w:t>
      </w:r>
      <w:r>
        <w:rPr>
          <w:rFonts w:eastAsiaTheme="minorEastAsia"/>
          <w:color w:val="000000" w:themeColor="text1"/>
          <w:sz w:val="24"/>
          <w:szCs w:val="24"/>
          <w14:textFill>
            <w14:solidFill>
              <w14:schemeClr w14:val="tx1"/>
            </w14:solidFill>
          </w14:textFill>
        </w:rPr>
        <w:t>GB/T15532</w:t>
      </w:r>
      <w:r>
        <w:rPr>
          <w:rFonts w:hint="eastAsia" w:eastAsiaTheme="minorEastAsia"/>
          <w:color w:val="000000" w:themeColor="text1"/>
          <w:sz w:val="24"/>
          <w:szCs w:val="24"/>
          <w14:textFill>
            <w14:solidFill>
              <w14:schemeClr w14:val="tx1"/>
            </w14:solidFill>
          </w14:textFill>
        </w:rPr>
        <w:t>标准测试。</w:t>
      </w:r>
    </w:p>
    <w:p w14:paraId="362DC2A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地震烈度实验</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按</w:t>
      </w:r>
      <w:r>
        <w:rPr>
          <w:rFonts w:eastAsiaTheme="minorEastAsia"/>
          <w:color w:val="000000" w:themeColor="text1"/>
          <w:sz w:val="24"/>
          <w:szCs w:val="24"/>
          <w14:textFill>
            <w14:solidFill>
              <w14:schemeClr w14:val="tx1"/>
            </w14:solidFill>
          </w14:textFill>
        </w:rPr>
        <w:t>GB/T 2424.25</w:t>
      </w:r>
      <w:r>
        <w:rPr>
          <w:rFonts w:hint="eastAsia" w:eastAsiaTheme="minorEastAsia"/>
          <w:color w:val="000000" w:themeColor="text1"/>
          <w:sz w:val="24"/>
          <w:szCs w:val="24"/>
          <w14:textFill>
            <w14:solidFill>
              <w14:schemeClr w14:val="tx1"/>
            </w14:solidFill>
          </w14:textFill>
        </w:rPr>
        <w:t>《环境试验 第3部分：试验导则 地震试验方法》标准检验。</w:t>
      </w:r>
    </w:p>
    <w:p w14:paraId="1491702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83" w:name="_Toc224635172"/>
      <w:bookmarkStart w:id="584" w:name="_Toc241314868"/>
      <w:bookmarkStart w:id="585" w:name="_Toc241749412"/>
      <w:bookmarkStart w:id="586" w:name="_Toc242394253"/>
      <w:bookmarkStart w:id="587" w:name="_Toc412810148"/>
      <w:bookmarkStart w:id="588" w:name="_Toc283110355"/>
      <w:r>
        <w:rPr>
          <w:rFonts w:eastAsiaTheme="minorEastAsia"/>
          <w:color w:val="000000" w:themeColor="text1"/>
          <w:sz w:val="24"/>
          <w:szCs w:val="24"/>
          <w14:textFill>
            <w14:solidFill>
              <w14:schemeClr w14:val="tx1"/>
            </w14:solidFill>
          </w14:textFill>
        </w:rPr>
        <w:t xml:space="preserve">2） </w:t>
      </w:r>
      <w:r>
        <w:rPr>
          <w:rFonts w:hint="eastAsia" w:eastAsiaTheme="minorEastAsia"/>
          <w:color w:val="000000" w:themeColor="text1"/>
          <w:sz w:val="24"/>
          <w:szCs w:val="24"/>
          <w14:textFill>
            <w14:solidFill>
              <w14:schemeClr w14:val="tx1"/>
            </w14:solidFill>
          </w14:textFill>
        </w:rPr>
        <w:t>出厂试验</w:t>
      </w:r>
      <w:bookmarkEnd w:id="583"/>
      <w:bookmarkEnd w:id="584"/>
      <w:bookmarkEnd w:id="585"/>
      <w:bookmarkEnd w:id="586"/>
      <w:bookmarkEnd w:id="587"/>
      <w:bookmarkEnd w:id="588"/>
    </w:p>
    <w:p w14:paraId="2A88B986">
      <w:pPr>
        <w:spacing w:line="360" w:lineRule="auto"/>
        <w:ind w:firstLine="422" w:firstLineChars="200"/>
        <w:rPr>
          <w:rFonts w:ascii="宋体" w:hAnsi="宋体"/>
          <w:b/>
        </w:rPr>
      </w:pPr>
      <w:r>
        <w:rPr>
          <w:rFonts w:hint="eastAsia" w:ascii="宋体" w:hAnsi="宋体"/>
          <w:b/>
        </w:rPr>
        <w:t>出厂试验项目见表4</w:t>
      </w:r>
      <w:r>
        <w:rPr>
          <w:rFonts w:ascii="宋体" w:hAnsi="宋体"/>
          <w:b/>
        </w:rPr>
        <w:t>.3.5-2</w:t>
      </w:r>
      <w:r>
        <w:rPr>
          <w:rFonts w:hint="eastAsia" w:ascii="宋体" w:hAnsi="宋体"/>
          <w:b/>
        </w:rPr>
        <w:t>，同时下表中项目也作为评标时的打分依据。</w:t>
      </w:r>
    </w:p>
    <w:p w14:paraId="5A422158">
      <w:pPr>
        <w:spacing w:line="360" w:lineRule="auto"/>
        <w:jc w:val="center"/>
        <w:rPr>
          <w:rFonts w:ascii="宋体" w:hAnsi="宋体"/>
        </w:rPr>
      </w:pPr>
      <w:r>
        <w:rPr>
          <w:rFonts w:hint="eastAsia" w:ascii="宋体" w:hAnsi="宋体"/>
        </w:rPr>
        <w:t>表4</w:t>
      </w:r>
      <w:r>
        <w:rPr>
          <w:rFonts w:ascii="宋体" w:hAnsi="宋体"/>
        </w:rPr>
        <w:t>.3.5-2</w:t>
      </w:r>
      <w:r>
        <w:rPr>
          <w:rFonts w:hint="eastAsia" w:ascii="宋体" w:hAnsi="宋体"/>
        </w:rPr>
        <w:t xml:space="preserve">  出厂试验项目</w:t>
      </w:r>
    </w:p>
    <w:tbl>
      <w:tblPr>
        <w:tblStyle w:val="41"/>
        <w:tblW w:w="5000" w:type="pct"/>
        <w:tblInd w:w="0" w:type="dxa"/>
        <w:tblLayout w:type="autofit"/>
        <w:tblCellMar>
          <w:top w:w="0" w:type="dxa"/>
          <w:left w:w="0" w:type="dxa"/>
          <w:bottom w:w="0" w:type="dxa"/>
          <w:right w:w="0" w:type="dxa"/>
        </w:tblCellMar>
      </w:tblPr>
      <w:tblGrid>
        <w:gridCol w:w="334"/>
        <w:gridCol w:w="2003"/>
        <w:gridCol w:w="2432"/>
        <w:gridCol w:w="1794"/>
        <w:gridCol w:w="2524"/>
      </w:tblGrid>
      <w:tr w14:paraId="37E3CBC1">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6" w:space="0"/>
              <w:right w:val="single" w:color="000000" w:sz="6" w:space="0"/>
            </w:tcBorders>
            <w:vAlign w:val="center"/>
          </w:tcPr>
          <w:p w14:paraId="36061ABD">
            <w:pPr>
              <w:widowControl/>
              <w:snapToGrid w:val="0"/>
              <w:jc w:val="center"/>
              <w:rPr>
                <w:rFonts w:ascii="宋体" w:hAnsi="宋体"/>
                <w:szCs w:val="21"/>
              </w:rPr>
            </w:pPr>
            <w:r>
              <w:rPr>
                <w:rFonts w:hint="eastAsia" w:ascii="宋体" w:hAnsi="宋体"/>
                <w:szCs w:val="21"/>
              </w:rPr>
              <w:t>序号</w:t>
            </w:r>
          </w:p>
        </w:tc>
        <w:tc>
          <w:tcPr>
            <w:tcW w:w="1102" w:type="pct"/>
            <w:tcBorders>
              <w:top w:val="single" w:color="000000" w:sz="6" w:space="0"/>
              <w:left w:val="nil"/>
              <w:bottom w:val="single" w:color="000000" w:sz="4" w:space="0"/>
              <w:right w:val="single" w:color="000000" w:sz="6" w:space="0"/>
            </w:tcBorders>
            <w:vAlign w:val="center"/>
          </w:tcPr>
          <w:p w14:paraId="233CA279">
            <w:pPr>
              <w:widowControl/>
              <w:snapToGrid w:val="0"/>
              <w:jc w:val="center"/>
              <w:rPr>
                <w:rFonts w:ascii="宋体" w:hAnsi="宋体"/>
                <w:szCs w:val="21"/>
              </w:rPr>
            </w:pPr>
            <w:r>
              <w:rPr>
                <w:rFonts w:hint="eastAsia" w:ascii="宋体" w:hAnsi="宋体"/>
                <w:szCs w:val="21"/>
              </w:rPr>
              <w:t>项目</w:t>
            </w:r>
          </w:p>
        </w:tc>
        <w:tc>
          <w:tcPr>
            <w:tcW w:w="1338" w:type="pct"/>
            <w:tcBorders>
              <w:top w:val="single" w:color="000000" w:sz="6" w:space="0"/>
              <w:left w:val="nil"/>
              <w:bottom w:val="single" w:color="000000" w:sz="6" w:space="0"/>
              <w:right w:val="single" w:color="000000" w:sz="6" w:space="0"/>
            </w:tcBorders>
            <w:vAlign w:val="center"/>
          </w:tcPr>
          <w:p w14:paraId="6831BF51">
            <w:pPr>
              <w:widowControl/>
              <w:snapToGrid w:val="0"/>
              <w:spacing w:line="316" w:lineRule="atLeast"/>
              <w:ind w:left="2"/>
              <w:jc w:val="center"/>
              <w:rPr>
                <w:szCs w:val="21"/>
              </w:rPr>
            </w:pPr>
            <w:r>
              <w:rPr>
                <w:rFonts w:hint="eastAsia" w:ascii="宋体" w:hAnsi="宋体"/>
                <w:szCs w:val="21"/>
              </w:rPr>
              <w:t>子项目</w:t>
            </w:r>
          </w:p>
        </w:tc>
        <w:tc>
          <w:tcPr>
            <w:tcW w:w="987" w:type="pct"/>
            <w:tcBorders>
              <w:top w:val="single" w:color="000000" w:sz="6" w:space="0"/>
              <w:left w:val="nil"/>
              <w:bottom w:val="single" w:color="000000" w:sz="6" w:space="0"/>
              <w:right w:val="single" w:color="000000" w:sz="6" w:space="0"/>
            </w:tcBorders>
            <w:vAlign w:val="center"/>
          </w:tcPr>
          <w:p w14:paraId="57856B94">
            <w:pPr>
              <w:widowControl/>
              <w:snapToGrid w:val="0"/>
              <w:spacing w:line="316" w:lineRule="atLeast"/>
              <w:ind w:left="2"/>
              <w:jc w:val="center"/>
              <w:rPr>
                <w:rFonts w:ascii="宋体" w:hAnsi="宋体"/>
                <w:szCs w:val="21"/>
              </w:rPr>
            </w:pPr>
            <w:r>
              <w:rPr>
                <w:rFonts w:hint="eastAsia" w:ascii="宋体" w:hAnsi="宋体"/>
                <w:szCs w:val="21"/>
              </w:rPr>
              <w:t>依据规范</w:t>
            </w:r>
          </w:p>
        </w:tc>
        <w:tc>
          <w:tcPr>
            <w:tcW w:w="1390" w:type="pct"/>
            <w:tcBorders>
              <w:top w:val="single" w:color="000000" w:sz="6" w:space="0"/>
              <w:left w:val="nil"/>
              <w:bottom w:val="single" w:color="000000" w:sz="6" w:space="0"/>
              <w:right w:val="single" w:color="000000" w:sz="6" w:space="0"/>
            </w:tcBorders>
            <w:vAlign w:val="center"/>
          </w:tcPr>
          <w:p w14:paraId="347CEED9">
            <w:pPr>
              <w:widowControl/>
              <w:snapToGrid w:val="0"/>
              <w:spacing w:line="316" w:lineRule="atLeast"/>
              <w:jc w:val="center"/>
              <w:rPr>
                <w:rFonts w:ascii="宋体" w:hAnsi="宋体"/>
                <w:szCs w:val="21"/>
              </w:rPr>
            </w:pPr>
            <w:r>
              <w:rPr>
                <w:rFonts w:hint="eastAsia" w:ascii="宋体" w:hAnsi="宋体"/>
                <w:szCs w:val="21"/>
              </w:rPr>
              <w:t>检测要求</w:t>
            </w:r>
          </w:p>
        </w:tc>
      </w:tr>
      <w:tr w14:paraId="14953AAA">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6" w:space="0"/>
              <w:right w:val="single" w:color="000000" w:sz="4" w:space="0"/>
            </w:tcBorders>
            <w:vAlign w:val="center"/>
          </w:tcPr>
          <w:p w14:paraId="390C8B8C">
            <w:pPr>
              <w:widowControl/>
              <w:snapToGrid w:val="0"/>
              <w:jc w:val="center"/>
              <w:rPr>
                <w:rFonts w:ascii="宋体" w:hAnsi="宋体"/>
                <w:szCs w:val="21"/>
              </w:rPr>
            </w:pPr>
            <w:r>
              <w:rPr>
                <w:rFonts w:hint="eastAsia" w:ascii="宋体" w:hAnsi="宋体"/>
                <w:szCs w:val="21"/>
              </w:rPr>
              <w:t>1</w:t>
            </w:r>
          </w:p>
        </w:tc>
        <w:tc>
          <w:tcPr>
            <w:tcW w:w="1102" w:type="pct"/>
            <w:vMerge w:val="restart"/>
            <w:tcBorders>
              <w:top w:val="nil"/>
              <w:left w:val="nil"/>
              <w:bottom w:val="single" w:color="000000" w:sz="4" w:space="0"/>
              <w:right w:val="single" w:color="000000" w:sz="4" w:space="0"/>
            </w:tcBorders>
            <w:vAlign w:val="center"/>
          </w:tcPr>
          <w:p w14:paraId="31524AEF">
            <w:pPr>
              <w:widowControl/>
              <w:snapToGrid w:val="0"/>
              <w:jc w:val="center"/>
              <w:rPr>
                <w:rFonts w:ascii="宋体" w:hAnsi="宋体"/>
                <w:szCs w:val="21"/>
              </w:rPr>
            </w:pPr>
            <w:r>
              <w:rPr>
                <w:rFonts w:hint="eastAsia" w:ascii="宋体" w:hAnsi="宋体"/>
                <w:szCs w:val="21"/>
              </w:rPr>
              <w:t>结构及外观检查</w:t>
            </w:r>
          </w:p>
        </w:tc>
        <w:tc>
          <w:tcPr>
            <w:tcW w:w="1338" w:type="pct"/>
            <w:tcBorders>
              <w:top w:val="single" w:color="000000" w:sz="6" w:space="0"/>
              <w:left w:val="nil"/>
              <w:bottom w:val="single" w:color="000000" w:sz="6" w:space="0"/>
              <w:right w:val="single" w:color="000000" w:sz="6" w:space="0"/>
            </w:tcBorders>
            <w:vAlign w:val="center"/>
          </w:tcPr>
          <w:p w14:paraId="3D117AD5">
            <w:pPr>
              <w:widowControl/>
              <w:snapToGrid w:val="0"/>
              <w:spacing w:line="316" w:lineRule="atLeast"/>
              <w:ind w:left="116"/>
              <w:rPr>
                <w:rFonts w:ascii="宋体" w:hAnsi="宋体"/>
                <w:szCs w:val="21"/>
              </w:rPr>
            </w:pPr>
            <w:r>
              <w:rPr>
                <w:rFonts w:hint="eastAsia" w:ascii="宋体" w:hAnsi="宋体"/>
                <w:szCs w:val="21"/>
              </w:rPr>
              <w:t>安装方式</w:t>
            </w:r>
          </w:p>
        </w:tc>
        <w:tc>
          <w:tcPr>
            <w:tcW w:w="987" w:type="pct"/>
            <w:tcBorders>
              <w:top w:val="single" w:color="000000" w:sz="6" w:space="0"/>
              <w:left w:val="nil"/>
              <w:bottom w:val="single" w:color="000000" w:sz="6" w:space="0"/>
              <w:right w:val="single" w:color="000000" w:sz="6" w:space="0"/>
            </w:tcBorders>
            <w:vAlign w:val="center"/>
          </w:tcPr>
          <w:p w14:paraId="62A20635">
            <w:pPr>
              <w:widowControl/>
              <w:jc w:val="left"/>
              <w:rPr>
                <w:rFonts w:ascii="宋体" w:hAnsi="宋体"/>
                <w:szCs w:val="21"/>
              </w:rPr>
            </w:pPr>
            <w:r>
              <w:rPr>
                <w:rFonts w:hint="eastAsia" w:ascii="宋体" w:hAnsi="宋体"/>
                <w:szCs w:val="21"/>
              </w:rPr>
              <w:t>技术规范书</w:t>
            </w:r>
          </w:p>
        </w:tc>
        <w:tc>
          <w:tcPr>
            <w:tcW w:w="1390" w:type="pct"/>
            <w:tcBorders>
              <w:top w:val="single" w:color="000000" w:sz="6" w:space="0"/>
              <w:left w:val="nil"/>
              <w:bottom w:val="single" w:color="000000" w:sz="6" w:space="0"/>
              <w:right w:val="single" w:color="000000" w:sz="6" w:space="0"/>
            </w:tcBorders>
            <w:vAlign w:val="center"/>
          </w:tcPr>
          <w:p w14:paraId="7CD50E5F">
            <w:pPr>
              <w:widowControl/>
              <w:snapToGrid w:val="0"/>
              <w:jc w:val="left"/>
              <w:rPr>
                <w:rFonts w:ascii="宋体" w:hAnsi="宋体"/>
                <w:szCs w:val="21"/>
              </w:rPr>
            </w:pPr>
            <w:r>
              <w:rPr>
                <w:rFonts w:hint="eastAsia" w:ascii="宋体" w:hAnsi="宋体"/>
                <w:szCs w:val="21"/>
              </w:rPr>
              <w:t>满足技术规范书要求</w:t>
            </w:r>
          </w:p>
        </w:tc>
      </w:tr>
      <w:tr w14:paraId="0A77605A">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4" w:space="0"/>
              <w:right w:val="single" w:color="000000" w:sz="4" w:space="0"/>
            </w:tcBorders>
            <w:vAlign w:val="center"/>
          </w:tcPr>
          <w:p w14:paraId="3BF851D1">
            <w:pPr>
              <w:widowControl/>
              <w:snapToGrid w:val="0"/>
              <w:jc w:val="center"/>
              <w:rPr>
                <w:rFonts w:ascii="宋体" w:hAnsi="宋体"/>
                <w:szCs w:val="21"/>
              </w:rPr>
            </w:pPr>
            <w:r>
              <w:rPr>
                <w:rFonts w:hint="eastAsia" w:ascii="宋体" w:hAnsi="宋体"/>
                <w:szCs w:val="21"/>
              </w:rPr>
              <w:t>2</w:t>
            </w:r>
          </w:p>
        </w:tc>
        <w:tc>
          <w:tcPr>
            <w:tcW w:w="1102" w:type="pct"/>
            <w:vMerge w:val="continue"/>
            <w:tcBorders>
              <w:top w:val="nil"/>
              <w:left w:val="nil"/>
              <w:bottom w:val="single" w:color="000000" w:sz="4" w:space="0"/>
              <w:right w:val="single" w:color="000000" w:sz="4" w:space="0"/>
            </w:tcBorders>
            <w:vAlign w:val="center"/>
          </w:tcPr>
          <w:p w14:paraId="40679265">
            <w:pPr>
              <w:widowControl/>
              <w:jc w:val="left"/>
              <w:rPr>
                <w:rFonts w:ascii="宋体" w:hAnsi="宋体"/>
                <w:szCs w:val="21"/>
              </w:rPr>
            </w:pPr>
          </w:p>
        </w:tc>
        <w:tc>
          <w:tcPr>
            <w:tcW w:w="1338" w:type="pct"/>
            <w:tcBorders>
              <w:top w:val="single" w:color="000000" w:sz="6" w:space="0"/>
              <w:left w:val="nil"/>
              <w:bottom w:val="single" w:color="000000" w:sz="4" w:space="0"/>
              <w:right w:val="single" w:color="000000" w:sz="6" w:space="0"/>
            </w:tcBorders>
            <w:vAlign w:val="center"/>
          </w:tcPr>
          <w:p w14:paraId="606813DE">
            <w:pPr>
              <w:widowControl/>
              <w:snapToGrid w:val="0"/>
              <w:spacing w:line="316" w:lineRule="atLeast"/>
              <w:ind w:left="116"/>
              <w:rPr>
                <w:rFonts w:ascii="宋体" w:hAnsi="宋体"/>
                <w:szCs w:val="21"/>
              </w:rPr>
            </w:pPr>
            <w:r>
              <w:rPr>
                <w:rFonts w:hint="eastAsia" w:ascii="宋体" w:hAnsi="宋体"/>
                <w:szCs w:val="21"/>
              </w:rPr>
              <w:t>外形尺寸</w:t>
            </w:r>
          </w:p>
        </w:tc>
        <w:tc>
          <w:tcPr>
            <w:tcW w:w="987" w:type="pct"/>
            <w:tcBorders>
              <w:top w:val="single" w:color="000000" w:sz="6" w:space="0"/>
              <w:left w:val="nil"/>
              <w:bottom w:val="single" w:color="000000" w:sz="4" w:space="0"/>
              <w:right w:val="single" w:color="000000" w:sz="6" w:space="0"/>
            </w:tcBorders>
            <w:vAlign w:val="center"/>
          </w:tcPr>
          <w:p w14:paraId="13CF0A10">
            <w:pPr>
              <w:widowControl/>
              <w:jc w:val="left"/>
              <w:rPr>
                <w:rFonts w:ascii="宋体" w:hAnsi="宋体"/>
                <w:szCs w:val="21"/>
              </w:rPr>
            </w:pPr>
            <w:r>
              <w:rPr>
                <w:rFonts w:hint="eastAsia" w:ascii="宋体" w:hAnsi="宋体"/>
                <w:szCs w:val="21"/>
              </w:rPr>
              <w:t>技术规范书</w:t>
            </w:r>
          </w:p>
        </w:tc>
        <w:tc>
          <w:tcPr>
            <w:tcW w:w="1390" w:type="pct"/>
            <w:tcBorders>
              <w:top w:val="single" w:color="000000" w:sz="6" w:space="0"/>
              <w:left w:val="nil"/>
              <w:bottom w:val="single" w:color="000000" w:sz="4" w:space="0"/>
              <w:right w:val="single" w:color="000000" w:sz="6" w:space="0"/>
            </w:tcBorders>
            <w:vAlign w:val="center"/>
          </w:tcPr>
          <w:p w14:paraId="08C1B632">
            <w:pPr>
              <w:widowControl/>
              <w:snapToGrid w:val="0"/>
              <w:jc w:val="left"/>
              <w:rPr>
                <w:rFonts w:ascii="宋体" w:hAnsi="宋体"/>
                <w:szCs w:val="21"/>
              </w:rPr>
            </w:pPr>
            <w:r>
              <w:rPr>
                <w:rFonts w:hint="eastAsia" w:ascii="宋体" w:hAnsi="宋体"/>
                <w:szCs w:val="21"/>
              </w:rPr>
              <w:t>满足技术规范书要求</w:t>
            </w:r>
          </w:p>
        </w:tc>
      </w:tr>
      <w:tr w14:paraId="697C3172">
        <w:tblPrEx>
          <w:tblCellMar>
            <w:top w:w="0" w:type="dxa"/>
            <w:left w:w="0" w:type="dxa"/>
            <w:bottom w:w="0" w:type="dxa"/>
            <w:right w:w="0" w:type="dxa"/>
          </w:tblCellMar>
        </w:tblPrEx>
        <w:tc>
          <w:tcPr>
            <w:tcW w:w="184" w:type="pct"/>
            <w:tcBorders>
              <w:top w:val="single" w:color="000000" w:sz="4" w:space="0"/>
              <w:left w:val="single" w:color="000000" w:sz="6" w:space="0"/>
              <w:bottom w:val="single" w:color="000000" w:sz="6" w:space="0"/>
              <w:right w:val="single" w:color="000000" w:sz="4" w:space="0"/>
            </w:tcBorders>
            <w:vAlign w:val="center"/>
          </w:tcPr>
          <w:p w14:paraId="20B81B6A">
            <w:pPr>
              <w:widowControl/>
              <w:snapToGrid w:val="0"/>
              <w:jc w:val="center"/>
              <w:rPr>
                <w:rFonts w:ascii="宋体" w:hAnsi="宋体"/>
                <w:szCs w:val="21"/>
              </w:rPr>
            </w:pPr>
            <w:r>
              <w:rPr>
                <w:rFonts w:hint="eastAsia" w:ascii="宋体" w:hAnsi="宋体"/>
                <w:szCs w:val="21"/>
              </w:rPr>
              <w:t>3</w:t>
            </w:r>
          </w:p>
        </w:tc>
        <w:tc>
          <w:tcPr>
            <w:tcW w:w="1102" w:type="pct"/>
            <w:vMerge w:val="continue"/>
            <w:tcBorders>
              <w:top w:val="nil"/>
              <w:left w:val="nil"/>
              <w:bottom w:val="single" w:color="000000" w:sz="4" w:space="0"/>
              <w:right w:val="single" w:color="000000" w:sz="4" w:space="0"/>
            </w:tcBorders>
            <w:vAlign w:val="center"/>
          </w:tcPr>
          <w:p w14:paraId="52006642">
            <w:pPr>
              <w:widowControl/>
              <w:jc w:val="left"/>
              <w:rPr>
                <w:rFonts w:ascii="宋体" w:hAnsi="宋体"/>
                <w:szCs w:val="21"/>
              </w:rPr>
            </w:pPr>
          </w:p>
        </w:tc>
        <w:tc>
          <w:tcPr>
            <w:tcW w:w="1338" w:type="pct"/>
            <w:tcBorders>
              <w:top w:val="single" w:color="000000" w:sz="4" w:space="0"/>
              <w:left w:val="nil"/>
              <w:bottom w:val="single" w:color="000000" w:sz="6" w:space="0"/>
              <w:right w:val="single" w:color="000000" w:sz="6" w:space="0"/>
            </w:tcBorders>
            <w:vAlign w:val="center"/>
          </w:tcPr>
          <w:p w14:paraId="745FC704">
            <w:pPr>
              <w:widowControl/>
              <w:snapToGrid w:val="0"/>
              <w:spacing w:line="316" w:lineRule="atLeast"/>
              <w:ind w:left="116"/>
              <w:rPr>
                <w:rFonts w:ascii="宋体" w:hAnsi="宋体"/>
                <w:szCs w:val="21"/>
              </w:rPr>
            </w:pPr>
            <w:r>
              <w:rPr>
                <w:rFonts w:hint="eastAsia" w:ascii="宋体" w:hAnsi="宋体"/>
                <w:szCs w:val="21"/>
              </w:rPr>
              <w:t>结构形式</w:t>
            </w:r>
          </w:p>
        </w:tc>
        <w:tc>
          <w:tcPr>
            <w:tcW w:w="987" w:type="pct"/>
            <w:tcBorders>
              <w:top w:val="single" w:color="000000" w:sz="4" w:space="0"/>
              <w:left w:val="nil"/>
              <w:bottom w:val="single" w:color="000000" w:sz="6" w:space="0"/>
              <w:right w:val="single" w:color="000000" w:sz="6" w:space="0"/>
            </w:tcBorders>
            <w:vAlign w:val="center"/>
          </w:tcPr>
          <w:p w14:paraId="1962EAE1">
            <w:pPr>
              <w:widowControl/>
              <w:jc w:val="left"/>
              <w:rPr>
                <w:rFonts w:ascii="宋体" w:hAnsi="宋体"/>
                <w:szCs w:val="21"/>
              </w:rPr>
            </w:pPr>
            <w:r>
              <w:rPr>
                <w:rFonts w:hint="eastAsia" w:ascii="宋体" w:hAnsi="宋体"/>
                <w:szCs w:val="21"/>
              </w:rPr>
              <w:t>技术规范书</w:t>
            </w:r>
          </w:p>
        </w:tc>
        <w:tc>
          <w:tcPr>
            <w:tcW w:w="1390" w:type="pct"/>
            <w:tcBorders>
              <w:top w:val="single" w:color="000000" w:sz="4" w:space="0"/>
              <w:left w:val="nil"/>
              <w:bottom w:val="single" w:color="000000" w:sz="6" w:space="0"/>
              <w:right w:val="single" w:color="000000" w:sz="6" w:space="0"/>
            </w:tcBorders>
            <w:vAlign w:val="center"/>
          </w:tcPr>
          <w:p w14:paraId="02D9681F">
            <w:pPr>
              <w:widowControl/>
              <w:snapToGrid w:val="0"/>
              <w:jc w:val="left"/>
              <w:rPr>
                <w:rFonts w:ascii="宋体" w:hAnsi="宋体"/>
                <w:szCs w:val="21"/>
              </w:rPr>
            </w:pPr>
            <w:r>
              <w:rPr>
                <w:rFonts w:hint="eastAsia" w:ascii="宋体" w:hAnsi="宋体"/>
                <w:szCs w:val="21"/>
              </w:rPr>
              <w:t>满足技术规范书要求</w:t>
            </w:r>
          </w:p>
        </w:tc>
      </w:tr>
      <w:tr w14:paraId="783F4735">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6" w:space="0"/>
              <w:right w:val="single" w:color="000000" w:sz="4" w:space="0"/>
            </w:tcBorders>
            <w:vAlign w:val="center"/>
          </w:tcPr>
          <w:p w14:paraId="5C81C77E">
            <w:pPr>
              <w:widowControl/>
              <w:snapToGrid w:val="0"/>
              <w:jc w:val="center"/>
              <w:rPr>
                <w:rFonts w:ascii="宋体" w:hAnsi="宋体"/>
                <w:szCs w:val="21"/>
              </w:rPr>
            </w:pPr>
            <w:r>
              <w:rPr>
                <w:rFonts w:hint="eastAsia" w:ascii="宋体" w:hAnsi="宋体"/>
                <w:szCs w:val="21"/>
              </w:rPr>
              <w:t>4</w:t>
            </w:r>
          </w:p>
        </w:tc>
        <w:tc>
          <w:tcPr>
            <w:tcW w:w="1102" w:type="pct"/>
            <w:vMerge w:val="continue"/>
            <w:tcBorders>
              <w:top w:val="nil"/>
              <w:left w:val="nil"/>
              <w:bottom w:val="single" w:color="000000" w:sz="4" w:space="0"/>
              <w:right w:val="single" w:color="000000" w:sz="4" w:space="0"/>
            </w:tcBorders>
            <w:vAlign w:val="center"/>
          </w:tcPr>
          <w:p w14:paraId="79CF1EE3">
            <w:pPr>
              <w:widowControl/>
              <w:jc w:val="left"/>
              <w:rPr>
                <w:rFonts w:ascii="宋体" w:hAnsi="宋体"/>
                <w:szCs w:val="21"/>
              </w:rPr>
            </w:pPr>
          </w:p>
        </w:tc>
        <w:tc>
          <w:tcPr>
            <w:tcW w:w="1338" w:type="pct"/>
            <w:tcBorders>
              <w:top w:val="single" w:color="000000" w:sz="6" w:space="0"/>
              <w:left w:val="nil"/>
              <w:bottom w:val="single" w:color="000000" w:sz="6" w:space="0"/>
              <w:right w:val="single" w:color="000000" w:sz="6" w:space="0"/>
            </w:tcBorders>
            <w:vAlign w:val="center"/>
          </w:tcPr>
          <w:p w14:paraId="19E0DCCF">
            <w:pPr>
              <w:widowControl/>
              <w:snapToGrid w:val="0"/>
              <w:spacing w:line="316" w:lineRule="atLeast"/>
              <w:ind w:left="116"/>
              <w:rPr>
                <w:rFonts w:ascii="宋体" w:hAnsi="宋体"/>
                <w:szCs w:val="21"/>
              </w:rPr>
            </w:pPr>
            <w:r>
              <w:rPr>
                <w:rFonts w:hint="eastAsia" w:ascii="宋体" w:hAnsi="宋体"/>
                <w:szCs w:val="21"/>
              </w:rPr>
              <w:t>箱体材料及防腐处理</w:t>
            </w:r>
          </w:p>
        </w:tc>
        <w:tc>
          <w:tcPr>
            <w:tcW w:w="987" w:type="pct"/>
            <w:tcBorders>
              <w:top w:val="single" w:color="000000" w:sz="6" w:space="0"/>
              <w:left w:val="nil"/>
              <w:bottom w:val="single" w:color="000000" w:sz="6" w:space="0"/>
              <w:right w:val="single" w:color="000000" w:sz="6" w:space="0"/>
            </w:tcBorders>
            <w:vAlign w:val="center"/>
          </w:tcPr>
          <w:p w14:paraId="6283ABDE">
            <w:pPr>
              <w:widowControl/>
              <w:jc w:val="left"/>
              <w:rPr>
                <w:rFonts w:ascii="宋体" w:hAnsi="宋体"/>
                <w:szCs w:val="21"/>
              </w:rPr>
            </w:pPr>
            <w:r>
              <w:rPr>
                <w:rFonts w:hint="eastAsia" w:ascii="宋体" w:hAnsi="宋体"/>
                <w:szCs w:val="21"/>
              </w:rPr>
              <w:t>技术规范书</w:t>
            </w:r>
          </w:p>
        </w:tc>
        <w:tc>
          <w:tcPr>
            <w:tcW w:w="1390" w:type="pct"/>
            <w:tcBorders>
              <w:top w:val="single" w:color="000000" w:sz="6" w:space="0"/>
              <w:left w:val="nil"/>
              <w:bottom w:val="single" w:color="000000" w:sz="6" w:space="0"/>
              <w:right w:val="single" w:color="000000" w:sz="6" w:space="0"/>
            </w:tcBorders>
            <w:vAlign w:val="center"/>
          </w:tcPr>
          <w:p w14:paraId="7065461A">
            <w:pPr>
              <w:widowControl/>
              <w:snapToGrid w:val="0"/>
              <w:jc w:val="left"/>
              <w:rPr>
                <w:rFonts w:ascii="宋体" w:hAnsi="宋体"/>
                <w:szCs w:val="21"/>
              </w:rPr>
            </w:pPr>
            <w:r>
              <w:rPr>
                <w:rFonts w:hint="eastAsia" w:ascii="宋体" w:hAnsi="宋体"/>
                <w:szCs w:val="21"/>
              </w:rPr>
              <w:t>满足技术规范书要求；选用冷轧钢板材质时需提供防腐试验报告</w:t>
            </w:r>
          </w:p>
        </w:tc>
      </w:tr>
      <w:tr w14:paraId="1AC99418">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6" w:space="0"/>
              <w:right w:val="single" w:color="000000" w:sz="4" w:space="0"/>
            </w:tcBorders>
            <w:vAlign w:val="center"/>
          </w:tcPr>
          <w:p w14:paraId="2E9BAE85">
            <w:pPr>
              <w:widowControl/>
              <w:snapToGrid w:val="0"/>
              <w:jc w:val="center"/>
              <w:rPr>
                <w:rFonts w:ascii="宋体" w:hAnsi="宋体"/>
                <w:szCs w:val="21"/>
              </w:rPr>
            </w:pPr>
            <w:r>
              <w:rPr>
                <w:rFonts w:hint="eastAsia" w:ascii="宋体" w:hAnsi="宋体"/>
                <w:szCs w:val="21"/>
              </w:rPr>
              <w:t>5</w:t>
            </w:r>
          </w:p>
        </w:tc>
        <w:tc>
          <w:tcPr>
            <w:tcW w:w="1102" w:type="pct"/>
            <w:vMerge w:val="continue"/>
            <w:tcBorders>
              <w:top w:val="nil"/>
              <w:left w:val="nil"/>
              <w:bottom w:val="single" w:color="000000" w:sz="4" w:space="0"/>
              <w:right w:val="single" w:color="000000" w:sz="4" w:space="0"/>
            </w:tcBorders>
            <w:vAlign w:val="center"/>
          </w:tcPr>
          <w:p w14:paraId="2582FE4F">
            <w:pPr>
              <w:widowControl/>
              <w:jc w:val="left"/>
              <w:rPr>
                <w:rFonts w:ascii="宋体" w:hAnsi="宋体"/>
                <w:szCs w:val="21"/>
              </w:rPr>
            </w:pPr>
          </w:p>
        </w:tc>
        <w:tc>
          <w:tcPr>
            <w:tcW w:w="1338" w:type="pct"/>
            <w:tcBorders>
              <w:top w:val="single" w:color="000000" w:sz="6" w:space="0"/>
              <w:left w:val="nil"/>
              <w:bottom w:val="single" w:color="000000" w:sz="6" w:space="0"/>
              <w:right w:val="single" w:color="000000" w:sz="6" w:space="0"/>
            </w:tcBorders>
            <w:vAlign w:val="center"/>
          </w:tcPr>
          <w:p w14:paraId="2D62D5F2">
            <w:pPr>
              <w:widowControl/>
              <w:snapToGrid w:val="0"/>
              <w:spacing w:line="316" w:lineRule="atLeast"/>
              <w:ind w:left="116"/>
              <w:rPr>
                <w:rFonts w:ascii="宋体" w:hAnsi="宋体"/>
                <w:szCs w:val="21"/>
              </w:rPr>
            </w:pPr>
            <w:r>
              <w:rPr>
                <w:rFonts w:hint="eastAsia" w:ascii="宋体" w:hAnsi="宋体"/>
                <w:szCs w:val="21"/>
              </w:rPr>
              <w:t>元器件及安装</w:t>
            </w:r>
          </w:p>
        </w:tc>
        <w:tc>
          <w:tcPr>
            <w:tcW w:w="987" w:type="pct"/>
            <w:tcBorders>
              <w:top w:val="single" w:color="000000" w:sz="6" w:space="0"/>
              <w:left w:val="nil"/>
              <w:bottom w:val="single" w:color="000000" w:sz="6" w:space="0"/>
              <w:right w:val="single" w:color="000000" w:sz="6" w:space="0"/>
            </w:tcBorders>
            <w:vAlign w:val="center"/>
          </w:tcPr>
          <w:p w14:paraId="43B67610">
            <w:pPr>
              <w:widowControl/>
              <w:jc w:val="left"/>
              <w:rPr>
                <w:rFonts w:ascii="宋体" w:hAnsi="宋体"/>
                <w:szCs w:val="21"/>
              </w:rPr>
            </w:pPr>
            <w:r>
              <w:rPr>
                <w:rFonts w:hint="eastAsia" w:ascii="宋体" w:hAnsi="宋体"/>
                <w:szCs w:val="21"/>
              </w:rPr>
              <w:t>技术规范书</w:t>
            </w:r>
          </w:p>
        </w:tc>
        <w:tc>
          <w:tcPr>
            <w:tcW w:w="1390" w:type="pct"/>
            <w:tcBorders>
              <w:top w:val="single" w:color="000000" w:sz="6" w:space="0"/>
              <w:left w:val="nil"/>
              <w:bottom w:val="single" w:color="000000" w:sz="6" w:space="0"/>
              <w:right w:val="single" w:color="000000" w:sz="6" w:space="0"/>
            </w:tcBorders>
            <w:vAlign w:val="center"/>
          </w:tcPr>
          <w:p w14:paraId="49DC12C9">
            <w:pPr>
              <w:widowControl/>
              <w:snapToGrid w:val="0"/>
              <w:jc w:val="left"/>
              <w:rPr>
                <w:rFonts w:ascii="宋体" w:hAnsi="宋体"/>
                <w:szCs w:val="21"/>
              </w:rPr>
            </w:pPr>
            <w:r>
              <w:rPr>
                <w:rFonts w:hint="eastAsia" w:ascii="宋体" w:hAnsi="宋体"/>
                <w:szCs w:val="21"/>
              </w:rPr>
              <w:t>满足技术规范书要求</w:t>
            </w:r>
          </w:p>
        </w:tc>
      </w:tr>
      <w:tr w14:paraId="64C71333">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6" w:space="0"/>
              <w:right w:val="single" w:color="000000" w:sz="4" w:space="0"/>
            </w:tcBorders>
            <w:vAlign w:val="center"/>
          </w:tcPr>
          <w:p w14:paraId="424325D9">
            <w:pPr>
              <w:widowControl/>
              <w:snapToGrid w:val="0"/>
              <w:jc w:val="center"/>
              <w:rPr>
                <w:rFonts w:ascii="宋体" w:hAnsi="宋体"/>
                <w:szCs w:val="21"/>
              </w:rPr>
            </w:pPr>
            <w:r>
              <w:rPr>
                <w:rFonts w:hint="eastAsia" w:ascii="宋体" w:hAnsi="宋体"/>
                <w:szCs w:val="21"/>
              </w:rPr>
              <w:t>6</w:t>
            </w:r>
          </w:p>
        </w:tc>
        <w:tc>
          <w:tcPr>
            <w:tcW w:w="1102" w:type="pct"/>
            <w:vMerge w:val="continue"/>
            <w:tcBorders>
              <w:top w:val="nil"/>
              <w:left w:val="nil"/>
              <w:bottom w:val="single" w:color="000000" w:sz="4" w:space="0"/>
              <w:right w:val="single" w:color="000000" w:sz="4" w:space="0"/>
            </w:tcBorders>
            <w:vAlign w:val="center"/>
          </w:tcPr>
          <w:p w14:paraId="250FDA76">
            <w:pPr>
              <w:widowControl/>
              <w:jc w:val="left"/>
              <w:rPr>
                <w:rFonts w:ascii="宋体" w:hAnsi="宋体"/>
                <w:szCs w:val="21"/>
              </w:rPr>
            </w:pPr>
          </w:p>
        </w:tc>
        <w:tc>
          <w:tcPr>
            <w:tcW w:w="1338" w:type="pct"/>
            <w:tcBorders>
              <w:top w:val="single" w:color="000000" w:sz="6" w:space="0"/>
              <w:left w:val="nil"/>
              <w:bottom w:val="single" w:color="000000" w:sz="6" w:space="0"/>
              <w:right w:val="single" w:color="000000" w:sz="6" w:space="0"/>
            </w:tcBorders>
            <w:vAlign w:val="center"/>
          </w:tcPr>
          <w:p w14:paraId="6C3CB888">
            <w:pPr>
              <w:widowControl/>
              <w:snapToGrid w:val="0"/>
              <w:spacing w:line="316" w:lineRule="atLeast"/>
              <w:ind w:left="116"/>
              <w:rPr>
                <w:rFonts w:ascii="宋体" w:hAnsi="宋体"/>
                <w:szCs w:val="21"/>
              </w:rPr>
            </w:pPr>
            <w:r>
              <w:rPr>
                <w:rFonts w:hint="eastAsia" w:ascii="宋体" w:hAnsi="宋体"/>
                <w:szCs w:val="21"/>
              </w:rPr>
              <w:t>接线要求、箱内缆、线固定</w:t>
            </w:r>
          </w:p>
        </w:tc>
        <w:tc>
          <w:tcPr>
            <w:tcW w:w="987" w:type="pct"/>
            <w:tcBorders>
              <w:top w:val="single" w:color="000000" w:sz="6" w:space="0"/>
              <w:left w:val="nil"/>
              <w:bottom w:val="single" w:color="000000" w:sz="6" w:space="0"/>
              <w:right w:val="single" w:color="000000" w:sz="6" w:space="0"/>
            </w:tcBorders>
            <w:vAlign w:val="center"/>
          </w:tcPr>
          <w:p w14:paraId="7080272C">
            <w:pPr>
              <w:widowControl/>
              <w:jc w:val="left"/>
              <w:rPr>
                <w:rFonts w:ascii="宋体" w:hAnsi="宋体"/>
                <w:szCs w:val="21"/>
              </w:rPr>
            </w:pPr>
            <w:r>
              <w:rPr>
                <w:rFonts w:hint="eastAsia" w:ascii="宋体" w:hAnsi="宋体"/>
                <w:szCs w:val="21"/>
              </w:rPr>
              <w:t>技术规范书</w:t>
            </w:r>
          </w:p>
        </w:tc>
        <w:tc>
          <w:tcPr>
            <w:tcW w:w="1390" w:type="pct"/>
            <w:tcBorders>
              <w:top w:val="single" w:color="000000" w:sz="6" w:space="0"/>
              <w:left w:val="nil"/>
              <w:bottom w:val="single" w:color="000000" w:sz="6" w:space="0"/>
              <w:right w:val="single" w:color="000000" w:sz="6" w:space="0"/>
            </w:tcBorders>
            <w:vAlign w:val="center"/>
          </w:tcPr>
          <w:p w14:paraId="7F6BC73B">
            <w:pPr>
              <w:widowControl/>
              <w:snapToGrid w:val="0"/>
              <w:spacing w:line="316" w:lineRule="atLeast"/>
              <w:jc w:val="left"/>
              <w:rPr>
                <w:rFonts w:ascii="宋体" w:hAnsi="宋体"/>
                <w:szCs w:val="21"/>
              </w:rPr>
            </w:pPr>
            <w:r>
              <w:rPr>
                <w:rFonts w:hint="eastAsia" w:ascii="宋体" w:hAnsi="宋体"/>
                <w:szCs w:val="21"/>
              </w:rPr>
              <w:t>满足技术规范书要求</w:t>
            </w:r>
          </w:p>
        </w:tc>
      </w:tr>
      <w:tr w14:paraId="6FCC7D40">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6" w:space="0"/>
              <w:right w:val="single" w:color="000000" w:sz="4" w:space="0"/>
            </w:tcBorders>
            <w:vAlign w:val="center"/>
          </w:tcPr>
          <w:p w14:paraId="4438739A">
            <w:pPr>
              <w:widowControl/>
              <w:snapToGrid w:val="0"/>
              <w:jc w:val="center"/>
              <w:rPr>
                <w:rFonts w:ascii="宋体" w:hAnsi="宋体"/>
                <w:szCs w:val="21"/>
              </w:rPr>
            </w:pPr>
            <w:r>
              <w:rPr>
                <w:rFonts w:hint="eastAsia" w:ascii="宋体" w:hAnsi="宋体"/>
                <w:szCs w:val="21"/>
              </w:rPr>
              <w:t>7</w:t>
            </w:r>
          </w:p>
        </w:tc>
        <w:tc>
          <w:tcPr>
            <w:tcW w:w="1102" w:type="pct"/>
            <w:tcBorders>
              <w:top w:val="single" w:color="000000" w:sz="4" w:space="0"/>
              <w:left w:val="nil"/>
              <w:bottom w:val="single" w:color="000000" w:sz="4" w:space="0"/>
              <w:right w:val="single" w:color="000000" w:sz="4" w:space="0"/>
            </w:tcBorders>
            <w:vAlign w:val="center"/>
          </w:tcPr>
          <w:p w14:paraId="44B7C040">
            <w:pPr>
              <w:widowControl/>
              <w:snapToGrid w:val="0"/>
              <w:jc w:val="center"/>
              <w:rPr>
                <w:rFonts w:ascii="宋体" w:hAnsi="宋体"/>
                <w:szCs w:val="21"/>
              </w:rPr>
            </w:pPr>
            <w:r>
              <w:rPr>
                <w:rFonts w:hint="eastAsia" w:ascii="宋体" w:hAnsi="宋体"/>
                <w:szCs w:val="21"/>
              </w:rPr>
              <w:t>断路器核查</w:t>
            </w:r>
          </w:p>
        </w:tc>
        <w:tc>
          <w:tcPr>
            <w:tcW w:w="1338" w:type="pct"/>
            <w:tcBorders>
              <w:top w:val="single" w:color="000000" w:sz="6" w:space="0"/>
              <w:left w:val="nil"/>
              <w:bottom w:val="single" w:color="000000" w:sz="6" w:space="0"/>
              <w:right w:val="single" w:color="000000" w:sz="6" w:space="0"/>
            </w:tcBorders>
            <w:vAlign w:val="center"/>
          </w:tcPr>
          <w:p w14:paraId="585720E7">
            <w:pPr>
              <w:widowControl/>
              <w:snapToGrid w:val="0"/>
              <w:spacing w:line="316" w:lineRule="atLeast"/>
              <w:ind w:left="116"/>
              <w:rPr>
                <w:rFonts w:ascii="宋体" w:hAnsi="宋体"/>
                <w:szCs w:val="21"/>
              </w:rPr>
            </w:pPr>
            <w:r>
              <w:rPr>
                <w:rFonts w:hint="eastAsia" w:ascii="宋体" w:hAnsi="宋体"/>
                <w:szCs w:val="21"/>
              </w:rPr>
              <w:t>断路器核查</w:t>
            </w:r>
          </w:p>
        </w:tc>
        <w:tc>
          <w:tcPr>
            <w:tcW w:w="987" w:type="pct"/>
            <w:tcBorders>
              <w:top w:val="single" w:color="000000" w:sz="6" w:space="0"/>
              <w:left w:val="nil"/>
              <w:bottom w:val="single" w:color="000000" w:sz="6" w:space="0"/>
              <w:right w:val="single" w:color="000000" w:sz="6" w:space="0"/>
            </w:tcBorders>
            <w:vAlign w:val="center"/>
          </w:tcPr>
          <w:p w14:paraId="21962CF7">
            <w:pPr>
              <w:widowControl/>
              <w:jc w:val="left"/>
              <w:rPr>
                <w:rFonts w:ascii="宋体" w:hAnsi="宋体"/>
                <w:szCs w:val="21"/>
              </w:rPr>
            </w:pPr>
            <w:r>
              <w:rPr>
                <w:rFonts w:hint="eastAsia" w:ascii="宋体" w:hAnsi="宋体"/>
                <w:szCs w:val="21"/>
              </w:rPr>
              <w:t>技术规范书</w:t>
            </w:r>
          </w:p>
        </w:tc>
        <w:tc>
          <w:tcPr>
            <w:tcW w:w="1390" w:type="pct"/>
            <w:tcBorders>
              <w:top w:val="single" w:color="000000" w:sz="6" w:space="0"/>
              <w:left w:val="nil"/>
              <w:bottom w:val="single" w:color="000000" w:sz="6" w:space="0"/>
              <w:right w:val="single" w:color="000000" w:sz="6" w:space="0"/>
            </w:tcBorders>
            <w:vAlign w:val="center"/>
          </w:tcPr>
          <w:p w14:paraId="1947BA8D">
            <w:pPr>
              <w:widowControl/>
              <w:snapToGrid w:val="0"/>
              <w:spacing w:line="316" w:lineRule="atLeast"/>
              <w:jc w:val="left"/>
              <w:rPr>
                <w:rFonts w:ascii="宋体" w:hAnsi="宋体"/>
                <w:szCs w:val="21"/>
              </w:rPr>
            </w:pPr>
            <w:r>
              <w:rPr>
                <w:rFonts w:hint="eastAsia" w:ascii="宋体" w:hAnsi="宋体"/>
                <w:szCs w:val="21"/>
              </w:rPr>
              <w:t>满足技术规范书要求</w:t>
            </w:r>
          </w:p>
        </w:tc>
      </w:tr>
      <w:tr w14:paraId="67404596">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6" w:space="0"/>
              <w:right w:val="single" w:color="000000" w:sz="4" w:space="0"/>
            </w:tcBorders>
            <w:vAlign w:val="center"/>
          </w:tcPr>
          <w:p w14:paraId="12EDEBC6">
            <w:pPr>
              <w:widowControl/>
              <w:snapToGrid w:val="0"/>
              <w:jc w:val="center"/>
              <w:rPr>
                <w:rFonts w:ascii="宋体" w:hAnsi="宋体"/>
                <w:szCs w:val="21"/>
              </w:rPr>
            </w:pPr>
            <w:r>
              <w:rPr>
                <w:rFonts w:hint="eastAsia" w:ascii="宋体" w:hAnsi="宋体"/>
                <w:szCs w:val="21"/>
              </w:rPr>
              <w:t>8</w:t>
            </w:r>
          </w:p>
        </w:tc>
        <w:tc>
          <w:tcPr>
            <w:tcW w:w="1102" w:type="pct"/>
            <w:tcBorders>
              <w:top w:val="single" w:color="000000" w:sz="4" w:space="0"/>
              <w:left w:val="nil"/>
              <w:bottom w:val="single" w:color="000000" w:sz="4" w:space="0"/>
              <w:right w:val="single" w:color="000000" w:sz="4" w:space="0"/>
            </w:tcBorders>
            <w:vAlign w:val="center"/>
          </w:tcPr>
          <w:p w14:paraId="4C7AD795">
            <w:pPr>
              <w:widowControl/>
              <w:snapToGrid w:val="0"/>
              <w:jc w:val="center"/>
              <w:rPr>
                <w:rFonts w:ascii="宋体" w:hAnsi="宋体"/>
                <w:szCs w:val="21"/>
              </w:rPr>
            </w:pPr>
            <w:r>
              <w:rPr>
                <w:rFonts w:hint="eastAsia" w:ascii="宋体" w:hAnsi="宋体"/>
                <w:szCs w:val="21"/>
              </w:rPr>
              <w:t>结构和标志</w:t>
            </w:r>
          </w:p>
        </w:tc>
        <w:tc>
          <w:tcPr>
            <w:tcW w:w="1338" w:type="pct"/>
            <w:tcBorders>
              <w:top w:val="single" w:color="000000" w:sz="6" w:space="0"/>
              <w:left w:val="nil"/>
              <w:bottom w:val="single" w:color="000000" w:sz="6" w:space="0"/>
              <w:right w:val="single" w:color="000000" w:sz="6" w:space="0"/>
            </w:tcBorders>
            <w:vAlign w:val="center"/>
          </w:tcPr>
          <w:p w14:paraId="1FAD4200">
            <w:pPr>
              <w:widowControl/>
              <w:snapToGrid w:val="0"/>
              <w:spacing w:line="316" w:lineRule="atLeast"/>
              <w:ind w:left="116"/>
              <w:rPr>
                <w:rFonts w:ascii="宋体" w:hAnsi="宋体"/>
                <w:szCs w:val="21"/>
              </w:rPr>
            </w:pPr>
            <w:r>
              <w:rPr>
                <w:rFonts w:hint="eastAsia" w:ascii="宋体" w:hAnsi="宋体"/>
                <w:szCs w:val="21"/>
              </w:rPr>
              <w:t>结构和标志</w:t>
            </w:r>
          </w:p>
        </w:tc>
        <w:tc>
          <w:tcPr>
            <w:tcW w:w="987" w:type="pct"/>
            <w:tcBorders>
              <w:top w:val="single" w:color="000000" w:sz="6" w:space="0"/>
              <w:left w:val="nil"/>
              <w:bottom w:val="single" w:color="000000" w:sz="6" w:space="0"/>
              <w:right w:val="single" w:color="000000" w:sz="6" w:space="0"/>
            </w:tcBorders>
            <w:vAlign w:val="center"/>
          </w:tcPr>
          <w:p w14:paraId="54C9CFCB">
            <w:pPr>
              <w:widowControl/>
              <w:jc w:val="left"/>
              <w:rPr>
                <w:rFonts w:ascii="宋体" w:hAnsi="宋体"/>
                <w:szCs w:val="21"/>
              </w:rPr>
            </w:pPr>
            <w:r>
              <w:rPr>
                <w:rFonts w:hint="eastAsia" w:ascii="宋体" w:hAnsi="宋体"/>
                <w:szCs w:val="21"/>
              </w:rPr>
              <w:t>技术规范书</w:t>
            </w:r>
          </w:p>
        </w:tc>
        <w:tc>
          <w:tcPr>
            <w:tcW w:w="1390" w:type="pct"/>
            <w:tcBorders>
              <w:top w:val="single" w:color="000000" w:sz="6" w:space="0"/>
              <w:left w:val="nil"/>
              <w:bottom w:val="single" w:color="000000" w:sz="6" w:space="0"/>
              <w:right w:val="single" w:color="000000" w:sz="6" w:space="0"/>
            </w:tcBorders>
            <w:vAlign w:val="center"/>
          </w:tcPr>
          <w:p w14:paraId="5D3577C2">
            <w:pPr>
              <w:widowControl/>
              <w:snapToGrid w:val="0"/>
              <w:spacing w:line="316" w:lineRule="atLeast"/>
              <w:jc w:val="left"/>
              <w:rPr>
                <w:rFonts w:ascii="宋体" w:hAnsi="宋体"/>
                <w:szCs w:val="21"/>
              </w:rPr>
            </w:pPr>
            <w:r>
              <w:rPr>
                <w:rFonts w:hint="eastAsia" w:ascii="宋体" w:hAnsi="宋体"/>
                <w:szCs w:val="21"/>
              </w:rPr>
              <w:t>满足技术规范书要求</w:t>
            </w:r>
          </w:p>
        </w:tc>
      </w:tr>
      <w:tr w14:paraId="34924AFC">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6" w:space="0"/>
              <w:right w:val="single" w:color="000000" w:sz="6" w:space="0"/>
            </w:tcBorders>
            <w:vAlign w:val="center"/>
          </w:tcPr>
          <w:p w14:paraId="27BA6BDA">
            <w:pPr>
              <w:widowControl/>
              <w:snapToGrid w:val="0"/>
              <w:jc w:val="center"/>
              <w:rPr>
                <w:rFonts w:ascii="宋体" w:hAnsi="宋体"/>
                <w:szCs w:val="21"/>
              </w:rPr>
            </w:pPr>
            <w:r>
              <w:rPr>
                <w:rFonts w:hint="eastAsia" w:ascii="宋体" w:hAnsi="宋体"/>
                <w:szCs w:val="21"/>
              </w:rPr>
              <w:t>9</w:t>
            </w:r>
          </w:p>
        </w:tc>
        <w:tc>
          <w:tcPr>
            <w:tcW w:w="1102" w:type="pct"/>
            <w:tcBorders>
              <w:top w:val="single" w:color="000000" w:sz="4" w:space="0"/>
              <w:left w:val="nil"/>
              <w:bottom w:val="single" w:color="000000" w:sz="6" w:space="0"/>
              <w:right w:val="single" w:color="000000" w:sz="6" w:space="0"/>
            </w:tcBorders>
            <w:vAlign w:val="center"/>
          </w:tcPr>
          <w:p w14:paraId="35C8544D">
            <w:pPr>
              <w:widowControl/>
              <w:snapToGrid w:val="0"/>
              <w:jc w:val="center"/>
              <w:rPr>
                <w:rFonts w:ascii="宋体" w:hAnsi="宋体"/>
                <w:szCs w:val="21"/>
              </w:rPr>
            </w:pPr>
            <w:r>
              <w:rPr>
                <w:rFonts w:hint="eastAsia" w:ascii="宋体" w:hAnsi="宋体"/>
                <w:color w:val="000000"/>
                <w:szCs w:val="21"/>
              </w:rPr>
              <w:t>附件紧固的机械强度</w:t>
            </w:r>
          </w:p>
        </w:tc>
        <w:tc>
          <w:tcPr>
            <w:tcW w:w="1338" w:type="pct"/>
            <w:tcBorders>
              <w:top w:val="single" w:color="000000" w:sz="6" w:space="0"/>
              <w:left w:val="nil"/>
              <w:bottom w:val="single" w:color="000000" w:sz="6" w:space="0"/>
              <w:right w:val="single" w:color="000000" w:sz="6" w:space="0"/>
            </w:tcBorders>
            <w:vAlign w:val="center"/>
          </w:tcPr>
          <w:p w14:paraId="6156DA19">
            <w:pPr>
              <w:widowControl/>
              <w:snapToGrid w:val="0"/>
              <w:spacing w:line="316" w:lineRule="atLeast"/>
              <w:ind w:left="116"/>
              <w:rPr>
                <w:rFonts w:ascii="宋体" w:hAnsi="宋体"/>
                <w:szCs w:val="21"/>
              </w:rPr>
            </w:pPr>
            <w:r>
              <w:rPr>
                <w:rFonts w:hint="eastAsia" w:ascii="宋体" w:hAnsi="宋体"/>
                <w:szCs w:val="21"/>
              </w:rPr>
              <w:t>附件紧固的机械强度</w:t>
            </w:r>
          </w:p>
        </w:tc>
        <w:tc>
          <w:tcPr>
            <w:tcW w:w="987" w:type="pct"/>
            <w:tcBorders>
              <w:top w:val="single" w:color="000000" w:sz="6" w:space="0"/>
              <w:left w:val="nil"/>
              <w:bottom w:val="single" w:color="000000" w:sz="6" w:space="0"/>
              <w:right w:val="single" w:color="000000" w:sz="6" w:space="0"/>
            </w:tcBorders>
            <w:vAlign w:val="center"/>
          </w:tcPr>
          <w:p w14:paraId="5BF9DFE6">
            <w:pPr>
              <w:widowControl/>
              <w:jc w:val="left"/>
              <w:rPr>
                <w:rFonts w:ascii="宋体" w:hAnsi="宋体"/>
                <w:szCs w:val="21"/>
              </w:rPr>
            </w:pPr>
            <w:r>
              <w:rPr>
                <w:rFonts w:hint="eastAsia" w:ascii="宋体" w:hAnsi="宋体"/>
                <w:szCs w:val="21"/>
              </w:rPr>
              <w:t>GB 7251.3-2006</w:t>
            </w:r>
          </w:p>
          <w:p w14:paraId="1C0F6D33">
            <w:pPr>
              <w:widowControl/>
              <w:jc w:val="left"/>
              <w:rPr>
                <w:rFonts w:ascii="宋体" w:hAnsi="宋体"/>
                <w:szCs w:val="21"/>
              </w:rPr>
            </w:pPr>
            <w:r>
              <w:rPr>
                <w:rFonts w:hint="eastAsia" w:ascii="宋体" w:hAnsi="宋体"/>
                <w:szCs w:val="21"/>
              </w:rPr>
              <w:t>8.2.15</w:t>
            </w:r>
          </w:p>
        </w:tc>
        <w:tc>
          <w:tcPr>
            <w:tcW w:w="1390" w:type="pct"/>
            <w:tcBorders>
              <w:top w:val="single" w:color="000000" w:sz="6" w:space="0"/>
              <w:left w:val="nil"/>
              <w:bottom w:val="single" w:color="000000" w:sz="6" w:space="0"/>
              <w:right w:val="single" w:color="000000" w:sz="6" w:space="0"/>
            </w:tcBorders>
            <w:vAlign w:val="center"/>
          </w:tcPr>
          <w:p w14:paraId="16DCED8F">
            <w:pPr>
              <w:widowControl/>
              <w:snapToGrid w:val="0"/>
              <w:spacing w:line="316" w:lineRule="atLeast"/>
              <w:jc w:val="left"/>
              <w:rPr>
                <w:rFonts w:ascii="宋体" w:hAnsi="宋体"/>
                <w:szCs w:val="21"/>
              </w:rPr>
            </w:pPr>
            <w:r>
              <w:rPr>
                <w:rFonts w:hint="eastAsia" w:ascii="宋体" w:hAnsi="宋体"/>
                <w:szCs w:val="21"/>
              </w:rPr>
              <w:t>啮合5次</w:t>
            </w:r>
          </w:p>
        </w:tc>
      </w:tr>
      <w:tr w14:paraId="528CE24B">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6" w:space="0"/>
              <w:right w:val="single" w:color="000000" w:sz="6" w:space="0"/>
            </w:tcBorders>
            <w:vAlign w:val="center"/>
          </w:tcPr>
          <w:p w14:paraId="6B537CB0">
            <w:pPr>
              <w:widowControl/>
              <w:snapToGrid w:val="0"/>
              <w:jc w:val="center"/>
              <w:rPr>
                <w:rFonts w:ascii="宋体" w:hAnsi="宋体"/>
                <w:szCs w:val="21"/>
              </w:rPr>
            </w:pPr>
            <w:r>
              <w:rPr>
                <w:rFonts w:hint="eastAsia" w:ascii="宋体" w:hAnsi="宋体"/>
                <w:szCs w:val="21"/>
              </w:rPr>
              <w:t>10</w:t>
            </w:r>
          </w:p>
        </w:tc>
        <w:tc>
          <w:tcPr>
            <w:tcW w:w="1102" w:type="pct"/>
            <w:tcBorders>
              <w:top w:val="single" w:color="000000" w:sz="6" w:space="0"/>
              <w:left w:val="nil"/>
              <w:bottom w:val="single" w:color="000000" w:sz="6" w:space="0"/>
              <w:right w:val="single" w:color="000000" w:sz="6" w:space="0"/>
            </w:tcBorders>
            <w:vAlign w:val="center"/>
          </w:tcPr>
          <w:p w14:paraId="7CE34F4A">
            <w:pPr>
              <w:widowControl/>
              <w:snapToGrid w:val="0"/>
              <w:jc w:val="center"/>
              <w:rPr>
                <w:rFonts w:ascii="宋体" w:hAnsi="宋体"/>
                <w:szCs w:val="21"/>
              </w:rPr>
            </w:pPr>
            <w:r>
              <w:rPr>
                <w:rFonts w:hint="eastAsia" w:ascii="宋体" w:hAnsi="宋体"/>
                <w:color w:val="000000"/>
                <w:szCs w:val="21"/>
              </w:rPr>
              <w:t>冲击强度</w:t>
            </w:r>
            <w:r>
              <w:rPr>
                <w:rFonts w:hint="eastAsia" w:ascii="宋体" w:hAnsi="宋体"/>
                <w:szCs w:val="21"/>
              </w:rPr>
              <w:t>试验</w:t>
            </w:r>
          </w:p>
        </w:tc>
        <w:tc>
          <w:tcPr>
            <w:tcW w:w="1338" w:type="pct"/>
            <w:tcBorders>
              <w:top w:val="single" w:color="000000" w:sz="6" w:space="0"/>
              <w:left w:val="nil"/>
              <w:bottom w:val="single" w:color="000000" w:sz="6" w:space="0"/>
              <w:right w:val="single" w:color="000000" w:sz="6" w:space="0"/>
            </w:tcBorders>
            <w:vAlign w:val="center"/>
          </w:tcPr>
          <w:p w14:paraId="3765C4B1">
            <w:pPr>
              <w:widowControl/>
              <w:snapToGrid w:val="0"/>
              <w:spacing w:line="316" w:lineRule="atLeast"/>
              <w:ind w:left="116"/>
              <w:rPr>
                <w:rFonts w:ascii="宋体" w:hAnsi="宋体"/>
                <w:szCs w:val="21"/>
              </w:rPr>
            </w:pPr>
            <w:r>
              <w:rPr>
                <w:rFonts w:hint="eastAsia" w:ascii="宋体" w:hAnsi="宋体"/>
                <w:szCs w:val="21"/>
              </w:rPr>
              <w:t>冲击强度试验</w:t>
            </w:r>
          </w:p>
        </w:tc>
        <w:tc>
          <w:tcPr>
            <w:tcW w:w="987" w:type="pct"/>
            <w:tcBorders>
              <w:top w:val="single" w:color="000000" w:sz="6" w:space="0"/>
              <w:left w:val="nil"/>
              <w:bottom w:val="single" w:color="000000" w:sz="6" w:space="0"/>
              <w:right w:val="single" w:color="000000" w:sz="6" w:space="0"/>
            </w:tcBorders>
            <w:vAlign w:val="center"/>
          </w:tcPr>
          <w:p w14:paraId="5637890D">
            <w:pPr>
              <w:widowControl/>
              <w:jc w:val="left"/>
              <w:rPr>
                <w:rFonts w:ascii="宋体" w:hAnsi="宋体"/>
                <w:szCs w:val="21"/>
              </w:rPr>
            </w:pPr>
            <w:r>
              <w:rPr>
                <w:rFonts w:hint="eastAsia" w:ascii="宋体" w:hAnsi="宋体"/>
                <w:szCs w:val="21"/>
              </w:rPr>
              <w:t>GB 7251.3-2006</w:t>
            </w:r>
          </w:p>
          <w:p w14:paraId="2B918DE4">
            <w:pPr>
              <w:widowControl/>
              <w:jc w:val="left"/>
              <w:rPr>
                <w:rFonts w:ascii="宋体" w:hAnsi="宋体"/>
                <w:szCs w:val="21"/>
              </w:rPr>
            </w:pPr>
            <w:r>
              <w:rPr>
                <w:rFonts w:hint="eastAsia" w:ascii="宋体" w:hAnsi="宋体"/>
                <w:szCs w:val="21"/>
              </w:rPr>
              <w:t>8.2.10</w:t>
            </w:r>
          </w:p>
        </w:tc>
        <w:tc>
          <w:tcPr>
            <w:tcW w:w="1390" w:type="pct"/>
            <w:tcBorders>
              <w:top w:val="single" w:color="000000" w:sz="6" w:space="0"/>
              <w:left w:val="nil"/>
              <w:bottom w:val="single" w:color="000000" w:sz="6" w:space="0"/>
              <w:right w:val="single" w:color="000000" w:sz="6" w:space="0"/>
            </w:tcBorders>
            <w:vAlign w:val="center"/>
          </w:tcPr>
          <w:p w14:paraId="09FD3953">
            <w:pPr>
              <w:widowControl/>
              <w:snapToGrid w:val="0"/>
              <w:spacing w:line="316" w:lineRule="atLeast"/>
              <w:jc w:val="left"/>
              <w:rPr>
                <w:rFonts w:ascii="宋体" w:hAnsi="宋体"/>
                <w:szCs w:val="21"/>
              </w:rPr>
            </w:pPr>
            <w:r>
              <w:rPr>
                <w:rFonts w:hint="eastAsia" w:ascii="宋体" w:hAnsi="宋体"/>
                <w:szCs w:val="21"/>
              </w:rPr>
              <w:t>冲击能量0.7J</w:t>
            </w:r>
          </w:p>
        </w:tc>
      </w:tr>
      <w:tr w14:paraId="4721D054">
        <w:tblPrEx>
          <w:tblCellMar>
            <w:top w:w="0" w:type="dxa"/>
            <w:left w:w="0" w:type="dxa"/>
            <w:bottom w:w="0" w:type="dxa"/>
            <w:right w:w="0" w:type="dxa"/>
          </w:tblCellMar>
        </w:tblPrEx>
        <w:trPr>
          <w:trHeight w:val="420" w:hRule="atLeast"/>
        </w:trPr>
        <w:tc>
          <w:tcPr>
            <w:tcW w:w="184" w:type="pct"/>
            <w:tcBorders>
              <w:top w:val="single" w:color="000000" w:sz="6" w:space="0"/>
              <w:left w:val="single" w:color="000000" w:sz="6" w:space="0"/>
              <w:bottom w:val="single" w:color="000000" w:sz="6" w:space="0"/>
              <w:right w:val="single" w:color="000000" w:sz="6" w:space="0"/>
            </w:tcBorders>
            <w:vAlign w:val="center"/>
          </w:tcPr>
          <w:p w14:paraId="01D2397B">
            <w:pPr>
              <w:widowControl/>
              <w:snapToGrid w:val="0"/>
              <w:jc w:val="center"/>
              <w:rPr>
                <w:rFonts w:ascii="宋体" w:hAnsi="宋体"/>
                <w:szCs w:val="21"/>
              </w:rPr>
            </w:pPr>
            <w:r>
              <w:rPr>
                <w:rFonts w:hint="eastAsia" w:ascii="宋体" w:hAnsi="宋体"/>
                <w:szCs w:val="21"/>
              </w:rPr>
              <w:t>11</w:t>
            </w:r>
          </w:p>
        </w:tc>
        <w:tc>
          <w:tcPr>
            <w:tcW w:w="1102" w:type="pct"/>
            <w:tcBorders>
              <w:top w:val="single" w:color="000000" w:sz="4" w:space="0"/>
              <w:left w:val="nil"/>
              <w:bottom w:val="single" w:color="000000" w:sz="4" w:space="0"/>
              <w:right w:val="single" w:color="000000" w:sz="6" w:space="0"/>
            </w:tcBorders>
            <w:vAlign w:val="center"/>
          </w:tcPr>
          <w:p w14:paraId="78F3DC2D">
            <w:pPr>
              <w:widowControl/>
              <w:snapToGrid w:val="0"/>
              <w:jc w:val="center"/>
              <w:rPr>
                <w:rFonts w:ascii="宋体" w:hAnsi="宋体"/>
                <w:szCs w:val="21"/>
              </w:rPr>
            </w:pPr>
            <w:r>
              <w:rPr>
                <w:rFonts w:hint="eastAsia" w:ascii="宋体" w:hAnsi="宋体"/>
                <w:szCs w:val="21"/>
              </w:rPr>
              <w:t>电气间隙和爬电距离验证</w:t>
            </w:r>
          </w:p>
        </w:tc>
        <w:tc>
          <w:tcPr>
            <w:tcW w:w="1338" w:type="pct"/>
            <w:tcBorders>
              <w:top w:val="single" w:color="000000" w:sz="4" w:space="0"/>
              <w:left w:val="nil"/>
              <w:bottom w:val="single" w:color="000000" w:sz="6" w:space="0"/>
              <w:right w:val="single" w:color="000000" w:sz="6" w:space="0"/>
            </w:tcBorders>
            <w:vAlign w:val="center"/>
          </w:tcPr>
          <w:p w14:paraId="3E52A8E8">
            <w:pPr>
              <w:widowControl/>
              <w:snapToGrid w:val="0"/>
              <w:spacing w:line="316" w:lineRule="atLeast"/>
              <w:ind w:left="116"/>
              <w:rPr>
                <w:rFonts w:ascii="宋体" w:hAnsi="宋体"/>
                <w:szCs w:val="21"/>
              </w:rPr>
            </w:pPr>
            <w:r>
              <w:rPr>
                <w:rFonts w:hint="eastAsia" w:ascii="宋体" w:hAnsi="宋体"/>
                <w:szCs w:val="21"/>
              </w:rPr>
              <w:t>电气间隙和爬电距离验证</w:t>
            </w:r>
          </w:p>
        </w:tc>
        <w:tc>
          <w:tcPr>
            <w:tcW w:w="987" w:type="pct"/>
            <w:tcBorders>
              <w:top w:val="single" w:color="000000" w:sz="6" w:space="0"/>
              <w:left w:val="nil"/>
              <w:bottom w:val="single" w:color="000000" w:sz="6" w:space="0"/>
              <w:right w:val="single" w:color="000000" w:sz="6" w:space="0"/>
            </w:tcBorders>
            <w:vAlign w:val="center"/>
          </w:tcPr>
          <w:p w14:paraId="04268EBF">
            <w:pPr>
              <w:widowControl/>
              <w:jc w:val="left"/>
              <w:rPr>
                <w:rFonts w:ascii="宋体" w:hAnsi="宋体"/>
                <w:szCs w:val="21"/>
              </w:rPr>
            </w:pPr>
            <w:r>
              <w:rPr>
                <w:rFonts w:hint="eastAsia" w:ascii="宋体" w:hAnsi="宋体"/>
                <w:szCs w:val="21"/>
              </w:rPr>
              <w:t>技术规范书</w:t>
            </w:r>
          </w:p>
        </w:tc>
        <w:tc>
          <w:tcPr>
            <w:tcW w:w="1390" w:type="pct"/>
            <w:tcBorders>
              <w:top w:val="single" w:color="000000" w:sz="6" w:space="0"/>
              <w:left w:val="nil"/>
              <w:bottom w:val="single" w:color="000000" w:sz="6" w:space="0"/>
              <w:right w:val="single" w:color="000000" w:sz="6" w:space="0"/>
            </w:tcBorders>
            <w:vAlign w:val="center"/>
          </w:tcPr>
          <w:p w14:paraId="563EED48">
            <w:pPr>
              <w:widowControl/>
              <w:snapToGrid w:val="0"/>
              <w:spacing w:line="316" w:lineRule="atLeast"/>
              <w:jc w:val="left"/>
              <w:rPr>
                <w:rFonts w:ascii="宋体" w:hAnsi="宋体"/>
                <w:szCs w:val="21"/>
              </w:rPr>
            </w:pPr>
            <w:r>
              <w:rPr>
                <w:rFonts w:hint="eastAsia" w:ascii="宋体" w:hAnsi="宋体"/>
                <w:szCs w:val="21"/>
              </w:rPr>
              <w:t>满足技术规范书要求</w:t>
            </w:r>
          </w:p>
        </w:tc>
      </w:tr>
      <w:tr w14:paraId="1BF75CBA">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6" w:space="0"/>
              <w:right w:val="single" w:color="000000" w:sz="6" w:space="0"/>
            </w:tcBorders>
            <w:vAlign w:val="center"/>
          </w:tcPr>
          <w:p w14:paraId="7741F2F0">
            <w:pPr>
              <w:widowControl/>
              <w:snapToGrid w:val="0"/>
              <w:jc w:val="center"/>
              <w:rPr>
                <w:rFonts w:ascii="宋体" w:hAnsi="宋体"/>
                <w:szCs w:val="21"/>
              </w:rPr>
            </w:pPr>
            <w:r>
              <w:rPr>
                <w:rFonts w:hint="eastAsia" w:ascii="宋体" w:hAnsi="宋体"/>
                <w:szCs w:val="21"/>
              </w:rPr>
              <w:t>12</w:t>
            </w:r>
          </w:p>
        </w:tc>
        <w:tc>
          <w:tcPr>
            <w:tcW w:w="1102" w:type="pct"/>
            <w:tcBorders>
              <w:top w:val="single" w:color="000000" w:sz="4" w:space="0"/>
              <w:left w:val="nil"/>
              <w:bottom w:val="single" w:color="000000" w:sz="4" w:space="0"/>
              <w:right w:val="single" w:color="000000" w:sz="6" w:space="0"/>
            </w:tcBorders>
            <w:vAlign w:val="center"/>
          </w:tcPr>
          <w:p w14:paraId="3811EBE1">
            <w:pPr>
              <w:widowControl/>
              <w:snapToGrid w:val="0"/>
              <w:jc w:val="center"/>
              <w:rPr>
                <w:rFonts w:ascii="宋体" w:hAnsi="宋体"/>
                <w:szCs w:val="21"/>
              </w:rPr>
            </w:pPr>
            <w:r>
              <w:rPr>
                <w:rFonts w:hint="eastAsia" w:ascii="宋体" w:hAnsi="宋体"/>
                <w:szCs w:val="21"/>
              </w:rPr>
              <w:t>防护等级验证</w:t>
            </w:r>
          </w:p>
        </w:tc>
        <w:tc>
          <w:tcPr>
            <w:tcW w:w="1338" w:type="pct"/>
            <w:tcBorders>
              <w:top w:val="single" w:color="000000" w:sz="4" w:space="0"/>
              <w:left w:val="nil"/>
              <w:bottom w:val="single" w:color="000000" w:sz="6" w:space="0"/>
              <w:right w:val="single" w:color="000000" w:sz="6" w:space="0"/>
            </w:tcBorders>
            <w:vAlign w:val="center"/>
          </w:tcPr>
          <w:p w14:paraId="2292F8F9">
            <w:pPr>
              <w:widowControl/>
              <w:snapToGrid w:val="0"/>
              <w:spacing w:line="316" w:lineRule="atLeast"/>
              <w:ind w:left="116"/>
              <w:rPr>
                <w:rFonts w:ascii="宋体" w:hAnsi="宋体"/>
                <w:szCs w:val="21"/>
              </w:rPr>
            </w:pPr>
            <w:r>
              <w:rPr>
                <w:rFonts w:hint="eastAsia" w:ascii="宋体" w:hAnsi="宋体"/>
                <w:szCs w:val="21"/>
              </w:rPr>
              <w:t>防护等级验证</w:t>
            </w:r>
          </w:p>
        </w:tc>
        <w:tc>
          <w:tcPr>
            <w:tcW w:w="987" w:type="pct"/>
            <w:tcBorders>
              <w:top w:val="single" w:color="000000" w:sz="6" w:space="0"/>
              <w:left w:val="nil"/>
              <w:bottom w:val="single" w:color="000000" w:sz="6" w:space="0"/>
              <w:right w:val="single" w:color="000000" w:sz="6" w:space="0"/>
            </w:tcBorders>
            <w:vAlign w:val="center"/>
          </w:tcPr>
          <w:p w14:paraId="7B6620F3">
            <w:pPr>
              <w:widowControl/>
              <w:rPr>
                <w:rFonts w:ascii="宋体" w:hAnsi="宋体"/>
                <w:szCs w:val="21"/>
              </w:rPr>
            </w:pPr>
            <w:r>
              <w:rPr>
                <w:rFonts w:hint="eastAsia" w:ascii="宋体" w:hAnsi="宋体"/>
                <w:szCs w:val="21"/>
              </w:rPr>
              <w:t>GB 7251.3-2006</w:t>
            </w:r>
          </w:p>
          <w:p w14:paraId="180B08D6">
            <w:pPr>
              <w:widowControl/>
              <w:rPr>
                <w:rFonts w:ascii="宋体" w:hAnsi="宋体"/>
                <w:szCs w:val="21"/>
              </w:rPr>
            </w:pPr>
            <w:r>
              <w:rPr>
                <w:rFonts w:hint="eastAsia" w:ascii="宋体" w:hAnsi="宋体"/>
                <w:szCs w:val="21"/>
              </w:rPr>
              <w:t>8.2.7</w:t>
            </w:r>
          </w:p>
        </w:tc>
        <w:tc>
          <w:tcPr>
            <w:tcW w:w="1390" w:type="pct"/>
            <w:tcBorders>
              <w:top w:val="single" w:color="000000" w:sz="6" w:space="0"/>
              <w:left w:val="nil"/>
              <w:bottom w:val="single" w:color="000000" w:sz="6" w:space="0"/>
              <w:right w:val="single" w:color="000000" w:sz="6" w:space="0"/>
            </w:tcBorders>
            <w:vAlign w:val="center"/>
          </w:tcPr>
          <w:p w14:paraId="7A5EA546">
            <w:pPr>
              <w:widowControl/>
              <w:snapToGrid w:val="0"/>
              <w:spacing w:line="316" w:lineRule="atLeast"/>
              <w:jc w:val="left"/>
              <w:rPr>
                <w:rFonts w:ascii="宋体" w:hAnsi="宋体"/>
                <w:szCs w:val="21"/>
              </w:rPr>
            </w:pPr>
            <w:r>
              <w:rPr>
                <w:rFonts w:hint="eastAsia" w:ascii="宋体" w:hAnsi="宋体"/>
                <w:szCs w:val="21"/>
              </w:rPr>
              <w:t>≥IP30</w:t>
            </w:r>
          </w:p>
        </w:tc>
      </w:tr>
      <w:tr w14:paraId="30640471">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6" w:space="0"/>
              <w:right w:val="single" w:color="000000" w:sz="6" w:space="0"/>
            </w:tcBorders>
            <w:vAlign w:val="center"/>
          </w:tcPr>
          <w:p w14:paraId="7BAD0D6E">
            <w:pPr>
              <w:widowControl/>
              <w:snapToGrid w:val="0"/>
              <w:jc w:val="center"/>
              <w:rPr>
                <w:rFonts w:ascii="宋体" w:hAnsi="宋体"/>
                <w:szCs w:val="21"/>
              </w:rPr>
            </w:pPr>
            <w:r>
              <w:rPr>
                <w:rFonts w:hint="eastAsia" w:ascii="宋体" w:hAnsi="宋体"/>
                <w:szCs w:val="21"/>
              </w:rPr>
              <w:t>13</w:t>
            </w:r>
          </w:p>
        </w:tc>
        <w:tc>
          <w:tcPr>
            <w:tcW w:w="1102" w:type="pct"/>
            <w:tcBorders>
              <w:top w:val="single" w:color="000000" w:sz="4" w:space="0"/>
              <w:left w:val="nil"/>
              <w:bottom w:val="single" w:color="000000" w:sz="4" w:space="0"/>
              <w:right w:val="single" w:color="000000" w:sz="6" w:space="0"/>
            </w:tcBorders>
            <w:vAlign w:val="center"/>
          </w:tcPr>
          <w:p w14:paraId="38E92834">
            <w:pPr>
              <w:widowControl/>
              <w:snapToGrid w:val="0"/>
              <w:jc w:val="center"/>
              <w:rPr>
                <w:rFonts w:ascii="宋体" w:hAnsi="宋体"/>
                <w:szCs w:val="21"/>
              </w:rPr>
            </w:pPr>
            <w:r>
              <w:rPr>
                <w:rFonts w:hint="eastAsia" w:ascii="宋体" w:hAnsi="宋体"/>
                <w:szCs w:val="21"/>
              </w:rPr>
              <w:t>温升试验</w:t>
            </w:r>
          </w:p>
        </w:tc>
        <w:tc>
          <w:tcPr>
            <w:tcW w:w="1338" w:type="pct"/>
            <w:tcBorders>
              <w:top w:val="single" w:color="000000" w:sz="6" w:space="0"/>
              <w:left w:val="nil"/>
              <w:bottom w:val="single" w:color="000000" w:sz="6" w:space="0"/>
              <w:right w:val="single" w:color="000000" w:sz="6" w:space="0"/>
            </w:tcBorders>
            <w:vAlign w:val="center"/>
          </w:tcPr>
          <w:p w14:paraId="63B81473">
            <w:pPr>
              <w:widowControl/>
              <w:snapToGrid w:val="0"/>
              <w:spacing w:line="316" w:lineRule="atLeast"/>
              <w:ind w:left="116"/>
              <w:rPr>
                <w:rFonts w:ascii="宋体" w:hAnsi="宋体"/>
                <w:szCs w:val="21"/>
              </w:rPr>
            </w:pPr>
            <w:r>
              <w:rPr>
                <w:rFonts w:hint="eastAsia" w:ascii="宋体" w:hAnsi="宋体"/>
                <w:szCs w:val="21"/>
              </w:rPr>
              <w:t>温升试验</w:t>
            </w:r>
          </w:p>
        </w:tc>
        <w:tc>
          <w:tcPr>
            <w:tcW w:w="987" w:type="pct"/>
            <w:tcBorders>
              <w:top w:val="single" w:color="000000" w:sz="6" w:space="0"/>
              <w:left w:val="nil"/>
              <w:bottom w:val="single" w:color="000000" w:sz="6" w:space="0"/>
              <w:right w:val="single" w:color="000000" w:sz="6" w:space="0"/>
            </w:tcBorders>
            <w:vAlign w:val="center"/>
          </w:tcPr>
          <w:p w14:paraId="27F57D82">
            <w:pPr>
              <w:widowControl/>
              <w:rPr>
                <w:rFonts w:ascii="宋体" w:hAnsi="宋体"/>
                <w:szCs w:val="21"/>
              </w:rPr>
            </w:pPr>
            <w:r>
              <w:rPr>
                <w:rFonts w:hint="eastAsia" w:ascii="宋体" w:hAnsi="宋体"/>
                <w:szCs w:val="21"/>
              </w:rPr>
              <w:t>GB 7251.3-2006</w:t>
            </w:r>
          </w:p>
          <w:p w14:paraId="0FDCB620">
            <w:pPr>
              <w:widowControl/>
              <w:rPr>
                <w:rFonts w:ascii="宋体" w:hAnsi="宋体"/>
                <w:szCs w:val="21"/>
              </w:rPr>
            </w:pPr>
            <w:r>
              <w:rPr>
                <w:rFonts w:hint="eastAsia" w:ascii="宋体" w:hAnsi="宋体"/>
                <w:szCs w:val="21"/>
              </w:rPr>
              <w:t>8.2.1</w:t>
            </w:r>
          </w:p>
        </w:tc>
        <w:tc>
          <w:tcPr>
            <w:tcW w:w="1390" w:type="pct"/>
            <w:tcBorders>
              <w:top w:val="single" w:color="000000" w:sz="6" w:space="0"/>
              <w:left w:val="nil"/>
              <w:bottom w:val="single" w:color="000000" w:sz="6" w:space="0"/>
              <w:right w:val="single" w:color="000000" w:sz="6" w:space="0"/>
            </w:tcBorders>
            <w:vAlign w:val="center"/>
          </w:tcPr>
          <w:p w14:paraId="2143B18F">
            <w:pPr>
              <w:widowControl/>
              <w:snapToGrid w:val="0"/>
              <w:spacing w:line="316" w:lineRule="atLeast"/>
              <w:jc w:val="left"/>
              <w:rPr>
                <w:rFonts w:ascii="宋体" w:hAnsi="宋体"/>
                <w:szCs w:val="21"/>
              </w:rPr>
            </w:pPr>
            <w:r>
              <w:rPr>
                <w:rFonts w:hint="eastAsia" w:ascii="宋体" w:hAnsi="宋体"/>
                <w:szCs w:val="21"/>
              </w:rPr>
              <w:t>进出线端≤70K</w:t>
            </w:r>
          </w:p>
          <w:p w14:paraId="3CFF7CD0">
            <w:pPr>
              <w:widowControl/>
              <w:snapToGrid w:val="0"/>
              <w:spacing w:line="316" w:lineRule="atLeast"/>
              <w:jc w:val="left"/>
              <w:rPr>
                <w:rFonts w:ascii="宋体" w:hAnsi="宋体"/>
                <w:szCs w:val="21"/>
              </w:rPr>
            </w:pPr>
            <w:r>
              <w:rPr>
                <w:rFonts w:hint="eastAsia" w:ascii="宋体" w:hAnsi="宋体"/>
                <w:szCs w:val="21"/>
              </w:rPr>
              <w:t>支路开关≤65K</w:t>
            </w:r>
          </w:p>
        </w:tc>
      </w:tr>
      <w:tr w14:paraId="2C6F6808">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6" w:space="0"/>
              <w:right w:val="single" w:color="000000" w:sz="6" w:space="0"/>
            </w:tcBorders>
            <w:vAlign w:val="center"/>
          </w:tcPr>
          <w:p w14:paraId="080B2478">
            <w:pPr>
              <w:widowControl/>
              <w:snapToGrid w:val="0"/>
              <w:jc w:val="center"/>
              <w:rPr>
                <w:rFonts w:ascii="宋体" w:hAnsi="宋体"/>
                <w:szCs w:val="21"/>
              </w:rPr>
            </w:pPr>
            <w:r>
              <w:rPr>
                <w:rFonts w:hint="eastAsia" w:ascii="宋体" w:hAnsi="宋体"/>
                <w:szCs w:val="21"/>
              </w:rPr>
              <w:t>14</w:t>
            </w:r>
          </w:p>
        </w:tc>
        <w:tc>
          <w:tcPr>
            <w:tcW w:w="1102" w:type="pct"/>
            <w:tcBorders>
              <w:top w:val="single" w:color="000000" w:sz="4" w:space="0"/>
              <w:left w:val="nil"/>
              <w:bottom w:val="single" w:color="000000" w:sz="6" w:space="0"/>
              <w:right w:val="single" w:color="000000" w:sz="6" w:space="0"/>
            </w:tcBorders>
            <w:vAlign w:val="center"/>
          </w:tcPr>
          <w:p w14:paraId="2E82B2A9">
            <w:pPr>
              <w:widowControl/>
              <w:snapToGrid w:val="0"/>
              <w:jc w:val="center"/>
              <w:rPr>
                <w:rFonts w:ascii="宋体" w:hAnsi="宋体"/>
                <w:szCs w:val="21"/>
              </w:rPr>
            </w:pPr>
            <w:r>
              <w:rPr>
                <w:rFonts w:hint="eastAsia" w:ascii="宋体" w:hAnsi="宋体"/>
                <w:szCs w:val="21"/>
              </w:rPr>
              <w:t>绝缘性能检验</w:t>
            </w:r>
          </w:p>
        </w:tc>
        <w:tc>
          <w:tcPr>
            <w:tcW w:w="1338" w:type="pct"/>
            <w:tcBorders>
              <w:top w:val="single" w:color="000000" w:sz="6" w:space="0"/>
              <w:left w:val="nil"/>
              <w:bottom w:val="single" w:color="000000" w:sz="6" w:space="0"/>
              <w:right w:val="single" w:color="000000" w:sz="6" w:space="0"/>
            </w:tcBorders>
            <w:vAlign w:val="center"/>
          </w:tcPr>
          <w:p w14:paraId="670CD788">
            <w:pPr>
              <w:widowControl/>
              <w:snapToGrid w:val="0"/>
              <w:spacing w:line="316" w:lineRule="atLeast"/>
              <w:ind w:left="116"/>
              <w:rPr>
                <w:rFonts w:ascii="宋体" w:hAnsi="宋体"/>
                <w:szCs w:val="21"/>
              </w:rPr>
            </w:pPr>
            <w:r>
              <w:rPr>
                <w:rFonts w:hint="eastAsia" w:ascii="宋体" w:hAnsi="宋体"/>
                <w:szCs w:val="21"/>
              </w:rPr>
              <w:t>绝缘性能检验</w:t>
            </w:r>
          </w:p>
        </w:tc>
        <w:tc>
          <w:tcPr>
            <w:tcW w:w="987" w:type="pct"/>
            <w:tcBorders>
              <w:top w:val="single" w:color="000000" w:sz="6" w:space="0"/>
              <w:left w:val="nil"/>
              <w:bottom w:val="single" w:color="000000" w:sz="6" w:space="0"/>
              <w:right w:val="single" w:color="000000" w:sz="6" w:space="0"/>
            </w:tcBorders>
            <w:vAlign w:val="center"/>
          </w:tcPr>
          <w:p w14:paraId="72B569F3">
            <w:pPr>
              <w:widowControl/>
              <w:rPr>
                <w:rFonts w:ascii="宋体" w:hAnsi="宋体"/>
                <w:szCs w:val="21"/>
              </w:rPr>
            </w:pPr>
            <w:r>
              <w:rPr>
                <w:rFonts w:hint="eastAsia" w:ascii="宋体" w:hAnsi="宋体"/>
                <w:szCs w:val="21"/>
              </w:rPr>
              <w:t>GB 7251.3-2006</w:t>
            </w:r>
          </w:p>
          <w:p w14:paraId="34AE7E8C">
            <w:pPr>
              <w:widowControl/>
              <w:rPr>
                <w:rFonts w:ascii="宋体" w:hAnsi="宋体"/>
                <w:szCs w:val="21"/>
              </w:rPr>
            </w:pPr>
            <w:r>
              <w:rPr>
                <w:rFonts w:hint="eastAsia" w:ascii="宋体" w:hAnsi="宋体"/>
                <w:szCs w:val="21"/>
              </w:rPr>
              <w:t>8.3.4</w:t>
            </w:r>
          </w:p>
        </w:tc>
        <w:tc>
          <w:tcPr>
            <w:tcW w:w="1390" w:type="pct"/>
            <w:tcBorders>
              <w:top w:val="single" w:color="000000" w:sz="6" w:space="0"/>
              <w:left w:val="nil"/>
              <w:bottom w:val="single" w:color="000000" w:sz="6" w:space="0"/>
              <w:right w:val="single" w:color="000000" w:sz="6" w:space="0"/>
            </w:tcBorders>
            <w:vAlign w:val="center"/>
          </w:tcPr>
          <w:p w14:paraId="253990A9">
            <w:pPr>
              <w:widowControl/>
              <w:snapToGrid w:val="0"/>
              <w:spacing w:line="316" w:lineRule="atLeast"/>
              <w:jc w:val="left"/>
              <w:rPr>
                <w:rFonts w:ascii="宋体" w:hAnsi="宋体"/>
                <w:szCs w:val="21"/>
              </w:rPr>
            </w:pPr>
            <w:r>
              <w:rPr>
                <w:rFonts w:hint="eastAsia" w:ascii="宋体" w:hAnsi="宋体"/>
                <w:szCs w:val="21"/>
              </w:rPr>
              <w:t>≥1000Ω/V</w:t>
            </w:r>
          </w:p>
        </w:tc>
      </w:tr>
      <w:tr w14:paraId="2666CE17">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6" w:space="0"/>
              <w:right w:val="single" w:color="000000" w:sz="6" w:space="0"/>
            </w:tcBorders>
            <w:vAlign w:val="center"/>
          </w:tcPr>
          <w:p w14:paraId="48F6BD11">
            <w:pPr>
              <w:widowControl/>
              <w:snapToGrid w:val="0"/>
              <w:jc w:val="center"/>
              <w:rPr>
                <w:rFonts w:ascii="宋体" w:hAnsi="宋体"/>
                <w:szCs w:val="21"/>
              </w:rPr>
            </w:pPr>
            <w:r>
              <w:rPr>
                <w:rFonts w:hint="eastAsia" w:ascii="宋体" w:hAnsi="宋体"/>
                <w:szCs w:val="21"/>
              </w:rPr>
              <w:t>15</w:t>
            </w:r>
          </w:p>
        </w:tc>
        <w:tc>
          <w:tcPr>
            <w:tcW w:w="1102" w:type="pct"/>
            <w:tcBorders>
              <w:top w:val="single" w:color="000000" w:sz="6" w:space="0"/>
              <w:left w:val="nil"/>
              <w:bottom w:val="single" w:color="000000" w:sz="6" w:space="0"/>
              <w:right w:val="single" w:color="000000" w:sz="6" w:space="0"/>
            </w:tcBorders>
            <w:vAlign w:val="center"/>
          </w:tcPr>
          <w:p w14:paraId="3CC01DED">
            <w:pPr>
              <w:widowControl/>
              <w:snapToGrid w:val="0"/>
              <w:jc w:val="center"/>
              <w:rPr>
                <w:rFonts w:ascii="宋体" w:hAnsi="宋体"/>
                <w:szCs w:val="21"/>
              </w:rPr>
            </w:pPr>
            <w:r>
              <w:rPr>
                <w:rFonts w:hint="eastAsia" w:ascii="宋体" w:hAnsi="宋体"/>
                <w:szCs w:val="21"/>
              </w:rPr>
              <w:t>介电性能验证</w:t>
            </w:r>
          </w:p>
        </w:tc>
        <w:tc>
          <w:tcPr>
            <w:tcW w:w="1338" w:type="pct"/>
            <w:tcBorders>
              <w:top w:val="single" w:color="000000" w:sz="6" w:space="0"/>
              <w:left w:val="nil"/>
              <w:bottom w:val="single" w:color="000000" w:sz="6" w:space="0"/>
              <w:right w:val="single" w:color="000000" w:sz="6" w:space="0"/>
            </w:tcBorders>
            <w:vAlign w:val="center"/>
          </w:tcPr>
          <w:p w14:paraId="3148E464">
            <w:pPr>
              <w:widowControl/>
              <w:snapToGrid w:val="0"/>
              <w:spacing w:line="316" w:lineRule="atLeast"/>
              <w:ind w:left="116"/>
              <w:rPr>
                <w:rFonts w:ascii="宋体" w:hAnsi="宋体"/>
                <w:szCs w:val="21"/>
              </w:rPr>
            </w:pPr>
            <w:r>
              <w:rPr>
                <w:rFonts w:hint="eastAsia" w:ascii="宋体" w:hAnsi="宋体"/>
                <w:szCs w:val="21"/>
              </w:rPr>
              <w:t>介电性能验证</w:t>
            </w:r>
          </w:p>
        </w:tc>
        <w:tc>
          <w:tcPr>
            <w:tcW w:w="987" w:type="pct"/>
            <w:tcBorders>
              <w:top w:val="single" w:color="000000" w:sz="6" w:space="0"/>
              <w:left w:val="nil"/>
              <w:bottom w:val="single" w:color="000000" w:sz="6" w:space="0"/>
              <w:right w:val="single" w:color="000000" w:sz="6" w:space="0"/>
            </w:tcBorders>
            <w:vAlign w:val="center"/>
          </w:tcPr>
          <w:p w14:paraId="546E9B41">
            <w:pPr>
              <w:widowControl/>
              <w:rPr>
                <w:rFonts w:ascii="宋体" w:hAnsi="宋体"/>
                <w:szCs w:val="21"/>
              </w:rPr>
            </w:pPr>
            <w:r>
              <w:rPr>
                <w:rFonts w:hint="eastAsia" w:ascii="宋体" w:hAnsi="宋体"/>
                <w:szCs w:val="21"/>
              </w:rPr>
              <w:t>GB 7251.3-2006</w:t>
            </w:r>
          </w:p>
          <w:p w14:paraId="3246FF08">
            <w:pPr>
              <w:widowControl/>
              <w:rPr>
                <w:rFonts w:ascii="宋体" w:hAnsi="宋体"/>
                <w:szCs w:val="21"/>
              </w:rPr>
            </w:pPr>
            <w:r>
              <w:rPr>
                <w:rFonts w:hint="eastAsia" w:ascii="宋体" w:hAnsi="宋体"/>
                <w:szCs w:val="21"/>
              </w:rPr>
              <w:t>8.2.2</w:t>
            </w:r>
          </w:p>
        </w:tc>
        <w:tc>
          <w:tcPr>
            <w:tcW w:w="1390" w:type="pct"/>
            <w:tcBorders>
              <w:top w:val="single" w:color="000000" w:sz="6" w:space="0"/>
              <w:left w:val="nil"/>
              <w:bottom w:val="single" w:color="000000" w:sz="6" w:space="0"/>
              <w:right w:val="single" w:color="000000" w:sz="6" w:space="0"/>
            </w:tcBorders>
            <w:vAlign w:val="center"/>
          </w:tcPr>
          <w:p w14:paraId="68B29764">
            <w:pPr>
              <w:widowControl/>
              <w:snapToGrid w:val="0"/>
              <w:spacing w:line="316" w:lineRule="atLeast"/>
              <w:jc w:val="left"/>
              <w:rPr>
                <w:rFonts w:ascii="宋体" w:hAnsi="宋体"/>
                <w:szCs w:val="21"/>
              </w:rPr>
            </w:pPr>
            <w:r>
              <w:rPr>
                <w:rFonts w:hint="eastAsia" w:ascii="宋体" w:hAnsi="宋体"/>
                <w:szCs w:val="21"/>
              </w:rPr>
              <w:t>2.5kV/5s</w:t>
            </w:r>
          </w:p>
        </w:tc>
      </w:tr>
      <w:tr w14:paraId="572BB740">
        <w:tblPrEx>
          <w:tblCellMar>
            <w:top w:w="0" w:type="dxa"/>
            <w:left w:w="0" w:type="dxa"/>
            <w:bottom w:w="0" w:type="dxa"/>
            <w:right w:w="0" w:type="dxa"/>
          </w:tblCellMar>
        </w:tblPrEx>
        <w:trPr>
          <w:trHeight w:val="770" w:hRule="atLeast"/>
        </w:trPr>
        <w:tc>
          <w:tcPr>
            <w:tcW w:w="184" w:type="pct"/>
            <w:tcBorders>
              <w:top w:val="single" w:color="000000" w:sz="6" w:space="0"/>
              <w:left w:val="single" w:color="000000" w:sz="6" w:space="0"/>
              <w:bottom w:val="single" w:color="000000" w:sz="6" w:space="0"/>
              <w:right w:val="single" w:color="000000" w:sz="6" w:space="0"/>
            </w:tcBorders>
            <w:vAlign w:val="center"/>
          </w:tcPr>
          <w:p w14:paraId="50FD1E5F">
            <w:pPr>
              <w:widowControl/>
              <w:snapToGrid w:val="0"/>
              <w:jc w:val="center"/>
              <w:rPr>
                <w:rFonts w:ascii="宋体" w:hAnsi="宋体"/>
                <w:szCs w:val="21"/>
              </w:rPr>
            </w:pPr>
            <w:r>
              <w:rPr>
                <w:rFonts w:hint="eastAsia" w:ascii="宋体" w:hAnsi="宋体"/>
                <w:szCs w:val="21"/>
              </w:rPr>
              <w:t>16</w:t>
            </w:r>
          </w:p>
        </w:tc>
        <w:tc>
          <w:tcPr>
            <w:tcW w:w="1102" w:type="pct"/>
            <w:tcBorders>
              <w:top w:val="single" w:color="000000" w:sz="6" w:space="0"/>
              <w:left w:val="nil"/>
              <w:bottom w:val="single" w:color="000000" w:sz="4" w:space="0"/>
              <w:right w:val="single" w:color="000000" w:sz="6" w:space="0"/>
            </w:tcBorders>
            <w:vAlign w:val="center"/>
          </w:tcPr>
          <w:p w14:paraId="1983106F">
            <w:pPr>
              <w:widowControl/>
              <w:snapToGrid w:val="0"/>
              <w:jc w:val="center"/>
              <w:rPr>
                <w:rFonts w:ascii="宋体" w:hAnsi="宋体"/>
                <w:szCs w:val="21"/>
              </w:rPr>
            </w:pPr>
            <w:r>
              <w:rPr>
                <w:rFonts w:hint="eastAsia" w:ascii="宋体" w:hAnsi="宋体"/>
                <w:szCs w:val="21"/>
              </w:rPr>
              <w:t>保护电路连续性验证</w:t>
            </w:r>
          </w:p>
        </w:tc>
        <w:tc>
          <w:tcPr>
            <w:tcW w:w="1338" w:type="pct"/>
            <w:tcBorders>
              <w:top w:val="single" w:color="000000" w:sz="6" w:space="0"/>
              <w:left w:val="nil"/>
              <w:bottom w:val="single" w:color="000000" w:sz="6" w:space="0"/>
              <w:right w:val="single" w:color="000000" w:sz="6" w:space="0"/>
            </w:tcBorders>
            <w:vAlign w:val="center"/>
          </w:tcPr>
          <w:p w14:paraId="541A37B5">
            <w:pPr>
              <w:widowControl/>
              <w:snapToGrid w:val="0"/>
              <w:spacing w:line="316" w:lineRule="atLeast"/>
              <w:ind w:left="116"/>
              <w:rPr>
                <w:rFonts w:ascii="宋体" w:hAnsi="宋体"/>
                <w:szCs w:val="21"/>
              </w:rPr>
            </w:pPr>
            <w:r>
              <w:rPr>
                <w:rFonts w:hint="eastAsia" w:ascii="宋体" w:hAnsi="宋体"/>
                <w:szCs w:val="21"/>
              </w:rPr>
              <w:t>保护电路连续性验证</w:t>
            </w:r>
          </w:p>
        </w:tc>
        <w:tc>
          <w:tcPr>
            <w:tcW w:w="987" w:type="pct"/>
            <w:tcBorders>
              <w:top w:val="single" w:color="000000" w:sz="6" w:space="0"/>
              <w:left w:val="nil"/>
              <w:bottom w:val="single" w:color="000000" w:sz="6" w:space="0"/>
              <w:right w:val="single" w:color="000000" w:sz="6" w:space="0"/>
            </w:tcBorders>
            <w:vAlign w:val="center"/>
          </w:tcPr>
          <w:p w14:paraId="0CD7FC3D">
            <w:pPr>
              <w:widowControl/>
              <w:rPr>
                <w:rFonts w:ascii="宋体" w:hAnsi="宋体"/>
                <w:szCs w:val="21"/>
              </w:rPr>
            </w:pPr>
            <w:r>
              <w:rPr>
                <w:rFonts w:hint="eastAsia" w:ascii="宋体" w:hAnsi="宋体"/>
                <w:szCs w:val="21"/>
              </w:rPr>
              <w:t>GB 7251.3-2006</w:t>
            </w:r>
          </w:p>
          <w:p w14:paraId="54F46FB3">
            <w:pPr>
              <w:widowControl/>
              <w:rPr>
                <w:rFonts w:ascii="宋体" w:hAnsi="宋体"/>
                <w:szCs w:val="21"/>
              </w:rPr>
            </w:pPr>
            <w:r>
              <w:rPr>
                <w:rFonts w:hint="eastAsia" w:ascii="宋体" w:hAnsi="宋体"/>
                <w:szCs w:val="21"/>
              </w:rPr>
              <w:t>8.2.4</w:t>
            </w:r>
          </w:p>
        </w:tc>
        <w:tc>
          <w:tcPr>
            <w:tcW w:w="1390" w:type="pct"/>
            <w:tcBorders>
              <w:top w:val="single" w:color="000000" w:sz="6" w:space="0"/>
              <w:left w:val="nil"/>
              <w:bottom w:val="single" w:color="000000" w:sz="6" w:space="0"/>
              <w:right w:val="single" w:color="000000" w:sz="6" w:space="0"/>
            </w:tcBorders>
            <w:vAlign w:val="center"/>
          </w:tcPr>
          <w:p w14:paraId="406E0111">
            <w:pPr>
              <w:widowControl/>
              <w:snapToGrid w:val="0"/>
              <w:spacing w:line="316" w:lineRule="atLeast"/>
              <w:jc w:val="left"/>
              <w:rPr>
                <w:rFonts w:ascii="宋体" w:hAnsi="宋体"/>
                <w:szCs w:val="21"/>
              </w:rPr>
            </w:pPr>
            <w:r>
              <w:rPr>
                <w:rFonts w:hint="eastAsia" w:ascii="宋体" w:hAnsi="宋体"/>
                <w:szCs w:val="21"/>
              </w:rPr>
              <w:t>≤0.1Ω</w:t>
            </w:r>
          </w:p>
        </w:tc>
      </w:tr>
      <w:tr w14:paraId="1F185BCF">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6" w:space="0"/>
              <w:right w:val="single" w:color="000000" w:sz="6" w:space="0"/>
            </w:tcBorders>
            <w:vAlign w:val="center"/>
          </w:tcPr>
          <w:p w14:paraId="4321F66E">
            <w:pPr>
              <w:widowControl/>
              <w:snapToGrid w:val="0"/>
              <w:jc w:val="center"/>
              <w:rPr>
                <w:rFonts w:ascii="宋体" w:hAnsi="宋体"/>
                <w:szCs w:val="21"/>
              </w:rPr>
            </w:pPr>
            <w:r>
              <w:rPr>
                <w:rFonts w:hint="eastAsia" w:ascii="宋体" w:hAnsi="宋体"/>
                <w:szCs w:val="21"/>
              </w:rPr>
              <w:t>17</w:t>
            </w:r>
          </w:p>
        </w:tc>
        <w:tc>
          <w:tcPr>
            <w:tcW w:w="1102" w:type="pct"/>
            <w:tcBorders>
              <w:top w:val="single" w:color="000000" w:sz="4" w:space="0"/>
              <w:left w:val="nil"/>
              <w:bottom w:val="single" w:color="000000" w:sz="4" w:space="0"/>
              <w:right w:val="single" w:color="000000" w:sz="6" w:space="0"/>
            </w:tcBorders>
            <w:vAlign w:val="center"/>
          </w:tcPr>
          <w:p w14:paraId="08F7AE2F">
            <w:pPr>
              <w:widowControl/>
              <w:snapToGrid w:val="0"/>
              <w:jc w:val="center"/>
              <w:rPr>
                <w:rFonts w:ascii="宋体" w:hAnsi="宋体"/>
                <w:szCs w:val="21"/>
              </w:rPr>
            </w:pPr>
            <w:r>
              <w:rPr>
                <w:rFonts w:hint="eastAsia" w:ascii="宋体" w:hAnsi="宋体"/>
                <w:szCs w:val="21"/>
              </w:rPr>
              <w:t>机械操作验证</w:t>
            </w:r>
          </w:p>
        </w:tc>
        <w:tc>
          <w:tcPr>
            <w:tcW w:w="1338" w:type="pct"/>
            <w:tcBorders>
              <w:top w:val="single" w:color="000000" w:sz="6" w:space="0"/>
              <w:left w:val="nil"/>
              <w:bottom w:val="single" w:color="000000" w:sz="6" w:space="0"/>
              <w:right w:val="single" w:color="000000" w:sz="6" w:space="0"/>
            </w:tcBorders>
            <w:vAlign w:val="center"/>
          </w:tcPr>
          <w:p w14:paraId="20E1FAD9">
            <w:pPr>
              <w:widowControl/>
              <w:snapToGrid w:val="0"/>
              <w:spacing w:line="316" w:lineRule="atLeast"/>
              <w:ind w:left="116"/>
              <w:rPr>
                <w:rFonts w:ascii="宋体" w:hAnsi="宋体"/>
                <w:szCs w:val="21"/>
              </w:rPr>
            </w:pPr>
            <w:r>
              <w:rPr>
                <w:rFonts w:hint="eastAsia" w:ascii="宋体" w:hAnsi="宋体"/>
                <w:szCs w:val="21"/>
              </w:rPr>
              <w:t>机械操作验证</w:t>
            </w:r>
          </w:p>
        </w:tc>
        <w:tc>
          <w:tcPr>
            <w:tcW w:w="987" w:type="pct"/>
            <w:tcBorders>
              <w:top w:val="single" w:color="000000" w:sz="6" w:space="0"/>
              <w:left w:val="nil"/>
              <w:bottom w:val="single" w:color="000000" w:sz="6" w:space="0"/>
              <w:right w:val="single" w:color="000000" w:sz="6" w:space="0"/>
            </w:tcBorders>
            <w:vAlign w:val="center"/>
          </w:tcPr>
          <w:p w14:paraId="18610C09">
            <w:pPr>
              <w:widowControl/>
              <w:rPr>
                <w:rFonts w:ascii="宋体" w:hAnsi="宋体"/>
                <w:szCs w:val="21"/>
              </w:rPr>
            </w:pPr>
            <w:r>
              <w:rPr>
                <w:rFonts w:hint="eastAsia" w:ascii="宋体" w:hAnsi="宋体"/>
                <w:szCs w:val="21"/>
              </w:rPr>
              <w:t>GB 7251.3-2006</w:t>
            </w:r>
          </w:p>
          <w:p w14:paraId="5E176765">
            <w:pPr>
              <w:widowControl/>
              <w:rPr>
                <w:rFonts w:ascii="宋体" w:hAnsi="宋体"/>
                <w:szCs w:val="21"/>
              </w:rPr>
            </w:pPr>
            <w:r>
              <w:rPr>
                <w:rFonts w:hint="eastAsia" w:ascii="宋体" w:hAnsi="宋体"/>
                <w:szCs w:val="21"/>
              </w:rPr>
              <w:t>8.2.6</w:t>
            </w:r>
          </w:p>
        </w:tc>
        <w:tc>
          <w:tcPr>
            <w:tcW w:w="1390" w:type="pct"/>
            <w:tcBorders>
              <w:top w:val="single" w:color="000000" w:sz="6" w:space="0"/>
              <w:left w:val="nil"/>
              <w:bottom w:val="single" w:color="000000" w:sz="6" w:space="0"/>
              <w:right w:val="single" w:color="000000" w:sz="6" w:space="0"/>
            </w:tcBorders>
            <w:vAlign w:val="center"/>
          </w:tcPr>
          <w:p w14:paraId="42E67B63">
            <w:pPr>
              <w:widowControl/>
              <w:snapToGrid w:val="0"/>
              <w:spacing w:line="316" w:lineRule="atLeast"/>
              <w:jc w:val="left"/>
              <w:rPr>
                <w:rFonts w:ascii="宋体" w:hAnsi="宋体"/>
                <w:szCs w:val="21"/>
              </w:rPr>
            </w:pPr>
            <w:r>
              <w:rPr>
                <w:rFonts w:hint="eastAsia" w:ascii="宋体" w:hAnsi="宋体"/>
                <w:szCs w:val="21"/>
              </w:rPr>
              <w:t>50次</w:t>
            </w:r>
          </w:p>
        </w:tc>
      </w:tr>
      <w:tr w14:paraId="25792BF0">
        <w:tblPrEx>
          <w:tblCellMar>
            <w:top w:w="0" w:type="dxa"/>
            <w:left w:w="0" w:type="dxa"/>
            <w:bottom w:w="0" w:type="dxa"/>
            <w:right w:w="0" w:type="dxa"/>
          </w:tblCellMar>
        </w:tblPrEx>
        <w:trPr>
          <w:trHeight w:val="919" w:hRule="atLeast"/>
        </w:trPr>
        <w:tc>
          <w:tcPr>
            <w:tcW w:w="184" w:type="pct"/>
            <w:tcBorders>
              <w:top w:val="single" w:color="000000" w:sz="6" w:space="0"/>
              <w:left w:val="single" w:color="000000" w:sz="6" w:space="0"/>
              <w:bottom w:val="single" w:color="000000" w:sz="6" w:space="0"/>
              <w:right w:val="single" w:color="000000" w:sz="6" w:space="0"/>
            </w:tcBorders>
            <w:vAlign w:val="center"/>
          </w:tcPr>
          <w:p w14:paraId="0486DBAF">
            <w:pPr>
              <w:widowControl/>
              <w:snapToGrid w:val="0"/>
              <w:jc w:val="center"/>
              <w:rPr>
                <w:rFonts w:ascii="宋体" w:hAnsi="宋体"/>
                <w:szCs w:val="21"/>
              </w:rPr>
            </w:pPr>
            <w:r>
              <w:rPr>
                <w:rFonts w:hint="eastAsia" w:ascii="宋体" w:hAnsi="宋体"/>
                <w:szCs w:val="21"/>
              </w:rPr>
              <w:t>18</w:t>
            </w:r>
          </w:p>
        </w:tc>
        <w:tc>
          <w:tcPr>
            <w:tcW w:w="1102" w:type="pct"/>
            <w:tcBorders>
              <w:top w:val="single" w:color="000000" w:sz="4" w:space="0"/>
              <w:left w:val="nil"/>
              <w:bottom w:val="single" w:color="000000" w:sz="4" w:space="0"/>
              <w:right w:val="single" w:color="000000" w:sz="6" w:space="0"/>
            </w:tcBorders>
            <w:vAlign w:val="center"/>
          </w:tcPr>
          <w:p w14:paraId="44A686FD">
            <w:pPr>
              <w:widowControl/>
              <w:snapToGrid w:val="0"/>
              <w:jc w:val="center"/>
              <w:rPr>
                <w:rFonts w:ascii="宋体" w:hAnsi="宋体"/>
                <w:szCs w:val="21"/>
              </w:rPr>
            </w:pPr>
            <w:r>
              <w:rPr>
                <w:rFonts w:hint="eastAsia" w:ascii="宋体" w:hAnsi="宋体"/>
                <w:szCs w:val="21"/>
              </w:rPr>
              <w:t>验证对非正常热和着火危险的耐受能力</w:t>
            </w:r>
          </w:p>
        </w:tc>
        <w:tc>
          <w:tcPr>
            <w:tcW w:w="1338" w:type="pct"/>
            <w:tcBorders>
              <w:top w:val="single" w:color="000000" w:sz="6" w:space="0"/>
              <w:left w:val="nil"/>
              <w:bottom w:val="single" w:color="000000" w:sz="6" w:space="0"/>
              <w:right w:val="single" w:color="000000" w:sz="6" w:space="0"/>
            </w:tcBorders>
            <w:vAlign w:val="center"/>
          </w:tcPr>
          <w:p w14:paraId="43957D83">
            <w:pPr>
              <w:widowControl/>
              <w:snapToGrid w:val="0"/>
              <w:spacing w:line="316" w:lineRule="atLeast"/>
              <w:ind w:left="116"/>
              <w:rPr>
                <w:rFonts w:ascii="宋体" w:hAnsi="宋体"/>
                <w:szCs w:val="21"/>
              </w:rPr>
            </w:pPr>
            <w:r>
              <w:rPr>
                <w:rFonts w:hint="eastAsia" w:ascii="宋体" w:hAnsi="宋体"/>
                <w:szCs w:val="21"/>
              </w:rPr>
              <w:t>验证对非正常热和着火危险的耐受能力</w:t>
            </w:r>
          </w:p>
        </w:tc>
        <w:tc>
          <w:tcPr>
            <w:tcW w:w="987" w:type="pct"/>
            <w:tcBorders>
              <w:top w:val="single" w:color="000000" w:sz="6" w:space="0"/>
              <w:left w:val="nil"/>
              <w:bottom w:val="single" w:color="000000" w:sz="6" w:space="0"/>
              <w:right w:val="single" w:color="000000" w:sz="6" w:space="0"/>
            </w:tcBorders>
            <w:vAlign w:val="center"/>
          </w:tcPr>
          <w:p w14:paraId="58FCF01E">
            <w:pPr>
              <w:widowControl/>
              <w:rPr>
                <w:rFonts w:ascii="宋体" w:hAnsi="宋体"/>
                <w:szCs w:val="21"/>
              </w:rPr>
            </w:pPr>
            <w:r>
              <w:rPr>
                <w:rFonts w:hint="eastAsia" w:ascii="宋体" w:hAnsi="宋体"/>
                <w:szCs w:val="21"/>
              </w:rPr>
              <w:t>GB 7251.3-2006</w:t>
            </w:r>
          </w:p>
          <w:p w14:paraId="7A948D74">
            <w:pPr>
              <w:widowControl/>
              <w:rPr>
                <w:rFonts w:ascii="宋体" w:hAnsi="宋体"/>
                <w:szCs w:val="21"/>
              </w:rPr>
            </w:pPr>
            <w:r>
              <w:rPr>
                <w:rFonts w:hint="eastAsia" w:ascii="宋体" w:hAnsi="宋体"/>
                <w:szCs w:val="21"/>
              </w:rPr>
              <w:t>8.2.13</w:t>
            </w:r>
          </w:p>
        </w:tc>
        <w:tc>
          <w:tcPr>
            <w:tcW w:w="1390" w:type="pct"/>
            <w:tcBorders>
              <w:top w:val="single" w:color="000000" w:sz="6" w:space="0"/>
              <w:left w:val="nil"/>
              <w:bottom w:val="single" w:color="000000" w:sz="6" w:space="0"/>
              <w:right w:val="single" w:color="000000" w:sz="6" w:space="0"/>
            </w:tcBorders>
            <w:vAlign w:val="center"/>
          </w:tcPr>
          <w:p w14:paraId="3003A430">
            <w:pPr>
              <w:widowControl/>
              <w:snapToGrid w:val="0"/>
              <w:spacing w:line="316" w:lineRule="atLeast"/>
              <w:jc w:val="left"/>
              <w:rPr>
                <w:rFonts w:ascii="宋体" w:hAnsi="宋体"/>
                <w:szCs w:val="21"/>
              </w:rPr>
            </w:pPr>
            <w:r>
              <w:rPr>
                <w:rFonts w:hint="eastAsia" w:ascii="宋体" w:hAnsi="宋体"/>
                <w:szCs w:val="21"/>
              </w:rPr>
              <w:t>960±10℃</w:t>
            </w:r>
          </w:p>
          <w:p w14:paraId="16BE8175">
            <w:pPr>
              <w:widowControl/>
              <w:snapToGrid w:val="0"/>
              <w:spacing w:line="316" w:lineRule="atLeast"/>
              <w:jc w:val="left"/>
              <w:rPr>
                <w:rFonts w:ascii="宋体" w:hAnsi="宋体"/>
                <w:szCs w:val="21"/>
              </w:rPr>
            </w:pPr>
            <w:r>
              <w:rPr>
                <w:rFonts w:hint="eastAsia" w:ascii="宋体" w:hAnsi="宋体"/>
                <w:szCs w:val="21"/>
              </w:rPr>
              <w:t>650±10℃</w:t>
            </w:r>
          </w:p>
        </w:tc>
      </w:tr>
      <w:tr w14:paraId="2A92948B">
        <w:tblPrEx>
          <w:tblCellMar>
            <w:top w:w="0" w:type="dxa"/>
            <w:left w:w="0" w:type="dxa"/>
            <w:bottom w:w="0" w:type="dxa"/>
            <w:right w:w="0" w:type="dxa"/>
          </w:tblCellMar>
        </w:tblPrEx>
        <w:tc>
          <w:tcPr>
            <w:tcW w:w="184" w:type="pct"/>
            <w:tcBorders>
              <w:top w:val="single" w:color="000000" w:sz="6" w:space="0"/>
              <w:left w:val="single" w:color="000000" w:sz="6" w:space="0"/>
              <w:bottom w:val="single" w:color="000000" w:sz="6" w:space="0"/>
              <w:right w:val="single" w:color="000000" w:sz="6" w:space="0"/>
            </w:tcBorders>
            <w:vAlign w:val="center"/>
          </w:tcPr>
          <w:p w14:paraId="34976623">
            <w:pPr>
              <w:widowControl/>
              <w:snapToGrid w:val="0"/>
              <w:jc w:val="center"/>
              <w:rPr>
                <w:rFonts w:ascii="宋体" w:hAnsi="宋体"/>
                <w:szCs w:val="21"/>
              </w:rPr>
            </w:pPr>
            <w:r>
              <w:rPr>
                <w:rFonts w:hint="eastAsia" w:ascii="宋体" w:hAnsi="宋体"/>
                <w:szCs w:val="21"/>
              </w:rPr>
              <w:t>19</w:t>
            </w:r>
          </w:p>
        </w:tc>
        <w:tc>
          <w:tcPr>
            <w:tcW w:w="1102" w:type="pct"/>
            <w:tcBorders>
              <w:top w:val="single" w:color="000000" w:sz="4" w:space="0"/>
              <w:left w:val="nil"/>
              <w:bottom w:val="single" w:color="000000" w:sz="4" w:space="0"/>
              <w:right w:val="single" w:color="000000" w:sz="6" w:space="0"/>
            </w:tcBorders>
            <w:vAlign w:val="center"/>
          </w:tcPr>
          <w:p w14:paraId="2F361F4A">
            <w:pPr>
              <w:widowControl/>
              <w:snapToGrid w:val="0"/>
              <w:jc w:val="center"/>
              <w:rPr>
                <w:rFonts w:ascii="宋体" w:hAnsi="宋体"/>
                <w:szCs w:val="21"/>
              </w:rPr>
            </w:pPr>
            <w:r>
              <w:rPr>
                <w:rFonts w:hint="eastAsia" w:ascii="宋体" w:hAnsi="宋体"/>
                <w:szCs w:val="21"/>
              </w:rPr>
              <w:t>耐锈性能</w:t>
            </w:r>
          </w:p>
        </w:tc>
        <w:tc>
          <w:tcPr>
            <w:tcW w:w="1338" w:type="pct"/>
            <w:tcBorders>
              <w:top w:val="single" w:color="000000" w:sz="6" w:space="0"/>
              <w:left w:val="nil"/>
              <w:bottom w:val="single" w:color="000000" w:sz="6" w:space="0"/>
              <w:right w:val="single" w:color="000000" w:sz="6" w:space="0"/>
            </w:tcBorders>
            <w:vAlign w:val="center"/>
          </w:tcPr>
          <w:p w14:paraId="4A5B13CD">
            <w:pPr>
              <w:widowControl/>
              <w:snapToGrid w:val="0"/>
              <w:spacing w:line="316" w:lineRule="atLeast"/>
              <w:ind w:left="116"/>
              <w:rPr>
                <w:rFonts w:ascii="宋体" w:hAnsi="宋体"/>
                <w:szCs w:val="21"/>
              </w:rPr>
            </w:pPr>
            <w:r>
              <w:rPr>
                <w:rFonts w:hint="eastAsia" w:ascii="宋体" w:hAnsi="宋体"/>
                <w:szCs w:val="21"/>
              </w:rPr>
              <w:t>耐锈性能</w:t>
            </w:r>
          </w:p>
        </w:tc>
        <w:tc>
          <w:tcPr>
            <w:tcW w:w="987" w:type="pct"/>
            <w:tcBorders>
              <w:top w:val="single" w:color="000000" w:sz="6" w:space="0"/>
              <w:left w:val="nil"/>
              <w:bottom w:val="single" w:color="000000" w:sz="6" w:space="0"/>
              <w:right w:val="single" w:color="000000" w:sz="6" w:space="0"/>
            </w:tcBorders>
            <w:vAlign w:val="center"/>
          </w:tcPr>
          <w:p w14:paraId="231388F9">
            <w:pPr>
              <w:widowControl/>
              <w:rPr>
                <w:rFonts w:ascii="宋体" w:hAnsi="宋体"/>
                <w:szCs w:val="21"/>
              </w:rPr>
            </w:pPr>
            <w:r>
              <w:rPr>
                <w:rFonts w:hint="eastAsia" w:ascii="宋体" w:hAnsi="宋体"/>
                <w:szCs w:val="21"/>
              </w:rPr>
              <w:t>GB 7251.3-2006</w:t>
            </w:r>
          </w:p>
          <w:p w14:paraId="3F7A88B5">
            <w:pPr>
              <w:widowControl/>
              <w:rPr>
                <w:rFonts w:ascii="宋体" w:hAnsi="宋体"/>
                <w:szCs w:val="21"/>
              </w:rPr>
            </w:pPr>
            <w:r>
              <w:rPr>
                <w:rFonts w:hint="eastAsia" w:ascii="宋体" w:hAnsi="宋体"/>
                <w:szCs w:val="21"/>
              </w:rPr>
              <w:t>8.2.11</w:t>
            </w:r>
          </w:p>
        </w:tc>
        <w:tc>
          <w:tcPr>
            <w:tcW w:w="1390" w:type="pct"/>
            <w:tcBorders>
              <w:top w:val="single" w:color="000000" w:sz="6" w:space="0"/>
              <w:left w:val="nil"/>
              <w:bottom w:val="single" w:color="000000" w:sz="6" w:space="0"/>
              <w:right w:val="single" w:color="000000" w:sz="6" w:space="0"/>
            </w:tcBorders>
            <w:vAlign w:val="center"/>
          </w:tcPr>
          <w:p w14:paraId="5ADB4FD5">
            <w:pPr>
              <w:widowControl/>
              <w:snapToGrid w:val="0"/>
              <w:spacing w:line="316" w:lineRule="atLeast"/>
              <w:jc w:val="left"/>
              <w:rPr>
                <w:rFonts w:ascii="宋体" w:hAnsi="宋体"/>
                <w:szCs w:val="21"/>
              </w:rPr>
            </w:pPr>
            <w:r>
              <w:rPr>
                <w:rFonts w:hint="eastAsia" w:ascii="宋体" w:hAnsi="宋体"/>
                <w:szCs w:val="21"/>
              </w:rPr>
              <w:t>表面没有任何锈迹</w:t>
            </w:r>
          </w:p>
        </w:tc>
      </w:tr>
    </w:tbl>
    <w:p w14:paraId="54595D2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589" w:name="_Toc283110356"/>
      <w:bookmarkStart w:id="590" w:name="_Toc241749413"/>
      <w:bookmarkStart w:id="591" w:name="_Toc472997245"/>
      <w:bookmarkStart w:id="592" w:name="_Toc241314869"/>
      <w:bookmarkStart w:id="593" w:name="_Toc412810149"/>
      <w:bookmarkStart w:id="594" w:name="_Toc471528251"/>
      <w:bookmarkStart w:id="595" w:name="_Toc224635173"/>
      <w:bookmarkStart w:id="596" w:name="_Toc242394254"/>
      <w:r>
        <w:rPr>
          <w:rFonts w:eastAsiaTheme="minorEastAsia"/>
          <w:color w:val="000000" w:themeColor="text1"/>
          <w:sz w:val="24"/>
          <w:szCs w:val="24"/>
          <w14:textFill>
            <w14:solidFill>
              <w14:schemeClr w14:val="tx1"/>
            </w14:solidFill>
          </w14:textFill>
        </w:rPr>
        <w:t xml:space="preserve">3） </w:t>
      </w:r>
      <w:r>
        <w:rPr>
          <w:rFonts w:hint="eastAsia" w:eastAsiaTheme="minorEastAsia"/>
          <w:color w:val="000000" w:themeColor="text1"/>
          <w:sz w:val="24"/>
          <w:szCs w:val="24"/>
          <w14:textFill>
            <w14:solidFill>
              <w14:schemeClr w14:val="tx1"/>
            </w14:solidFill>
          </w14:textFill>
        </w:rPr>
        <w:t>现场验收试验</w:t>
      </w:r>
      <w:bookmarkEnd w:id="589"/>
      <w:bookmarkEnd w:id="590"/>
      <w:bookmarkEnd w:id="591"/>
      <w:bookmarkEnd w:id="592"/>
      <w:bookmarkEnd w:id="593"/>
      <w:bookmarkEnd w:id="594"/>
      <w:bookmarkEnd w:id="595"/>
      <w:bookmarkEnd w:id="596"/>
    </w:p>
    <w:p w14:paraId="0356A38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结构及外观检查：目测。</w:t>
      </w:r>
    </w:p>
    <w:p w14:paraId="2DCBC15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通电检查：按检验规程通电后测试参数和性能。</w:t>
      </w:r>
    </w:p>
    <w:p w14:paraId="7CC4FDE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绝缘性能检验：按</w:t>
      </w:r>
      <w:r>
        <w:rPr>
          <w:rFonts w:eastAsiaTheme="minorEastAsia"/>
          <w:color w:val="000000" w:themeColor="text1"/>
          <w:sz w:val="24"/>
          <w:szCs w:val="24"/>
          <w14:textFill>
            <w14:solidFill>
              <w14:schemeClr w14:val="tx1"/>
            </w14:solidFill>
          </w14:textFill>
        </w:rPr>
        <w:t>GB7261-1987</w:t>
      </w:r>
      <w:r>
        <w:rPr>
          <w:rFonts w:hint="eastAsia" w:eastAsiaTheme="minorEastAsia"/>
          <w:color w:val="000000" w:themeColor="text1"/>
          <w:sz w:val="24"/>
          <w:szCs w:val="24"/>
          <w14:textFill>
            <w14:solidFill>
              <w14:schemeClr w14:val="tx1"/>
            </w14:solidFill>
          </w14:textFill>
        </w:rPr>
        <w:t>标准试验。</w:t>
      </w:r>
    </w:p>
    <w:p w14:paraId="2C4D2B7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基本功能测试</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按</w:t>
      </w:r>
      <w:r>
        <w:rPr>
          <w:rFonts w:eastAsiaTheme="minorEastAsia"/>
          <w:color w:val="000000" w:themeColor="text1"/>
          <w:sz w:val="24"/>
          <w:szCs w:val="24"/>
          <w14:textFill>
            <w14:solidFill>
              <w14:schemeClr w14:val="tx1"/>
            </w14:solidFill>
          </w14:textFill>
        </w:rPr>
        <w:t>GB/T13729-1992</w:t>
      </w:r>
      <w:r>
        <w:rPr>
          <w:rFonts w:hint="eastAsia" w:eastAsiaTheme="minorEastAsia"/>
          <w:color w:val="000000" w:themeColor="text1"/>
          <w:sz w:val="24"/>
          <w:szCs w:val="24"/>
          <w14:textFill>
            <w14:solidFill>
              <w14:schemeClr w14:val="tx1"/>
            </w14:solidFill>
          </w14:textFill>
        </w:rPr>
        <w:t>中</w:t>
      </w:r>
      <w:r>
        <w:rPr>
          <w:rFonts w:eastAsiaTheme="minorEastAsia"/>
          <w:color w:val="000000" w:themeColor="text1"/>
          <w:sz w:val="24"/>
          <w:szCs w:val="24"/>
          <w14:textFill>
            <w14:solidFill>
              <w14:schemeClr w14:val="tx1"/>
            </w14:solidFill>
          </w14:textFill>
        </w:rPr>
        <w:t>4.4</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DL/T630-1997</w:t>
      </w:r>
      <w:r>
        <w:rPr>
          <w:rFonts w:hint="eastAsia" w:eastAsiaTheme="minorEastAsia"/>
          <w:color w:val="000000" w:themeColor="text1"/>
          <w:sz w:val="24"/>
          <w:szCs w:val="24"/>
          <w14:textFill>
            <w14:solidFill>
              <w14:schemeClr w14:val="tx1"/>
            </w14:solidFill>
          </w14:textFill>
        </w:rPr>
        <w:t>中</w:t>
      </w:r>
      <w:r>
        <w:rPr>
          <w:rFonts w:eastAsiaTheme="minorEastAsia"/>
          <w:color w:val="000000" w:themeColor="text1"/>
          <w:sz w:val="24"/>
          <w:szCs w:val="24"/>
          <w14:textFill>
            <w14:solidFill>
              <w14:schemeClr w14:val="tx1"/>
            </w14:solidFill>
          </w14:textFill>
        </w:rPr>
        <w:t>5.4</w:t>
      </w:r>
      <w:r>
        <w:rPr>
          <w:rFonts w:hint="eastAsia" w:eastAsiaTheme="minorEastAsia"/>
          <w:color w:val="000000" w:themeColor="text1"/>
          <w:sz w:val="24"/>
          <w:szCs w:val="24"/>
          <w14:textFill>
            <w14:solidFill>
              <w14:schemeClr w14:val="tx1"/>
            </w14:solidFill>
          </w14:textFill>
        </w:rPr>
        <w:t>和</w:t>
      </w:r>
      <w:r>
        <w:rPr>
          <w:rFonts w:eastAsiaTheme="minorEastAsia"/>
          <w:color w:val="000000" w:themeColor="text1"/>
          <w:sz w:val="24"/>
          <w:szCs w:val="24"/>
          <w14:textFill>
            <w14:solidFill>
              <w14:schemeClr w14:val="tx1"/>
            </w14:solidFill>
          </w14:textFill>
        </w:rPr>
        <w:t>GB/T15532-1995</w:t>
      </w:r>
      <w:r>
        <w:rPr>
          <w:rFonts w:hint="eastAsia" w:eastAsiaTheme="minorEastAsia"/>
          <w:color w:val="000000" w:themeColor="text1"/>
          <w:sz w:val="24"/>
          <w:szCs w:val="24"/>
          <w14:textFill>
            <w14:solidFill>
              <w14:schemeClr w14:val="tx1"/>
            </w14:solidFill>
          </w14:textFill>
        </w:rPr>
        <w:t>标准测试。</w:t>
      </w:r>
    </w:p>
    <w:p w14:paraId="278A001A">
      <w:pPr>
        <w:pStyle w:val="178"/>
        <w:numPr>
          <w:ilvl w:val="0"/>
          <w:numId w:val="36"/>
        </w:numPr>
        <w:snapToGrid w:val="0"/>
        <w:spacing w:line="480" w:lineRule="atLeast"/>
        <w:ind w:firstLineChars="0"/>
        <w:rPr>
          <w:rFonts w:eastAsiaTheme="minorEastAsia"/>
          <w:color w:val="000000" w:themeColor="text1"/>
          <w:szCs w:val="24"/>
          <w14:textFill>
            <w14:solidFill>
              <w14:schemeClr w14:val="tx1"/>
            </w14:solidFill>
          </w14:textFill>
        </w:rPr>
      </w:pPr>
      <w:bookmarkStart w:id="597" w:name="_Toc412810150"/>
      <w:bookmarkStart w:id="598" w:name="_Toc276490915"/>
      <w:bookmarkStart w:id="599" w:name="_Toc276492433"/>
      <w:r>
        <w:rPr>
          <w:rFonts w:hint="eastAsia" w:eastAsiaTheme="minorEastAsia"/>
          <w:color w:val="000000" w:themeColor="text1"/>
          <w:szCs w:val="24"/>
          <w14:textFill>
            <w14:solidFill>
              <w14:schemeClr w14:val="tx1"/>
            </w14:solidFill>
          </w14:textFill>
        </w:rPr>
        <w:t>产品对环境的影响</w:t>
      </w:r>
      <w:bookmarkEnd w:id="597"/>
    </w:p>
    <w:p w14:paraId="7432A6E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制造厂应该提供有关照明配电箱、户内动力配电箱、户内检修电源箱对环境影响所需要的材料。任何已知的化学危险和环境危害应在手册或使用说明中明确。</w:t>
      </w:r>
    </w:p>
    <w:p w14:paraId="563AEF3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制造厂应该对有关设备的不同材料的使用寿命和拆除的程序给予必要的指导，对再循环使用的可能性给予简要说明。</w:t>
      </w:r>
    </w:p>
    <w:bookmarkEnd w:id="598"/>
    <w:bookmarkEnd w:id="599"/>
    <w:p w14:paraId="2DF833CD">
      <w:pPr>
        <w:pStyle w:val="178"/>
        <w:numPr>
          <w:ilvl w:val="0"/>
          <w:numId w:val="36"/>
        </w:numPr>
        <w:snapToGrid w:val="0"/>
        <w:spacing w:line="480" w:lineRule="atLeast"/>
        <w:ind w:firstLineChars="0"/>
        <w:rPr>
          <w:rFonts w:eastAsiaTheme="minorEastAsia"/>
          <w:color w:val="000000" w:themeColor="text1"/>
          <w:szCs w:val="24"/>
          <w14:textFill>
            <w14:solidFill>
              <w14:schemeClr w14:val="tx1"/>
            </w14:solidFill>
          </w14:textFill>
        </w:rPr>
      </w:pPr>
      <w:bookmarkStart w:id="600" w:name="_Toc412810151"/>
      <w:r>
        <w:rPr>
          <w:rFonts w:hint="eastAsia" w:eastAsiaTheme="minorEastAsia"/>
          <w:color w:val="000000" w:themeColor="text1"/>
          <w:szCs w:val="24"/>
          <w14:textFill>
            <w14:solidFill>
              <w14:schemeClr w14:val="tx1"/>
            </w14:solidFill>
          </w14:textFill>
        </w:rPr>
        <w:t>企业</w:t>
      </w:r>
      <w:r>
        <w:rPr>
          <w:rFonts w:eastAsiaTheme="minorEastAsia"/>
          <w:color w:val="000000" w:themeColor="text1"/>
          <w:szCs w:val="24"/>
          <w14:textFill>
            <w14:solidFill>
              <w14:schemeClr w14:val="tx1"/>
            </w14:solidFill>
          </w14:textFill>
        </w:rPr>
        <w:t>VI</w:t>
      </w:r>
      <w:r>
        <w:rPr>
          <w:rFonts w:hint="eastAsia" w:eastAsiaTheme="minorEastAsia"/>
          <w:color w:val="000000" w:themeColor="text1"/>
          <w:szCs w:val="24"/>
          <w14:textFill>
            <w14:solidFill>
              <w14:schemeClr w14:val="tx1"/>
            </w14:solidFill>
          </w14:textFill>
        </w:rPr>
        <w:t>标识</w:t>
      </w:r>
      <w:bookmarkEnd w:id="600"/>
    </w:p>
    <w:p w14:paraId="25E80E0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601" w:name="_Toc277686859"/>
      <w:bookmarkStart w:id="602" w:name="_Toc277255901"/>
      <w:bookmarkStart w:id="603" w:name="_Toc276492434"/>
      <w:bookmarkStart w:id="604" w:name="_Toc276490916"/>
      <w:bookmarkStart w:id="605" w:name="_Toc279695206"/>
      <w:r>
        <w:rPr>
          <w:rFonts w:eastAsiaTheme="minorEastAsia"/>
          <w:color w:val="000000" w:themeColor="text1"/>
          <w:sz w:val="24"/>
          <w:szCs w:val="24"/>
          <w14:textFill>
            <w14:solidFill>
              <w14:schemeClr w14:val="tx1"/>
            </w14:solidFill>
          </w14:textFill>
        </w:rPr>
        <w:t>a</w:t>
      </w:r>
      <w:r>
        <w:rPr>
          <w:rFonts w:hint="eastAsia" w:eastAsiaTheme="minorEastAsia"/>
          <w:color w:val="000000" w:themeColor="text1"/>
          <w:sz w:val="24"/>
          <w:szCs w:val="24"/>
          <w14:textFill>
            <w14:solidFill>
              <w14:schemeClr w14:val="tx1"/>
            </w14:solidFill>
          </w14:textFill>
        </w:rPr>
        <w:t>）设备外立面上应有统一的南方电网公司企业</w:t>
      </w:r>
      <w:r>
        <w:rPr>
          <w:rFonts w:eastAsiaTheme="minorEastAsia"/>
          <w:color w:val="000000" w:themeColor="text1"/>
          <w:sz w:val="24"/>
          <w:szCs w:val="24"/>
          <w14:textFill>
            <w14:solidFill>
              <w14:schemeClr w14:val="tx1"/>
            </w14:solidFill>
          </w14:textFill>
        </w:rPr>
        <w:t>VI</w:t>
      </w:r>
      <w:r>
        <w:rPr>
          <w:rFonts w:hint="eastAsia" w:eastAsiaTheme="minorEastAsia"/>
          <w:color w:val="000000" w:themeColor="text1"/>
          <w:sz w:val="24"/>
          <w:szCs w:val="24"/>
          <w14:textFill>
            <w14:solidFill>
              <w14:schemeClr w14:val="tx1"/>
            </w14:solidFill>
          </w14:textFill>
        </w:rPr>
        <w:t>标识，并符合《中国南方电网视觉识别系统管理手册》的要求。</w:t>
      </w:r>
      <w:bookmarkEnd w:id="601"/>
      <w:bookmarkEnd w:id="602"/>
    </w:p>
    <w:p w14:paraId="526DD74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606" w:name="_Toc277686861"/>
      <w:bookmarkStart w:id="607" w:name="_Toc277255903"/>
      <w:r>
        <w:rPr>
          <w:rFonts w:eastAsiaTheme="minorEastAsia"/>
          <w:color w:val="000000" w:themeColor="text1"/>
          <w:sz w:val="24"/>
          <w:szCs w:val="24"/>
          <w14:textFill>
            <w14:solidFill>
              <w14:schemeClr w14:val="tx1"/>
            </w14:solidFill>
          </w14:textFill>
        </w:rPr>
        <w:t>b</w:t>
      </w:r>
      <w:r>
        <w:rPr>
          <w:rFonts w:hint="eastAsia" w:eastAsiaTheme="minorEastAsia"/>
          <w:color w:val="000000" w:themeColor="text1"/>
          <w:sz w:val="24"/>
          <w:szCs w:val="24"/>
          <w14:textFill>
            <w14:solidFill>
              <w14:schemeClr w14:val="tx1"/>
            </w14:solidFill>
          </w14:textFill>
        </w:rPr>
        <w:t>）标识的内容构成：中国南方电网标志、“中国南方电网”中英文名称。</w:t>
      </w:r>
    </w:p>
    <w:bookmarkEnd w:id="606"/>
    <w:bookmarkEnd w:id="607"/>
    <w:p w14:paraId="5AE8073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608" w:name="_Toc277255904"/>
      <w:bookmarkStart w:id="609" w:name="_Toc277686862"/>
      <w:r>
        <w:rPr>
          <w:rFonts w:eastAsiaTheme="minorEastAsia"/>
          <w:color w:val="000000" w:themeColor="text1"/>
          <w:sz w:val="24"/>
          <w:szCs w:val="24"/>
          <w14:textFill>
            <w14:solidFill>
              <w14:schemeClr w14:val="tx1"/>
            </w14:solidFill>
          </w14:textFill>
        </w:rPr>
        <w:t>c</w:t>
      </w:r>
      <w:r>
        <w:rPr>
          <w:rFonts w:hint="eastAsia" w:eastAsiaTheme="minorEastAsia"/>
          <w:color w:val="000000" w:themeColor="text1"/>
          <w:sz w:val="24"/>
          <w:szCs w:val="24"/>
          <w14:textFill>
            <w14:solidFill>
              <w14:schemeClr w14:val="tx1"/>
            </w14:solidFill>
          </w14:textFill>
        </w:rPr>
        <w:t>）颜色：标识采用企业标准色</w:t>
      </w:r>
      <w:r>
        <w:rPr>
          <w:rFonts w:eastAsiaTheme="minorEastAsia"/>
          <w:color w:val="000000" w:themeColor="text1"/>
          <w:sz w:val="24"/>
          <w:szCs w:val="24"/>
          <w14:textFill>
            <w14:solidFill>
              <w14:schemeClr w14:val="tx1"/>
            </w14:solidFill>
          </w14:textFill>
        </w:rPr>
        <w:t xml:space="preserve"> C100 M69 Y0 K38</w:t>
      </w:r>
      <w:r>
        <w:rPr>
          <w:rFonts w:hint="eastAsia" w:eastAsiaTheme="minorEastAsia"/>
          <w:color w:val="000000" w:themeColor="text1"/>
          <w:sz w:val="24"/>
          <w:szCs w:val="24"/>
          <w14:textFill>
            <w14:solidFill>
              <w14:schemeClr w14:val="tx1"/>
            </w14:solidFill>
          </w14:textFill>
        </w:rPr>
        <w:t>，背景采用白色。</w:t>
      </w:r>
    </w:p>
    <w:p w14:paraId="1268EB8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d</w:t>
      </w:r>
      <w:r>
        <w:rPr>
          <w:rFonts w:hint="eastAsia" w:eastAsiaTheme="minorEastAsia"/>
          <w:color w:val="000000" w:themeColor="text1"/>
          <w:sz w:val="24"/>
          <w:szCs w:val="24"/>
          <w14:textFill>
            <w14:solidFill>
              <w14:schemeClr w14:val="tx1"/>
            </w14:solidFill>
          </w14:textFill>
        </w:rPr>
        <w:t>）标识方式：丝网印刷。</w:t>
      </w:r>
      <w:bookmarkEnd w:id="603"/>
      <w:bookmarkEnd w:id="604"/>
      <w:bookmarkEnd w:id="608"/>
      <w:bookmarkEnd w:id="609"/>
    </w:p>
    <w:p w14:paraId="5E21204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e</w:t>
      </w:r>
      <w:r>
        <w:rPr>
          <w:rFonts w:hint="eastAsia" w:eastAsiaTheme="minorEastAsia"/>
          <w:color w:val="000000" w:themeColor="text1"/>
          <w:sz w:val="24"/>
          <w:szCs w:val="24"/>
          <w14:textFill>
            <w14:solidFill>
              <w14:schemeClr w14:val="tx1"/>
            </w14:solidFill>
          </w14:textFill>
        </w:rPr>
        <w:t>）标识大小：按所需比例修正。</w:t>
      </w:r>
    </w:p>
    <w:p w14:paraId="37E0AD3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f</w:t>
      </w:r>
      <w:r>
        <w:rPr>
          <w:rFonts w:hint="eastAsia" w:eastAsiaTheme="minorEastAsia"/>
          <w:color w:val="000000" w:themeColor="text1"/>
          <w:sz w:val="24"/>
          <w:szCs w:val="24"/>
          <w14:textFill>
            <w14:solidFill>
              <w14:schemeClr w14:val="tx1"/>
            </w14:solidFill>
          </w14:textFill>
        </w:rPr>
        <w:t>）企业标识安装在设备外立面正面醒目位置。</w:t>
      </w:r>
    </w:p>
    <w:bookmarkEnd w:id="605"/>
    <w:p w14:paraId="4A0BD20A">
      <w:pPr>
        <w:pStyle w:val="178"/>
        <w:numPr>
          <w:ilvl w:val="0"/>
          <w:numId w:val="36"/>
        </w:numPr>
        <w:snapToGrid w:val="0"/>
        <w:spacing w:line="480" w:lineRule="atLeast"/>
        <w:ind w:firstLineChars="0"/>
        <w:rPr>
          <w:rFonts w:eastAsiaTheme="minorEastAsia"/>
          <w:color w:val="000000" w:themeColor="text1"/>
          <w:szCs w:val="24"/>
          <w14:textFill>
            <w14:solidFill>
              <w14:schemeClr w14:val="tx1"/>
            </w14:solidFill>
          </w14:textFill>
        </w:rPr>
      </w:pPr>
      <w:bookmarkStart w:id="610" w:name="_Toc276490917"/>
      <w:bookmarkStart w:id="611" w:name="_Toc276492435"/>
      <w:bookmarkStart w:id="612" w:name="_Toc279695207"/>
      <w:bookmarkStart w:id="613" w:name="_Toc412810153"/>
      <w:r>
        <w:rPr>
          <w:rFonts w:hint="eastAsia" w:eastAsiaTheme="minorEastAsia"/>
          <w:color w:val="000000" w:themeColor="text1"/>
          <w:szCs w:val="24"/>
          <w14:textFill>
            <w14:solidFill>
              <w14:schemeClr w14:val="tx1"/>
            </w14:solidFill>
          </w14:textFill>
        </w:rPr>
        <w:t>标志、包装、运输、贮存、安装</w:t>
      </w:r>
      <w:bookmarkEnd w:id="610"/>
      <w:bookmarkEnd w:id="611"/>
      <w:bookmarkEnd w:id="612"/>
      <w:r>
        <w:rPr>
          <w:rFonts w:hint="eastAsia" w:eastAsiaTheme="minorEastAsia"/>
          <w:color w:val="000000" w:themeColor="text1"/>
          <w:szCs w:val="24"/>
          <w14:textFill>
            <w14:solidFill>
              <w14:schemeClr w14:val="tx1"/>
            </w14:solidFill>
          </w14:textFill>
        </w:rPr>
        <w:t>指导及质量保证</w:t>
      </w:r>
      <w:bookmarkEnd w:id="613"/>
    </w:p>
    <w:p w14:paraId="4285A7F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614" w:name="_Toc412810154"/>
      <w:r>
        <w:rPr>
          <w:rFonts w:eastAsiaTheme="minorEastAsia"/>
          <w:color w:val="000000" w:themeColor="text1"/>
          <w:sz w:val="24"/>
          <w:szCs w:val="24"/>
          <w14:textFill>
            <w14:solidFill>
              <w14:schemeClr w14:val="tx1"/>
            </w14:solidFill>
          </w14:textFill>
        </w:rPr>
        <w:t xml:space="preserve">1） </w:t>
      </w:r>
      <w:r>
        <w:rPr>
          <w:rFonts w:hint="eastAsia" w:eastAsiaTheme="minorEastAsia"/>
          <w:color w:val="000000" w:themeColor="text1"/>
          <w:sz w:val="24"/>
          <w:szCs w:val="24"/>
          <w14:textFill>
            <w14:solidFill>
              <w14:schemeClr w14:val="tx1"/>
            </w14:solidFill>
          </w14:textFill>
        </w:rPr>
        <w:t>标志</w:t>
      </w:r>
      <w:bookmarkEnd w:id="614"/>
    </w:p>
    <w:p w14:paraId="1C89A2D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产品型号及规格</w:t>
      </w:r>
    </w:p>
    <w:p w14:paraId="673A0D5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制造厂名全称及商标</w:t>
      </w:r>
    </w:p>
    <w:p w14:paraId="391DC121">
      <w:pPr>
        <w:snapToGrid w:val="0"/>
        <w:spacing w:line="480" w:lineRule="atLeast"/>
        <w:ind w:firstLine="480" w:firstLineChars="200"/>
        <w:rPr>
          <w:rFonts w:eastAsiaTheme="minorEastAsia"/>
          <w:color w:val="000000" w:themeColor="text1"/>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生产日期及编号</w:t>
      </w:r>
    </w:p>
    <w:p w14:paraId="4586ED9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615" w:name="_Toc471528253"/>
      <w:bookmarkStart w:id="616" w:name="_Toc276301528"/>
      <w:bookmarkStart w:id="617" w:name="_Toc276492436"/>
      <w:bookmarkStart w:id="618" w:name="_Toc472997247"/>
      <w:bookmarkStart w:id="619" w:name="_Toc279695209"/>
      <w:bookmarkStart w:id="620" w:name="_Toc200531202"/>
      <w:bookmarkStart w:id="621" w:name="_Toc53672785"/>
      <w:bookmarkStart w:id="622" w:name="_Toc412810155"/>
      <w:bookmarkStart w:id="623" w:name="_Toc276490918"/>
      <w:r>
        <w:rPr>
          <w:rFonts w:eastAsiaTheme="minorEastAsia"/>
          <w:color w:val="000000" w:themeColor="text1"/>
          <w:sz w:val="24"/>
          <w:szCs w:val="24"/>
          <w14:textFill>
            <w14:solidFill>
              <w14:schemeClr w14:val="tx1"/>
            </w14:solidFill>
          </w14:textFill>
        </w:rPr>
        <w:t xml:space="preserve">2） </w:t>
      </w:r>
      <w:r>
        <w:rPr>
          <w:rFonts w:hint="eastAsia" w:eastAsiaTheme="minorEastAsia"/>
          <w:color w:val="000000" w:themeColor="text1"/>
          <w:sz w:val="24"/>
          <w:szCs w:val="24"/>
          <w14:textFill>
            <w14:solidFill>
              <w14:schemeClr w14:val="tx1"/>
            </w14:solidFill>
          </w14:textFill>
        </w:rPr>
        <w:t>包装</w:t>
      </w:r>
      <w:bookmarkEnd w:id="615"/>
      <w:bookmarkEnd w:id="616"/>
      <w:bookmarkEnd w:id="617"/>
      <w:bookmarkEnd w:id="618"/>
      <w:bookmarkEnd w:id="619"/>
      <w:bookmarkEnd w:id="620"/>
      <w:bookmarkEnd w:id="621"/>
      <w:bookmarkEnd w:id="622"/>
      <w:bookmarkEnd w:id="623"/>
    </w:p>
    <w:p w14:paraId="6456D66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624" w:name="_Toc279695210"/>
      <w:bookmarkStart w:id="625" w:name="_Toc276301529"/>
      <w:bookmarkStart w:id="626" w:name="_Toc276492437"/>
      <w:bookmarkStart w:id="627" w:name="_Toc276490919"/>
      <w:r>
        <w:rPr>
          <w:rFonts w:hint="eastAsia" w:eastAsiaTheme="minorEastAsia"/>
          <w:color w:val="000000" w:themeColor="text1"/>
          <w:sz w:val="24"/>
          <w:szCs w:val="24"/>
          <w14:textFill>
            <w14:solidFill>
              <w14:schemeClr w14:val="tx1"/>
            </w14:solidFill>
          </w14:textFill>
        </w:rPr>
        <w:t>投标方必须根据国家标准和招标方的实际运输条件</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将控制箱</w:t>
      </w:r>
      <w:r>
        <w:rPr>
          <w:rFonts w:eastAsiaTheme="minorEastAsia"/>
          <w:color w:val="000000" w:themeColor="text1"/>
          <w:sz w:val="24"/>
          <w:szCs w:val="24"/>
          <w14:textFill>
            <w14:solidFill>
              <w14:schemeClr w14:val="tx1"/>
            </w14:solidFill>
          </w14:textFill>
        </w:rPr>
        <w:t>和</w:t>
      </w:r>
      <w:r>
        <w:rPr>
          <w:rFonts w:hint="eastAsia" w:eastAsiaTheme="minorEastAsia"/>
          <w:color w:val="000000" w:themeColor="text1"/>
          <w:sz w:val="24"/>
          <w:szCs w:val="24"/>
          <w14:textFill>
            <w14:solidFill>
              <w14:schemeClr w14:val="tx1"/>
            </w14:solidFill>
          </w14:textFill>
        </w:rPr>
        <w:t>电源箱和所有零部件采用适合于远途运输的包装箱进行包装好</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并将全套安装使用维护说明书、产品合格证明书、产品外形出厂图、运输尺寸图、产品拆卸件一览表、装箱单、铭牌图或铭牌标志图以及备品备件一览表等应妥善包装防止受潮。</w:t>
      </w:r>
    </w:p>
    <w:p w14:paraId="726C585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所需的备品备件及专用工具与仪器仪表应装在箱内</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在箱上注明“专用工具”、“仪器仪表”</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以与本体相区别；并标明“防尘”、“防潮”、“防止损坏”、“易碎”、“向上”、“勿倒”等字样，同主设备一并发运。</w:t>
      </w:r>
    </w:p>
    <w:p w14:paraId="418574B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包装箱应连续编号</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不能有重号。包装箱外壁的文字与标志应耐受风吹日晒</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不可因雨水冲刷而模糊不清</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其内容应包括</w:t>
      </w:r>
      <w:r>
        <w:rPr>
          <w:rFonts w:eastAsiaTheme="minorEastAsia"/>
          <w:color w:val="000000" w:themeColor="text1"/>
          <w:sz w:val="24"/>
          <w:szCs w:val="24"/>
          <w14:textFill>
            <w14:solidFill>
              <w14:schemeClr w14:val="tx1"/>
            </w14:solidFill>
          </w14:textFill>
        </w:rPr>
        <w:t>:</w:t>
      </w:r>
    </w:p>
    <w:p w14:paraId="37DB876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 </w:t>
      </w:r>
      <w:r>
        <w:rPr>
          <w:rFonts w:hint="eastAsia" w:eastAsiaTheme="minorEastAsia"/>
          <w:color w:val="000000" w:themeColor="text1"/>
          <w:sz w:val="24"/>
          <w:szCs w:val="24"/>
          <w14:textFill>
            <w14:solidFill>
              <w14:schemeClr w14:val="tx1"/>
            </w14:solidFill>
          </w14:textFill>
        </w:rPr>
        <w:t>合同号；</w:t>
      </w:r>
    </w:p>
    <w:p w14:paraId="7BE5EB4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 </w:t>
      </w:r>
      <w:r>
        <w:rPr>
          <w:rFonts w:hint="eastAsia" w:eastAsiaTheme="minorEastAsia"/>
          <w:color w:val="000000" w:themeColor="text1"/>
          <w:sz w:val="24"/>
          <w:szCs w:val="24"/>
          <w14:textFill>
            <w14:solidFill>
              <w14:schemeClr w14:val="tx1"/>
            </w14:solidFill>
          </w14:textFill>
        </w:rPr>
        <w:t>收货单位名称及地址；</w:t>
      </w:r>
    </w:p>
    <w:p w14:paraId="3E800ED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 </w:t>
      </w:r>
      <w:r>
        <w:rPr>
          <w:rFonts w:hint="eastAsia" w:eastAsiaTheme="minorEastAsia"/>
          <w:color w:val="000000" w:themeColor="text1"/>
          <w:sz w:val="24"/>
          <w:szCs w:val="24"/>
          <w14:textFill>
            <w14:solidFill>
              <w14:schemeClr w14:val="tx1"/>
            </w14:solidFill>
          </w14:textFill>
        </w:rPr>
        <w:t>控制箱和电源箱名称及型号；</w:t>
      </w:r>
    </w:p>
    <w:p w14:paraId="51C5EDF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 </w:t>
      </w:r>
      <w:r>
        <w:rPr>
          <w:rFonts w:hint="eastAsia" w:eastAsiaTheme="minorEastAsia"/>
          <w:color w:val="000000" w:themeColor="text1"/>
          <w:sz w:val="24"/>
          <w:szCs w:val="24"/>
          <w14:textFill>
            <w14:solidFill>
              <w14:schemeClr w14:val="tx1"/>
            </w14:solidFill>
          </w14:textFill>
        </w:rPr>
        <w:t>毛重和总重；</w:t>
      </w:r>
    </w:p>
    <w:p w14:paraId="314664A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(5) </w:t>
      </w:r>
      <w:r>
        <w:rPr>
          <w:rFonts w:hint="eastAsia" w:eastAsiaTheme="minorEastAsia"/>
          <w:color w:val="000000" w:themeColor="text1"/>
          <w:sz w:val="24"/>
          <w:szCs w:val="24"/>
          <w14:textFill>
            <w14:solidFill>
              <w14:schemeClr w14:val="tx1"/>
            </w14:solidFill>
          </w14:textFill>
        </w:rPr>
        <w:t>包装箱外形尺寸；</w:t>
      </w:r>
    </w:p>
    <w:p w14:paraId="74916C8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(6) </w:t>
      </w:r>
      <w:r>
        <w:rPr>
          <w:rFonts w:hint="eastAsia" w:eastAsiaTheme="minorEastAsia"/>
          <w:color w:val="000000" w:themeColor="text1"/>
          <w:sz w:val="24"/>
          <w:szCs w:val="24"/>
          <w14:textFill>
            <w14:solidFill>
              <w14:schemeClr w14:val="tx1"/>
            </w14:solidFill>
          </w14:textFill>
        </w:rPr>
        <w:t>制造厂名称；</w:t>
      </w:r>
    </w:p>
    <w:p w14:paraId="09FC966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(7) </w:t>
      </w:r>
      <w:r>
        <w:rPr>
          <w:rFonts w:hint="eastAsia" w:eastAsiaTheme="minorEastAsia"/>
          <w:color w:val="000000" w:themeColor="text1"/>
          <w:sz w:val="24"/>
          <w:szCs w:val="24"/>
          <w14:textFill>
            <w14:solidFill>
              <w14:schemeClr w14:val="tx1"/>
            </w14:solidFill>
          </w14:textFill>
        </w:rPr>
        <w:t>包装箱储运指示标志</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“向上”、“防潮”、“小心轻放”、“由此吊起”等字样。</w:t>
      </w:r>
    </w:p>
    <w:p w14:paraId="3A2221D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设备经招标方验收之前凡因包装不良造成损失应由投标方负责。</w:t>
      </w:r>
    </w:p>
    <w:p w14:paraId="4A781E33">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）设备</w:t>
      </w:r>
      <w:r>
        <w:rPr>
          <w:rFonts w:eastAsiaTheme="minorEastAsia"/>
          <w:color w:val="000000" w:themeColor="text1"/>
          <w:sz w:val="24"/>
          <w:szCs w:val="24"/>
          <w14:textFill>
            <w14:solidFill>
              <w14:schemeClr w14:val="tx1"/>
            </w14:solidFill>
          </w14:textFill>
        </w:rPr>
        <w:t>单独运输的零部件应有标志,便于用户安装装配。</w:t>
      </w:r>
    </w:p>
    <w:p w14:paraId="7D2B6B1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整体产品或分别运输的部件,都要适合于运输及装卸的要求。</w:t>
      </w:r>
    </w:p>
    <w:p w14:paraId="05B8F02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制造厂应提供按全部解体检修用的备品备件和装用机具，随同产品发运。</w:t>
      </w:r>
    </w:p>
    <w:p w14:paraId="22E2FAD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4</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随同运输的产品应附有装箱清单，产品所需提供的技术资料应完整无缺。</w:t>
      </w:r>
    </w:p>
    <w:bookmarkEnd w:id="624"/>
    <w:bookmarkEnd w:id="625"/>
    <w:bookmarkEnd w:id="626"/>
    <w:bookmarkEnd w:id="627"/>
    <w:p w14:paraId="78BDD3A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628" w:name="_Toc412810156"/>
      <w:r>
        <w:rPr>
          <w:rFonts w:hint="eastAsia" w:eastAsiaTheme="minorEastAsia"/>
          <w:color w:val="000000" w:themeColor="text1"/>
          <w:sz w:val="24"/>
          <w:szCs w:val="24"/>
          <w14:textFill>
            <w14:solidFill>
              <w14:schemeClr w14:val="tx1"/>
            </w14:solidFill>
          </w14:textFill>
        </w:rPr>
        <w:t>运输</w:t>
      </w:r>
      <w:bookmarkEnd w:id="628"/>
    </w:p>
    <w:p w14:paraId="256EC8A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）设备</w:t>
      </w:r>
      <w:r>
        <w:rPr>
          <w:rFonts w:eastAsiaTheme="minorEastAsia"/>
          <w:color w:val="000000" w:themeColor="text1"/>
          <w:sz w:val="24"/>
          <w:szCs w:val="24"/>
          <w14:textFill>
            <w14:solidFill>
              <w14:schemeClr w14:val="tx1"/>
            </w14:solidFill>
          </w14:textFill>
        </w:rPr>
        <w:t>单独运输的零部件应有标志,便于用户安装装配。</w:t>
      </w:r>
    </w:p>
    <w:p w14:paraId="26146DA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整体产品或分别运输的部件,都要适合于运输及装卸的要求。</w:t>
      </w:r>
    </w:p>
    <w:p w14:paraId="78C0A332">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制造厂应提供按全部解体检修用的备品备件和装用机具，随同产品发运。</w:t>
      </w:r>
    </w:p>
    <w:p w14:paraId="1141A01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4</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随同运输的产品应附有装箱清单，产品所需提供的技术资料应完整无缺。</w:t>
      </w:r>
    </w:p>
    <w:p w14:paraId="1DA74DA0">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629" w:name="_Toc412810157"/>
      <w:r>
        <w:rPr>
          <w:rFonts w:hint="eastAsia" w:eastAsiaTheme="minorEastAsia"/>
          <w:color w:val="000000" w:themeColor="text1"/>
          <w:sz w:val="24"/>
          <w:szCs w:val="24"/>
          <w14:textFill>
            <w14:solidFill>
              <w14:schemeClr w14:val="tx1"/>
            </w14:solidFill>
          </w14:textFill>
        </w:rPr>
        <w:t>贮存</w:t>
      </w:r>
      <w:bookmarkEnd w:id="629"/>
    </w:p>
    <w:p w14:paraId="3659C09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）应存放在</w:t>
      </w: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~40</w:t>
      </w:r>
      <w:r>
        <w:rPr>
          <w:rFonts w:hint="eastAsia" w:eastAsiaTheme="minorEastAsia"/>
          <w:color w:val="000000" w:themeColor="text1"/>
          <w:sz w:val="24"/>
          <w:szCs w:val="24"/>
          <w14:textFill>
            <w14:solidFill>
              <w14:schemeClr w14:val="tx1"/>
            </w14:solidFill>
          </w14:textFill>
        </w:rPr>
        <w:t>℃干燥、通风、清洁的仓库内；</w:t>
      </w:r>
    </w:p>
    <w:p w14:paraId="2C3EA6BE">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）应避免与任何有毒气体有机溶剂接触；</w:t>
      </w:r>
    </w:p>
    <w:p w14:paraId="7A8F95D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不得倒置、不得撞击。</w:t>
      </w:r>
    </w:p>
    <w:p w14:paraId="717482F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630" w:name="_Toc412810158"/>
      <w:r>
        <w:rPr>
          <w:rFonts w:hint="eastAsia" w:eastAsiaTheme="minorEastAsia"/>
          <w:color w:val="000000" w:themeColor="text1"/>
          <w:sz w:val="24"/>
          <w:szCs w:val="24"/>
          <w14:textFill>
            <w14:solidFill>
              <w14:schemeClr w14:val="tx1"/>
            </w14:solidFill>
          </w14:textFill>
        </w:rPr>
        <w:t>安装指导</w:t>
      </w:r>
      <w:bookmarkEnd w:id="630"/>
    </w:p>
    <w:p w14:paraId="1DD1358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制造厂在安装和启动时应安排技术人员提供现场安装指导服务，提出技术建议。</w:t>
      </w:r>
    </w:p>
    <w:p w14:paraId="7DFFDA0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bookmarkStart w:id="631" w:name="_Toc412810159"/>
      <w:r>
        <w:rPr>
          <w:rFonts w:hint="eastAsia" w:eastAsiaTheme="minorEastAsia"/>
          <w:color w:val="000000" w:themeColor="text1"/>
          <w:sz w:val="24"/>
          <w:szCs w:val="24"/>
          <w14:textFill>
            <w14:solidFill>
              <w14:schemeClr w14:val="tx1"/>
            </w14:solidFill>
          </w14:textFill>
        </w:rPr>
        <w:t>质量保证</w:t>
      </w:r>
      <w:bookmarkEnd w:id="631"/>
    </w:p>
    <w:p w14:paraId="5B5D2CA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1</w:t>
      </w:r>
      <w:r>
        <w:rPr>
          <w:rFonts w:hint="eastAsia" w:eastAsiaTheme="minorEastAsia"/>
          <w:color w:val="000000" w:themeColor="text1"/>
          <w:sz w:val="24"/>
          <w:szCs w:val="24"/>
          <w14:textFill>
            <w14:solidFill>
              <w14:schemeClr w14:val="tx1"/>
            </w14:solidFill>
          </w14:textFill>
        </w:rPr>
        <w:t>）全部设备必须是全新的</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持久耐用的</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应满足作为一个完整产品所能满足的全部要求。投标方应保证设备在规定的使用条件下运行、并按使用说明书进行安装和维护、预期寿命应不少于</w:t>
      </w:r>
      <w:r>
        <w:rPr>
          <w:rFonts w:eastAsiaTheme="minorEastAsia"/>
          <w:color w:val="000000" w:themeColor="text1"/>
          <w:sz w:val="24"/>
          <w:szCs w:val="24"/>
          <w14:textFill>
            <w14:solidFill>
              <w14:schemeClr w14:val="tx1"/>
            </w14:solidFill>
          </w14:textFill>
        </w:rPr>
        <w:t>30</w:t>
      </w:r>
      <w:r>
        <w:rPr>
          <w:rFonts w:hint="eastAsia" w:eastAsiaTheme="minorEastAsia"/>
          <w:color w:val="000000" w:themeColor="text1"/>
          <w:sz w:val="24"/>
          <w:szCs w:val="24"/>
          <w14:textFill>
            <w14:solidFill>
              <w14:schemeClr w14:val="tx1"/>
            </w14:solidFill>
          </w14:textFill>
        </w:rPr>
        <w:t>年</w:t>
      </w:r>
      <w:r>
        <w:rPr>
          <w:rFonts w:eastAsiaTheme="minorEastAsia"/>
          <w:color w:val="000000" w:themeColor="text1"/>
          <w:sz w:val="24"/>
          <w:szCs w:val="24"/>
          <w14:textFill>
            <w14:solidFill>
              <w14:schemeClr w14:val="tx1"/>
            </w14:solidFill>
          </w14:textFill>
        </w:rPr>
        <w:t>。</w:t>
      </w:r>
    </w:p>
    <w:p w14:paraId="20867C9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）投标方应对其整组设备在到货后提供不少于三年的“三包”质量保证。之后如发生产品损坏，投标方应及时为本组装置提供维修部件，并按最近的投标价提供。</w:t>
      </w:r>
    </w:p>
    <w:p w14:paraId="6266DE6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3</w:t>
      </w:r>
      <w:r>
        <w:rPr>
          <w:rFonts w:hint="eastAsia" w:eastAsiaTheme="minorEastAsia"/>
          <w:color w:val="000000" w:themeColor="text1"/>
          <w:sz w:val="24"/>
          <w:szCs w:val="24"/>
          <w14:textFill>
            <w14:solidFill>
              <w14:schemeClr w14:val="tx1"/>
            </w14:solidFill>
          </w14:textFill>
        </w:rPr>
        <w:t>）订购的新型产品除应满足本标准外</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投标方还应提供该产品的鉴定证书。</w:t>
      </w:r>
    </w:p>
    <w:p w14:paraId="1F7034E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4</w:t>
      </w:r>
      <w:r>
        <w:rPr>
          <w:rFonts w:hint="eastAsia" w:eastAsiaTheme="minorEastAsia"/>
          <w:color w:val="000000" w:themeColor="text1"/>
          <w:sz w:val="24"/>
          <w:szCs w:val="24"/>
          <w14:textFill>
            <w14:solidFill>
              <w14:schemeClr w14:val="tx1"/>
            </w14:solidFill>
          </w14:textFill>
        </w:rPr>
        <w:t>）投标方应保证制造过程中的所有工艺、材料试验等</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包括投标方的外购件在内</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均应符合本标准的规定。若招标方根据运行经验指定投标方提供某种外购零部件</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投标方应积极配合。</w:t>
      </w:r>
    </w:p>
    <w:p w14:paraId="2EAA169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5</w:t>
      </w:r>
      <w:r>
        <w:rPr>
          <w:rFonts w:hint="eastAsia" w:eastAsiaTheme="minorEastAsia"/>
          <w:color w:val="000000" w:themeColor="text1"/>
          <w:sz w:val="24"/>
          <w:szCs w:val="24"/>
          <w14:textFill>
            <w14:solidFill>
              <w14:schemeClr w14:val="tx1"/>
            </w14:solidFill>
          </w14:textFill>
        </w:rPr>
        <w:t>）附属及配套设备必须满足有关行业标准的要求</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并提供试验报告和产品合格证。</w:t>
      </w:r>
    </w:p>
    <w:p w14:paraId="75BD813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w:t>
      </w:r>
      <w:r>
        <w:rPr>
          <w:rFonts w:eastAsiaTheme="minorEastAsia"/>
          <w:color w:val="000000" w:themeColor="text1"/>
          <w:sz w:val="24"/>
          <w:szCs w:val="24"/>
          <w14:textFill>
            <w14:solidFill>
              <w14:schemeClr w14:val="tx1"/>
            </w14:solidFill>
          </w14:textFill>
        </w:rPr>
        <w:t>6</w:t>
      </w:r>
      <w:r>
        <w:rPr>
          <w:rFonts w:hint="eastAsia" w:eastAsiaTheme="minorEastAsia"/>
          <w:color w:val="000000" w:themeColor="text1"/>
          <w:sz w:val="24"/>
          <w:szCs w:val="24"/>
          <w14:textFill>
            <w14:solidFill>
              <w14:schemeClr w14:val="tx1"/>
            </w14:solidFill>
          </w14:textFill>
        </w:rPr>
        <w:t>）投标方应有遵守本标准中各条款和工作项目的</w:t>
      </w:r>
      <w:r>
        <w:rPr>
          <w:rFonts w:eastAsiaTheme="minorEastAsia"/>
          <w:color w:val="000000" w:themeColor="text1"/>
          <w:sz w:val="24"/>
          <w:szCs w:val="24"/>
          <w14:textFill>
            <w14:solidFill>
              <w14:schemeClr w14:val="tx1"/>
            </w14:solidFill>
          </w14:textFill>
        </w:rPr>
        <w:t>ISO9000-GB/T19000</w:t>
      </w:r>
      <w:r>
        <w:rPr>
          <w:rFonts w:hint="eastAsia" w:eastAsiaTheme="minorEastAsia"/>
          <w:color w:val="000000" w:themeColor="text1"/>
          <w:sz w:val="24"/>
          <w:szCs w:val="24"/>
          <w14:textFill>
            <w14:solidFill>
              <w14:schemeClr w14:val="tx1"/>
            </w14:solidFill>
          </w14:textFill>
        </w:rPr>
        <w:t>质量保证体系</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该质量保证体系已经通过国家认证并在正常运转。</w:t>
      </w:r>
    </w:p>
    <w:p w14:paraId="382D2472">
      <w:pPr>
        <w:pStyle w:val="121"/>
        <w:numPr>
          <w:ilvl w:val="2"/>
          <w:numId w:val="5"/>
        </w:numPr>
        <w:snapToGrid w:val="0"/>
        <w:spacing w:line="480" w:lineRule="atLeast"/>
        <w:ind w:left="0" w:firstLine="480" w:firstLineChars="200"/>
        <w:outlineLvl w:val="2"/>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电缆</w:t>
      </w:r>
    </w:p>
    <w:p w14:paraId="36DBFC96">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4.3.6.1  </w:t>
      </w:r>
      <w:r>
        <w:rPr>
          <w:rFonts w:hint="eastAsia" w:eastAsiaTheme="minorEastAsia"/>
          <w:color w:val="000000" w:themeColor="text1"/>
          <w:sz w:val="24"/>
          <w:szCs w:val="24"/>
          <w14:textFill>
            <w14:solidFill>
              <w14:schemeClr w14:val="tx1"/>
            </w14:solidFill>
          </w14:textFill>
        </w:rPr>
        <w:t>电缆概述</w:t>
      </w:r>
    </w:p>
    <w:p w14:paraId="3075D1CC">
      <w:pPr>
        <w:pStyle w:val="22"/>
        <w:numPr>
          <w:ilvl w:val="0"/>
          <w:numId w:val="37"/>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投标方应提供在其供货范围内的缆线系统的设计，包括路径及终端装置的方案，同时还应提供缆线以及附属设备：</w:t>
      </w:r>
    </w:p>
    <w:p w14:paraId="32FE47A4">
      <w:pPr>
        <w:numPr>
          <w:ilvl w:val="2"/>
          <w:numId w:val="38"/>
        </w:numPr>
        <w:tabs>
          <w:tab w:val="left" w:pos="780"/>
        </w:tabs>
        <w:snapToGrid w:val="0"/>
        <w:spacing w:line="480" w:lineRule="atLeast"/>
        <w:ind w:left="0" w:firstLine="480" w:firstLineChars="200"/>
        <w:textAlignment w:val="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桥架</w:t>
      </w:r>
    </w:p>
    <w:p w14:paraId="600F31D2">
      <w:pPr>
        <w:numPr>
          <w:ilvl w:val="2"/>
          <w:numId w:val="38"/>
        </w:numPr>
        <w:tabs>
          <w:tab w:val="left" w:pos="780"/>
        </w:tabs>
        <w:snapToGrid w:val="0"/>
        <w:spacing w:line="480" w:lineRule="atLeast"/>
        <w:ind w:left="0" w:firstLine="480" w:firstLineChars="200"/>
        <w:textAlignment w:val="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密封</w:t>
      </w:r>
    </w:p>
    <w:p w14:paraId="41F73DEC">
      <w:pPr>
        <w:numPr>
          <w:ilvl w:val="2"/>
          <w:numId w:val="38"/>
        </w:numPr>
        <w:tabs>
          <w:tab w:val="left" w:pos="780"/>
        </w:tabs>
        <w:snapToGrid w:val="0"/>
        <w:spacing w:line="480" w:lineRule="atLeast"/>
        <w:ind w:left="0" w:firstLine="480" w:firstLineChars="200"/>
        <w:textAlignment w:val="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接头</w:t>
      </w:r>
    </w:p>
    <w:p w14:paraId="450F7182">
      <w:pPr>
        <w:numPr>
          <w:ilvl w:val="2"/>
          <w:numId w:val="38"/>
        </w:numPr>
        <w:tabs>
          <w:tab w:val="left" w:pos="780"/>
        </w:tabs>
        <w:snapToGrid w:val="0"/>
        <w:spacing w:line="480" w:lineRule="atLeast"/>
        <w:ind w:left="0" w:firstLine="480" w:firstLineChars="200"/>
        <w:textAlignment w:val="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地上管道</w:t>
      </w:r>
    </w:p>
    <w:p w14:paraId="7C825BD8">
      <w:pPr>
        <w:pStyle w:val="22"/>
        <w:numPr>
          <w:ilvl w:val="0"/>
          <w:numId w:val="37"/>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投标方提供的所有电缆均应采用最新的</w:t>
      </w:r>
      <w:r>
        <w:rPr>
          <w:rFonts w:ascii="Times New Roman" w:hAnsi="Times New Roman" w:eastAsiaTheme="minorEastAsia"/>
          <w:color w:val="000000" w:themeColor="text1"/>
          <w:kern w:val="0"/>
          <w:sz w:val="24"/>
          <w:szCs w:val="24"/>
          <w14:textFill>
            <w14:solidFill>
              <w14:schemeClr w14:val="tx1"/>
            </w14:solidFill>
          </w14:textFill>
        </w:rPr>
        <w:t>IEC</w:t>
      </w:r>
      <w:r>
        <w:rPr>
          <w:rFonts w:hint="eastAsia" w:ascii="Times New Roman" w:hAnsi="Times New Roman" w:eastAsiaTheme="minorEastAsia"/>
          <w:color w:val="000000" w:themeColor="text1"/>
          <w:kern w:val="0"/>
          <w:sz w:val="24"/>
          <w:szCs w:val="24"/>
          <w14:textFill>
            <w14:solidFill>
              <w14:schemeClr w14:val="tx1"/>
            </w14:solidFill>
          </w14:textFill>
        </w:rPr>
        <w:t>标准，特别考虑以下要求：</w:t>
      </w:r>
    </w:p>
    <w:p w14:paraId="300A6295">
      <w:pPr>
        <w:numPr>
          <w:ilvl w:val="2"/>
          <w:numId w:val="38"/>
        </w:numPr>
        <w:tabs>
          <w:tab w:val="left" w:pos="780"/>
        </w:tabs>
        <w:snapToGrid w:val="0"/>
        <w:spacing w:line="480" w:lineRule="atLeast"/>
        <w:ind w:left="0" w:firstLine="480" w:firstLineChars="200"/>
        <w:textAlignment w:val="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每根电缆的电缆头应标明电缆编号，多导线电缆的每根导线应该用颜色或编号来标明。电缆须为两终端间连续的整段而无中间接头。</w:t>
      </w:r>
    </w:p>
    <w:p w14:paraId="1974C460">
      <w:pPr>
        <w:numPr>
          <w:ilvl w:val="2"/>
          <w:numId w:val="38"/>
        </w:numPr>
        <w:tabs>
          <w:tab w:val="left" w:pos="780"/>
        </w:tabs>
        <w:snapToGrid w:val="0"/>
        <w:spacing w:line="480" w:lineRule="atLeast"/>
        <w:ind w:left="0" w:firstLine="480" w:firstLineChars="200"/>
        <w:textAlignment w:val="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电缆结构应包括充分的电磁屏蔽和可靠的接地，以保证</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信号</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对受到干扰尽可能地衰减，以防止在任何运行情况下（包括开关操作、接地、换流器运行和环境的影响）造成设备的误动、损坏、危险乃至危及人身安全等后果。</w:t>
      </w:r>
    </w:p>
    <w:p w14:paraId="2F9E4CF9">
      <w:pPr>
        <w:numPr>
          <w:ilvl w:val="2"/>
          <w:numId w:val="38"/>
        </w:numPr>
        <w:tabs>
          <w:tab w:val="left" w:pos="780"/>
        </w:tabs>
        <w:snapToGrid w:val="0"/>
        <w:spacing w:line="480" w:lineRule="atLeast"/>
        <w:ind w:left="0" w:firstLine="480" w:firstLineChars="200"/>
        <w:textAlignment w:val="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所有室外电缆采用铠装电缆。控制电缆应为屏蔽电缆，且用线槽或线管对屏蔽电缆进行保护。</w:t>
      </w:r>
    </w:p>
    <w:p w14:paraId="66FBCBD7">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4.3.6.2  </w:t>
      </w:r>
      <w:r>
        <w:rPr>
          <w:rFonts w:hint="eastAsia" w:eastAsiaTheme="minorEastAsia"/>
          <w:color w:val="000000" w:themeColor="text1"/>
          <w:sz w:val="24"/>
          <w:szCs w:val="24"/>
          <w14:textFill>
            <w14:solidFill>
              <w14:schemeClr w14:val="tx1"/>
            </w14:solidFill>
          </w14:textFill>
        </w:rPr>
        <w:t>电缆系统设计</w:t>
      </w:r>
    </w:p>
    <w:p w14:paraId="64C7D9B6">
      <w:pPr>
        <w:pStyle w:val="22"/>
        <w:numPr>
          <w:ilvl w:val="0"/>
          <w:numId w:val="39"/>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控制电缆应铺设在单独的电缆管、电缆井或电缆桥架内。</w:t>
      </w:r>
    </w:p>
    <w:p w14:paraId="61F7F674">
      <w:pPr>
        <w:pStyle w:val="22"/>
        <w:numPr>
          <w:ilvl w:val="0"/>
          <w:numId w:val="39"/>
        </w:numPr>
        <w:adjustRightInd w:val="0"/>
        <w:snapToGrid w:val="0"/>
        <w:spacing w:line="480" w:lineRule="atLeast"/>
        <w:ind w:left="0" w:firstLine="480" w:firstLineChars="20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所有直径为</w:t>
      </w:r>
      <w:r>
        <w:rPr>
          <w:rFonts w:ascii="Times New Roman" w:hAnsi="Times New Roman" w:eastAsiaTheme="minorEastAsia"/>
          <w:color w:val="000000" w:themeColor="text1"/>
          <w:kern w:val="0"/>
          <w:sz w:val="24"/>
          <w:szCs w:val="24"/>
          <w14:textFill>
            <w14:solidFill>
              <w14:schemeClr w14:val="tx1"/>
            </w14:solidFill>
          </w14:textFill>
        </w:rPr>
        <w:t>9mm</w:t>
      </w:r>
      <w:r>
        <w:rPr>
          <w:rFonts w:hint="eastAsia" w:ascii="Times New Roman" w:hAnsi="Times New Roman" w:eastAsiaTheme="minorEastAsia"/>
          <w:color w:val="000000" w:themeColor="text1"/>
          <w:kern w:val="0"/>
          <w:sz w:val="24"/>
          <w:szCs w:val="24"/>
          <w14:textFill>
            <w14:solidFill>
              <w14:schemeClr w14:val="tx1"/>
            </w14:solidFill>
          </w14:textFill>
        </w:rPr>
        <w:t>及以上的动力电缆铺设中应留有空间，以保证通风良好，并应成直线铺设，与电缆桥架边平行。所有动力电缆应留一根电缆直径的空间，并用夹具夹紧。所有控制电缆之间可以不留空隙并分三层布置。在垂直方向应采用夹具固定。水平方向每隔</w:t>
      </w:r>
      <w:r>
        <w:rPr>
          <w:rFonts w:ascii="Times New Roman" w:hAnsi="Times New Roman" w:eastAsiaTheme="minorEastAsia"/>
          <w:color w:val="000000" w:themeColor="text1"/>
          <w:kern w:val="0"/>
          <w:sz w:val="24"/>
          <w:szCs w:val="24"/>
          <w14:textFill>
            <w14:solidFill>
              <w14:schemeClr w14:val="tx1"/>
            </w14:solidFill>
          </w14:textFill>
        </w:rPr>
        <w:t>1.5m</w:t>
      </w:r>
      <w:r>
        <w:rPr>
          <w:rFonts w:hint="eastAsia" w:ascii="Times New Roman" w:hAnsi="Times New Roman" w:eastAsiaTheme="minorEastAsia"/>
          <w:color w:val="000000" w:themeColor="text1"/>
          <w:kern w:val="0"/>
          <w:sz w:val="24"/>
          <w:szCs w:val="24"/>
          <w14:textFill>
            <w14:solidFill>
              <w14:schemeClr w14:val="tx1"/>
            </w14:solidFill>
          </w14:textFill>
        </w:rPr>
        <w:t>或垂直方向小于</w:t>
      </w:r>
      <w:r>
        <w:rPr>
          <w:rFonts w:ascii="Times New Roman" w:hAnsi="Times New Roman" w:eastAsiaTheme="minorEastAsia"/>
          <w:color w:val="000000" w:themeColor="text1"/>
          <w:kern w:val="0"/>
          <w:sz w:val="24"/>
          <w:szCs w:val="24"/>
          <w14:textFill>
            <w14:solidFill>
              <w14:schemeClr w14:val="tx1"/>
            </w14:solidFill>
          </w14:textFill>
        </w:rPr>
        <w:t>1.5m</w:t>
      </w:r>
      <w:r>
        <w:rPr>
          <w:rFonts w:hint="eastAsia" w:ascii="Times New Roman" w:hAnsi="Times New Roman" w:eastAsiaTheme="minorEastAsia"/>
          <w:color w:val="000000" w:themeColor="text1"/>
          <w:kern w:val="0"/>
          <w:sz w:val="24"/>
          <w:szCs w:val="24"/>
          <w14:textFill>
            <w14:solidFill>
              <w14:schemeClr w14:val="tx1"/>
            </w14:solidFill>
          </w14:textFill>
        </w:rPr>
        <w:t>的顶部和底部用夹具夹紧。</w:t>
      </w:r>
    </w:p>
    <w:p w14:paraId="00B6AA18">
      <w:pPr>
        <w:pStyle w:val="22"/>
        <w:numPr>
          <w:ilvl w:val="0"/>
          <w:numId w:val="39"/>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双电源电力电缆应敷设在桥架的两侧。</w:t>
      </w:r>
    </w:p>
    <w:p w14:paraId="7AA8080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4.3.6.3  </w:t>
      </w:r>
      <w:r>
        <w:rPr>
          <w:rFonts w:hint="eastAsia" w:eastAsiaTheme="minorEastAsia"/>
          <w:color w:val="000000" w:themeColor="text1"/>
          <w:sz w:val="24"/>
          <w:szCs w:val="24"/>
          <w14:textFill>
            <w14:solidFill>
              <w14:schemeClr w14:val="tx1"/>
            </w14:solidFill>
          </w14:textFill>
        </w:rPr>
        <w:t>插头式电缆</w:t>
      </w:r>
    </w:p>
    <w:p w14:paraId="1B49B072">
      <w:pPr>
        <w:pStyle w:val="22"/>
        <w:numPr>
          <w:ilvl w:val="0"/>
          <w:numId w:val="40"/>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对智能控制系统设备而言，电缆系统都应做成插头式电缆，并事先在电缆的两端用合适的联接器做好电缆头，以便于安装和调试。</w:t>
      </w:r>
    </w:p>
    <w:p w14:paraId="7502BCA2">
      <w:pPr>
        <w:pStyle w:val="22"/>
        <w:numPr>
          <w:ilvl w:val="0"/>
          <w:numId w:val="40"/>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所有的插头式电缆和联接器都应进行连续性试验和绝缘出厂试验，以保证每段电缆都没有短路、开路和接地。</w:t>
      </w:r>
    </w:p>
    <w:p w14:paraId="050B8E0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4.3.6.4  </w:t>
      </w:r>
      <w:r>
        <w:rPr>
          <w:rFonts w:hint="eastAsia" w:eastAsiaTheme="minorEastAsia"/>
          <w:color w:val="000000" w:themeColor="text1"/>
          <w:sz w:val="24"/>
          <w:szCs w:val="24"/>
          <w14:textFill>
            <w14:solidFill>
              <w14:schemeClr w14:val="tx1"/>
            </w14:solidFill>
          </w14:textFill>
        </w:rPr>
        <w:t>所有电缆均为铜芯电缆，电缆敷设应达到的要求</w:t>
      </w:r>
    </w:p>
    <w:p w14:paraId="2754BA6D">
      <w:pPr>
        <w:pStyle w:val="22"/>
        <w:numPr>
          <w:ilvl w:val="0"/>
          <w:numId w:val="41"/>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信号和控制电缆应辐射形敷设，使用带屏蔽双绞线。</w:t>
      </w:r>
    </w:p>
    <w:p w14:paraId="7880A230">
      <w:pPr>
        <w:pStyle w:val="22"/>
        <w:numPr>
          <w:ilvl w:val="0"/>
          <w:numId w:val="41"/>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配电电缆的敷设应从配电盘或动力控制中心向外辐射形敷设。</w:t>
      </w:r>
    </w:p>
    <w:p w14:paraId="79DB0D49">
      <w:pPr>
        <w:pStyle w:val="22"/>
        <w:numPr>
          <w:ilvl w:val="0"/>
          <w:numId w:val="41"/>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设备与控制器之间的互联控制电缆的敷设应使用最小截面为</w:t>
      </w:r>
      <w:r>
        <w:rPr>
          <w:rFonts w:ascii="Times New Roman" w:hAnsi="Times New Roman" w:eastAsiaTheme="minorEastAsia"/>
          <w:color w:val="000000" w:themeColor="text1"/>
          <w:kern w:val="0"/>
          <w:sz w:val="24"/>
          <w:szCs w:val="24"/>
          <w14:textFill>
            <w14:solidFill>
              <w14:schemeClr w14:val="tx1"/>
            </w14:solidFill>
          </w14:textFill>
        </w:rPr>
        <w:t>1.5mm</w:t>
      </w:r>
      <w:r>
        <w:rPr>
          <w:rFonts w:ascii="Times New Roman" w:hAnsi="Times New Roman" w:eastAsiaTheme="minorEastAsia"/>
          <w:color w:val="000000" w:themeColor="text1"/>
          <w:kern w:val="0"/>
          <w:sz w:val="24"/>
          <w:szCs w:val="24"/>
          <w:vertAlign w:val="superscript"/>
          <w14:textFill>
            <w14:solidFill>
              <w14:schemeClr w14:val="tx1"/>
            </w14:solidFill>
          </w14:textFill>
        </w:rPr>
        <w:t>2</w:t>
      </w:r>
      <w:r>
        <w:rPr>
          <w:rFonts w:hint="eastAsia" w:ascii="Times New Roman" w:hAnsi="Times New Roman" w:eastAsiaTheme="minorEastAsia"/>
          <w:color w:val="000000" w:themeColor="text1"/>
          <w:kern w:val="0"/>
          <w:sz w:val="24"/>
          <w:szCs w:val="24"/>
          <w14:textFill>
            <w14:solidFill>
              <w14:schemeClr w14:val="tx1"/>
            </w14:solidFill>
          </w14:textFill>
        </w:rPr>
        <w:t>的多芯铜导线，控制器之间的插头式电缆的截面不应小于</w:t>
      </w:r>
      <w:r>
        <w:rPr>
          <w:rFonts w:ascii="Times New Roman" w:hAnsi="Times New Roman" w:eastAsiaTheme="minorEastAsia"/>
          <w:color w:val="000000" w:themeColor="text1"/>
          <w:kern w:val="0"/>
          <w:sz w:val="24"/>
          <w:szCs w:val="24"/>
          <w14:textFill>
            <w14:solidFill>
              <w14:schemeClr w14:val="tx1"/>
            </w14:solidFill>
          </w14:textFill>
        </w:rPr>
        <w:t>0.324mm</w:t>
      </w:r>
      <w:r>
        <w:rPr>
          <w:rFonts w:ascii="Times New Roman" w:hAnsi="Times New Roman" w:eastAsiaTheme="minorEastAsia"/>
          <w:color w:val="000000" w:themeColor="text1"/>
          <w:kern w:val="0"/>
          <w:sz w:val="24"/>
          <w:szCs w:val="24"/>
          <w:vertAlign w:val="superscript"/>
          <w14:textFill>
            <w14:solidFill>
              <w14:schemeClr w14:val="tx1"/>
            </w14:solidFill>
          </w14:textFill>
        </w:rPr>
        <w:t>2</w:t>
      </w:r>
      <w:r>
        <w:rPr>
          <w:rFonts w:ascii="Times New Roman" w:hAnsi="Times New Roman" w:eastAsiaTheme="minorEastAsia"/>
          <w:color w:val="000000" w:themeColor="text1"/>
          <w:kern w:val="0"/>
          <w:sz w:val="24"/>
          <w:szCs w:val="24"/>
          <w14:textFill>
            <w14:solidFill>
              <w14:schemeClr w14:val="tx1"/>
            </w14:solidFill>
          </w14:textFill>
        </w:rPr>
        <w:t>.</w:t>
      </w:r>
    </w:p>
    <w:p w14:paraId="6399A17A">
      <w:pPr>
        <w:pStyle w:val="22"/>
        <w:numPr>
          <w:ilvl w:val="0"/>
          <w:numId w:val="41"/>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电流回路电缆的截面不应小于</w:t>
      </w:r>
      <w:r>
        <w:rPr>
          <w:rFonts w:ascii="Times New Roman" w:hAnsi="Times New Roman" w:eastAsiaTheme="minorEastAsia"/>
          <w:color w:val="000000" w:themeColor="text1"/>
          <w:kern w:val="0"/>
          <w:sz w:val="24"/>
          <w:szCs w:val="24"/>
          <w14:textFill>
            <w14:solidFill>
              <w14:schemeClr w14:val="tx1"/>
            </w14:solidFill>
          </w14:textFill>
        </w:rPr>
        <w:t>2.5mm</w:t>
      </w:r>
      <w:r>
        <w:rPr>
          <w:rFonts w:ascii="Times New Roman" w:hAnsi="Times New Roman" w:eastAsiaTheme="minorEastAsia"/>
          <w:color w:val="000000" w:themeColor="text1"/>
          <w:kern w:val="0"/>
          <w:sz w:val="24"/>
          <w:szCs w:val="24"/>
          <w:vertAlign w:val="superscript"/>
          <w14:textFill>
            <w14:solidFill>
              <w14:schemeClr w14:val="tx1"/>
            </w14:solidFill>
          </w14:textFill>
        </w:rPr>
        <w:t>2</w:t>
      </w:r>
      <w:r>
        <w:rPr>
          <w:rFonts w:ascii="Times New Roman" w:hAnsi="Times New Roman" w:eastAsiaTheme="minorEastAsia"/>
          <w:color w:val="000000" w:themeColor="text1"/>
          <w:kern w:val="0"/>
          <w:sz w:val="24"/>
          <w:szCs w:val="24"/>
          <w14:textFill>
            <w14:solidFill>
              <w14:schemeClr w14:val="tx1"/>
            </w14:solidFill>
          </w14:textFill>
        </w:rPr>
        <w:t>.</w:t>
      </w:r>
    </w:p>
    <w:p w14:paraId="17D4BE2F">
      <w:pPr>
        <w:pStyle w:val="22"/>
        <w:numPr>
          <w:ilvl w:val="0"/>
          <w:numId w:val="41"/>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电压回路电缆的截面不应小于</w:t>
      </w:r>
      <w:r>
        <w:rPr>
          <w:rFonts w:ascii="Times New Roman" w:hAnsi="Times New Roman" w:eastAsiaTheme="minorEastAsia"/>
          <w:color w:val="000000" w:themeColor="text1"/>
          <w:kern w:val="0"/>
          <w:sz w:val="24"/>
          <w:szCs w:val="24"/>
          <w14:textFill>
            <w14:solidFill>
              <w14:schemeClr w14:val="tx1"/>
            </w14:solidFill>
          </w14:textFill>
        </w:rPr>
        <w:t>2.5mm</w:t>
      </w:r>
      <w:r>
        <w:rPr>
          <w:rFonts w:ascii="Times New Roman" w:hAnsi="Times New Roman" w:eastAsiaTheme="minorEastAsia"/>
          <w:color w:val="000000" w:themeColor="text1"/>
          <w:kern w:val="0"/>
          <w:sz w:val="24"/>
          <w:szCs w:val="24"/>
          <w:vertAlign w:val="superscript"/>
          <w14:textFill>
            <w14:solidFill>
              <w14:schemeClr w14:val="tx1"/>
            </w14:solidFill>
          </w14:textFill>
        </w:rPr>
        <w:t>2</w:t>
      </w:r>
      <w:r>
        <w:rPr>
          <w:rFonts w:ascii="Times New Roman" w:hAnsi="Times New Roman" w:eastAsiaTheme="minorEastAsia"/>
          <w:color w:val="000000" w:themeColor="text1"/>
          <w:kern w:val="0"/>
          <w:sz w:val="24"/>
          <w:szCs w:val="24"/>
          <w14:textFill>
            <w14:solidFill>
              <w14:schemeClr w14:val="tx1"/>
            </w14:solidFill>
          </w14:textFill>
        </w:rPr>
        <w:t>.</w:t>
      </w:r>
    </w:p>
    <w:p w14:paraId="5790C406">
      <w:pPr>
        <w:pStyle w:val="22"/>
        <w:numPr>
          <w:ilvl w:val="0"/>
          <w:numId w:val="41"/>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当电力电缆穿管敷设时，可以适当降低额定系数。电力电缆的最小截面应是</w:t>
      </w:r>
      <w:r>
        <w:rPr>
          <w:rFonts w:ascii="Times New Roman" w:hAnsi="Times New Roman" w:eastAsiaTheme="minorEastAsia"/>
          <w:color w:val="000000" w:themeColor="text1"/>
          <w:kern w:val="0"/>
          <w:sz w:val="24"/>
          <w:szCs w:val="24"/>
          <w14:textFill>
            <w14:solidFill>
              <w14:schemeClr w14:val="tx1"/>
            </w14:solidFill>
          </w14:textFill>
        </w:rPr>
        <w:t>2.5mm</w:t>
      </w:r>
      <w:r>
        <w:rPr>
          <w:rFonts w:ascii="Times New Roman" w:hAnsi="Times New Roman" w:eastAsiaTheme="minorEastAsia"/>
          <w:color w:val="000000" w:themeColor="text1"/>
          <w:kern w:val="0"/>
          <w:sz w:val="24"/>
          <w:szCs w:val="24"/>
          <w:vertAlign w:val="superscript"/>
          <w14:textFill>
            <w14:solidFill>
              <w14:schemeClr w14:val="tx1"/>
            </w14:solidFill>
          </w14:textFill>
        </w:rPr>
        <w:t>2</w:t>
      </w:r>
      <w:r>
        <w:rPr>
          <w:rFonts w:ascii="Times New Roman" w:hAnsi="Times New Roman" w:eastAsiaTheme="minorEastAsia"/>
          <w:color w:val="000000" w:themeColor="text1"/>
          <w:kern w:val="0"/>
          <w:sz w:val="24"/>
          <w:szCs w:val="24"/>
          <w14:textFill>
            <w14:solidFill>
              <w14:schemeClr w14:val="tx1"/>
            </w14:solidFill>
          </w14:textFill>
        </w:rPr>
        <w:t>.</w:t>
      </w:r>
    </w:p>
    <w:p w14:paraId="67BD07CC">
      <w:pPr>
        <w:pStyle w:val="22"/>
        <w:numPr>
          <w:ilvl w:val="0"/>
          <w:numId w:val="41"/>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在每条控制电缆中，至少应有</w:t>
      </w:r>
      <w:r>
        <w:rPr>
          <w:rFonts w:ascii="Times New Roman" w:hAnsi="Times New Roman" w:eastAsiaTheme="minorEastAsia"/>
          <w:color w:val="000000" w:themeColor="text1"/>
          <w:kern w:val="0"/>
          <w:sz w:val="24"/>
          <w:szCs w:val="24"/>
          <w14:textFill>
            <w14:solidFill>
              <w14:schemeClr w14:val="tx1"/>
            </w14:solidFill>
          </w14:textFill>
        </w:rPr>
        <w:t>10%</w:t>
      </w:r>
      <w:r>
        <w:rPr>
          <w:rFonts w:hint="eastAsia" w:ascii="Times New Roman" w:hAnsi="Times New Roman" w:eastAsiaTheme="minorEastAsia"/>
          <w:color w:val="000000" w:themeColor="text1"/>
          <w:kern w:val="0"/>
          <w:sz w:val="24"/>
          <w:szCs w:val="24"/>
          <w14:textFill>
            <w14:solidFill>
              <w14:schemeClr w14:val="tx1"/>
            </w14:solidFill>
          </w14:textFill>
        </w:rPr>
        <w:t>的备用芯线，以供将来使用。</w:t>
      </w:r>
    </w:p>
    <w:p w14:paraId="59E11358">
      <w:pPr>
        <w:pStyle w:val="22"/>
        <w:numPr>
          <w:ilvl w:val="0"/>
          <w:numId w:val="41"/>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下述功能回路应使用单独的电缆，不允许混用：</w:t>
      </w:r>
    </w:p>
    <w:p w14:paraId="2AB008F0">
      <w:pPr>
        <w:numPr>
          <w:ilvl w:val="2"/>
          <w:numId w:val="38"/>
        </w:numPr>
        <w:tabs>
          <w:tab w:val="left" w:pos="780"/>
        </w:tabs>
        <w:snapToGrid w:val="0"/>
        <w:spacing w:line="480" w:lineRule="atLeast"/>
        <w:ind w:left="0" w:firstLine="480" w:firstLineChars="200"/>
        <w:textAlignment w:val="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交流配电</w:t>
      </w:r>
    </w:p>
    <w:p w14:paraId="3E539D3B">
      <w:pPr>
        <w:numPr>
          <w:ilvl w:val="2"/>
          <w:numId w:val="38"/>
        </w:numPr>
        <w:tabs>
          <w:tab w:val="left" w:pos="780"/>
        </w:tabs>
        <w:snapToGrid w:val="0"/>
        <w:spacing w:line="480" w:lineRule="atLeast"/>
        <w:ind w:left="0" w:firstLine="480" w:firstLineChars="200"/>
        <w:textAlignment w:val="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电流互感器回路</w:t>
      </w:r>
      <w:r>
        <w:rPr>
          <w:rFonts w:eastAsiaTheme="minorEastAsia"/>
          <w:color w:val="000000" w:themeColor="text1"/>
          <w:sz w:val="24"/>
          <w:szCs w:val="24"/>
          <w14:textFill>
            <w14:solidFill>
              <w14:schemeClr w14:val="tx1"/>
            </w14:solidFill>
          </w14:textFill>
        </w:rPr>
        <w:t xml:space="preserve"> </w:t>
      </w:r>
    </w:p>
    <w:p w14:paraId="28C3A332">
      <w:pPr>
        <w:numPr>
          <w:ilvl w:val="2"/>
          <w:numId w:val="38"/>
        </w:numPr>
        <w:tabs>
          <w:tab w:val="left" w:pos="780"/>
        </w:tabs>
        <w:snapToGrid w:val="0"/>
        <w:spacing w:line="480" w:lineRule="atLeast"/>
        <w:ind w:left="0" w:firstLine="480" w:firstLineChars="200"/>
        <w:textAlignment w:val="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电压互感器回路</w:t>
      </w:r>
    </w:p>
    <w:p w14:paraId="745888EE">
      <w:pPr>
        <w:numPr>
          <w:ilvl w:val="2"/>
          <w:numId w:val="38"/>
        </w:numPr>
        <w:tabs>
          <w:tab w:val="left" w:pos="780"/>
        </w:tabs>
        <w:snapToGrid w:val="0"/>
        <w:spacing w:line="480" w:lineRule="atLeast"/>
        <w:ind w:left="0" w:firstLine="480" w:firstLineChars="200"/>
        <w:textAlignment w:val="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交流控制回路</w:t>
      </w:r>
    </w:p>
    <w:p w14:paraId="038A1584">
      <w:pPr>
        <w:numPr>
          <w:ilvl w:val="2"/>
          <w:numId w:val="38"/>
        </w:numPr>
        <w:tabs>
          <w:tab w:val="left" w:pos="780"/>
        </w:tabs>
        <w:snapToGrid w:val="0"/>
        <w:spacing w:line="480" w:lineRule="atLeast"/>
        <w:ind w:left="0" w:firstLine="480" w:firstLineChars="200"/>
        <w:textAlignment w:val="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弱电信号控制回路</w:t>
      </w:r>
    </w:p>
    <w:p w14:paraId="63681097">
      <w:pPr>
        <w:pStyle w:val="22"/>
        <w:numPr>
          <w:ilvl w:val="0"/>
          <w:numId w:val="41"/>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电缆安装须符合</w:t>
      </w:r>
      <w:r>
        <w:rPr>
          <w:rFonts w:ascii="Times New Roman" w:hAnsi="Times New Roman" w:eastAsiaTheme="minorEastAsia"/>
          <w:color w:val="000000" w:themeColor="text1"/>
          <w:kern w:val="0"/>
          <w:sz w:val="24"/>
          <w:szCs w:val="24"/>
          <w14:textFill>
            <w14:solidFill>
              <w14:schemeClr w14:val="tx1"/>
            </w14:solidFill>
          </w14:textFill>
        </w:rPr>
        <w:t>GB50217</w:t>
      </w:r>
      <w:r>
        <w:rPr>
          <w:rFonts w:hint="eastAsia" w:ascii="Times New Roman" w:hAnsi="Times New Roman" w:eastAsiaTheme="minorEastAsia"/>
          <w:color w:val="000000" w:themeColor="text1"/>
          <w:kern w:val="0"/>
          <w:sz w:val="24"/>
          <w:szCs w:val="24"/>
          <w14:textFill>
            <w14:solidFill>
              <w14:schemeClr w14:val="tx1"/>
            </w14:solidFill>
          </w14:textFill>
        </w:rPr>
        <w:t>及</w:t>
      </w:r>
      <w:r>
        <w:rPr>
          <w:rFonts w:ascii="Times New Roman" w:hAnsi="Times New Roman" w:eastAsiaTheme="minorEastAsia"/>
          <w:color w:val="000000" w:themeColor="text1"/>
          <w:kern w:val="0"/>
          <w:sz w:val="24"/>
          <w:szCs w:val="24"/>
          <w14:textFill>
            <w14:solidFill>
              <w14:schemeClr w14:val="tx1"/>
            </w14:solidFill>
          </w14:textFill>
        </w:rPr>
        <w:t>IEEE</w:t>
      </w:r>
      <w:r>
        <w:rPr>
          <w:rFonts w:hint="eastAsia" w:ascii="Times New Roman" w:hAnsi="Times New Roman" w:eastAsiaTheme="minorEastAsia"/>
          <w:color w:val="000000" w:themeColor="text1"/>
          <w:kern w:val="0"/>
          <w:sz w:val="24"/>
          <w:szCs w:val="24"/>
          <w14:textFill>
            <w14:solidFill>
              <w14:schemeClr w14:val="tx1"/>
            </w14:solidFill>
          </w14:textFill>
        </w:rPr>
        <w:t>电气装量规则之有关规范。</w:t>
      </w:r>
    </w:p>
    <w:p w14:paraId="2A514E1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4.3.6.5  </w:t>
      </w:r>
      <w:r>
        <w:rPr>
          <w:rFonts w:hint="eastAsia" w:eastAsiaTheme="minorEastAsia"/>
          <w:color w:val="000000" w:themeColor="text1"/>
          <w:sz w:val="24"/>
          <w:szCs w:val="24"/>
          <w14:textFill>
            <w14:solidFill>
              <w14:schemeClr w14:val="tx1"/>
            </w14:solidFill>
          </w14:textFill>
        </w:rPr>
        <w:t>电缆系统防火</w:t>
      </w:r>
    </w:p>
    <w:p w14:paraId="0C2CBA85">
      <w:pPr>
        <w:pStyle w:val="22"/>
        <w:numPr>
          <w:ilvl w:val="0"/>
          <w:numId w:val="42"/>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普通设备的馈电电线电缆应选用无卤低烟</w:t>
      </w:r>
      <w:r>
        <w:rPr>
          <w:rFonts w:ascii="Times New Roman" w:hAnsi="Times New Roman" w:eastAsiaTheme="minorEastAsia"/>
          <w:color w:val="000000" w:themeColor="text1"/>
          <w:kern w:val="0"/>
          <w:sz w:val="24"/>
          <w:szCs w:val="24"/>
          <w14:textFill>
            <w14:solidFill>
              <w14:schemeClr w14:val="tx1"/>
            </w14:solidFill>
          </w14:textFill>
        </w:rPr>
        <w:t>A</w:t>
      </w:r>
      <w:r>
        <w:rPr>
          <w:rFonts w:hint="eastAsia" w:ascii="Times New Roman" w:hAnsi="Times New Roman" w:eastAsiaTheme="minorEastAsia"/>
          <w:color w:val="000000" w:themeColor="text1"/>
          <w:kern w:val="0"/>
          <w:sz w:val="24"/>
          <w:szCs w:val="24"/>
          <w14:textFill>
            <w14:solidFill>
              <w14:schemeClr w14:val="tx1"/>
            </w14:solidFill>
          </w14:textFill>
        </w:rPr>
        <w:t>级阻燃电线电缆。</w:t>
      </w:r>
    </w:p>
    <w:p w14:paraId="2AFC39B7">
      <w:pPr>
        <w:pStyle w:val="22"/>
        <w:numPr>
          <w:ilvl w:val="0"/>
          <w:numId w:val="42"/>
        </w:numPr>
        <w:adjustRightInd w:val="0"/>
        <w:snapToGrid w:val="0"/>
        <w:spacing w:line="480" w:lineRule="atLeast"/>
        <w:ind w:left="0" w:firstLine="480" w:firstLineChars="200"/>
        <w:rPr>
          <w:rFonts w:ascii="Times New Roman" w:hAnsi="Times New Roman" w:eastAsiaTheme="minorEastAsia"/>
          <w:color w:val="000000" w:themeColor="text1"/>
          <w:kern w:val="0"/>
          <w:sz w:val="24"/>
          <w:szCs w:val="24"/>
          <w14:textFill>
            <w14:solidFill>
              <w14:schemeClr w14:val="tx1"/>
            </w14:solidFill>
          </w14:textFill>
        </w:rPr>
      </w:pPr>
      <w:r>
        <w:rPr>
          <w:rFonts w:hint="eastAsia" w:ascii="Times New Roman" w:hAnsi="Times New Roman" w:eastAsiaTheme="minorEastAsia"/>
          <w:color w:val="000000" w:themeColor="text1"/>
          <w:kern w:val="0"/>
          <w:sz w:val="24"/>
          <w:szCs w:val="24"/>
          <w14:textFill>
            <w14:solidFill>
              <w14:schemeClr w14:val="tx1"/>
            </w14:solidFill>
          </w14:textFill>
        </w:rPr>
        <w:t>消防设备的馈电电线电缆应选用无卤低烟阻燃耐火电线电缆。</w:t>
      </w:r>
    </w:p>
    <w:p w14:paraId="293EDA34">
      <w:pPr>
        <w:pStyle w:val="121"/>
        <w:numPr>
          <w:ilvl w:val="2"/>
          <w:numId w:val="5"/>
        </w:numPr>
        <w:snapToGrid w:val="0"/>
        <w:spacing w:line="480" w:lineRule="atLeast"/>
        <w:ind w:left="0" w:firstLine="480" w:firstLineChars="200"/>
        <w:outlineLvl w:val="2"/>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桥架</w:t>
      </w:r>
    </w:p>
    <w:p w14:paraId="6B45C39F">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4.3.7.1  </w:t>
      </w:r>
      <w:r>
        <w:rPr>
          <w:rFonts w:hint="eastAsia" w:eastAsiaTheme="minorEastAsia"/>
          <w:color w:val="000000" w:themeColor="text1"/>
          <w:sz w:val="24"/>
          <w:szCs w:val="24"/>
          <w14:textFill>
            <w14:solidFill>
              <w14:schemeClr w14:val="tx1"/>
            </w14:solidFill>
          </w14:textFill>
        </w:rPr>
        <w:t>电缆梯架须由热浸镀锌低碳钢制作。电缆梯架的两条边框至少必须为</w:t>
      </w:r>
      <w:r>
        <w:rPr>
          <w:rFonts w:eastAsiaTheme="minorEastAsia"/>
          <w:color w:val="000000" w:themeColor="text1"/>
          <w:sz w:val="24"/>
          <w:szCs w:val="24"/>
          <w14:textFill>
            <w14:solidFill>
              <w14:schemeClr w14:val="tx1"/>
            </w14:solidFill>
          </w14:textFill>
        </w:rPr>
        <w:t>40mm</w:t>
      </w:r>
      <w:r>
        <w:rPr>
          <w:rFonts w:hint="eastAsia" w:eastAsiaTheme="minorEastAsia"/>
          <w:color w:val="000000" w:themeColor="text1"/>
          <w:sz w:val="24"/>
          <w:szCs w:val="24"/>
          <w14:textFill>
            <w14:solidFill>
              <w14:schemeClr w14:val="tx1"/>
            </w14:solidFill>
          </w14:textFill>
        </w:rPr>
        <w:t>高其顶缘须卷边以增加强度。梯级的中心间隔约为</w:t>
      </w:r>
      <w:r>
        <w:rPr>
          <w:rFonts w:eastAsiaTheme="minorEastAsia"/>
          <w:color w:val="000000" w:themeColor="text1"/>
          <w:sz w:val="24"/>
          <w:szCs w:val="24"/>
          <w14:textFill>
            <w14:solidFill>
              <w14:schemeClr w14:val="tx1"/>
            </w14:solidFill>
          </w14:textFill>
        </w:rPr>
        <w:t>300mm</w:t>
      </w:r>
      <w:r>
        <w:rPr>
          <w:rFonts w:hint="eastAsia" w:eastAsiaTheme="minorEastAsia"/>
          <w:color w:val="000000" w:themeColor="text1"/>
          <w:sz w:val="24"/>
          <w:szCs w:val="24"/>
          <w14:textFill>
            <w14:solidFill>
              <w14:schemeClr w14:val="tx1"/>
            </w14:solidFill>
          </w14:textFill>
        </w:rPr>
        <w:t>，并具有一定的宽度以用不同的方法固定电缆包括尼龙带扣，鞍型夹，冲孔带，电缆夹等固定夹。</w:t>
      </w:r>
    </w:p>
    <w:p w14:paraId="6E6E9695">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4.3.7.2  </w:t>
      </w:r>
      <w:r>
        <w:rPr>
          <w:rFonts w:hint="eastAsia" w:eastAsiaTheme="minorEastAsia"/>
          <w:color w:val="000000" w:themeColor="text1"/>
          <w:sz w:val="24"/>
          <w:szCs w:val="24"/>
          <w14:textFill>
            <w14:solidFill>
              <w14:schemeClr w14:val="tx1"/>
            </w14:solidFill>
          </w14:textFill>
        </w:rPr>
        <w:t>在水平弯曲，垂直方向弯曲、分支和电缆梯架缩小宽度时，须使用制造厂的标准直角弯节，分支接头，偏心缩节，直线缩节。为适应电缆梯架之胀缩必须使用制造厂的标准伸缩接合板。所有夹紧螺栓，螺帽，垫片等均须热浸镀锌。</w:t>
      </w:r>
    </w:p>
    <w:p w14:paraId="2393BAA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4.3.7.3  </w:t>
      </w:r>
      <w:r>
        <w:rPr>
          <w:rFonts w:hint="eastAsia" w:eastAsiaTheme="minorEastAsia"/>
          <w:color w:val="000000" w:themeColor="text1"/>
          <w:sz w:val="24"/>
          <w:szCs w:val="24"/>
          <w14:textFill>
            <w14:solidFill>
              <w14:schemeClr w14:val="tx1"/>
            </w14:solidFill>
          </w14:textFill>
        </w:rPr>
        <w:t>电缆托盘须由低碳钢制作并于冲孔后热浸镀锌。须使用标准弯节和分支节。</w:t>
      </w:r>
    </w:p>
    <w:p w14:paraId="756C817D">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4.3.7.4  </w:t>
      </w:r>
      <w:r>
        <w:rPr>
          <w:rFonts w:hint="eastAsia" w:eastAsiaTheme="minorEastAsia"/>
          <w:color w:val="000000" w:themeColor="text1"/>
          <w:sz w:val="24"/>
          <w:szCs w:val="24"/>
          <w14:textFill>
            <w14:solidFill>
              <w14:schemeClr w14:val="tx1"/>
            </w14:solidFill>
          </w14:textFill>
        </w:rPr>
        <w:t>冲孔须为椭圆形排列成晶格形，其每段冲孔面积应不少于</w:t>
      </w:r>
      <w:r>
        <w:rPr>
          <w:rFonts w:eastAsiaTheme="minorEastAsia"/>
          <w:color w:val="000000" w:themeColor="text1"/>
          <w:sz w:val="24"/>
          <w:szCs w:val="24"/>
          <w14:textFill>
            <w14:solidFill>
              <w14:schemeClr w14:val="tx1"/>
            </w14:solidFill>
          </w14:textFill>
        </w:rPr>
        <w:t>7%</w:t>
      </w:r>
      <w:r>
        <w:rPr>
          <w:rFonts w:hint="eastAsia" w:eastAsiaTheme="minorEastAsia"/>
          <w:color w:val="000000" w:themeColor="text1"/>
          <w:sz w:val="24"/>
          <w:szCs w:val="24"/>
          <w14:textFill>
            <w14:solidFill>
              <w14:schemeClr w14:val="tx1"/>
            </w14:solidFill>
          </w14:textFill>
        </w:rPr>
        <w:t>，冲孔之间中心距离不大于</w:t>
      </w:r>
      <w:r>
        <w:rPr>
          <w:rFonts w:eastAsiaTheme="minorEastAsia"/>
          <w:color w:val="000000" w:themeColor="text1"/>
          <w:sz w:val="24"/>
          <w:szCs w:val="24"/>
          <w14:textFill>
            <w14:solidFill>
              <w14:schemeClr w14:val="tx1"/>
            </w14:solidFill>
          </w14:textFill>
        </w:rPr>
        <w:t>100mm.</w:t>
      </w:r>
    </w:p>
    <w:p w14:paraId="5EB09D0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4.3.7.5  </w:t>
      </w:r>
      <w:r>
        <w:rPr>
          <w:rFonts w:hint="eastAsia" w:eastAsiaTheme="minorEastAsia"/>
          <w:color w:val="000000" w:themeColor="text1"/>
          <w:sz w:val="24"/>
          <w:szCs w:val="24"/>
          <w14:textFill>
            <w14:solidFill>
              <w14:schemeClr w14:val="tx1"/>
            </w14:solidFill>
          </w14:textFill>
        </w:rPr>
        <w:t>电缆托盘</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梯架之弯节须使夹于电缆拖盘</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梯架上最大截面电缆之弯曲半径不超过</w:t>
      </w:r>
      <w:r>
        <w:rPr>
          <w:rFonts w:eastAsiaTheme="minorEastAsia"/>
          <w:color w:val="000000" w:themeColor="text1"/>
          <w:sz w:val="24"/>
          <w:szCs w:val="24"/>
          <w14:textFill>
            <w14:solidFill>
              <w14:schemeClr w14:val="tx1"/>
            </w14:solidFill>
          </w14:textFill>
        </w:rPr>
        <w:t>GB 51348</w:t>
      </w:r>
      <w:r>
        <w:rPr>
          <w:rFonts w:hint="eastAsia" w:eastAsiaTheme="minorEastAsia"/>
          <w:color w:val="000000" w:themeColor="text1"/>
          <w:sz w:val="24"/>
          <w:szCs w:val="24"/>
          <w14:textFill>
            <w14:solidFill>
              <w14:schemeClr w14:val="tx1"/>
            </w14:solidFill>
          </w14:textFill>
        </w:rPr>
        <w:t>及</w:t>
      </w:r>
      <w:r>
        <w:rPr>
          <w:rFonts w:eastAsiaTheme="minorEastAsia"/>
          <w:color w:val="000000" w:themeColor="text1"/>
          <w:sz w:val="24"/>
          <w:szCs w:val="24"/>
          <w14:textFill>
            <w14:solidFill>
              <w14:schemeClr w14:val="tx1"/>
            </w14:solidFill>
          </w14:textFill>
        </w:rPr>
        <w:t>IEEE</w:t>
      </w:r>
      <w:r>
        <w:rPr>
          <w:rFonts w:hint="eastAsia" w:eastAsiaTheme="minorEastAsia"/>
          <w:color w:val="000000" w:themeColor="text1"/>
          <w:sz w:val="24"/>
          <w:szCs w:val="24"/>
          <w14:textFill>
            <w14:solidFill>
              <w14:schemeClr w14:val="tx1"/>
            </w14:solidFill>
          </w14:textFill>
        </w:rPr>
        <w:t>布线规程中所规定的弯曲半径限度。</w:t>
      </w:r>
    </w:p>
    <w:p w14:paraId="3885293A">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4.3.7.6  </w:t>
      </w:r>
      <w:r>
        <w:rPr>
          <w:rFonts w:hint="eastAsia" w:eastAsiaTheme="minorEastAsia"/>
          <w:color w:val="000000" w:themeColor="text1"/>
          <w:sz w:val="24"/>
          <w:szCs w:val="24"/>
          <w14:textFill>
            <w14:solidFill>
              <w14:schemeClr w14:val="tx1"/>
            </w14:solidFill>
          </w14:textFill>
        </w:rPr>
        <w:t>电缆梯架</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托盘吊架</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支架的安装</w:t>
      </w:r>
    </w:p>
    <w:p w14:paraId="678B706F">
      <w:pPr>
        <w:pStyle w:val="178"/>
        <w:numPr>
          <w:ilvl w:val="0"/>
          <w:numId w:val="43"/>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电缆托盘</w:t>
      </w:r>
      <w:r>
        <w:rPr>
          <w:rFonts w:eastAsiaTheme="minorEastAsia"/>
          <w:color w:val="000000" w:themeColor="text1"/>
          <w:szCs w:val="24"/>
          <w14:textFill>
            <w14:solidFill>
              <w14:schemeClr w14:val="tx1"/>
            </w14:solidFill>
          </w14:textFill>
        </w:rPr>
        <w:t>/</w:t>
      </w:r>
      <w:r>
        <w:rPr>
          <w:rFonts w:hint="eastAsia" w:eastAsiaTheme="minorEastAsia"/>
          <w:color w:val="000000" w:themeColor="text1"/>
          <w:szCs w:val="24"/>
          <w14:textFill>
            <w14:solidFill>
              <w14:schemeClr w14:val="tx1"/>
            </w14:solidFill>
          </w14:textFill>
        </w:rPr>
        <w:t>梯架以软钢支架和吊杆支持或悬挂于结构板，梁、墙上，其间距在直线段上不须超过</w:t>
      </w:r>
      <w:r>
        <w:rPr>
          <w:rFonts w:eastAsiaTheme="minorEastAsia"/>
          <w:color w:val="000000" w:themeColor="text1"/>
          <w:szCs w:val="24"/>
          <w14:textFill>
            <w14:solidFill>
              <w14:schemeClr w14:val="tx1"/>
            </w14:solidFill>
          </w14:textFill>
        </w:rPr>
        <w:t>1.0</w:t>
      </w:r>
      <w:r>
        <w:rPr>
          <w:rFonts w:hint="eastAsia" w:eastAsiaTheme="minorEastAsia"/>
          <w:color w:val="000000" w:themeColor="text1"/>
          <w:szCs w:val="24"/>
          <w14:textFill>
            <w14:solidFill>
              <w14:schemeClr w14:val="tx1"/>
            </w14:solidFill>
          </w14:textFill>
        </w:rPr>
        <w:t>米，距弯节和分支节不须超过</w:t>
      </w:r>
      <w:r>
        <w:rPr>
          <w:rFonts w:eastAsiaTheme="minorEastAsia"/>
          <w:color w:val="000000" w:themeColor="text1"/>
          <w:szCs w:val="24"/>
          <w14:textFill>
            <w14:solidFill>
              <w14:schemeClr w14:val="tx1"/>
            </w14:solidFill>
          </w14:textFill>
        </w:rPr>
        <w:t>225mm</w:t>
      </w:r>
      <w:r>
        <w:rPr>
          <w:rFonts w:hint="eastAsia" w:eastAsiaTheme="minorEastAsia"/>
          <w:color w:val="000000" w:themeColor="text1"/>
          <w:szCs w:val="24"/>
          <w14:textFill>
            <w14:solidFill>
              <w14:schemeClr w14:val="tx1"/>
            </w14:solidFill>
          </w14:textFill>
        </w:rPr>
        <w:t>。支架和吊杆须为热浸镀锌并涂以防锈漆。</w:t>
      </w:r>
    </w:p>
    <w:p w14:paraId="6B652E69">
      <w:pPr>
        <w:pStyle w:val="178"/>
        <w:numPr>
          <w:ilvl w:val="0"/>
          <w:numId w:val="43"/>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垂直电缆梯架</w:t>
      </w:r>
      <w:r>
        <w:rPr>
          <w:rFonts w:eastAsiaTheme="minorEastAsia"/>
          <w:color w:val="000000" w:themeColor="text1"/>
          <w:szCs w:val="24"/>
          <w14:textFill>
            <w14:solidFill>
              <w14:schemeClr w14:val="tx1"/>
            </w14:solidFill>
          </w14:textFill>
        </w:rPr>
        <w:t>/</w:t>
      </w:r>
      <w:r>
        <w:rPr>
          <w:rFonts w:hint="eastAsia" w:eastAsiaTheme="minorEastAsia"/>
          <w:color w:val="000000" w:themeColor="text1"/>
          <w:szCs w:val="24"/>
          <w14:textFill>
            <w14:solidFill>
              <w14:schemeClr w14:val="tx1"/>
            </w14:solidFill>
          </w14:textFill>
        </w:rPr>
        <w:t>托盘应在每根立管的中部用通过认可的钢托架支撑，以防摇摆、下垂、震动和共震，（特别是在地震时）避免支架或固定支架之间的拉或扭弯而使管道承受压力。</w:t>
      </w:r>
    </w:p>
    <w:p w14:paraId="23B2550D">
      <w:pPr>
        <w:pStyle w:val="178"/>
        <w:numPr>
          <w:ilvl w:val="0"/>
          <w:numId w:val="43"/>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所有固定支架和吊架应采用有足够强度的伸缩栓所固定。</w:t>
      </w:r>
    </w:p>
    <w:p w14:paraId="0B75A493">
      <w:pPr>
        <w:pStyle w:val="178"/>
        <w:numPr>
          <w:ilvl w:val="0"/>
          <w:numId w:val="43"/>
        </w:numPr>
        <w:snapToGrid w:val="0"/>
        <w:spacing w:line="480" w:lineRule="atLeast"/>
        <w:ind w:left="0" w:firstLine="480" w:firstLineChars="0"/>
        <w:rPr>
          <w:rFonts w:eastAsiaTheme="minorEastAsia"/>
          <w:color w:val="000000" w:themeColor="text1"/>
          <w:szCs w:val="24"/>
          <w14:textFill>
            <w14:solidFill>
              <w14:schemeClr w14:val="tx1"/>
            </w14:solidFill>
          </w14:textFill>
        </w:rPr>
      </w:pPr>
      <w:r>
        <w:rPr>
          <w:rFonts w:hint="eastAsia" w:eastAsiaTheme="minorEastAsia"/>
          <w:color w:val="000000" w:themeColor="text1"/>
          <w:szCs w:val="24"/>
          <w14:textFill>
            <w14:solidFill>
              <w14:schemeClr w14:val="tx1"/>
            </w14:solidFill>
          </w14:textFill>
        </w:rPr>
        <w:t>把吊架固定到嵌藏在混凝土中的金属嵌件中，如果没有这种嵌件，可用膨胀螺栓固于混凝土中。</w:t>
      </w:r>
    </w:p>
    <w:p w14:paraId="3B374E81">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4.3.7.7  </w:t>
      </w:r>
      <w:r>
        <w:rPr>
          <w:rFonts w:hint="eastAsia" w:eastAsiaTheme="minorEastAsia"/>
          <w:color w:val="000000" w:themeColor="text1"/>
          <w:sz w:val="24"/>
          <w:szCs w:val="24"/>
          <w14:textFill>
            <w14:solidFill>
              <w14:schemeClr w14:val="tx1"/>
            </w14:solidFill>
          </w14:textFill>
        </w:rPr>
        <w:t>整个电缆梯架</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托盘系统要求有电气上的连续性和接地，采用铜线（或铜带）和螺栓来保证相邻的托盘</w:t>
      </w:r>
      <w:r>
        <w:rPr>
          <w:rFonts w:eastAsiaTheme="minorEastAsia"/>
          <w:color w:val="000000" w:themeColor="text1"/>
          <w:sz w:val="24"/>
          <w:szCs w:val="24"/>
          <w14:textFill>
            <w14:solidFill>
              <w14:schemeClr w14:val="tx1"/>
            </w14:solidFill>
          </w14:textFill>
        </w:rPr>
        <w:t>/</w:t>
      </w:r>
      <w:r>
        <w:rPr>
          <w:rFonts w:hint="eastAsia" w:eastAsiaTheme="minorEastAsia"/>
          <w:color w:val="000000" w:themeColor="text1"/>
          <w:sz w:val="24"/>
          <w:szCs w:val="24"/>
          <w14:textFill>
            <w14:solidFill>
              <w14:schemeClr w14:val="tx1"/>
            </w14:solidFill>
          </w14:textFill>
        </w:rPr>
        <w:t>梯架的连接。</w:t>
      </w:r>
    </w:p>
    <w:p w14:paraId="53CB800E">
      <w:pPr>
        <w:pStyle w:val="121"/>
        <w:numPr>
          <w:ilvl w:val="2"/>
          <w:numId w:val="5"/>
        </w:numPr>
        <w:snapToGrid w:val="0"/>
        <w:spacing w:line="480" w:lineRule="atLeast"/>
        <w:ind w:left="0" w:firstLine="480" w:firstLineChars="200"/>
        <w:outlineLvl w:val="2"/>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仪表控制</w:t>
      </w:r>
    </w:p>
    <w:p w14:paraId="40FC8715">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4.3.8.1  </w:t>
      </w:r>
      <w:r>
        <w:rPr>
          <w:rFonts w:hint="eastAsia" w:ascii="Times New Roman" w:hAnsi="Times New Roman" w:eastAsiaTheme="minorEastAsia"/>
          <w:color w:val="000000" w:themeColor="text1"/>
          <w:sz w:val="24"/>
          <w:szCs w:val="24"/>
          <w14:textFill>
            <w14:solidFill>
              <w14:schemeClr w14:val="tx1"/>
            </w14:solidFill>
          </w14:textFill>
        </w:rPr>
        <w:t>总的要求</w:t>
      </w:r>
    </w:p>
    <w:p w14:paraId="68E5B53C">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通风空调中央监控系统由招标方负责，投标方配合。</w:t>
      </w:r>
    </w:p>
    <w:p w14:paraId="32D6FCFB">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空调系统的监控系统主要由微机操作员站、集中控制柜、就地控制柜、通讯电缆、就地检测设备等硬件和相关软件组成。</w:t>
      </w:r>
    </w:p>
    <w:p w14:paraId="7CB4068A">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中央监控系统的集中控制柜（</w:t>
      </w:r>
      <w:r>
        <w:rPr>
          <w:rFonts w:ascii="Times New Roman" w:hAnsi="Times New Roman" w:eastAsiaTheme="minorEastAsia"/>
          <w:color w:val="000000" w:themeColor="text1"/>
          <w:sz w:val="24"/>
          <w:szCs w:val="24"/>
          <w14:textFill>
            <w14:solidFill>
              <w14:schemeClr w14:val="tx1"/>
            </w14:solidFill>
          </w14:textFill>
        </w:rPr>
        <w:t>PLC</w:t>
      </w:r>
      <w:r>
        <w:rPr>
          <w:rFonts w:hint="eastAsia" w:ascii="Times New Roman" w:hAnsi="Times New Roman" w:eastAsiaTheme="minorEastAsia"/>
          <w:color w:val="000000" w:themeColor="text1"/>
          <w:sz w:val="24"/>
          <w:szCs w:val="24"/>
          <w14:textFill>
            <w14:solidFill>
              <w14:schemeClr w14:val="tx1"/>
            </w14:solidFill>
          </w14:textFill>
        </w:rPr>
        <w:t>冗余配置）将设置在主控楼空调机房，微机操作员站将设置在主控室内，微机主机应采用最新主流配置，显示器为</w:t>
      </w:r>
      <w:r>
        <w:rPr>
          <w:rFonts w:ascii="Times New Roman" w:hAnsi="Times New Roman" w:eastAsiaTheme="minorEastAsia"/>
          <w:color w:val="000000" w:themeColor="text1"/>
          <w:sz w:val="24"/>
          <w:szCs w:val="24"/>
          <w14:textFill>
            <w14:solidFill>
              <w14:schemeClr w14:val="tx1"/>
            </w14:solidFill>
          </w14:textFill>
        </w:rPr>
        <w:t>21</w:t>
      </w:r>
      <w:r>
        <w:rPr>
          <w:rFonts w:hint="eastAsia" w:ascii="Times New Roman" w:hAnsi="Times New Roman" w:eastAsiaTheme="minorEastAsia"/>
          <w:color w:val="000000" w:themeColor="text1"/>
          <w:sz w:val="24"/>
          <w:szCs w:val="24"/>
          <w14:textFill>
            <w14:solidFill>
              <w14:schemeClr w14:val="tx1"/>
            </w14:solidFill>
          </w14:textFill>
        </w:rPr>
        <w:t>英寸液晶，其具体型号和规格应与主控室其它机型一致，以便于统一协调管理。配置2对告警音响。</w:t>
      </w:r>
    </w:p>
    <w:p w14:paraId="216BE8C7">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中央操作工作站为分布式微机控制系统的管理与调度中心，它可实现对每个阀厅、的全空气集中空调系统、主控楼、辅控楼及其他设备用房的单元式空调机组和屋顶式空调机组的集中监督管理及运行方案指导，并可实现设备的远动控制，能对各空调系统中的各监控点的参数、各运转设备及部件的状态、各系统的动态图形及各项历史资料进行显示和打印。</w:t>
      </w:r>
    </w:p>
    <w:p w14:paraId="43CDCB85">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所有自动控制设备应有手动控制的功能，</w:t>
      </w:r>
      <w:r>
        <w:rPr>
          <w:rFonts w:hint="eastAsia" w:ascii="宋体" w:hAnsi="宋体"/>
          <w:color w:val="auto"/>
          <w:sz w:val="24"/>
          <w:szCs w:val="24"/>
        </w:rPr>
        <w:t>以自动控制为主，手动控制为辅，</w:t>
      </w:r>
      <w:r>
        <w:rPr>
          <w:rFonts w:hint="eastAsia" w:ascii="Times New Roman" w:hAnsi="Times New Roman" w:eastAsiaTheme="minorEastAsia"/>
          <w:color w:val="000000" w:themeColor="text1"/>
          <w:sz w:val="24"/>
          <w:szCs w:val="24"/>
          <w14:textFill>
            <w14:solidFill>
              <w14:schemeClr w14:val="tx1"/>
            </w14:solidFill>
          </w14:textFill>
        </w:rPr>
        <w:t>以便在调试、检修或运行期间进行手动控制。</w:t>
      </w:r>
    </w:p>
    <w:p w14:paraId="4905941E">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投标方应对控制盘柜及配电柜的所有性能负责，并负责在控制柜及配电柜和机组及各类传感器，执行机构间统一、合理地接线及接管，同时负责对控制和监测系统的调试，使之与空调系统的运行相统一。</w:t>
      </w:r>
    </w:p>
    <w:p w14:paraId="761024D4">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投标方应提供给招标方所有必要的技术资料，以便招标方审阅认可。</w:t>
      </w:r>
    </w:p>
    <w:p w14:paraId="6461C25D">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空调及风机控制箱需要与全站智能辅助控制系统以通迅方式连接，使运行人员能够实时监控空调系统运行状况</w:t>
      </w:r>
      <w:r>
        <w:rPr>
          <w:rFonts w:hint="eastAsia" w:ascii="Times New Roman" w:hAnsi="Times New Roman" w:eastAsiaTheme="minorEastAsia"/>
          <w:color w:val="000000" w:themeColor="text1"/>
          <w:sz w:val="24"/>
          <w:szCs w:val="24"/>
          <w14:textFill>
            <w14:solidFill>
              <w14:schemeClr w14:val="tx1"/>
            </w14:solidFill>
          </w14:textFill>
        </w:rPr>
        <w:t>，投标方应采用</w:t>
      </w:r>
      <w:r>
        <w:rPr>
          <w:rFonts w:ascii="Times New Roman" w:hAnsi="Times New Roman" w:eastAsiaTheme="minorEastAsia"/>
          <w:color w:val="000000" w:themeColor="text1"/>
          <w:sz w:val="24"/>
          <w:szCs w:val="24"/>
          <w14:textFill>
            <w14:solidFill>
              <w14:schemeClr w14:val="tx1"/>
            </w14:solidFill>
          </w14:textFill>
        </w:rPr>
        <w:t>Modbus</w:t>
      </w:r>
      <w:r>
        <w:rPr>
          <w:rFonts w:hint="eastAsia" w:ascii="Times New Roman" w:hAnsi="Times New Roman" w:eastAsiaTheme="minorEastAsia"/>
          <w:color w:val="000000" w:themeColor="text1"/>
          <w:sz w:val="24"/>
          <w:szCs w:val="24"/>
          <w14:textFill>
            <w14:solidFill>
              <w14:schemeClr w14:val="tx1"/>
            </w14:solidFill>
          </w14:textFill>
        </w:rPr>
        <w:t>或61850通信协议、使用</w:t>
      </w:r>
      <w:r>
        <w:rPr>
          <w:rFonts w:ascii="Times New Roman" w:hAnsi="Times New Roman" w:eastAsiaTheme="minorEastAsia"/>
          <w:color w:val="000000" w:themeColor="text1"/>
          <w:sz w:val="24"/>
          <w:szCs w:val="24"/>
          <w14:textFill>
            <w14:solidFill>
              <w14:schemeClr w14:val="tx1"/>
            </w14:solidFill>
          </w14:textFill>
        </w:rPr>
        <w:t>RS485</w:t>
      </w:r>
      <w:r>
        <w:rPr>
          <w:rFonts w:hint="eastAsia" w:ascii="Times New Roman" w:hAnsi="Times New Roman" w:eastAsiaTheme="minorEastAsia"/>
          <w:color w:val="000000" w:themeColor="text1"/>
          <w:sz w:val="24"/>
          <w:szCs w:val="24"/>
          <w14:textFill>
            <w14:solidFill>
              <w14:schemeClr w14:val="tx1"/>
            </w14:solidFill>
          </w14:textFill>
        </w:rPr>
        <w:t>通信接口，接口位于智能辅助控制系统端子排，所有接口设备和通信线缆均属于投标方供货范围。投标方应在技术协议签订后一个月内提供一份串口传输的信号清单及光电转换模块的型号（如要求采用光缆通信）供招标方确认，并配合计算机监控厂家完成信号上传。</w:t>
      </w:r>
    </w:p>
    <w:p w14:paraId="3B9AB0DA">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通讯接口应至少提供以下信息：</w:t>
      </w:r>
    </w:p>
    <w:p w14:paraId="0648178C">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空调及风机的运行状态、故障报警；</w:t>
      </w:r>
    </w:p>
    <w:p w14:paraId="16BC085D">
      <w:pPr>
        <w:pStyle w:val="122"/>
        <w:tabs>
          <w:tab w:val="left" w:pos="2100"/>
          <w:tab w:val="clear" w:pos="2340"/>
        </w:tabs>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电动阀门开关状态；</w:t>
      </w:r>
    </w:p>
    <w:p w14:paraId="46999B98">
      <w:pPr>
        <w:pStyle w:val="122"/>
        <w:tabs>
          <w:tab w:val="left" w:pos="2100"/>
          <w:tab w:val="clear" w:pos="2340"/>
        </w:tabs>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主机电流过载报警信号；</w:t>
      </w:r>
    </w:p>
    <w:p w14:paraId="7FEBBCAD">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主机运行时间及启动次数记录；</w:t>
      </w:r>
    </w:p>
    <w:p w14:paraId="513313A6">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4.3.8.2  </w:t>
      </w:r>
      <w:r>
        <w:rPr>
          <w:rFonts w:hint="eastAsia" w:ascii="Times New Roman" w:hAnsi="Times New Roman" w:eastAsiaTheme="minorEastAsia"/>
          <w:color w:val="000000" w:themeColor="text1"/>
          <w:sz w:val="24"/>
          <w:szCs w:val="24"/>
          <w14:textFill>
            <w14:solidFill>
              <w14:schemeClr w14:val="tx1"/>
            </w14:solidFill>
          </w14:textFill>
        </w:rPr>
        <w:t>空调中央监控系统应满足如下基本功能要求</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但不限于</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w:t>
      </w:r>
    </w:p>
    <w:p w14:paraId="5EF73807">
      <w:pPr>
        <w:pStyle w:val="122"/>
        <w:snapToGrid w:val="0"/>
        <w:spacing w:line="480" w:lineRule="atLeast"/>
        <w:ind w:firstLine="480"/>
        <w:rPr>
          <w:rFonts w:ascii="宋体" w:hAnsi="宋体"/>
          <w:color w:val="auto"/>
          <w:sz w:val="24"/>
          <w:szCs w:val="24"/>
        </w:rPr>
      </w:pPr>
      <w:r>
        <w:rPr>
          <w:rFonts w:hint="eastAsia" w:ascii="宋体" w:hAnsi="宋体"/>
          <w:color w:val="auto"/>
          <w:sz w:val="24"/>
          <w:szCs w:val="24"/>
        </w:rPr>
        <w:t>（1）通风空调中央监控系统应有手动控制的功能，以便在调试、检修或运行期间对各上述空调系统分别进行控制。</w:t>
      </w:r>
    </w:p>
    <w:p w14:paraId="4D2D56E2">
      <w:pPr>
        <w:pStyle w:val="122"/>
        <w:snapToGrid w:val="0"/>
        <w:spacing w:line="480" w:lineRule="atLeast"/>
        <w:ind w:firstLine="480"/>
        <w:rPr>
          <w:rFonts w:ascii="宋体" w:hAnsi="宋体"/>
          <w:color w:val="auto"/>
          <w:sz w:val="24"/>
          <w:szCs w:val="24"/>
        </w:rPr>
      </w:pPr>
      <w:r>
        <w:rPr>
          <w:rFonts w:hint="eastAsia" w:ascii="宋体" w:hAnsi="宋体"/>
          <w:color w:val="auto"/>
          <w:sz w:val="24"/>
          <w:szCs w:val="24"/>
        </w:rPr>
        <w:t>（2）通风空调中央监控系统能对所有空调系统中的各监控点的参数、各运转设备及部件的状态，各系统的动态图形及各项历史资料进行显示。</w:t>
      </w:r>
    </w:p>
    <w:p w14:paraId="5F6AFCFB">
      <w:pPr>
        <w:pStyle w:val="122"/>
        <w:snapToGrid w:val="0"/>
        <w:spacing w:line="480" w:lineRule="atLeast"/>
        <w:ind w:firstLine="480"/>
        <w:rPr>
          <w:rFonts w:ascii="宋体" w:hAnsi="宋体"/>
          <w:color w:val="auto"/>
          <w:sz w:val="24"/>
          <w:szCs w:val="24"/>
        </w:rPr>
      </w:pPr>
      <w:r>
        <w:rPr>
          <w:rFonts w:hint="eastAsia" w:ascii="宋体" w:hAnsi="宋体"/>
          <w:color w:val="auto"/>
          <w:sz w:val="24"/>
          <w:szCs w:val="24"/>
        </w:rPr>
        <w:t>（3）设备故障后的重新启动均应在各设备上手动启动，当系统运行正常后，再将系统投入自动控制工况，此时，通风空调中央监控系统才能对其实施自动监控。</w:t>
      </w:r>
    </w:p>
    <w:p w14:paraId="26782411">
      <w:pPr>
        <w:pStyle w:val="122"/>
        <w:snapToGrid w:val="0"/>
        <w:spacing w:line="480" w:lineRule="atLeast"/>
        <w:ind w:firstLine="480"/>
        <w:rPr>
          <w:rFonts w:ascii="宋体" w:hAnsi="宋体"/>
          <w:color w:val="auto"/>
          <w:sz w:val="24"/>
          <w:szCs w:val="24"/>
        </w:rPr>
      </w:pPr>
      <w:r>
        <w:rPr>
          <w:rFonts w:hint="eastAsia" w:ascii="宋体" w:hAnsi="宋体"/>
          <w:color w:val="auto"/>
          <w:sz w:val="24"/>
          <w:szCs w:val="24"/>
        </w:rPr>
        <w:t>（4）通风空调中央监控系统需与消防自动报警系统的联锁，投标方提供电缆并接至站内消防控制盘：</w:t>
      </w:r>
    </w:p>
    <w:p w14:paraId="6A0C75D1">
      <w:pPr>
        <w:pStyle w:val="122"/>
        <w:snapToGrid w:val="0"/>
        <w:spacing w:line="480" w:lineRule="atLeast"/>
        <w:ind w:firstLine="480"/>
        <w:rPr>
          <w:rFonts w:ascii="宋体" w:hAnsi="宋体"/>
          <w:color w:val="auto"/>
          <w:sz w:val="24"/>
          <w:szCs w:val="24"/>
        </w:rPr>
      </w:pPr>
      <w:r>
        <w:rPr>
          <w:rFonts w:hint="eastAsia" w:ascii="宋体" w:hAnsi="宋体"/>
          <w:color w:val="auto"/>
          <w:sz w:val="24"/>
          <w:szCs w:val="24"/>
        </w:rPr>
        <w:t>a</w:t>
      </w:r>
      <w:r>
        <w:rPr>
          <w:rFonts w:ascii="宋体" w:hAnsi="宋体"/>
          <w:color w:val="auto"/>
          <w:sz w:val="24"/>
          <w:szCs w:val="24"/>
        </w:rPr>
        <w:t xml:space="preserve">. </w:t>
      </w:r>
      <w:r>
        <w:rPr>
          <w:rFonts w:hint="eastAsia" w:ascii="宋体" w:hAnsi="宋体"/>
          <w:color w:val="auto"/>
          <w:sz w:val="24"/>
          <w:szCs w:val="24"/>
        </w:rPr>
        <w:t>消防火灾信号自动关闭对应区域内的空调和风机设备；某一区域内的防火阀自动关闭，输出信号发送到消防中心，消防中心确认发生火灾后，再反馈火灾信号自动关闭对应区域内的空调和风机设备。</w:t>
      </w:r>
    </w:p>
    <w:p w14:paraId="7B10C45D">
      <w:pPr>
        <w:pStyle w:val="122"/>
        <w:snapToGrid w:val="0"/>
        <w:spacing w:line="480" w:lineRule="atLeast"/>
        <w:ind w:firstLine="480"/>
        <w:rPr>
          <w:rFonts w:ascii="宋体" w:hAnsi="宋体"/>
          <w:color w:val="auto"/>
          <w:sz w:val="24"/>
          <w:szCs w:val="24"/>
        </w:rPr>
      </w:pPr>
      <w:r>
        <w:rPr>
          <w:rFonts w:ascii="宋体" w:hAnsi="宋体"/>
          <w:color w:val="auto"/>
          <w:sz w:val="24"/>
          <w:szCs w:val="24"/>
        </w:rPr>
        <w:t xml:space="preserve">b. </w:t>
      </w:r>
      <w:r>
        <w:rPr>
          <w:rFonts w:hint="eastAsia" w:ascii="宋体" w:hAnsi="宋体"/>
          <w:color w:val="auto"/>
          <w:sz w:val="24"/>
          <w:szCs w:val="24"/>
        </w:rPr>
        <w:t>设备用房的轴流风机与火灾信号联锁。</w:t>
      </w:r>
    </w:p>
    <w:p w14:paraId="4D4A2423">
      <w:pPr>
        <w:pStyle w:val="122"/>
        <w:snapToGrid w:val="0"/>
        <w:spacing w:line="480" w:lineRule="atLeast"/>
        <w:ind w:firstLine="480"/>
        <w:rPr>
          <w:rFonts w:ascii="宋体" w:hAnsi="宋体"/>
          <w:color w:val="auto"/>
          <w:sz w:val="24"/>
          <w:szCs w:val="24"/>
        </w:rPr>
      </w:pPr>
      <w:r>
        <w:rPr>
          <w:rFonts w:ascii="宋体" w:hAnsi="宋体"/>
          <w:color w:val="auto"/>
          <w:sz w:val="24"/>
          <w:szCs w:val="24"/>
        </w:rPr>
        <w:t xml:space="preserve">c. </w:t>
      </w:r>
      <w:r>
        <w:rPr>
          <w:rFonts w:hint="eastAsia" w:ascii="宋体" w:hAnsi="宋体"/>
          <w:color w:val="auto"/>
          <w:sz w:val="24"/>
          <w:szCs w:val="24"/>
        </w:rPr>
        <w:t>防火阀、排烟防火阀及排烟风机状态（运行、停止）监视及远动启停并传送至消防控制系统。</w:t>
      </w:r>
    </w:p>
    <w:p w14:paraId="30593266">
      <w:pPr>
        <w:pStyle w:val="122"/>
        <w:snapToGrid w:val="0"/>
        <w:spacing w:line="480" w:lineRule="atLeast"/>
        <w:ind w:firstLine="480"/>
        <w:rPr>
          <w:rFonts w:ascii="宋体" w:hAnsi="宋体"/>
          <w:color w:val="auto"/>
          <w:sz w:val="24"/>
          <w:szCs w:val="24"/>
        </w:rPr>
      </w:pPr>
      <w:r>
        <w:rPr>
          <w:rFonts w:ascii="宋体" w:hAnsi="宋体"/>
          <w:color w:val="auto"/>
          <w:sz w:val="24"/>
          <w:szCs w:val="24"/>
        </w:rPr>
        <w:t xml:space="preserve">d. </w:t>
      </w:r>
      <w:r>
        <w:rPr>
          <w:rFonts w:hint="eastAsia" w:ascii="宋体" w:hAnsi="宋体"/>
          <w:color w:val="auto"/>
          <w:sz w:val="24"/>
          <w:szCs w:val="24"/>
        </w:rPr>
        <w:t>应服从火灾控制系统的要求提供合适的接口和设备。</w:t>
      </w:r>
    </w:p>
    <w:p w14:paraId="68EF4B2B">
      <w:pPr>
        <w:pStyle w:val="122"/>
        <w:snapToGrid w:val="0"/>
        <w:spacing w:line="480" w:lineRule="atLeast"/>
        <w:ind w:firstLine="480"/>
        <w:rPr>
          <w:rFonts w:ascii="宋体" w:hAnsi="宋体"/>
          <w:color w:val="auto"/>
          <w:sz w:val="24"/>
          <w:szCs w:val="24"/>
        </w:rPr>
      </w:pPr>
      <w:r>
        <w:rPr>
          <w:rFonts w:hint="eastAsia" w:ascii="宋体" w:hAnsi="宋体"/>
          <w:color w:val="auto"/>
          <w:sz w:val="24"/>
          <w:szCs w:val="24"/>
        </w:rPr>
        <w:t>（5）通风空调中央监控系统应具有以下基本功能：</w:t>
      </w:r>
    </w:p>
    <w:p w14:paraId="3F23A1D7">
      <w:pPr>
        <w:pStyle w:val="122"/>
        <w:snapToGrid w:val="0"/>
        <w:spacing w:line="480" w:lineRule="atLeast"/>
        <w:ind w:firstLine="480"/>
        <w:rPr>
          <w:rFonts w:ascii="宋体" w:hAnsi="宋体"/>
          <w:color w:val="auto"/>
          <w:sz w:val="24"/>
          <w:szCs w:val="24"/>
        </w:rPr>
      </w:pPr>
      <w:r>
        <w:rPr>
          <w:rFonts w:hint="eastAsia" w:ascii="宋体" w:hAnsi="宋体"/>
          <w:color w:val="auto"/>
          <w:sz w:val="24"/>
          <w:szCs w:val="24"/>
        </w:rPr>
        <w:t>a</w:t>
      </w:r>
      <w:r>
        <w:rPr>
          <w:rFonts w:ascii="宋体" w:hAnsi="宋体"/>
          <w:color w:val="auto"/>
          <w:sz w:val="24"/>
          <w:szCs w:val="24"/>
        </w:rPr>
        <w:t>.</w:t>
      </w:r>
      <w:r>
        <w:rPr>
          <w:rFonts w:hint="eastAsia" w:ascii="宋体" w:hAnsi="宋体"/>
          <w:color w:val="auto"/>
          <w:sz w:val="24"/>
          <w:szCs w:val="24"/>
        </w:rPr>
        <w:t xml:space="preserve"> 远程：</w:t>
      </w:r>
    </w:p>
    <w:p w14:paraId="55047A30">
      <w:pPr>
        <w:pStyle w:val="122"/>
        <w:snapToGrid w:val="0"/>
        <w:spacing w:line="480" w:lineRule="atLeast"/>
        <w:ind w:firstLine="480"/>
        <w:rPr>
          <w:rFonts w:ascii="宋体" w:hAnsi="宋体"/>
          <w:color w:val="auto"/>
          <w:sz w:val="24"/>
          <w:szCs w:val="24"/>
        </w:rPr>
      </w:pPr>
      <w:r>
        <w:rPr>
          <w:rFonts w:hint="eastAsia" w:ascii="宋体" w:hAnsi="宋体"/>
          <w:color w:val="auto"/>
          <w:sz w:val="24"/>
          <w:szCs w:val="24"/>
        </w:rPr>
        <w:t>远程控制：空调房间的温度参数设定，空调设备及风机的启停。</w:t>
      </w:r>
    </w:p>
    <w:p w14:paraId="27D06F69">
      <w:pPr>
        <w:pStyle w:val="122"/>
        <w:snapToGrid w:val="0"/>
        <w:spacing w:line="480" w:lineRule="atLeast"/>
        <w:ind w:firstLine="480"/>
        <w:rPr>
          <w:rFonts w:ascii="宋体" w:hAnsi="宋体"/>
          <w:color w:val="auto"/>
          <w:sz w:val="24"/>
          <w:szCs w:val="24"/>
        </w:rPr>
      </w:pPr>
      <w:r>
        <w:rPr>
          <w:rFonts w:hint="eastAsia" w:ascii="宋体" w:hAnsi="宋体"/>
          <w:color w:val="auto"/>
          <w:sz w:val="24"/>
          <w:szCs w:val="24"/>
        </w:rPr>
        <w:t>远程显示：空调房间的温度，空调各运转设备及部件的状态，风机的运行状况，故障报警。</w:t>
      </w:r>
    </w:p>
    <w:p w14:paraId="024EDF2C">
      <w:pPr>
        <w:pStyle w:val="122"/>
        <w:snapToGrid w:val="0"/>
        <w:spacing w:line="480" w:lineRule="atLeast"/>
        <w:ind w:firstLine="480"/>
        <w:rPr>
          <w:rFonts w:ascii="宋体" w:hAnsi="宋体"/>
          <w:color w:val="auto"/>
          <w:sz w:val="24"/>
          <w:szCs w:val="24"/>
        </w:rPr>
      </w:pPr>
      <w:r>
        <w:rPr>
          <w:rFonts w:ascii="宋体" w:hAnsi="宋体"/>
          <w:color w:val="auto"/>
          <w:sz w:val="24"/>
          <w:szCs w:val="24"/>
        </w:rPr>
        <w:t xml:space="preserve">b. </w:t>
      </w:r>
      <w:r>
        <w:rPr>
          <w:rFonts w:hint="eastAsia" w:ascii="宋体" w:hAnsi="宋体"/>
          <w:color w:val="auto"/>
          <w:sz w:val="24"/>
          <w:szCs w:val="24"/>
        </w:rPr>
        <w:t>就地：</w:t>
      </w:r>
    </w:p>
    <w:p w14:paraId="26D44E2A">
      <w:pPr>
        <w:pStyle w:val="122"/>
        <w:snapToGrid w:val="0"/>
        <w:spacing w:line="480" w:lineRule="atLeast"/>
        <w:ind w:firstLine="480"/>
        <w:rPr>
          <w:rFonts w:ascii="宋体" w:hAnsi="宋体"/>
          <w:color w:val="auto"/>
          <w:sz w:val="24"/>
          <w:szCs w:val="24"/>
        </w:rPr>
      </w:pPr>
      <w:r>
        <w:rPr>
          <w:rFonts w:hint="eastAsia" w:ascii="宋体" w:hAnsi="宋体"/>
          <w:color w:val="auto"/>
          <w:sz w:val="24"/>
          <w:szCs w:val="24"/>
        </w:rPr>
        <w:t>就地控制：各空调房间的温度参数，风机的运行状况。</w:t>
      </w:r>
    </w:p>
    <w:p w14:paraId="46639144">
      <w:pPr>
        <w:pStyle w:val="122"/>
        <w:snapToGrid w:val="0"/>
        <w:spacing w:line="480" w:lineRule="atLeast"/>
        <w:ind w:firstLine="480"/>
        <w:rPr>
          <w:rFonts w:eastAsiaTheme="minorEastAsia"/>
          <w:color w:val="000000" w:themeColor="text1"/>
          <w:sz w:val="24"/>
          <w:szCs w:val="24"/>
          <w14:textFill>
            <w14:solidFill>
              <w14:schemeClr w14:val="tx1"/>
            </w14:solidFill>
          </w14:textFill>
        </w:rPr>
      </w:pPr>
      <w:r>
        <w:rPr>
          <w:rFonts w:hint="eastAsia" w:ascii="宋体" w:hAnsi="宋体"/>
          <w:color w:val="auto"/>
          <w:sz w:val="24"/>
          <w:szCs w:val="24"/>
        </w:rPr>
        <w:t>就地显示：各空调房间的温度</w:t>
      </w:r>
      <w:r>
        <w:rPr>
          <w:rFonts w:hint="eastAsia" w:ascii="Times New Roman" w:hAnsi="Times New Roman" w:eastAsiaTheme="minorEastAsia"/>
          <w:color w:val="000000" w:themeColor="text1"/>
          <w:sz w:val="24"/>
          <w:szCs w:val="24"/>
          <w14:textFill>
            <w14:solidFill>
              <w14:schemeClr w14:val="tx1"/>
            </w14:solidFill>
          </w14:textFill>
        </w:rPr>
        <w:t>。</w:t>
      </w:r>
    </w:p>
    <w:p w14:paraId="30C9C2C5">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4.3.8.3  </w:t>
      </w:r>
      <w:r>
        <w:rPr>
          <w:rFonts w:hint="eastAsia" w:ascii="Times New Roman" w:hAnsi="Times New Roman" w:eastAsiaTheme="minorEastAsia"/>
          <w:color w:val="000000" w:themeColor="text1"/>
          <w:sz w:val="24"/>
          <w:szCs w:val="24"/>
          <w14:textFill>
            <w14:solidFill>
              <w14:schemeClr w14:val="tx1"/>
            </w14:solidFill>
          </w14:textFill>
        </w:rPr>
        <w:t>控制系统设备要求</w:t>
      </w:r>
    </w:p>
    <w:p w14:paraId="4741D283">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a. </w:t>
      </w:r>
      <w:r>
        <w:rPr>
          <w:rFonts w:hint="eastAsia" w:ascii="Times New Roman" w:hAnsi="Times New Roman" w:eastAsiaTheme="minorEastAsia"/>
          <w:color w:val="000000" w:themeColor="text1"/>
          <w:sz w:val="24"/>
          <w:szCs w:val="24"/>
          <w14:textFill>
            <w14:solidFill>
              <w14:schemeClr w14:val="tx1"/>
            </w14:solidFill>
          </w14:textFill>
        </w:rPr>
        <w:t>总的要求</w:t>
      </w:r>
    </w:p>
    <w:p w14:paraId="4335C85A">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──一套完整的空调集中监控系统至少应该包括由</w:t>
      </w:r>
      <w:r>
        <w:rPr>
          <w:rFonts w:ascii="Times New Roman" w:hAnsi="Times New Roman" w:eastAsiaTheme="minorEastAsia"/>
          <w:color w:val="000000" w:themeColor="text1"/>
          <w:sz w:val="24"/>
          <w:szCs w:val="24"/>
          <w14:textFill>
            <w14:solidFill>
              <w14:schemeClr w14:val="tx1"/>
            </w14:solidFill>
          </w14:textFill>
        </w:rPr>
        <w:t>PLC</w:t>
      </w:r>
      <w:r>
        <w:rPr>
          <w:rFonts w:hint="eastAsia" w:ascii="Times New Roman" w:hAnsi="Times New Roman" w:eastAsiaTheme="minorEastAsia"/>
          <w:color w:val="000000" w:themeColor="text1"/>
          <w:sz w:val="24"/>
          <w:szCs w:val="24"/>
          <w14:textFill>
            <w14:solidFill>
              <w14:schemeClr w14:val="tx1"/>
            </w14:solidFill>
          </w14:textFill>
        </w:rPr>
        <w:t>组成的控制系统和就地仪表设备等硬件设备和完整的配套软件；</w:t>
      </w:r>
    </w:p>
    <w:p w14:paraId="0153F998">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──系统可利用率至少为</w:t>
      </w:r>
      <w:r>
        <w:rPr>
          <w:rFonts w:ascii="Times New Roman" w:hAnsi="Times New Roman" w:eastAsiaTheme="minorEastAsia"/>
          <w:color w:val="000000" w:themeColor="text1"/>
          <w:sz w:val="24"/>
          <w:szCs w:val="24"/>
          <w14:textFill>
            <w14:solidFill>
              <w14:schemeClr w14:val="tx1"/>
            </w14:solidFill>
          </w14:textFill>
        </w:rPr>
        <w:t>99.9%</w:t>
      </w:r>
      <w:r>
        <w:rPr>
          <w:rFonts w:hint="eastAsia" w:ascii="Times New Roman" w:hAnsi="Times New Roman" w:eastAsiaTheme="minorEastAsia"/>
          <w:color w:val="000000" w:themeColor="text1"/>
          <w:sz w:val="24"/>
          <w:szCs w:val="24"/>
          <w14:textFill>
            <w14:solidFill>
              <w14:schemeClr w14:val="tx1"/>
            </w14:solidFill>
          </w14:textFill>
        </w:rPr>
        <w:t>；</w:t>
      </w:r>
      <w:r>
        <w:rPr>
          <w:rFonts w:ascii="Times New Roman" w:hAnsi="Times New Roman" w:eastAsiaTheme="minorEastAsia"/>
          <w:color w:val="000000" w:themeColor="text1"/>
          <w:sz w:val="24"/>
          <w:szCs w:val="24"/>
          <w14:textFill>
            <w14:solidFill>
              <w14:schemeClr w14:val="tx1"/>
            </w14:solidFill>
          </w14:textFill>
        </w:rPr>
        <w:t xml:space="preserve"> </w:t>
      </w:r>
    </w:p>
    <w:p w14:paraId="0D9AE7FB">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──整个系统具有较强的抗干扰能力；</w:t>
      </w:r>
    </w:p>
    <w:p w14:paraId="0AC23EA9">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──系统全部采用汉字显示。</w:t>
      </w:r>
    </w:p>
    <w:p w14:paraId="58EA9A65">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b. </w:t>
      </w:r>
      <w:r>
        <w:rPr>
          <w:rFonts w:hint="eastAsia" w:ascii="Times New Roman" w:hAnsi="Times New Roman" w:eastAsiaTheme="minorEastAsia"/>
          <w:color w:val="000000" w:themeColor="text1"/>
          <w:sz w:val="24"/>
          <w:szCs w:val="24"/>
          <w14:textFill>
            <w14:solidFill>
              <w14:schemeClr w14:val="tx1"/>
            </w14:solidFill>
          </w14:textFill>
        </w:rPr>
        <w:t>就地设备</w:t>
      </w:r>
    </w:p>
    <w:p w14:paraId="3B31F157">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──所有就地仪表设备应具有高度的可靠性、可用性、稳定性、可操作性和可维护性，并满足功能要求；</w:t>
      </w:r>
    </w:p>
    <w:p w14:paraId="06047445">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──所有就地仪表设备应满足工艺系统监控的要求，由投标方根据招标方提供的工艺系统图和监控要求来配供；</w:t>
      </w:r>
    </w:p>
    <w:p w14:paraId="73ED307D">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──投标方提供的用于实现系统控制、监视、报警及保护功能所需的过程量检测装置，其布置由投标方负责设计，应便于现场巡视及就地操作；</w:t>
      </w:r>
    </w:p>
    <w:p w14:paraId="6D6A18CE">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为了在线或就地仪表设备（如热点阻，压力、差压开关，变送器等）接线方便，并节省电缆，投标方应考虑设置必要的接线盒（箱）以及由在线或就地仪表至接线盒（箱）的连接导线或电缆，这些导线或电缆由投标方提供。</w:t>
      </w:r>
    </w:p>
    <w:p w14:paraId="1A46782C">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c. </w:t>
      </w:r>
      <w:r>
        <w:rPr>
          <w:rFonts w:hint="eastAsia" w:ascii="Times New Roman" w:hAnsi="Times New Roman" w:eastAsiaTheme="minorEastAsia"/>
          <w:color w:val="000000" w:themeColor="text1"/>
          <w:sz w:val="24"/>
          <w:szCs w:val="24"/>
          <w14:textFill>
            <w14:solidFill>
              <w14:schemeClr w14:val="tx1"/>
            </w14:solidFill>
          </w14:textFill>
        </w:rPr>
        <w:t>控制柜</w:t>
      </w:r>
    </w:p>
    <w:p w14:paraId="1C7CE1AA">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──控制柜的设计，材料选择和工艺应使其内、外表面光滑整洁，没有焊接、铆钉或外侧出现的螺栓头，整个外表面端正光滑。</w:t>
      </w:r>
    </w:p>
    <w:p w14:paraId="7DE9FAA4">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──投标方应按照南方电网安健环标准、超高压标准化细则的要求来制造屏柜、标签等。</w:t>
      </w:r>
    </w:p>
    <w:p w14:paraId="14415526">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──控制柜应有足够的强度能经受住搬运、安装和运行期间产生的所有偶然应力。</w:t>
      </w:r>
    </w:p>
    <w:p w14:paraId="296C581D">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──所有金属结构件应牢固地接到结构内指定的接地母线上。</w:t>
      </w:r>
    </w:p>
    <w:p w14:paraId="3C7D2B0D">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──控制柜内应设有独立的计算机系统接地、机壳安全地、电缆屏蔽接地端子，与结构内部未接地电路板在电气上隔离。</w:t>
      </w:r>
    </w:p>
    <w:p w14:paraId="28E95562">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──控制柜设计应满足电缆由柜底引入的要求。</w:t>
      </w:r>
    </w:p>
    <w:p w14:paraId="1A7D6B44">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──墙挂式控制箱高度不应超过</w:t>
      </w:r>
      <w:r>
        <w:rPr>
          <w:rFonts w:ascii="Times New Roman" w:hAnsi="Times New Roman" w:eastAsiaTheme="minorEastAsia"/>
          <w:color w:val="000000" w:themeColor="text1"/>
          <w:sz w:val="24"/>
          <w:szCs w:val="24"/>
          <w14:textFill>
            <w14:solidFill>
              <w14:schemeClr w14:val="tx1"/>
            </w14:solidFill>
          </w14:textFill>
        </w:rPr>
        <w:t>1.2</w:t>
      </w:r>
      <w:r>
        <w:rPr>
          <w:rFonts w:hint="eastAsia" w:ascii="Times New Roman" w:hAnsi="Times New Roman" w:eastAsiaTheme="minorEastAsia"/>
          <w:color w:val="000000" w:themeColor="text1"/>
          <w:sz w:val="24"/>
          <w:szCs w:val="24"/>
          <w14:textFill>
            <w14:solidFill>
              <w14:schemeClr w14:val="tx1"/>
            </w14:solidFill>
          </w14:textFill>
        </w:rPr>
        <w:t>米。</w:t>
      </w:r>
    </w:p>
    <w:p w14:paraId="5888E14D">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──对于控制柜和控制盘，内部应提供有</w:t>
      </w:r>
      <w:r>
        <w:rPr>
          <w:rFonts w:ascii="Times New Roman" w:hAnsi="Times New Roman" w:eastAsiaTheme="minorEastAsia"/>
          <w:color w:val="000000" w:themeColor="text1"/>
          <w:sz w:val="24"/>
          <w:szCs w:val="24"/>
          <w14:textFill>
            <w14:solidFill>
              <w14:schemeClr w14:val="tx1"/>
            </w14:solidFill>
          </w14:textFill>
        </w:rPr>
        <w:t>220VAC</w:t>
      </w:r>
      <w:r>
        <w:rPr>
          <w:rFonts w:hint="eastAsia" w:ascii="Times New Roman" w:hAnsi="Times New Roman" w:eastAsiaTheme="minorEastAsia"/>
          <w:color w:val="000000" w:themeColor="text1"/>
          <w:sz w:val="24"/>
          <w:szCs w:val="24"/>
          <w14:textFill>
            <w14:solidFill>
              <w14:schemeClr w14:val="tx1"/>
            </w14:solidFill>
          </w14:textFill>
        </w:rPr>
        <w:t>照明灯和标准电源插座。端子排、电缆夹头、电缆走线槽均应由阻燃型材料制造。端子排的安装位置应便于接线，距柜底不小于</w:t>
      </w:r>
      <w:r>
        <w:rPr>
          <w:rFonts w:ascii="Times New Roman" w:hAnsi="Times New Roman" w:eastAsiaTheme="minorEastAsia"/>
          <w:color w:val="000000" w:themeColor="text1"/>
          <w:sz w:val="24"/>
          <w:szCs w:val="24"/>
          <w14:textFill>
            <w14:solidFill>
              <w14:schemeClr w14:val="tx1"/>
            </w14:solidFill>
          </w14:textFill>
        </w:rPr>
        <w:t>300mm</w:t>
      </w:r>
      <w:r>
        <w:rPr>
          <w:rFonts w:hint="eastAsia" w:ascii="Times New Roman" w:hAnsi="Times New Roman" w:eastAsiaTheme="minorEastAsia"/>
          <w:color w:val="000000" w:themeColor="text1"/>
          <w:sz w:val="24"/>
          <w:szCs w:val="24"/>
          <w14:textFill>
            <w14:solidFill>
              <w14:schemeClr w14:val="tx1"/>
            </w14:solidFill>
          </w14:textFill>
        </w:rPr>
        <w:t>，距柜顶不小于</w:t>
      </w:r>
      <w:r>
        <w:rPr>
          <w:rFonts w:ascii="Times New Roman" w:hAnsi="Times New Roman" w:eastAsiaTheme="minorEastAsia"/>
          <w:color w:val="000000" w:themeColor="text1"/>
          <w:sz w:val="24"/>
          <w:szCs w:val="24"/>
          <w14:textFill>
            <w14:solidFill>
              <w14:schemeClr w14:val="tx1"/>
            </w14:solidFill>
          </w14:textFill>
        </w:rPr>
        <w:t>150mm</w:t>
      </w:r>
      <w:r>
        <w:rPr>
          <w:rFonts w:hint="eastAsia" w:ascii="Times New Roman" w:hAnsi="Times New Roman" w:eastAsiaTheme="minorEastAsia"/>
          <w:color w:val="000000" w:themeColor="text1"/>
          <w:sz w:val="24"/>
          <w:szCs w:val="24"/>
          <w14:textFill>
            <w14:solidFill>
              <w14:schemeClr w14:val="tx1"/>
            </w14:solidFill>
          </w14:textFill>
        </w:rPr>
        <w:t>，排与排之间的距离不小于</w:t>
      </w:r>
      <w:r>
        <w:rPr>
          <w:rFonts w:ascii="Times New Roman" w:hAnsi="Times New Roman" w:eastAsiaTheme="minorEastAsia"/>
          <w:color w:val="000000" w:themeColor="text1"/>
          <w:sz w:val="24"/>
          <w:szCs w:val="24"/>
          <w14:textFill>
            <w14:solidFill>
              <w14:schemeClr w14:val="tx1"/>
            </w14:solidFill>
          </w14:textFill>
        </w:rPr>
        <w:t>200mm</w:t>
      </w:r>
      <w:r>
        <w:rPr>
          <w:rFonts w:hint="eastAsia" w:ascii="Times New Roman" w:hAnsi="Times New Roman" w:eastAsiaTheme="minorEastAsia"/>
          <w:color w:val="000000" w:themeColor="text1"/>
          <w:sz w:val="24"/>
          <w:szCs w:val="24"/>
          <w14:textFill>
            <w14:solidFill>
              <w14:schemeClr w14:val="tx1"/>
            </w14:solidFill>
          </w14:textFill>
        </w:rPr>
        <w:t>。</w:t>
      </w:r>
    </w:p>
    <w:p w14:paraId="16381966">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──控制箱中接触器连接铜排应采用带绝缘的插扣铜排，避免接触器汇集线（铜排）裸露。</w:t>
      </w:r>
    </w:p>
    <w:p w14:paraId="01330A0B">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──控制箱内应设置自动电加热除湿装置，以防止在低温潮湿气候时控制箱内产生凝露。</w:t>
      </w:r>
    </w:p>
    <w:p w14:paraId="1E14ED03">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──总开关出线不应采用多根线汇集方式连接，应在总开关下方设置接线铜排，保证各接触器的电源能从铜排上接取。</w:t>
      </w:r>
    </w:p>
    <w:p w14:paraId="23D55B98">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──裸露的铜排需要安装热熔缩管，动力配电柜内设置有机玻璃隔板。</w:t>
      </w:r>
    </w:p>
    <w:p w14:paraId="4B278A7B">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d. </w:t>
      </w:r>
      <w:r>
        <w:rPr>
          <w:rFonts w:hint="eastAsia" w:ascii="Times New Roman" w:hAnsi="Times New Roman" w:eastAsiaTheme="minorEastAsia"/>
          <w:color w:val="000000" w:themeColor="text1"/>
          <w:sz w:val="24"/>
          <w:szCs w:val="24"/>
          <w14:textFill>
            <w14:solidFill>
              <w14:schemeClr w14:val="tx1"/>
            </w14:solidFill>
          </w14:textFill>
        </w:rPr>
        <w:t>可编程控制器（</w:t>
      </w:r>
      <w:r>
        <w:rPr>
          <w:rFonts w:ascii="Times New Roman" w:hAnsi="Times New Roman" w:eastAsiaTheme="minorEastAsia"/>
          <w:color w:val="000000" w:themeColor="text1"/>
          <w:sz w:val="24"/>
          <w:szCs w:val="24"/>
          <w14:textFill>
            <w14:solidFill>
              <w14:schemeClr w14:val="tx1"/>
            </w14:solidFill>
          </w14:textFill>
        </w:rPr>
        <w:t>PLC</w:t>
      </w:r>
      <w:r>
        <w:rPr>
          <w:rFonts w:hint="eastAsia" w:ascii="Times New Roman" w:hAnsi="Times New Roman" w:eastAsiaTheme="minorEastAsia"/>
          <w:color w:val="000000" w:themeColor="text1"/>
          <w:sz w:val="24"/>
          <w:szCs w:val="24"/>
          <w14:textFill>
            <w14:solidFill>
              <w14:schemeClr w14:val="tx1"/>
            </w14:solidFill>
          </w14:textFill>
        </w:rPr>
        <w:t>）</w:t>
      </w:r>
    </w:p>
    <w:p w14:paraId="46F871FA">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──自控系统采用以</w:t>
      </w:r>
      <w:r>
        <w:rPr>
          <w:rFonts w:ascii="Times New Roman" w:hAnsi="Times New Roman" w:eastAsiaTheme="minorEastAsia"/>
          <w:color w:val="000000" w:themeColor="text1"/>
          <w:sz w:val="24"/>
          <w:szCs w:val="24"/>
          <w14:textFill>
            <w14:solidFill>
              <w14:schemeClr w14:val="tx1"/>
            </w14:solidFill>
          </w14:textFill>
        </w:rPr>
        <w:t>PLC</w:t>
      </w:r>
      <w:r>
        <w:rPr>
          <w:rFonts w:hint="eastAsia" w:ascii="Times New Roman" w:hAnsi="Times New Roman" w:eastAsiaTheme="minorEastAsia"/>
          <w:color w:val="000000" w:themeColor="text1"/>
          <w:sz w:val="24"/>
          <w:szCs w:val="24"/>
          <w14:textFill>
            <w14:solidFill>
              <w14:schemeClr w14:val="tx1"/>
            </w14:solidFill>
          </w14:textFill>
        </w:rPr>
        <w:t>为主的控制系统，</w:t>
      </w:r>
      <w:r>
        <w:rPr>
          <w:rFonts w:ascii="Times New Roman" w:hAnsi="Times New Roman" w:eastAsiaTheme="minorEastAsia"/>
          <w:color w:val="000000" w:themeColor="text1"/>
          <w:sz w:val="24"/>
          <w:szCs w:val="24"/>
          <w14:textFill>
            <w14:solidFill>
              <w14:schemeClr w14:val="tx1"/>
            </w14:solidFill>
          </w14:textFill>
        </w:rPr>
        <w:t>PLC</w:t>
      </w:r>
      <w:r>
        <w:rPr>
          <w:rFonts w:hint="eastAsia" w:ascii="Times New Roman" w:hAnsi="Times New Roman" w:eastAsiaTheme="minorEastAsia"/>
          <w:color w:val="000000" w:themeColor="text1"/>
          <w:sz w:val="24"/>
          <w:szCs w:val="24"/>
          <w14:textFill>
            <w14:solidFill>
              <w14:schemeClr w14:val="tx1"/>
            </w14:solidFill>
          </w14:textFill>
        </w:rPr>
        <w:t>采用西门子</w:t>
      </w:r>
      <w:r>
        <w:rPr>
          <w:rFonts w:ascii="Times New Roman" w:hAnsi="Times New Roman" w:eastAsiaTheme="minorEastAsia"/>
          <w:color w:val="000000" w:themeColor="text1"/>
          <w:sz w:val="24"/>
          <w:szCs w:val="24"/>
          <w14:textFill>
            <w14:solidFill>
              <w14:schemeClr w14:val="tx1"/>
            </w14:solidFill>
          </w14:textFill>
        </w:rPr>
        <w:t>S7-300</w:t>
      </w:r>
      <w:r>
        <w:rPr>
          <w:rFonts w:hint="eastAsia" w:ascii="Times New Roman" w:hAnsi="Times New Roman" w:eastAsiaTheme="minorEastAsia"/>
          <w:color w:val="000000" w:themeColor="text1"/>
          <w:sz w:val="24"/>
          <w:szCs w:val="24"/>
          <w14:textFill>
            <w14:solidFill>
              <w14:schemeClr w14:val="tx1"/>
            </w14:solidFill>
          </w14:textFill>
        </w:rPr>
        <w:t>系列产品，所有硬件应是制造厂的标准产品或标准选择件。</w:t>
      </w:r>
    </w:p>
    <w:p w14:paraId="44396B85">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──系统中所有模件应是接插式的，便于更换。机柜内应提供各种型式</w:t>
      </w:r>
      <w:r>
        <w:rPr>
          <w:rFonts w:ascii="Times New Roman" w:hAnsi="Times New Roman" w:eastAsiaTheme="minorEastAsia"/>
          <w:color w:val="000000" w:themeColor="text1"/>
          <w:sz w:val="24"/>
          <w:szCs w:val="24"/>
          <w14:textFill>
            <w14:solidFill>
              <w14:schemeClr w14:val="tx1"/>
            </w14:solidFill>
          </w14:textFill>
        </w:rPr>
        <w:t xml:space="preserve">I/O </w:t>
      </w:r>
      <w:r>
        <w:rPr>
          <w:rFonts w:hint="eastAsia" w:ascii="Times New Roman" w:hAnsi="Times New Roman" w:eastAsiaTheme="minorEastAsia"/>
          <w:color w:val="000000" w:themeColor="text1"/>
          <w:sz w:val="24"/>
          <w:szCs w:val="24"/>
          <w14:textFill>
            <w14:solidFill>
              <w14:schemeClr w14:val="tx1"/>
            </w14:solidFill>
          </w14:textFill>
        </w:rPr>
        <w:t>的</w:t>
      </w:r>
      <w:r>
        <w:rPr>
          <w:rFonts w:ascii="Times New Roman" w:hAnsi="Times New Roman" w:eastAsiaTheme="minorEastAsia"/>
          <w:color w:val="000000" w:themeColor="text1"/>
          <w:sz w:val="24"/>
          <w:szCs w:val="24"/>
          <w14:textFill>
            <w14:solidFill>
              <w14:schemeClr w14:val="tx1"/>
            </w14:solidFill>
          </w14:textFill>
        </w:rPr>
        <w:t>15%</w:t>
      </w:r>
      <w:r>
        <w:rPr>
          <w:rFonts w:hint="eastAsia" w:ascii="Times New Roman" w:hAnsi="Times New Roman" w:eastAsiaTheme="minorEastAsia"/>
          <w:color w:val="000000" w:themeColor="text1"/>
          <w:sz w:val="24"/>
          <w:szCs w:val="24"/>
          <w14:textFill>
            <w14:solidFill>
              <w14:schemeClr w14:val="tx1"/>
            </w14:solidFill>
          </w14:textFill>
        </w:rPr>
        <w:t>做备用，同时在插槽上还应留有扩充</w:t>
      </w:r>
      <w:r>
        <w:rPr>
          <w:rFonts w:ascii="Times New Roman" w:hAnsi="Times New Roman" w:eastAsiaTheme="minorEastAsia"/>
          <w:color w:val="000000" w:themeColor="text1"/>
          <w:sz w:val="24"/>
          <w:szCs w:val="24"/>
          <w14:textFill>
            <w14:solidFill>
              <w14:schemeClr w14:val="tx1"/>
            </w14:solidFill>
          </w14:textFill>
        </w:rPr>
        <w:t>10%I/O</w:t>
      </w:r>
      <w:r>
        <w:rPr>
          <w:rFonts w:hint="eastAsia" w:ascii="Times New Roman" w:hAnsi="Times New Roman" w:eastAsiaTheme="minorEastAsia"/>
          <w:color w:val="000000" w:themeColor="text1"/>
          <w:sz w:val="24"/>
          <w:szCs w:val="24"/>
          <w14:textFill>
            <w14:solidFill>
              <w14:schemeClr w14:val="tx1"/>
            </w14:solidFill>
          </w14:textFill>
        </w:rPr>
        <w:t>的槽位余地。</w:t>
      </w:r>
    </w:p>
    <w:p w14:paraId="69DEB624">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──投标方应提供导轨和联锁，避免在拆除和插入过程中出现故障。如果需要，应配有钥匙，避免在初始设定之后插入错误的模块。</w:t>
      </w:r>
    </w:p>
    <w:p w14:paraId="1FFE6157">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──所有开关量</w:t>
      </w:r>
      <w:r>
        <w:rPr>
          <w:rFonts w:ascii="Times New Roman" w:hAnsi="Times New Roman" w:eastAsiaTheme="minorEastAsia"/>
          <w:color w:val="000000" w:themeColor="text1"/>
          <w:sz w:val="24"/>
          <w:szCs w:val="24"/>
          <w14:textFill>
            <w14:solidFill>
              <w14:schemeClr w14:val="tx1"/>
            </w14:solidFill>
          </w14:textFill>
        </w:rPr>
        <w:t>I/O</w:t>
      </w:r>
      <w:r>
        <w:rPr>
          <w:rFonts w:hint="eastAsia" w:ascii="Times New Roman" w:hAnsi="Times New Roman" w:eastAsiaTheme="minorEastAsia"/>
          <w:color w:val="000000" w:themeColor="text1"/>
          <w:sz w:val="24"/>
          <w:szCs w:val="24"/>
          <w14:textFill>
            <w14:solidFill>
              <w14:schemeClr w14:val="tx1"/>
            </w14:solidFill>
          </w14:textFill>
        </w:rPr>
        <w:t>模件应有光电隔离装置</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同时开关量模件应具备自诊断功能</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能够进行掉线和掉电诊断。</w:t>
      </w:r>
    </w:p>
    <w:p w14:paraId="7CE90D69">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──电源应配有抗浪涌保护装置并应包括一个隔离变压器。</w:t>
      </w:r>
    </w:p>
    <w:p w14:paraId="13B467F0">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w:t>
      </w:r>
      <w:r>
        <w:rPr>
          <w:rFonts w:ascii="Times New Roman" w:hAnsi="Times New Roman" w:eastAsiaTheme="minorEastAsia"/>
          <w:color w:val="000000" w:themeColor="text1"/>
          <w:sz w:val="24"/>
          <w:szCs w:val="24"/>
          <w14:textFill>
            <w14:solidFill>
              <w14:schemeClr w14:val="tx1"/>
            </w14:solidFill>
          </w14:textFill>
        </w:rPr>
        <w:t>PLC</w:t>
      </w:r>
      <w:r>
        <w:rPr>
          <w:rFonts w:hint="eastAsia" w:ascii="Times New Roman" w:hAnsi="Times New Roman" w:eastAsiaTheme="minorEastAsia"/>
          <w:color w:val="000000" w:themeColor="text1"/>
          <w:sz w:val="24"/>
          <w:szCs w:val="24"/>
          <w14:textFill>
            <w14:solidFill>
              <w14:schemeClr w14:val="tx1"/>
            </w14:solidFill>
          </w14:textFill>
        </w:rPr>
        <w:t>系统应能在高的电气噪声，无线电波干扰和振动环境下连续运行。在距电子设备</w:t>
      </w:r>
      <w:r>
        <w:rPr>
          <w:rFonts w:ascii="Times New Roman" w:hAnsi="Times New Roman" w:eastAsiaTheme="minorEastAsia"/>
          <w:color w:val="000000" w:themeColor="text1"/>
          <w:sz w:val="24"/>
          <w:szCs w:val="24"/>
          <w14:textFill>
            <w14:solidFill>
              <w14:schemeClr w14:val="tx1"/>
            </w14:solidFill>
          </w14:textFill>
        </w:rPr>
        <w:t>1.2</w:t>
      </w:r>
      <w:r>
        <w:rPr>
          <w:rFonts w:hint="eastAsia" w:ascii="Times New Roman" w:hAnsi="Times New Roman" w:eastAsiaTheme="minorEastAsia"/>
          <w:color w:val="000000" w:themeColor="text1"/>
          <w:sz w:val="24"/>
          <w:szCs w:val="24"/>
          <w14:textFill>
            <w14:solidFill>
              <w14:schemeClr w14:val="tx1"/>
            </w14:solidFill>
          </w14:textFill>
        </w:rPr>
        <w:t>米以外发出的工作频率达</w:t>
      </w:r>
      <w:r>
        <w:rPr>
          <w:rFonts w:ascii="Times New Roman" w:hAnsi="Times New Roman" w:eastAsiaTheme="minorEastAsia"/>
          <w:color w:val="000000" w:themeColor="text1"/>
          <w:sz w:val="24"/>
          <w:szCs w:val="24"/>
          <w14:textFill>
            <w14:solidFill>
              <w14:schemeClr w14:val="tx1"/>
            </w14:solidFill>
          </w14:textFill>
        </w:rPr>
        <w:t>400~500MHz</w:t>
      </w:r>
      <w:r>
        <w:rPr>
          <w:rFonts w:hint="eastAsia" w:ascii="Times New Roman" w:hAnsi="Times New Roman" w:eastAsiaTheme="minorEastAsia"/>
          <w:color w:val="000000" w:themeColor="text1"/>
          <w:sz w:val="24"/>
          <w:szCs w:val="24"/>
          <w14:textFill>
            <w14:solidFill>
              <w14:schemeClr w14:val="tx1"/>
            </w14:solidFill>
          </w14:textFill>
        </w:rPr>
        <w:t>，功率输出达</w:t>
      </w:r>
      <w:r>
        <w:rPr>
          <w:rFonts w:ascii="Times New Roman" w:hAnsi="Times New Roman" w:eastAsiaTheme="minorEastAsia"/>
          <w:color w:val="000000" w:themeColor="text1"/>
          <w:sz w:val="24"/>
          <w:szCs w:val="24"/>
          <w14:textFill>
            <w14:solidFill>
              <w14:schemeClr w14:val="tx1"/>
            </w14:solidFill>
          </w14:textFill>
        </w:rPr>
        <w:t>5W</w:t>
      </w:r>
      <w:r>
        <w:rPr>
          <w:rFonts w:hint="eastAsia" w:ascii="Times New Roman" w:hAnsi="Times New Roman" w:eastAsiaTheme="minorEastAsia"/>
          <w:color w:val="000000" w:themeColor="text1"/>
          <w:sz w:val="24"/>
          <w:szCs w:val="24"/>
          <w14:textFill>
            <w14:solidFill>
              <w14:schemeClr w14:val="tx1"/>
            </w14:solidFill>
          </w14:textFill>
        </w:rPr>
        <w:t>的电磁干扰和射频干扰，应不影响系统正常工作。</w:t>
      </w:r>
    </w:p>
    <w:p w14:paraId="0B042028">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──所有在可编程控制器系统中的硬件的运行环境额定温度</w:t>
      </w:r>
      <w:r>
        <w:rPr>
          <w:rFonts w:ascii="Times New Roman" w:hAnsi="Times New Roman" w:eastAsiaTheme="minorEastAsia"/>
          <w:color w:val="000000" w:themeColor="text1"/>
          <w:sz w:val="24"/>
          <w:szCs w:val="24"/>
          <w14:textFill>
            <w14:solidFill>
              <w14:schemeClr w14:val="tx1"/>
            </w14:solidFill>
          </w14:textFill>
        </w:rPr>
        <w:t>-10</w:t>
      </w:r>
      <w:r>
        <w:rPr>
          <w:rFonts w:hint="eastAsia" w:ascii="宋体" w:hAnsi="宋体" w:cs="宋体"/>
          <w:color w:val="000000" w:themeColor="text1"/>
          <w:sz w:val="24"/>
          <w:szCs w:val="24"/>
          <w14:textFill>
            <w14:solidFill>
              <w14:schemeClr w14:val="tx1"/>
            </w14:solidFill>
          </w14:textFill>
        </w:rPr>
        <w:t>℃</w:t>
      </w:r>
      <w:r>
        <w:rPr>
          <w:rFonts w:ascii="Times New Roman" w:hAnsi="Times New Roman" w:eastAsiaTheme="minorEastAsia"/>
          <w:color w:val="000000" w:themeColor="text1"/>
          <w:sz w:val="24"/>
          <w:szCs w:val="24"/>
          <w14:textFill>
            <w14:solidFill>
              <w14:schemeClr w14:val="tx1"/>
            </w14:solidFill>
          </w14:textFill>
        </w:rPr>
        <w:t>~+60</w:t>
      </w:r>
      <w:r>
        <w:rPr>
          <w:rFonts w:hint="eastAsia" w:ascii="宋体" w:hAnsi="宋体" w:cs="宋体"/>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，额定存储温度为</w:t>
      </w:r>
      <w:r>
        <w:rPr>
          <w:rFonts w:ascii="Times New Roman" w:hAnsi="Times New Roman" w:eastAsiaTheme="minorEastAsia"/>
          <w:color w:val="000000" w:themeColor="text1"/>
          <w:sz w:val="24"/>
          <w:szCs w:val="24"/>
          <w14:textFill>
            <w14:solidFill>
              <w14:schemeClr w14:val="tx1"/>
            </w14:solidFill>
          </w14:textFill>
        </w:rPr>
        <w:t>-40~+85</w:t>
      </w:r>
      <w:r>
        <w:rPr>
          <w:rFonts w:hint="eastAsia" w:ascii="宋体" w:hAnsi="宋体" w:cs="宋体"/>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，而且是在无风扇或空调的条件下运行。硬件连续运行的相对湿度范围为</w:t>
      </w:r>
      <w:r>
        <w:rPr>
          <w:rFonts w:ascii="Times New Roman" w:hAnsi="Times New Roman" w:eastAsiaTheme="minorEastAsia"/>
          <w:color w:val="000000" w:themeColor="text1"/>
          <w:sz w:val="24"/>
          <w:szCs w:val="24"/>
          <w14:textFill>
            <w14:solidFill>
              <w14:schemeClr w14:val="tx1"/>
            </w14:solidFill>
          </w14:textFill>
        </w:rPr>
        <w:t>5~95%</w:t>
      </w:r>
      <w:r>
        <w:rPr>
          <w:rFonts w:hint="eastAsia" w:ascii="Times New Roman" w:hAnsi="Times New Roman" w:eastAsiaTheme="minorEastAsia"/>
          <w:color w:val="000000" w:themeColor="text1"/>
          <w:sz w:val="24"/>
          <w:szCs w:val="24"/>
          <w14:textFill>
            <w14:solidFill>
              <w14:schemeClr w14:val="tx1"/>
            </w14:solidFill>
          </w14:textFill>
        </w:rPr>
        <w:t>，无结露现象。</w:t>
      </w:r>
    </w:p>
    <w:p w14:paraId="38525A53">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──若距离远可采用远程</w:t>
      </w:r>
      <w:r>
        <w:rPr>
          <w:rFonts w:ascii="Times New Roman" w:hAnsi="Times New Roman" w:eastAsiaTheme="minorEastAsia"/>
          <w:color w:val="000000" w:themeColor="text1"/>
          <w:sz w:val="24"/>
          <w:szCs w:val="24"/>
          <w14:textFill>
            <w14:solidFill>
              <w14:schemeClr w14:val="tx1"/>
            </w14:solidFill>
          </w14:textFill>
        </w:rPr>
        <w:t>I/O</w:t>
      </w:r>
      <w:r>
        <w:rPr>
          <w:rFonts w:hint="eastAsia" w:ascii="Times New Roman" w:hAnsi="Times New Roman" w:eastAsiaTheme="minorEastAsia"/>
          <w:color w:val="000000" w:themeColor="text1"/>
          <w:sz w:val="24"/>
          <w:szCs w:val="24"/>
          <w14:textFill>
            <w14:solidFill>
              <w14:schemeClr w14:val="tx1"/>
            </w14:solidFill>
          </w14:textFill>
        </w:rPr>
        <w:t>，以避免远距离硬接线。</w:t>
      </w:r>
    </w:p>
    <w:p w14:paraId="4A5FFA0B">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w:t>
      </w:r>
      <w:r>
        <w:rPr>
          <w:rFonts w:ascii="Times New Roman" w:hAnsi="Times New Roman" w:eastAsiaTheme="minorEastAsia"/>
          <w:color w:val="000000" w:themeColor="text1"/>
          <w:sz w:val="24"/>
          <w:szCs w:val="24"/>
          <w14:textFill>
            <w14:solidFill>
              <w14:schemeClr w14:val="tx1"/>
            </w14:solidFill>
          </w14:textFill>
        </w:rPr>
        <w:t>I/O</w:t>
      </w:r>
      <w:r>
        <w:rPr>
          <w:rFonts w:hint="eastAsia" w:ascii="Times New Roman" w:hAnsi="Times New Roman" w:eastAsiaTheme="minorEastAsia"/>
          <w:color w:val="000000" w:themeColor="text1"/>
          <w:sz w:val="24"/>
          <w:szCs w:val="24"/>
          <w14:textFill>
            <w14:solidFill>
              <w14:schemeClr w14:val="tx1"/>
            </w14:solidFill>
          </w14:textFill>
        </w:rPr>
        <w:t>模块现场侧的电源应作为该系统的一部分提供。</w:t>
      </w:r>
    </w:p>
    <w:p w14:paraId="5F08544E">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──应为处理单元提供一套冗余电源。电源能自动切换，而不影响系统的控制。如果进线电源不符合技术要求，电源应提供有序停机和校验位的存储。</w:t>
      </w:r>
    </w:p>
    <w:p w14:paraId="5D972C25">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e. </w:t>
      </w:r>
      <w:r>
        <w:rPr>
          <w:rFonts w:hint="eastAsia" w:ascii="Times New Roman" w:hAnsi="Times New Roman" w:eastAsiaTheme="minorEastAsia"/>
          <w:color w:val="000000" w:themeColor="text1"/>
          <w:sz w:val="24"/>
          <w:szCs w:val="24"/>
          <w14:textFill>
            <w14:solidFill>
              <w14:schemeClr w14:val="tx1"/>
            </w14:solidFill>
          </w14:textFill>
        </w:rPr>
        <w:t>通讯及网络控制接口</w:t>
      </w:r>
    </w:p>
    <w:p w14:paraId="0B85724B">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各空调控制系统应留有满足上层网络要求的通讯接口的软、硬件，投标方无条件地提供联网所需的软件和硬件。投标方提供的</w:t>
      </w:r>
      <w:r>
        <w:rPr>
          <w:rFonts w:ascii="Times New Roman" w:hAnsi="Times New Roman" w:eastAsiaTheme="minorEastAsia"/>
          <w:color w:val="000000" w:themeColor="text1"/>
          <w:sz w:val="24"/>
          <w:szCs w:val="24"/>
          <w14:textFill>
            <w14:solidFill>
              <w14:schemeClr w14:val="tx1"/>
            </w14:solidFill>
          </w14:textFill>
        </w:rPr>
        <w:t>PLC</w:t>
      </w:r>
      <w:r>
        <w:rPr>
          <w:rFonts w:hint="eastAsia" w:ascii="Times New Roman" w:hAnsi="Times New Roman" w:eastAsiaTheme="minorEastAsia"/>
          <w:color w:val="000000" w:themeColor="text1"/>
          <w:sz w:val="24"/>
          <w:szCs w:val="24"/>
          <w14:textFill>
            <w14:solidFill>
              <w14:schemeClr w14:val="tx1"/>
            </w14:solidFill>
          </w14:textFill>
        </w:rPr>
        <w:t>系统的通讯接口应能满足全站</w:t>
      </w:r>
      <w:r>
        <w:rPr>
          <w:rFonts w:ascii="Times New Roman" w:hAnsi="Times New Roman" w:eastAsiaTheme="minorEastAsia"/>
          <w:color w:val="000000" w:themeColor="text1"/>
          <w:sz w:val="24"/>
          <w:szCs w:val="24"/>
          <w14:textFill>
            <w14:solidFill>
              <w14:schemeClr w14:val="tx1"/>
            </w14:solidFill>
          </w14:textFill>
        </w:rPr>
        <w:t>SCADA</w:t>
      </w:r>
      <w:r>
        <w:rPr>
          <w:rFonts w:hint="eastAsia" w:ascii="Times New Roman" w:hAnsi="Times New Roman" w:eastAsiaTheme="minorEastAsia"/>
          <w:color w:val="000000" w:themeColor="text1"/>
          <w:sz w:val="24"/>
          <w:szCs w:val="24"/>
          <w14:textFill>
            <w14:solidFill>
              <w14:schemeClr w14:val="tx1"/>
            </w14:solidFill>
          </w14:textFill>
        </w:rPr>
        <w:t>控制系统上位机实现对空调系统进行远方监视和报警显示等的功能。模拟接口信号为</w:t>
      </w:r>
      <w:r>
        <w:rPr>
          <w:rFonts w:ascii="Times New Roman" w:hAnsi="Times New Roman" w:eastAsiaTheme="minorEastAsia"/>
          <w:color w:val="000000" w:themeColor="text1"/>
          <w:sz w:val="24"/>
          <w:szCs w:val="24"/>
          <w14:textFill>
            <w14:solidFill>
              <w14:schemeClr w14:val="tx1"/>
            </w14:solidFill>
          </w14:textFill>
        </w:rPr>
        <w:t>4</w:t>
      </w:r>
      <w:r>
        <w:rPr>
          <w:rFonts w:hint="eastAsia" w:ascii="Times New Roman" w:hAnsi="Times New Roman" w:eastAsiaTheme="minorEastAsia"/>
          <w:color w:val="000000" w:themeColor="text1"/>
          <w:sz w:val="24"/>
          <w:szCs w:val="24"/>
          <w14:textFill>
            <w14:solidFill>
              <w14:schemeClr w14:val="tx1"/>
            </w14:solidFill>
          </w14:textFill>
        </w:rPr>
        <w:t>～</w:t>
      </w:r>
      <w:r>
        <w:rPr>
          <w:rFonts w:ascii="Times New Roman" w:hAnsi="Times New Roman" w:eastAsiaTheme="minorEastAsia"/>
          <w:color w:val="000000" w:themeColor="text1"/>
          <w:sz w:val="24"/>
          <w:szCs w:val="24"/>
          <w14:textFill>
            <w14:solidFill>
              <w14:schemeClr w14:val="tx1"/>
            </w14:solidFill>
          </w14:textFill>
        </w:rPr>
        <w:t>20mA</w:t>
      </w:r>
      <w:r>
        <w:rPr>
          <w:rFonts w:hint="eastAsia" w:ascii="Times New Roman" w:hAnsi="Times New Roman" w:eastAsiaTheme="minorEastAsia"/>
          <w:color w:val="000000" w:themeColor="text1"/>
          <w:sz w:val="24"/>
          <w:szCs w:val="24"/>
          <w14:textFill>
            <w14:solidFill>
              <w14:schemeClr w14:val="tx1"/>
            </w14:solidFill>
          </w14:textFill>
        </w:rPr>
        <w:t>，开关信号</w:t>
      </w:r>
      <w:r>
        <w:rPr>
          <w:rFonts w:ascii="Times New Roman" w:hAnsi="Times New Roman" w:eastAsiaTheme="minorEastAsia"/>
          <w:color w:val="000000" w:themeColor="text1"/>
          <w:sz w:val="24"/>
          <w:szCs w:val="24"/>
          <w14:textFill>
            <w14:solidFill>
              <w14:schemeClr w14:val="tx1"/>
            </w14:solidFill>
          </w14:textFill>
        </w:rPr>
        <w:t>220V</w:t>
      </w:r>
      <w:r>
        <w:rPr>
          <w:rFonts w:hint="eastAsia" w:ascii="Times New Roman" w:hAnsi="Times New Roman" w:eastAsiaTheme="minorEastAsia"/>
          <w:color w:val="000000" w:themeColor="text1"/>
          <w:sz w:val="24"/>
          <w:szCs w:val="24"/>
          <w14:textFill>
            <w14:solidFill>
              <w14:schemeClr w14:val="tx1"/>
            </w14:solidFill>
          </w14:textFill>
        </w:rPr>
        <w:t>直流干接点。投标方有责任配合全站</w:t>
      </w:r>
      <w:r>
        <w:rPr>
          <w:rFonts w:ascii="Times New Roman" w:hAnsi="Times New Roman" w:eastAsiaTheme="minorEastAsia"/>
          <w:color w:val="000000" w:themeColor="text1"/>
          <w:sz w:val="24"/>
          <w:szCs w:val="24"/>
          <w14:textFill>
            <w14:solidFill>
              <w14:schemeClr w14:val="tx1"/>
            </w14:solidFill>
          </w14:textFill>
        </w:rPr>
        <w:t>SCADA</w:t>
      </w:r>
      <w:r>
        <w:rPr>
          <w:rFonts w:hint="eastAsia" w:ascii="Times New Roman" w:hAnsi="Times New Roman" w:eastAsiaTheme="minorEastAsia"/>
          <w:color w:val="000000" w:themeColor="text1"/>
          <w:sz w:val="24"/>
          <w:szCs w:val="24"/>
          <w14:textFill>
            <w14:solidFill>
              <w14:schemeClr w14:val="tx1"/>
            </w14:solidFill>
          </w14:textFill>
        </w:rPr>
        <w:t>控制系统供应商完成两个系统的通讯并满足通讯要求</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确保在</w:t>
      </w:r>
      <w:r>
        <w:rPr>
          <w:rFonts w:ascii="Times New Roman" w:hAnsi="Times New Roman" w:eastAsiaTheme="minorEastAsia"/>
          <w:color w:val="000000" w:themeColor="text1"/>
          <w:sz w:val="24"/>
          <w:szCs w:val="24"/>
          <w14:textFill>
            <w14:solidFill>
              <w14:schemeClr w14:val="tx1"/>
            </w14:solidFill>
          </w14:textFill>
        </w:rPr>
        <w:t>SCADA</w:t>
      </w:r>
      <w:r>
        <w:rPr>
          <w:rFonts w:hint="eastAsia" w:ascii="Times New Roman" w:hAnsi="Times New Roman" w:eastAsiaTheme="minorEastAsia"/>
          <w:color w:val="000000" w:themeColor="text1"/>
          <w:sz w:val="24"/>
          <w:szCs w:val="24"/>
          <w14:textFill>
            <w14:solidFill>
              <w14:schemeClr w14:val="tx1"/>
            </w14:solidFill>
          </w14:textFill>
        </w:rPr>
        <w:t>控制系统的操作员站上完成对本系统的监视和控制。</w:t>
      </w:r>
    </w:p>
    <w:p w14:paraId="197E5B79">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f. </w:t>
      </w:r>
      <w:r>
        <w:rPr>
          <w:rFonts w:hint="eastAsia" w:ascii="Times New Roman" w:hAnsi="Times New Roman" w:eastAsiaTheme="minorEastAsia"/>
          <w:color w:val="000000" w:themeColor="text1"/>
          <w:sz w:val="24"/>
          <w:szCs w:val="24"/>
          <w14:textFill>
            <w14:solidFill>
              <w14:schemeClr w14:val="tx1"/>
            </w14:solidFill>
          </w14:textFill>
        </w:rPr>
        <w:t>编程和监控软件</w:t>
      </w:r>
    </w:p>
    <w:p w14:paraId="1F87FB97">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编程格式应包括传统的继电器梯形图。程序应可能搜寻程序中的任何继电器或接点。搜寻应是连续的直至整个程序扫描，搜寻完后应显示出来。程序应可能搜寻强制输入和输出，以便快速知道所有输入</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输出哪些是强制的。程序应使它的所有逻辑的部分能在编程图上显示，分离元件状态监视。违反本要求的子模式不能使用。</w:t>
      </w:r>
    </w:p>
    <w:p w14:paraId="3ECB8009">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所有的逻辑功能都应由</w:t>
      </w:r>
      <w:r>
        <w:rPr>
          <w:rFonts w:ascii="Times New Roman" w:hAnsi="Times New Roman" w:eastAsiaTheme="minorEastAsia"/>
          <w:color w:val="000000" w:themeColor="text1"/>
          <w:sz w:val="24"/>
          <w:szCs w:val="24"/>
          <w14:textFill>
            <w14:solidFill>
              <w14:schemeClr w14:val="tx1"/>
            </w14:solidFill>
          </w14:textFill>
        </w:rPr>
        <w:t>PLC</w:t>
      </w:r>
      <w:r>
        <w:rPr>
          <w:rFonts w:hint="eastAsia" w:ascii="Times New Roman" w:hAnsi="Times New Roman" w:eastAsiaTheme="minorEastAsia"/>
          <w:color w:val="000000" w:themeColor="text1"/>
          <w:sz w:val="24"/>
          <w:szCs w:val="24"/>
          <w14:textFill>
            <w14:solidFill>
              <w14:schemeClr w14:val="tx1"/>
            </w14:solidFill>
          </w14:textFill>
        </w:rPr>
        <w:t>来完成，不得用硬接线或复杂的特殊开关及其它输入装置来实现。</w:t>
      </w:r>
    </w:p>
    <w:p w14:paraId="1FFBAB3E">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投标方应根据本技术规范书和招标方提供的设计资料进行空调监控系统的设计和组态</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提供符合本技术规范书所必需的硬件、软件和各项服务。</w:t>
      </w:r>
    </w:p>
    <w:p w14:paraId="14E5386D">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g. </w:t>
      </w:r>
      <w:r>
        <w:rPr>
          <w:rFonts w:hint="eastAsia" w:ascii="Times New Roman" w:hAnsi="Times New Roman" w:eastAsiaTheme="minorEastAsia"/>
          <w:color w:val="000000" w:themeColor="text1"/>
          <w:sz w:val="24"/>
          <w:szCs w:val="24"/>
          <w14:textFill>
            <w14:solidFill>
              <w14:schemeClr w14:val="tx1"/>
            </w14:solidFill>
          </w14:textFill>
        </w:rPr>
        <w:t>触摸屏（包括集中控制柜用）</w:t>
      </w:r>
    </w:p>
    <w:p w14:paraId="38B26B57">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投标方应能在触摸屏上实现风冷冷水/热泵机组、空气处理机组、闭式蒸发型冷却塔、冷冻水循环水泵、冷却水循环水泵、冷却塔喷淋水泵等设备控制的相应显示的画面；制表打印；成组参数显示；参数越限报警、控制对象故障或状态变化时的画面要求以及一些特殊的要求。</w:t>
      </w:r>
    </w:p>
    <w:p w14:paraId="2FCCB5DC">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所供的触摸屏显示画面至少应能显示当前状态的系统图形、运行方式、过程参数、时序报警，用来识别故障的自诊断功能控制系统报警。</w:t>
      </w:r>
    </w:p>
    <w:p w14:paraId="5B6976D0">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所供触摸屏应为彩显，屏幕尺寸要求如下：风冷冷水/热泵机组及自动补水定压装置自控系统应不小于</w:t>
      </w:r>
      <w:r>
        <w:rPr>
          <w:rFonts w:ascii="Times New Roman" w:hAnsi="Times New Roman" w:eastAsiaTheme="minorEastAsia"/>
          <w:color w:val="000000" w:themeColor="text1"/>
          <w:sz w:val="24"/>
          <w:szCs w:val="24"/>
          <w14:textFill>
            <w14:solidFill>
              <w14:schemeClr w14:val="tx1"/>
            </w14:solidFill>
          </w14:textFill>
        </w:rPr>
        <w:t>10.1</w:t>
      </w:r>
      <w:r>
        <w:rPr>
          <w:rFonts w:hint="eastAsia" w:ascii="Times New Roman" w:hAnsi="Times New Roman" w:eastAsiaTheme="minorEastAsia"/>
          <w:color w:val="000000" w:themeColor="text1"/>
          <w:sz w:val="24"/>
          <w:szCs w:val="24"/>
          <w14:textFill>
            <w14:solidFill>
              <w14:schemeClr w14:val="tx1"/>
            </w14:solidFill>
          </w14:textFill>
        </w:rPr>
        <w:t>英寸；组合式空气处理机组自控系统应不小于</w:t>
      </w:r>
      <w:r>
        <w:rPr>
          <w:rFonts w:ascii="Times New Roman" w:hAnsi="Times New Roman" w:eastAsiaTheme="minorEastAsia"/>
          <w:color w:val="000000" w:themeColor="text1"/>
          <w:sz w:val="24"/>
          <w:szCs w:val="24"/>
          <w14:textFill>
            <w14:solidFill>
              <w14:schemeClr w14:val="tx1"/>
            </w14:solidFill>
          </w14:textFill>
        </w:rPr>
        <w:t>10.1</w:t>
      </w:r>
      <w:r>
        <w:rPr>
          <w:rFonts w:hint="eastAsia" w:ascii="Times New Roman" w:hAnsi="Times New Roman" w:eastAsiaTheme="minorEastAsia"/>
          <w:color w:val="000000" w:themeColor="text1"/>
          <w:sz w:val="24"/>
          <w:szCs w:val="24"/>
          <w14:textFill>
            <w14:solidFill>
              <w14:schemeClr w14:val="tx1"/>
            </w14:solidFill>
          </w14:textFill>
        </w:rPr>
        <w:t>英寸；集中控制柜应不小于</w:t>
      </w:r>
      <w:r>
        <w:rPr>
          <w:rFonts w:ascii="Times New Roman" w:hAnsi="Times New Roman" w:eastAsiaTheme="minorEastAsia"/>
          <w:color w:val="000000" w:themeColor="text1"/>
          <w:sz w:val="24"/>
          <w:szCs w:val="24"/>
          <w14:textFill>
            <w14:solidFill>
              <w14:schemeClr w14:val="tx1"/>
            </w14:solidFill>
          </w14:textFill>
        </w:rPr>
        <w:t>12</w:t>
      </w:r>
      <w:r>
        <w:rPr>
          <w:rFonts w:hint="eastAsia" w:ascii="Times New Roman" w:hAnsi="Times New Roman" w:eastAsiaTheme="minorEastAsia"/>
          <w:color w:val="000000" w:themeColor="text1"/>
          <w:sz w:val="24"/>
          <w:szCs w:val="24"/>
          <w14:textFill>
            <w14:solidFill>
              <w14:schemeClr w14:val="tx1"/>
            </w14:solidFill>
          </w14:textFill>
        </w:rPr>
        <w:t>英寸。投标方应提供触摸屏的详细技术参数，包括颜色质量、分辨率等。</w:t>
      </w:r>
    </w:p>
    <w:p w14:paraId="77FFE4BF">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p w14:paraId="2EF775C3">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632" w:name="_Toc526064883"/>
      <w:r>
        <w:rPr>
          <w:rFonts w:eastAsiaTheme="minorEastAsia"/>
          <w:bCs/>
          <w:color w:val="000000" w:themeColor="text1"/>
          <w:szCs w:val="24"/>
          <w14:textFill>
            <w14:solidFill>
              <w14:schemeClr w14:val="tx1"/>
            </w14:solidFill>
          </w14:textFill>
        </w:rPr>
        <w:t xml:space="preserve"> </w:t>
      </w:r>
      <w:bookmarkStart w:id="633" w:name="_Toc526079167"/>
      <w:bookmarkStart w:id="634" w:name="_Toc220074809"/>
      <w:bookmarkStart w:id="635" w:name="_Toc526079273"/>
      <w:r>
        <w:rPr>
          <w:rFonts w:hint="eastAsia" w:eastAsiaTheme="minorEastAsia"/>
          <w:bCs/>
          <w:color w:val="000000" w:themeColor="text1"/>
          <w:szCs w:val="24"/>
          <w14:textFill>
            <w14:solidFill>
              <w14:schemeClr w14:val="tx1"/>
            </w14:solidFill>
          </w14:textFill>
        </w:rPr>
        <w:t>噪音及振动</w:t>
      </w:r>
      <w:bookmarkEnd w:id="632"/>
      <w:bookmarkEnd w:id="633"/>
      <w:bookmarkEnd w:id="634"/>
      <w:bookmarkEnd w:id="635"/>
    </w:p>
    <w:p w14:paraId="666D95C6">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4.4.1  </w:t>
      </w:r>
      <w:r>
        <w:rPr>
          <w:rFonts w:hint="eastAsia" w:ascii="Times New Roman" w:hAnsi="Times New Roman" w:eastAsiaTheme="minorEastAsia"/>
          <w:color w:val="000000" w:themeColor="text1"/>
          <w:sz w:val="24"/>
          <w:szCs w:val="24"/>
          <w14:textFill>
            <w14:solidFill>
              <w14:schemeClr w14:val="tx1"/>
            </w14:solidFill>
          </w14:textFill>
        </w:rPr>
        <w:t>在距离设备外壳</w:t>
      </w:r>
      <w:r>
        <w:rPr>
          <w:rFonts w:ascii="Times New Roman" w:hAnsi="Times New Roman" w:eastAsiaTheme="minorEastAsia"/>
          <w:color w:val="000000" w:themeColor="text1"/>
          <w:sz w:val="24"/>
          <w:szCs w:val="24"/>
          <w14:textFill>
            <w14:solidFill>
              <w14:schemeClr w14:val="tx1"/>
            </w14:solidFill>
          </w14:textFill>
        </w:rPr>
        <w:t>1.5m</w:t>
      </w:r>
      <w:r>
        <w:rPr>
          <w:rFonts w:hint="eastAsia" w:ascii="Times New Roman" w:hAnsi="Times New Roman" w:eastAsiaTheme="minorEastAsia"/>
          <w:color w:val="000000" w:themeColor="text1"/>
          <w:sz w:val="24"/>
          <w:szCs w:val="24"/>
          <w14:textFill>
            <w14:solidFill>
              <w14:schemeClr w14:val="tx1"/>
            </w14:solidFill>
          </w14:textFill>
        </w:rPr>
        <w:t>及地面上</w:t>
      </w:r>
      <w:r>
        <w:rPr>
          <w:rFonts w:ascii="Times New Roman" w:hAnsi="Times New Roman" w:eastAsiaTheme="minorEastAsia"/>
          <w:color w:val="000000" w:themeColor="text1"/>
          <w:sz w:val="24"/>
          <w:szCs w:val="24"/>
          <w14:textFill>
            <w14:solidFill>
              <w14:schemeClr w14:val="tx1"/>
            </w14:solidFill>
          </w14:textFill>
        </w:rPr>
        <w:t>1.0m</w:t>
      </w:r>
      <w:r>
        <w:rPr>
          <w:rFonts w:hint="eastAsia" w:ascii="Times New Roman" w:hAnsi="Times New Roman" w:eastAsiaTheme="minorEastAsia"/>
          <w:color w:val="000000" w:themeColor="text1"/>
          <w:sz w:val="24"/>
          <w:szCs w:val="24"/>
          <w14:textFill>
            <w14:solidFill>
              <w14:schemeClr w14:val="tx1"/>
            </w14:solidFill>
          </w14:textFill>
        </w:rPr>
        <w:t>处测得的声压级应不超过如下值，且试验方法应符合国家标准。</w:t>
      </w:r>
    </w:p>
    <w:p w14:paraId="1517C844">
      <w:pPr>
        <w:pStyle w:val="122"/>
        <w:tabs>
          <w:tab w:val="left" w:pos="5387"/>
          <w:tab w:val="clear" w:pos="2340"/>
        </w:tabs>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 xml:space="preserve">空调室外机组 </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 xml:space="preserve"> </w:t>
      </w:r>
      <w:r>
        <w:rPr>
          <w:rFonts w:ascii="Times New Roman" w:hAnsi="Times New Roman" w:eastAsiaTheme="minorEastAsia"/>
          <w:color w:val="000000" w:themeColor="text1"/>
          <w:sz w:val="24"/>
          <w:szCs w:val="24"/>
          <w14:textFill>
            <w14:solidFill>
              <w14:schemeClr w14:val="tx1"/>
            </w14:solidFill>
          </w14:textFill>
        </w:rPr>
        <w:t xml:space="preserve">                       65dB(A)</w:t>
      </w:r>
    </w:p>
    <w:p w14:paraId="4C6A8B6E">
      <w:pPr>
        <w:pStyle w:val="122"/>
        <w:tabs>
          <w:tab w:val="left" w:pos="5387"/>
          <w:tab w:val="clear" w:pos="2340"/>
        </w:tabs>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空调室内机组</w:t>
      </w:r>
      <w:r>
        <w:rPr>
          <w:rFonts w:ascii="Times New Roman" w:hAnsi="Times New Roman" w:eastAsiaTheme="minorEastAsia"/>
          <w:color w:val="000000" w:themeColor="text1"/>
          <w:sz w:val="24"/>
          <w:szCs w:val="24"/>
          <w14:textFill>
            <w14:solidFill>
              <w14:schemeClr w14:val="tx1"/>
            </w14:solidFill>
          </w14:textFill>
        </w:rPr>
        <w:t xml:space="preserve">              </w:t>
      </w:r>
      <w:r>
        <w:rPr>
          <w:rFonts w:ascii="Times New Roman" w:hAnsi="Times New Roman" w:eastAsiaTheme="minorEastAsia"/>
          <w:color w:val="000000" w:themeColor="text1"/>
          <w:sz w:val="24"/>
          <w:szCs w:val="24"/>
          <w14:textFill>
            <w14:solidFill>
              <w14:schemeClr w14:val="tx1"/>
            </w14:solidFill>
          </w14:textFill>
        </w:rPr>
        <w:tab/>
      </w:r>
      <w:r>
        <w:rPr>
          <w:rFonts w:ascii="Times New Roman" w:hAnsi="Times New Roman" w:eastAsiaTheme="minorEastAsia"/>
          <w:color w:val="000000" w:themeColor="text1"/>
          <w:sz w:val="24"/>
          <w:szCs w:val="24"/>
          <w14:textFill>
            <w14:solidFill>
              <w14:schemeClr w14:val="tx1"/>
            </w14:solidFill>
          </w14:textFill>
        </w:rPr>
        <w:t>45dB(A)</w:t>
      </w:r>
    </w:p>
    <w:p w14:paraId="0C2ED891">
      <w:pPr>
        <w:pStyle w:val="122"/>
        <w:tabs>
          <w:tab w:val="left" w:pos="5387"/>
          <w:tab w:val="clear" w:pos="2340"/>
        </w:tabs>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排烟风机</w:t>
      </w:r>
      <w:r>
        <w:rPr>
          <w:rFonts w:ascii="Times New Roman" w:hAnsi="Times New Roman" w:eastAsiaTheme="minorEastAsia"/>
          <w:color w:val="000000" w:themeColor="text1"/>
          <w:sz w:val="24"/>
          <w:szCs w:val="24"/>
          <w14:textFill>
            <w14:solidFill>
              <w14:schemeClr w14:val="tx1"/>
            </w14:solidFill>
          </w14:textFill>
        </w:rPr>
        <w:t xml:space="preserve">                        </w:t>
      </w:r>
      <w:r>
        <w:rPr>
          <w:rFonts w:ascii="Times New Roman" w:hAnsi="Times New Roman" w:eastAsiaTheme="minorEastAsia"/>
          <w:color w:val="000000" w:themeColor="text1"/>
          <w:sz w:val="24"/>
          <w:szCs w:val="24"/>
          <w14:textFill>
            <w14:solidFill>
              <w14:schemeClr w14:val="tx1"/>
            </w14:solidFill>
          </w14:textFill>
        </w:rPr>
        <w:tab/>
      </w:r>
      <w:r>
        <w:rPr>
          <w:rFonts w:ascii="Times New Roman" w:hAnsi="Times New Roman" w:eastAsiaTheme="minorEastAsia"/>
          <w:color w:val="000000" w:themeColor="text1"/>
          <w:sz w:val="24"/>
          <w:szCs w:val="24"/>
          <w14:textFill>
            <w14:solidFill>
              <w14:schemeClr w14:val="tx1"/>
            </w14:solidFill>
          </w14:textFill>
        </w:rPr>
        <w:t>75dB(A)</w:t>
      </w:r>
    </w:p>
    <w:p w14:paraId="7C36E686">
      <w:pPr>
        <w:pStyle w:val="122"/>
        <w:tabs>
          <w:tab w:val="left" w:pos="5387"/>
          <w:tab w:val="clear" w:pos="2340"/>
        </w:tabs>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轴流风机</w:t>
      </w:r>
      <w:r>
        <w:rPr>
          <w:rFonts w:ascii="Times New Roman" w:hAnsi="Times New Roman" w:eastAsiaTheme="minorEastAsia"/>
          <w:color w:val="000000" w:themeColor="text1"/>
          <w:sz w:val="24"/>
          <w:szCs w:val="24"/>
          <w14:textFill>
            <w14:solidFill>
              <w14:schemeClr w14:val="tx1"/>
            </w14:solidFill>
          </w14:textFill>
        </w:rPr>
        <w:t xml:space="preserve">                        </w:t>
      </w:r>
      <w:r>
        <w:rPr>
          <w:rFonts w:ascii="Times New Roman" w:hAnsi="Times New Roman" w:eastAsiaTheme="minorEastAsia"/>
          <w:color w:val="000000" w:themeColor="text1"/>
          <w:sz w:val="24"/>
          <w:szCs w:val="24"/>
          <w14:textFill>
            <w14:solidFill>
              <w14:schemeClr w14:val="tx1"/>
            </w14:solidFill>
          </w14:textFill>
        </w:rPr>
        <w:tab/>
      </w:r>
      <w:r>
        <w:rPr>
          <w:rFonts w:ascii="Times New Roman" w:hAnsi="Times New Roman" w:eastAsiaTheme="minorEastAsia"/>
          <w:color w:val="000000" w:themeColor="text1"/>
          <w:sz w:val="24"/>
          <w:szCs w:val="24"/>
          <w14:textFill>
            <w14:solidFill>
              <w14:schemeClr w14:val="tx1"/>
            </w14:solidFill>
          </w14:textFill>
        </w:rPr>
        <w:t>70dB(A)</w:t>
      </w:r>
    </w:p>
    <w:p w14:paraId="7F439A6C">
      <w:pPr>
        <w:pStyle w:val="122"/>
        <w:tabs>
          <w:tab w:val="left" w:pos="5387"/>
          <w:tab w:val="clear" w:pos="2340"/>
        </w:tabs>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 xml:space="preserve">屋顶式空气处理机组：          </w:t>
      </w:r>
      <w:r>
        <w:rPr>
          <w:rFonts w:hint="eastAsia" w:ascii="Times New Roman" w:hAnsi="Times New Roman" w:eastAsiaTheme="minorEastAsia"/>
          <w:color w:val="000000" w:themeColor="text1"/>
          <w:sz w:val="24"/>
          <w:szCs w:val="24"/>
          <w14:textFill>
            <w14:solidFill>
              <w14:schemeClr w14:val="tx1"/>
            </w14:solidFill>
          </w14:textFill>
        </w:rPr>
        <w:tab/>
      </w:r>
      <w:r>
        <w:rPr>
          <w:rFonts w:hint="eastAsia" w:ascii="Times New Roman" w:hAnsi="Times New Roman" w:eastAsiaTheme="minorEastAsia"/>
          <w:color w:val="000000" w:themeColor="text1"/>
          <w:sz w:val="24"/>
          <w:szCs w:val="24"/>
          <w14:textFill>
            <w14:solidFill>
              <w14:schemeClr w14:val="tx1"/>
            </w14:solidFill>
          </w14:textFill>
        </w:rPr>
        <w:t>75dB(A)</w:t>
      </w:r>
    </w:p>
    <w:p w14:paraId="61369731">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4.4.2 </w:t>
      </w:r>
      <w:r>
        <w:rPr>
          <w:rFonts w:hint="eastAsia" w:ascii="Times New Roman" w:hAnsi="Times New Roman" w:eastAsiaTheme="minorEastAsia"/>
          <w:color w:val="000000" w:themeColor="text1"/>
          <w:sz w:val="24"/>
          <w:szCs w:val="24"/>
          <w14:textFill>
            <w14:solidFill>
              <w14:schemeClr w14:val="tx1"/>
            </w14:solidFill>
          </w14:textFill>
        </w:rPr>
        <w:t>风冷冷水/热泵机组、空气处理机组、冷冻水循环水泵运行时垂直振动不应超过</w:t>
      </w:r>
      <w:r>
        <w:rPr>
          <w:rFonts w:ascii="Times New Roman" w:hAnsi="Times New Roman" w:eastAsiaTheme="minorEastAsia"/>
          <w:color w:val="000000" w:themeColor="text1"/>
          <w:sz w:val="24"/>
          <w:szCs w:val="24"/>
          <w14:textFill>
            <w14:solidFill>
              <w14:schemeClr w14:val="tx1"/>
            </w14:solidFill>
          </w14:textFill>
        </w:rPr>
        <w:t>15μm</w:t>
      </w:r>
      <w:r>
        <w:rPr>
          <w:rFonts w:hint="eastAsia" w:ascii="Times New Roman" w:hAnsi="Times New Roman" w:eastAsiaTheme="minorEastAsia"/>
          <w:color w:val="000000" w:themeColor="text1"/>
          <w:sz w:val="24"/>
          <w:szCs w:val="24"/>
          <w14:textFill>
            <w14:solidFill>
              <w14:schemeClr w14:val="tx1"/>
            </w14:solidFill>
          </w14:textFill>
        </w:rPr>
        <w:t>。</w:t>
      </w:r>
    </w:p>
    <w:p w14:paraId="06531E07">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4.4.3  </w:t>
      </w:r>
      <w:r>
        <w:rPr>
          <w:rFonts w:hint="eastAsia" w:ascii="Times New Roman" w:hAnsi="Times New Roman" w:eastAsiaTheme="minorEastAsia"/>
          <w:color w:val="000000" w:themeColor="text1"/>
          <w:sz w:val="24"/>
          <w:szCs w:val="24"/>
          <w14:textFill>
            <w14:solidFill>
              <w14:schemeClr w14:val="tx1"/>
            </w14:solidFill>
          </w14:textFill>
        </w:rPr>
        <w:t>主控制室、会议室、办公室、休息室等有长期有工作人员的场所，室内噪声值应不得高于下列标准：白天</w:t>
      </w:r>
      <w:r>
        <w:rPr>
          <w:rFonts w:ascii="Times New Roman" w:hAnsi="Times New Roman" w:eastAsiaTheme="minorEastAsia"/>
          <w:color w:val="000000" w:themeColor="text1"/>
          <w:sz w:val="24"/>
          <w:szCs w:val="24"/>
          <w14:textFill>
            <w14:solidFill>
              <w14:schemeClr w14:val="tx1"/>
            </w14:solidFill>
          </w14:textFill>
        </w:rPr>
        <w:t>55dB</w:t>
      </w:r>
      <w:r>
        <w:rPr>
          <w:rFonts w:hint="eastAsia" w:ascii="Times New Roman" w:hAnsi="Times New Roman" w:eastAsiaTheme="minorEastAsia"/>
          <w:color w:val="000000" w:themeColor="text1"/>
          <w:sz w:val="24"/>
          <w:szCs w:val="24"/>
          <w14:textFill>
            <w14:solidFill>
              <w14:schemeClr w14:val="tx1"/>
            </w14:solidFill>
          </w14:textFill>
        </w:rPr>
        <w:t>（</w:t>
      </w:r>
      <w:r>
        <w:rPr>
          <w:rFonts w:ascii="Times New Roman" w:hAnsi="Times New Roman" w:eastAsiaTheme="minorEastAsia"/>
          <w:color w:val="000000" w:themeColor="text1"/>
          <w:sz w:val="24"/>
          <w:szCs w:val="24"/>
          <w14:textFill>
            <w14:solidFill>
              <w14:schemeClr w14:val="tx1"/>
            </w14:solidFill>
          </w14:textFill>
        </w:rPr>
        <w:t>A</w:t>
      </w:r>
      <w:r>
        <w:rPr>
          <w:rFonts w:hint="eastAsia" w:ascii="Times New Roman" w:hAnsi="Times New Roman" w:eastAsiaTheme="minorEastAsia"/>
          <w:color w:val="000000" w:themeColor="text1"/>
          <w:sz w:val="24"/>
          <w:szCs w:val="24"/>
          <w14:textFill>
            <w14:solidFill>
              <w14:schemeClr w14:val="tx1"/>
            </w14:solidFill>
          </w14:textFill>
        </w:rPr>
        <w:t>），晚上</w:t>
      </w:r>
      <w:r>
        <w:rPr>
          <w:rFonts w:ascii="Times New Roman" w:hAnsi="Times New Roman" w:eastAsiaTheme="minorEastAsia"/>
          <w:color w:val="000000" w:themeColor="text1"/>
          <w:sz w:val="24"/>
          <w:szCs w:val="24"/>
          <w14:textFill>
            <w14:solidFill>
              <w14:schemeClr w14:val="tx1"/>
            </w14:solidFill>
          </w14:textFill>
        </w:rPr>
        <w:t>45dB</w:t>
      </w:r>
      <w:r>
        <w:rPr>
          <w:rFonts w:hint="eastAsia" w:ascii="Times New Roman" w:hAnsi="Times New Roman" w:eastAsiaTheme="minorEastAsia"/>
          <w:color w:val="000000" w:themeColor="text1"/>
          <w:sz w:val="24"/>
          <w:szCs w:val="24"/>
          <w14:textFill>
            <w14:solidFill>
              <w14:schemeClr w14:val="tx1"/>
            </w14:solidFill>
          </w14:textFill>
        </w:rPr>
        <w:t>（</w:t>
      </w:r>
      <w:r>
        <w:rPr>
          <w:rFonts w:ascii="Times New Roman" w:hAnsi="Times New Roman" w:eastAsiaTheme="minorEastAsia"/>
          <w:color w:val="000000" w:themeColor="text1"/>
          <w:sz w:val="24"/>
          <w:szCs w:val="24"/>
          <w14:textFill>
            <w14:solidFill>
              <w14:schemeClr w14:val="tx1"/>
            </w14:solidFill>
          </w14:textFill>
        </w:rPr>
        <w:t>A</w:t>
      </w:r>
      <w:r>
        <w:rPr>
          <w:rFonts w:hint="eastAsia" w:ascii="Times New Roman" w:hAnsi="Times New Roman" w:eastAsiaTheme="minorEastAsia"/>
          <w:color w:val="000000" w:themeColor="text1"/>
          <w:sz w:val="24"/>
          <w:szCs w:val="24"/>
          <w14:textFill>
            <w14:solidFill>
              <w14:schemeClr w14:val="tx1"/>
            </w14:solidFill>
          </w14:textFill>
        </w:rPr>
        <w:t>）。</w:t>
      </w:r>
    </w:p>
    <w:p w14:paraId="3DB3A33F">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p w14:paraId="2F8A8446">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636" w:name="_Toc526064884"/>
      <w:r>
        <w:rPr>
          <w:rFonts w:eastAsiaTheme="minorEastAsia"/>
          <w:bCs/>
          <w:color w:val="000000" w:themeColor="text1"/>
          <w:szCs w:val="24"/>
          <w14:textFill>
            <w14:solidFill>
              <w14:schemeClr w14:val="tx1"/>
            </w14:solidFill>
          </w14:textFill>
        </w:rPr>
        <w:t xml:space="preserve"> </w:t>
      </w:r>
      <w:bookmarkStart w:id="637" w:name="_Toc526079168"/>
      <w:bookmarkStart w:id="638" w:name="_Toc220074810"/>
      <w:bookmarkStart w:id="639" w:name="_Toc526079274"/>
      <w:r>
        <w:rPr>
          <w:rFonts w:hint="eastAsia" w:eastAsiaTheme="minorEastAsia"/>
          <w:bCs/>
          <w:color w:val="000000" w:themeColor="text1"/>
          <w:szCs w:val="24"/>
          <w14:textFill>
            <w14:solidFill>
              <w14:schemeClr w14:val="tx1"/>
            </w14:solidFill>
          </w14:textFill>
        </w:rPr>
        <w:t>表面整理和涂层</w:t>
      </w:r>
      <w:bookmarkEnd w:id="636"/>
      <w:bookmarkEnd w:id="637"/>
      <w:bookmarkEnd w:id="638"/>
      <w:bookmarkEnd w:id="639"/>
    </w:p>
    <w:p w14:paraId="700149D8">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4.5.1 </w:t>
      </w:r>
      <w:r>
        <w:rPr>
          <w:rFonts w:hint="eastAsia" w:ascii="Times New Roman" w:hAnsi="Times New Roman" w:eastAsiaTheme="minorEastAsia"/>
          <w:color w:val="000000" w:themeColor="text1"/>
          <w:sz w:val="24"/>
          <w:szCs w:val="24"/>
          <w14:textFill>
            <w14:solidFill>
              <w14:schemeClr w14:val="tx1"/>
            </w14:solidFill>
          </w14:textFill>
        </w:rPr>
        <w:t>对</w:t>
      </w:r>
      <w:r>
        <w:rPr>
          <w:rFonts w:ascii="Times New Roman" w:hAnsi="Times New Roman" w:eastAsiaTheme="minorEastAsia"/>
          <w:color w:val="000000" w:themeColor="text1"/>
          <w:sz w:val="24"/>
          <w:szCs w:val="24"/>
          <w14:textFill>
            <w14:solidFill>
              <w14:schemeClr w14:val="tx1"/>
            </w14:solidFill>
          </w14:textFill>
        </w:rPr>
        <w:t xml:space="preserve"> </w:t>
      </w:r>
      <w:r>
        <w:rPr>
          <w:rFonts w:hint="eastAsia" w:ascii="Times New Roman" w:hAnsi="Times New Roman" w:eastAsiaTheme="minorEastAsia"/>
          <w:color w:val="000000" w:themeColor="text1"/>
          <w:sz w:val="24"/>
          <w:szCs w:val="24"/>
          <w14:textFill>
            <w14:solidFill>
              <w14:schemeClr w14:val="tx1"/>
            </w14:solidFill>
          </w14:textFill>
        </w:rPr>
        <w:t>于金属渣屑、碎布、碎石及其它异物都应从设备内部清除。</w:t>
      </w:r>
    </w:p>
    <w:p w14:paraId="7C7ACA31">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4.5.2  </w:t>
      </w:r>
      <w:r>
        <w:rPr>
          <w:rFonts w:hint="eastAsia" w:ascii="Times New Roman" w:hAnsi="Times New Roman" w:eastAsiaTheme="minorEastAsia"/>
          <w:color w:val="000000" w:themeColor="text1"/>
          <w:sz w:val="24"/>
          <w:szCs w:val="24"/>
          <w14:textFill>
            <w14:solidFill>
              <w14:schemeClr w14:val="tx1"/>
            </w14:solidFill>
          </w14:textFill>
        </w:rPr>
        <w:t>所有的铁屑、铁锈、油、油脂、粉笔、蜡笔、油漆符号及其它有害的东西都应从设备内部、外表上除去。在运输期间，设备内外应保持干净及干燥。</w:t>
      </w:r>
    </w:p>
    <w:p w14:paraId="0DABBB35">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4.5.3  </w:t>
      </w:r>
      <w:r>
        <w:rPr>
          <w:rFonts w:hint="eastAsia" w:ascii="Times New Roman" w:hAnsi="Times New Roman" w:eastAsiaTheme="minorEastAsia"/>
          <w:color w:val="000000" w:themeColor="text1"/>
          <w:sz w:val="24"/>
          <w:szCs w:val="24"/>
          <w14:textFill>
            <w14:solidFill>
              <w14:schemeClr w14:val="tx1"/>
            </w14:solidFill>
          </w14:textFill>
        </w:rPr>
        <w:t>在焊接部位，应根据国家有关标准采取手工清理或机械清理的方法进行清理。</w:t>
      </w:r>
    </w:p>
    <w:p w14:paraId="1039880B">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4.5.4  </w:t>
      </w:r>
      <w:r>
        <w:rPr>
          <w:rFonts w:hint="eastAsia" w:ascii="Times New Roman" w:hAnsi="Times New Roman" w:eastAsiaTheme="minorEastAsia"/>
          <w:color w:val="000000" w:themeColor="text1"/>
          <w:sz w:val="24"/>
          <w:szCs w:val="24"/>
          <w14:textFill>
            <w14:solidFill>
              <w14:schemeClr w14:val="tx1"/>
            </w14:solidFill>
          </w14:textFill>
        </w:rPr>
        <w:t>所有锐边及构件都应加工圆滑以防止造成人员伤害。</w:t>
      </w:r>
    </w:p>
    <w:p w14:paraId="0A24D2C9">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4.5.5  </w:t>
      </w:r>
      <w:r>
        <w:rPr>
          <w:rFonts w:hint="eastAsia" w:ascii="Times New Roman" w:hAnsi="Times New Roman" w:eastAsiaTheme="minorEastAsia"/>
          <w:color w:val="000000" w:themeColor="text1"/>
          <w:sz w:val="24"/>
          <w:szCs w:val="24"/>
          <w14:textFill>
            <w14:solidFill>
              <w14:schemeClr w14:val="tx1"/>
            </w14:solidFill>
          </w14:textFill>
        </w:rPr>
        <w:t>单涂层或双涂层的修整工作都应和原有涂层的要求一致。</w:t>
      </w:r>
    </w:p>
    <w:p w14:paraId="41B712C1">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4.5.6  </w:t>
      </w:r>
      <w:r>
        <w:rPr>
          <w:rFonts w:hint="eastAsia" w:ascii="Times New Roman" w:hAnsi="Times New Roman" w:eastAsiaTheme="minorEastAsia"/>
          <w:color w:val="000000" w:themeColor="text1"/>
          <w:sz w:val="24"/>
          <w:szCs w:val="24"/>
          <w14:textFill>
            <w14:solidFill>
              <w14:schemeClr w14:val="tx1"/>
            </w14:solidFill>
          </w14:textFill>
        </w:rPr>
        <w:t>所有碳钢机械加工表面在装运和储放期应采取可靠的防氧化措施。</w:t>
      </w:r>
    </w:p>
    <w:p w14:paraId="2757569F">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4.5.7  </w:t>
      </w:r>
      <w:r>
        <w:rPr>
          <w:rFonts w:hint="eastAsia" w:ascii="Times New Roman" w:hAnsi="Times New Roman" w:eastAsiaTheme="minorEastAsia"/>
          <w:color w:val="000000" w:themeColor="text1"/>
          <w:sz w:val="24"/>
          <w:szCs w:val="24"/>
          <w14:textFill>
            <w14:solidFill>
              <w14:schemeClr w14:val="tx1"/>
            </w14:solidFill>
          </w14:textFill>
        </w:rPr>
        <w:t>设备及控制柜表面涂层的色标需按照招标方要求确定。</w:t>
      </w:r>
    </w:p>
    <w:p w14:paraId="5CA2E9CD">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4.5.8  </w:t>
      </w:r>
      <w:r>
        <w:rPr>
          <w:rFonts w:hint="eastAsia" w:ascii="Times New Roman" w:hAnsi="Times New Roman" w:eastAsiaTheme="minorEastAsia"/>
          <w:color w:val="000000" w:themeColor="text1"/>
          <w:sz w:val="24"/>
          <w:szCs w:val="24"/>
          <w14:textFill>
            <w14:solidFill>
              <w14:schemeClr w14:val="tx1"/>
            </w14:solidFill>
          </w14:textFill>
        </w:rPr>
        <w:t>通风空调系统所有外露铁构件的面漆颜色应与建筑色标一致。</w:t>
      </w:r>
    </w:p>
    <w:p w14:paraId="70F047B8">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p w14:paraId="4CFC4D69">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640" w:name="_Toc526064885"/>
      <w:r>
        <w:rPr>
          <w:rFonts w:eastAsiaTheme="minorEastAsia"/>
          <w:bCs/>
          <w:color w:val="000000" w:themeColor="text1"/>
          <w:szCs w:val="24"/>
          <w14:textFill>
            <w14:solidFill>
              <w14:schemeClr w14:val="tx1"/>
            </w14:solidFill>
          </w14:textFill>
        </w:rPr>
        <w:t xml:space="preserve"> </w:t>
      </w:r>
      <w:bookmarkStart w:id="641" w:name="_Toc220074811"/>
      <w:bookmarkStart w:id="642" w:name="_Toc526079169"/>
      <w:bookmarkStart w:id="643" w:name="_Toc526079275"/>
      <w:r>
        <w:rPr>
          <w:rFonts w:hint="eastAsia" w:eastAsiaTheme="minorEastAsia"/>
          <w:bCs/>
          <w:color w:val="000000" w:themeColor="text1"/>
          <w:szCs w:val="24"/>
          <w14:textFill>
            <w14:solidFill>
              <w14:schemeClr w14:val="tx1"/>
            </w14:solidFill>
          </w14:textFill>
        </w:rPr>
        <w:t>接口及责任</w:t>
      </w:r>
      <w:bookmarkEnd w:id="640"/>
      <w:bookmarkEnd w:id="641"/>
      <w:bookmarkEnd w:id="642"/>
      <w:bookmarkEnd w:id="643"/>
    </w:p>
    <w:bookmarkEnd w:id="533"/>
    <w:bookmarkEnd w:id="534"/>
    <w:bookmarkEnd w:id="535"/>
    <w:p w14:paraId="0632A0D2">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644" w:name="_Toc46020321"/>
      <w:bookmarkStart w:id="645" w:name="_Toc279850519"/>
      <w:bookmarkStart w:id="646" w:name="_Toc279850932"/>
      <w:r>
        <w:rPr>
          <w:rFonts w:ascii="Times New Roman" w:hAnsi="Times New Roman" w:eastAsiaTheme="minorEastAsia"/>
          <w:color w:val="000000" w:themeColor="text1"/>
          <w:sz w:val="24"/>
          <w:szCs w:val="24"/>
          <w14:textFill>
            <w14:solidFill>
              <w14:schemeClr w14:val="tx1"/>
            </w14:solidFill>
          </w14:textFill>
        </w:rPr>
        <w:t xml:space="preserve">4.6.1  </w:t>
      </w:r>
      <w:r>
        <w:rPr>
          <w:rFonts w:hint="eastAsia" w:ascii="Times New Roman" w:hAnsi="Times New Roman" w:eastAsiaTheme="minorEastAsia"/>
          <w:color w:val="000000" w:themeColor="text1"/>
          <w:sz w:val="24"/>
          <w:szCs w:val="24"/>
          <w14:textFill>
            <w14:solidFill>
              <w14:schemeClr w14:val="tx1"/>
            </w14:solidFill>
          </w14:textFill>
        </w:rPr>
        <w:t>责任</w:t>
      </w:r>
      <w:bookmarkEnd w:id="644"/>
    </w:p>
    <w:p w14:paraId="5F504C70">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4.6.1.1  </w:t>
      </w:r>
      <w:r>
        <w:rPr>
          <w:rFonts w:hint="eastAsia" w:ascii="Times New Roman" w:hAnsi="Times New Roman" w:eastAsiaTheme="minorEastAsia"/>
          <w:color w:val="000000" w:themeColor="text1"/>
          <w:sz w:val="24"/>
          <w:szCs w:val="24"/>
          <w14:textFill>
            <w14:solidFill>
              <w14:schemeClr w14:val="tx1"/>
            </w14:solidFill>
          </w14:textFill>
        </w:rPr>
        <w:t>投标方应为本工程换流站的主控楼人员用房、</w:t>
      </w:r>
      <w:r>
        <w:rPr>
          <w:rFonts w:hint="eastAsia"/>
          <w:color w:val="000000" w:themeColor="text1"/>
          <w:sz w:val="24"/>
          <w:szCs w:val="24"/>
          <w14:textFill>
            <w14:solidFill>
              <w14:schemeClr w14:val="tx1"/>
            </w14:solidFill>
          </w14:textFill>
        </w:rPr>
        <w:t>贵州侧GIS室、湖南侧GIS室、专用品仓库、二次备品库及车库、综合泵房、综合楼、警传室、油化实验室、阀冷排水在线监测间</w:t>
      </w:r>
      <w:r>
        <w:rPr>
          <w:rFonts w:hint="eastAsia" w:ascii="Times New Roman" w:hAnsi="Times New Roman" w:eastAsiaTheme="minorEastAsia"/>
          <w:color w:val="000000" w:themeColor="text1"/>
          <w:sz w:val="24"/>
          <w:szCs w:val="24"/>
          <w14:textFill>
            <w14:solidFill>
              <w14:schemeClr w14:val="tx1"/>
            </w14:solidFill>
          </w14:textFill>
        </w:rPr>
        <w:t>提供功能完整、安全可靠的通风及空调设备，并对设备的技术、性能、设计、安全、可靠性及加工制造的部件质量全面负责。</w:t>
      </w:r>
    </w:p>
    <w:p w14:paraId="26914EB7">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4.6.1.2  </w:t>
      </w:r>
      <w:r>
        <w:rPr>
          <w:rFonts w:hint="eastAsia" w:ascii="Times New Roman" w:hAnsi="Times New Roman" w:eastAsiaTheme="minorEastAsia"/>
          <w:color w:val="000000" w:themeColor="text1"/>
          <w:sz w:val="24"/>
          <w:szCs w:val="24"/>
          <w14:textFill>
            <w14:solidFill>
              <w14:schemeClr w14:val="tx1"/>
            </w14:solidFill>
          </w14:textFill>
        </w:rPr>
        <w:t>投标方应负责通风及空调设备和材料的供货、安装、调试、试运行和交付。通风空调设备、自控系统装置、电源装置、电缆、管线、支吊架、风口等所有设备、材料全部由投标方供货。通风空调系统设备安装和空调系统相关的电气系统与自控系统、所有和通风空调系统有关的通风空调管道、电气和自控管道、风口、电气设备的内部接线设计、接地安装、自控系统布线及设备的布置、安装、调试全部都由投标方负责完成，并将能正常运行、符合要求的通风空调系统按规定移交招标方。</w:t>
      </w:r>
    </w:p>
    <w:p w14:paraId="2F8576C8">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4.6.1.3  </w:t>
      </w:r>
      <w:r>
        <w:rPr>
          <w:rFonts w:hint="eastAsia" w:ascii="Times New Roman" w:hAnsi="Times New Roman" w:eastAsiaTheme="minorEastAsia"/>
          <w:color w:val="000000" w:themeColor="text1"/>
          <w:sz w:val="24"/>
          <w:szCs w:val="24"/>
          <w14:textFill>
            <w14:solidFill>
              <w14:schemeClr w14:val="tx1"/>
            </w14:solidFill>
          </w14:textFill>
        </w:rPr>
        <w:t>投标方应负责所有设备、风管及风阀、水管及水阀、制冷剂管、管道配件及其他安装材料在现场的保管和存放。</w:t>
      </w:r>
    </w:p>
    <w:p w14:paraId="2E2AA841">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4.6.1.4  </w:t>
      </w:r>
      <w:r>
        <w:rPr>
          <w:rFonts w:hint="eastAsia" w:ascii="Times New Roman" w:hAnsi="Times New Roman" w:eastAsiaTheme="minorEastAsia"/>
          <w:color w:val="000000" w:themeColor="text1"/>
          <w:sz w:val="24"/>
          <w:szCs w:val="24"/>
          <w14:textFill>
            <w14:solidFill>
              <w14:schemeClr w14:val="tx1"/>
            </w14:solidFill>
          </w14:textFill>
        </w:rPr>
        <w:t>投标方负责对招标方运行人员的免费技术培训，并使这些培训人员能熟练地操作、维护、修改和调试控制系统，培训时间、地点及次数由招标方确定。</w:t>
      </w:r>
    </w:p>
    <w:p w14:paraId="35859809">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4.6.1.5  </w:t>
      </w:r>
      <w:r>
        <w:rPr>
          <w:rFonts w:hint="eastAsia" w:ascii="Times New Roman" w:hAnsi="Times New Roman" w:eastAsiaTheme="minorEastAsia"/>
          <w:color w:val="000000" w:themeColor="text1"/>
          <w:sz w:val="24"/>
          <w:szCs w:val="24"/>
          <w14:textFill>
            <w14:solidFill>
              <w14:schemeClr w14:val="tx1"/>
            </w14:solidFill>
          </w14:textFill>
        </w:rPr>
        <w:t>投标方提供设计、制造、安装、运行、检验、使用和维修的技术文件和图纸。</w:t>
      </w:r>
    </w:p>
    <w:p w14:paraId="6126639D">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4.6.1.6  </w:t>
      </w:r>
      <w:r>
        <w:rPr>
          <w:rFonts w:hint="eastAsia" w:ascii="Times New Roman" w:hAnsi="Times New Roman" w:eastAsiaTheme="minorEastAsia"/>
          <w:color w:val="000000" w:themeColor="text1"/>
          <w:sz w:val="24"/>
          <w:szCs w:val="24"/>
          <w14:textFill>
            <w14:solidFill>
              <w14:schemeClr w14:val="tx1"/>
            </w14:solidFill>
          </w14:textFill>
        </w:rPr>
        <w:t>投标方提供备品备件、专用工具和仪器，并保证在设备寿命期内按合同提供备品备件。</w:t>
      </w:r>
    </w:p>
    <w:p w14:paraId="18C86FC7">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4.6.1.7  </w:t>
      </w:r>
      <w:r>
        <w:rPr>
          <w:rFonts w:hint="eastAsia" w:ascii="Times New Roman" w:hAnsi="Times New Roman" w:eastAsiaTheme="minorEastAsia"/>
          <w:color w:val="000000" w:themeColor="text1"/>
          <w:sz w:val="24"/>
          <w:szCs w:val="24"/>
          <w14:textFill>
            <w14:solidFill>
              <w14:schemeClr w14:val="tx1"/>
            </w14:solidFill>
          </w14:textFill>
        </w:rPr>
        <w:t>合同签订后，投标方应根据本工程里程碑的要求，向招标方提出一个详尽的工作计划报表，见附录</w:t>
      </w:r>
      <w:r>
        <w:rPr>
          <w:rFonts w:ascii="Times New Roman" w:hAnsi="Times New Roman" w:eastAsiaTheme="minorEastAsia"/>
          <w:color w:val="000000" w:themeColor="text1"/>
          <w:sz w:val="24"/>
          <w:szCs w:val="24"/>
          <w14:textFill>
            <w14:solidFill>
              <w14:schemeClr w14:val="tx1"/>
            </w14:solidFill>
          </w14:textFill>
        </w:rPr>
        <w:t xml:space="preserve">E </w:t>
      </w:r>
      <w:r>
        <w:rPr>
          <w:rFonts w:hint="eastAsia" w:ascii="Times New Roman" w:hAnsi="Times New Roman" w:eastAsiaTheme="minorEastAsia"/>
          <w:color w:val="000000" w:themeColor="text1"/>
          <w:sz w:val="24"/>
          <w:szCs w:val="24"/>
          <w14:textFill>
            <w14:solidFill>
              <w14:schemeClr w14:val="tx1"/>
            </w14:solidFill>
          </w14:textFill>
        </w:rPr>
        <w:t>工作计划（进度）报表，包括设备设计、材料采购、设备制造、工厂测试以及运输、安装、调试、试运行、现场试验及验收等的详细工作内容及进度。如有延误，投标方应及时将延误原因、后果及采取的补救措施等向招标方加以说明。</w:t>
      </w:r>
    </w:p>
    <w:p w14:paraId="5C74F4CA">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4.6.1.8  </w:t>
      </w:r>
      <w:r>
        <w:rPr>
          <w:rFonts w:hint="eastAsia" w:ascii="Times New Roman" w:hAnsi="Times New Roman" w:eastAsiaTheme="minorEastAsia"/>
          <w:color w:val="000000" w:themeColor="text1"/>
          <w:sz w:val="24"/>
          <w:szCs w:val="24"/>
          <w14:textFill>
            <w14:solidFill>
              <w14:schemeClr w14:val="tx1"/>
            </w14:solidFill>
          </w14:textFill>
        </w:rPr>
        <w:t>投标方应负责配电及集中监控系统的设计，并提交设计院审核。</w:t>
      </w:r>
    </w:p>
    <w:p w14:paraId="0DDFDEE0">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647" w:name="_Toc46020323"/>
      <w:r>
        <w:rPr>
          <w:rFonts w:ascii="Times New Roman" w:hAnsi="Times New Roman" w:eastAsiaTheme="minorEastAsia"/>
          <w:color w:val="000000" w:themeColor="text1"/>
          <w:sz w:val="24"/>
          <w:szCs w:val="24"/>
          <w14:textFill>
            <w14:solidFill>
              <w14:schemeClr w14:val="tx1"/>
            </w14:solidFill>
          </w14:textFill>
        </w:rPr>
        <w:t xml:space="preserve">4.6.2  </w:t>
      </w:r>
      <w:r>
        <w:rPr>
          <w:rFonts w:hint="eastAsia" w:ascii="Times New Roman" w:hAnsi="Times New Roman" w:eastAsiaTheme="minorEastAsia"/>
          <w:color w:val="000000" w:themeColor="text1"/>
          <w:sz w:val="24"/>
          <w:szCs w:val="24"/>
          <w14:textFill>
            <w14:solidFill>
              <w14:schemeClr w14:val="tx1"/>
            </w14:solidFill>
          </w14:textFill>
        </w:rPr>
        <w:t>接口</w:t>
      </w:r>
      <w:bookmarkEnd w:id="647"/>
    </w:p>
    <w:p w14:paraId="6075E3A8">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648" w:name="_Toc46020324"/>
      <w:r>
        <w:rPr>
          <w:rFonts w:hint="eastAsia" w:ascii="Times New Roman" w:hAnsi="Times New Roman" w:eastAsiaTheme="minorEastAsia"/>
          <w:color w:val="000000" w:themeColor="text1"/>
          <w:sz w:val="24"/>
          <w:szCs w:val="24"/>
          <w14:textFill>
            <w14:solidFill>
              <w14:schemeClr w14:val="tx1"/>
            </w14:solidFill>
          </w14:textFill>
        </w:rPr>
        <w:t>电气、给排水及土建接口如下：</w:t>
      </w:r>
    </w:p>
    <w:p w14:paraId="25AB8B49">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1</w:t>
      </w:r>
      <w:r>
        <w:rPr>
          <w:rFonts w:hint="eastAsia" w:ascii="Times New Roman" w:hAnsi="Times New Roman" w:eastAsiaTheme="minorEastAsia"/>
          <w:color w:val="000000" w:themeColor="text1"/>
          <w:sz w:val="24"/>
          <w:szCs w:val="24"/>
          <w14:textFill>
            <w14:solidFill>
              <w14:schemeClr w14:val="tx1"/>
            </w14:solidFill>
          </w14:textFill>
        </w:rPr>
        <w:t>）投标方负责主控楼人员用房、</w:t>
      </w:r>
      <w:r>
        <w:rPr>
          <w:rFonts w:hint="eastAsia"/>
          <w:color w:val="000000" w:themeColor="text1"/>
          <w:sz w:val="24"/>
          <w:szCs w:val="24"/>
          <w14:textFill>
            <w14:solidFill>
              <w14:schemeClr w14:val="tx1"/>
            </w14:solidFill>
          </w14:textFill>
        </w:rPr>
        <w:t>贵州侧GIS室、湖南侧GIS室、专用品仓库、二次备品库及车库、综合泵房、综合楼、警传室、油化实验室、阀冷排水在线监测间</w:t>
      </w:r>
      <w:r>
        <w:rPr>
          <w:rFonts w:hint="eastAsia" w:ascii="Times New Roman" w:hAnsi="Times New Roman" w:eastAsiaTheme="minorEastAsia"/>
          <w:color w:val="000000" w:themeColor="text1"/>
          <w:sz w:val="24"/>
          <w:szCs w:val="24"/>
          <w14:textFill>
            <w14:solidFill>
              <w14:schemeClr w14:val="tx1"/>
            </w14:solidFill>
          </w14:textFill>
        </w:rPr>
        <w:t>的通风、空调设备及材料的采购、安装、调试、试运行、验收及性能保证等，以及相关的土建施工内容，包括设备基础、预埋件、楼板及墙上孔洞（含封堵）、电缆沟等。设备及管道安装后与墙体和楼板之间留下的缝隙应由投标方完成封堵，并应满足建筑物室内环境及防火和防虫鼠等要求。投标方提供设备安装用膨胀螺栓以及减振装置。</w:t>
      </w:r>
    </w:p>
    <w:p w14:paraId="410B2E89">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2</w:t>
      </w:r>
      <w:r>
        <w:rPr>
          <w:rFonts w:hint="eastAsia" w:ascii="Times New Roman" w:hAnsi="Times New Roman" w:eastAsiaTheme="minorEastAsia"/>
          <w:color w:val="000000" w:themeColor="text1"/>
          <w:sz w:val="24"/>
          <w:szCs w:val="24"/>
          <w14:textFill>
            <w14:solidFill>
              <w14:schemeClr w14:val="tx1"/>
            </w14:solidFill>
          </w14:textFill>
        </w:rPr>
        <w:t>）通风空调系统的电源进线、电缆火灾报警信号电缆由招标方负责提供至投标方电源柜端子排，其后的电源切换装置及通风空调系统内部连接的动力</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控制电缆全部由投标方负责。通风空调系统自控系统相应的与辅助智能控制后台间连接的控制电缆由招标方负责，投标方配合，其余的电缆全部由投标方供货并安装。通风空调系统电缆布线及桥架全部由投标方负责。投标方空调自动控制系统的设计及供货，并预留通讯接口。投标方应负责空调系统电缆桥架和槽盒的成品保护。</w:t>
      </w:r>
    </w:p>
    <w:p w14:paraId="0A131691">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3</w:t>
      </w:r>
      <w:r>
        <w:rPr>
          <w:rFonts w:hint="eastAsia" w:ascii="Times New Roman" w:hAnsi="Times New Roman" w:eastAsiaTheme="minorEastAsia"/>
          <w:color w:val="000000" w:themeColor="text1"/>
          <w:sz w:val="24"/>
          <w:szCs w:val="24"/>
          <w14:textFill>
            <w14:solidFill>
              <w14:schemeClr w14:val="tx1"/>
            </w14:solidFill>
          </w14:textFill>
        </w:rPr>
        <w:t>）主控楼人员用房、</w:t>
      </w:r>
      <w:r>
        <w:rPr>
          <w:rFonts w:hint="eastAsia"/>
          <w:color w:val="000000" w:themeColor="text1"/>
          <w:sz w:val="24"/>
          <w:szCs w:val="24"/>
          <w14:textFill>
            <w14:solidFill>
              <w14:schemeClr w14:val="tx1"/>
            </w14:solidFill>
          </w14:textFill>
        </w:rPr>
        <w:t>贵州侧GIS室、湖南侧GIS室、专用品仓库、二次备品库及车库、综合泵房、综合楼、警传室、油化实验室、阀冷排水在线监测间的</w:t>
      </w:r>
      <w:r>
        <w:rPr>
          <w:rFonts w:hint="eastAsia" w:ascii="Times New Roman" w:hAnsi="Times New Roman" w:eastAsiaTheme="minorEastAsia"/>
          <w:color w:val="000000" w:themeColor="text1"/>
          <w:sz w:val="24"/>
          <w:szCs w:val="24"/>
          <w14:textFill>
            <w14:solidFill>
              <w14:schemeClr w14:val="tx1"/>
            </w14:solidFill>
          </w14:textFill>
        </w:rPr>
        <w:t>风机控制箱由投标方供货，风机控制要求由招标方提出，投标方负责实现风机的就地控制与远程控制，远程控制接入空调集中监控系统。投标方应实现（包括但不限于）以下控制要求： GIS室的风机应与SF6环境监控系统联动，SF6泄漏时自动启动所有风机，相关控制系统由投标方负责，招标方负责预留SF6环境监控系统的启停风机信号接点。蓄电池室的空调及风机与氢气浓度检测仪联锁，当室内空气中氢气体积浓度达到0.4%时，风机应能自动投入运行，空调停运。应实现单元式空调机组或降温型除湿机运行状态远程监控、远程启闭设备及调节运行状态等功能，接入空调集中监控系统。通风空调系统的电动风机与风阀的联动由投标方实现；防排烟系统中风阀与消防风机硬接线连锁由投标方实现，其他连锁方式由消防报警系统实现。</w:t>
      </w:r>
    </w:p>
    <w:p w14:paraId="65050E64">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4</w:t>
      </w:r>
      <w:r>
        <w:rPr>
          <w:rFonts w:hint="eastAsia" w:ascii="Times New Roman" w:hAnsi="Times New Roman" w:eastAsiaTheme="minorEastAsia"/>
          <w:color w:val="000000" w:themeColor="text1"/>
          <w:sz w:val="24"/>
          <w:szCs w:val="24"/>
          <w14:textFill>
            <w14:solidFill>
              <w14:schemeClr w14:val="tx1"/>
            </w14:solidFill>
          </w14:textFill>
        </w:rPr>
        <w:t>）与全站辅助控制后台系统的控制接口在投标方集中</w:t>
      </w:r>
      <w:r>
        <w:rPr>
          <w:rFonts w:ascii="Times New Roman" w:hAnsi="Times New Roman" w:eastAsiaTheme="minorEastAsia"/>
          <w:color w:val="000000" w:themeColor="text1"/>
          <w:sz w:val="24"/>
          <w:szCs w:val="24"/>
          <w14:textFill>
            <w14:solidFill>
              <w14:schemeClr w14:val="tx1"/>
            </w14:solidFill>
          </w14:textFill>
        </w:rPr>
        <w:t>PLC</w:t>
      </w:r>
      <w:r>
        <w:rPr>
          <w:rFonts w:hint="eastAsia" w:ascii="Times New Roman" w:hAnsi="Times New Roman" w:eastAsiaTheme="minorEastAsia"/>
          <w:color w:val="000000" w:themeColor="text1"/>
          <w:sz w:val="24"/>
          <w:szCs w:val="24"/>
          <w14:textFill>
            <w14:solidFill>
              <w14:schemeClr w14:val="tx1"/>
            </w14:solidFill>
          </w14:textFill>
        </w:rPr>
        <w:t>控制柜输入</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输出接口，与消防报警控制系统接口在投标方相关控制柜（控制箱）输入</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输出端口。</w:t>
      </w:r>
    </w:p>
    <w:p w14:paraId="0E05FD41">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5</w:t>
      </w:r>
      <w:r>
        <w:rPr>
          <w:rFonts w:hint="eastAsia" w:ascii="Times New Roman" w:hAnsi="Times New Roman" w:eastAsiaTheme="minorEastAsia"/>
          <w:color w:val="000000" w:themeColor="text1"/>
          <w:sz w:val="24"/>
          <w:szCs w:val="24"/>
          <w14:textFill>
            <w14:solidFill>
              <w14:schemeClr w14:val="tx1"/>
            </w14:solidFill>
          </w14:textFill>
        </w:rPr>
        <w:t>）补水水源采用生活水，供水接口在投标方补水装置外</w:t>
      </w:r>
      <w:r>
        <w:rPr>
          <w:rFonts w:ascii="Times New Roman" w:hAnsi="Times New Roman" w:eastAsiaTheme="minorEastAsia"/>
          <w:color w:val="000000" w:themeColor="text1"/>
          <w:sz w:val="24"/>
          <w:szCs w:val="24"/>
          <w14:textFill>
            <w14:solidFill>
              <w14:schemeClr w14:val="tx1"/>
            </w14:solidFill>
          </w14:textFill>
        </w:rPr>
        <w:t>1m</w:t>
      </w:r>
      <w:r>
        <w:rPr>
          <w:rFonts w:hint="eastAsia" w:ascii="Times New Roman" w:hAnsi="Times New Roman" w:eastAsiaTheme="minorEastAsia"/>
          <w:color w:val="000000" w:themeColor="text1"/>
          <w:sz w:val="24"/>
          <w:szCs w:val="24"/>
          <w14:textFill>
            <w14:solidFill>
              <w14:schemeClr w14:val="tx1"/>
            </w14:solidFill>
          </w14:textFill>
        </w:rPr>
        <w:t>，水质按站区生活用水。水源接口点及以后的设备</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管道均由投标方负责并安装。所有排水点由投标方根据图纸引入换流站排水井、排水沟、地漏和雨落管。</w:t>
      </w:r>
    </w:p>
    <w:p w14:paraId="16D161CF">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6</w:t>
      </w:r>
      <w:r>
        <w:rPr>
          <w:rFonts w:hint="eastAsia" w:ascii="Times New Roman" w:hAnsi="Times New Roman" w:eastAsiaTheme="minorEastAsia"/>
          <w:color w:val="000000" w:themeColor="text1"/>
          <w:sz w:val="24"/>
          <w:szCs w:val="24"/>
          <w14:textFill>
            <w14:solidFill>
              <w14:schemeClr w14:val="tx1"/>
            </w14:solidFill>
          </w14:textFill>
        </w:rPr>
        <w:t>）所有投标方提供的设备，均应保证设备金属外壳拼装处配置良好的跨接接地设施，接地铜绞线最小截面积为</w:t>
      </w:r>
      <w:r>
        <w:rPr>
          <w:rFonts w:ascii="Times New Roman" w:hAnsi="Times New Roman" w:eastAsiaTheme="minorEastAsia"/>
          <w:color w:val="000000" w:themeColor="text1"/>
          <w:sz w:val="24"/>
          <w:szCs w:val="24"/>
          <w14:textFill>
            <w14:solidFill>
              <w14:schemeClr w14:val="tx1"/>
            </w14:solidFill>
          </w14:textFill>
        </w:rPr>
        <w:t>35mm</w:t>
      </w:r>
      <w:r>
        <w:rPr>
          <w:rFonts w:ascii="Times New Roman" w:hAnsi="Times New Roman" w:eastAsiaTheme="minorEastAsia"/>
          <w:color w:val="000000" w:themeColor="text1"/>
          <w:sz w:val="24"/>
          <w:szCs w:val="24"/>
          <w:vertAlign w:val="superscript"/>
          <w14:textFill>
            <w14:solidFill>
              <w14:schemeClr w14:val="tx1"/>
            </w14:solidFill>
          </w14:textFill>
        </w:rPr>
        <w:t>2</w:t>
      </w:r>
      <w:r>
        <w:rPr>
          <w:rFonts w:hint="eastAsia" w:ascii="Times New Roman" w:hAnsi="Times New Roman" w:eastAsiaTheme="minorEastAsia"/>
          <w:color w:val="000000" w:themeColor="text1"/>
          <w:sz w:val="24"/>
          <w:szCs w:val="24"/>
          <w14:textFill>
            <w14:solidFill>
              <w14:schemeClr w14:val="tx1"/>
            </w14:solidFill>
          </w14:textFill>
        </w:rPr>
        <w:t>，并要求设备金属外壳两端均配置不少于</w:t>
      </w:r>
      <w:r>
        <w:rPr>
          <w:rFonts w:ascii="Times New Roman" w:hAnsi="Times New Roman" w:eastAsiaTheme="minorEastAsia"/>
          <w:color w:val="000000" w:themeColor="text1"/>
          <w:sz w:val="24"/>
          <w:szCs w:val="24"/>
          <w14:textFill>
            <w14:solidFill>
              <w14:schemeClr w14:val="tx1"/>
            </w14:solidFill>
          </w14:textFill>
        </w:rPr>
        <w:t>2</w:t>
      </w:r>
      <w:r>
        <w:rPr>
          <w:rFonts w:hint="eastAsia" w:ascii="Times New Roman" w:hAnsi="Times New Roman" w:eastAsiaTheme="minorEastAsia"/>
          <w:color w:val="000000" w:themeColor="text1"/>
          <w:sz w:val="24"/>
          <w:szCs w:val="24"/>
          <w14:textFill>
            <w14:solidFill>
              <w14:schemeClr w14:val="tx1"/>
            </w14:solidFill>
          </w14:textFill>
        </w:rPr>
        <w:t>个接地端子。投标方所供空调设备的接地、水管和风管的管段间等电位连接</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含材料及施工</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均由投标方负责。</w:t>
      </w:r>
    </w:p>
    <w:p w14:paraId="79A208B4">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bookmarkEnd w:id="648"/>
    <w:p w14:paraId="5834DEAB">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649" w:name="_Toc526064886"/>
      <w:r>
        <w:rPr>
          <w:rFonts w:eastAsiaTheme="minorEastAsia"/>
          <w:bCs/>
          <w:color w:val="000000" w:themeColor="text1"/>
          <w:szCs w:val="24"/>
          <w14:textFill>
            <w14:solidFill>
              <w14:schemeClr w14:val="tx1"/>
            </w14:solidFill>
          </w14:textFill>
        </w:rPr>
        <w:t xml:space="preserve"> </w:t>
      </w:r>
      <w:bookmarkStart w:id="650" w:name="_Toc526079170"/>
      <w:bookmarkStart w:id="651" w:name="_Toc220074812"/>
      <w:bookmarkStart w:id="652" w:name="_Toc526079276"/>
      <w:r>
        <w:rPr>
          <w:rFonts w:hint="eastAsia" w:eastAsiaTheme="minorEastAsia"/>
          <w:bCs/>
          <w:color w:val="000000" w:themeColor="text1"/>
          <w:szCs w:val="24"/>
          <w14:textFill>
            <w14:solidFill>
              <w14:schemeClr w14:val="tx1"/>
            </w14:solidFill>
          </w14:textFill>
        </w:rPr>
        <w:t>铭</w:t>
      </w:r>
      <w:r>
        <w:rPr>
          <w:rFonts w:eastAsiaTheme="minorEastAsia"/>
          <w:bCs/>
          <w:color w:val="000000" w:themeColor="text1"/>
          <w:szCs w:val="24"/>
          <w14:textFill>
            <w14:solidFill>
              <w14:schemeClr w14:val="tx1"/>
            </w14:solidFill>
          </w14:textFill>
        </w:rPr>
        <w:t xml:space="preserve">  </w:t>
      </w:r>
      <w:r>
        <w:rPr>
          <w:rFonts w:hint="eastAsia" w:eastAsiaTheme="minorEastAsia"/>
          <w:bCs/>
          <w:color w:val="000000" w:themeColor="text1"/>
          <w:szCs w:val="24"/>
          <w14:textFill>
            <w14:solidFill>
              <w14:schemeClr w14:val="tx1"/>
            </w14:solidFill>
          </w14:textFill>
        </w:rPr>
        <w:t>牌</w:t>
      </w:r>
      <w:bookmarkEnd w:id="645"/>
      <w:bookmarkEnd w:id="646"/>
      <w:bookmarkEnd w:id="649"/>
      <w:bookmarkEnd w:id="650"/>
      <w:bookmarkEnd w:id="651"/>
      <w:bookmarkEnd w:id="652"/>
    </w:p>
    <w:p w14:paraId="7F4F3AEE">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所有设备应有一块不锈钢制成的铭牌，且永久性地固定在设备外壁明显处，铭牌上至少应有以下几项内容：</w:t>
      </w:r>
    </w:p>
    <w:p w14:paraId="1D94C37C">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1</w:t>
      </w:r>
      <w:r>
        <w:rPr>
          <w:rFonts w:hint="eastAsia" w:ascii="Times New Roman" w:hAnsi="Times New Roman" w:eastAsiaTheme="minorEastAsia"/>
          <w:color w:val="000000" w:themeColor="text1"/>
          <w:sz w:val="24"/>
          <w:szCs w:val="24"/>
          <w14:textFill>
            <w14:solidFill>
              <w14:schemeClr w14:val="tx1"/>
            </w14:solidFill>
          </w14:textFill>
        </w:rPr>
        <w:t>）招标方所确定的设备编号</w:t>
      </w:r>
    </w:p>
    <w:p w14:paraId="6F1C2BCF">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2</w:t>
      </w:r>
      <w:r>
        <w:rPr>
          <w:rFonts w:hint="eastAsia" w:ascii="Times New Roman" w:hAnsi="Times New Roman" w:eastAsiaTheme="minorEastAsia"/>
          <w:color w:val="000000" w:themeColor="text1"/>
          <w:sz w:val="24"/>
          <w:szCs w:val="24"/>
          <w14:textFill>
            <w14:solidFill>
              <w14:schemeClr w14:val="tx1"/>
            </w14:solidFill>
          </w14:textFill>
        </w:rPr>
        <w:t>）制造厂的名称及成品的系列编号</w:t>
      </w:r>
    </w:p>
    <w:p w14:paraId="26C99425">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3</w:t>
      </w:r>
      <w:r>
        <w:rPr>
          <w:rFonts w:hint="eastAsia" w:ascii="Times New Roman" w:hAnsi="Times New Roman" w:eastAsiaTheme="minorEastAsia"/>
          <w:color w:val="000000" w:themeColor="text1"/>
          <w:sz w:val="24"/>
          <w:szCs w:val="24"/>
          <w14:textFill>
            <w14:solidFill>
              <w14:schemeClr w14:val="tx1"/>
            </w14:solidFill>
          </w14:textFill>
        </w:rPr>
        <w:t>）设备名称</w:t>
      </w:r>
    </w:p>
    <w:p w14:paraId="1E45114E">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4</w:t>
      </w:r>
      <w:r>
        <w:rPr>
          <w:rFonts w:hint="eastAsia" w:ascii="Times New Roman" w:hAnsi="Times New Roman" w:eastAsiaTheme="minorEastAsia"/>
          <w:color w:val="000000" w:themeColor="text1"/>
          <w:sz w:val="24"/>
          <w:szCs w:val="24"/>
          <w14:textFill>
            <w14:solidFill>
              <w14:schemeClr w14:val="tx1"/>
            </w14:solidFill>
          </w14:textFill>
        </w:rPr>
        <w:t>）机组的主要运行参数</w:t>
      </w:r>
    </w:p>
    <w:p w14:paraId="5AB5AA36">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5</w:t>
      </w:r>
      <w:r>
        <w:rPr>
          <w:rFonts w:hint="eastAsia" w:ascii="Times New Roman" w:hAnsi="Times New Roman" w:eastAsiaTheme="minorEastAsia"/>
          <w:color w:val="000000" w:themeColor="text1"/>
          <w:sz w:val="24"/>
          <w:szCs w:val="24"/>
          <w14:textFill>
            <w14:solidFill>
              <w14:schemeClr w14:val="tx1"/>
            </w14:solidFill>
          </w14:textFill>
        </w:rPr>
        <w:t>）机组运行重量</w:t>
      </w:r>
    </w:p>
    <w:p w14:paraId="064FC166">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6</w:t>
      </w:r>
      <w:r>
        <w:rPr>
          <w:rFonts w:hint="eastAsia" w:ascii="Times New Roman" w:hAnsi="Times New Roman" w:eastAsiaTheme="minorEastAsia"/>
          <w:color w:val="000000" w:themeColor="text1"/>
          <w:sz w:val="24"/>
          <w:szCs w:val="24"/>
          <w14:textFill>
            <w14:solidFill>
              <w14:schemeClr w14:val="tx1"/>
            </w14:solidFill>
          </w14:textFill>
        </w:rPr>
        <w:t>）设备生产日期</w:t>
      </w:r>
    </w:p>
    <w:p w14:paraId="6E59C466">
      <w:pPr>
        <w:pStyle w:val="122"/>
        <w:snapToGrid w:val="0"/>
        <w:spacing w:line="480" w:lineRule="atLeast"/>
        <w:ind w:firstLine="0" w:firstLineChars="0"/>
        <w:rPr>
          <w:rFonts w:ascii="Times New Roman" w:hAnsi="Times New Roman" w:eastAsiaTheme="minorEastAsia"/>
          <w:color w:val="000000" w:themeColor="text1"/>
          <w:sz w:val="24"/>
          <w:szCs w:val="24"/>
          <w14:textFill>
            <w14:solidFill>
              <w14:schemeClr w14:val="tx1"/>
            </w14:solidFill>
          </w14:textFill>
        </w:rPr>
      </w:pPr>
    </w:p>
    <w:p w14:paraId="5131F2B1">
      <w:pPr>
        <w:pStyle w:val="121"/>
        <w:numPr>
          <w:ilvl w:val="1"/>
          <w:numId w:val="44"/>
        </w:numPr>
        <w:tabs>
          <w:tab w:val="left" w:pos="567"/>
        </w:tabs>
        <w:snapToGrid w:val="0"/>
        <w:spacing w:line="480" w:lineRule="atLeast"/>
        <w:outlineLvl w:val="1"/>
        <w:rPr>
          <w:rFonts w:eastAsiaTheme="minorEastAsia"/>
          <w:bCs/>
          <w:color w:val="000000" w:themeColor="text1"/>
          <w:szCs w:val="24"/>
          <w14:textFill>
            <w14:solidFill>
              <w14:schemeClr w14:val="tx1"/>
            </w14:solidFill>
          </w14:textFill>
        </w:rPr>
      </w:pPr>
      <w:bookmarkStart w:id="653" w:name="_Toc526079172"/>
      <w:bookmarkStart w:id="654" w:name="_Toc220074813"/>
      <w:bookmarkStart w:id="655" w:name="_Toc526064888"/>
      <w:bookmarkStart w:id="656" w:name="_Toc526079278"/>
      <w:bookmarkStart w:id="657" w:name="_Toc279850521"/>
      <w:bookmarkStart w:id="658" w:name="_Toc279850934"/>
      <w:bookmarkStart w:id="659" w:name="_Toc282788475"/>
      <w:bookmarkStart w:id="660" w:name="_Toc279002293"/>
      <w:bookmarkStart w:id="661" w:name="_Toc279850520"/>
      <w:bookmarkStart w:id="662" w:name="_Toc526079277"/>
      <w:bookmarkStart w:id="663" w:name="_Toc526064887"/>
      <w:bookmarkStart w:id="664" w:name="_Toc526079171"/>
      <w:bookmarkStart w:id="665" w:name="_Toc279850933"/>
      <w:r>
        <w:rPr>
          <w:rFonts w:hint="eastAsia" w:eastAsiaTheme="minorEastAsia"/>
          <w:bCs/>
          <w:color w:val="000000" w:themeColor="text1"/>
          <w:szCs w:val="24"/>
          <w14:textFill>
            <w14:solidFill>
              <w14:schemeClr w14:val="tx1"/>
            </w14:solidFill>
          </w14:textFill>
        </w:rPr>
        <w:t>工厂试验</w:t>
      </w:r>
      <w:bookmarkEnd w:id="653"/>
      <w:bookmarkEnd w:id="654"/>
      <w:bookmarkEnd w:id="655"/>
      <w:bookmarkEnd w:id="656"/>
      <w:bookmarkEnd w:id="657"/>
      <w:bookmarkEnd w:id="658"/>
    </w:p>
    <w:p w14:paraId="04385349">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666" w:name="_Toc279850935"/>
      <w:bookmarkStart w:id="667" w:name="_Toc279850522"/>
      <w:r>
        <w:rPr>
          <w:rFonts w:ascii="Times New Roman" w:hAnsi="Times New Roman" w:eastAsiaTheme="minorEastAsia"/>
          <w:color w:val="000000" w:themeColor="text1"/>
          <w:sz w:val="24"/>
          <w:szCs w:val="24"/>
          <w14:textFill>
            <w14:solidFill>
              <w14:schemeClr w14:val="tx1"/>
            </w14:solidFill>
          </w14:textFill>
        </w:rPr>
        <w:t xml:space="preserve">5.1.1  </w:t>
      </w:r>
      <w:r>
        <w:rPr>
          <w:rFonts w:hint="eastAsia" w:ascii="Times New Roman" w:hAnsi="Times New Roman" w:eastAsiaTheme="minorEastAsia"/>
          <w:color w:val="000000" w:themeColor="text1"/>
          <w:sz w:val="24"/>
          <w:szCs w:val="24"/>
          <w14:textFill>
            <w14:solidFill>
              <w14:schemeClr w14:val="tx1"/>
            </w14:solidFill>
          </w14:textFill>
        </w:rPr>
        <w:t>制造设备或装置所使用的材料应根据国家有关标准进行试验，并向招标方提供非破坏性试验资料。</w:t>
      </w:r>
      <w:bookmarkEnd w:id="666"/>
      <w:bookmarkEnd w:id="667"/>
    </w:p>
    <w:p w14:paraId="7FDFC8F8">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668" w:name="_Toc279850936"/>
      <w:bookmarkStart w:id="669" w:name="_Toc279850523"/>
      <w:r>
        <w:rPr>
          <w:rFonts w:ascii="Times New Roman" w:hAnsi="Times New Roman" w:eastAsiaTheme="minorEastAsia"/>
          <w:color w:val="000000" w:themeColor="text1"/>
          <w:sz w:val="24"/>
          <w:szCs w:val="24"/>
          <w14:textFill>
            <w14:solidFill>
              <w14:schemeClr w14:val="tx1"/>
            </w14:solidFill>
          </w14:textFill>
        </w:rPr>
        <w:t xml:space="preserve">5.1.2  </w:t>
      </w:r>
      <w:r>
        <w:rPr>
          <w:rFonts w:hint="eastAsia" w:ascii="Times New Roman" w:hAnsi="Times New Roman" w:eastAsiaTheme="minorEastAsia"/>
          <w:color w:val="000000" w:themeColor="text1"/>
          <w:sz w:val="24"/>
          <w:szCs w:val="24"/>
          <w14:textFill>
            <w14:solidFill>
              <w14:schemeClr w14:val="tx1"/>
            </w14:solidFill>
          </w14:textFill>
        </w:rPr>
        <w:t>每套设备或装置均需进行出厂试验，经质量检验部门确认合格后方能出厂，并具有证明产品合格的出厂证明书。</w:t>
      </w:r>
      <w:bookmarkEnd w:id="668"/>
      <w:bookmarkEnd w:id="669"/>
    </w:p>
    <w:p w14:paraId="472DCDCD">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p w14:paraId="04D06A9B">
      <w:pPr>
        <w:pStyle w:val="121"/>
        <w:snapToGrid w:val="0"/>
        <w:spacing w:line="480" w:lineRule="atLeast"/>
        <w:ind w:left="0" w:firstLine="482" w:firstLineChars="200"/>
        <w:outlineLvl w:val="0"/>
        <w:rPr>
          <w:rFonts w:eastAsiaTheme="minorEastAsia"/>
          <w:color w:val="000000" w:themeColor="text1"/>
          <w:szCs w:val="24"/>
          <w14:textFill>
            <w14:solidFill>
              <w14:schemeClr w14:val="tx1"/>
            </w14:solidFill>
          </w14:textFill>
        </w:rPr>
      </w:pPr>
      <w:bookmarkStart w:id="670" w:name="_Toc220074814"/>
      <w:r>
        <w:rPr>
          <w:rFonts w:hint="eastAsia" w:eastAsiaTheme="minorEastAsia"/>
          <w:color w:val="000000" w:themeColor="text1"/>
          <w:szCs w:val="24"/>
          <w14:textFill>
            <w14:solidFill>
              <w14:schemeClr w14:val="tx1"/>
            </w14:solidFill>
          </w14:textFill>
        </w:rPr>
        <w:t>试</w:t>
      </w:r>
      <w:r>
        <w:rPr>
          <w:rFonts w:eastAsiaTheme="minorEastAsia"/>
          <w:color w:val="000000" w:themeColor="text1"/>
          <w:szCs w:val="24"/>
          <w14:textFill>
            <w14:solidFill>
              <w14:schemeClr w14:val="tx1"/>
            </w14:solidFill>
          </w14:textFill>
        </w:rPr>
        <w:t xml:space="preserve">  </w:t>
      </w:r>
      <w:r>
        <w:rPr>
          <w:rFonts w:hint="eastAsia" w:eastAsiaTheme="minorEastAsia"/>
          <w:color w:val="000000" w:themeColor="text1"/>
          <w:szCs w:val="24"/>
          <w14:textFill>
            <w14:solidFill>
              <w14:schemeClr w14:val="tx1"/>
            </w14:solidFill>
          </w14:textFill>
        </w:rPr>
        <w:t>验</w:t>
      </w:r>
      <w:bookmarkEnd w:id="659"/>
      <w:bookmarkEnd w:id="660"/>
      <w:bookmarkEnd w:id="661"/>
      <w:bookmarkEnd w:id="662"/>
      <w:bookmarkEnd w:id="663"/>
      <w:bookmarkEnd w:id="664"/>
      <w:bookmarkEnd w:id="665"/>
      <w:bookmarkEnd w:id="670"/>
    </w:p>
    <w:p w14:paraId="7502FE23">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671" w:name="_Toc279850524"/>
      <w:bookmarkStart w:id="672" w:name="_Toc526079173"/>
      <w:bookmarkStart w:id="673" w:name="_Toc220074815"/>
      <w:bookmarkStart w:id="674" w:name="_Toc526064889"/>
      <w:bookmarkStart w:id="675" w:name="_Toc526079279"/>
      <w:bookmarkStart w:id="676" w:name="_Toc279850937"/>
      <w:r>
        <w:rPr>
          <w:rFonts w:hint="eastAsia" w:eastAsiaTheme="minorEastAsia"/>
          <w:bCs/>
          <w:color w:val="000000" w:themeColor="text1"/>
          <w:szCs w:val="24"/>
          <w14:textFill>
            <w14:solidFill>
              <w14:schemeClr w14:val="tx1"/>
            </w14:solidFill>
          </w14:textFill>
        </w:rPr>
        <w:t>型式试验</w:t>
      </w:r>
      <w:bookmarkEnd w:id="671"/>
      <w:bookmarkEnd w:id="672"/>
      <w:bookmarkEnd w:id="673"/>
      <w:bookmarkEnd w:id="674"/>
      <w:bookmarkEnd w:id="675"/>
      <w:bookmarkEnd w:id="676"/>
    </w:p>
    <w:p w14:paraId="0EDC831F">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在下列任一情况下，设备或装置需进行型式试验：</w:t>
      </w:r>
    </w:p>
    <w:p w14:paraId="3C9F0039">
      <w:pPr>
        <w:pStyle w:val="122"/>
        <w:numPr>
          <w:ilvl w:val="0"/>
          <w:numId w:val="45"/>
        </w:numPr>
        <w:tabs>
          <w:tab w:val="left" w:pos="851"/>
          <w:tab w:val="clear" w:pos="2340"/>
        </w:tabs>
        <w:snapToGrid w:val="0"/>
        <w:spacing w:line="480" w:lineRule="atLeast"/>
        <w:ind w:left="0" w:firstLine="480"/>
        <w:rPr>
          <w:rFonts w:ascii="Times New Roman" w:hAnsi="Times New Roman" w:eastAsiaTheme="minorEastAsia"/>
          <w:color w:val="000000" w:themeColor="text1"/>
          <w:sz w:val="24"/>
          <w:szCs w:val="24"/>
          <w14:textFill>
            <w14:solidFill>
              <w14:schemeClr w14:val="tx1"/>
            </w14:solidFill>
          </w14:textFill>
        </w:rPr>
      </w:pPr>
      <w:bookmarkStart w:id="677" w:name="_Toc279850525"/>
      <w:bookmarkStart w:id="678" w:name="_Toc279850938"/>
      <w:r>
        <w:rPr>
          <w:rFonts w:hint="eastAsia" w:ascii="Times New Roman" w:hAnsi="Times New Roman" w:eastAsiaTheme="minorEastAsia"/>
          <w:color w:val="000000" w:themeColor="text1"/>
          <w:sz w:val="24"/>
          <w:szCs w:val="24"/>
          <w14:textFill>
            <w14:solidFill>
              <w14:schemeClr w14:val="tx1"/>
            </w14:solidFill>
          </w14:textFill>
        </w:rPr>
        <w:t>新设计投产的成套设备或装置，在鉴定前需进行新产品定型的型式试验。</w:t>
      </w:r>
      <w:bookmarkEnd w:id="677"/>
      <w:bookmarkEnd w:id="678"/>
    </w:p>
    <w:p w14:paraId="3AD85AE2">
      <w:pPr>
        <w:pStyle w:val="122"/>
        <w:numPr>
          <w:ilvl w:val="0"/>
          <w:numId w:val="45"/>
        </w:numPr>
        <w:tabs>
          <w:tab w:val="left" w:pos="851"/>
          <w:tab w:val="clear" w:pos="2340"/>
        </w:tabs>
        <w:snapToGrid w:val="0"/>
        <w:spacing w:line="480" w:lineRule="atLeast"/>
        <w:ind w:left="0" w:firstLine="480"/>
        <w:rPr>
          <w:rFonts w:ascii="Times New Roman" w:hAnsi="Times New Roman" w:eastAsiaTheme="minorEastAsia"/>
          <w:color w:val="000000" w:themeColor="text1"/>
          <w:sz w:val="24"/>
          <w:szCs w:val="24"/>
          <w14:textFill>
            <w14:solidFill>
              <w14:schemeClr w14:val="tx1"/>
            </w14:solidFill>
          </w14:textFill>
        </w:rPr>
      </w:pPr>
      <w:bookmarkStart w:id="679" w:name="_Toc279850526"/>
      <w:bookmarkStart w:id="680" w:name="_Toc279850939"/>
      <w:r>
        <w:rPr>
          <w:rFonts w:hint="eastAsia" w:ascii="Times New Roman" w:hAnsi="Times New Roman" w:eastAsiaTheme="minorEastAsia"/>
          <w:color w:val="000000" w:themeColor="text1"/>
          <w:sz w:val="24"/>
          <w:szCs w:val="24"/>
          <w14:textFill>
            <w14:solidFill>
              <w14:schemeClr w14:val="tx1"/>
            </w14:solidFill>
          </w14:textFill>
        </w:rPr>
        <w:t>连续生产的设备或装置，每</w:t>
      </w:r>
      <w:r>
        <w:rPr>
          <w:rFonts w:ascii="Times New Roman" w:hAnsi="Times New Roman" w:eastAsiaTheme="minorEastAsia"/>
          <w:color w:val="000000" w:themeColor="text1"/>
          <w:sz w:val="24"/>
          <w:szCs w:val="24"/>
          <w14:textFill>
            <w14:solidFill>
              <w14:schemeClr w14:val="tx1"/>
            </w14:solidFill>
          </w14:textFill>
        </w:rPr>
        <w:t>5</w:t>
      </w:r>
      <w:r>
        <w:rPr>
          <w:rFonts w:hint="eastAsia" w:ascii="Times New Roman" w:hAnsi="Times New Roman" w:eastAsiaTheme="minorEastAsia"/>
          <w:color w:val="000000" w:themeColor="text1"/>
          <w:sz w:val="24"/>
          <w:szCs w:val="24"/>
          <w14:textFill>
            <w14:solidFill>
              <w14:schemeClr w14:val="tx1"/>
            </w14:solidFill>
          </w14:textFill>
        </w:rPr>
        <w:t>年需对出厂检验合格的设备或装置进行一次型式试验。</w:t>
      </w:r>
      <w:bookmarkEnd w:id="679"/>
      <w:bookmarkEnd w:id="680"/>
    </w:p>
    <w:p w14:paraId="19235138">
      <w:pPr>
        <w:pStyle w:val="122"/>
        <w:numPr>
          <w:ilvl w:val="0"/>
          <w:numId w:val="45"/>
        </w:numPr>
        <w:tabs>
          <w:tab w:val="left" w:pos="851"/>
          <w:tab w:val="clear" w:pos="2340"/>
        </w:tabs>
        <w:snapToGrid w:val="0"/>
        <w:spacing w:line="480" w:lineRule="atLeast"/>
        <w:ind w:left="0" w:firstLine="480"/>
        <w:rPr>
          <w:rFonts w:ascii="Times New Roman" w:hAnsi="Times New Roman" w:eastAsiaTheme="minorEastAsia"/>
          <w:color w:val="000000" w:themeColor="text1"/>
          <w:sz w:val="24"/>
          <w:szCs w:val="24"/>
          <w14:textFill>
            <w14:solidFill>
              <w14:schemeClr w14:val="tx1"/>
            </w14:solidFill>
          </w14:textFill>
        </w:rPr>
      </w:pPr>
      <w:bookmarkStart w:id="681" w:name="_Toc279850527"/>
      <w:bookmarkStart w:id="682" w:name="_Toc279850940"/>
      <w:r>
        <w:rPr>
          <w:rFonts w:hint="eastAsia" w:ascii="Times New Roman" w:hAnsi="Times New Roman" w:eastAsiaTheme="minorEastAsia"/>
          <w:color w:val="000000" w:themeColor="text1"/>
          <w:sz w:val="24"/>
          <w:szCs w:val="24"/>
          <w14:textFill>
            <w14:solidFill>
              <w14:schemeClr w14:val="tx1"/>
            </w14:solidFill>
          </w14:textFill>
        </w:rPr>
        <w:t>当改变制造工艺或主要元件，而影响设备或装置的性能时，均需对首批投入生产的合格品进行型式试验。</w:t>
      </w:r>
      <w:bookmarkEnd w:id="681"/>
      <w:bookmarkEnd w:id="682"/>
    </w:p>
    <w:p w14:paraId="7AEF7EE6">
      <w:pPr>
        <w:pStyle w:val="122"/>
        <w:tabs>
          <w:tab w:val="left" w:pos="851"/>
          <w:tab w:val="clear" w:pos="2340"/>
        </w:tabs>
        <w:snapToGrid w:val="0"/>
        <w:spacing w:line="480" w:lineRule="atLeast"/>
        <w:ind w:left="480" w:firstLine="0" w:firstLineChars="0"/>
        <w:rPr>
          <w:rFonts w:ascii="Times New Roman" w:hAnsi="Times New Roman" w:eastAsiaTheme="minorEastAsia"/>
          <w:color w:val="000000" w:themeColor="text1"/>
          <w:sz w:val="24"/>
          <w:szCs w:val="24"/>
          <w14:textFill>
            <w14:solidFill>
              <w14:schemeClr w14:val="tx1"/>
            </w14:solidFill>
          </w14:textFill>
        </w:rPr>
      </w:pPr>
    </w:p>
    <w:p w14:paraId="50E4282D">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683" w:name="_Toc279850941"/>
      <w:bookmarkStart w:id="684" w:name="_Toc279850528"/>
      <w:bookmarkStart w:id="685" w:name="_Toc526064890"/>
      <w:r>
        <w:rPr>
          <w:rFonts w:eastAsiaTheme="minorEastAsia"/>
          <w:bCs/>
          <w:color w:val="000000" w:themeColor="text1"/>
          <w:szCs w:val="24"/>
          <w14:textFill>
            <w14:solidFill>
              <w14:schemeClr w14:val="tx1"/>
            </w14:solidFill>
          </w14:textFill>
        </w:rPr>
        <w:t xml:space="preserve"> </w:t>
      </w:r>
      <w:bookmarkStart w:id="686" w:name="_Toc526079174"/>
      <w:bookmarkStart w:id="687" w:name="_Toc526079280"/>
      <w:bookmarkStart w:id="688" w:name="_Toc220074816"/>
      <w:r>
        <w:rPr>
          <w:rFonts w:hint="eastAsia" w:eastAsiaTheme="minorEastAsia"/>
          <w:bCs/>
          <w:color w:val="000000" w:themeColor="text1"/>
          <w:szCs w:val="24"/>
          <w14:textFill>
            <w14:solidFill>
              <w14:schemeClr w14:val="tx1"/>
            </w14:solidFill>
          </w14:textFill>
        </w:rPr>
        <w:t>现场试验</w:t>
      </w:r>
      <w:bookmarkEnd w:id="683"/>
      <w:bookmarkEnd w:id="684"/>
      <w:bookmarkEnd w:id="685"/>
      <w:bookmarkEnd w:id="686"/>
      <w:bookmarkEnd w:id="687"/>
      <w:bookmarkEnd w:id="688"/>
    </w:p>
    <w:p w14:paraId="5BE63278">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689" w:name="_Toc279850942"/>
      <w:bookmarkStart w:id="690" w:name="_Toc279850529"/>
      <w:r>
        <w:rPr>
          <w:rFonts w:ascii="Times New Roman" w:hAnsi="Times New Roman" w:eastAsiaTheme="minorEastAsia"/>
          <w:color w:val="000000" w:themeColor="text1"/>
          <w:sz w:val="24"/>
          <w:szCs w:val="24"/>
          <w14:textFill>
            <w14:solidFill>
              <w14:schemeClr w14:val="tx1"/>
            </w14:solidFill>
          </w14:textFill>
        </w:rPr>
        <w:t xml:space="preserve">5.3.1  </w:t>
      </w:r>
      <w:r>
        <w:rPr>
          <w:rFonts w:hint="eastAsia" w:ascii="Times New Roman" w:hAnsi="Times New Roman" w:eastAsiaTheme="minorEastAsia"/>
          <w:color w:val="000000" w:themeColor="text1"/>
          <w:sz w:val="24"/>
          <w:szCs w:val="24"/>
          <w14:textFill>
            <w14:solidFill>
              <w14:schemeClr w14:val="tx1"/>
            </w14:solidFill>
          </w14:textFill>
        </w:rPr>
        <w:t>投标方提供的设备在安装完毕后需进行调试前试验，调试前试验是为了确保设备在运输和安装过程中没有受到损坏，能够按照设计要求安全地进行通电、启动和停机。</w:t>
      </w:r>
      <w:bookmarkEnd w:id="689"/>
      <w:bookmarkEnd w:id="690"/>
    </w:p>
    <w:p w14:paraId="292B038E">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691" w:name="_Toc279850943"/>
      <w:bookmarkStart w:id="692" w:name="_Toc279850530"/>
      <w:r>
        <w:rPr>
          <w:rFonts w:ascii="Times New Roman" w:hAnsi="Times New Roman" w:eastAsiaTheme="minorEastAsia"/>
          <w:color w:val="000000" w:themeColor="text1"/>
          <w:sz w:val="24"/>
          <w:szCs w:val="24"/>
          <w14:textFill>
            <w14:solidFill>
              <w14:schemeClr w14:val="tx1"/>
            </w14:solidFill>
          </w14:textFill>
        </w:rPr>
        <w:t xml:space="preserve">5.3.2  </w:t>
      </w:r>
      <w:r>
        <w:rPr>
          <w:rFonts w:hint="eastAsia" w:ascii="Times New Roman" w:hAnsi="Times New Roman" w:eastAsiaTheme="minorEastAsia"/>
          <w:color w:val="000000" w:themeColor="text1"/>
          <w:sz w:val="24"/>
          <w:szCs w:val="24"/>
          <w14:textFill>
            <w14:solidFill>
              <w14:schemeClr w14:val="tx1"/>
            </w14:solidFill>
          </w14:textFill>
        </w:rPr>
        <w:t>投标方应提出调试前试验计划表，计划表应包括试验目的、前提条件、程序、方法以及试验的预期结果。</w:t>
      </w:r>
      <w:bookmarkEnd w:id="691"/>
      <w:bookmarkEnd w:id="692"/>
    </w:p>
    <w:p w14:paraId="72342FE1">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693" w:name="_Toc279850944"/>
      <w:bookmarkStart w:id="694" w:name="_Toc279850531"/>
      <w:r>
        <w:rPr>
          <w:rFonts w:ascii="Times New Roman" w:hAnsi="Times New Roman" w:eastAsiaTheme="minorEastAsia"/>
          <w:color w:val="000000" w:themeColor="text1"/>
          <w:sz w:val="24"/>
          <w:szCs w:val="24"/>
          <w14:textFill>
            <w14:solidFill>
              <w14:schemeClr w14:val="tx1"/>
            </w14:solidFill>
          </w14:textFill>
        </w:rPr>
        <w:t xml:space="preserve">5.3.3  </w:t>
      </w:r>
      <w:r>
        <w:rPr>
          <w:rFonts w:hint="eastAsia" w:ascii="Times New Roman" w:hAnsi="Times New Roman" w:eastAsiaTheme="minorEastAsia"/>
          <w:color w:val="000000" w:themeColor="text1"/>
          <w:sz w:val="24"/>
          <w:szCs w:val="24"/>
          <w14:textFill>
            <w14:solidFill>
              <w14:schemeClr w14:val="tx1"/>
            </w14:solidFill>
          </w14:textFill>
        </w:rPr>
        <w:t>投标方应该进行系统功能试验，每个系统应提供下列数据文件</w:t>
      </w:r>
      <w:bookmarkEnd w:id="693"/>
      <w:bookmarkEnd w:id="694"/>
      <w:r>
        <w:rPr>
          <w:rFonts w:hint="eastAsia" w:ascii="Times New Roman" w:hAnsi="Times New Roman" w:eastAsiaTheme="minorEastAsia"/>
          <w:color w:val="000000" w:themeColor="text1"/>
          <w:sz w:val="24"/>
          <w:szCs w:val="24"/>
          <w14:textFill>
            <w14:solidFill>
              <w14:schemeClr w14:val="tx1"/>
            </w14:solidFill>
          </w14:textFill>
        </w:rPr>
        <w:t>（不限于）</w:t>
      </w:r>
      <w:r>
        <w:rPr>
          <w:rFonts w:ascii="Times New Roman" w:hAnsi="Times New Roman" w:eastAsiaTheme="minorEastAsia"/>
          <w:color w:val="000000" w:themeColor="text1"/>
          <w:sz w:val="24"/>
          <w:szCs w:val="24"/>
          <w14:textFill>
            <w14:solidFill>
              <w14:schemeClr w14:val="tx1"/>
            </w14:solidFill>
          </w14:textFill>
        </w:rPr>
        <w:t xml:space="preserve">: </w:t>
      </w:r>
    </w:p>
    <w:p w14:paraId="571DCE03">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695" w:name="_Toc279850532"/>
      <w:bookmarkStart w:id="696" w:name="_Toc279850945"/>
      <w:r>
        <w:rPr>
          <w:rFonts w:ascii="Times New Roman" w:hAnsi="Times New Roman" w:eastAsiaTheme="minorEastAsia"/>
          <w:color w:val="000000" w:themeColor="text1"/>
          <w:sz w:val="24"/>
          <w:szCs w:val="24"/>
          <w14:textFill>
            <w14:solidFill>
              <w14:schemeClr w14:val="tx1"/>
            </w14:solidFill>
          </w14:textFill>
        </w:rPr>
        <w:t xml:space="preserve">a. </w:t>
      </w:r>
      <w:r>
        <w:rPr>
          <w:rFonts w:hint="eastAsia" w:ascii="Times New Roman" w:hAnsi="Times New Roman" w:eastAsiaTheme="minorEastAsia"/>
          <w:color w:val="000000" w:themeColor="text1"/>
          <w:sz w:val="24"/>
          <w:szCs w:val="24"/>
          <w14:textFill>
            <w14:solidFill>
              <w14:schemeClr w14:val="tx1"/>
            </w14:solidFill>
          </w14:textFill>
        </w:rPr>
        <w:t>运行方式转换功能（冗余、故障、失电、重启等）</w:t>
      </w:r>
      <w:bookmarkEnd w:id="695"/>
      <w:bookmarkEnd w:id="696"/>
      <w:r>
        <w:rPr>
          <w:rFonts w:hint="eastAsia" w:ascii="Times New Roman" w:hAnsi="Times New Roman" w:eastAsiaTheme="minorEastAsia"/>
          <w:color w:val="000000" w:themeColor="text1"/>
          <w:sz w:val="24"/>
          <w:szCs w:val="24"/>
          <w14:textFill>
            <w14:solidFill>
              <w14:schemeClr w14:val="tx1"/>
            </w14:solidFill>
          </w14:textFill>
        </w:rPr>
        <w:t>。</w:t>
      </w:r>
    </w:p>
    <w:p w14:paraId="2D752BEC">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697" w:name="_Toc279850946"/>
      <w:bookmarkStart w:id="698" w:name="_Toc279850533"/>
      <w:r>
        <w:rPr>
          <w:rFonts w:ascii="Times New Roman" w:hAnsi="Times New Roman" w:eastAsiaTheme="minorEastAsia"/>
          <w:color w:val="000000" w:themeColor="text1"/>
          <w:sz w:val="24"/>
          <w:szCs w:val="24"/>
          <w14:textFill>
            <w14:solidFill>
              <w14:schemeClr w14:val="tx1"/>
            </w14:solidFill>
          </w14:textFill>
        </w:rPr>
        <w:t xml:space="preserve">b. </w:t>
      </w:r>
      <w:r>
        <w:rPr>
          <w:rFonts w:hint="eastAsia" w:ascii="Times New Roman" w:hAnsi="Times New Roman" w:eastAsiaTheme="minorEastAsia"/>
          <w:color w:val="000000" w:themeColor="text1"/>
          <w:sz w:val="24"/>
          <w:szCs w:val="24"/>
          <w14:textFill>
            <w14:solidFill>
              <w14:schemeClr w14:val="tx1"/>
            </w14:solidFill>
          </w14:textFill>
        </w:rPr>
        <w:t>过滤器功能试验（压力损失、流量、更换操作、结构泄漏等）</w:t>
      </w:r>
      <w:bookmarkEnd w:id="697"/>
      <w:bookmarkEnd w:id="698"/>
      <w:r>
        <w:rPr>
          <w:rFonts w:hint="eastAsia" w:ascii="Times New Roman" w:hAnsi="Times New Roman" w:eastAsiaTheme="minorEastAsia"/>
          <w:color w:val="000000" w:themeColor="text1"/>
          <w:sz w:val="24"/>
          <w:szCs w:val="24"/>
          <w14:textFill>
            <w14:solidFill>
              <w14:schemeClr w14:val="tx1"/>
            </w14:solidFill>
          </w14:textFill>
        </w:rPr>
        <w:t>。</w:t>
      </w:r>
    </w:p>
    <w:p w14:paraId="0322C69E">
      <w:pPr>
        <w:pStyle w:val="122"/>
        <w:snapToGrid w:val="0"/>
        <w:spacing w:line="480" w:lineRule="atLeast"/>
        <w:ind w:firstLine="0" w:firstLineChars="0"/>
        <w:rPr>
          <w:rFonts w:ascii="Times New Roman" w:hAnsi="Times New Roman" w:eastAsiaTheme="minorEastAsia"/>
          <w:color w:val="000000" w:themeColor="text1"/>
          <w:sz w:val="24"/>
          <w:szCs w:val="24"/>
          <w14:textFill>
            <w14:solidFill>
              <w14:schemeClr w14:val="tx1"/>
            </w14:solidFill>
          </w14:textFill>
        </w:rPr>
      </w:pPr>
    </w:p>
    <w:p w14:paraId="682A529E">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699" w:name="_Toc526064891"/>
      <w:bookmarkStart w:id="700" w:name="_Toc390636182"/>
      <w:r>
        <w:rPr>
          <w:rFonts w:eastAsiaTheme="minorEastAsia"/>
          <w:bCs/>
          <w:color w:val="000000" w:themeColor="text1"/>
          <w:szCs w:val="24"/>
          <w14:textFill>
            <w14:solidFill>
              <w14:schemeClr w14:val="tx1"/>
            </w14:solidFill>
          </w14:textFill>
        </w:rPr>
        <w:t xml:space="preserve"> </w:t>
      </w:r>
      <w:bookmarkStart w:id="701" w:name="_Toc526079175"/>
      <w:bookmarkStart w:id="702" w:name="_Toc526079281"/>
      <w:bookmarkStart w:id="703" w:name="_Toc220074817"/>
      <w:r>
        <w:rPr>
          <w:rFonts w:hint="eastAsia" w:eastAsiaTheme="minorEastAsia"/>
          <w:bCs/>
          <w:color w:val="000000" w:themeColor="text1"/>
          <w:szCs w:val="24"/>
          <w14:textFill>
            <w14:solidFill>
              <w14:schemeClr w14:val="tx1"/>
            </w14:solidFill>
          </w14:textFill>
        </w:rPr>
        <w:t>试验具体项目</w:t>
      </w:r>
      <w:bookmarkEnd w:id="699"/>
      <w:bookmarkEnd w:id="700"/>
      <w:bookmarkEnd w:id="701"/>
      <w:bookmarkEnd w:id="702"/>
      <w:bookmarkEnd w:id="703"/>
    </w:p>
    <w:p w14:paraId="3AB07295">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投标方应根据国家有关规范、投标方公司内部质量控制规定以及规范书的有关要求在投标文件中列出本工程主要设备各阶段的具体试验项目。</w:t>
      </w:r>
    </w:p>
    <w:p w14:paraId="1E28A04A">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p w14:paraId="1799E86A">
      <w:pPr>
        <w:pStyle w:val="121"/>
        <w:snapToGrid w:val="0"/>
        <w:spacing w:line="480" w:lineRule="atLeast"/>
        <w:ind w:left="0" w:firstLine="482" w:firstLineChars="200"/>
        <w:outlineLvl w:val="0"/>
        <w:rPr>
          <w:rFonts w:eastAsiaTheme="minorEastAsia"/>
          <w:color w:val="000000" w:themeColor="text1"/>
          <w:szCs w:val="24"/>
          <w14:textFill>
            <w14:solidFill>
              <w14:schemeClr w14:val="tx1"/>
            </w14:solidFill>
          </w14:textFill>
        </w:rPr>
      </w:pPr>
      <w:bookmarkStart w:id="704" w:name="_Toc279002295"/>
      <w:bookmarkStart w:id="705" w:name="_Toc276375578"/>
      <w:bookmarkStart w:id="706" w:name="_Toc526079282"/>
      <w:bookmarkStart w:id="707" w:name="_Toc282788476"/>
      <w:bookmarkStart w:id="708" w:name="_Toc526079176"/>
      <w:bookmarkStart w:id="709" w:name="_Toc526064892"/>
      <w:bookmarkStart w:id="710" w:name="_Toc279850534"/>
      <w:bookmarkStart w:id="711" w:name="_Toc220074818"/>
      <w:bookmarkStart w:id="712" w:name="_Toc279850947"/>
      <w:r>
        <w:rPr>
          <w:rFonts w:hint="eastAsia" w:eastAsiaTheme="minorEastAsia"/>
          <w:color w:val="000000" w:themeColor="text1"/>
          <w:szCs w:val="24"/>
          <w14:textFill>
            <w14:solidFill>
              <w14:schemeClr w14:val="tx1"/>
            </w14:solidFill>
          </w14:textFill>
        </w:rPr>
        <w:t>质量保证</w:t>
      </w:r>
      <w:bookmarkEnd w:id="704"/>
      <w:bookmarkEnd w:id="705"/>
      <w:r>
        <w:rPr>
          <w:rFonts w:hint="eastAsia" w:eastAsiaTheme="minorEastAsia"/>
          <w:color w:val="000000" w:themeColor="text1"/>
          <w:szCs w:val="24"/>
          <w14:textFill>
            <w14:solidFill>
              <w14:schemeClr w14:val="tx1"/>
            </w14:solidFill>
          </w14:textFill>
        </w:rPr>
        <w:t>及管理</w:t>
      </w:r>
      <w:bookmarkEnd w:id="706"/>
      <w:bookmarkEnd w:id="707"/>
      <w:bookmarkEnd w:id="708"/>
      <w:bookmarkEnd w:id="709"/>
      <w:bookmarkEnd w:id="710"/>
      <w:bookmarkEnd w:id="711"/>
      <w:bookmarkEnd w:id="712"/>
    </w:p>
    <w:p w14:paraId="0675E076">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13" w:name="_Toc389231143"/>
      <w:bookmarkStart w:id="714" w:name="_Toc279850948"/>
      <w:bookmarkStart w:id="715" w:name="_Toc279850535"/>
      <w:r>
        <w:rPr>
          <w:rFonts w:ascii="Times New Roman" w:hAnsi="Times New Roman" w:eastAsiaTheme="minorEastAsia"/>
          <w:color w:val="000000" w:themeColor="text1"/>
          <w:sz w:val="24"/>
          <w:szCs w:val="24"/>
          <w14:textFill>
            <w14:solidFill>
              <w14:schemeClr w14:val="tx1"/>
            </w14:solidFill>
          </w14:textFill>
        </w:rPr>
        <w:t xml:space="preserve">6.1  </w:t>
      </w:r>
      <w:r>
        <w:rPr>
          <w:rFonts w:hint="eastAsia" w:ascii="Times New Roman" w:hAnsi="Times New Roman" w:eastAsiaTheme="minorEastAsia"/>
          <w:color w:val="000000" w:themeColor="text1"/>
          <w:sz w:val="24"/>
          <w:szCs w:val="24"/>
          <w14:textFill>
            <w14:solidFill>
              <w14:schemeClr w14:val="tx1"/>
            </w14:solidFill>
          </w14:textFill>
        </w:rPr>
        <w:t>在合同生效至工程验收期间，招标方有权审查投标方的质量控制文件，有权进入本工程所用设备及部件正在加工和正在试验中的所有投标方工厂和外购件制造厂检查设备的制造和试验情况。</w:t>
      </w:r>
      <w:bookmarkEnd w:id="713"/>
    </w:p>
    <w:p w14:paraId="7330B9F3">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16" w:name="_Toc389231144"/>
      <w:r>
        <w:rPr>
          <w:rFonts w:ascii="Times New Roman" w:hAnsi="Times New Roman" w:eastAsiaTheme="minorEastAsia"/>
          <w:color w:val="000000" w:themeColor="text1"/>
          <w:sz w:val="24"/>
          <w:szCs w:val="24"/>
          <w14:textFill>
            <w14:solidFill>
              <w14:schemeClr w14:val="tx1"/>
            </w14:solidFill>
          </w14:textFill>
        </w:rPr>
        <w:t xml:space="preserve">6.2  </w:t>
      </w:r>
      <w:r>
        <w:rPr>
          <w:rFonts w:hint="eastAsia" w:ascii="Times New Roman" w:hAnsi="Times New Roman" w:eastAsiaTheme="minorEastAsia"/>
          <w:color w:val="000000" w:themeColor="text1"/>
          <w:sz w:val="24"/>
          <w:szCs w:val="24"/>
          <w14:textFill>
            <w14:solidFill>
              <w14:schemeClr w14:val="tx1"/>
            </w14:solidFill>
          </w14:textFill>
        </w:rPr>
        <w:t>产品的设计制造和试验验证应遵照国家有关的规范和标准，生产过程的每个环节应严格按照质量控制文件的要求执行，所提供的设备应满足本规范书的要求，且能在本工程室外气象条件下长期安全、可靠运行。</w:t>
      </w:r>
      <w:bookmarkEnd w:id="716"/>
    </w:p>
    <w:p w14:paraId="2F5A8A20">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17" w:name="_Toc389231145"/>
      <w:r>
        <w:rPr>
          <w:rFonts w:ascii="Times New Roman" w:hAnsi="Times New Roman" w:eastAsiaTheme="minorEastAsia"/>
          <w:color w:val="000000" w:themeColor="text1"/>
          <w:sz w:val="24"/>
          <w:szCs w:val="24"/>
          <w14:textFill>
            <w14:solidFill>
              <w14:schemeClr w14:val="tx1"/>
            </w14:solidFill>
          </w14:textFill>
        </w:rPr>
        <w:t xml:space="preserve">6.3  </w:t>
      </w:r>
      <w:r>
        <w:rPr>
          <w:rFonts w:hint="eastAsia" w:ascii="Times New Roman" w:hAnsi="Times New Roman" w:eastAsiaTheme="minorEastAsia"/>
          <w:color w:val="000000" w:themeColor="text1"/>
          <w:sz w:val="24"/>
          <w:szCs w:val="24"/>
          <w14:textFill>
            <w14:solidFill>
              <w14:schemeClr w14:val="tx1"/>
            </w14:solidFill>
          </w14:textFill>
        </w:rPr>
        <w:t>虽经工厂的试验验收，投标方还要保证现场试验达到要求的性能和可靠性，对于工厂的检查验收，不应认为可以解除制造厂对设备质量所负的责任。</w:t>
      </w:r>
      <w:bookmarkEnd w:id="717"/>
    </w:p>
    <w:p w14:paraId="3F71C85D">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18" w:name="_Toc389231146"/>
      <w:r>
        <w:rPr>
          <w:rFonts w:ascii="Times New Roman" w:hAnsi="Times New Roman" w:eastAsiaTheme="minorEastAsia"/>
          <w:color w:val="000000" w:themeColor="text1"/>
          <w:sz w:val="24"/>
          <w:szCs w:val="24"/>
          <w14:textFill>
            <w14:solidFill>
              <w14:schemeClr w14:val="tx1"/>
            </w14:solidFill>
          </w14:textFill>
        </w:rPr>
        <w:t xml:space="preserve">6.4  </w:t>
      </w:r>
      <w:r>
        <w:rPr>
          <w:rFonts w:hint="eastAsia" w:ascii="Times New Roman" w:hAnsi="Times New Roman" w:eastAsiaTheme="minorEastAsia"/>
          <w:color w:val="000000" w:themeColor="text1"/>
          <w:sz w:val="24"/>
          <w:szCs w:val="24"/>
          <w14:textFill>
            <w14:solidFill>
              <w14:schemeClr w14:val="tx1"/>
            </w14:solidFill>
          </w14:textFill>
        </w:rPr>
        <w:t>投标方所提供的产品应有保质期，保质期期限由买卖双方协商后确定，一般情况下期限为</w:t>
      </w:r>
      <w:r>
        <w:rPr>
          <w:rFonts w:ascii="Times New Roman" w:hAnsi="Times New Roman" w:eastAsiaTheme="minorEastAsia"/>
          <w:color w:val="000000" w:themeColor="text1"/>
          <w:sz w:val="24"/>
          <w:szCs w:val="24"/>
          <w14:textFill>
            <w14:solidFill>
              <w14:schemeClr w14:val="tx1"/>
            </w14:solidFill>
          </w14:textFill>
        </w:rPr>
        <w:t>36</w:t>
      </w:r>
      <w:r>
        <w:rPr>
          <w:rFonts w:hint="eastAsia" w:ascii="Times New Roman" w:hAnsi="Times New Roman" w:eastAsiaTheme="minorEastAsia"/>
          <w:color w:val="000000" w:themeColor="text1"/>
          <w:sz w:val="24"/>
          <w:szCs w:val="24"/>
          <w14:textFill>
            <w14:solidFill>
              <w14:schemeClr w14:val="tx1"/>
            </w14:solidFill>
          </w14:textFill>
        </w:rPr>
        <w:t>个月（从空调系统验收通过之日计算）。</w:t>
      </w:r>
      <w:bookmarkEnd w:id="718"/>
      <w:r>
        <w:rPr>
          <w:rFonts w:hint="eastAsia" w:ascii="Times New Roman" w:hAnsi="Times New Roman" w:eastAsiaTheme="minorEastAsia"/>
          <w:color w:val="000000" w:themeColor="text1"/>
          <w:sz w:val="24"/>
          <w:szCs w:val="24"/>
          <w14:textFill>
            <w14:solidFill>
              <w14:schemeClr w14:val="tx1"/>
            </w14:solidFill>
          </w14:textFill>
        </w:rPr>
        <w:t>投标方应该提供一份售后质量承诺书，内容包括截止时间、保修范围、联系方式及响应时间等。</w:t>
      </w:r>
    </w:p>
    <w:p w14:paraId="0B20705B">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19" w:name="_Toc389231147"/>
      <w:r>
        <w:rPr>
          <w:rFonts w:ascii="Times New Roman" w:hAnsi="Times New Roman" w:eastAsiaTheme="minorEastAsia"/>
          <w:color w:val="000000" w:themeColor="text1"/>
          <w:sz w:val="24"/>
          <w:szCs w:val="24"/>
          <w14:textFill>
            <w14:solidFill>
              <w14:schemeClr w14:val="tx1"/>
            </w14:solidFill>
          </w14:textFill>
        </w:rPr>
        <w:t xml:space="preserve">6.5  </w:t>
      </w:r>
      <w:r>
        <w:rPr>
          <w:rFonts w:hint="eastAsia" w:ascii="Times New Roman" w:hAnsi="Times New Roman" w:eastAsiaTheme="minorEastAsia"/>
          <w:color w:val="000000" w:themeColor="text1"/>
          <w:sz w:val="24"/>
          <w:szCs w:val="24"/>
          <w14:textFill>
            <w14:solidFill>
              <w14:schemeClr w14:val="tx1"/>
            </w14:solidFill>
          </w14:textFill>
        </w:rPr>
        <w:t>投标方提供的产品若出现同一配件</w:t>
      </w:r>
      <w:r>
        <w:rPr>
          <w:rFonts w:ascii="Times New Roman" w:hAnsi="Times New Roman" w:eastAsiaTheme="minorEastAsia"/>
          <w:color w:val="000000" w:themeColor="text1"/>
          <w:sz w:val="24"/>
          <w:szCs w:val="24"/>
          <w14:textFill>
            <w14:solidFill>
              <w14:schemeClr w14:val="tx1"/>
            </w14:solidFill>
          </w14:textFill>
        </w:rPr>
        <w:t>2</w:t>
      </w:r>
      <w:r>
        <w:rPr>
          <w:rFonts w:hint="eastAsia" w:ascii="Times New Roman" w:hAnsi="Times New Roman" w:eastAsiaTheme="minorEastAsia"/>
          <w:color w:val="000000" w:themeColor="text1"/>
          <w:sz w:val="24"/>
          <w:szCs w:val="24"/>
          <w14:textFill>
            <w14:solidFill>
              <w14:schemeClr w14:val="tx1"/>
            </w14:solidFill>
          </w14:textFill>
        </w:rPr>
        <w:t>次以上需返厂维修的情况，投标方必须全部更换所有产品的该配件。</w:t>
      </w:r>
      <w:bookmarkEnd w:id="719"/>
    </w:p>
    <w:p w14:paraId="7682FAFE">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20" w:name="_Toc389231148"/>
      <w:r>
        <w:rPr>
          <w:rFonts w:ascii="Times New Roman" w:hAnsi="Times New Roman" w:eastAsiaTheme="minorEastAsia"/>
          <w:color w:val="000000" w:themeColor="text1"/>
          <w:sz w:val="24"/>
          <w:szCs w:val="24"/>
          <w14:textFill>
            <w14:solidFill>
              <w14:schemeClr w14:val="tx1"/>
            </w14:solidFill>
          </w14:textFill>
        </w:rPr>
        <w:t xml:space="preserve">6.6  </w:t>
      </w:r>
      <w:r>
        <w:rPr>
          <w:rFonts w:hint="eastAsia" w:ascii="Times New Roman" w:hAnsi="Times New Roman" w:eastAsiaTheme="minorEastAsia"/>
          <w:color w:val="000000" w:themeColor="text1"/>
          <w:sz w:val="24"/>
          <w:szCs w:val="24"/>
          <w14:textFill>
            <w14:solidFill>
              <w14:schemeClr w14:val="tx1"/>
            </w14:solidFill>
          </w14:textFill>
        </w:rPr>
        <w:t>投标方应对保质期内因质量原因导致的产品损坏实行无偿的修复和零件配制，甚至产品更换。</w:t>
      </w:r>
      <w:bookmarkEnd w:id="720"/>
    </w:p>
    <w:p w14:paraId="19E3DB5C">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21" w:name="_Toc389231150"/>
      <w:r>
        <w:rPr>
          <w:rFonts w:ascii="Times New Roman" w:hAnsi="Times New Roman" w:eastAsiaTheme="minorEastAsia"/>
          <w:color w:val="000000" w:themeColor="text1"/>
          <w:sz w:val="24"/>
          <w:szCs w:val="24"/>
          <w14:textFill>
            <w14:solidFill>
              <w14:schemeClr w14:val="tx1"/>
            </w14:solidFill>
          </w14:textFill>
        </w:rPr>
        <w:t xml:space="preserve">6.7  </w:t>
      </w:r>
      <w:r>
        <w:rPr>
          <w:rFonts w:hint="eastAsia" w:ascii="Times New Roman" w:hAnsi="Times New Roman" w:eastAsiaTheme="minorEastAsia"/>
          <w:color w:val="000000" w:themeColor="text1"/>
          <w:sz w:val="24"/>
          <w:szCs w:val="24"/>
          <w14:textFill>
            <w14:solidFill>
              <w14:schemeClr w14:val="tx1"/>
            </w14:solidFill>
          </w14:textFill>
        </w:rPr>
        <w:t>在质量保证期内，由于投标方设备的质量问题而造成停运，投标方应在</w:t>
      </w:r>
      <w:r>
        <w:rPr>
          <w:rFonts w:ascii="Times New Roman" w:hAnsi="Times New Roman" w:eastAsiaTheme="minorEastAsia"/>
          <w:color w:val="000000" w:themeColor="text1"/>
          <w:sz w:val="24"/>
          <w:szCs w:val="24"/>
          <w14:textFill>
            <w14:solidFill>
              <w14:schemeClr w14:val="tx1"/>
            </w14:solidFill>
          </w14:textFill>
        </w:rPr>
        <w:t>72</w:t>
      </w:r>
      <w:r>
        <w:rPr>
          <w:rFonts w:hint="eastAsia" w:ascii="Times New Roman" w:hAnsi="Times New Roman" w:eastAsiaTheme="minorEastAsia"/>
          <w:color w:val="000000" w:themeColor="text1"/>
          <w:sz w:val="24"/>
          <w:szCs w:val="24"/>
          <w14:textFill>
            <w14:solidFill>
              <w14:schemeClr w14:val="tx1"/>
            </w14:solidFill>
          </w14:textFill>
        </w:rPr>
        <w:t>小时内更换有缺陷或损坏的部件。设备的质保期将延长，延长时间为</w:t>
      </w:r>
      <w:r>
        <w:rPr>
          <w:rFonts w:ascii="Times New Roman" w:hAnsi="Times New Roman" w:eastAsiaTheme="minorEastAsia"/>
          <w:color w:val="000000" w:themeColor="text1"/>
          <w:sz w:val="24"/>
          <w:szCs w:val="24"/>
          <w14:textFill>
            <w14:solidFill>
              <w14:schemeClr w14:val="tx1"/>
            </w14:solidFill>
          </w14:textFill>
        </w:rPr>
        <w:t>12</w:t>
      </w:r>
      <w:r>
        <w:rPr>
          <w:rFonts w:hint="eastAsia" w:ascii="Times New Roman" w:hAnsi="Times New Roman" w:eastAsiaTheme="minorEastAsia"/>
          <w:color w:val="000000" w:themeColor="text1"/>
          <w:sz w:val="24"/>
          <w:szCs w:val="24"/>
          <w14:textFill>
            <w14:solidFill>
              <w14:schemeClr w14:val="tx1"/>
            </w14:solidFill>
          </w14:textFill>
        </w:rPr>
        <w:t>个月。</w:t>
      </w:r>
      <w:bookmarkEnd w:id="721"/>
    </w:p>
    <w:p w14:paraId="55632047">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22" w:name="_Toc389231151"/>
      <w:r>
        <w:rPr>
          <w:rFonts w:ascii="Times New Roman" w:hAnsi="Times New Roman" w:eastAsiaTheme="minorEastAsia"/>
          <w:color w:val="000000" w:themeColor="text1"/>
          <w:sz w:val="24"/>
          <w:szCs w:val="24"/>
          <w14:textFill>
            <w14:solidFill>
              <w14:schemeClr w14:val="tx1"/>
            </w14:solidFill>
          </w14:textFill>
        </w:rPr>
        <w:t xml:space="preserve">6.8  </w:t>
      </w:r>
      <w:r>
        <w:rPr>
          <w:rFonts w:hint="eastAsia" w:ascii="Times New Roman" w:hAnsi="Times New Roman" w:eastAsiaTheme="minorEastAsia"/>
          <w:color w:val="000000" w:themeColor="text1"/>
          <w:sz w:val="24"/>
          <w:szCs w:val="24"/>
          <w14:textFill>
            <w14:solidFill>
              <w14:schemeClr w14:val="tx1"/>
            </w14:solidFill>
          </w14:textFill>
        </w:rPr>
        <w:t>投标方应对合同设备的设计、材料选择、加工、制造和试验等建立质量保证体系，并在合同设备的整个制造过程中严格按其执行。</w:t>
      </w:r>
      <w:bookmarkEnd w:id="722"/>
    </w:p>
    <w:p w14:paraId="56DA250C">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23" w:name="_Toc389231153"/>
      <w:r>
        <w:rPr>
          <w:rFonts w:ascii="Times New Roman" w:hAnsi="Times New Roman" w:eastAsiaTheme="minorEastAsia"/>
          <w:color w:val="000000" w:themeColor="text1"/>
          <w:sz w:val="24"/>
          <w:szCs w:val="24"/>
          <w14:textFill>
            <w14:solidFill>
              <w14:schemeClr w14:val="tx1"/>
            </w14:solidFill>
          </w14:textFill>
        </w:rPr>
        <w:t xml:space="preserve">6.9  </w:t>
      </w:r>
      <w:r>
        <w:rPr>
          <w:rFonts w:hint="eastAsia" w:ascii="Times New Roman" w:hAnsi="Times New Roman" w:eastAsiaTheme="minorEastAsia"/>
          <w:color w:val="000000" w:themeColor="text1"/>
          <w:sz w:val="24"/>
          <w:szCs w:val="24"/>
          <w14:textFill>
            <w14:solidFill>
              <w14:schemeClr w14:val="tx1"/>
            </w14:solidFill>
          </w14:textFill>
        </w:rPr>
        <w:t>投标方应采用有运行经验且证明正确的、成熟的技术；若采用过去未采用过的新技术，应征得招标方的同意。</w:t>
      </w:r>
      <w:bookmarkEnd w:id="723"/>
    </w:p>
    <w:p w14:paraId="09CC34B9">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24" w:name="_Toc389231154"/>
      <w:r>
        <w:rPr>
          <w:rFonts w:ascii="Times New Roman" w:hAnsi="Times New Roman" w:eastAsiaTheme="minorEastAsia"/>
          <w:color w:val="000000" w:themeColor="text1"/>
          <w:sz w:val="24"/>
          <w:szCs w:val="24"/>
          <w14:textFill>
            <w14:solidFill>
              <w14:schemeClr w14:val="tx1"/>
            </w14:solidFill>
          </w14:textFill>
        </w:rPr>
        <w:t xml:space="preserve">6.10  </w:t>
      </w:r>
      <w:r>
        <w:rPr>
          <w:rFonts w:hint="eastAsia" w:ascii="Times New Roman" w:hAnsi="Times New Roman" w:eastAsiaTheme="minorEastAsia"/>
          <w:color w:val="000000" w:themeColor="text1"/>
          <w:sz w:val="24"/>
          <w:szCs w:val="24"/>
          <w14:textFill>
            <w14:solidFill>
              <w14:schemeClr w14:val="tx1"/>
            </w14:solidFill>
          </w14:textFill>
        </w:rPr>
        <w:t>投标方从其他厂采购的设备，一切质量问题应由投标方负责。</w:t>
      </w:r>
      <w:bookmarkEnd w:id="724"/>
    </w:p>
    <w:bookmarkEnd w:id="714"/>
    <w:bookmarkEnd w:id="715"/>
    <w:p w14:paraId="7A0F5E3E">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25" w:name="_Toc282788485"/>
      <w:bookmarkEnd w:id="725"/>
      <w:bookmarkStart w:id="726" w:name="_Toc282788487"/>
      <w:bookmarkEnd w:id="726"/>
      <w:bookmarkStart w:id="727" w:name="_Toc282788483"/>
      <w:bookmarkEnd w:id="727"/>
      <w:bookmarkStart w:id="728" w:name="_Toc282788481"/>
      <w:bookmarkEnd w:id="728"/>
      <w:bookmarkStart w:id="729" w:name="_Toc282788480"/>
      <w:bookmarkEnd w:id="729"/>
      <w:bookmarkStart w:id="730" w:name="_Toc282788484"/>
      <w:bookmarkEnd w:id="730"/>
      <w:bookmarkStart w:id="731" w:name="_Toc282788479"/>
      <w:bookmarkEnd w:id="731"/>
      <w:bookmarkStart w:id="732" w:name="_Toc282788478"/>
      <w:bookmarkEnd w:id="732"/>
      <w:bookmarkStart w:id="733" w:name="_Toc282788486"/>
      <w:bookmarkEnd w:id="733"/>
      <w:bookmarkStart w:id="734" w:name="_Toc282788482"/>
      <w:bookmarkEnd w:id="734"/>
      <w:bookmarkStart w:id="735" w:name="_Toc282788477"/>
      <w:bookmarkEnd w:id="735"/>
      <w:bookmarkStart w:id="736" w:name="_Toc389231149"/>
      <w:bookmarkStart w:id="737" w:name="_Toc279002294"/>
      <w:bookmarkStart w:id="738" w:name="_Toc282788488"/>
      <w:bookmarkStart w:id="739" w:name="_Toc279850546"/>
      <w:bookmarkStart w:id="740" w:name="_Toc279850959"/>
      <w:r>
        <w:rPr>
          <w:rFonts w:ascii="Times New Roman" w:hAnsi="Times New Roman" w:eastAsiaTheme="minorEastAsia"/>
          <w:color w:val="000000" w:themeColor="text1"/>
          <w:sz w:val="24"/>
          <w:szCs w:val="24"/>
          <w14:textFill>
            <w14:solidFill>
              <w14:schemeClr w14:val="tx1"/>
            </w14:solidFill>
          </w14:textFill>
        </w:rPr>
        <w:t xml:space="preserve">6.11  </w:t>
      </w:r>
      <w:r>
        <w:rPr>
          <w:rFonts w:hint="eastAsia" w:ascii="Times New Roman" w:hAnsi="Times New Roman" w:eastAsiaTheme="minorEastAsia"/>
          <w:color w:val="000000" w:themeColor="text1"/>
          <w:sz w:val="24"/>
          <w:szCs w:val="24"/>
          <w14:textFill>
            <w14:solidFill>
              <w14:schemeClr w14:val="tx1"/>
            </w14:solidFill>
          </w14:textFill>
        </w:rPr>
        <w:t>保质期后应保证招标方对产品的技术咨询</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无偿</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和零件的供给</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有偿</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w:t>
      </w:r>
      <w:bookmarkEnd w:id="736"/>
    </w:p>
    <w:p w14:paraId="3A9F63D7">
      <w:pPr>
        <w:widowControl/>
        <w:adjustRightInd/>
        <w:spacing w:line="240" w:lineRule="auto"/>
        <w:jc w:val="left"/>
        <w:textAlignment w:val="auto"/>
        <w:rPr>
          <w:rFonts w:eastAsiaTheme="minorEastAsia"/>
          <w:color w:val="000000" w:themeColor="text1"/>
          <w:sz w:val="24"/>
          <w:szCs w:val="24"/>
          <w14:textFill>
            <w14:solidFill>
              <w14:schemeClr w14:val="tx1"/>
            </w14:solidFill>
          </w14:textFill>
        </w:rPr>
      </w:pPr>
    </w:p>
    <w:p w14:paraId="0FC5F790">
      <w:pPr>
        <w:pStyle w:val="121"/>
        <w:snapToGrid w:val="0"/>
        <w:spacing w:line="480" w:lineRule="atLeast"/>
        <w:ind w:left="0" w:firstLine="482" w:firstLineChars="200"/>
        <w:outlineLvl w:val="0"/>
        <w:rPr>
          <w:rFonts w:eastAsiaTheme="minorEastAsia"/>
          <w:color w:val="000000" w:themeColor="text1"/>
          <w:szCs w:val="24"/>
          <w14:textFill>
            <w14:solidFill>
              <w14:schemeClr w14:val="tx1"/>
            </w14:solidFill>
          </w14:textFill>
        </w:rPr>
      </w:pPr>
      <w:bookmarkStart w:id="741" w:name="_Toc526079177"/>
      <w:bookmarkStart w:id="742" w:name="_Toc526079283"/>
      <w:bookmarkStart w:id="743" w:name="_Toc526064893"/>
      <w:bookmarkStart w:id="744" w:name="_Toc220074819"/>
      <w:r>
        <w:rPr>
          <w:rFonts w:hint="eastAsia" w:eastAsiaTheme="minorEastAsia"/>
          <w:color w:val="000000" w:themeColor="text1"/>
          <w:szCs w:val="24"/>
          <w14:textFill>
            <w14:solidFill>
              <w14:schemeClr w14:val="tx1"/>
            </w14:solidFill>
          </w14:textFill>
        </w:rPr>
        <w:t>技术服务</w:t>
      </w:r>
      <w:bookmarkEnd w:id="737"/>
      <w:r>
        <w:rPr>
          <w:rFonts w:hint="eastAsia" w:eastAsiaTheme="minorEastAsia"/>
          <w:color w:val="000000" w:themeColor="text1"/>
          <w:szCs w:val="24"/>
          <w14:textFill>
            <w14:solidFill>
              <w14:schemeClr w14:val="tx1"/>
            </w14:solidFill>
          </w14:textFill>
        </w:rPr>
        <w:t>、设计联络会、检验和监造</w:t>
      </w:r>
      <w:bookmarkEnd w:id="738"/>
      <w:bookmarkEnd w:id="739"/>
      <w:bookmarkEnd w:id="740"/>
      <w:bookmarkEnd w:id="741"/>
      <w:bookmarkEnd w:id="742"/>
      <w:bookmarkEnd w:id="743"/>
      <w:bookmarkEnd w:id="744"/>
    </w:p>
    <w:p w14:paraId="38B71B97">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745" w:name="_Toc279850547"/>
      <w:bookmarkStart w:id="746" w:name="_Toc279850960"/>
      <w:bookmarkStart w:id="747" w:name="_Toc526064894"/>
      <w:r>
        <w:rPr>
          <w:rFonts w:eastAsiaTheme="minorEastAsia"/>
          <w:bCs/>
          <w:color w:val="000000" w:themeColor="text1"/>
          <w:szCs w:val="24"/>
          <w14:textFill>
            <w14:solidFill>
              <w14:schemeClr w14:val="tx1"/>
            </w14:solidFill>
          </w14:textFill>
        </w:rPr>
        <w:t xml:space="preserve"> </w:t>
      </w:r>
      <w:bookmarkStart w:id="748" w:name="_Toc526079178"/>
      <w:bookmarkStart w:id="749" w:name="_Toc220074820"/>
      <w:bookmarkStart w:id="750" w:name="_Toc526079284"/>
      <w:r>
        <w:rPr>
          <w:rFonts w:hint="eastAsia" w:eastAsiaTheme="minorEastAsia"/>
          <w:bCs/>
          <w:color w:val="000000" w:themeColor="text1"/>
          <w:szCs w:val="24"/>
          <w14:textFill>
            <w14:solidFill>
              <w14:schemeClr w14:val="tx1"/>
            </w14:solidFill>
          </w14:textFill>
        </w:rPr>
        <w:t>技术服务</w:t>
      </w:r>
      <w:bookmarkEnd w:id="745"/>
      <w:bookmarkEnd w:id="746"/>
      <w:bookmarkEnd w:id="747"/>
      <w:bookmarkEnd w:id="748"/>
      <w:bookmarkEnd w:id="749"/>
      <w:bookmarkEnd w:id="750"/>
    </w:p>
    <w:p w14:paraId="63AA463F">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51" w:name="_Toc279850548"/>
      <w:bookmarkStart w:id="752" w:name="_Toc279850961"/>
      <w:r>
        <w:rPr>
          <w:rFonts w:ascii="Times New Roman" w:hAnsi="Times New Roman" w:eastAsiaTheme="minorEastAsia"/>
          <w:color w:val="000000" w:themeColor="text1"/>
          <w:sz w:val="24"/>
          <w:szCs w:val="24"/>
          <w14:textFill>
            <w14:solidFill>
              <w14:schemeClr w14:val="tx1"/>
            </w14:solidFill>
          </w14:textFill>
        </w:rPr>
        <w:t xml:space="preserve">7.1.1  </w:t>
      </w:r>
      <w:r>
        <w:rPr>
          <w:rFonts w:hint="eastAsia" w:ascii="Times New Roman" w:hAnsi="Times New Roman" w:eastAsiaTheme="minorEastAsia"/>
          <w:color w:val="000000" w:themeColor="text1"/>
          <w:sz w:val="24"/>
          <w:szCs w:val="24"/>
          <w14:textFill>
            <w14:solidFill>
              <w14:schemeClr w14:val="tx1"/>
            </w14:solidFill>
          </w14:textFill>
        </w:rPr>
        <w:t>合同签订后，投标方需指定负责本工程的项目经理，负责协调投标方在工程全过程的各项工作，如工程进度、设计制造、图纸文件、工厂检验和设备监造、工厂试验、包装运输、现场安装、试验、调试、验收等。</w:t>
      </w:r>
      <w:bookmarkEnd w:id="751"/>
      <w:bookmarkEnd w:id="752"/>
    </w:p>
    <w:p w14:paraId="1655C94A">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7.1.2  </w:t>
      </w:r>
      <w:r>
        <w:rPr>
          <w:rFonts w:hint="eastAsia" w:ascii="Times New Roman" w:hAnsi="Times New Roman" w:eastAsiaTheme="minorEastAsia"/>
          <w:color w:val="000000" w:themeColor="text1"/>
          <w:sz w:val="24"/>
          <w:szCs w:val="24"/>
          <w14:textFill>
            <w14:solidFill>
              <w14:schemeClr w14:val="tx1"/>
            </w14:solidFill>
          </w14:textFill>
        </w:rPr>
        <w:t>投标方应负责处理本工程通风及空调系统、设备交付前所有技术问题，并负责解答招标方的有关疑问。</w:t>
      </w:r>
    </w:p>
    <w:p w14:paraId="7417CCA9">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53" w:name="_Toc279850967"/>
      <w:bookmarkStart w:id="754" w:name="_Toc279850554"/>
      <w:r>
        <w:rPr>
          <w:rFonts w:ascii="Times New Roman" w:hAnsi="Times New Roman" w:eastAsiaTheme="minorEastAsia"/>
          <w:color w:val="000000" w:themeColor="text1"/>
          <w:sz w:val="24"/>
          <w:szCs w:val="24"/>
          <w14:textFill>
            <w14:solidFill>
              <w14:schemeClr w14:val="tx1"/>
            </w14:solidFill>
          </w14:textFill>
        </w:rPr>
        <w:t xml:space="preserve">7.1.3  </w:t>
      </w:r>
      <w:r>
        <w:rPr>
          <w:rFonts w:hint="eastAsia" w:ascii="Times New Roman" w:hAnsi="Times New Roman" w:eastAsiaTheme="minorEastAsia"/>
          <w:color w:val="000000" w:themeColor="text1"/>
          <w:sz w:val="24"/>
          <w:szCs w:val="24"/>
          <w14:textFill>
            <w14:solidFill>
              <w14:schemeClr w14:val="tx1"/>
            </w14:solidFill>
          </w14:textFill>
        </w:rPr>
        <w:t>投标方应选派有经验的技术人员，对招标方安装和运行人员免费培训，讲解技术常识和注意事项。</w:t>
      </w:r>
      <w:bookmarkEnd w:id="753"/>
      <w:bookmarkEnd w:id="754"/>
    </w:p>
    <w:p w14:paraId="501352C0">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7.1.4  </w:t>
      </w:r>
      <w:r>
        <w:rPr>
          <w:rFonts w:hint="eastAsia" w:ascii="Times New Roman" w:hAnsi="Times New Roman" w:eastAsiaTheme="minorEastAsia"/>
          <w:color w:val="000000" w:themeColor="text1"/>
          <w:sz w:val="24"/>
          <w:szCs w:val="24"/>
          <w14:textFill>
            <w14:solidFill>
              <w14:schemeClr w14:val="tx1"/>
            </w14:solidFill>
          </w14:textFill>
        </w:rPr>
        <w:t>在质保期内，设备使用中如发生问题，投标方必须在</w:t>
      </w:r>
      <w:r>
        <w:rPr>
          <w:rFonts w:ascii="Times New Roman" w:hAnsi="Times New Roman" w:eastAsiaTheme="minorEastAsia"/>
          <w:color w:val="000000" w:themeColor="text1"/>
          <w:sz w:val="24"/>
          <w:szCs w:val="24"/>
          <w14:textFill>
            <w14:solidFill>
              <w14:schemeClr w14:val="tx1"/>
            </w14:solidFill>
          </w14:textFill>
        </w:rPr>
        <w:t>24</w:t>
      </w:r>
      <w:r>
        <w:rPr>
          <w:rFonts w:hint="eastAsia" w:ascii="Times New Roman" w:hAnsi="Times New Roman" w:eastAsiaTheme="minorEastAsia"/>
          <w:color w:val="000000" w:themeColor="text1"/>
          <w:sz w:val="24"/>
          <w:szCs w:val="24"/>
          <w14:textFill>
            <w14:solidFill>
              <w14:schemeClr w14:val="tx1"/>
            </w14:solidFill>
          </w14:textFill>
        </w:rPr>
        <w:t>小时内回应，且在</w:t>
      </w:r>
      <w:r>
        <w:rPr>
          <w:rFonts w:ascii="Times New Roman" w:hAnsi="Times New Roman" w:eastAsiaTheme="minorEastAsia"/>
          <w:color w:val="000000" w:themeColor="text1"/>
          <w:sz w:val="24"/>
          <w:szCs w:val="24"/>
          <w14:textFill>
            <w14:solidFill>
              <w14:schemeClr w14:val="tx1"/>
            </w14:solidFill>
          </w14:textFill>
        </w:rPr>
        <w:t>3</w:t>
      </w:r>
      <w:r>
        <w:rPr>
          <w:rFonts w:hint="eastAsia" w:ascii="Times New Roman" w:hAnsi="Times New Roman" w:eastAsiaTheme="minorEastAsia"/>
          <w:color w:val="000000" w:themeColor="text1"/>
          <w:sz w:val="24"/>
          <w:szCs w:val="24"/>
          <w14:textFill>
            <w14:solidFill>
              <w14:schemeClr w14:val="tx1"/>
            </w14:solidFill>
          </w14:textFill>
        </w:rPr>
        <w:t>天内派出技术人员到进行现场维修服务，否则，招标方有权扣除质保金并处罚款。</w:t>
      </w:r>
    </w:p>
    <w:p w14:paraId="105A6433">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p w14:paraId="76C2A0D6">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755" w:name="_Toc526064895"/>
      <w:r>
        <w:rPr>
          <w:rFonts w:eastAsiaTheme="minorEastAsia"/>
          <w:bCs/>
          <w:color w:val="000000" w:themeColor="text1"/>
          <w:szCs w:val="24"/>
          <w14:textFill>
            <w14:solidFill>
              <w14:schemeClr w14:val="tx1"/>
            </w14:solidFill>
          </w14:textFill>
        </w:rPr>
        <w:t xml:space="preserve"> </w:t>
      </w:r>
      <w:bookmarkStart w:id="756" w:name="_Toc220074821"/>
      <w:bookmarkStart w:id="757" w:name="_Toc526079285"/>
      <w:bookmarkStart w:id="758" w:name="_Toc526079179"/>
      <w:r>
        <w:rPr>
          <w:rFonts w:hint="eastAsia" w:eastAsiaTheme="minorEastAsia"/>
          <w:bCs/>
          <w:color w:val="000000" w:themeColor="text1"/>
          <w:szCs w:val="24"/>
          <w14:textFill>
            <w14:solidFill>
              <w14:schemeClr w14:val="tx1"/>
            </w14:solidFill>
          </w14:textFill>
        </w:rPr>
        <w:t>设计联络会</w:t>
      </w:r>
      <w:bookmarkEnd w:id="755"/>
      <w:bookmarkEnd w:id="756"/>
      <w:bookmarkEnd w:id="757"/>
      <w:bookmarkEnd w:id="758"/>
    </w:p>
    <w:p w14:paraId="23A1274F">
      <w:pPr>
        <w:pStyle w:val="121"/>
        <w:numPr>
          <w:ilvl w:val="0"/>
          <w:numId w:val="0"/>
        </w:numPr>
        <w:snapToGrid w:val="0"/>
        <w:spacing w:line="480" w:lineRule="atLeast"/>
        <w:ind w:firstLine="480" w:firstLineChars="200"/>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招标方如需要召开设计联络会，投标方应派本项目经理和有关技术人员参加，</w:t>
      </w:r>
      <w:bookmarkStart w:id="759" w:name="_Toc279850555"/>
      <w:bookmarkStart w:id="760" w:name="_Toc279850968"/>
      <w:r>
        <w:rPr>
          <w:rFonts w:hint="eastAsia" w:eastAsiaTheme="minorEastAsia"/>
          <w:b w:val="0"/>
          <w:color w:val="000000" w:themeColor="text1"/>
          <w:szCs w:val="24"/>
          <w14:textFill>
            <w14:solidFill>
              <w14:schemeClr w14:val="tx1"/>
            </w14:solidFill>
          </w14:textFill>
        </w:rPr>
        <w:t>具体设计联络的计划、时间、地点和内容要求由双方商定。</w:t>
      </w:r>
    </w:p>
    <w:p w14:paraId="786DB506">
      <w:pPr>
        <w:pStyle w:val="3"/>
        <w:spacing w:line="480" w:lineRule="atLeast"/>
        <w:rPr>
          <w:color w:val="000000" w:themeColor="text1"/>
          <w14:textFill>
            <w14:solidFill>
              <w14:schemeClr w14:val="tx1"/>
            </w14:solidFill>
          </w14:textFill>
        </w:rPr>
      </w:pPr>
    </w:p>
    <w:p w14:paraId="23C69148">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761" w:name="_Toc526064896"/>
      <w:r>
        <w:rPr>
          <w:rFonts w:eastAsiaTheme="minorEastAsia"/>
          <w:bCs/>
          <w:color w:val="000000" w:themeColor="text1"/>
          <w:szCs w:val="24"/>
          <w14:textFill>
            <w14:solidFill>
              <w14:schemeClr w14:val="tx1"/>
            </w14:solidFill>
          </w14:textFill>
        </w:rPr>
        <w:t xml:space="preserve"> </w:t>
      </w:r>
      <w:bookmarkStart w:id="762" w:name="_Toc526079180"/>
      <w:bookmarkStart w:id="763" w:name="_Toc220074822"/>
      <w:bookmarkStart w:id="764" w:name="_Toc526079286"/>
      <w:r>
        <w:rPr>
          <w:rFonts w:hint="eastAsia" w:eastAsiaTheme="minorEastAsia"/>
          <w:bCs/>
          <w:color w:val="000000" w:themeColor="text1"/>
          <w:szCs w:val="24"/>
          <w14:textFill>
            <w14:solidFill>
              <w14:schemeClr w14:val="tx1"/>
            </w14:solidFill>
          </w14:textFill>
        </w:rPr>
        <w:t>工厂检验</w:t>
      </w:r>
      <w:bookmarkEnd w:id="759"/>
      <w:bookmarkEnd w:id="760"/>
      <w:bookmarkEnd w:id="761"/>
      <w:bookmarkEnd w:id="762"/>
      <w:bookmarkEnd w:id="763"/>
      <w:bookmarkEnd w:id="764"/>
    </w:p>
    <w:p w14:paraId="13C0326D">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65" w:name="_Toc279850556"/>
      <w:bookmarkStart w:id="766" w:name="_Toc279850969"/>
      <w:r>
        <w:rPr>
          <w:rFonts w:ascii="Times New Roman" w:hAnsi="Times New Roman" w:eastAsiaTheme="minorEastAsia"/>
          <w:color w:val="000000" w:themeColor="text1"/>
          <w:sz w:val="24"/>
          <w:szCs w:val="24"/>
          <w14:textFill>
            <w14:solidFill>
              <w14:schemeClr w14:val="tx1"/>
            </w14:solidFill>
          </w14:textFill>
        </w:rPr>
        <w:t xml:space="preserve">7.3.1  </w:t>
      </w:r>
      <w:r>
        <w:rPr>
          <w:rFonts w:hint="eastAsia" w:ascii="Times New Roman" w:hAnsi="Times New Roman" w:eastAsiaTheme="minorEastAsia"/>
          <w:color w:val="000000" w:themeColor="text1"/>
          <w:sz w:val="24"/>
          <w:szCs w:val="24"/>
          <w14:textFill>
            <w14:solidFill>
              <w14:schemeClr w14:val="tx1"/>
            </w14:solidFill>
          </w14:textFill>
        </w:rPr>
        <w:t>工厂检验是质量控制的一个重要组成部分。投标方需严格进行厂内各生产环节的检验和试验。投标方提供的合同设备需签发质量证明、检验记录和测试报告，并且作为交货时质量证明文件的组成部分。</w:t>
      </w:r>
      <w:bookmarkEnd w:id="765"/>
      <w:bookmarkEnd w:id="766"/>
    </w:p>
    <w:p w14:paraId="4F5B4D13">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67" w:name="_Toc279850970"/>
      <w:bookmarkStart w:id="768" w:name="_Toc279850557"/>
      <w:r>
        <w:rPr>
          <w:rFonts w:ascii="Times New Roman" w:hAnsi="Times New Roman" w:eastAsiaTheme="minorEastAsia"/>
          <w:color w:val="000000" w:themeColor="text1"/>
          <w:sz w:val="24"/>
          <w:szCs w:val="24"/>
          <w14:textFill>
            <w14:solidFill>
              <w14:schemeClr w14:val="tx1"/>
            </w14:solidFill>
          </w14:textFill>
        </w:rPr>
        <w:t xml:space="preserve">7.3.2  </w:t>
      </w:r>
      <w:r>
        <w:rPr>
          <w:rFonts w:hint="eastAsia" w:ascii="Times New Roman" w:hAnsi="Times New Roman" w:eastAsiaTheme="minorEastAsia"/>
          <w:color w:val="000000" w:themeColor="text1"/>
          <w:sz w:val="24"/>
          <w:szCs w:val="24"/>
          <w14:textFill>
            <w14:solidFill>
              <w14:schemeClr w14:val="tx1"/>
            </w14:solidFill>
          </w14:textFill>
        </w:rPr>
        <w:t>检验的范围包括原材料和元器件的进厂，部件的加工、组装、日常试验至出厂试验。</w:t>
      </w:r>
      <w:bookmarkEnd w:id="767"/>
      <w:bookmarkEnd w:id="768"/>
    </w:p>
    <w:p w14:paraId="7CA8A4B2">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69" w:name="_Toc279850558"/>
      <w:bookmarkStart w:id="770" w:name="_Toc279850971"/>
      <w:r>
        <w:rPr>
          <w:rFonts w:ascii="Times New Roman" w:hAnsi="Times New Roman" w:eastAsiaTheme="minorEastAsia"/>
          <w:color w:val="000000" w:themeColor="text1"/>
          <w:sz w:val="24"/>
          <w:szCs w:val="24"/>
          <w14:textFill>
            <w14:solidFill>
              <w14:schemeClr w14:val="tx1"/>
            </w14:solidFill>
          </w14:textFill>
        </w:rPr>
        <w:t xml:space="preserve">7.3.3  </w:t>
      </w:r>
      <w:r>
        <w:rPr>
          <w:rFonts w:hint="eastAsia" w:ascii="Times New Roman" w:hAnsi="Times New Roman" w:eastAsiaTheme="minorEastAsia"/>
          <w:color w:val="000000" w:themeColor="text1"/>
          <w:sz w:val="24"/>
          <w:szCs w:val="24"/>
          <w14:textFill>
            <w14:solidFill>
              <w14:schemeClr w14:val="tx1"/>
            </w14:solidFill>
          </w14:textFill>
        </w:rPr>
        <w:t>投标方检验的结果要满足本规范书及国家有关规范和标准的要求，如有不符之处或达不到标准的要求，投标方要采取措施处理直至满足要求，同时向招标方提交不一致性报告。投标方发生重大质量问题时应将情况及时通知招标方。</w:t>
      </w:r>
      <w:bookmarkEnd w:id="769"/>
      <w:bookmarkEnd w:id="770"/>
    </w:p>
    <w:p w14:paraId="6CC335D9">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p w14:paraId="17F5C955">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771" w:name="_Toc526064897"/>
      <w:bookmarkStart w:id="772" w:name="_Toc279850559"/>
      <w:bookmarkStart w:id="773" w:name="_Toc279850972"/>
      <w:r>
        <w:rPr>
          <w:rFonts w:eastAsiaTheme="minorEastAsia"/>
          <w:bCs/>
          <w:color w:val="000000" w:themeColor="text1"/>
          <w:szCs w:val="24"/>
          <w14:textFill>
            <w14:solidFill>
              <w14:schemeClr w14:val="tx1"/>
            </w14:solidFill>
          </w14:textFill>
        </w:rPr>
        <w:t xml:space="preserve"> </w:t>
      </w:r>
      <w:bookmarkStart w:id="774" w:name="_Toc220074823"/>
      <w:bookmarkStart w:id="775" w:name="_Toc526079181"/>
      <w:bookmarkStart w:id="776" w:name="_Toc526079287"/>
      <w:r>
        <w:rPr>
          <w:rFonts w:hint="eastAsia" w:eastAsiaTheme="minorEastAsia"/>
          <w:bCs/>
          <w:color w:val="000000" w:themeColor="text1"/>
          <w:szCs w:val="24"/>
          <w14:textFill>
            <w14:solidFill>
              <w14:schemeClr w14:val="tx1"/>
            </w14:solidFill>
          </w14:textFill>
        </w:rPr>
        <w:t>设备监造</w:t>
      </w:r>
      <w:bookmarkEnd w:id="771"/>
      <w:bookmarkEnd w:id="772"/>
      <w:bookmarkEnd w:id="773"/>
      <w:bookmarkEnd w:id="774"/>
      <w:bookmarkEnd w:id="775"/>
      <w:bookmarkEnd w:id="776"/>
    </w:p>
    <w:p w14:paraId="4B399353">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77" w:name="_Toc279850973"/>
      <w:bookmarkStart w:id="778" w:name="_Toc279850560"/>
      <w:r>
        <w:rPr>
          <w:rFonts w:ascii="Times New Roman" w:hAnsi="Times New Roman" w:eastAsiaTheme="minorEastAsia"/>
          <w:color w:val="000000" w:themeColor="text1"/>
          <w:sz w:val="24"/>
          <w:szCs w:val="24"/>
          <w14:textFill>
            <w14:solidFill>
              <w14:schemeClr w14:val="tx1"/>
            </w14:solidFill>
          </w14:textFill>
        </w:rPr>
        <w:t xml:space="preserve">7.4.1  </w:t>
      </w:r>
      <w:r>
        <w:rPr>
          <w:rFonts w:hint="eastAsia" w:ascii="Times New Roman" w:hAnsi="Times New Roman" w:eastAsiaTheme="minorEastAsia"/>
          <w:color w:val="000000" w:themeColor="text1"/>
          <w:sz w:val="24"/>
          <w:szCs w:val="24"/>
          <w14:textFill>
            <w14:solidFill>
              <w14:schemeClr w14:val="tx1"/>
            </w14:solidFill>
          </w14:textFill>
        </w:rPr>
        <w:t>招标方有权派遣其检验人员到投标方及其分包商的车间场所，对合同设备的</w:t>
      </w:r>
      <w:r>
        <w:rPr>
          <w:rFonts w:hint="eastAsia" w:ascii="Times New Roman" w:hAnsi="Times New Roman" w:eastAsiaTheme="minorEastAsia"/>
          <w:color w:val="000000" w:themeColor="text1"/>
          <w:spacing w:val="-4"/>
          <w:sz w:val="24"/>
          <w:szCs w:val="24"/>
          <w14:textFill>
            <w14:solidFill>
              <w14:schemeClr w14:val="tx1"/>
            </w14:solidFill>
          </w14:textFill>
        </w:rPr>
        <w:t>加工制造进行检验和监造。招标方将为此目的而派遣的代表的身份以书面形式通知投标方。</w:t>
      </w:r>
      <w:bookmarkEnd w:id="777"/>
      <w:bookmarkEnd w:id="778"/>
    </w:p>
    <w:p w14:paraId="7AD5C1FF">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79" w:name="_Toc279850561"/>
      <w:bookmarkStart w:id="780" w:name="_Toc279850974"/>
      <w:r>
        <w:rPr>
          <w:rFonts w:ascii="Times New Roman" w:hAnsi="Times New Roman" w:eastAsiaTheme="minorEastAsia"/>
          <w:color w:val="000000" w:themeColor="text1"/>
          <w:sz w:val="24"/>
          <w:szCs w:val="24"/>
          <w14:textFill>
            <w14:solidFill>
              <w14:schemeClr w14:val="tx1"/>
            </w14:solidFill>
          </w14:textFill>
        </w:rPr>
        <w:t xml:space="preserve">7.4.2  </w:t>
      </w:r>
      <w:r>
        <w:rPr>
          <w:rFonts w:hint="eastAsia" w:ascii="Times New Roman" w:hAnsi="Times New Roman" w:eastAsiaTheme="minorEastAsia"/>
          <w:color w:val="000000" w:themeColor="text1"/>
          <w:sz w:val="24"/>
          <w:szCs w:val="24"/>
          <w14:textFill>
            <w14:solidFill>
              <w14:schemeClr w14:val="tx1"/>
            </w14:solidFill>
          </w14:textFill>
        </w:rPr>
        <w:t>如有合同设备经检验和试验不符合技术规范的要求，招标方可以拒收，投标方应更换被拒收的货物，或进行必要的改造使之符合技术规范的要求，招标方不承担上述的费用。</w:t>
      </w:r>
      <w:bookmarkEnd w:id="779"/>
      <w:bookmarkEnd w:id="780"/>
    </w:p>
    <w:p w14:paraId="75805496">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81" w:name="_Toc279850562"/>
      <w:bookmarkStart w:id="782" w:name="_Toc279850975"/>
      <w:r>
        <w:rPr>
          <w:rFonts w:ascii="Times New Roman" w:hAnsi="Times New Roman" w:eastAsiaTheme="minorEastAsia"/>
          <w:color w:val="000000" w:themeColor="text1"/>
          <w:sz w:val="24"/>
          <w:szCs w:val="24"/>
          <w14:textFill>
            <w14:solidFill>
              <w14:schemeClr w14:val="tx1"/>
            </w14:solidFill>
          </w14:textFill>
        </w:rPr>
        <w:t xml:space="preserve">7.4.3  </w:t>
      </w:r>
      <w:r>
        <w:rPr>
          <w:rFonts w:hint="eastAsia" w:ascii="Times New Roman" w:hAnsi="Times New Roman" w:eastAsiaTheme="minorEastAsia"/>
          <w:color w:val="000000" w:themeColor="text1"/>
          <w:sz w:val="24"/>
          <w:szCs w:val="24"/>
          <w14:textFill>
            <w14:solidFill>
              <w14:schemeClr w14:val="tx1"/>
            </w14:solidFill>
          </w14:textFill>
        </w:rPr>
        <w:t>招标方对货物运到招标方目的地以后进行检验、试验和拒收（如果必要时）的权利，不得因该货物在原产地发运以前已经由招标方或其代表进行过监造和检验并已通过作为理由而受到限制。招标方人员参加工厂试验，包括会签任何试验结果，既不免除投标方按合同规定应负的责任，也不能代替合同设备到达目的地后招标方对其进行的检验。</w:t>
      </w:r>
      <w:bookmarkEnd w:id="781"/>
      <w:bookmarkEnd w:id="782"/>
    </w:p>
    <w:p w14:paraId="5739EF8F">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83" w:name="_Toc279850563"/>
      <w:bookmarkStart w:id="784" w:name="_Toc279850976"/>
      <w:r>
        <w:rPr>
          <w:rFonts w:ascii="Times New Roman" w:hAnsi="Times New Roman" w:eastAsiaTheme="minorEastAsia"/>
          <w:color w:val="000000" w:themeColor="text1"/>
          <w:sz w:val="24"/>
          <w:szCs w:val="24"/>
          <w14:textFill>
            <w14:solidFill>
              <w14:schemeClr w14:val="tx1"/>
            </w14:solidFill>
          </w14:textFill>
        </w:rPr>
        <w:t xml:space="preserve">7.4.4  </w:t>
      </w:r>
      <w:r>
        <w:rPr>
          <w:rFonts w:hint="eastAsia" w:ascii="Times New Roman" w:hAnsi="Times New Roman" w:eastAsiaTheme="minorEastAsia"/>
          <w:color w:val="000000" w:themeColor="text1"/>
          <w:sz w:val="24"/>
          <w:szCs w:val="24"/>
          <w14:textFill>
            <w14:solidFill>
              <w14:schemeClr w14:val="tx1"/>
            </w14:solidFill>
          </w14:textFill>
        </w:rPr>
        <w:t>投标方应在开始进行工厂试验前</w:t>
      </w:r>
      <w:r>
        <w:rPr>
          <w:rFonts w:ascii="Times New Roman" w:hAnsi="Times New Roman" w:eastAsiaTheme="minorEastAsia"/>
          <w:color w:val="000000" w:themeColor="text1"/>
          <w:sz w:val="24"/>
          <w:szCs w:val="24"/>
          <w14:textFill>
            <w14:solidFill>
              <w14:schemeClr w14:val="tx1"/>
            </w14:solidFill>
          </w14:textFill>
        </w:rPr>
        <w:t>2</w:t>
      </w:r>
      <w:r>
        <w:rPr>
          <w:rFonts w:hint="eastAsia" w:ascii="Times New Roman" w:hAnsi="Times New Roman" w:eastAsiaTheme="minorEastAsia"/>
          <w:color w:val="000000" w:themeColor="text1"/>
          <w:sz w:val="24"/>
          <w:szCs w:val="24"/>
          <w14:textFill>
            <w14:solidFill>
              <w14:schemeClr w14:val="tx1"/>
            </w14:solidFill>
          </w14:textFill>
        </w:rPr>
        <w:t>个月，通知招标方其日程安排。根据这个日程安排，招标方将确定对合同设备的那些试验项目和阶段要进行见证，并将在接到投标方关于安装、试验和检验的日程安排通知后</w:t>
      </w:r>
      <w:r>
        <w:rPr>
          <w:rFonts w:ascii="Times New Roman" w:hAnsi="Times New Roman" w:eastAsiaTheme="minorEastAsia"/>
          <w:color w:val="000000" w:themeColor="text1"/>
          <w:sz w:val="24"/>
          <w:szCs w:val="24"/>
          <w14:textFill>
            <w14:solidFill>
              <w14:schemeClr w14:val="tx1"/>
            </w14:solidFill>
          </w14:textFill>
        </w:rPr>
        <w:t>30</w:t>
      </w:r>
      <w:r>
        <w:rPr>
          <w:rFonts w:hint="eastAsia" w:ascii="Times New Roman" w:hAnsi="Times New Roman" w:eastAsiaTheme="minorEastAsia"/>
          <w:color w:val="000000" w:themeColor="text1"/>
          <w:sz w:val="24"/>
          <w:szCs w:val="24"/>
          <w14:textFill>
            <w14:solidFill>
              <w14:schemeClr w14:val="tx1"/>
            </w14:solidFill>
          </w14:textFill>
        </w:rPr>
        <w:t>天内通知投标方。然后招标方将派出技术人员前往投标方和（或）其制造商生产现场，以观察和了解该合同设备工厂试验的情况及其运输包装的情况。若发现任一货物的质量不符合合同规定的标准，或包装不满足要求，招标方代表有权发表意见，投标方应认真考虑其意见，并采取必要措施以确保待运合同设备的质量，见证检验程序由双方代表共同协商决定。</w:t>
      </w:r>
      <w:bookmarkEnd w:id="783"/>
      <w:bookmarkEnd w:id="784"/>
    </w:p>
    <w:p w14:paraId="64A81E88">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85" w:name="_Toc279850564"/>
      <w:bookmarkStart w:id="786" w:name="_Toc279850977"/>
      <w:r>
        <w:rPr>
          <w:rFonts w:ascii="Times New Roman" w:hAnsi="Times New Roman" w:eastAsiaTheme="minorEastAsia"/>
          <w:color w:val="000000" w:themeColor="text1"/>
          <w:sz w:val="24"/>
          <w:szCs w:val="24"/>
          <w14:textFill>
            <w14:solidFill>
              <w14:schemeClr w14:val="tx1"/>
            </w14:solidFill>
          </w14:textFill>
        </w:rPr>
        <w:t xml:space="preserve">7.4.5  </w:t>
      </w:r>
      <w:r>
        <w:rPr>
          <w:rFonts w:hint="eastAsia" w:ascii="Times New Roman" w:hAnsi="Times New Roman" w:eastAsiaTheme="minorEastAsia"/>
          <w:color w:val="000000" w:themeColor="text1"/>
          <w:sz w:val="24"/>
          <w:szCs w:val="24"/>
          <w14:textFill>
            <w14:solidFill>
              <w14:schemeClr w14:val="tx1"/>
            </w14:solidFill>
          </w14:textFill>
        </w:rPr>
        <w:t>若招标方不派代表参加上述试验，投标方应在接到招标方关于不派员到投标方和（或）其分包商工厂的通知后，或招标方未按时派遣人员参加的情况下，自行组织检验。</w:t>
      </w:r>
      <w:bookmarkEnd w:id="785"/>
      <w:bookmarkEnd w:id="786"/>
    </w:p>
    <w:p w14:paraId="20A84297">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bookmarkStart w:id="787" w:name="_Toc279850565"/>
      <w:bookmarkStart w:id="788" w:name="_Toc279850978"/>
      <w:r>
        <w:rPr>
          <w:rFonts w:ascii="Times New Roman" w:hAnsi="Times New Roman" w:eastAsiaTheme="minorEastAsia"/>
          <w:color w:val="000000" w:themeColor="text1"/>
          <w:sz w:val="24"/>
          <w:szCs w:val="24"/>
          <w14:textFill>
            <w14:solidFill>
              <w14:schemeClr w14:val="tx1"/>
            </w14:solidFill>
          </w14:textFill>
        </w:rPr>
        <w:t xml:space="preserve">7.4.6  </w:t>
      </w:r>
      <w:r>
        <w:rPr>
          <w:rFonts w:hint="eastAsia" w:ascii="Times New Roman" w:hAnsi="Times New Roman" w:eastAsiaTheme="minorEastAsia"/>
          <w:color w:val="000000" w:themeColor="text1"/>
          <w:sz w:val="24"/>
          <w:szCs w:val="24"/>
          <w14:textFill>
            <w14:solidFill>
              <w14:schemeClr w14:val="tx1"/>
            </w14:solidFill>
          </w14:textFill>
        </w:rPr>
        <w:t>监造者将不签署任何质量证明文件，招标方人员参加工厂检验既不能解除投标方按合同应承担的责任，也不替代到货后招标方的检验。</w:t>
      </w:r>
      <w:bookmarkEnd w:id="787"/>
      <w:bookmarkEnd w:id="788"/>
    </w:p>
    <w:p w14:paraId="720F6601">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p w14:paraId="76719375">
      <w:pPr>
        <w:pStyle w:val="121"/>
        <w:numPr>
          <w:ilvl w:val="1"/>
          <w:numId w:val="46"/>
        </w:numPr>
        <w:tabs>
          <w:tab w:val="left" w:pos="567"/>
        </w:tabs>
        <w:snapToGrid w:val="0"/>
        <w:spacing w:line="480" w:lineRule="atLeast"/>
        <w:outlineLvl w:val="1"/>
        <w:rPr>
          <w:rFonts w:eastAsiaTheme="minorEastAsia"/>
          <w:bCs/>
          <w:color w:val="000000" w:themeColor="text1"/>
          <w:szCs w:val="24"/>
          <w14:textFill>
            <w14:solidFill>
              <w14:schemeClr w14:val="tx1"/>
            </w14:solidFill>
          </w14:textFill>
        </w:rPr>
      </w:pPr>
      <w:bookmarkStart w:id="789" w:name="_Toc279850256"/>
      <w:bookmarkStart w:id="790" w:name="_Toc526064871"/>
      <w:bookmarkStart w:id="791" w:name="_Toc278226499"/>
      <w:bookmarkStart w:id="792" w:name="_Toc526079155"/>
      <w:bookmarkStart w:id="793" w:name="_Toc526079261"/>
      <w:bookmarkStart w:id="794" w:name="_Toc220074824"/>
      <w:bookmarkStart w:id="795" w:name="_Toc279850669"/>
      <w:bookmarkStart w:id="796" w:name="_Toc279850259"/>
      <w:bookmarkStart w:id="797" w:name="_Toc526064872"/>
      <w:bookmarkStart w:id="798" w:name="_Toc278226500"/>
      <w:bookmarkStart w:id="799" w:name="_Toc526079262"/>
      <w:bookmarkStart w:id="800" w:name="_Toc279850672"/>
      <w:bookmarkStart w:id="801" w:name="_Toc526079156"/>
      <w:bookmarkStart w:id="802" w:name="_Toc22452655"/>
      <w:r>
        <w:rPr>
          <w:rFonts w:hint="eastAsia" w:eastAsiaTheme="minorEastAsia"/>
          <w:bCs/>
          <w:color w:val="000000" w:themeColor="text1"/>
          <w:szCs w:val="24"/>
          <w14:textFill>
            <w14:solidFill>
              <w14:schemeClr w14:val="tx1"/>
            </w14:solidFill>
          </w14:textFill>
        </w:rPr>
        <w:t>现场检验</w:t>
      </w:r>
      <w:bookmarkEnd w:id="789"/>
      <w:bookmarkEnd w:id="790"/>
      <w:bookmarkEnd w:id="791"/>
      <w:bookmarkEnd w:id="792"/>
      <w:bookmarkEnd w:id="793"/>
      <w:bookmarkEnd w:id="794"/>
      <w:bookmarkEnd w:id="795"/>
    </w:p>
    <w:p w14:paraId="7E32EFB4">
      <w:pPr>
        <w:pStyle w:val="121"/>
        <w:numPr>
          <w:ilvl w:val="2"/>
          <w:numId w:val="5"/>
        </w:numPr>
        <w:tabs>
          <w:tab w:val="left" w:pos="1276"/>
        </w:tabs>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803" w:name="_Toc279850670"/>
      <w:bookmarkStart w:id="804" w:name="_Toc279850257"/>
      <w:r>
        <w:rPr>
          <w:rFonts w:hint="eastAsia" w:eastAsiaTheme="minorEastAsia"/>
          <w:b w:val="0"/>
          <w:color w:val="000000" w:themeColor="text1"/>
          <w:szCs w:val="24"/>
          <w14:textFill>
            <w14:solidFill>
              <w14:schemeClr w14:val="tx1"/>
            </w14:solidFill>
          </w14:textFill>
        </w:rPr>
        <w:t>开箱最后检验</w:t>
      </w:r>
      <w:bookmarkStart w:id="805" w:name="_Toc180563891"/>
      <w:r>
        <w:rPr>
          <w:rFonts w:hint="eastAsia" w:eastAsiaTheme="minorEastAsia"/>
          <w:b w:val="0"/>
          <w:color w:val="000000" w:themeColor="text1"/>
          <w:szCs w:val="24"/>
          <w14:textFill>
            <w14:solidFill>
              <w14:schemeClr w14:val="tx1"/>
            </w14:solidFill>
          </w14:textFill>
        </w:rPr>
        <w:t>将在现场进</w:t>
      </w:r>
      <w:bookmarkEnd w:id="805"/>
      <w:r>
        <w:rPr>
          <w:rFonts w:hint="eastAsia" w:eastAsiaTheme="minorEastAsia"/>
          <w:b w:val="0"/>
          <w:color w:val="000000" w:themeColor="text1"/>
          <w:szCs w:val="24"/>
          <w14:textFill>
            <w14:solidFill>
              <w14:schemeClr w14:val="tx1"/>
            </w14:solidFill>
          </w14:textFill>
        </w:rPr>
        <w:t>行，设备数量、规格和性能将逐项验收。</w:t>
      </w:r>
      <w:bookmarkEnd w:id="803"/>
      <w:bookmarkEnd w:id="804"/>
    </w:p>
    <w:p w14:paraId="0322C481">
      <w:pPr>
        <w:pStyle w:val="121"/>
        <w:numPr>
          <w:ilvl w:val="2"/>
          <w:numId w:val="5"/>
        </w:numPr>
        <w:tabs>
          <w:tab w:val="left" w:pos="1276"/>
        </w:tabs>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806" w:name="_Toc279850258"/>
      <w:bookmarkStart w:id="807" w:name="_Toc279850671"/>
      <w:r>
        <w:rPr>
          <w:rFonts w:hint="eastAsia" w:eastAsiaTheme="minorEastAsia"/>
          <w:b w:val="0"/>
          <w:color w:val="000000" w:themeColor="text1"/>
          <w:szCs w:val="24"/>
          <w14:textFill>
            <w14:solidFill>
              <w14:schemeClr w14:val="tx1"/>
            </w14:solidFill>
          </w14:textFill>
        </w:rPr>
        <w:t>在检验中如发现明显的或潜在损坏以及产品性能不符合合同要求，投标方应自费负责补救、更换损坏的部件或设备。</w:t>
      </w:r>
      <w:bookmarkEnd w:id="806"/>
      <w:bookmarkEnd w:id="807"/>
    </w:p>
    <w:p w14:paraId="5F8E217A">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808" w:name="_Toc220074825"/>
      <w:r>
        <w:rPr>
          <w:rFonts w:hint="eastAsia" w:eastAsiaTheme="minorEastAsia"/>
          <w:bCs/>
          <w:color w:val="000000" w:themeColor="text1"/>
          <w:szCs w:val="24"/>
          <w14:textFill>
            <w14:solidFill>
              <w14:schemeClr w14:val="tx1"/>
            </w14:solidFill>
          </w14:textFill>
        </w:rPr>
        <w:t>安装、调试、</w:t>
      </w:r>
      <w:bookmarkStart w:id="809" w:name="_Toc180563892"/>
      <w:r>
        <w:rPr>
          <w:rFonts w:hint="eastAsia" w:eastAsiaTheme="minorEastAsia"/>
          <w:bCs/>
          <w:color w:val="000000" w:themeColor="text1"/>
          <w:szCs w:val="24"/>
          <w14:textFill>
            <w14:solidFill>
              <w14:schemeClr w14:val="tx1"/>
            </w14:solidFill>
          </w14:textFill>
        </w:rPr>
        <w:t>性能试验、试运行和验收</w:t>
      </w:r>
      <w:bookmarkEnd w:id="796"/>
      <w:bookmarkEnd w:id="797"/>
      <w:bookmarkEnd w:id="798"/>
      <w:bookmarkEnd w:id="799"/>
      <w:bookmarkEnd w:id="800"/>
      <w:bookmarkEnd w:id="801"/>
      <w:bookmarkEnd w:id="808"/>
    </w:p>
    <w:p w14:paraId="6AA71C89">
      <w:pPr>
        <w:pStyle w:val="121"/>
        <w:numPr>
          <w:ilvl w:val="2"/>
          <w:numId w:val="5"/>
        </w:numPr>
        <w:tabs>
          <w:tab w:val="left" w:pos="1276"/>
        </w:tabs>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810" w:name="_Toc279850673"/>
      <w:bookmarkStart w:id="811" w:name="_Toc279850260"/>
      <w:r>
        <w:rPr>
          <w:rFonts w:hint="eastAsia" w:eastAsiaTheme="minorEastAsia"/>
          <w:b w:val="0"/>
          <w:color w:val="000000" w:themeColor="text1"/>
          <w:szCs w:val="24"/>
          <w14:textFill>
            <w14:solidFill>
              <w14:schemeClr w14:val="tx1"/>
            </w14:solidFill>
          </w14:textFill>
        </w:rPr>
        <w:t>投标方的施工安装单位需具备相应的资质（以商务文件为准）。现场施工的重点工种必须有施工资质（国家有关部门颁发的电工证、焊工证、高空作业证、暖通证等）。</w:t>
      </w:r>
    </w:p>
    <w:bookmarkEnd w:id="802"/>
    <w:bookmarkEnd w:id="809"/>
    <w:bookmarkEnd w:id="810"/>
    <w:bookmarkEnd w:id="811"/>
    <w:p w14:paraId="27FE9E18">
      <w:pPr>
        <w:pStyle w:val="121"/>
        <w:numPr>
          <w:ilvl w:val="2"/>
          <w:numId w:val="5"/>
        </w:numPr>
        <w:tabs>
          <w:tab w:val="left" w:pos="1276"/>
        </w:tabs>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812" w:name="_Toc279850675"/>
      <w:bookmarkStart w:id="813" w:name="_Toc279850262"/>
      <w:r>
        <w:rPr>
          <w:rFonts w:hint="eastAsia" w:eastAsiaTheme="minorEastAsia"/>
          <w:b w:val="0"/>
          <w:color w:val="000000" w:themeColor="text1"/>
          <w:szCs w:val="24"/>
          <w14:textFill>
            <w14:solidFill>
              <w14:schemeClr w14:val="tx1"/>
            </w14:solidFill>
          </w14:textFill>
        </w:rPr>
        <w:t>设备安装之前，投标方应配合土建施工单位做好设备基础、预留孔及预埋铁的工作，为今后的设备安装创造较好的条件。建筑物交付安装后通风空调安装单位如需增加开孔、开槽及套管等则由投标方自行处理，增加开孔、开槽的封堵均由投标方负责。</w:t>
      </w:r>
    </w:p>
    <w:p w14:paraId="6E03CEE4">
      <w:pPr>
        <w:pStyle w:val="121"/>
        <w:numPr>
          <w:ilvl w:val="2"/>
          <w:numId w:val="5"/>
        </w:numPr>
        <w:tabs>
          <w:tab w:val="left" w:pos="1276"/>
        </w:tabs>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投标方应负责将所有设备、风管、水管、制冷剂管、风管配件、水管配件及其它安装材料按时运输到现场，并派有经验的施工人员在现场安装设备、风管、水管、制冷剂管、空调配电及自动控制系统，施工需严格按照国家有关标准和规范的要求执行。</w:t>
      </w:r>
    </w:p>
    <w:p w14:paraId="2324E84E">
      <w:pPr>
        <w:pStyle w:val="121"/>
        <w:numPr>
          <w:ilvl w:val="2"/>
          <w:numId w:val="5"/>
        </w:numPr>
        <w:tabs>
          <w:tab w:val="left" w:pos="1276"/>
        </w:tabs>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空调通风设备的安装</w:t>
      </w:r>
    </w:p>
    <w:p w14:paraId="59F0CC54">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7.6.4.1 </w:t>
      </w:r>
      <w:r>
        <w:rPr>
          <w:rFonts w:hint="eastAsia" w:eastAsiaTheme="minorEastAsia"/>
          <w:color w:val="000000" w:themeColor="text1"/>
          <w:sz w:val="24"/>
          <w:szCs w:val="24"/>
          <w14:textFill>
            <w14:solidFill>
              <w14:schemeClr w14:val="tx1"/>
            </w14:solidFill>
          </w14:textFill>
        </w:rPr>
        <w:t>所有设备混凝土基础必须进行质量交接验收，合格后方可安装设备。包括基础尺寸、位置、强度、表面平整度、水平度均应符合要求。</w:t>
      </w:r>
    </w:p>
    <w:p w14:paraId="05DBA41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7.6.4.2 </w:t>
      </w:r>
      <w:r>
        <w:rPr>
          <w:rFonts w:hint="eastAsia" w:eastAsiaTheme="minorEastAsia"/>
          <w:color w:val="000000" w:themeColor="text1"/>
          <w:sz w:val="24"/>
          <w:szCs w:val="24"/>
          <w14:textFill>
            <w14:solidFill>
              <w14:schemeClr w14:val="tx1"/>
            </w14:solidFill>
          </w14:textFill>
        </w:rPr>
        <w:t>设备安装前应按设计要求检验其型号、规格，应有产品合格证和安装使用说明书，核对无误时方能进行安装。安装应按说明书要求进行，吊装时应安全、稳妥，受力点不得使设备产生扭曲变形或损伤。</w:t>
      </w:r>
    </w:p>
    <w:p w14:paraId="563387BC">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7.6.4.3 </w:t>
      </w:r>
      <w:r>
        <w:rPr>
          <w:rFonts w:hint="eastAsia" w:eastAsiaTheme="minorEastAsia"/>
          <w:color w:val="000000" w:themeColor="text1"/>
          <w:sz w:val="24"/>
          <w:szCs w:val="24"/>
          <w14:textFill>
            <w14:solidFill>
              <w14:schemeClr w14:val="tx1"/>
            </w14:solidFill>
          </w14:textFill>
        </w:rPr>
        <w:t>有设备安装用的预埋件、预留洞等应与土建施工单位密切配合，避免遗漏和返工。</w:t>
      </w:r>
    </w:p>
    <w:p w14:paraId="11EB0EAB">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7.6.4.4 </w:t>
      </w:r>
      <w:r>
        <w:rPr>
          <w:rFonts w:hint="eastAsia" w:eastAsiaTheme="minorEastAsia"/>
          <w:color w:val="000000" w:themeColor="text1"/>
          <w:sz w:val="24"/>
          <w:szCs w:val="24"/>
          <w14:textFill>
            <w14:solidFill>
              <w14:schemeClr w14:val="tx1"/>
            </w14:solidFill>
          </w14:textFill>
        </w:rPr>
        <w:t>所有设备均被要求配备接地设施，在设备安装完成后，应完成其接地安装。</w:t>
      </w:r>
    </w:p>
    <w:p w14:paraId="019E61A9">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a. </w:t>
      </w:r>
      <w:r>
        <w:rPr>
          <w:rFonts w:hint="eastAsia" w:eastAsiaTheme="minorEastAsia"/>
          <w:color w:val="000000" w:themeColor="text1"/>
          <w:sz w:val="24"/>
          <w:szCs w:val="24"/>
          <w14:textFill>
            <w14:solidFill>
              <w14:schemeClr w14:val="tx1"/>
            </w14:solidFill>
          </w14:textFill>
        </w:rPr>
        <w:t>设备应有接地导线与外壳、框架、托架连接。</w:t>
      </w:r>
    </w:p>
    <w:p w14:paraId="341531F7">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b. </w:t>
      </w:r>
      <w:r>
        <w:rPr>
          <w:rFonts w:hint="eastAsia" w:eastAsiaTheme="minorEastAsia"/>
          <w:color w:val="000000" w:themeColor="text1"/>
          <w:sz w:val="24"/>
          <w:szCs w:val="24"/>
          <w14:textFill>
            <w14:solidFill>
              <w14:schemeClr w14:val="tx1"/>
            </w14:solidFill>
          </w14:textFill>
        </w:rPr>
        <w:t>管道和管道金属部件用的悬挂件应利用由螺钉、铆钉或夹子等现有机械接头保证在每一构件之间的金属触点相互连接，管道系统中的非金属构件应用不小于</w:t>
      </w:r>
      <w:r>
        <w:rPr>
          <w:rFonts w:eastAsiaTheme="minorEastAsia"/>
          <w:color w:val="000000" w:themeColor="text1"/>
          <w:sz w:val="24"/>
          <w:szCs w:val="24"/>
          <w14:textFill>
            <w14:solidFill>
              <w14:schemeClr w14:val="tx1"/>
            </w14:solidFill>
          </w14:textFill>
        </w:rPr>
        <w:t>35mm</w:t>
      </w:r>
      <w:r>
        <w:rPr>
          <w:rFonts w:eastAsiaTheme="minorEastAsia"/>
          <w:color w:val="000000" w:themeColor="text1"/>
          <w:sz w:val="24"/>
          <w:szCs w:val="24"/>
          <w:vertAlign w:val="superscript"/>
          <w14:textFill>
            <w14:solidFill>
              <w14:schemeClr w14:val="tx1"/>
            </w14:solidFill>
          </w14:textFill>
        </w:rPr>
        <w:t>2</w:t>
      </w:r>
      <w:r>
        <w:rPr>
          <w:rFonts w:hint="eastAsia" w:eastAsiaTheme="minorEastAsia"/>
          <w:color w:val="000000" w:themeColor="text1"/>
          <w:sz w:val="24"/>
          <w:szCs w:val="24"/>
          <w14:textFill>
            <w14:solidFill>
              <w14:schemeClr w14:val="tx1"/>
            </w14:solidFill>
          </w14:textFill>
        </w:rPr>
        <w:t>的铜导体进行跨接。</w:t>
      </w:r>
    </w:p>
    <w:p w14:paraId="2C2A929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7.6.4.5 </w:t>
      </w:r>
      <w:r>
        <w:rPr>
          <w:rFonts w:hint="eastAsia" w:eastAsiaTheme="minorEastAsia"/>
          <w:color w:val="000000" w:themeColor="text1"/>
          <w:sz w:val="24"/>
          <w:szCs w:val="24"/>
          <w14:textFill>
            <w14:solidFill>
              <w14:schemeClr w14:val="tx1"/>
            </w14:solidFill>
          </w14:textFill>
        </w:rPr>
        <w:t>风机、管道、阀门穿墙处应严密密封以减少泄漏及粉尘进入。阀门应配有适合的叶片及转轴密封</w:t>
      </w:r>
      <w:bookmarkStart w:id="814" w:name="_Toc279850551"/>
      <w:bookmarkStart w:id="815" w:name="_Toc279850964"/>
      <w:r>
        <w:rPr>
          <w:rFonts w:hint="eastAsia" w:eastAsiaTheme="minorEastAsia"/>
          <w:color w:val="000000" w:themeColor="text1"/>
          <w:sz w:val="24"/>
          <w:szCs w:val="24"/>
          <w14:textFill>
            <w14:solidFill>
              <w14:schemeClr w14:val="tx1"/>
            </w14:solidFill>
          </w14:textFill>
        </w:rPr>
        <w:t>措施。室外风管安装应严格密封，密封试验合格后方可保温。</w:t>
      </w:r>
      <w:bookmarkEnd w:id="814"/>
      <w:bookmarkEnd w:id="815"/>
    </w:p>
    <w:p w14:paraId="7846A998">
      <w:pPr>
        <w:snapToGrid w:val="0"/>
        <w:spacing w:line="480" w:lineRule="atLeas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7.6.4.6</w:t>
      </w:r>
      <w:r>
        <w:rPr>
          <w:rFonts w:hint="eastAsia" w:eastAsiaTheme="minorEastAsia"/>
          <w:color w:val="000000" w:themeColor="text1"/>
          <w:sz w:val="24"/>
          <w:szCs w:val="24"/>
          <w14:textFill>
            <w14:solidFill>
              <w14:schemeClr w14:val="tx1"/>
            </w14:solidFill>
          </w14:textFill>
        </w:rPr>
        <w:t>整个空调通风系统安装完成后，在正式运行前应由投标方对通风管道内进行一次全面的清灰。</w:t>
      </w:r>
    </w:p>
    <w:bookmarkEnd w:id="812"/>
    <w:bookmarkEnd w:id="813"/>
    <w:p w14:paraId="49E522A5">
      <w:pPr>
        <w:pStyle w:val="121"/>
        <w:numPr>
          <w:ilvl w:val="2"/>
          <w:numId w:val="5"/>
        </w:numPr>
        <w:tabs>
          <w:tab w:val="left" w:pos="1276"/>
        </w:tabs>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bookmarkStart w:id="816" w:name="_Toc279850676"/>
      <w:bookmarkStart w:id="817" w:name="_Toc279850263"/>
      <w:r>
        <w:rPr>
          <w:rFonts w:hint="eastAsia" w:eastAsiaTheme="minorEastAsia"/>
          <w:b w:val="0"/>
          <w:color w:val="000000" w:themeColor="text1"/>
          <w:szCs w:val="24"/>
          <w14:textFill>
            <w14:solidFill>
              <w14:schemeClr w14:val="tx1"/>
            </w14:solidFill>
          </w14:textFill>
        </w:rPr>
        <w:t>整个通风及空调系统安装完毕后，投标方应负责设备的启动、调试、性能试验及试运行，负责解决在此期间发现的制造及性能等方面的问题，详细解答合同范围内招标方提出的问题，并负责与其他设备的接口等。</w:t>
      </w:r>
    </w:p>
    <w:p w14:paraId="766EDDE5">
      <w:pPr>
        <w:pStyle w:val="121"/>
        <w:numPr>
          <w:ilvl w:val="2"/>
          <w:numId w:val="5"/>
        </w:numPr>
        <w:tabs>
          <w:tab w:val="left" w:pos="1276"/>
        </w:tabs>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验收时间为安装、调试、性能试验和试运行完成后的三个月内，如果所有的合同设备都已达到各项技术指标，并稳定运行</w:t>
      </w:r>
      <w:r>
        <w:rPr>
          <w:rFonts w:eastAsiaTheme="minorEastAsia"/>
          <w:b w:val="0"/>
          <w:color w:val="000000" w:themeColor="text1"/>
          <w:szCs w:val="24"/>
          <w14:textFill>
            <w14:solidFill>
              <w14:schemeClr w14:val="tx1"/>
            </w14:solidFill>
          </w14:textFill>
        </w:rPr>
        <w:t>168</w:t>
      </w:r>
      <w:r>
        <w:rPr>
          <w:rFonts w:hint="eastAsia" w:eastAsiaTheme="minorEastAsia"/>
          <w:b w:val="0"/>
          <w:color w:val="000000" w:themeColor="text1"/>
          <w:szCs w:val="24"/>
          <w14:textFill>
            <w14:solidFill>
              <w14:schemeClr w14:val="tx1"/>
            </w14:solidFill>
          </w14:textFill>
        </w:rPr>
        <w:t>小时后，招标方和投标方应签署合同设备的验收证明书，该证明书共两份、双方各执一份。</w:t>
      </w:r>
      <w:bookmarkEnd w:id="816"/>
      <w:bookmarkEnd w:id="817"/>
    </w:p>
    <w:p w14:paraId="16437EC0">
      <w:pPr>
        <w:pStyle w:val="121"/>
        <w:numPr>
          <w:ilvl w:val="2"/>
          <w:numId w:val="5"/>
        </w:numPr>
        <w:tabs>
          <w:tab w:val="left" w:pos="1276"/>
        </w:tabs>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施工过程中，现场所作的任何修改必须履行必要的手续或程序，并做好记录和如实在竣工图中反映，如在交付的竣工图发现错误和遗漏，招标方有权扣除一定的质保金。</w:t>
      </w:r>
    </w:p>
    <w:p w14:paraId="3662363C">
      <w:pPr>
        <w:pStyle w:val="121"/>
        <w:numPr>
          <w:ilvl w:val="2"/>
          <w:numId w:val="5"/>
        </w:numPr>
        <w:tabs>
          <w:tab w:val="left" w:pos="1276"/>
        </w:tabs>
        <w:snapToGrid w:val="0"/>
        <w:spacing w:line="480" w:lineRule="atLeast"/>
        <w:ind w:left="0" w:firstLine="480" w:firstLineChars="200"/>
        <w:rPr>
          <w:rFonts w:eastAsiaTheme="minorEastAsia"/>
          <w:b w:val="0"/>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施工过程中，通风及空调系统的标示需要规范，要按照招标方的相应规程（安建环标准以及标准化、规范化相关标准）及国家、行业相关标准、规范正确标示。包括控制柜以及控制柜内的元器件、空开标识等。</w:t>
      </w:r>
    </w:p>
    <w:p w14:paraId="2EEA6089">
      <w:pPr>
        <w:pStyle w:val="121"/>
        <w:numPr>
          <w:ilvl w:val="2"/>
          <w:numId w:val="5"/>
        </w:numPr>
        <w:tabs>
          <w:tab w:val="left" w:pos="1276"/>
        </w:tabs>
        <w:snapToGrid w:val="0"/>
        <w:spacing w:line="480" w:lineRule="atLeast"/>
        <w:ind w:left="0" w:firstLine="480" w:firstLineChars="200"/>
        <w:rPr>
          <w:rFonts w:eastAsiaTheme="minorEastAsia"/>
          <w:color w:val="000000" w:themeColor="text1"/>
          <w:szCs w:val="24"/>
          <w14:textFill>
            <w14:solidFill>
              <w14:schemeClr w14:val="tx1"/>
            </w14:solidFill>
          </w14:textFill>
        </w:rPr>
      </w:pPr>
      <w:r>
        <w:rPr>
          <w:rFonts w:hint="eastAsia" w:eastAsiaTheme="minorEastAsia"/>
          <w:b w:val="0"/>
          <w:color w:val="000000" w:themeColor="text1"/>
          <w:szCs w:val="24"/>
          <w14:textFill>
            <w14:solidFill>
              <w14:schemeClr w14:val="tx1"/>
            </w14:solidFill>
          </w14:textFill>
        </w:rPr>
        <w:t>空气处理机组过滤器：</w:t>
      </w:r>
      <w:r>
        <w:rPr>
          <w:rFonts w:eastAsiaTheme="minorEastAsia"/>
          <w:b w:val="0"/>
          <w:color w:val="000000" w:themeColor="text1"/>
          <w:szCs w:val="24"/>
          <w14:textFill>
            <w14:solidFill>
              <w14:schemeClr w14:val="tx1"/>
            </w14:solidFill>
          </w14:textFill>
        </w:rPr>
        <w:t>1</w:t>
      </w:r>
      <w:r>
        <w:rPr>
          <w:rFonts w:hint="eastAsia" w:eastAsiaTheme="minorEastAsia"/>
          <w:b w:val="0"/>
          <w:color w:val="000000" w:themeColor="text1"/>
          <w:szCs w:val="24"/>
          <w14:textFill>
            <w14:solidFill>
              <w14:schemeClr w14:val="tx1"/>
            </w14:solidFill>
          </w14:textFill>
        </w:rPr>
        <w:t>）从机组开始使用直到阀厅、主辅控楼投运前期间，初效过滤器应更换</w:t>
      </w:r>
      <w:r>
        <w:rPr>
          <w:rFonts w:eastAsiaTheme="minorEastAsia"/>
          <w:b w:val="0"/>
          <w:color w:val="000000" w:themeColor="text1"/>
          <w:szCs w:val="24"/>
          <w14:textFill>
            <w14:solidFill>
              <w14:schemeClr w14:val="tx1"/>
            </w14:solidFill>
          </w14:textFill>
        </w:rPr>
        <w:t>2</w:t>
      </w:r>
      <w:r>
        <w:rPr>
          <w:rFonts w:hint="eastAsia" w:eastAsiaTheme="minorEastAsia"/>
          <w:b w:val="0"/>
          <w:color w:val="000000" w:themeColor="text1"/>
          <w:szCs w:val="24"/>
          <w14:textFill>
            <w14:solidFill>
              <w14:schemeClr w14:val="tx1"/>
            </w14:solidFill>
          </w14:textFill>
        </w:rPr>
        <w:t>次、中效过滤器应更换</w:t>
      </w:r>
      <w:r>
        <w:rPr>
          <w:rFonts w:eastAsiaTheme="minorEastAsia"/>
          <w:b w:val="0"/>
          <w:color w:val="000000" w:themeColor="text1"/>
          <w:szCs w:val="24"/>
          <w14:textFill>
            <w14:solidFill>
              <w14:schemeClr w14:val="tx1"/>
            </w14:solidFill>
          </w14:textFill>
        </w:rPr>
        <w:t>1</w:t>
      </w:r>
      <w:r>
        <w:rPr>
          <w:rFonts w:hint="eastAsia" w:eastAsiaTheme="minorEastAsia"/>
          <w:b w:val="0"/>
          <w:color w:val="000000" w:themeColor="text1"/>
          <w:szCs w:val="24"/>
          <w14:textFill>
            <w14:solidFill>
              <w14:schemeClr w14:val="tx1"/>
            </w14:solidFill>
          </w14:textFill>
        </w:rPr>
        <w:t>次；</w:t>
      </w:r>
      <w:r>
        <w:rPr>
          <w:rFonts w:eastAsiaTheme="minorEastAsia"/>
          <w:b w:val="0"/>
          <w:color w:val="000000" w:themeColor="text1"/>
          <w:szCs w:val="24"/>
          <w14:textFill>
            <w14:solidFill>
              <w14:schemeClr w14:val="tx1"/>
            </w14:solidFill>
          </w14:textFill>
        </w:rPr>
        <w:t>2</w:t>
      </w:r>
      <w:r>
        <w:rPr>
          <w:rFonts w:hint="eastAsia" w:eastAsiaTheme="minorEastAsia"/>
          <w:b w:val="0"/>
          <w:color w:val="000000" w:themeColor="text1"/>
          <w:szCs w:val="24"/>
          <w14:textFill>
            <w14:solidFill>
              <w14:schemeClr w14:val="tx1"/>
            </w14:solidFill>
          </w14:textFill>
        </w:rPr>
        <w:t>）阀厅、主辅控楼投运时，机组过滤器全部再更换</w:t>
      </w:r>
      <w:r>
        <w:rPr>
          <w:rFonts w:eastAsiaTheme="minorEastAsia"/>
          <w:b w:val="0"/>
          <w:color w:val="000000" w:themeColor="text1"/>
          <w:szCs w:val="24"/>
          <w14:textFill>
            <w14:solidFill>
              <w14:schemeClr w14:val="tx1"/>
            </w14:solidFill>
          </w14:textFill>
        </w:rPr>
        <w:t>1</w:t>
      </w:r>
      <w:r>
        <w:rPr>
          <w:rFonts w:hint="eastAsia" w:eastAsiaTheme="minorEastAsia"/>
          <w:b w:val="0"/>
          <w:color w:val="000000" w:themeColor="text1"/>
          <w:szCs w:val="24"/>
          <w14:textFill>
            <w14:solidFill>
              <w14:schemeClr w14:val="tx1"/>
            </w14:solidFill>
          </w14:textFill>
        </w:rPr>
        <w:t>次；</w:t>
      </w:r>
      <w:r>
        <w:rPr>
          <w:rFonts w:eastAsiaTheme="minorEastAsia"/>
          <w:b w:val="0"/>
          <w:color w:val="000000" w:themeColor="text1"/>
          <w:szCs w:val="24"/>
          <w14:textFill>
            <w14:solidFill>
              <w14:schemeClr w14:val="tx1"/>
            </w14:solidFill>
          </w14:textFill>
        </w:rPr>
        <w:t>3</w:t>
      </w:r>
      <w:r>
        <w:rPr>
          <w:rFonts w:hint="eastAsia" w:eastAsiaTheme="minorEastAsia"/>
          <w:b w:val="0"/>
          <w:color w:val="000000" w:themeColor="text1"/>
          <w:szCs w:val="24"/>
          <w14:textFill>
            <w14:solidFill>
              <w14:schemeClr w14:val="tx1"/>
            </w14:solidFill>
          </w14:textFill>
        </w:rPr>
        <w:t>）过滤器备件：按已安装的过滤器</w:t>
      </w:r>
      <w:r>
        <w:rPr>
          <w:rFonts w:eastAsiaTheme="minorEastAsia"/>
          <w:b w:val="0"/>
          <w:color w:val="000000" w:themeColor="text1"/>
          <w:szCs w:val="24"/>
          <w14:textFill>
            <w14:solidFill>
              <w14:schemeClr w14:val="tx1"/>
            </w14:solidFill>
          </w14:textFill>
        </w:rPr>
        <w:t>1</w:t>
      </w:r>
      <w:r>
        <w:rPr>
          <w:rFonts w:hint="eastAsia" w:eastAsiaTheme="minorEastAsia"/>
          <w:b w:val="0"/>
          <w:color w:val="000000" w:themeColor="text1"/>
          <w:szCs w:val="24"/>
          <w14:textFill>
            <w14:solidFill>
              <w14:schemeClr w14:val="tx1"/>
            </w14:solidFill>
          </w14:textFill>
        </w:rPr>
        <w:t>：</w:t>
      </w:r>
      <w:r>
        <w:rPr>
          <w:rFonts w:eastAsiaTheme="minorEastAsia"/>
          <w:b w:val="0"/>
          <w:color w:val="000000" w:themeColor="text1"/>
          <w:szCs w:val="24"/>
          <w14:textFill>
            <w14:solidFill>
              <w14:schemeClr w14:val="tx1"/>
            </w14:solidFill>
          </w14:textFill>
        </w:rPr>
        <w:t>1</w:t>
      </w:r>
      <w:r>
        <w:rPr>
          <w:rFonts w:hint="eastAsia" w:eastAsiaTheme="minorEastAsia"/>
          <w:b w:val="0"/>
          <w:color w:val="000000" w:themeColor="text1"/>
          <w:szCs w:val="24"/>
          <w14:textFill>
            <w14:solidFill>
              <w14:schemeClr w14:val="tx1"/>
            </w14:solidFill>
          </w14:textFill>
        </w:rPr>
        <w:t>来配置。</w:t>
      </w:r>
      <w:r>
        <w:rPr>
          <w:rFonts w:eastAsiaTheme="minorEastAsia"/>
          <w:b w:val="0"/>
          <w:color w:val="000000" w:themeColor="text1"/>
          <w:szCs w:val="24"/>
          <w14:textFill>
            <w14:solidFill>
              <w14:schemeClr w14:val="tx1"/>
            </w14:solidFill>
          </w14:textFill>
        </w:rPr>
        <w:t>4</w:t>
      </w:r>
      <w:r>
        <w:rPr>
          <w:rFonts w:hint="eastAsia" w:eastAsiaTheme="minorEastAsia"/>
          <w:b w:val="0"/>
          <w:color w:val="000000" w:themeColor="text1"/>
          <w:szCs w:val="24"/>
          <w14:textFill>
            <w14:solidFill>
              <w14:schemeClr w14:val="tx1"/>
            </w14:solidFill>
          </w14:textFill>
        </w:rPr>
        <w:t>）如果更换次数少于第一条规定，剩余更换次数的过滤器移交运行单位（不包含第</w:t>
      </w:r>
      <w:r>
        <w:rPr>
          <w:rFonts w:eastAsiaTheme="minorEastAsia"/>
          <w:b w:val="0"/>
          <w:color w:val="000000" w:themeColor="text1"/>
          <w:szCs w:val="24"/>
          <w14:textFill>
            <w14:solidFill>
              <w14:schemeClr w14:val="tx1"/>
            </w14:solidFill>
          </w14:textFill>
        </w:rPr>
        <w:t>3</w:t>
      </w:r>
      <w:r>
        <w:rPr>
          <w:rFonts w:hint="eastAsia" w:eastAsiaTheme="minorEastAsia"/>
          <w:b w:val="0"/>
          <w:color w:val="000000" w:themeColor="text1"/>
          <w:szCs w:val="24"/>
          <w14:textFill>
            <w14:solidFill>
              <w14:schemeClr w14:val="tx1"/>
            </w14:solidFill>
          </w14:textFill>
        </w:rPr>
        <w:t>条应提供的备件数量）。</w:t>
      </w:r>
    </w:p>
    <w:p w14:paraId="70862F79">
      <w:pPr>
        <w:pStyle w:val="121"/>
        <w:snapToGrid w:val="0"/>
        <w:spacing w:line="480" w:lineRule="atLeast"/>
        <w:ind w:left="0" w:firstLine="482" w:firstLineChars="200"/>
        <w:outlineLvl w:val="0"/>
        <w:rPr>
          <w:rFonts w:eastAsiaTheme="minorEastAsia"/>
          <w:color w:val="000000" w:themeColor="text1"/>
          <w:szCs w:val="24"/>
          <w14:textFill>
            <w14:solidFill>
              <w14:schemeClr w14:val="tx1"/>
            </w14:solidFill>
          </w14:textFill>
        </w:rPr>
      </w:pPr>
      <w:bookmarkStart w:id="818" w:name="_Toc449424633"/>
      <w:bookmarkStart w:id="819" w:name="_Toc526079182"/>
      <w:bookmarkStart w:id="820" w:name="_Toc220074826"/>
      <w:bookmarkStart w:id="821" w:name="_Toc526079288"/>
      <w:bookmarkStart w:id="822" w:name="_Toc113441878"/>
      <w:bookmarkStart w:id="823" w:name="_Toc526064898"/>
      <w:r>
        <w:rPr>
          <w:rFonts w:hint="eastAsia" w:eastAsiaTheme="minorEastAsia"/>
          <w:color w:val="000000" w:themeColor="text1"/>
          <w:szCs w:val="24"/>
          <w14:textFill>
            <w14:solidFill>
              <w14:schemeClr w14:val="tx1"/>
            </w14:solidFill>
          </w14:textFill>
        </w:rPr>
        <w:t>包装、运输和储存</w:t>
      </w:r>
      <w:bookmarkEnd w:id="818"/>
      <w:bookmarkEnd w:id="819"/>
      <w:bookmarkEnd w:id="820"/>
      <w:bookmarkEnd w:id="821"/>
      <w:bookmarkEnd w:id="822"/>
      <w:bookmarkEnd w:id="823"/>
    </w:p>
    <w:p w14:paraId="66D82EA3">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824" w:name="_Toc526064899"/>
      <w:bookmarkStart w:id="825" w:name="_Toc449424634"/>
      <w:r>
        <w:rPr>
          <w:rFonts w:eastAsiaTheme="minorEastAsia"/>
          <w:bCs/>
          <w:color w:val="000000" w:themeColor="text1"/>
          <w:szCs w:val="24"/>
          <w14:textFill>
            <w14:solidFill>
              <w14:schemeClr w14:val="tx1"/>
            </w14:solidFill>
          </w14:textFill>
        </w:rPr>
        <w:t xml:space="preserve"> </w:t>
      </w:r>
      <w:bookmarkStart w:id="826" w:name="_Toc526079289"/>
      <w:bookmarkStart w:id="827" w:name="_Toc526079183"/>
      <w:bookmarkStart w:id="828" w:name="_Toc220074827"/>
      <w:r>
        <w:rPr>
          <w:rFonts w:hint="eastAsia" w:eastAsiaTheme="minorEastAsia"/>
          <w:bCs/>
          <w:color w:val="000000" w:themeColor="text1"/>
          <w:szCs w:val="24"/>
          <w14:textFill>
            <w14:solidFill>
              <w14:schemeClr w14:val="tx1"/>
            </w14:solidFill>
          </w14:textFill>
        </w:rPr>
        <w:t>包装运输</w:t>
      </w:r>
      <w:bookmarkEnd w:id="824"/>
      <w:bookmarkEnd w:id="825"/>
      <w:bookmarkEnd w:id="826"/>
      <w:bookmarkEnd w:id="827"/>
      <w:bookmarkEnd w:id="828"/>
    </w:p>
    <w:p w14:paraId="0E8222D2">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8.1.1  </w:t>
      </w:r>
      <w:r>
        <w:rPr>
          <w:rFonts w:hint="eastAsia" w:ascii="Times New Roman" w:hAnsi="Times New Roman" w:eastAsiaTheme="minorEastAsia"/>
          <w:color w:val="000000" w:themeColor="text1"/>
          <w:sz w:val="24"/>
          <w:szCs w:val="24"/>
          <w14:textFill>
            <w14:solidFill>
              <w14:schemeClr w14:val="tx1"/>
            </w14:solidFill>
          </w14:textFill>
        </w:rPr>
        <w:t>包装及运输除应按国家有关的标准和规定进行外，还须满足本节的条款，当本节的规定与国家标准有矛盾时，以较高要求为准。</w:t>
      </w:r>
    </w:p>
    <w:p w14:paraId="317E9294">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8.1.2  </w:t>
      </w:r>
      <w:r>
        <w:rPr>
          <w:rFonts w:hint="eastAsia" w:ascii="Times New Roman" w:hAnsi="Times New Roman" w:eastAsiaTheme="minorEastAsia"/>
          <w:color w:val="000000" w:themeColor="text1"/>
          <w:sz w:val="24"/>
          <w:szCs w:val="24"/>
          <w14:textFill>
            <w14:solidFill>
              <w14:schemeClr w14:val="tx1"/>
            </w14:solidFill>
          </w14:textFill>
        </w:rPr>
        <w:t>设备制造完成并通过试验后应及时包装，否则应得到切实的保护，确保其不受污损。</w:t>
      </w:r>
    </w:p>
    <w:p w14:paraId="5FCA0BC2">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8.1.3  </w:t>
      </w:r>
      <w:r>
        <w:rPr>
          <w:rFonts w:hint="eastAsia" w:ascii="Times New Roman" w:hAnsi="Times New Roman" w:eastAsiaTheme="minorEastAsia"/>
          <w:color w:val="000000" w:themeColor="text1"/>
          <w:sz w:val="24"/>
          <w:szCs w:val="24"/>
          <w14:textFill>
            <w14:solidFill>
              <w14:schemeClr w14:val="tx1"/>
            </w14:solidFill>
          </w14:textFill>
        </w:rPr>
        <w:t>所有部件经妥善包装或装箱后，在运输过程中尚应采取其它防护措施，以免散失损坏或被盗。</w:t>
      </w:r>
    </w:p>
    <w:p w14:paraId="65320311">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8.1.4  </w:t>
      </w:r>
      <w:r>
        <w:rPr>
          <w:rFonts w:hint="eastAsia" w:ascii="Times New Roman" w:hAnsi="Times New Roman" w:eastAsiaTheme="minorEastAsia"/>
          <w:color w:val="000000" w:themeColor="text1"/>
          <w:sz w:val="24"/>
          <w:szCs w:val="24"/>
          <w14:textFill>
            <w14:solidFill>
              <w14:schemeClr w14:val="tx1"/>
            </w14:solidFill>
          </w14:textFill>
        </w:rPr>
        <w:t>整体设备或分别运输的部件都要适合运输和装载的要求，各种包装应能确保各零部件在运输过程中不致遭到损坏、丢失、变形、受潮和腐蚀。</w:t>
      </w:r>
    </w:p>
    <w:p w14:paraId="4AAC8B1A">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8.1.5  </w:t>
      </w:r>
      <w:r>
        <w:rPr>
          <w:rFonts w:hint="eastAsia" w:ascii="Times New Roman" w:hAnsi="Times New Roman" w:eastAsiaTheme="minorEastAsia"/>
          <w:color w:val="000000" w:themeColor="text1"/>
          <w:sz w:val="24"/>
          <w:szCs w:val="24"/>
          <w14:textFill>
            <w14:solidFill>
              <w14:schemeClr w14:val="tx1"/>
            </w14:solidFill>
          </w14:textFill>
        </w:rPr>
        <w:t>每个设备箱至少应包括两份详细的装箱单</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箱体内、外各一份</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和一份质量检验证（箱体内）。</w:t>
      </w:r>
    </w:p>
    <w:p w14:paraId="58613BCF">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8.1.6  </w:t>
      </w:r>
      <w:r>
        <w:rPr>
          <w:rFonts w:hint="eastAsia" w:ascii="Times New Roman" w:hAnsi="Times New Roman" w:eastAsiaTheme="minorEastAsia"/>
          <w:color w:val="000000" w:themeColor="text1"/>
          <w:sz w:val="24"/>
          <w:szCs w:val="24"/>
          <w14:textFill>
            <w14:solidFill>
              <w14:schemeClr w14:val="tx1"/>
            </w14:solidFill>
          </w14:textFill>
        </w:rPr>
        <w:t>对装箱供给的设备，投标方应在每个箱子的四面清楚地标明招标方的订货号、运输识别号、发货及到货地点、发货人及收货人、设备名称、工程项目名称、箱号</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箱的序号</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设备总件数</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、毛重</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净重、外形尺寸</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长</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宽</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高</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、设备运输及储存保管要求的国际通用标记。</w:t>
      </w:r>
    </w:p>
    <w:p w14:paraId="25406C76">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8.1.7  </w:t>
      </w:r>
      <w:r>
        <w:rPr>
          <w:rFonts w:hint="eastAsia" w:ascii="Times New Roman" w:hAnsi="Times New Roman" w:eastAsiaTheme="minorEastAsia"/>
          <w:color w:val="000000" w:themeColor="text1"/>
          <w:sz w:val="24"/>
          <w:szCs w:val="24"/>
          <w14:textFill>
            <w14:solidFill>
              <w14:schemeClr w14:val="tx1"/>
            </w14:solidFill>
          </w14:textFill>
        </w:rPr>
        <w:t>对于</w:t>
      </w:r>
      <w:r>
        <w:rPr>
          <w:rFonts w:ascii="Times New Roman" w:hAnsi="Times New Roman" w:eastAsiaTheme="minorEastAsia"/>
          <w:color w:val="000000" w:themeColor="text1"/>
          <w:sz w:val="24"/>
          <w:szCs w:val="24"/>
          <w14:textFill>
            <w14:solidFill>
              <w14:schemeClr w14:val="tx1"/>
            </w14:solidFill>
          </w14:textFill>
        </w:rPr>
        <w:t>2t</w:t>
      </w:r>
      <w:r>
        <w:rPr>
          <w:rFonts w:hint="eastAsia" w:ascii="Times New Roman" w:hAnsi="Times New Roman" w:eastAsiaTheme="minorEastAsia"/>
          <w:color w:val="000000" w:themeColor="text1"/>
          <w:sz w:val="24"/>
          <w:szCs w:val="24"/>
          <w14:textFill>
            <w14:solidFill>
              <w14:schemeClr w14:val="tx1"/>
            </w14:solidFill>
          </w14:textFill>
        </w:rPr>
        <w:t>或更重的包装箱，应在两侧用箭头突出地标出重心及起吊点的位置，以便于装卸和搬运。</w:t>
      </w:r>
    </w:p>
    <w:p w14:paraId="338DB2CD">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8.1.8  </w:t>
      </w:r>
      <w:r>
        <w:rPr>
          <w:rFonts w:hint="eastAsia" w:ascii="Times New Roman" w:hAnsi="Times New Roman" w:eastAsiaTheme="minorEastAsia"/>
          <w:color w:val="000000" w:themeColor="text1"/>
          <w:sz w:val="24"/>
          <w:szCs w:val="24"/>
          <w14:textFill>
            <w14:solidFill>
              <w14:schemeClr w14:val="tx1"/>
            </w14:solidFill>
          </w14:textFill>
        </w:rPr>
        <w:t>所有孔、管接头、法兰、螺纹和末端焊接的连接件，都应加以保护，以防止运输和保管期间发生损坏、腐蚀和掉进其他物件。</w:t>
      </w:r>
    </w:p>
    <w:p w14:paraId="5E112455">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8.1.9  </w:t>
      </w:r>
      <w:r>
        <w:rPr>
          <w:rFonts w:hint="eastAsia" w:ascii="Times New Roman" w:hAnsi="Times New Roman" w:eastAsiaTheme="minorEastAsia"/>
          <w:color w:val="000000" w:themeColor="text1"/>
          <w:sz w:val="24"/>
          <w:szCs w:val="24"/>
          <w14:textFill>
            <w14:solidFill>
              <w14:schemeClr w14:val="tx1"/>
            </w14:solidFill>
          </w14:textFill>
        </w:rPr>
        <w:t>设备交货地点：换流站站内。</w:t>
      </w:r>
    </w:p>
    <w:p w14:paraId="52ABC41E">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p>
    <w:p w14:paraId="228F9AAD">
      <w:pPr>
        <w:pStyle w:val="121"/>
        <w:numPr>
          <w:ilvl w:val="1"/>
          <w:numId w:val="5"/>
        </w:numPr>
        <w:snapToGrid w:val="0"/>
        <w:spacing w:line="480" w:lineRule="atLeast"/>
        <w:ind w:left="0" w:firstLine="482" w:firstLineChars="200"/>
        <w:outlineLvl w:val="1"/>
        <w:rPr>
          <w:rFonts w:eastAsiaTheme="minorEastAsia"/>
          <w:bCs/>
          <w:color w:val="000000" w:themeColor="text1"/>
          <w:szCs w:val="24"/>
          <w14:textFill>
            <w14:solidFill>
              <w14:schemeClr w14:val="tx1"/>
            </w14:solidFill>
          </w14:textFill>
        </w:rPr>
      </w:pPr>
      <w:bookmarkStart w:id="829" w:name="_Toc449424635"/>
      <w:bookmarkStart w:id="830" w:name="_Toc526064900"/>
      <w:r>
        <w:rPr>
          <w:rFonts w:eastAsiaTheme="minorEastAsia"/>
          <w:bCs/>
          <w:color w:val="000000" w:themeColor="text1"/>
          <w:szCs w:val="24"/>
          <w14:textFill>
            <w14:solidFill>
              <w14:schemeClr w14:val="tx1"/>
            </w14:solidFill>
          </w14:textFill>
        </w:rPr>
        <w:t xml:space="preserve"> </w:t>
      </w:r>
      <w:bookmarkStart w:id="831" w:name="_Toc526079290"/>
      <w:bookmarkStart w:id="832" w:name="_Toc220074828"/>
      <w:bookmarkStart w:id="833" w:name="_Toc526079184"/>
      <w:r>
        <w:rPr>
          <w:rFonts w:hint="eastAsia" w:eastAsiaTheme="minorEastAsia"/>
          <w:bCs/>
          <w:color w:val="000000" w:themeColor="text1"/>
          <w:szCs w:val="24"/>
          <w14:textFill>
            <w14:solidFill>
              <w14:schemeClr w14:val="tx1"/>
            </w14:solidFill>
          </w14:textFill>
        </w:rPr>
        <w:t>储</w:t>
      </w:r>
      <w:r>
        <w:rPr>
          <w:rFonts w:eastAsiaTheme="minorEastAsia"/>
          <w:bCs/>
          <w:color w:val="000000" w:themeColor="text1"/>
          <w:szCs w:val="24"/>
          <w14:textFill>
            <w14:solidFill>
              <w14:schemeClr w14:val="tx1"/>
            </w14:solidFill>
          </w14:textFill>
        </w:rPr>
        <w:t xml:space="preserve">  </w:t>
      </w:r>
      <w:r>
        <w:rPr>
          <w:rFonts w:hint="eastAsia" w:eastAsiaTheme="minorEastAsia"/>
          <w:bCs/>
          <w:color w:val="000000" w:themeColor="text1"/>
          <w:szCs w:val="24"/>
          <w14:textFill>
            <w14:solidFill>
              <w14:schemeClr w14:val="tx1"/>
            </w14:solidFill>
          </w14:textFill>
        </w:rPr>
        <w:t>存</w:t>
      </w:r>
      <w:bookmarkEnd w:id="829"/>
      <w:bookmarkEnd w:id="830"/>
      <w:bookmarkEnd w:id="831"/>
      <w:bookmarkEnd w:id="832"/>
      <w:bookmarkEnd w:id="833"/>
    </w:p>
    <w:p w14:paraId="7A2DA846">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 xml:space="preserve">8.2.1  </w:t>
      </w:r>
      <w:r>
        <w:rPr>
          <w:rFonts w:hint="eastAsia" w:ascii="Times New Roman" w:hAnsi="Times New Roman" w:eastAsiaTheme="minorEastAsia"/>
          <w:color w:val="000000" w:themeColor="text1"/>
          <w:sz w:val="24"/>
          <w:szCs w:val="24"/>
          <w14:textFill>
            <w14:solidFill>
              <w14:schemeClr w14:val="tx1"/>
            </w14:solidFill>
          </w14:textFill>
        </w:rPr>
        <w:t>投标方提供的设备应由投标方包装保护好，使其在室外条件下能储放</w:t>
      </w:r>
      <w:r>
        <w:rPr>
          <w:rFonts w:ascii="Times New Roman" w:hAnsi="Times New Roman" w:eastAsiaTheme="minorEastAsia"/>
          <w:color w:val="000000" w:themeColor="text1"/>
          <w:sz w:val="24"/>
          <w:szCs w:val="24"/>
          <w14:textFill>
            <w14:solidFill>
              <w14:schemeClr w14:val="tx1"/>
            </w14:solidFill>
          </w14:textFill>
        </w:rPr>
        <w:t>6</w:t>
      </w:r>
      <w:r>
        <w:rPr>
          <w:rFonts w:hint="eastAsia" w:ascii="Times New Roman" w:hAnsi="Times New Roman" w:eastAsiaTheme="minorEastAsia"/>
          <w:color w:val="000000" w:themeColor="text1"/>
          <w:sz w:val="24"/>
          <w:szCs w:val="24"/>
          <w14:textFill>
            <w14:solidFill>
              <w14:schemeClr w14:val="tx1"/>
            </w14:solidFill>
          </w14:textFill>
        </w:rPr>
        <w:t>个月的时间，直至运行前不需拆卸检查</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轴承和密封除外</w:t>
      </w:r>
      <w:r>
        <w:rPr>
          <w:rFonts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14:textFill>
            <w14:solidFill>
              <w14:schemeClr w14:val="tx1"/>
            </w14:solidFill>
          </w14:textFill>
        </w:rPr>
        <w:t>。</w:t>
      </w:r>
    </w:p>
    <w:p w14:paraId="2333C177">
      <w:pPr>
        <w:pStyle w:val="122"/>
        <w:snapToGrid w:val="0"/>
        <w:spacing w:line="480" w:lineRule="atLeast"/>
        <w:ind w:firstLine="480"/>
        <w:rPr>
          <w:rFonts w:ascii="Times New Roman" w:hAnsi="Times New Roman" w:eastAsiaTheme="minorEastAsia"/>
          <w:color w:val="000000" w:themeColor="text1"/>
          <w:sz w:val="24"/>
          <w:szCs w:val="24"/>
          <w14:textFill>
            <w14:solidFill>
              <w14:schemeClr w14:val="tx1"/>
            </w14:solidFill>
          </w14:textFill>
        </w:rPr>
        <w:sectPr>
          <w:pgSz w:w="11907" w:h="16839"/>
          <w:pgMar w:top="1701" w:right="1418" w:bottom="1418" w:left="1418" w:header="1021" w:footer="1021" w:gutter="0"/>
          <w:cols w:space="720" w:num="1"/>
          <w:docGrid w:linePitch="286" w:charSpace="0"/>
        </w:sectPr>
      </w:pPr>
      <w:r>
        <w:rPr>
          <w:rFonts w:ascii="Times New Roman" w:hAnsi="Times New Roman" w:eastAsiaTheme="minorEastAsia"/>
          <w:color w:val="000000" w:themeColor="text1"/>
          <w:sz w:val="24"/>
          <w:szCs w:val="24"/>
          <w14:textFill>
            <w14:solidFill>
              <w14:schemeClr w14:val="tx1"/>
            </w14:solidFill>
          </w14:textFill>
        </w:rPr>
        <w:t xml:space="preserve">8.2.2  </w:t>
      </w:r>
      <w:r>
        <w:rPr>
          <w:rFonts w:hint="eastAsia" w:ascii="Times New Roman" w:hAnsi="Times New Roman" w:eastAsiaTheme="minorEastAsia"/>
          <w:color w:val="000000" w:themeColor="text1"/>
          <w:sz w:val="24"/>
          <w:szCs w:val="24"/>
          <w14:textFill>
            <w14:solidFill>
              <w14:schemeClr w14:val="tx1"/>
            </w14:solidFill>
          </w14:textFill>
        </w:rPr>
        <w:t>对于预期要存放更长时间的设备，招标方必须与投标方商妥推荐一种必须遵循的方法（投标方在设备安装前应遵循南方电网设备开箱管理规定）。</w:t>
      </w:r>
    </w:p>
    <w:bookmarkEnd w:id="527"/>
    <w:p w14:paraId="6A27E914">
      <w:pPr>
        <w:pStyle w:val="2"/>
        <w:keepNext w:val="0"/>
        <w:keepLines w:val="0"/>
        <w:spacing w:line="460" w:lineRule="atLeast"/>
        <w:ind w:right="0" w:rightChars="0" w:firstLine="482" w:firstLineChars="200"/>
        <w:rPr>
          <w:rStyle w:val="55"/>
          <w:rFonts w:ascii="Times New Roman" w:hAnsi="Times New Roman" w:eastAsiaTheme="minorEastAsia"/>
          <w:b/>
          <w:bCs/>
          <w:color w:val="000000" w:themeColor="text1"/>
          <w:sz w:val="24"/>
          <w:szCs w:val="24"/>
          <w14:textFill>
            <w14:solidFill>
              <w14:schemeClr w14:val="tx1"/>
            </w14:solidFill>
          </w14:textFill>
        </w:rPr>
      </w:pPr>
      <w:bookmarkStart w:id="834" w:name="_Toc526079293"/>
      <w:bookmarkStart w:id="835" w:name="_Toc526079187"/>
      <w:bookmarkStart w:id="836" w:name="_Toc278226730"/>
      <w:bookmarkStart w:id="837" w:name="_Toc282788490"/>
      <w:bookmarkStart w:id="838" w:name="_Toc220074829"/>
      <w:bookmarkStart w:id="839" w:name="_Toc526064903"/>
      <w:bookmarkStart w:id="840" w:name="_Toc279850580"/>
      <w:bookmarkStart w:id="841" w:name="_Toc279850993"/>
      <w:r>
        <w:rPr>
          <w:rStyle w:val="55"/>
          <w:rFonts w:hint="eastAsia" w:ascii="Times New Roman" w:hAnsi="Times New Roman" w:eastAsiaTheme="minorEastAsia"/>
          <w:b/>
          <w:bCs/>
          <w:color w:val="000000" w:themeColor="text1"/>
          <w:sz w:val="24"/>
          <w:szCs w:val="24"/>
          <w14:textFill>
            <w14:solidFill>
              <w14:schemeClr w14:val="tx1"/>
            </w14:solidFill>
          </w14:textFill>
        </w:rPr>
        <w:t>附录</w:t>
      </w:r>
      <w:r>
        <w:rPr>
          <w:rStyle w:val="55"/>
          <w:rFonts w:ascii="Times New Roman" w:hAnsi="Times New Roman" w:eastAsiaTheme="minorEastAsia"/>
          <w:b/>
          <w:bCs/>
          <w:color w:val="000000" w:themeColor="text1"/>
          <w:sz w:val="24"/>
          <w:szCs w:val="24"/>
          <w14:textFill>
            <w14:solidFill>
              <w14:schemeClr w14:val="tx1"/>
            </w14:solidFill>
          </w14:textFill>
        </w:rPr>
        <w:t xml:space="preserve">A  </w:t>
      </w:r>
      <w:r>
        <w:rPr>
          <w:rStyle w:val="55"/>
          <w:rFonts w:hint="eastAsia" w:ascii="Times New Roman" w:hAnsi="Times New Roman" w:eastAsiaTheme="minorEastAsia"/>
          <w:b/>
          <w:bCs/>
          <w:color w:val="000000" w:themeColor="text1"/>
          <w:sz w:val="24"/>
          <w:szCs w:val="24"/>
          <w14:textFill>
            <w14:solidFill>
              <w14:schemeClr w14:val="tx1"/>
            </w14:solidFill>
          </w14:textFill>
        </w:rPr>
        <w:t>销售及运行业绩表</w:t>
      </w:r>
      <w:bookmarkEnd w:id="834"/>
      <w:bookmarkEnd w:id="835"/>
      <w:bookmarkEnd w:id="836"/>
      <w:bookmarkEnd w:id="837"/>
      <w:bookmarkEnd w:id="838"/>
      <w:bookmarkEnd w:id="839"/>
      <w:bookmarkEnd w:id="840"/>
      <w:bookmarkEnd w:id="841"/>
    </w:p>
    <w:p w14:paraId="18259A81">
      <w:pPr>
        <w:spacing w:line="460" w:lineRule="atLeast"/>
        <w:rPr>
          <w:color w:val="000000" w:themeColor="text1"/>
          <w14:textFill>
            <w14:solidFill>
              <w14:schemeClr w14:val="tx1"/>
            </w14:solidFill>
          </w14:textFill>
        </w:rPr>
      </w:pPr>
    </w:p>
    <w:tbl>
      <w:tblPr>
        <w:tblStyle w:val="41"/>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13"/>
        <w:gridCol w:w="1530"/>
        <w:gridCol w:w="1530"/>
        <w:gridCol w:w="1530"/>
        <w:gridCol w:w="1389"/>
        <w:gridCol w:w="1701"/>
        <w:gridCol w:w="734"/>
      </w:tblGrid>
      <w:tr w14:paraId="6DF11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713" w:type="dxa"/>
            <w:vAlign w:val="center"/>
          </w:tcPr>
          <w:p w14:paraId="75A51277">
            <w:pPr>
              <w:snapToGrid w:val="0"/>
              <w:spacing w:line="46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序号</w:t>
            </w:r>
          </w:p>
        </w:tc>
        <w:tc>
          <w:tcPr>
            <w:tcW w:w="1530" w:type="dxa"/>
            <w:vAlign w:val="center"/>
          </w:tcPr>
          <w:p w14:paraId="58C243A2">
            <w:pPr>
              <w:snapToGrid w:val="0"/>
              <w:spacing w:line="46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产品型号</w:t>
            </w:r>
          </w:p>
        </w:tc>
        <w:tc>
          <w:tcPr>
            <w:tcW w:w="1530" w:type="dxa"/>
            <w:vAlign w:val="center"/>
          </w:tcPr>
          <w:p w14:paraId="2FA986FA">
            <w:pPr>
              <w:snapToGrid w:val="0"/>
              <w:spacing w:line="46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运行单位</w:t>
            </w:r>
          </w:p>
        </w:tc>
        <w:tc>
          <w:tcPr>
            <w:tcW w:w="1530" w:type="dxa"/>
            <w:vAlign w:val="center"/>
          </w:tcPr>
          <w:p w14:paraId="15ABF898">
            <w:pPr>
              <w:snapToGrid w:val="0"/>
              <w:spacing w:line="46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投运数量</w:t>
            </w:r>
          </w:p>
        </w:tc>
        <w:tc>
          <w:tcPr>
            <w:tcW w:w="1389" w:type="dxa"/>
            <w:vAlign w:val="center"/>
          </w:tcPr>
          <w:p w14:paraId="016C958C">
            <w:pPr>
              <w:snapToGrid w:val="0"/>
              <w:spacing w:line="46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投运时间</w:t>
            </w:r>
          </w:p>
        </w:tc>
        <w:tc>
          <w:tcPr>
            <w:tcW w:w="1701" w:type="dxa"/>
            <w:vAlign w:val="center"/>
          </w:tcPr>
          <w:p w14:paraId="3DB1C36C">
            <w:pPr>
              <w:snapToGrid w:val="0"/>
              <w:spacing w:line="46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联系人及电话</w:t>
            </w:r>
          </w:p>
        </w:tc>
        <w:tc>
          <w:tcPr>
            <w:tcW w:w="734" w:type="dxa"/>
            <w:vAlign w:val="center"/>
          </w:tcPr>
          <w:p w14:paraId="67A2DC7A">
            <w:pPr>
              <w:snapToGrid w:val="0"/>
              <w:spacing w:line="46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备注</w:t>
            </w:r>
          </w:p>
        </w:tc>
      </w:tr>
      <w:tr w14:paraId="417C3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13" w:type="dxa"/>
            <w:vAlign w:val="center"/>
          </w:tcPr>
          <w:p w14:paraId="55D57441">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78D9B3A8">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52CE3043">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4B1E5A79">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389" w:type="dxa"/>
            <w:vAlign w:val="center"/>
          </w:tcPr>
          <w:p w14:paraId="6681AF84">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701" w:type="dxa"/>
            <w:vAlign w:val="center"/>
          </w:tcPr>
          <w:p w14:paraId="183759CF">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734" w:type="dxa"/>
            <w:vAlign w:val="center"/>
          </w:tcPr>
          <w:p w14:paraId="1E7D2189">
            <w:pPr>
              <w:snapToGrid w:val="0"/>
              <w:spacing w:line="460" w:lineRule="atLeast"/>
              <w:jc w:val="center"/>
              <w:rPr>
                <w:rFonts w:eastAsiaTheme="minorEastAsia"/>
                <w:color w:val="000000" w:themeColor="text1"/>
                <w:sz w:val="24"/>
                <w:szCs w:val="24"/>
                <w14:textFill>
                  <w14:solidFill>
                    <w14:schemeClr w14:val="tx1"/>
                  </w14:solidFill>
                </w14:textFill>
              </w:rPr>
            </w:pPr>
          </w:p>
        </w:tc>
      </w:tr>
      <w:tr w14:paraId="504EB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13" w:type="dxa"/>
            <w:vAlign w:val="center"/>
          </w:tcPr>
          <w:p w14:paraId="55139FBB">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6CE3ADB6">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758C04B8">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179DEC60">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389" w:type="dxa"/>
            <w:vAlign w:val="center"/>
          </w:tcPr>
          <w:p w14:paraId="2081D726">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701" w:type="dxa"/>
            <w:vAlign w:val="center"/>
          </w:tcPr>
          <w:p w14:paraId="30279017">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734" w:type="dxa"/>
            <w:vAlign w:val="center"/>
          </w:tcPr>
          <w:p w14:paraId="78CFA08A">
            <w:pPr>
              <w:snapToGrid w:val="0"/>
              <w:spacing w:line="460" w:lineRule="atLeast"/>
              <w:jc w:val="center"/>
              <w:rPr>
                <w:rFonts w:eastAsiaTheme="minorEastAsia"/>
                <w:color w:val="000000" w:themeColor="text1"/>
                <w:sz w:val="24"/>
                <w:szCs w:val="24"/>
                <w14:textFill>
                  <w14:solidFill>
                    <w14:schemeClr w14:val="tx1"/>
                  </w14:solidFill>
                </w14:textFill>
              </w:rPr>
            </w:pPr>
          </w:p>
        </w:tc>
      </w:tr>
      <w:tr w14:paraId="0CC08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13" w:type="dxa"/>
            <w:vAlign w:val="center"/>
          </w:tcPr>
          <w:p w14:paraId="766917C9">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38C28457">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195BBD13">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6F712F9B">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389" w:type="dxa"/>
            <w:vAlign w:val="center"/>
          </w:tcPr>
          <w:p w14:paraId="643C45DE">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701" w:type="dxa"/>
            <w:vAlign w:val="center"/>
          </w:tcPr>
          <w:p w14:paraId="77513986">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734" w:type="dxa"/>
            <w:vAlign w:val="center"/>
          </w:tcPr>
          <w:p w14:paraId="0218CEC2">
            <w:pPr>
              <w:snapToGrid w:val="0"/>
              <w:spacing w:line="460" w:lineRule="atLeast"/>
              <w:jc w:val="center"/>
              <w:rPr>
                <w:rFonts w:eastAsiaTheme="minorEastAsia"/>
                <w:color w:val="000000" w:themeColor="text1"/>
                <w:sz w:val="24"/>
                <w:szCs w:val="24"/>
                <w14:textFill>
                  <w14:solidFill>
                    <w14:schemeClr w14:val="tx1"/>
                  </w14:solidFill>
                </w14:textFill>
              </w:rPr>
            </w:pPr>
          </w:p>
        </w:tc>
      </w:tr>
      <w:tr w14:paraId="3E758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13" w:type="dxa"/>
            <w:vAlign w:val="center"/>
          </w:tcPr>
          <w:p w14:paraId="51D5CC37">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12083131">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5F53D979">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2ECAEB66">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389" w:type="dxa"/>
            <w:vAlign w:val="center"/>
          </w:tcPr>
          <w:p w14:paraId="39B565DF">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701" w:type="dxa"/>
            <w:vAlign w:val="center"/>
          </w:tcPr>
          <w:p w14:paraId="7F11F03A">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734" w:type="dxa"/>
            <w:vAlign w:val="center"/>
          </w:tcPr>
          <w:p w14:paraId="6E39E790">
            <w:pPr>
              <w:snapToGrid w:val="0"/>
              <w:spacing w:line="460" w:lineRule="atLeast"/>
              <w:jc w:val="center"/>
              <w:rPr>
                <w:rFonts w:eastAsiaTheme="minorEastAsia"/>
                <w:color w:val="000000" w:themeColor="text1"/>
                <w:sz w:val="24"/>
                <w:szCs w:val="24"/>
                <w14:textFill>
                  <w14:solidFill>
                    <w14:schemeClr w14:val="tx1"/>
                  </w14:solidFill>
                </w14:textFill>
              </w:rPr>
            </w:pPr>
          </w:p>
        </w:tc>
      </w:tr>
      <w:tr w14:paraId="3E364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13" w:type="dxa"/>
            <w:vAlign w:val="center"/>
          </w:tcPr>
          <w:p w14:paraId="3CEEB999">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2D52ECC3">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6151C7EF">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19700686">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389" w:type="dxa"/>
            <w:vAlign w:val="center"/>
          </w:tcPr>
          <w:p w14:paraId="79B70F54">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701" w:type="dxa"/>
            <w:vAlign w:val="center"/>
          </w:tcPr>
          <w:p w14:paraId="7ED402BF">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734" w:type="dxa"/>
            <w:vAlign w:val="center"/>
          </w:tcPr>
          <w:p w14:paraId="267A55B2">
            <w:pPr>
              <w:snapToGrid w:val="0"/>
              <w:spacing w:line="460" w:lineRule="atLeast"/>
              <w:jc w:val="center"/>
              <w:rPr>
                <w:rFonts w:eastAsiaTheme="minorEastAsia"/>
                <w:color w:val="000000" w:themeColor="text1"/>
                <w:sz w:val="24"/>
                <w:szCs w:val="24"/>
                <w14:textFill>
                  <w14:solidFill>
                    <w14:schemeClr w14:val="tx1"/>
                  </w14:solidFill>
                </w14:textFill>
              </w:rPr>
            </w:pPr>
          </w:p>
        </w:tc>
      </w:tr>
      <w:tr w14:paraId="1684F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13" w:type="dxa"/>
            <w:vAlign w:val="center"/>
          </w:tcPr>
          <w:p w14:paraId="4467BCFD">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5ACA12E5">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1543C4FE">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63E90A08">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389" w:type="dxa"/>
            <w:vAlign w:val="center"/>
          </w:tcPr>
          <w:p w14:paraId="7E32B2DD">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701" w:type="dxa"/>
            <w:vAlign w:val="center"/>
          </w:tcPr>
          <w:p w14:paraId="7A04BFF1">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734" w:type="dxa"/>
            <w:vAlign w:val="center"/>
          </w:tcPr>
          <w:p w14:paraId="234483E7">
            <w:pPr>
              <w:snapToGrid w:val="0"/>
              <w:spacing w:line="460" w:lineRule="atLeast"/>
              <w:jc w:val="center"/>
              <w:rPr>
                <w:rFonts w:eastAsiaTheme="minorEastAsia"/>
                <w:color w:val="000000" w:themeColor="text1"/>
                <w:sz w:val="24"/>
                <w:szCs w:val="24"/>
                <w14:textFill>
                  <w14:solidFill>
                    <w14:schemeClr w14:val="tx1"/>
                  </w14:solidFill>
                </w14:textFill>
              </w:rPr>
            </w:pPr>
          </w:p>
        </w:tc>
      </w:tr>
      <w:tr w14:paraId="1F7E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13" w:type="dxa"/>
            <w:vAlign w:val="center"/>
          </w:tcPr>
          <w:p w14:paraId="063B60B1">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2EF919C7">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255EB8F7">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3DEAB51F">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389" w:type="dxa"/>
            <w:vAlign w:val="center"/>
          </w:tcPr>
          <w:p w14:paraId="7033347C">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701" w:type="dxa"/>
            <w:vAlign w:val="center"/>
          </w:tcPr>
          <w:p w14:paraId="77716B29">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734" w:type="dxa"/>
            <w:vAlign w:val="center"/>
          </w:tcPr>
          <w:p w14:paraId="5528F64F">
            <w:pPr>
              <w:snapToGrid w:val="0"/>
              <w:spacing w:line="460" w:lineRule="atLeast"/>
              <w:jc w:val="center"/>
              <w:rPr>
                <w:rFonts w:eastAsiaTheme="minorEastAsia"/>
                <w:color w:val="000000" w:themeColor="text1"/>
                <w:sz w:val="24"/>
                <w:szCs w:val="24"/>
                <w14:textFill>
                  <w14:solidFill>
                    <w14:schemeClr w14:val="tx1"/>
                  </w14:solidFill>
                </w14:textFill>
              </w:rPr>
            </w:pPr>
          </w:p>
        </w:tc>
      </w:tr>
      <w:tr w14:paraId="1D55E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13" w:type="dxa"/>
            <w:vAlign w:val="center"/>
          </w:tcPr>
          <w:p w14:paraId="441CFD7E">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27359CAC">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4EC83A6A">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7275DCBB">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389" w:type="dxa"/>
            <w:vAlign w:val="center"/>
          </w:tcPr>
          <w:p w14:paraId="2EA1E52D">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701" w:type="dxa"/>
            <w:vAlign w:val="center"/>
          </w:tcPr>
          <w:p w14:paraId="13E1B0EA">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734" w:type="dxa"/>
            <w:vAlign w:val="center"/>
          </w:tcPr>
          <w:p w14:paraId="544CB203">
            <w:pPr>
              <w:snapToGrid w:val="0"/>
              <w:spacing w:line="460" w:lineRule="atLeast"/>
              <w:jc w:val="center"/>
              <w:rPr>
                <w:rFonts w:eastAsiaTheme="minorEastAsia"/>
                <w:color w:val="000000" w:themeColor="text1"/>
                <w:sz w:val="24"/>
                <w:szCs w:val="24"/>
                <w14:textFill>
                  <w14:solidFill>
                    <w14:schemeClr w14:val="tx1"/>
                  </w14:solidFill>
                </w14:textFill>
              </w:rPr>
            </w:pPr>
          </w:p>
        </w:tc>
      </w:tr>
      <w:tr w14:paraId="7DBD9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13" w:type="dxa"/>
            <w:vAlign w:val="center"/>
          </w:tcPr>
          <w:p w14:paraId="04BE27D8">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0E0B4B56">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6255C8C1">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10037BE4">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389" w:type="dxa"/>
            <w:vAlign w:val="center"/>
          </w:tcPr>
          <w:p w14:paraId="70B4A341">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701" w:type="dxa"/>
            <w:vAlign w:val="center"/>
          </w:tcPr>
          <w:p w14:paraId="5CE7F51D">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734" w:type="dxa"/>
            <w:vAlign w:val="center"/>
          </w:tcPr>
          <w:p w14:paraId="49B34728">
            <w:pPr>
              <w:snapToGrid w:val="0"/>
              <w:spacing w:line="460" w:lineRule="atLeast"/>
              <w:jc w:val="center"/>
              <w:rPr>
                <w:rFonts w:eastAsiaTheme="minorEastAsia"/>
                <w:color w:val="000000" w:themeColor="text1"/>
                <w:sz w:val="24"/>
                <w:szCs w:val="24"/>
                <w14:textFill>
                  <w14:solidFill>
                    <w14:schemeClr w14:val="tx1"/>
                  </w14:solidFill>
                </w14:textFill>
              </w:rPr>
            </w:pPr>
          </w:p>
        </w:tc>
      </w:tr>
      <w:tr w14:paraId="6C654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13" w:type="dxa"/>
            <w:vAlign w:val="center"/>
          </w:tcPr>
          <w:p w14:paraId="6DB2F662">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05A2F216">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572DD96F">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14FB4DF2">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389" w:type="dxa"/>
            <w:vAlign w:val="center"/>
          </w:tcPr>
          <w:p w14:paraId="07E9EF7F">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701" w:type="dxa"/>
            <w:vAlign w:val="center"/>
          </w:tcPr>
          <w:p w14:paraId="34957F8E">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734" w:type="dxa"/>
            <w:vAlign w:val="center"/>
          </w:tcPr>
          <w:p w14:paraId="664B28B3">
            <w:pPr>
              <w:snapToGrid w:val="0"/>
              <w:spacing w:line="460" w:lineRule="atLeast"/>
              <w:jc w:val="center"/>
              <w:rPr>
                <w:rFonts w:eastAsiaTheme="minorEastAsia"/>
                <w:color w:val="000000" w:themeColor="text1"/>
                <w:sz w:val="24"/>
                <w:szCs w:val="24"/>
                <w14:textFill>
                  <w14:solidFill>
                    <w14:schemeClr w14:val="tx1"/>
                  </w14:solidFill>
                </w14:textFill>
              </w:rPr>
            </w:pPr>
          </w:p>
        </w:tc>
      </w:tr>
      <w:tr w14:paraId="0055A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13" w:type="dxa"/>
            <w:vAlign w:val="center"/>
          </w:tcPr>
          <w:p w14:paraId="04FFB3EA">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60A5CEC7">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53FAA007">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50DA106C">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389" w:type="dxa"/>
            <w:vAlign w:val="center"/>
          </w:tcPr>
          <w:p w14:paraId="58B4DDF1">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701" w:type="dxa"/>
            <w:vAlign w:val="center"/>
          </w:tcPr>
          <w:p w14:paraId="2DB3572B">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734" w:type="dxa"/>
            <w:vAlign w:val="center"/>
          </w:tcPr>
          <w:p w14:paraId="5423E6AF">
            <w:pPr>
              <w:snapToGrid w:val="0"/>
              <w:spacing w:line="460" w:lineRule="atLeast"/>
              <w:jc w:val="center"/>
              <w:rPr>
                <w:rFonts w:eastAsiaTheme="minorEastAsia"/>
                <w:color w:val="000000" w:themeColor="text1"/>
                <w:sz w:val="24"/>
                <w:szCs w:val="24"/>
                <w14:textFill>
                  <w14:solidFill>
                    <w14:schemeClr w14:val="tx1"/>
                  </w14:solidFill>
                </w14:textFill>
              </w:rPr>
            </w:pPr>
          </w:p>
        </w:tc>
      </w:tr>
      <w:tr w14:paraId="21526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713" w:type="dxa"/>
            <w:vAlign w:val="center"/>
          </w:tcPr>
          <w:p w14:paraId="7206DB31">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0C13DC85">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70FF8399">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530" w:type="dxa"/>
            <w:vAlign w:val="center"/>
          </w:tcPr>
          <w:p w14:paraId="15688802">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389" w:type="dxa"/>
            <w:vAlign w:val="center"/>
          </w:tcPr>
          <w:p w14:paraId="66367F47">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701" w:type="dxa"/>
            <w:vAlign w:val="center"/>
          </w:tcPr>
          <w:p w14:paraId="53BDBCBB">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734" w:type="dxa"/>
            <w:vAlign w:val="center"/>
          </w:tcPr>
          <w:p w14:paraId="30FE2807">
            <w:pPr>
              <w:snapToGrid w:val="0"/>
              <w:spacing w:line="460" w:lineRule="atLeast"/>
              <w:jc w:val="center"/>
              <w:rPr>
                <w:rFonts w:eastAsiaTheme="minorEastAsia"/>
                <w:color w:val="000000" w:themeColor="text1"/>
                <w:sz w:val="24"/>
                <w:szCs w:val="24"/>
                <w14:textFill>
                  <w14:solidFill>
                    <w14:schemeClr w14:val="tx1"/>
                  </w14:solidFill>
                </w14:textFill>
              </w:rPr>
            </w:pPr>
          </w:p>
        </w:tc>
      </w:tr>
    </w:tbl>
    <w:p w14:paraId="70AF6ACD">
      <w:pPr>
        <w:snapToGrid w:val="0"/>
        <w:spacing w:line="460" w:lineRule="atLeast"/>
        <w:ind w:firstLine="482" w:firstLineChars="200"/>
        <w:rPr>
          <w:rFonts w:eastAsiaTheme="minorEastAsia"/>
          <w:b/>
          <w:color w:val="000000" w:themeColor="text1"/>
          <w:sz w:val="24"/>
          <w:szCs w:val="24"/>
          <w14:textFill>
            <w14:solidFill>
              <w14:schemeClr w14:val="tx1"/>
            </w14:solidFill>
          </w14:textFill>
        </w:rPr>
      </w:pPr>
    </w:p>
    <w:p w14:paraId="29197EF4">
      <w:pPr>
        <w:pStyle w:val="2"/>
        <w:keepNext w:val="0"/>
        <w:keepLines w:val="0"/>
        <w:spacing w:line="460" w:lineRule="atLeast"/>
        <w:ind w:right="0" w:rightChars="0" w:firstLine="482" w:firstLineChars="200"/>
        <w:rPr>
          <w:rStyle w:val="55"/>
          <w:rFonts w:ascii="Times New Roman" w:hAnsi="Times New Roman" w:eastAsiaTheme="minorEastAsia"/>
          <w:b/>
          <w:bCs/>
          <w:color w:val="000000" w:themeColor="text1"/>
          <w:sz w:val="24"/>
          <w:szCs w:val="24"/>
          <w14:textFill>
            <w14:solidFill>
              <w14:schemeClr w14:val="tx1"/>
            </w14:solidFill>
          </w14:textFill>
        </w:rPr>
      </w:pPr>
      <w:bookmarkStart w:id="842" w:name="_Toc526079188"/>
      <w:bookmarkStart w:id="843" w:name="_Toc526079294"/>
      <w:bookmarkStart w:id="844" w:name="_Toc282788491"/>
      <w:bookmarkStart w:id="845" w:name="_Toc279850994"/>
      <w:bookmarkStart w:id="846" w:name="_Toc279850581"/>
      <w:bookmarkStart w:id="847" w:name="_Toc526064904"/>
      <w:bookmarkStart w:id="848" w:name="_Toc220074830"/>
      <w:bookmarkStart w:id="849" w:name="_Toc278226731"/>
      <w:bookmarkStart w:id="850" w:name="_Toc278056073"/>
      <w:bookmarkStart w:id="851" w:name="_Toc279850995"/>
      <w:bookmarkStart w:id="852" w:name="_Toc282788492"/>
      <w:bookmarkStart w:id="853" w:name="_Toc526079189"/>
      <w:bookmarkStart w:id="854" w:name="_Toc278226732"/>
      <w:bookmarkStart w:id="855" w:name="_Toc279850582"/>
      <w:bookmarkStart w:id="856" w:name="_Toc526079295"/>
      <w:bookmarkStart w:id="857" w:name="_Toc526064905"/>
      <w:r>
        <w:rPr>
          <w:rStyle w:val="55"/>
          <w:rFonts w:hint="eastAsia" w:ascii="Times New Roman" w:hAnsi="Times New Roman" w:eastAsiaTheme="minorEastAsia"/>
          <w:b/>
          <w:bCs/>
          <w:color w:val="000000" w:themeColor="text1"/>
          <w:sz w:val="24"/>
          <w:szCs w:val="24"/>
          <w14:textFill>
            <w14:solidFill>
              <w14:schemeClr w14:val="tx1"/>
            </w14:solidFill>
          </w14:textFill>
        </w:rPr>
        <w:t>附录</w:t>
      </w:r>
      <w:r>
        <w:rPr>
          <w:rStyle w:val="55"/>
          <w:rFonts w:ascii="Times New Roman" w:hAnsi="Times New Roman" w:eastAsiaTheme="minorEastAsia"/>
          <w:b/>
          <w:bCs/>
          <w:color w:val="000000" w:themeColor="text1"/>
          <w:sz w:val="24"/>
          <w:szCs w:val="24"/>
          <w14:textFill>
            <w14:solidFill>
              <w14:schemeClr w14:val="tx1"/>
            </w14:solidFill>
          </w14:textFill>
        </w:rPr>
        <w:t xml:space="preserve">B  </w:t>
      </w:r>
      <w:r>
        <w:rPr>
          <w:rStyle w:val="55"/>
          <w:rFonts w:hint="eastAsia" w:ascii="Times New Roman" w:hAnsi="Times New Roman" w:eastAsiaTheme="minorEastAsia"/>
          <w:b/>
          <w:bCs/>
          <w:color w:val="000000" w:themeColor="text1"/>
          <w:sz w:val="24"/>
          <w:szCs w:val="24"/>
          <w14:textFill>
            <w14:solidFill>
              <w14:schemeClr w14:val="tx1"/>
            </w14:solidFill>
          </w14:textFill>
        </w:rPr>
        <w:t>最终用户的使用情况证明</w:t>
      </w:r>
      <w:bookmarkEnd w:id="842"/>
      <w:bookmarkEnd w:id="843"/>
      <w:bookmarkEnd w:id="844"/>
      <w:bookmarkEnd w:id="845"/>
      <w:bookmarkEnd w:id="846"/>
      <w:bookmarkEnd w:id="847"/>
      <w:bookmarkEnd w:id="848"/>
      <w:bookmarkEnd w:id="849"/>
    </w:p>
    <w:p w14:paraId="5228108F">
      <w:pPr>
        <w:snapToGrid w:val="0"/>
        <w:spacing w:line="460" w:lineRule="atLeast"/>
        <w:ind w:firstLine="480" w:firstLineChars="200"/>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（注：使用情况证明需有投运前后的测试数据）</w:t>
      </w:r>
    </w:p>
    <w:p w14:paraId="66102772">
      <w:pPr>
        <w:snapToGrid w:val="0"/>
        <w:spacing w:line="460" w:lineRule="atLeast"/>
        <w:ind w:firstLine="480" w:firstLineChars="200"/>
        <w:rPr>
          <w:rFonts w:eastAsiaTheme="minorEastAsia"/>
          <w:color w:val="000000" w:themeColor="text1"/>
          <w:sz w:val="24"/>
          <w:szCs w:val="24"/>
          <w14:textFill>
            <w14:solidFill>
              <w14:schemeClr w14:val="tx1"/>
            </w14:solidFill>
          </w14:textFill>
        </w:rPr>
      </w:pPr>
    </w:p>
    <w:p w14:paraId="50937AA4">
      <w:pPr>
        <w:pStyle w:val="2"/>
        <w:keepNext w:val="0"/>
        <w:keepLines w:val="0"/>
        <w:spacing w:line="460" w:lineRule="atLeast"/>
        <w:ind w:right="0" w:rightChars="0" w:firstLine="482" w:firstLineChars="200"/>
        <w:rPr>
          <w:rStyle w:val="55"/>
          <w:rFonts w:ascii="Times New Roman" w:hAnsi="Times New Roman" w:eastAsiaTheme="minorEastAsia"/>
          <w:b/>
          <w:bCs/>
          <w:color w:val="000000" w:themeColor="text1"/>
          <w:sz w:val="24"/>
          <w:szCs w:val="24"/>
          <w14:textFill>
            <w14:solidFill>
              <w14:schemeClr w14:val="tx1"/>
            </w14:solidFill>
          </w14:textFill>
        </w:rPr>
      </w:pPr>
      <w:bookmarkStart w:id="858" w:name="_Toc220074831"/>
      <w:r>
        <w:rPr>
          <w:rStyle w:val="55"/>
          <w:rFonts w:hint="eastAsia" w:ascii="Times New Roman" w:hAnsi="Times New Roman" w:eastAsiaTheme="minorEastAsia"/>
          <w:b/>
          <w:bCs/>
          <w:color w:val="000000" w:themeColor="text1"/>
          <w:sz w:val="24"/>
          <w:szCs w:val="24"/>
          <w14:textFill>
            <w14:solidFill>
              <w14:schemeClr w14:val="tx1"/>
            </w14:solidFill>
          </w14:textFill>
        </w:rPr>
        <w:t>附录</w:t>
      </w:r>
      <w:bookmarkEnd w:id="850"/>
      <w:r>
        <w:rPr>
          <w:rStyle w:val="55"/>
          <w:rFonts w:ascii="Times New Roman" w:hAnsi="Times New Roman" w:eastAsiaTheme="minorEastAsia"/>
          <w:b/>
          <w:bCs/>
          <w:color w:val="000000" w:themeColor="text1"/>
          <w:sz w:val="24"/>
          <w:szCs w:val="24"/>
          <w14:textFill>
            <w14:solidFill>
              <w14:schemeClr w14:val="tx1"/>
            </w14:solidFill>
          </w14:textFill>
        </w:rPr>
        <w:t xml:space="preserve">C  </w:t>
      </w:r>
      <w:r>
        <w:rPr>
          <w:rStyle w:val="55"/>
          <w:rFonts w:hint="eastAsia" w:ascii="Times New Roman" w:hAnsi="Times New Roman" w:eastAsiaTheme="minorEastAsia"/>
          <w:b/>
          <w:bCs/>
          <w:color w:val="000000" w:themeColor="text1"/>
          <w:sz w:val="24"/>
          <w:szCs w:val="24"/>
          <w14:textFill>
            <w14:solidFill>
              <w14:schemeClr w14:val="tx1"/>
            </w14:solidFill>
          </w14:textFill>
        </w:rPr>
        <w:t>投标方提供的试验检测报告表</w:t>
      </w:r>
      <w:bookmarkEnd w:id="851"/>
      <w:bookmarkEnd w:id="852"/>
      <w:bookmarkEnd w:id="853"/>
      <w:bookmarkEnd w:id="854"/>
      <w:bookmarkEnd w:id="855"/>
      <w:bookmarkEnd w:id="856"/>
      <w:bookmarkEnd w:id="857"/>
      <w:bookmarkEnd w:id="858"/>
    </w:p>
    <w:p w14:paraId="44D4B8E6">
      <w:pPr>
        <w:spacing w:line="460" w:lineRule="atLeast"/>
        <w:rPr>
          <w:color w:val="000000" w:themeColor="text1"/>
          <w14:textFill>
            <w14:solidFill>
              <w14:schemeClr w14:val="tx1"/>
            </w14:solidFill>
          </w14:textFill>
        </w:rPr>
      </w:pPr>
    </w:p>
    <w:tbl>
      <w:tblPr>
        <w:tblStyle w:val="41"/>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53"/>
        <w:gridCol w:w="2011"/>
        <w:gridCol w:w="2267"/>
        <w:gridCol w:w="1276"/>
        <w:gridCol w:w="1254"/>
        <w:gridCol w:w="1466"/>
      </w:tblGrid>
      <w:tr w14:paraId="7CA22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853" w:type="dxa"/>
            <w:vAlign w:val="center"/>
          </w:tcPr>
          <w:p w14:paraId="2FC628CC">
            <w:pPr>
              <w:snapToGrid w:val="0"/>
              <w:spacing w:line="46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序号</w:t>
            </w:r>
          </w:p>
        </w:tc>
        <w:tc>
          <w:tcPr>
            <w:tcW w:w="2011" w:type="dxa"/>
            <w:vAlign w:val="center"/>
          </w:tcPr>
          <w:p w14:paraId="6017DA65">
            <w:pPr>
              <w:snapToGrid w:val="0"/>
              <w:spacing w:line="46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产品型号名称</w:t>
            </w:r>
          </w:p>
        </w:tc>
        <w:tc>
          <w:tcPr>
            <w:tcW w:w="2267" w:type="dxa"/>
            <w:vAlign w:val="center"/>
          </w:tcPr>
          <w:p w14:paraId="0E224F0D">
            <w:pPr>
              <w:snapToGrid w:val="0"/>
              <w:spacing w:line="46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试验报告类别和内容</w:t>
            </w:r>
          </w:p>
        </w:tc>
        <w:tc>
          <w:tcPr>
            <w:tcW w:w="1276" w:type="dxa"/>
            <w:vAlign w:val="center"/>
          </w:tcPr>
          <w:p w14:paraId="553F70F3">
            <w:pPr>
              <w:snapToGrid w:val="0"/>
              <w:spacing w:line="46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依据标准</w:t>
            </w:r>
          </w:p>
        </w:tc>
        <w:tc>
          <w:tcPr>
            <w:tcW w:w="1254" w:type="dxa"/>
            <w:vAlign w:val="center"/>
          </w:tcPr>
          <w:p w14:paraId="7DDD0233">
            <w:pPr>
              <w:snapToGrid w:val="0"/>
              <w:spacing w:line="46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试验时间</w:t>
            </w:r>
          </w:p>
        </w:tc>
        <w:tc>
          <w:tcPr>
            <w:tcW w:w="1466" w:type="dxa"/>
            <w:vAlign w:val="center"/>
          </w:tcPr>
          <w:p w14:paraId="22AA5C42">
            <w:pPr>
              <w:snapToGrid w:val="0"/>
              <w:spacing w:line="46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试验单位</w:t>
            </w:r>
          </w:p>
        </w:tc>
      </w:tr>
      <w:tr w14:paraId="18B43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853" w:type="dxa"/>
            <w:vAlign w:val="center"/>
          </w:tcPr>
          <w:p w14:paraId="7300160B">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2011" w:type="dxa"/>
            <w:vAlign w:val="center"/>
          </w:tcPr>
          <w:p w14:paraId="655AAA7E">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2267" w:type="dxa"/>
            <w:vAlign w:val="center"/>
          </w:tcPr>
          <w:p w14:paraId="624B7F69">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276" w:type="dxa"/>
            <w:vAlign w:val="center"/>
          </w:tcPr>
          <w:p w14:paraId="0563BE9B">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254" w:type="dxa"/>
            <w:vAlign w:val="center"/>
          </w:tcPr>
          <w:p w14:paraId="5E940385">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466" w:type="dxa"/>
            <w:vAlign w:val="center"/>
          </w:tcPr>
          <w:p w14:paraId="6F57DC88">
            <w:pPr>
              <w:snapToGrid w:val="0"/>
              <w:spacing w:line="460" w:lineRule="atLeast"/>
              <w:jc w:val="center"/>
              <w:rPr>
                <w:rFonts w:eastAsiaTheme="minorEastAsia"/>
                <w:color w:val="000000" w:themeColor="text1"/>
                <w:sz w:val="24"/>
                <w:szCs w:val="24"/>
                <w14:textFill>
                  <w14:solidFill>
                    <w14:schemeClr w14:val="tx1"/>
                  </w14:solidFill>
                </w14:textFill>
              </w:rPr>
            </w:pPr>
          </w:p>
        </w:tc>
      </w:tr>
      <w:tr w14:paraId="2BE41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853" w:type="dxa"/>
            <w:vAlign w:val="center"/>
          </w:tcPr>
          <w:p w14:paraId="54CAD12E">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2011" w:type="dxa"/>
            <w:vAlign w:val="center"/>
          </w:tcPr>
          <w:p w14:paraId="03C7C029">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2267" w:type="dxa"/>
            <w:vAlign w:val="center"/>
          </w:tcPr>
          <w:p w14:paraId="21238E55">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276" w:type="dxa"/>
            <w:vAlign w:val="center"/>
          </w:tcPr>
          <w:p w14:paraId="6C181783">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254" w:type="dxa"/>
            <w:vAlign w:val="center"/>
          </w:tcPr>
          <w:p w14:paraId="734AE51D">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466" w:type="dxa"/>
            <w:vAlign w:val="center"/>
          </w:tcPr>
          <w:p w14:paraId="1B44725D">
            <w:pPr>
              <w:snapToGrid w:val="0"/>
              <w:spacing w:line="460" w:lineRule="atLeast"/>
              <w:jc w:val="center"/>
              <w:rPr>
                <w:rFonts w:eastAsiaTheme="minorEastAsia"/>
                <w:color w:val="000000" w:themeColor="text1"/>
                <w:sz w:val="24"/>
                <w:szCs w:val="24"/>
                <w14:textFill>
                  <w14:solidFill>
                    <w14:schemeClr w14:val="tx1"/>
                  </w14:solidFill>
                </w14:textFill>
              </w:rPr>
            </w:pPr>
          </w:p>
        </w:tc>
      </w:tr>
      <w:tr w14:paraId="47E97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853" w:type="dxa"/>
            <w:vAlign w:val="center"/>
          </w:tcPr>
          <w:p w14:paraId="678A0D40">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2011" w:type="dxa"/>
            <w:vAlign w:val="center"/>
          </w:tcPr>
          <w:p w14:paraId="362B3EEC">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2267" w:type="dxa"/>
            <w:vAlign w:val="center"/>
          </w:tcPr>
          <w:p w14:paraId="3419A213">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276" w:type="dxa"/>
            <w:vAlign w:val="center"/>
          </w:tcPr>
          <w:p w14:paraId="566B9189">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254" w:type="dxa"/>
            <w:vAlign w:val="center"/>
          </w:tcPr>
          <w:p w14:paraId="77BB1E6A">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466" w:type="dxa"/>
            <w:vAlign w:val="center"/>
          </w:tcPr>
          <w:p w14:paraId="608ACD0E">
            <w:pPr>
              <w:snapToGrid w:val="0"/>
              <w:spacing w:line="460" w:lineRule="atLeast"/>
              <w:jc w:val="center"/>
              <w:rPr>
                <w:rFonts w:eastAsiaTheme="minorEastAsia"/>
                <w:color w:val="000000" w:themeColor="text1"/>
                <w:sz w:val="24"/>
                <w:szCs w:val="24"/>
                <w14:textFill>
                  <w14:solidFill>
                    <w14:schemeClr w14:val="tx1"/>
                  </w14:solidFill>
                </w14:textFill>
              </w:rPr>
            </w:pPr>
          </w:p>
        </w:tc>
      </w:tr>
      <w:tr w14:paraId="600E4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853" w:type="dxa"/>
            <w:vAlign w:val="center"/>
          </w:tcPr>
          <w:p w14:paraId="62BB5F4D">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2011" w:type="dxa"/>
            <w:vAlign w:val="center"/>
          </w:tcPr>
          <w:p w14:paraId="4943ECCE">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2267" w:type="dxa"/>
            <w:vAlign w:val="center"/>
          </w:tcPr>
          <w:p w14:paraId="4DE080E3">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276" w:type="dxa"/>
            <w:vAlign w:val="center"/>
          </w:tcPr>
          <w:p w14:paraId="38BD6D71">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254" w:type="dxa"/>
            <w:vAlign w:val="center"/>
          </w:tcPr>
          <w:p w14:paraId="561C4DE2">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466" w:type="dxa"/>
            <w:vAlign w:val="center"/>
          </w:tcPr>
          <w:p w14:paraId="16E4BC08">
            <w:pPr>
              <w:snapToGrid w:val="0"/>
              <w:spacing w:line="460" w:lineRule="atLeast"/>
              <w:jc w:val="center"/>
              <w:rPr>
                <w:rFonts w:eastAsiaTheme="minorEastAsia"/>
                <w:color w:val="000000" w:themeColor="text1"/>
                <w:sz w:val="24"/>
                <w:szCs w:val="24"/>
                <w14:textFill>
                  <w14:solidFill>
                    <w14:schemeClr w14:val="tx1"/>
                  </w14:solidFill>
                </w14:textFill>
              </w:rPr>
            </w:pPr>
          </w:p>
        </w:tc>
      </w:tr>
      <w:tr w14:paraId="14F3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853" w:type="dxa"/>
            <w:vAlign w:val="center"/>
          </w:tcPr>
          <w:p w14:paraId="1F899EEB">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2011" w:type="dxa"/>
            <w:vAlign w:val="center"/>
          </w:tcPr>
          <w:p w14:paraId="7DA25650">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2267" w:type="dxa"/>
            <w:vAlign w:val="center"/>
          </w:tcPr>
          <w:p w14:paraId="57D63D10">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276" w:type="dxa"/>
            <w:vAlign w:val="center"/>
          </w:tcPr>
          <w:p w14:paraId="50F16E58">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254" w:type="dxa"/>
            <w:vAlign w:val="center"/>
          </w:tcPr>
          <w:p w14:paraId="59231683">
            <w:pPr>
              <w:snapToGrid w:val="0"/>
              <w:spacing w:line="460" w:lineRule="atLeast"/>
              <w:jc w:val="center"/>
              <w:rPr>
                <w:rFonts w:eastAsiaTheme="minorEastAsia"/>
                <w:color w:val="000000" w:themeColor="text1"/>
                <w:sz w:val="24"/>
                <w:szCs w:val="24"/>
                <w14:textFill>
                  <w14:solidFill>
                    <w14:schemeClr w14:val="tx1"/>
                  </w14:solidFill>
                </w14:textFill>
              </w:rPr>
            </w:pPr>
          </w:p>
        </w:tc>
        <w:tc>
          <w:tcPr>
            <w:tcW w:w="1466" w:type="dxa"/>
            <w:vAlign w:val="center"/>
          </w:tcPr>
          <w:p w14:paraId="322372B0">
            <w:pPr>
              <w:snapToGrid w:val="0"/>
              <w:spacing w:line="460" w:lineRule="atLeast"/>
              <w:jc w:val="center"/>
              <w:rPr>
                <w:rFonts w:eastAsiaTheme="minorEastAsia"/>
                <w:color w:val="000000" w:themeColor="text1"/>
                <w:sz w:val="24"/>
                <w:szCs w:val="24"/>
                <w14:textFill>
                  <w14:solidFill>
                    <w14:schemeClr w14:val="tx1"/>
                  </w14:solidFill>
                </w14:textFill>
              </w:rPr>
            </w:pPr>
          </w:p>
        </w:tc>
      </w:tr>
    </w:tbl>
    <w:p w14:paraId="7DFD7FE5">
      <w:pPr>
        <w:spacing w:line="460" w:lineRule="atLeast"/>
        <w:rPr>
          <w:rStyle w:val="55"/>
          <w:rFonts w:eastAsiaTheme="minorEastAsia"/>
          <w:color w:val="000000" w:themeColor="text1"/>
          <w:sz w:val="24"/>
          <w:szCs w:val="24"/>
          <w14:textFill>
            <w14:solidFill>
              <w14:schemeClr w14:val="tx1"/>
            </w14:solidFill>
          </w14:textFill>
        </w:rPr>
      </w:pPr>
      <w:bookmarkStart w:id="859" w:name="_Toc526079190"/>
      <w:bookmarkStart w:id="860" w:name="_Toc282788493"/>
      <w:bookmarkStart w:id="861" w:name="_Toc278226733"/>
      <w:bookmarkStart w:id="862" w:name="_Toc279850996"/>
      <w:bookmarkStart w:id="863" w:name="_Toc526079296"/>
      <w:bookmarkStart w:id="864" w:name="_Toc526064906"/>
      <w:bookmarkStart w:id="865" w:name="_Toc279850583"/>
    </w:p>
    <w:p w14:paraId="1C925881">
      <w:pPr>
        <w:pStyle w:val="2"/>
        <w:keepNext w:val="0"/>
        <w:keepLines w:val="0"/>
        <w:spacing w:line="480" w:lineRule="atLeast"/>
        <w:ind w:right="0" w:rightChars="0" w:firstLine="482" w:firstLineChars="200"/>
        <w:rPr>
          <w:rStyle w:val="55"/>
          <w:rFonts w:ascii="Times New Roman" w:hAnsi="Times New Roman" w:eastAsiaTheme="minorEastAsia"/>
          <w:b/>
          <w:bCs/>
          <w:color w:val="000000" w:themeColor="text1"/>
          <w:sz w:val="24"/>
          <w:szCs w:val="24"/>
          <w14:textFill>
            <w14:solidFill>
              <w14:schemeClr w14:val="tx1"/>
            </w14:solidFill>
          </w14:textFill>
        </w:rPr>
      </w:pPr>
      <w:bookmarkStart w:id="866" w:name="_Toc220074832"/>
      <w:r>
        <w:rPr>
          <w:rStyle w:val="55"/>
          <w:rFonts w:hint="eastAsia" w:ascii="Times New Roman" w:hAnsi="Times New Roman" w:eastAsiaTheme="minorEastAsia"/>
          <w:b/>
          <w:bCs/>
          <w:color w:val="000000" w:themeColor="text1"/>
          <w:sz w:val="24"/>
          <w:szCs w:val="24"/>
          <w14:textFill>
            <w14:solidFill>
              <w14:schemeClr w14:val="tx1"/>
            </w14:solidFill>
          </w14:textFill>
        </w:rPr>
        <w:t>附录</w:t>
      </w:r>
      <w:r>
        <w:rPr>
          <w:rStyle w:val="55"/>
          <w:rFonts w:ascii="Times New Roman" w:hAnsi="Times New Roman" w:eastAsiaTheme="minorEastAsia"/>
          <w:b/>
          <w:bCs/>
          <w:color w:val="000000" w:themeColor="text1"/>
          <w:sz w:val="24"/>
          <w:szCs w:val="24"/>
          <w14:textFill>
            <w14:solidFill>
              <w14:schemeClr w14:val="tx1"/>
            </w14:solidFill>
          </w14:textFill>
        </w:rPr>
        <w:t xml:space="preserve">D  </w:t>
      </w:r>
      <w:r>
        <w:rPr>
          <w:rStyle w:val="55"/>
          <w:rFonts w:hint="eastAsia" w:ascii="Times New Roman" w:hAnsi="Times New Roman" w:eastAsiaTheme="minorEastAsia"/>
          <w:b/>
          <w:bCs/>
          <w:color w:val="000000" w:themeColor="text1"/>
          <w:sz w:val="24"/>
          <w:szCs w:val="24"/>
          <w14:textFill>
            <w14:solidFill>
              <w14:schemeClr w14:val="tx1"/>
            </w14:solidFill>
          </w14:textFill>
        </w:rPr>
        <w:t>投标方提供的鉴定证书表</w:t>
      </w:r>
      <w:bookmarkEnd w:id="859"/>
      <w:bookmarkEnd w:id="860"/>
      <w:bookmarkEnd w:id="861"/>
      <w:bookmarkEnd w:id="862"/>
      <w:bookmarkEnd w:id="863"/>
      <w:bookmarkEnd w:id="864"/>
      <w:bookmarkEnd w:id="865"/>
      <w:bookmarkEnd w:id="866"/>
    </w:p>
    <w:p w14:paraId="3559FC4B">
      <w:pPr>
        <w:rPr>
          <w:color w:val="000000" w:themeColor="text1"/>
          <w14:textFill>
            <w14:solidFill>
              <w14:schemeClr w14:val="tx1"/>
            </w14:solidFill>
          </w14:textFill>
        </w:rPr>
      </w:pPr>
    </w:p>
    <w:tbl>
      <w:tblPr>
        <w:tblStyle w:val="41"/>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09"/>
        <w:gridCol w:w="2727"/>
        <w:gridCol w:w="1864"/>
        <w:gridCol w:w="1864"/>
        <w:gridCol w:w="1763"/>
      </w:tblGrid>
      <w:tr w14:paraId="0CB63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09" w:type="dxa"/>
            <w:vAlign w:val="center"/>
          </w:tcPr>
          <w:p w14:paraId="5830A242">
            <w:pPr>
              <w:snapToGrid w:val="0"/>
              <w:spacing w:line="48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序号</w:t>
            </w:r>
          </w:p>
        </w:tc>
        <w:tc>
          <w:tcPr>
            <w:tcW w:w="2727" w:type="dxa"/>
            <w:vAlign w:val="center"/>
          </w:tcPr>
          <w:p w14:paraId="5CCDB616">
            <w:pPr>
              <w:snapToGrid w:val="0"/>
              <w:spacing w:line="48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鉴定产品型号名称</w:t>
            </w:r>
          </w:p>
        </w:tc>
        <w:tc>
          <w:tcPr>
            <w:tcW w:w="1864" w:type="dxa"/>
            <w:vAlign w:val="center"/>
          </w:tcPr>
          <w:p w14:paraId="5ACF4A59">
            <w:pPr>
              <w:snapToGrid w:val="0"/>
              <w:spacing w:line="48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组织鉴定单位</w:t>
            </w:r>
          </w:p>
        </w:tc>
        <w:tc>
          <w:tcPr>
            <w:tcW w:w="1864" w:type="dxa"/>
            <w:vAlign w:val="center"/>
          </w:tcPr>
          <w:p w14:paraId="5D6428CC">
            <w:pPr>
              <w:snapToGrid w:val="0"/>
              <w:spacing w:line="48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依据标准</w:t>
            </w:r>
          </w:p>
        </w:tc>
        <w:tc>
          <w:tcPr>
            <w:tcW w:w="1763" w:type="dxa"/>
            <w:vAlign w:val="center"/>
          </w:tcPr>
          <w:p w14:paraId="667E0C99">
            <w:pPr>
              <w:snapToGrid w:val="0"/>
              <w:spacing w:line="480" w:lineRule="atLeast"/>
              <w:jc w:val="center"/>
              <w:rPr>
                <w:rFonts w:eastAsiaTheme="minorEastAsia"/>
                <w:b/>
                <w:bCs/>
                <w:color w:val="000000" w:themeColor="text1"/>
                <w:sz w:val="24"/>
                <w:szCs w:val="24"/>
                <w14:textFill>
                  <w14:solidFill>
                    <w14:schemeClr w14:val="tx1"/>
                  </w14:solidFill>
                </w14:textFill>
              </w:rPr>
            </w:pPr>
            <w:r>
              <w:rPr>
                <w:rFonts w:hint="eastAsia" w:eastAsiaTheme="minorEastAsia"/>
                <w:b/>
                <w:bCs/>
                <w:color w:val="000000" w:themeColor="text1"/>
                <w:sz w:val="24"/>
                <w:szCs w:val="24"/>
                <w14:textFill>
                  <w14:solidFill>
                    <w14:schemeClr w14:val="tx1"/>
                  </w14:solidFill>
                </w14:textFill>
              </w:rPr>
              <w:t>鉴定时间</w:t>
            </w:r>
          </w:p>
        </w:tc>
      </w:tr>
      <w:tr w14:paraId="7C326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09" w:type="dxa"/>
            <w:vAlign w:val="center"/>
          </w:tcPr>
          <w:p w14:paraId="459E93B2">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2727" w:type="dxa"/>
            <w:vAlign w:val="center"/>
          </w:tcPr>
          <w:p w14:paraId="6F94EA0E">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864" w:type="dxa"/>
            <w:vAlign w:val="center"/>
          </w:tcPr>
          <w:p w14:paraId="3EE4057C">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864" w:type="dxa"/>
            <w:vAlign w:val="center"/>
          </w:tcPr>
          <w:p w14:paraId="4CB33D30">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763" w:type="dxa"/>
            <w:vAlign w:val="center"/>
          </w:tcPr>
          <w:p w14:paraId="133F3DCC">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2E882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09" w:type="dxa"/>
            <w:vAlign w:val="center"/>
          </w:tcPr>
          <w:p w14:paraId="34F48BBC">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2727" w:type="dxa"/>
            <w:vAlign w:val="center"/>
          </w:tcPr>
          <w:p w14:paraId="24A182BD">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864" w:type="dxa"/>
            <w:vAlign w:val="center"/>
          </w:tcPr>
          <w:p w14:paraId="63216586">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864" w:type="dxa"/>
            <w:vAlign w:val="center"/>
          </w:tcPr>
          <w:p w14:paraId="1340AFDB">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763" w:type="dxa"/>
            <w:vAlign w:val="center"/>
          </w:tcPr>
          <w:p w14:paraId="33A726CC">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5FA2D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09" w:type="dxa"/>
            <w:vAlign w:val="center"/>
          </w:tcPr>
          <w:p w14:paraId="38AB8D67">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2727" w:type="dxa"/>
            <w:vAlign w:val="center"/>
          </w:tcPr>
          <w:p w14:paraId="285C73B9">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864" w:type="dxa"/>
            <w:vAlign w:val="center"/>
          </w:tcPr>
          <w:p w14:paraId="7DD048BC">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864" w:type="dxa"/>
            <w:vAlign w:val="center"/>
          </w:tcPr>
          <w:p w14:paraId="3A834DE8">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763" w:type="dxa"/>
            <w:vAlign w:val="center"/>
          </w:tcPr>
          <w:p w14:paraId="5A508FA0">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558F9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09" w:type="dxa"/>
            <w:vAlign w:val="center"/>
          </w:tcPr>
          <w:p w14:paraId="064CBA27">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2727" w:type="dxa"/>
            <w:vAlign w:val="center"/>
          </w:tcPr>
          <w:p w14:paraId="488E12EE">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864" w:type="dxa"/>
            <w:vAlign w:val="center"/>
          </w:tcPr>
          <w:p w14:paraId="0D79071C">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864" w:type="dxa"/>
            <w:vAlign w:val="center"/>
          </w:tcPr>
          <w:p w14:paraId="77127E0F">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763" w:type="dxa"/>
            <w:vAlign w:val="center"/>
          </w:tcPr>
          <w:p w14:paraId="1B7AEAD4">
            <w:pPr>
              <w:snapToGrid w:val="0"/>
              <w:spacing w:line="480" w:lineRule="atLeast"/>
              <w:jc w:val="center"/>
              <w:rPr>
                <w:rFonts w:eastAsiaTheme="minorEastAsia"/>
                <w:color w:val="000000" w:themeColor="text1"/>
                <w:sz w:val="24"/>
                <w:szCs w:val="24"/>
                <w14:textFill>
                  <w14:solidFill>
                    <w14:schemeClr w14:val="tx1"/>
                  </w14:solidFill>
                </w14:textFill>
              </w:rPr>
            </w:pPr>
          </w:p>
        </w:tc>
      </w:tr>
      <w:tr w14:paraId="0F8A2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09" w:type="dxa"/>
            <w:vAlign w:val="center"/>
          </w:tcPr>
          <w:p w14:paraId="00BC1303">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2727" w:type="dxa"/>
            <w:vAlign w:val="center"/>
          </w:tcPr>
          <w:p w14:paraId="4A321129">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864" w:type="dxa"/>
            <w:vAlign w:val="center"/>
          </w:tcPr>
          <w:p w14:paraId="7DC93F23">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864" w:type="dxa"/>
            <w:vAlign w:val="center"/>
          </w:tcPr>
          <w:p w14:paraId="2C8826F0">
            <w:pPr>
              <w:snapToGrid w:val="0"/>
              <w:spacing w:line="480" w:lineRule="atLeast"/>
              <w:jc w:val="center"/>
              <w:rPr>
                <w:rFonts w:eastAsiaTheme="minorEastAsia"/>
                <w:color w:val="000000" w:themeColor="text1"/>
                <w:sz w:val="24"/>
                <w:szCs w:val="24"/>
                <w14:textFill>
                  <w14:solidFill>
                    <w14:schemeClr w14:val="tx1"/>
                  </w14:solidFill>
                </w14:textFill>
              </w:rPr>
            </w:pPr>
          </w:p>
        </w:tc>
        <w:tc>
          <w:tcPr>
            <w:tcW w:w="1763" w:type="dxa"/>
            <w:vAlign w:val="center"/>
          </w:tcPr>
          <w:p w14:paraId="7E4A9D86">
            <w:pPr>
              <w:snapToGrid w:val="0"/>
              <w:spacing w:line="480" w:lineRule="atLeast"/>
              <w:jc w:val="center"/>
              <w:rPr>
                <w:rFonts w:eastAsiaTheme="minorEastAsia"/>
                <w:color w:val="000000" w:themeColor="text1"/>
                <w:sz w:val="24"/>
                <w:szCs w:val="24"/>
                <w14:textFill>
                  <w14:solidFill>
                    <w14:schemeClr w14:val="tx1"/>
                  </w14:solidFill>
                </w14:textFill>
              </w:rPr>
            </w:pPr>
          </w:p>
        </w:tc>
      </w:tr>
    </w:tbl>
    <w:p w14:paraId="418C4EB5">
      <w:pPr>
        <w:snapToGrid w:val="0"/>
        <w:spacing w:line="480" w:lineRule="atLeast"/>
        <w:ind w:firstLine="482" w:firstLineChars="200"/>
        <w:rPr>
          <w:rFonts w:eastAsiaTheme="minorEastAsia"/>
          <w:b/>
          <w:color w:val="000000" w:themeColor="text1"/>
          <w:sz w:val="24"/>
          <w:szCs w:val="24"/>
          <w14:textFill>
            <w14:solidFill>
              <w14:schemeClr w14:val="tx1"/>
            </w14:solidFill>
          </w14:textFill>
        </w:rPr>
      </w:pPr>
    </w:p>
    <w:p w14:paraId="3EB44A6C">
      <w:pPr>
        <w:pStyle w:val="2"/>
        <w:keepNext w:val="0"/>
        <w:keepLines w:val="0"/>
        <w:spacing w:line="480" w:lineRule="atLeast"/>
        <w:ind w:right="0" w:rightChars="0" w:firstLine="482" w:firstLineChars="200"/>
        <w:rPr>
          <w:rFonts w:ascii="Times New Roman" w:hAnsi="Times New Roman" w:eastAsiaTheme="minorEastAsia"/>
          <w:b/>
          <w:bCs/>
          <w:color w:val="000000" w:themeColor="text1"/>
          <w:szCs w:val="24"/>
          <w14:textFill>
            <w14:solidFill>
              <w14:schemeClr w14:val="tx1"/>
            </w14:solidFill>
          </w14:textFill>
        </w:rPr>
      </w:pPr>
      <w:bookmarkStart w:id="867" w:name="_Toc526064907"/>
      <w:bookmarkStart w:id="868" w:name="_Toc526079191"/>
      <w:bookmarkStart w:id="869" w:name="_Toc526079297"/>
      <w:bookmarkStart w:id="870" w:name="_Toc220074833"/>
      <w:r>
        <w:rPr>
          <w:rStyle w:val="55"/>
          <w:rFonts w:hint="eastAsia" w:ascii="Times New Roman" w:hAnsi="Times New Roman" w:eastAsiaTheme="minorEastAsia"/>
          <w:b/>
          <w:bCs/>
          <w:color w:val="000000" w:themeColor="text1"/>
          <w:sz w:val="24"/>
          <w:szCs w:val="24"/>
          <w14:textFill>
            <w14:solidFill>
              <w14:schemeClr w14:val="tx1"/>
            </w14:solidFill>
          </w14:textFill>
        </w:rPr>
        <w:t>附录</w:t>
      </w:r>
      <w:r>
        <w:rPr>
          <w:rStyle w:val="55"/>
          <w:rFonts w:ascii="Times New Roman" w:hAnsi="Times New Roman" w:eastAsiaTheme="minorEastAsia"/>
          <w:b/>
          <w:bCs/>
          <w:color w:val="000000" w:themeColor="text1"/>
          <w:sz w:val="24"/>
          <w:szCs w:val="24"/>
          <w14:textFill>
            <w14:solidFill>
              <w14:schemeClr w14:val="tx1"/>
            </w14:solidFill>
          </w14:textFill>
        </w:rPr>
        <w:t xml:space="preserve">E  </w:t>
      </w:r>
      <w:r>
        <w:rPr>
          <w:rStyle w:val="55"/>
          <w:rFonts w:hint="eastAsia" w:ascii="Times New Roman" w:hAnsi="Times New Roman" w:eastAsiaTheme="minorEastAsia"/>
          <w:b/>
          <w:bCs/>
          <w:color w:val="000000" w:themeColor="text1"/>
          <w:sz w:val="24"/>
          <w:szCs w:val="24"/>
          <w14:textFill>
            <w14:solidFill>
              <w14:schemeClr w14:val="tx1"/>
            </w14:solidFill>
          </w14:textFill>
        </w:rPr>
        <w:t>工作计划（进度）报表</w:t>
      </w:r>
      <w:bookmarkEnd w:id="867"/>
      <w:bookmarkEnd w:id="868"/>
      <w:bookmarkEnd w:id="869"/>
      <w:bookmarkEnd w:id="870"/>
    </w:p>
    <w:p w14:paraId="2597F4D1">
      <w:pPr>
        <w:snapToGrid w:val="0"/>
        <w:spacing w:line="480" w:lineRule="atLeast"/>
        <w:jc w:val="left"/>
        <w:textAlignment w:val="auto"/>
        <w:rPr>
          <w:color w:val="000000" w:themeColor="text1"/>
          <w:sz w:val="24"/>
          <w:szCs w:val="24"/>
          <w14:textFill>
            <w14:solidFill>
              <w14:schemeClr w14:val="tx1"/>
            </w14:solidFill>
          </w14:textFill>
        </w:rPr>
      </w:pPr>
      <w:bookmarkStart w:id="871" w:name="_Toc282788494"/>
      <w:bookmarkStart w:id="872" w:name="_Toc526064908"/>
      <w:r>
        <w:rPr>
          <w:rFonts w:hint="eastAsia"/>
          <w:color w:val="000000" w:themeColor="text1"/>
          <w:sz w:val="24"/>
          <w:szCs w:val="24"/>
          <w14:textFill>
            <w14:solidFill>
              <w14:schemeClr w14:val="tx1"/>
            </w14:solidFill>
          </w14:textFill>
        </w:rPr>
        <w:t>湘黔背靠背换流站工程通风及空调设备生产、供货及安装计划（进度）报表（参考格式）</w:t>
      </w:r>
    </w:p>
    <w:p w14:paraId="5197B8C3">
      <w:pPr>
        <w:snapToGrid w:val="0"/>
        <w:spacing w:line="480" w:lineRule="atLeast"/>
        <w:jc w:val="left"/>
        <w:textAlignment w:val="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编制单位：</w:t>
      </w:r>
      <w:r>
        <w:rPr>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编制人：</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日期：</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174"/>
        <w:gridCol w:w="1510"/>
        <w:gridCol w:w="1510"/>
        <w:gridCol w:w="1510"/>
        <w:gridCol w:w="1511"/>
      </w:tblGrid>
      <w:tr w14:paraId="03673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restart"/>
          </w:tcPr>
          <w:p w14:paraId="4497EB94">
            <w:pPr>
              <w:tabs>
                <w:tab w:val="left" w:pos="3585"/>
                <w:tab w:val="left" w:pos="7935"/>
              </w:tabs>
              <w:snapToGrid w:val="0"/>
              <w:spacing w:line="480" w:lineRule="atLeast"/>
              <w:jc w:val="center"/>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序</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号</w:t>
            </w:r>
          </w:p>
        </w:tc>
        <w:tc>
          <w:tcPr>
            <w:tcW w:w="2174" w:type="dxa"/>
            <w:vMerge w:val="restart"/>
          </w:tcPr>
          <w:p w14:paraId="13356555">
            <w:pPr>
              <w:tabs>
                <w:tab w:val="left" w:pos="3585"/>
                <w:tab w:val="left" w:pos="7935"/>
              </w:tabs>
              <w:snapToGrid w:val="0"/>
              <w:spacing w:line="480" w:lineRule="atLeast"/>
              <w:jc w:val="center"/>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项</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目</w:t>
            </w:r>
          </w:p>
        </w:tc>
        <w:tc>
          <w:tcPr>
            <w:tcW w:w="3020" w:type="dxa"/>
            <w:gridSpan w:val="2"/>
          </w:tcPr>
          <w:p w14:paraId="027D3C2F">
            <w:pPr>
              <w:tabs>
                <w:tab w:val="left" w:pos="3585"/>
                <w:tab w:val="left" w:pos="7935"/>
              </w:tabs>
              <w:snapToGrid w:val="0"/>
              <w:spacing w:line="480" w:lineRule="atLeast"/>
              <w:jc w:val="center"/>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计</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划</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进</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度</w:t>
            </w:r>
          </w:p>
        </w:tc>
        <w:tc>
          <w:tcPr>
            <w:tcW w:w="1510" w:type="dxa"/>
            <w:vMerge w:val="restart"/>
          </w:tcPr>
          <w:p w14:paraId="197A836F">
            <w:pPr>
              <w:tabs>
                <w:tab w:val="left" w:pos="3585"/>
                <w:tab w:val="left" w:pos="7935"/>
              </w:tabs>
              <w:snapToGrid w:val="0"/>
              <w:spacing w:line="480" w:lineRule="atLeast"/>
              <w:jc w:val="center"/>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实际进度情况</w:t>
            </w:r>
          </w:p>
        </w:tc>
        <w:tc>
          <w:tcPr>
            <w:tcW w:w="1511" w:type="dxa"/>
            <w:vMerge w:val="restart"/>
          </w:tcPr>
          <w:p w14:paraId="0C110130">
            <w:pPr>
              <w:tabs>
                <w:tab w:val="left" w:pos="3585"/>
                <w:tab w:val="left" w:pos="7935"/>
              </w:tabs>
              <w:snapToGrid w:val="0"/>
              <w:spacing w:line="480" w:lineRule="atLeast"/>
              <w:jc w:val="center"/>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备</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注</w:t>
            </w:r>
          </w:p>
        </w:tc>
      </w:tr>
      <w:tr w14:paraId="5AF9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tcPr>
          <w:p w14:paraId="2A27CD64">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2174" w:type="dxa"/>
            <w:vMerge w:val="continue"/>
          </w:tcPr>
          <w:p w14:paraId="53FF3730">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00F51FAE">
            <w:pPr>
              <w:tabs>
                <w:tab w:val="left" w:pos="3585"/>
                <w:tab w:val="left" w:pos="7935"/>
              </w:tabs>
              <w:snapToGrid w:val="0"/>
              <w:spacing w:line="480" w:lineRule="atLeast"/>
              <w:jc w:val="center"/>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开始时间</w:t>
            </w:r>
          </w:p>
        </w:tc>
        <w:tc>
          <w:tcPr>
            <w:tcW w:w="1510" w:type="dxa"/>
          </w:tcPr>
          <w:p w14:paraId="56CD179F">
            <w:pPr>
              <w:tabs>
                <w:tab w:val="left" w:pos="3585"/>
                <w:tab w:val="left" w:pos="7935"/>
              </w:tabs>
              <w:snapToGrid w:val="0"/>
              <w:spacing w:line="480" w:lineRule="atLeast"/>
              <w:jc w:val="center"/>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完成时间</w:t>
            </w:r>
          </w:p>
        </w:tc>
        <w:tc>
          <w:tcPr>
            <w:tcW w:w="1510" w:type="dxa"/>
            <w:vMerge w:val="continue"/>
          </w:tcPr>
          <w:p w14:paraId="15101E8F">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vMerge w:val="continue"/>
          </w:tcPr>
          <w:p w14:paraId="26711331">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32425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4390CB4A">
            <w:pPr>
              <w:snapToGrid w:val="0"/>
              <w:spacing w:line="480" w:lineRule="atLeast"/>
              <w:jc w:val="center"/>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一</w:t>
            </w:r>
          </w:p>
        </w:tc>
        <w:tc>
          <w:tcPr>
            <w:tcW w:w="2174" w:type="dxa"/>
            <w:vAlign w:val="center"/>
          </w:tcPr>
          <w:p w14:paraId="24D3B891">
            <w:pPr>
              <w:snapToGrid w:val="0"/>
              <w:spacing w:line="480" w:lineRule="atLeast"/>
              <w:jc w:val="left"/>
              <w:textAlignment w:val="auto"/>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XXX</w:t>
            </w:r>
            <w:r>
              <w:rPr>
                <w:rFonts w:hint="eastAsia"/>
                <w:bCs/>
                <w:color w:val="000000" w:themeColor="text1"/>
                <w:szCs w:val="24"/>
                <w14:textFill>
                  <w14:solidFill>
                    <w14:schemeClr w14:val="tx1"/>
                  </w14:solidFill>
                </w14:textFill>
              </w:rPr>
              <w:t>设备</w:t>
            </w:r>
          </w:p>
        </w:tc>
        <w:tc>
          <w:tcPr>
            <w:tcW w:w="1510" w:type="dxa"/>
          </w:tcPr>
          <w:p w14:paraId="695C4E9E">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1540E93B">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76402A23">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169D7947">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56E78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35F5F369">
            <w:pPr>
              <w:snapToGrid w:val="0"/>
              <w:spacing w:line="480" w:lineRule="atLeast"/>
              <w:jc w:val="center"/>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（一）</w:t>
            </w:r>
          </w:p>
        </w:tc>
        <w:tc>
          <w:tcPr>
            <w:tcW w:w="2174" w:type="dxa"/>
            <w:vAlign w:val="center"/>
          </w:tcPr>
          <w:p w14:paraId="3787CD66">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生产及试验工作节点</w:t>
            </w:r>
          </w:p>
        </w:tc>
        <w:tc>
          <w:tcPr>
            <w:tcW w:w="1510" w:type="dxa"/>
          </w:tcPr>
          <w:p w14:paraId="6FDF9C1E">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70751179">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562C426C">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7AFCFFA0">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3FAE5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0B46F6D3">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1</w:t>
            </w:r>
          </w:p>
        </w:tc>
        <w:tc>
          <w:tcPr>
            <w:tcW w:w="2174" w:type="dxa"/>
            <w:vAlign w:val="center"/>
          </w:tcPr>
          <w:p w14:paraId="3C77B9A5">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图纸设计</w:t>
            </w:r>
          </w:p>
        </w:tc>
        <w:tc>
          <w:tcPr>
            <w:tcW w:w="1510" w:type="dxa"/>
          </w:tcPr>
          <w:p w14:paraId="5819C33C">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6F63BBE5">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602C3DFF">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1C533894">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13F01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1D54C8FA">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2</w:t>
            </w:r>
          </w:p>
        </w:tc>
        <w:tc>
          <w:tcPr>
            <w:tcW w:w="2174" w:type="dxa"/>
            <w:vAlign w:val="center"/>
          </w:tcPr>
          <w:p w14:paraId="58AEE88C">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1"/>
                <w14:textFill>
                  <w14:solidFill>
                    <w14:schemeClr w14:val="tx1"/>
                  </w14:solidFill>
                </w14:textFill>
              </w:rPr>
              <w:t>零部件及材料采购</w:t>
            </w:r>
          </w:p>
        </w:tc>
        <w:tc>
          <w:tcPr>
            <w:tcW w:w="1510" w:type="dxa"/>
          </w:tcPr>
          <w:p w14:paraId="491C38DF">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5ABEA012">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5E0FC34E">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1DC46F57">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1AB1A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7C523F8A">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3</w:t>
            </w:r>
          </w:p>
        </w:tc>
        <w:tc>
          <w:tcPr>
            <w:tcW w:w="2174" w:type="dxa"/>
            <w:vAlign w:val="center"/>
          </w:tcPr>
          <w:p w14:paraId="7A5C7FCC">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1"/>
                <w14:textFill>
                  <w14:solidFill>
                    <w14:schemeClr w14:val="tx1"/>
                  </w14:solidFill>
                </w14:textFill>
              </w:rPr>
              <w:t>制造</w:t>
            </w:r>
          </w:p>
        </w:tc>
        <w:tc>
          <w:tcPr>
            <w:tcW w:w="1510" w:type="dxa"/>
          </w:tcPr>
          <w:p w14:paraId="499FC040">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109F3CEE">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47F13C98">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0CAE6DA9">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6E6D0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2CB08FC7">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4</w:t>
            </w:r>
          </w:p>
        </w:tc>
        <w:tc>
          <w:tcPr>
            <w:tcW w:w="2174" w:type="dxa"/>
            <w:vAlign w:val="center"/>
          </w:tcPr>
          <w:p w14:paraId="0C889685">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检验及试验</w:t>
            </w:r>
          </w:p>
        </w:tc>
        <w:tc>
          <w:tcPr>
            <w:tcW w:w="1510" w:type="dxa"/>
          </w:tcPr>
          <w:p w14:paraId="6F031BE5">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65520724">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16E8E019">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7EE9E7C2">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3FAAA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67668148">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5</w:t>
            </w:r>
          </w:p>
        </w:tc>
        <w:tc>
          <w:tcPr>
            <w:tcW w:w="2174" w:type="dxa"/>
            <w:vAlign w:val="center"/>
          </w:tcPr>
          <w:p w14:paraId="627A99B8">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w:t>
            </w:r>
          </w:p>
        </w:tc>
        <w:tc>
          <w:tcPr>
            <w:tcW w:w="1510" w:type="dxa"/>
          </w:tcPr>
          <w:p w14:paraId="14681DA2">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79459801">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7DE55B7D">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62F3D7CC">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491AB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106337C6">
            <w:pPr>
              <w:snapToGrid w:val="0"/>
              <w:spacing w:line="480" w:lineRule="atLeast"/>
              <w:jc w:val="center"/>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（二）</w:t>
            </w:r>
          </w:p>
        </w:tc>
        <w:tc>
          <w:tcPr>
            <w:tcW w:w="2174" w:type="dxa"/>
            <w:vAlign w:val="center"/>
          </w:tcPr>
          <w:p w14:paraId="495F663E">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发货及到达时间</w:t>
            </w:r>
          </w:p>
        </w:tc>
        <w:tc>
          <w:tcPr>
            <w:tcW w:w="1510" w:type="dxa"/>
          </w:tcPr>
          <w:p w14:paraId="6BE24504">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627EAB41">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307CBFBF">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3CD4C1C7">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063C5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21BA4503">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1</w:t>
            </w:r>
          </w:p>
        </w:tc>
        <w:tc>
          <w:tcPr>
            <w:tcW w:w="2174" w:type="dxa"/>
            <w:vAlign w:val="center"/>
          </w:tcPr>
          <w:p w14:paraId="01F64129">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出厂装运</w:t>
            </w:r>
          </w:p>
        </w:tc>
        <w:tc>
          <w:tcPr>
            <w:tcW w:w="1510" w:type="dxa"/>
          </w:tcPr>
          <w:p w14:paraId="5F2E76CB">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14902CBB">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7A10CA63">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71312A9A">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38DC0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5343473E">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2</w:t>
            </w:r>
          </w:p>
        </w:tc>
        <w:tc>
          <w:tcPr>
            <w:tcW w:w="2174" w:type="dxa"/>
            <w:vAlign w:val="center"/>
          </w:tcPr>
          <w:p w14:paraId="5710EB64">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抵达时间</w:t>
            </w:r>
          </w:p>
        </w:tc>
        <w:tc>
          <w:tcPr>
            <w:tcW w:w="1510" w:type="dxa"/>
          </w:tcPr>
          <w:p w14:paraId="3F233B50">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45A739B0">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3B5CF5AC">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78498E10">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5D244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6AFB3037">
            <w:pPr>
              <w:snapToGrid w:val="0"/>
              <w:spacing w:line="480" w:lineRule="atLeast"/>
              <w:jc w:val="center"/>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（三）</w:t>
            </w:r>
          </w:p>
        </w:tc>
        <w:tc>
          <w:tcPr>
            <w:tcW w:w="2174" w:type="dxa"/>
          </w:tcPr>
          <w:p w14:paraId="417595FB">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安装</w:t>
            </w:r>
          </w:p>
        </w:tc>
        <w:tc>
          <w:tcPr>
            <w:tcW w:w="1510" w:type="dxa"/>
          </w:tcPr>
          <w:p w14:paraId="57079C84">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5A0C6817">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29022907">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52ECAFE2">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0675E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5513C8F2">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1</w:t>
            </w:r>
          </w:p>
        </w:tc>
        <w:tc>
          <w:tcPr>
            <w:tcW w:w="2174" w:type="dxa"/>
          </w:tcPr>
          <w:p w14:paraId="7310CA19">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人员进场（配合土建）</w:t>
            </w:r>
          </w:p>
        </w:tc>
        <w:tc>
          <w:tcPr>
            <w:tcW w:w="1510" w:type="dxa"/>
          </w:tcPr>
          <w:p w14:paraId="66260748">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5BF24C11">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795D0C20">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01A733AC">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685D0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751E90EC">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2</w:t>
            </w:r>
          </w:p>
        </w:tc>
        <w:tc>
          <w:tcPr>
            <w:tcW w:w="2174" w:type="dxa"/>
          </w:tcPr>
          <w:p w14:paraId="30AA982B">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施工机具进场</w:t>
            </w:r>
          </w:p>
        </w:tc>
        <w:tc>
          <w:tcPr>
            <w:tcW w:w="1510" w:type="dxa"/>
          </w:tcPr>
          <w:p w14:paraId="1B9C698A">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5A898449">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68A4C45A">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140D96C0">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79ADA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53C9E39E">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3</w:t>
            </w:r>
          </w:p>
        </w:tc>
        <w:tc>
          <w:tcPr>
            <w:tcW w:w="2174" w:type="dxa"/>
          </w:tcPr>
          <w:p w14:paraId="032E0955">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施工计划编制</w:t>
            </w:r>
          </w:p>
        </w:tc>
        <w:tc>
          <w:tcPr>
            <w:tcW w:w="1510" w:type="dxa"/>
          </w:tcPr>
          <w:p w14:paraId="1828A8B2">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6ADC6B96">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25184FCE">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30BA647C">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541DF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165D1B34">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4</w:t>
            </w:r>
          </w:p>
        </w:tc>
        <w:tc>
          <w:tcPr>
            <w:tcW w:w="2174" w:type="dxa"/>
          </w:tcPr>
          <w:p w14:paraId="0CE96A98">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现场施工</w:t>
            </w:r>
          </w:p>
        </w:tc>
        <w:tc>
          <w:tcPr>
            <w:tcW w:w="1510" w:type="dxa"/>
          </w:tcPr>
          <w:p w14:paraId="71AAEE61">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4588030A">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0DE95D98">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4CB84438">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6877C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1C3702DE">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5</w:t>
            </w:r>
          </w:p>
        </w:tc>
        <w:tc>
          <w:tcPr>
            <w:tcW w:w="2174" w:type="dxa"/>
          </w:tcPr>
          <w:p w14:paraId="0575CF80">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设备性能试验</w:t>
            </w:r>
          </w:p>
        </w:tc>
        <w:tc>
          <w:tcPr>
            <w:tcW w:w="1510" w:type="dxa"/>
          </w:tcPr>
          <w:p w14:paraId="13A6149B">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65712D23">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41DD85B6">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6A5F6378">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2A3B0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5771A9EB">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6</w:t>
            </w:r>
          </w:p>
        </w:tc>
        <w:tc>
          <w:tcPr>
            <w:tcW w:w="2174" w:type="dxa"/>
          </w:tcPr>
          <w:p w14:paraId="3E9073E3">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系统调试</w:t>
            </w:r>
          </w:p>
        </w:tc>
        <w:tc>
          <w:tcPr>
            <w:tcW w:w="1510" w:type="dxa"/>
          </w:tcPr>
          <w:p w14:paraId="46BAAB4C">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024A68AA">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7B9E045E">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781A7658">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3BCE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35FA86F9">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7</w:t>
            </w:r>
          </w:p>
        </w:tc>
        <w:tc>
          <w:tcPr>
            <w:tcW w:w="2174" w:type="dxa"/>
          </w:tcPr>
          <w:p w14:paraId="6718DF6A">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试运行</w:t>
            </w:r>
          </w:p>
        </w:tc>
        <w:tc>
          <w:tcPr>
            <w:tcW w:w="1510" w:type="dxa"/>
          </w:tcPr>
          <w:p w14:paraId="403FC0FF">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68DBC828">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529A9859">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0FD364CD">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04DC0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092D3658">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8</w:t>
            </w:r>
          </w:p>
        </w:tc>
        <w:tc>
          <w:tcPr>
            <w:tcW w:w="2174" w:type="dxa"/>
          </w:tcPr>
          <w:p w14:paraId="268A8B56">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w:t>
            </w:r>
          </w:p>
        </w:tc>
        <w:tc>
          <w:tcPr>
            <w:tcW w:w="1510" w:type="dxa"/>
          </w:tcPr>
          <w:p w14:paraId="2C103304">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0481F2F4">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08522D98">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53ABE77A">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51B46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077360C5">
            <w:pPr>
              <w:snapToGrid w:val="0"/>
              <w:spacing w:line="480" w:lineRule="atLeast"/>
              <w:jc w:val="center"/>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（四）</w:t>
            </w:r>
          </w:p>
        </w:tc>
        <w:tc>
          <w:tcPr>
            <w:tcW w:w="2174" w:type="dxa"/>
          </w:tcPr>
          <w:p w14:paraId="7054239B">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工程验收</w:t>
            </w:r>
          </w:p>
        </w:tc>
        <w:tc>
          <w:tcPr>
            <w:tcW w:w="1510" w:type="dxa"/>
          </w:tcPr>
          <w:p w14:paraId="66E6DA6E">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4156A82B">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347E5D47">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6ECD3698">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10F98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10281778">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1</w:t>
            </w:r>
          </w:p>
        </w:tc>
        <w:tc>
          <w:tcPr>
            <w:tcW w:w="2174" w:type="dxa"/>
          </w:tcPr>
          <w:p w14:paraId="6D19215F">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验收准备</w:t>
            </w:r>
          </w:p>
        </w:tc>
        <w:tc>
          <w:tcPr>
            <w:tcW w:w="1510" w:type="dxa"/>
          </w:tcPr>
          <w:p w14:paraId="78221DFD">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4FE56314">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2E16CCF6">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3BC1B2EA">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612B6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4EF03B9C">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2</w:t>
            </w:r>
          </w:p>
        </w:tc>
        <w:tc>
          <w:tcPr>
            <w:tcW w:w="2174" w:type="dxa"/>
          </w:tcPr>
          <w:p w14:paraId="712BBC3E">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验收</w:t>
            </w:r>
          </w:p>
        </w:tc>
        <w:tc>
          <w:tcPr>
            <w:tcW w:w="1510" w:type="dxa"/>
          </w:tcPr>
          <w:p w14:paraId="35E177EE">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25C2C466">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3BF535DA">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491FB9E5">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3F785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5A23ACA7">
            <w:pPr>
              <w:snapToGrid w:val="0"/>
              <w:spacing w:line="480" w:lineRule="atLeast"/>
              <w:jc w:val="center"/>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（五）</w:t>
            </w:r>
          </w:p>
        </w:tc>
        <w:tc>
          <w:tcPr>
            <w:tcW w:w="2174" w:type="dxa"/>
          </w:tcPr>
          <w:p w14:paraId="25A360EE">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其他</w:t>
            </w:r>
          </w:p>
        </w:tc>
        <w:tc>
          <w:tcPr>
            <w:tcW w:w="1510" w:type="dxa"/>
          </w:tcPr>
          <w:p w14:paraId="07CA5146">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779C907D">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4C60161A">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1D3CC5AE">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3B85C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078963F3">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1</w:t>
            </w:r>
          </w:p>
        </w:tc>
        <w:tc>
          <w:tcPr>
            <w:tcW w:w="2174" w:type="dxa"/>
          </w:tcPr>
          <w:p w14:paraId="3CCC0CBC">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需要说明的事项</w:t>
            </w:r>
          </w:p>
        </w:tc>
        <w:tc>
          <w:tcPr>
            <w:tcW w:w="1510" w:type="dxa"/>
          </w:tcPr>
          <w:p w14:paraId="7B116F9F">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66F4131B">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3C8DE5D3">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2AB6A286">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3EFC3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15CF2EFA">
            <w:pPr>
              <w:snapToGrid w:val="0"/>
              <w:spacing w:line="480" w:lineRule="atLeast"/>
              <w:jc w:val="center"/>
              <w:textAlignment w:val="auto"/>
              <w:rPr>
                <w:color w:val="000000" w:themeColor="text1"/>
                <w:szCs w:val="24"/>
                <w14:textFill>
                  <w14:solidFill>
                    <w14:schemeClr w14:val="tx1"/>
                  </w14:solidFill>
                </w14:textFill>
              </w:rPr>
            </w:pPr>
            <w:r>
              <w:rPr>
                <w:color w:val="000000" w:themeColor="text1"/>
                <w:szCs w:val="24"/>
                <w14:textFill>
                  <w14:solidFill>
                    <w14:schemeClr w14:val="tx1"/>
                  </w14:solidFill>
                </w14:textFill>
              </w:rPr>
              <w:t>2</w:t>
            </w:r>
          </w:p>
        </w:tc>
        <w:tc>
          <w:tcPr>
            <w:tcW w:w="2174" w:type="dxa"/>
          </w:tcPr>
          <w:p w14:paraId="4849D834">
            <w:pPr>
              <w:snapToGrid w:val="0"/>
              <w:spacing w:line="480" w:lineRule="atLeast"/>
              <w:jc w:val="left"/>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存在的问题或困难</w:t>
            </w:r>
          </w:p>
        </w:tc>
        <w:tc>
          <w:tcPr>
            <w:tcW w:w="1510" w:type="dxa"/>
          </w:tcPr>
          <w:p w14:paraId="53F8233F">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716D185A">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014C2731">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618824E4">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2C0A1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6C02AA73">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2174" w:type="dxa"/>
          </w:tcPr>
          <w:p w14:paraId="3D51E029">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09114B68">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77868555">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7EB602B0">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27922109">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15F1D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1B0494F4">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2174" w:type="dxa"/>
          </w:tcPr>
          <w:p w14:paraId="19D31ADA">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52B9D83D">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3EA97B18">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06E426E2">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79B45370">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4E98D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79E0D9C9">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2174" w:type="dxa"/>
          </w:tcPr>
          <w:p w14:paraId="420FF8A5">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79C298E5">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397089EB">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2D67D89C">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03EDA328">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62C00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589AA124">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2174" w:type="dxa"/>
          </w:tcPr>
          <w:p w14:paraId="3F24D698">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03494A02">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2DA8D877">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41850761">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2778DCEC">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3674A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7B7B859D">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2174" w:type="dxa"/>
          </w:tcPr>
          <w:p w14:paraId="4CC1C38F">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4078119A">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594813D1">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3D2D0EB8">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049A81DD">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r w14:paraId="4553B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342ACE7B">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2174" w:type="dxa"/>
          </w:tcPr>
          <w:p w14:paraId="69400EC9">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59842782">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3DEC950C">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0" w:type="dxa"/>
          </w:tcPr>
          <w:p w14:paraId="381EB9A3">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c>
          <w:tcPr>
            <w:tcW w:w="1511" w:type="dxa"/>
          </w:tcPr>
          <w:p w14:paraId="0DC4789C">
            <w:pPr>
              <w:tabs>
                <w:tab w:val="left" w:pos="3585"/>
                <w:tab w:val="left" w:pos="7935"/>
              </w:tabs>
              <w:snapToGrid w:val="0"/>
              <w:spacing w:line="480" w:lineRule="atLeast"/>
              <w:jc w:val="left"/>
              <w:textAlignment w:val="auto"/>
              <w:rPr>
                <w:color w:val="000000" w:themeColor="text1"/>
                <w:szCs w:val="24"/>
                <w14:textFill>
                  <w14:solidFill>
                    <w14:schemeClr w14:val="tx1"/>
                  </w14:solidFill>
                </w14:textFill>
              </w:rPr>
            </w:pPr>
          </w:p>
        </w:tc>
      </w:tr>
    </w:tbl>
    <w:p w14:paraId="387B42E5">
      <w:pPr>
        <w:snapToGrid w:val="0"/>
        <w:spacing w:line="480" w:lineRule="atLeast"/>
        <w:jc w:val="left"/>
        <w:textAlignment w:val="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备注：</w:t>
      </w:r>
      <w:r>
        <w:rPr>
          <w:color w:val="000000" w:themeColor="text1"/>
          <w:sz w:val="24"/>
          <w:szCs w:val="24"/>
          <w14:textFill>
            <w14:solidFill>
              <w14:schemeClr w14:val="tx1"/>
            </w14:solidFill>
          </w14:textFill>
        </w:rPr>
        <w:t>1</w:t>
      </w:r>
      <w:r>
        <w:rPr>
          <w:rFonts w:hint="eastAsia"/>
          <w:color w:val="000000" w:themeColor="text1"/>
          <w:sz w:val="24"/>
          <w:szCs w:val="24"/>
          <w14:textFill>
            <w14:solidFill>
              <w14:schemeClr w14:val="tx1"/>
            </w14:solidFill>
          </w14:textFill>
        </w:rPr>
        <w:t>、投标方应每月向招标方报送设备生产进度情况，除另有要求外，报表报送时间为：每月</w:t>
      </w:r>
      <w:r>
        <w:rPr>
          <w:color w:val="000000" w:themeColor="text1"/>
          <w:sz w:val="24"/>
          <w:szCs w:val="24"/>
          <w14:textFill>
            <w14:solidFill>
              <w14:schemeClr w14:val="tx1"/>
            </w14:solidFill>
          </w14:textFill>
        </w:rPr>
        <w:t>25</w:t>
      </w:r>
      <w:r>
        <w:rPr>
          <w:rFonts w:hint="eastAsia"/>
          <w:color w:val="000000" w:themeColor="text1"/>
          <w:sz w:val="24"/>
          <w:szCs w:val="24"/>
          <w14:textFill>
            <w14:solidFill>
              <w14:schemeClr w14:val="tx1"/>
            </w14:solidFill>
          </w14:textFill>
        </w:rPr>
        <w:t>日；</w:t>
      </w:r>
    </w:p>
    <w:p w14:paraId="6BC22E8B">
      <w:pPr>
        <w:snapToGrid w:val="0"/>
        <w:spacing w:line="480" w:lineRule="atLeast"/>
        <w:jc w:val="left"/>
        <w:textAlignment w:val="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r>
        <w:rPr>
          <w:rFonts w:hint="eastAsia"/>
          <w:color w:val="000000" w:themeColor="text1"/>
          <w:sz w:val="24"/>
          <w:szCs w:val="24"/>
          <w14:textFill>
            <w14:solidFill>
              <w14:schemeClr w14:val="tx1"/>
            </w14:solidFill>
          </w14:textFill>
        </w:rPr>
        <w:t>、此为参考表格，投标方可根据自身特点修改项目内容及适当调整格式。</w:t>
      </w:r>
    </w:p>
    <w:p w14:paraId="53CC03FB">
      <w:pPr>
        <w:widowControl/>
        <w:adjustRightInd/>
        <w:spacing w:line="240" w:lineRule="auto"/>
        <w:jc w:val="left"/>
        <w:textAlignment w:val="auto"/>
        <w:rPr>
          <w:rStyle w:val="55"/>
          <w:rFonts w:eastAsiaTheme="minorEastAsia"/>
          <w:color w:val="000000" w:themeColor="text1"/>
          <w:sz w:val="24"/>
          <w:szCs w:val="24"/>
          <w14:textFill>
            <w14:solidFill>
              <w14:schemeClr w14:val="tx1"/>
            </w14:solidFill>
          </w14:textFill>
        </w:rPr>
      </w:pPr>
      <w:r>
        <w:rPr>
          <w:rStyle w:val="55"/>
          <w:rFonts w:eastAsiaTheme="minorEastAsia"/>
          <w:color w:val="000000" w:themeColor="text1"/>
          <w:sz w:val="24"/>
          <w:szCs w:val="24"/>
          <w14:textFill>
            <w14:solidFill>
              <w14:schemeClr w14:val="tx1"/>
            </w14:solidFill>
          </w14:textFill>
        </w:rPr>
        <w:br w:type="page"/>
      </w:r>
    </w:p>
    <w:bookmarkEnd w:id="871"/>
    <w:p w14:paraId="4B719B84">
      <w:pPr>
        <w:snapToGrid w:val="0"/>
        <w:spacing w:line="480" w:lineRule="atLeast"/>
        <w:ind w:left="1106" w:hanging="1106"/>
        <w:jc w:val="center"/>
        <w:textAlignment w:val="auto"/>
        <w:rPr>
          <w:color w:val="000000" w:themeColor="text1"/>
          <w:sz w:val="24"/>
          <w:szCs w:val="24"/>
          <w14:textFill>
            <w14:solidFill>
              <w14:schemeClr w14:val="tx1"/>
            </w14:solidFill>
          </w14:textFill>
        </w:rPr>
      </w:pPr>
      <w:bookmarkStart w:id="873" w:name="_Toc526079298"/>
      <w:bookmarkStart w:id="874" w:name="_Toc526079192"/>
    </w:p>
    <w:bookmarkEnd w:id="872"/>
    <w:bookmarkEnd w:id="873"/>
    <w:bookmarkEnd w:id="874"/>
    <w:p w14:paraId="0E5E9094">
      <w:pPr>
        <w:snapToGrid w:val="0"/>
        <w:spacing w:line="480" w:lineRule="atLeast"/>
        <w:ind w:left="1106" w:hanging="1106"/>
        <w:jc w:val="center"/>
        <w:textAlignment w:val="auto"/>
        <w:rPr>
          <w:color w:val="000000" w:themeColor="text1"/>
          <w:sz w:val="24"/>
          <w:szCs w:val="24"/>
          <w14:textFill>
            <w14:solidFill>
              <w14:schemeClr w14:val="tx1"/>
            </w14:solidFill>
          </w14:textFill>
        </w:rPr>
      </w:pPr>
    </w:p>
    <w:sectPr>
      <w:pgSz w:w="11907" w:h="16839"/>
      <w:pgMar w:top="1701" w:right="1418" w:bottom="1418" w:left="1418" w:header="1021" w:footer="1021" w:gutter="0"/>
      <w:cols w:space="720" w:num="1"/>
      <w:docGrid w:type="lines"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LinePrinter">
    <w:altName w:val="Lucida Console"/>
    <w:panose1 w:val="00000000000000000000"/>
    <w:charset w:val="00"/>
    <w:family w:val="modern"/>
    <w:pitch w:val="default"/>
    <w:sig w:usb0="00000000" w:usb1="00000000" w:usb2="00000000" w:usb3="00000000" w:csb0="00000001" w:csb1="00000000"/>
  </w:font>
  <w:font w:name="Lucida Console">
    <w:panose1 w:val="020B0609040504020204"/>
    <w:charset w:val="00"/>
    <w:family w:val="auto"/>
    <w:pitch w:val="default"/>
    <w:sig w:usb0="8000028F" w:usb1="00001800" w:usb2="00000000" w:usb3="00000000" w:csb0="0000001F" w:csb1="D7D7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方正书宋简体">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TimesNewRomanPSMT">
    <w:altName w:val="Times New Roman"/>
    <w:panose1 w:val="00000000000000000000"/>
    <w:charset w:val="00"/>
    <w:family w:val="auto"/>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FD0FA">
    <w:pPr>
      <w:pStyle w:val="27"/>
      <w:tabs>
        <w:tab w:val="right" w:pos="9639"/>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C5EF1">
    <w:pPr>
      <w:pStyle w:val="27"/>
      <w:pBdr>
        <w:top w:val="single" w:color="auto" w:sz="4" w:space="1"/>
      </w:pBdr>
    </w:pPr>
    <w:r>
      <w:rPr>
        <w:rFonts w:hint="eastAsia"/>
      </w:rPr>
      <w:t>知识产权所有，未经许可，严禁复制、使用或向第三方公开。</w:t>
    </w:r>
  </w:p>
  <w:p w14:paraId="49232CE6">
    <w:pPr>
      <w:tabs>
        <w:tab w:val="center" w:pos="4153"/>
        <w:tab w:val="right" w:pos="8306"/>
      </w:tabs>
      <w:snapToGrid w:val="0"/>
      <w:spacing w:line="240" w:lineRule="atLeast"/>
      <w:jc w:val="center"/>
      <w:rPr>
        <w:snapToGrid w:val="0"/>
        <w:kern w:val="24"/>
        <w:sz w:val="18"/>
        <w:szCs w:val="18"/>
      </w:rPr>
    </w:pPr>
  </w:p>
  <w:p w14:paraId="657E5C3A">
    <w:pPr>
      <w:tabs>
        <w:tab w:val="center" w:pos="4153"/>
        <w:tab w:val="right" w:pos="8306"/>
      </w:tabs>
      <w:snapToGrid w:val="0"/>
      <w:spacing w:line="240" w:lineRule="atLeast"/>
      <w:jc w:val="center"/>
      <w:rPr>
        <w:snapToGrid w:val="0"/>
        <w:kern w:val="24"/>
        <w:szCs w:val="21"/>
      </w:rPr>
    </w:pPr>
    <w:r>
      <w:rPr>
        <w:snapToGrid w:val="0"/>
        <w:kern w:val="24"/>
        <w:szCs w:val="21"/>
      </w:rPr>
      <w:fldChar w:fldCharType="begin"/>
    </w:r>
    <w:r>
      <w:rPr>
        <w:snapToGrid w:val="0"/>
        <w:kern w:val="24"/>
        <w:szCs w:val="21"/>
      </w:rPr>
      <w:instrText xml:space="preserve">PAGE   \* MERGEFORMAT</w:instrText>
    </w:r>
    <w:r>
      <w:rPr>
        <w:snapToGrid w:val="0"/>
        <w:kern w:val="24"/>
        <w:szCs w:val="21"/>
      </w:rPr>
      <w:fldChar w:fldCharType="separate"/>
    </w:r>
    <w:r>
      <w:rPr>
        <w:snapToGrid w:val="0"/>
        <w:kern w:val="24"/>
        <w:szCs w:val="21"/>
        <w:lang w:val="zh-CN"/>
      </w:rPr>
      <w:t>18</w:t>
    </w:r>
    <w:r>
      <w:rPr>
        <w:snapToGrid w:val="0"/>
        <w:kern w:val="24"/>
        <w:szCs w:val="2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1A5FE">
    <w:pPr>
      <w:pStyle w:val="27"/>
      <w:jc w:val="center"/>
    </w:pPr>
  </w:p>
  <w:p w14:paraId="5109FF3A">
    <w:pPr>
      <w:pStyle w:val="27"/>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112</w:t>
    </w:r>
    <w:r>
      <w:rPr>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AC708">
    <w:pPr>
      <w:pStyle w:val="4"/>
      <w:ind w:right="2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F42A0">
    <w:pPr>
      <w:pBdr>
        <w:bottom w:val="single" w:color="auto" w:sz="4" w:space="1"/>
      </w:pBdr>
      <w:tabs>
        <w:tab w:val="center" w:pos="4153"/>
        <w:tab w:val="right" w:pos="8306"/>
      </w:tabs>
      <w:snapToGrid w:val="0"/>
      <w:spacing w:line="240" w:lineRule="atLeast"/>
      <w:jc w:val="left"/>
      <w:rPr>
        <w:sz w:val="15"/>
        <w:szCs w:val="15"/>
      </w:rPr>
    </w:pPr>
    <w:r>
      <w:rPr>
        <w:rFonts w:hint="eastAsia" w:ascii="Arial" w:hAnsi="Arial" w:cs="Arial"/>
        <w:sz w:val="15"/>
        <w:szCs w:val="15"/>
      </w:rPr>
      <w:t>湘黔背靠背换流站工程乙供</w:t>
    </w:r>
    <w:r>
      <w:rPr>
        <w:rFonts w:ascii="Arial" w:hAnsi="Arial" w:cs="Arial"/>
        <w:sz w:val="15"/>
        <w:szCs w:val="15"/>
      </w:rPr>
      <w:t>通风</w:t>
    </w:r>
    <w:r>
      <w:rPr>
        <w:rFonts w:hint="eastAsia" w:ascii="Arial" w:hAnsi="Arial" w:cs="Arial"/>
        <w:sz w:val="15"/>
        <w:szCs w:val="15"/>
      </w:rPr>
      <w:t>及</w:t>
    </w:r>
    <w:r>
      <w:rPr>
        <w:rFonts w:ascii="Arial" w:hAnsi="Arial" w:cs="Arial"/>
        <w:sz w:val="15"/>
        <w:szCs w:val="15"/>
      </w:rPr>
      <w:t>空调系统技术规范书</w:t>
    </w:r>
    <w:r>
      <w:rPr>
        <w:rFonts w:hint="eastAsia" w:ascii="Arial" w:hAnsi="Arial" w:cs="Arial"/>
        <w:sz w:val="15"/>
        <w:szCs w:val="15"/>
      </w:rPr>
      <w:t xml:space="preserve"> </w:t>
    </w:r>
    <w:r>
      <w:rPr>
        <w:rFonts w:ascii="Arial" w:hAnsi="Arial" w:cs="Arial"/>
        <w:sz w:val="15"/>
        <w:szCs w:val="15"/>
      </w:rPr>
      <w:t xml:space="preserve">                               </w:t>
    </w:r>
    <w:r>
      <w:rPr>
        <w:rFonts w:hint="eastAsia" w:ascii="宋体" w:hAnsi="宋体"/>
        <w:sz w:val="15"/>
      </w:rPr>
      <w:t>中国南方电网有限责任公司超高压输电公司</w:t>
    </w:r>
    <w:r>
      <w:rPr>
        <w:rFonts w:ascii="Arial" w:hAnsi="Arial" w:cs="Arial"/>
        <w:sz w:val="15"/>
        <w:szCs w:val="15"/>
      </w:rPr>
      <w:t xml:space="preserve"> </w:t>
    </w:r>
    <w:r>
      <w:rPr>
        <w:sz w:val="15"/>
        <w:szCs w:val="15"/>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B8663">
    <w:pPr>
      <w:pBdr>
        <w:bottom w:val="single" w:color="auto" w:sz="4" w:space="1"/>
      </w:pBdr>
      <w:tabs>
        <w:tab w:val="center" w:pos="4153"/>
        <w:tab w:val="right" w:pos="8306"/>
      </w:tabs>
      <w:snapToGrid w:val="0"/>
      <w:spacing w:line="240" w:lineRule="atLeast"/>
      <w:jc w:val="left"/>
      <w:rPr>
        <w:rFonts w:ascii="Arial" w:hAnsi="Arial" w:cs="Arial"/>
        <w:sz w:val="15"/>
        <w:szCs w:val="15"/>
      </w:rPr>
    </w:pPr>
    <w:r>
      <w:rPr>
        <w:rFonts w:ascii="Arial" w:hAnsi="Arial" w:cs="Arial"/>
        <w:sz w:val="22"/>
        <w:szCs w:val="22"/>
      </w:rPr>
      <w:tab/>
    </w:r>
    <w:r>
      <w:rPr>
        <w:rFonts w:hint="eastAsia" w:ascii="Arial" w:hAnsi="Arial" w:cs="Arial"/>
        <w:sz w:val="15"/>
        <w:szCs w:val="15"/>
      </w:rPr>
      <w:t>湘黔背靠背换流站乙供</w:t>
    </w:r>
    <w:r>
      <w:rPr>
        <w:rFonts w:ascii="Arial" w:hAnsi="Arial" w:cs="Arial"/>
        <w:sz w:val="15"/>
        <w:szCs w:val="15"/>
      </w:rPr>
      <w:t>通风</w:t>
    </w:r>
    <w:r>
      <w:rPr>
        <w:rFonts w:hint="eastAsia" w:ascii="Arial" w:hAnsi="Arial" w:cs="Arial"/>
        <w:sz w:val="15"/>
        <w:szCs w:val="15"/>
      </w:rPr>
      <w:t>及</w:t>
    </w:r>
    <w:r>
      <w:rPr>
        <w:rFonts w:ascii="Arial" w:hAnsi="Arial" w:cs="Arial"/>
        <w:sz w:val="15"/>
        <w:szCs w:val="15"/>
      </w:rPr>
      <w:t>空调系统技术规范书</w:t>
    </w:r>
    <w:r>
      <w:rPr>
        <w:sz w:val="15"/>
        <w:szCs w:val="15"/>
      </w:rPr>
      <w:t xml:space="preserve">                                     </w:t>
    </w:r>
    <w:r>
      <w:rPr>
        <w:rFonts w:hint="eastAsia"/>
        <w:sz w:val="15"/>
        <w:szCs w:val="15"/>
      </w:rPr>
      <w:t>中国南方电网有限责任公司</w:t>
    </w:r>
    <w:r>
      <w:rPr>
        <w:rFonts w:hint="eastAsia" w:ascii="宋体" w:hAnsi="宋体"/>
        <w:sz w:val="15"/>
      </w:rPr>
      <w:t>超高压输电公司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A44342"/>
    <w:multiLevelType w:val="multilevel"/>
    <w:tmpl w:val="00A44342"/>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02F9482C"/>
    <w:multiLevelType w:val="multilevel"/>
    <w:tmpl w:val="02F9482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56D4973"/>
    <w:multiLevelType w:val="multilevel"/>
    <w:tmpl w:val="056D4973"/>
    <w:lvl w:ilvl="0" w:tentative="0">
      <w:start w:val="1"/>
      <w:numFmt w:val="decimal"/>
      <w:pStyle w:val="119"/>
      <w:lvlText w:val="%1"/>
      <w:lvlJc w:val="left"/>
      <w:pPr>
        <w:tabs>
          <w:tab w:val="left" w:pos="425"/>
        </w:tabs>
        <w:ind w:left="425" w:hanging="425"/>
      </w:pPr>
      <w:rPr>
        <w:rFonts w:hint="default" w:ascii="Times New Roman" w:hAnsi="Times New Roman"/>
        <w:b/>
        <w:i w:val="0"/>
        <w:caps w:val="0"/>
        <w:strike w:val="0"/>
        <w:dstrike w:val="0"/>
        <w:vanish w:val="0"/>
        <w:spacing w:val="0"/>
        <w:w w:val="100"/>
        <w:position w:val="0"/>
        <w:sz w:val="28"/>
        <w:vertAlign w:val="baseline"/>
      </w:rPr>
    </w:lvl>
    <w:lvl w:ilvl="1" w:tentative="0">
      <w:start w:val="1"/>
      <w:numFmt w:val="decimal"/>
      <w:lvlText w:val="%1.%2"/>
      <w:lvlJc w:val="left"/>
      <w:pPr>
        <w:tabs>
          <w:tab w:val="left" w:pos="567"/>
        </w:tabs>
        <w:ind w:left="567" w:hanging="567"/>
      </w:pPr>
      <w:rPr>
        <w:rFonts w:hint="default" w:ascii="Times New Roman" w:hAnsi="Times New Roman"/>
        <w:b/>
        <w:i w:val="0"/>
        <w:spacing w:val="0"/>
        <w:w w:val="100"/>
        <w:position w:val="0"/>
        <w:sz w:val="24"/>
      </w:rPr>
    </w:lvl>
    <w:lvl w:ilvl="2" w:tentative="0">
      <w:start w:val="1"/>
      <w:numFmt w:val="decimal"/>
      <w:lvlText w:val="%1.%2.%3"/>
      <w:lvlJc w:val="left"/>
      <w:pPr>
        <w:tabs>
          <w:tab w:val="left" w:pos="709"/>
        </w:tabs>
        <w:ind w:left="709" w:hanging="709"/>
      </w:pPr>
      <w:rPr>
        <w:rFonts w:hint="default" w:ascii="Times New Roman" w:hAnsi="Times New Roman"/>
        <w:b w:val="0"/>
        <w:i w:val="0"/>
        <w:sz w:val="24"/>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5831FDF"/>
    <w:multiLevelType w:val="multilevel"/>
    <w:tmpl w:val="05831FDF"/>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07C252D6"/>
    <w:multiLevelType w:val="multilevel"/>
    <w:tmpl w:val="07C252D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94977D6"/>
    <w:multiLevelType w:val="multilevel"/>
    <w:tmpl w:val="094977D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4651DED"/>
    <w:multiLevelType w:val="multilevel"/>
    <w:tmpl w:val="14651DED"/>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148F72BB"/>
    <w:multiLevelType w:val="multilevel"/>
    <w:tmpl w:val="148F72B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A6A17F2"/>
    <w:multiLevelType w:val="multilevel"/>
    <w:tmpl w:val="1A6A17F2"/>
    <w:lvl w:ilvl="0" w:tentative="0">
      <w:start w:val="1"/>
      <w:numFmt w:val="lowerLetter"/>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1C4A6B63"/>
    <w:multiLevelType w:val="multilevel"/>
    <w:tmpl w:val="1C4A6B63"/>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
    <w:nsid w:val="21421990"/>
    <w:multiLevelType w:val="multilevel"/>
    <w:tmpl w:val="21421990"/>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
    <w:nsid w:val="23541087"/>
    <w:multiLevelType w:val="multilevel"/>
    <w:tmpl w:val="2354108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27686A5D"/>
    <w:multiLevelType w:val="multilevel"/>
    <w:tmpl w:val="27686A5D"/>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
    <w:nsid w:val="276C086E"/>
    <w:multiLevelType w:val="multilevel"/>
    <w:tmpl w:val="276C086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A3B65D7"/>
    <w:multiLevelType w:val="multilevel"/>
    <w:tmpl w:val="2A3B65D7"/>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5">
    <w:nsid w:val="2D7B0A0E"/>
    <w:multiLevelType w:val="multilevel"/>
    <w:tmpl w:val="2D7B0A0E"/>
    <w:lvl w:ilvl="0" w:tentative="0">
      <w:start w:val="1"/>
      <w:numFmt w:val="lowerLetter"/>
      <w:lvlText w:val="%1)"/>
      <w:lvlJc w:val="left"/>
      <w:pPr>
        <w:ind w:left="78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2FEE7F65"/>
    <w:multiLevelType w:val="multilevel"/>
    <w:tmpl w:val="2FEE7F65"/>
    <w:lvl w:ilvl="0" w:tentative="0">
      <w:start w:val="1"/>
      <w:numFmt w:val="bullet"/>
      <w:lvlText w:val=""/>
      <w:lvlJc w:val="left"/>
      <w:pPr>
        <w:ind w:left="1018" w:hanging="420"/>
      </w:pPr>
      <w:rPr>
        <w:rFonts w:hint="default" w:ascii="Wingdings" w:hAnsi="Wingdings"/>
      </w:rPr>
    </w:lvl>
    <w:lvl w:ilvl="1" w:tentative="0">
      <w:start w:val="1"/>
      <w:numFmt w:val="bullet"/>
      <w:lvlText w:val=""/>
      <w:lvlJc w:val="left"/>
      <w:pPr>
        <w:ind w:left="1438" w:hanging="420"/>
      </w:pPr>
      <w:rPr>
        <w:rFonts w:hint="default" w:ascii="Wingdings" w:hAnsi="Wingdings"/>
      </w:rPr>
    </w:lvl>
    <w:lvl w:ilvl="2" w:tentative="0">
      <w:start w:val="1"/>
      <w:numFmt w:val="bullet"/>
      <w:lvlText w:val=""/>
      <w:lvlJc w:val="left"/>
      <w:pPr>
        <w:ind w:left="1858" w:hanging="420"/>
      </w:pPr>
      <w:rPr>
        <w:rFonts w:hint="default" w:ascii="Wingdings" w:hAnsi="Wingdings"/>
      </w:rPr>
    </w:lvl>
    <w:lvl w:ilvl="3" w:tentative="0">
      <w:start w:val="1"/>
      <w:numFmt w:val="bullet"/>
      <w:lvlText w:val=""/>
      <w:lvlJc w:val="left"/>
      <w:pPr>
        <w:ind w:left="2278" w:hanging="420"/>
      </w:pPr>
      <w:rPr>
        <w:rFonts w:hint="default" w:ascii="Wingdings" w:hAnsi="Wingdings"/>
      </w:rPr>
    </w:lvl>
    <w:lvl w:ilvl="4" w:tentative="0">
      <w:start w:val="1"/>
      <w:numFmt w:val="bullet"/>
      <w:lvlText w:val=""/>
      <w:lvlJc w:val="left"/>
      <w:pPr>
        <w:ind w:left="2698" w:hanging="420"/>
      </w:pPr>
      <w:rPr>
        <w:rFonts w:hint="default" w:ascii="Wingdings" w:hAnsi="Wingdings"/>
      </w:rPr>
    </w:lvl>
    <w:lvl w:ilvl="5" w:tentative="0">
      <w:start w:val="1"/>
      <w:numFmt w:val="bullet"/>
      <w:lvlText w:val=""/>
      <w:lvlJc w:val="left"/>
      <w:pPr>
        <w:ind w:left="3118" w:hanging="420"/>
      </w:pPr>
      <w:rPr>
        <w:rFonts w:hint="default" w:ascii="Wingdings" w:hAnsi="Wingdings"/>
      </w:rPr>
    </w:lvl>
    <w:lvl w:ilvl="6" w:tentative="0">
      <w:start w:val="1"/>
      <w:numFmt w:val="bullet"/>
      <w:lvlText w:val=""/>
      <w:lvlJc w:val="left"/>
      <w:pPr>
        <w:ind w:left="3538" w:hanging="420"/>
      </w:pPr>
      <w:rPr>
        <w:rFonts w:hint="default" w:ascii="Wingdings" w:hAnsi="Wingdings"/>
      </w:rPr>
    </w:lvl>
    <w:lvl w:ilvl="7" w:tentative="0">
      <w:start w:val="1"/>
      <w:numFmt w:val="bullet"/>
      <w:lvlText w:val=""/>
      <w:lvlJc w:val="left"/>
      <w:pPr>
        <w:ind w:left="3958" w:hanging="420"/>
      </w:pPr>
      <w:rPr>
        <w:rFonts w:hint="default" w:ascii="Wingdings" w:hAnsi="Wingdings"/>
      </w:rPr>
    </w:lvl>
    <w:lvl w:ilvl="8" w:tentative="0">
      <w:start w:val="1"/>
      <w:numFmt w:val="bullet"/>
      <w:lvlText w:val=""/>
      <w:lvlJc w:val="left"/>
      <w:pPr>
        <w:ind w:left="4378" w:hanging="420"/>
      </w:pPr>
      <w:rPr>
        <w:rFonts w:hint="default" w:ascii="Wingdings" w:hAnsi="Wingdings"/>
      </w:rPr>
    </w:lvl>
  </w:abstractNum>
  <w:abstractNum w:abstractNumId="17">
    <w:nsid w:val="311C4938"/>
    <w:multiLevelType w:val="multilevel"/>
    <w:tmpl w:val="311C493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31F94B7A"/>
    <w:multiLevelType w:val="multilevel"/>
    <w:tmpl w:val="31F94B7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32215DA3"/>
    <w:multiLevelType w:val="multilevel"/>
    <w:tmpl w:val="32215DA3"/>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3A6D1EF3"/>
    <w:multiLevelType w:val="multilevel"/>
    <w:tmpl w:val="3A6D1EF3"/>
    <w:lvl w:ilvl="0" w:tentative="0">
      <w:start w:val="1"/>
      <w:numFmt w:val="lowerLetter"/>
      <w:lvlText w:val="%1)"/>
      <w:lvlJc w:val="left"/>
      <w:pPr>
        <w:ind w:left="78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3F6972EF"/>
    <w:multiLevelType w:val="multilevel"/>
    <w:tmpl w:val="3F6972EF"/>
    <w:lvl w:ilvl="0" w:tentative="0">
      <w:start w:val="1"/>
      <w:numFmt w:val="decimal"/>
      <w:pStyle w:val="117"/>
      <w:lvlText w:val="%1"/>
      <w:lvlJc w:val="left"/>
      <w:pPr>
        <w:tabs>
          <w:tab w:val="left" w:pos="425"/>
        </w:tabs>
        <w:ind w:left="425" w:hanging="425"/>
      </w:pPr>
      <w:rPr>
        <w:rFonts w:hint="default" w:ascii="Times New Roman" w:hAnsi="Times New Roman"/>
        <w:b/>
        <w:i w:val="0"/>
        <w:caps w:val="0"/>
        <w:strike w:val="0"/>
        <w:dstrike w:val="0"/>
        <w:vanish w:val="0"/>
        <w:spacing w:val="0"/>
        <w:w w:val="100"/>
        <w:position w:val="0"/>
        <w:sz w:val="28"/>
        <w:vertAlign w:val="baseline"/>
      </w:rPr>
    </w:lvl>
    <w:lvl w:ilvl="1" w:tentative="0">
      <w:start w:val="1"/>
      <w:numFmt w:val="decimal"/>
      <w:lvlText w:val="%1.%2"/>
      <w:lvlJc w:val="left"/>
      <w:pPr>
        <w:tabs>
          <w:tab w:val="left" w:pos="567"/>
        </w:tabs>
        <w:ind w:left="567" w:hanging="567"/>
      </w:pPr>
      <w:rPr>
        <w:rFonts w:hint="default" w:ascii="Times New Roman" w:hAnsi="Times New Roman"/>
        <w:b/>
        <w:i w:val="0"/>
        <w:spacing w:val="0"/>
        <w:w w:val="100"/>
        <w:position w:val="0"/>
        <w:sz w:val="24"/>
      </w:rPr>
    </w:lvl>
    <w:lvl w:ilvl="2" w:tentative="0">
      <w:start w:val="1"/>
      <w:numFmt w:val="decimal"/>
      <w:lvlText w:val="%1.%2.%3"/>
      <w:lvlJc w:val="left"/>
      <w:pPr>
        <w:tabs>
          <w:tab w:val="left" w:pos="709"/>
        </w:tabs>
        <w:ind w:left="709" w:hanging="709"/>
      </w:pPr>
      <w:rPr>
        <w:rFonts w:hint="default" w:ascii="Times New Roman" w:hAnsi="Times New Roman"/>
        <w:b w:val="0"/>
        <w:i w:val="0"/>
        <w:sz w:val="24"/>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2">
    <w:nsid w:val="40803C41"/>
    <w:multiLevelType w:val="multilevel"/>
    <w:tmpl w:val="40803C41"/>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3">
    <w:nsid w:val="499523B3"/>
    <w:multiLevelType w:val="multilevel"/>
    <w:tmpl w:val="499523B3"/>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4">
    <w:nsid w:val="4DF904B6"/>
    <w:multiLevelType w:val="multilevel"/>
    <w:tmpl w:val="4DF904B6"/>
    <w:lvl w:ilvl="0" w:tentative="0">
      <w:start w:val="1"/>
      <w:numFmt w:val="decimal"/>
      <w:lvlText w:val="（%1）"/>
      <w:lvlJc w:val="left"/>
      <w:pPr>
        <w:tabs>
          <w:tab w:val="left" w:pos="839"/>
        </w:tabs>
        <w:ind w:left="839" w:hanging="839"/>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507E3386"/>
    <w:multiLevelType w:val="multilevel"/>
    <w:tmpl w:val="507E3386"/>
    <w:lvl w:ilvl="0" w:tentative="0">
      <w:start w:val="1"/>
      <w:numFmt w:val="bullet"/>
      <w:lvlText w:val=""/>
      <w:lvlJc w:val="left"/>
      <w:pPr>
        <w:tabs>
          <w:tab w:val="left" w:pos="1008"/>
        </w:tabs>
        <w:ind w:left="1008" w:hanging="420"/>
      </w:pPr>
      <w:rPr>
        <w:rFonts w:hint="default" w:ascii="Wingdings" w:hAnsi="Wingdings"/>
      </w:rPr>
    </w:lvl>
    <w:lvl w:ilvl="1" w:tentative="0">
      <w:start w:val="1"/>
      <w:numFmt w:val="bullet"/>
      <w:lvlText w:val=""/>
      <w:lvlJc w:val="left"/>
      <w:pPr>
        <w:tabs>
          <w:tab w:val="left" w:pos="1428"/>
        </w:tabs>
        <w:ind w:left="1428" w:hanging="420"/>
      </w:pPr>
      <w:rPr>
        <w:rFonts w:hint="default" w:ascii="Wingdings" w:hAnsi="Wingdings"/>
      </w:rPr>
    </w:lvl>
    <w:lvl w:ilvl="2" w:tentative="0">
      <w:start w:val="1"/>
      <w:numFmt w:val="bullet"/>
      <w:lvlText w:val=""/>
      <w:lvlJc w:val="left"/>
      <w:pPr>
        <w:tabs>
          <w:tab w:val="left" w:pos="1848"/>
        </w:tabs>
        <w:ind w:left="1848" w:hanging="420"/>
      </w:pPr>
      <w:rPr>
        <w:rFonts w:hint="default" w:ascii="Wingdings" w:hAnsi="Wingdings"/>
      </w:rPr>
    </w:lvl>
    <w:lvl w:ilvl="3" w:tentative="0">
      <w:start w:val="1"/>
      <w:numFmt w:val="bullet"/>
      <w:lvlText w:val=""/>
      <w:lvlJc w:val="left"/>
      <w:pPr>
        <w:tabs>
          <w:tab w:val="left" w:pos="2268"/>
        </w:tabs>
        <w:ind w:left="2268" w:hanging="420"/>
      </w:pPr>
      <w:rPr>
        <w:rFonts w:hint="default" w:ascii="Wingdings" w:hAnsi="Wingdings"/>
      </w:rPr>
    </w:lvl>
    <w:lvl w:ilvl="4" w:tentative="0">
      <w:start w:val="1"/>
      <w:numFmt w:val="bullet"/>
      <w:lvlText w:val=""/>
      <w:lvlJc w:val="left"/>
      <w:pPr>
        <w:tabs>
          <w:tab w:val="left" w:pos="2688"/>
        </w:tabs>
        <w:ind w:left="2688" w:hanging="420"/>
      </w:pPr>
      <w:rPr>
        <w:rFonts w:hint="default" w:ascii="Wingdings" w:hAnsi="Wingdings"/>
      </w:rPr>
    </w:lvl>
    <w:lvl w:ilvl="5" w:tentative="0">
      <w:start w:val="1"/>
      <w:numFmt w:val="bullet"/>
      <w:lvlText w:val=""/>
      <w:lvlJc w:val="left"/>
      <w:pPr>
        <w:tabs>
          <w:tab w:val="left" w:pos="3108"/>
        </w:tabs>
        <w:ind w:left="3108" w:hanging="420"/>
      </w:pPr>
      <w:rPr>
        <w:rFonts w:hint="default" w:ascii="Wingdings" w:hAnsi="Wingdings"/>
      </w:rPr>
    </w:lvl>
    <w:lvl w:ilvl="6" w:tentative="0">
      <w:start w:val="1"/>
      <w:numFmt w:val="bullet"/>
      <w:lvlText w:val=""/>
      <w:lvlJc w:val="left"/>
      <w:pPr>
        <w:tabs>
          <w:tab w:val="left" w:pos="3528"/>
        </w:tabs>
        <w:ind w:left="3528" w:hanging="420"/>
      </w:pPr>
      <w:rPr>
        <w:rFonts w:hint="default" w:ascii="Wingdings" w:hAnsi="Wingdings"/>
      </w:rPr>
    </w:lvl>
    <w:lvl w:ilvl="7" w:tentative="0">
      <w:start w:val="1"/>
      <w:numFmt w:val="bullet"/>
      <w:lvlText w:val=""/>
      <w:lvlJc w:val="left"/>
      <w:pPr>
        <w:tabs>
          <w:tab w:val="left" w:pos="3948"/>
        </w:tabs>
        <w:ind w:left="3948" w:hanging="420"/>
      </w:pPr>
      <w:rPr>
        <w:rFonts w:hint="default" w:ascii="Wingdings" w:hAnsi="Wingdings"/>
      </w:rPr>
    </w:lvl>
    <w:lvl w:ilvl="8" w:tentative="0">
      <w:start w:val="1"/>
      <w:numFmt w:val="bullet"/>
      <w:lvlText w:val=""/>
      <w:lvlJc w:val="left"/>
      <w:pPr>
        <w:tabs>
          <w:tab w:val="left" w:pos="4368"/>
        </w:tabs>
        <w:ind w:left="4368" w:hanging="420"/>
      </w:pPr>
      <w:rPr>
        <w:rFonts w:hint="default" w:ascii="Wingdings" w:hAnsi="Wingdings"/>
      </w:rPr>
    </w:lvl>
  </w:abstractNum>
  <w:abstractNum w:abstractNumId="26">
    <w:nsid w:val="53AA59FF"/>
    <w:multiLevelType w:val="multilevel"/>
    <w:tmpl w:val="53AA59FF"/>
    <w:lvl w:ilvl="0" w:tentative="0">
      <w:start w:val="1"/>
      <w:numFmt w:val="decimal"/>
      <w:pStyle w:val="121"/>
      <w:lvlText w:val="%1"/>
      <w:lvlJc w:val="left"/>
      <w:pPr>
        <w:tabs>
          <w:tab w:val="left" w:pos="425"/>
        </w:tabs>
        <w:ind w:left="425" w:hanging="425"/>
      </w:pPr>
      <w:rPr>
        <w:rFonts w:hint="default" w:ascii="Times New Roman" w:hAnsi="Times New Roman" w:cs="Times New Roman" w:eastAsiaTheme="minorEastAsia"/>
        <w:b/>
        <w:i w:val="0"/>
        <w:caps w:val="0"/>
        <w:strike w:val="0"/>
        <w:dstrike w:val="0"/>
        <w:vanish w:val="0"/>
        <w:spacing w:val="0"/>
        <w:w w:val="100"/>
        <w:position w:val="0"/>
        <w:sz w:val="24"/>
        <w:szCs w:val="24"/>
        <w:vertAlign w:val="baseline"/>
      </w:rPr>
    </w:lvl>
    <w:lvl w:ilvl="1" w:tentative="0">
      <w:start w:val="1"/>
      <w:numFmt w:val="decimal"/>
      <w:lvlText w:val="%1.%2"/>
      <w:lvlJc w:val="left"/>
      <w:pPr>
        <w:tabs>
          <w:tab w:val="left" w:pos="567"/>
        </w:tabs>
        <w:ind w:left="567" w:hanging="567"/>
      </w:pPr>
      <w:rPr>
        <w:rFonts w:hint="default" w:ascii="Times New Roman" w:hAnsi="Times New Roman"/>
        <w:b/>
        <w:i w:val="0"/>
        <w:spacing w:val="0"/>
        <w:w w:val="100"/>
        <w:position w:val="0"/>
        <w:sz w:val="24"/>
      </w:rPr>
    </w:lvl>
    <w:lvl w:ilvl="2" w:tentative="0">
      <w:start w:val="1"/>
      <w:numFmt w:val="decimal"/>
      <w:lvlText w:val="%1.%2.%3"/>
      <w:lvlJc w:val="left"/>
      <w:pPr>
        <w:tabs>
          <w:tab w:val="left" w:pos="1134"/>
        </w:tabs>
        <w:ind w:left="1134" w:hanging="709"/>
      </w:pPr>
      <w:rPr>
        <w:rFonts w:hint="default" w:ascii="Times New Roman" w:hAnsi="Times New Roman"/>
        <w:b w:val="0"/>
        <w:i w:val="0"/>
        <w:sz w:val="24"/>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7">
    <w:nsid w:val="55363CF1"/>
    <w:multiLevelType w:val="multilevel"/>
    <w:tmpl w:val="55363CF1"/>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8">
    <w:nsid w:val="55C249F0"/>
    <w:multiLevelType w:val="multilevel"/>
    <w:tmpl w:val="55C249F0"/>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9">
    <w:nsid w:val="5B115E01"/>
    <w:multiLevelType w:val="multilevel"/>
    <w:tmpl w:val="5B115E01"/>
    <w:lvl w:ilvl="0" w:tentative="0">
      <w:start w:val="1"/>
      <w:numFmt w:val="decimal"/>
      <w:lvlText w:val="%1)"/>
      <w:lvlJc w:val="left"/>
      <w:pPr>
        <w:tabs>
          <w:tab w:val="left" w:pos="420"/>
        </w:tabs>
        <w:ind w:left="420" w:hanging="420"/>
      </w:pPr>
    </w:lvl>
    <w:lvl w:ilvl="1" w:tentative="0">
      <w:start w:val="1"/>
      <w:numFmt w:val="lowerLetter"/>
      <w:lvlText w:val="%2."/>
      <w:lvlJc w:val="left"/>
      <w:pPr>
        <w:ind w:left="780" w:hanging="360"/>
      </w:pPr>
      <w:rPr>
        <w:rFonts w:hint="default"/>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0">
    <w:nsid w:val="5D4F5E6F"/>
    <w:multiLevelType w:val="multilevel"/>
    <w:tmpl w:val="5D4F5E6F"/>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1">
    <w:nsid w:val="63AF6CBE"/>
    <w:multiLevelType w:val="multilevel"/>
    <w:tmpl w:val="63AF6CB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646260FA"/>
    <w:multiLevelType w:val="multilevel"/>
    <w:tmpl w:val="646260FA"/>
    <w:lvl w:ilvl="0" w:tentative="0">
      <w:start w:val="1"/>
      <w:numFmt w:val="decimal"/>
      <w:pStyle w:val="110"/>
      <w:suff w:val="nothing"/>
      <w:lvlText w:val="表%1　"/>
      <w:lvlJc w:val="left"/>
      <w:pPr>
        <w:ind w:left="0" w:firstLine="0"/>
      </w:pPr>
      <w:rPr>
        <w:rFonts w:hint="eastAsia" w:ascii="黑体" w:hAnsi="Times New Roman" w:eastAsia="黑体"/>
        <w:b w:val="0"/>
        <w:i w:val="0"/>
        <w:sz w:val="21"/>
        <w:lang w:val="en-US"/>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3">
    <w:nsid w:val="6740456A"/>
    <w:multiLevelType w:val="multilevel"/>
    <w:tmpl w:val="6740456A"/>
    <w:lvl w:ilvl="0" w:tentative="0">
      <w:start w:val="1"/>
      <w:numFmt w:val="decimal"/>
      <w:lvlText w:val="%1"/>
      <w:lvlJc w:val="left"/>
      <w:pPr>
        <w:tabs>
          <w:tab w:val="left" w:pos="425"/>
        </w:tabs>
        <w:ind w:left="425" w:hanging="425"/>
      </w:pPr>
      <w:rPr>
        <w:rFonts w:hint="default" w:ascii="Times New Roman" w:hAnsi="Times New Roman"/>
        <w:b/>
        <w:i w:val="0"/>
        <w:caps w:val="0"/>
        <w:strike w:val="0"/>
        <w:dstrike w:val="0"/>
        <w:vanish w:val="0"/>
        <w:spacing w:val="0"/>
        <w:w w:val="100"/>
        <w:position w:val="0"/>
        <w:sz w:val="28"/>
        <w:vertAlign w:val="baseline"/>
      </w:rPr>
    </w:lvl>
    <w:lvl w:ilvl="1" w:tentative="0">
      <w:start w:val="1"/>
      <w:numFmt w:val="decimal"/>
      <w:pStyle w:val="5"/>
      <w:lvlText w:val="%1.%2"/>
      <w:lvlJc w:val="left"/>
      <w:pPr>
        <w:tabs>
          <w:tab w:val="left" w:pos="567"/>
        </w:tabs>
        <w:ind w:left="567" w:hanging="567"/>
      </w:pPr>
      <w:rPr>
        <w:rFonts w:hint="default" w:ascii="Times New Roman" w:hAnsi="Times New Roman"/>
        <w:b/>
        <w:i w:val="0"/>
        <w:spacing w:val="0"/>
        <w:w w:val="100"/>
        <w:position w:val="0"/>
        <w:sz w:val="24"/>
      </w:rPr>
    </w:lvl>
    <w:lvl w:ilvl="2" w:tentative="0">
      <w:start w:val="1"/>
      <w:numFmt w:val="decimal"/>
      <w:lvlText w:val="%3)"/>
      <w:lvlJc w:val="left"/>
      <w:pPr>
        <w:tabs>
          <w:tab w:val="left" w:pos="420"/>
        </w:tabs>
        <w:ind w:left="420" w:hanging="420"/>
      </w:pPr>
      <w:rPr>
        <w:rFonts w:hint="eastAsia"/>
        <w:b/>
        <w:i w:val="0"/>
        <w:caps w:val="0"/>
        <w:strike w:val="0"/>
        <w:dstrike w:val="0"/>
        <w:vanish w:val="0"/>
        <w:spacing w:val="0"/>
        <w:w w:val="100"/>
        <w:position w:val="0"/>
        <w:sz w:val="28"/>
        <w:vertAlign w:val="baseline"/>
      </w:rPr>
    </w:lvl>
    <w:lvl w:ilvl="3" w:tentative="0">
      <w:start w:val="1"/>
      <w:numFmt w:val="decimal"/>
      <w:pStyle w:val="8"/>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4">
    <w:nsid w:val="6A602763"/>
    <w:multiLevelType w:val="multilevel"/>
    <w:tmpl w:val="6A602763"/>
    <w:lvl w:ilvl="0" w:tentative="0">
      <w:start w:val="1"/>
      <w:numFmt w:val="lowerLetter"/>
      <w:lvlText w:val="%1)"/>
      <w:lvlJc w:val="left"/>
      <w:pPr>
        <w:ind w:left="78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5">
    <w:nsid w:val="6C3F0597"/>
    <w:multiLevelType w:val="multilevel"/>
    <w:tmpl w:val="6C3F0597"/>
    <w:lvl w:ilvl="0" w:tentative="0">
      <w:start w:val="1"/>
      <w:numFmt w:val="lowerLetter"/>
      <w:lvlText w:val="%1)"/>
      <w:lvlJc w:val="left"/>
      <w:pPr>
        <w:ind w:left="78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6">
    <w:nsid w:val="6E29632C"/>
    <w:multiLevelType w:val="multilevel"/>
    <w:tmpl w:val="6E29632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6EF56D27"/>
    <w:multiLevelType w:val="multilevel"/>
    <w:tmpl w:val="6EF56D27"/>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8">
    <w:nsid w:val="726862BC"/>
    <w:multiLevelType w:val="multilevel"/>
    <w:tmpl w:val="726862BC"/>
    <w:lvl w:ilvl="0" w:tentative="0">
      <w:start w:val="1"/>
      <w:numFmt w:val="lowerLetter"/>
      <w:lvlText w:val="%1)"/>
      <w:lvlJc w:val="left"/>
      <w:pPr>
        <w:ind w:left="78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9">
    <w:nsid w:val="74FD6CE7"/>
    <w:multiLevelType w:val="multilevel"/>
    <w:tmpl w:val="74FD6CE7"/>
    <w:lvl w:ilvl="0" w:tentative="0">
      <w:start w:val="1"/>
      <w:numFmt w:val="decimal"/>
      <w:lvlText w:val="(%1)"/>
      <w:lvlJc w:val="left"/>
      <w:pPr>
        <w:ind w:left="769" w:hanging="570"/>
      </w:pPr>
      <w:rPr>
        <w:rFonts w:hint="default"/>
      </w:rPr>
    </w:lvl>
    <w:lvl w:ilvl="1" w:tentative="0">
      <w:start w:val="1"/>
      <w:numFmt w:val="lowerLetter"/>
      <w:lvlText w:val="(%2)"/>
      <w:lvlJc w:val="left"/>
      <w:pPr>
        <w:ind w:left="1189" w:hanging="570"/>
      </w:pPr>
      <w:rPr>
        <w:rFonts w:hint="default"/>
      </w:rPr>
    </w:lvl>
    <w:lvl w:ilvl="2" w:tentative="0">
      <w:start w:val="1"/>
      <w:numFmt w:val="lowerRoman"/>
      <w:lvlText w:val="%3."/>
      <w:lvlJc w:val="right"/>
      <w:pPr>
        <w:ind w:left="1459" w:hanging="420"/>
      </w:pPr>
    </w:lvl>
    <w:lvl w:ilvl="3" w:tentative="0">
      <w:start w:val="1"/>
      <w:numFmt w:val="decimal"/>
      <w:lvlText w:val="%4."/>
      <w:lvlJc w:val="left"/>
      <w:pPr>
        <w:ind w:left="1879" w:hanging="420"/>
      </w:pPr>
    </w:lvl>
    <w:lvl w:ilvl="4" w:tentative="0">
      <w:start w:val="1"/>
      <w:numFmt w:val="lowerLetter"/>
      <w:lvlText w:val="%5)"/>
      <w:lvlJc w:val="left"/>
      <w:pPr>
        <w:ind w:left="2299" w:hanging="420"/>
      </w:pPr>
    </w:lvl>
    <w:lvl w:ilvl="5" w:tentative="0">
      <w:start w:val="1"/>
      <w:numFmt w:val="lowerRoman"/>
      <w:lvlText w:val="%6."/>
      <w:lvlJc w:val="right"/>
      <w:pPr>
        <w:ind w:left="2719" w:hanging="420"/>
      </w:pPr>
    </w:lvl>
    <w:lvl w:ilvl="6" w:tentative="0">
      <w:start w:val="1"/>
      <w:numFmt w:val="decimal"/>
      <w:lvlText w:val="%7."/>
      <w:lvlJc w:val="left"/>
      <w:pPr>
        <w:ind w:left="3139" w:hanging="420"/>
      </w:pPr>
    </w:lvl>
    <w:lvl w:ilvl="7" w:tentative="0">
      <w:start w:val="1"/>
      <w:numFmt w:val="lowerLetter"/>
      <w:lvlText w:val="%8)"/>
      <w:lvlJc w:val="left"/>
      <w:pPr>
        <w:ind w:left="3559" w:hanging="420"/>
      </w:pPr>
    </w:lvl>
    <w:lvl w:ilvl="8" w:tentative="0">
      <w:start w:val="1"/>
      <w:numFmt w:val="lowerRoman"/>
      <w:lvlText w:val="%9."/>
      <w:lvlJc w:val="right"/>
      <w:pPr>
        <w:ind w:left="3979" w:hanging="420"/>
      </w:pPr>
    </w:lvl>
  </w:abstractNum>
  <w:abstractNum w:abstractNumId="40">
    <w:nsid w:val="790E6672"/>
    <w:multiLevelType w:val="multilevel"/>
    <w:tmpl w:val="790E6672"/>
    <w:lvl w:ilvl="0" w:tentative="0">
      <w:start w:val="1"/>
      <w:numFmt w:val="lowerLetter"/>
      <w:lvlText w:val="%1)"/>
      <w:lvlJc w:val="left"/>
      <w:pPr>
        <w:tabs>
          <w:tab w:val="left" w:pos="780"/>
        </w:tabs>
        <w:ind w:left="780" w:hanging="360"/>
      </w:pPr>
      <w:rPr>
        <w:rFonts w:hint="default"/>
      </w:rPr>
    </w:lvl>
    <w:lvl w:ilvl="1" w:tentative="0">
      <w:start w:val="1"/>
      <w:numFmt w:val="lowerRoman"/>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1">
    <w:nsid w:val="7F4417F6"/>
    <w:multiLevelType w:val="multilevel"/>
    <w:tmpl w:val="7F4417F6"/>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42">
    <w:nsid w:val="7FC0408D"/>
    <w:multiLevelType w:val="multilevel"/>
    <w:tmpl w:val="7FC0408D"/>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33"/>
  </w:num>
  <w:num w:numId="2">
    <w:abstractNumId w:val="32"/>
  </w:num>
  <w:num w:numId="3">
    <w:abstractNumId w:val="21"/>
  </w:num>
  <w:num w:numId="4">
    <w:abstractNumId w:val="2"/>
  </w:num>
  <w:num w:numId="5">
    <w:abstractNumId w:val="26"/>
  </w:num>
  <w:num w:numId="6">
    <w:abstractNumId w:val="11"/>
  </w:num>
  <w:num w:numId="7">
    <w:abstractNumId w:val="5"/>
  </w:num>
  <w:num w:numId="8">
    <w:abstractNumId w:val="17"/>
  </w:num>
  <w:num w:numId="9">
    <w:abstractNumId w:val="4"/>
  </w:num>
  <w:num w:numId="10">
    <w:abstractNumId w:val="7"/>
  </w:num>
  <w:num w:numId="11">
    <w:abstractNumId w:val="18"/>
  </w:num>
  <w:num w:numId="12">
    <w:abstractNumId w:val="36"/>
  </w:num>
  <w:num w:numId="13">
    <w:abstractNumId w:val="31"/>
  </w:num>
  <w:num w:numId="14">
    <w:abstractNumId w:val="13"/>
  </w:num>
  <w:num w:numId="15">
    <w:abstractNumId w:val="1"/>
  </w:num>
  <w:num w:numId="16">
    <w:abstractNumId w:val="25"/>
  </w:num>
  <w:num w:numId="17">
    <w:abstractNumId w:val="9"/>
  </w:num>
  <w:num w:numId="18">
    <w:abstractNumId w:val="39"/>
  </w:num>
  <w:num w:numId="19">
    <w:abstractNumId w:val="40"/>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8"/>
  </w:num>
  <w:num w:numId="23">
    <w:abstractNumId w:val="19"/>
  </w:num>
  <w:num w:numId="24">
    <w:abstractNumId w:val="37"/>
  </w:num>
  <w:num w:numId="25">
    <w:abstractNumId w:val="14"/>
  </w:num>
  <w:num w:numId="26">
    <w:abstractNumId w:val="3"/>
  </w:num>
  <w:num w:numId="27">
    <w:abstractNumId w:val="12"/>
  </w:num>
  <w:num w:numId="28">
    <w:abstractNumId w:val="42"/>
  </w:num>
  <w:num w:numId="29">
    <w:abstractNumId w:val="10"/>
  </w:num>
  <w:num w:numId="30">
    <w:abstractNumId w:val="24"/>
  </w:num>
  <w:num w:numId="31">
    <w:abstractNumId w:val="0"/>
  </w:num>
  <w:num w:numId="32">
    <w:abstractNumId w:val="30"/>
  </w:num>
  <w:num w:numId="33">
    <w:abstractNumId w:val="6"/>
  </w:num>
  <w:num w:numId="34">
    <w:abstractNumId w:val="23"/>
  </w:num>
  <w:num w:numId="35">
    <w:abstractNumId w:val="41"/>
  </w:num>
  <w:num w:numId="36">
    <w:abstractNumId w:val="16"/>
  </w:num>
  <w:num w:numId="37">
    <w:abstractNumId w:val="34"/>
  </w:num>
  <w:num w:numId="38">
    <w:abstractNumId w:val="29"/>
  </w:num>
  <w:num w:numId="39">
    <w:abstractNumId w:val="20"/>
  </w:num>
  <w:num w:numId="40">
    <w:abstractNumId w:val="15"/>
  </w:num>
  <w:num w:numId="41">
    <w:abstractNumId w:val="38"/>
  </w:num>
  <w:num w:numId="42">
    <w:abstractNumId w:val="35"/>
  </w:num>
  <w:num w:numId="43">
    <w:abstractNumId w:val="22"/>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num>
  <w:num w:numId="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1"/>
  <w:bordersDoNotSurroundFooter w:val="1"/>
  <w:hideSpellingErrors/>
  <w:hideGrammaticalErrors/>
  <w:documentProtection w:enforcement="0"/>
  <w:defaultTabStop w:val="425"/>
  <w:drawingGridHorizontalSpacing w:val="105"/>
  <w:drawingGridVerticalSpacing w:val="285"/>
  <w:noPunctuationKerning w:val="1"/>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26E"/>
    <w:rsid w:val="00000967"/>
    <w:rsid w:val="00000AFF"/>
    <w:rsid w:val="00000FD5"/>
    <w:rsid w:val="00001378"/>
    <w:rsid w:val="00001726"/>
    <w:rsid w:val="00002B23"/>
    <w:rsid w:val="000040F8"/>
    <w:rsid w:val="00004A48"/>
    <w:rsid w:val="00004F0E"/>
    <w:rsid w:val="0000532B"/>
    <w:rsid w:val="00005A89"/>
    <w:rsid w:val="00005C86"/>
    <w:rsid w:val="00006DEE"/>
    <w:rsid w:val="0000725B"/>
    <w:rsid w:val="00010B3E"/>
    <w:rsid w:val="00010CEB"/>
    <w:rsid w:val="0001144C"/>
    <w:rsid w:val="0001147A"/>
    <w:rsid w:val="0001222E"/>
    <w:rsid w:val="000123A2"/>
    <w:rsid w:val="0001287E"/>
    <w:rsid w:val="00012A9E"/>
    <w:rsid w:val="00013DE2"/>
    <w:rsid w:val="000145BA"/>
    <w:rsid w:val="0001468F"/>
    <w:rsid w:val="00015CAB"/>
    <w:rsid w:val="00015E91"/>
    <w:rsid w:val="000170B9"/>
    <w:rsid w:val="00017536"/>
    <w:rsid w:val="00020E66"/>
    <w:rsid w:val="000213EB"/>
    <w:rsid w:val="00022027"/>
    <w:rsid w:val="000224AD"/>
    <w:rsid w:val="0002287B"/>
    <w:rsid w:val="00022DC6"/>
    <w:rsid w:val="00022F3E"/>
    <w:rsid w:val="00023503"/>
    <w:rsid w:val="0002452A"/>
    <w:rsid w:val="0002553E"/>
    <w:rsid w:val="000268A8"/>
    <w:rsid w:val="0002772B"/>
    <w:rsid w:val="0002777D"/>
    <w:rsid w:val="00030E1E"/>
    <w:rsid w:val="00031F66"/>
    <w:rsid w:val="0003206A"/>
    <w:rsid w:val="000347E9"/>
    <w:rsid w:val="00034D4C"/>
    <w:rsid w:val="0003560A"/>
    <w:rsid w:val="000358D3"/>
    <w:rsid w:val="000360CE"/>
    <w:rsid w:val="00036A65"/>
    <w:rsid w:val="00036FB9"/>
    <w:rsid w:val="00037CA0"/>
    <w:rsid w:val="00037D55"/>
    <w:rsid w:val="000409AF"/>
    <w:rsid w:val="00040BEA"/>
    <w:rsid w:val="00040E82"/>
    <w:rsid w:val="00041089"/>
    <w:rsid w:val="0004145E"/>
    <w:rsid w:val="00042894"/>
    <w:rsid w:val="000437CF"/>
    <w:rsid w:val="00043A5C"/>
    <w:rsid w:val="00043B33"/>
    <w:rsid w:val="00043CD6"/>
    <w:rsid w:val="0004470F"/>
    <w:rsid w:val="00044991"/>
    <w:rsid w:val="0004533F"/>
    <w:rsid w:val="000467D3"/>
    <w:rsid w:val="00046F2F"/>
    <w:rsid w:val="000471AB"/>
    <w:rsid w:val="000476E1"/>
    <w:rsid w:val="00047CD8"/>
    <w:rsid w:val="00050140"/>
    <w:rsid w:val="00050F7F"/>
    <w:rsid w:val="00051F04"/>
    <w:rsid w:val="00052788"/>
    <w:rsid w:val="00053296"/>
    <w:rsid w:val="00054370"/>
    <w:rsid w:val="000543FD"/>
    <w:rsid w:val="0005482F"/>
    <w:rsid w:val="000550F6"/>
    <w:rsid w:val="00056368"/>
    <w:rsid w:val="00056D33"/>
    <w:rsid w:val="0005784B"/>
    <w:rsid w:val="00057D4E"/>
    <w:rsid w:val="000620D5"/>
    <w:rsid w:val="00062D93"/>
    <w:rsid w:val="00063428"/>
    <w:rsid w:val="00063B05"/>
    <w:rsid w:val="000645B7"/>
    <w:rsid w:val="00065687"/>
    <w:rsid w:val="00065AF3"/>
    <w:rsid w:val="00065FCD"/>
    <w:rsid w:val="00066E58"/>
    <w:rsid w:val="000670FF"/>
    <w:rsid w:val="000672E7"/>
    <w:rsid w:val="00070983"/>
    <w:rsid w:val="00070A9F"/>
    <w:rsid w:val="00070BFD"/>
    <w:rsid w:val="0007175B"/>
    <w:rsid w:val="00071975"/>
    <w:rsid w:val="00072E13"/>
    <w:rsid w:val="00073AD0"/>
    <w:rsid w:val="00073B75"/>
    <w:rsid w:val="000745A3"/>
    <w:rsid w:val="000748DC"/>
    <w:rsid w:val="0007544B"/>
    <w:rsid w:val="0007578B"/>
    <w:rsid w:val="0007587F"/>
    <w:rsid w:val="00075C94"/>
    <w:rsid w:val="00075DB6"/>
    <w:rsid w:val="000765F3"/>
    <w:rsid w:val="000769F9"/>
    <w:rsid w:val="00076DE2"/>
    <w:rsid w:val="00076E32"/>
    <w:rsid w:val="0007768E"/>
    <w:rsid w:val="00077D8D"/>
    <w:rsid w:val="000801BE"/>
    <w:rsid w:val="000801C0"/>
    <w:rsid w:val="00080D5F"/>
    <w:rsid w:val="0008218C"/>
    <w:rsid w:val="00082CF3"/>
    <w:rsid w:val="00082EE2"/>
    <w:rsid w:val="00083586"/>
    <w:rsid w:val="00084412"/>
    <w:rsid w:val="0008463E"/>
    <w:rsid w:val="000847A4"/>
    <w:rsid w:val="0008508D"/>
    <w:rsid w:val="00085259"/>
    <w:rsid w:val="000858A3"/>
    <w:rsid w:val="00085D73"/>
    <w:rsid w:val="00086CD7"/>
    <w:rsid w:val="00086E64"/>
    <w:rsid w:val="00087173"/>
    <w:rsid w:val="000872E3"/>
    <w:rsid w:val="00087816"/>
    <w:rsid w:val="00087C3D"/>
    <w:rsid w:val="00090430"/>
    <w:rsid w:val="00091BAC"/>
    <w:rsid w:val="00091DA5"/>
    <w:rsid w:val="000922BF"/>
    <w:rsid w:val="000923E6"/>
    <w:rsid w:val="00092523"/>
    <w:rsid w:val="000928D3"/>
    <w:rsid w:val="00092A5A"/>
    <w:rsid w:val="00092D34"/>
    <w:rsid w:val="0009311C"/>
    <w:rsid w:val="000932A3"/>
    <w:rsid w:val="0009388A"/>
    <w:rsid w:val="00093B01"/>
    <w:rsid w:val="00094BA2"/>
    <w:rsid w:val="000951BA"/>
    <w:rsid w:val="00096016"/>
    <w:rsid w:val="00097FE2"/>
    <w:rsid w:val="000A009A"/>
    <w:rsid w:val="000A0125"/>
    <w:rsid w:val="000A0255"/>
    <w:rsid w:val="000A0758"/>
    <w:rsid w:val="000A18B8"/>
    <w:rsid w:val="000A1B82"/>
    <w:rsid w:val="000A1BA0"/>
    <w:rsid w:val="000A1D2B"/>
    <w:rsid w:val="000A2717"/>
    <w:rsid w:val="000A3E03"/>
    <w:rsid w:val="000A443A"/>
    <w:rsid w:val="000A4831"/>
    <w:rsid w:val="000A522B"/>
    <w:rsid w:val="000A5D88"/>
    <w:rsid w:val="000A60AF"/>
    <w:rsid w:val="000A63F6"/>
    <w:rsid w:val="000A64E0"/>
    <w:rsid w:val="000A7157"/>
    <w:rsid w:val="000A7D8C"/>
    <w:rsid w:val="000B1459"/>
    <w:rsid w:val="000B15E7"/>
    <w:rsid w:val="000B1776"/>
    <w:rsid w:val="000B1819"/>
    <w:rsid w:val="000B19F8"/>
    <w:rsid w:val="000B2843"/>
    <w:rsid w:val="000B2AC0"/>
    <w:rsid w:val="000B2B0A"/>
    <w:rsid w:val="000B379F"/>
    <w:rsid w:val="000B37DF"/>
    <w:rsid w:val="000B3BFD"/>
    <w:rsid w:val="000B49CA"/>
    <w:rsid w:val="000B5320"/>
    <w:rsid w:val="000B55D5"/>
    <w:rsid w:val="000B6E4B"/>
    <w:rsid w:val="000B7920"/>
    <w:rsid w:val="000C0703"/>
    <w:rsid w:val="000C0A8E"/>
    <w:rsid w:val="000C0CB6"/>
    <w:rsid w:val="000C0D53"/>
    <w:rsid w:val="000C0DCA"/>
    <w:rsid w:val="000C1038"/>
    <w:rsid w:val="000C1704"/>
    <w:rsid w:val="000C228B"/>
    <w:rsid w:val="000C2A62"/>
    <w:rsid w:val="000C2BBB"/>
    <w:rsid w:val="000C31B0"/>
    <w:rsid w:val="000C4A4C"/>
    <w:rsid w:val="000C57D3"/>
    <w:rsid w:val="000C66E9"/>
    <w:rsid w:val="000C6F0D"/>
    <w:rsid w:val="000C7128"/>
    <w:rsid w:val="000C7154"/>
    <w:rsid w:val="000C749B"/>
    <w:rsid w:val="000C7730"/>
    <w:rsid w:val="000D0318"/>
    <w:rsid w:val="000D090B"/>
    <w:rsid w:val="000D158B"/>
    <w:rsid w:val="000D20AE"/>
    <w:rsid w:val="000D24EA"/>
    <w:rsid w:val="000D278B"/>
    <w:rsid w:val="000D28FA"/>
    <w:rsid w:val="000D2D3E"/>
    <w:rsid w:val="000D387D"/>
    <w:rsid w:val="000D3A18"/>
    <w:rsid w:val="000D3AA9"/>
    <w:rsid w:val="000D3F15"/>
    <w:rsid w:val="000D4422"/>
    <w:rsid w:val="000D4C74"/>
    <w:rsid w:val="000D5305"/>
    <w:rsid w:val="000D5421"/>
    <w:rsid w:val="000D6E6C"/>
    <w:rsid w:val="000D73B3"/>
    <w:rsid w:val="000D76F4"/>
    <w:rsid w:val="000D7789"/>
    <w:rsid w:val="000D7A7F"/>
    <w:rsid w:val="000D7E80"/>
    <w:rsid w:val="000E14F2"/>
    <w:rsid w:val="000E3CCD"/>
    <w:rsid w:val="000E3EDB"/>
    <w:rsid w:val="000E420C"/>
    <w:rsid w:val="000E450B"/>
    <w:rsid w:val="000E576F"/>
    <w:rsid w:val="000E595B"/>
    <w:rsid w:val="000E5A2A"/>
    <w:rsid w:val="000E5A7D"/>
    <w:rsid w:val="000E5B18"/>
    <w:rsid w:val="000E60E1"/>
    <w:rsid w:val="000E62A3"/>
    <w:rsid w:val="000E695A"/>
    <w:rsid w:val="000E6A23"/>
    <w:rsid w:val="000E6AD7"/>
    <w:rsid w:val="000E7212"/>
    <w:rsid w:val="000E777C"/>
    <w:rsid w:val="000F0C01"/>
    <w:rsid w:val="000F1023"/>
    <w:rsid w:val="000F10D8"/>
    <w:rsid w:val="000F19C8"/>
    <w:rsid w:val="000F1BBB"/>
    <w:rsid w:val="000F1C30"/>
    <w:rsid w:val="000F1E08"/>
    <w:rsid w:val="000F22AA"/>
    <w:rsid w:val="000F2E6C"/>
    <w:rsid w:val="000F2ED4"/>
    <w:rsid w:val="000F33D4"/>
    <w:rsid w:val="000F3439"/>
    <w:rsid w:val="000F3820"/>
    <w:rsid w:val="000F3864"/>
    <w:rsid w:val="000F41C4"/>
    <w:rsid w:val="000F4F6D"/>
    <w:rsid w:val="000F5426"/>
    <w:rsid w:val="000F57AB"/>
    <w:rsid w:val="000F5AEF"/>
    <w:rsid w:val="000F6263"/>
    <w:rsid w:val="000F66EC"/>
    <w:rsid w:val="000F68A7"/>
    <w:rsid w:val="000F68BB"/>
    <w:rsid w:val="000F6AFB"/>
    <w:rsid w:val="000F6F5D"/>
    <w:rsid w:val="000F7BA9"/>
    <w:rsid w:val="00101114"/>
    <w:rsid w:val="00102ED7"/>
    <w:rsid w:val="00102FD5"/>
    <w:rsid w:val="001037A4"/>
    <w:rsid w:val="00103BDC"/>
    <w:rsid w:val="00103CA7"/>
    <w:rsid w:val="001043AC"/>
    <w:rsid w:val="0010450D"/>
    <w:rsid w:val="0010491F"/>
    <w:rsid w:val="00104BB3"/>
    <w:rsid w:val="00105AE6"/>
    <w:rsid w:val="00105D74"/>
    <w:rsid w:val="0010652C"/>
    <w:rsid w:val="001069E5"/>
    <w:rsid w:val="0010749B"/>
    <w:rsid w:val="00107A7D"/>
    <w:rsid w:val="0011004D"/>
    <w:rsid w:val="001101F7"/>
    <w:rsid w:val="001107A8"/>
    <w:rsid w:val="00110BBD"/>
    <w:rsid w:val="00111369"/>
    <w:rsid w:val="001115AD"/>
    <w:rsid w:val="001122E8"/>
    <w:rsid w:val="001131AA"/>
    <w:rsid w:val="0011385E"/>
    <w:rsid w:val="0011526C"/>
    <w:rsid w:val="001163B5"/>
    <w:rsid w:val="00116774"/>
    <w:rsid w:val="00117A6A"/>
    <w:rsid w:val="001206E3"/>
    <w:rsid w:val="00121926"/>
    <w:rsid w:val="001220B5"/>
    <w:rsid w:val="0012210A"/>
    <w:rsid w:val="00122489"/>
    <w:rsid w:val="00122DB7"/>
    <w:rsid w:val="00123302"/>
    <w:rsid w:val="00123A13"/>
    <w:rsid w:val="00124889"/>
    <w:rsid w:val="00124B6F"/>
    <w:rsid w:val="00124BB5"/>
    <w:rsid w:val="00124C93"/>
    <w:rsid w:val="001251F9"/>
    <w:rsid w:val="00125C0D"/>
    <w:rsid w:val="00125EF2"/>
    <w:rsid w:val="00125F72"/>
    <w:rsid w:val="00126261"/>
    <w:rsid w:val="001262FA"/>
    <w:rsid w:val="001265EA"/>
    <w:rsid w:val="00126B03"/>
    <w:rsid w:val="0012790D"/>
    <w:rsid w:val="00130261"/>
    <w:rsid w:val="00130528"/>
    <w:rsid w:val="00130985"/>
    <w:rsid w:val="00131606"/>
    <w:rsid w:val="001317C4"/>
    <w:rsid w:val="001319E6"/>
    <w:rsid w:val="0013240E"/>
    <w:rsid w:val="0013241F"/>
    <w:rsid w:val="00132494"/>
    <w:rsid w:val="0013290E"/>
    <w:rsid w:val="00133017"/>
    <w:rsid w:val="0013357F"/>
    <w:rsid w:val="00133902"/>
    <w:rsid w:val="00134528"/>
    <w:rsid w:val="00135304"/>
    <w:rsid w:val="001356F7"/>
    <w:rsid w:val="001358E2"/>
    <w:rsid w:val="001364C7"/>
    <w:rsid w:val="00136D3F"/>
    <w:rsid w:val="00136E00"/>
    <w:rsid w:val="00136F77"/>
    <w:rsid w:val="00136FC9"/>
    <w:rsid w:val="0014001B"/>
    <w:rsid w:val="001403FC"/>
    <w:rsid w:val="00140500"/>
    <w:rsid w:val="0014192B"/>
    <w:rsid w:val="00141FCE"/>
    <w:rsid w:val="00142670"/>
    <w:rsid w:val="0014298B"/>
    <w:rsid w:val="00142E7D"/>
    <w:rsid w:val="00143385"/>
    <w:rsid w:val="0014345C"/>
    <w:rsid w:val="001436EA"/>
    <w:rsid w:val="00143721"/>
    <w:rsid w:val="0014374D"/>
    <w:rsid w:val="00143AA9"/>
    <w:rsid w:val="00143BDE"/>
    <w:rsid w:val="00144B63"/>
    <w:rsid w:val="0014511A"/>
    <w:rsid w:val="001458C3"/>
    <w:rsid w:val="00145A53"/>
    <w:rsid w:val="00146996"/>
    <w:rsid w:val="00146C22"/>
    <w:rsid w:val="00147532"/>
    <w:rsid w:val="0015011E"/>
    <w:rsid w:val="00150FE5"/>
    <w:rsid w:val="00151248"/>
    <w:rsid w:val="00151968"/>
    <w:rsid w:val="00151977"/>
    <w:rsid w:val="00151A6B"/>
    <w:rsid w:val="00151E51"/>
    <w:rsid w:val="00153B1E"/>
    <w:rsid w:val="001541AB"/>
    <w:rsid w:val="00154321"/>
    <w:rsid w:val="00154371"/>
    <w:rsid w:val="001543D8"/>
    <w:rsid w:val="00154FBD"/>
    <w:rsid w:val="00156B95"/>
    <w:rsid w:val="00157524"/>
    <w:rsid w:val="001576B3"/>
    <w:rsid w:val="001609D4"/>
    <w:rsid w:val="00160F60"/>
    <w:rsid w:val="00160F85"/>
    <w:rsid w:val="00161308"/>
    <w:rsid w:val="00161863"/>
    <w:rsid w:val="001618F2"/>
    <w:rsid w:val="0016239F"/>
    <w:rsid w:val="00162EDA"/>
    <w:rsid w:val="00163039"/>
    <w:rsid w:val="00163B03"/>
    <w:rsid w:val="0016453A"/>
    <w:rsid w:val="00165B17"/>
    <w:rsid w:val="00166369"/>
    <w:rsid w:val="00166B60"/>
    <w:rsid w:val="00166FA9"/>
    <w:rsid w:val="0016711D"/>
    <w:rsid w:val="001671C5"/>
    <w:rsid w:val="00167951"/>
    <w:rsid w:val="00167EBB"/>
    <w:rsid w:val="00171678"/>
    <w:rsid w:val="001718A2"/>
    <w:rsid w:val="00171924"/>
    <w:rsid w:val="0017193D"/>
    <w:rsid w:val="001725CD"/>
    <w:rsid w:val="00173045"/>
    <w:rsid w:val="0017347C"/>
    <w:rsid w:val="00173533"/>
    <w:rsid w:val="00174229"/>
    <w:rsid w:val="0017457C"/>
    <w:rsid w:val="00174FF4"/>
    <w:rsid w:val="00175D8B"/>
    <w:rsid w:val="00175D8E"/>
    <w:rsid w:val="0017650A"/>
    <w:rsid w:val="00176896"/>
    <w:rsid w:val="00177D6A"/>
    <w:rsid w:val="00177F11"/>
    <w:rsid w:val="00180509"/>
    <w:rsid w:val="00181DAC"/>
    <w:rsid w:val="001820FE"/>
    <w:rsid w:val="00183495"/>
    <w:rsid w:val="00184428"/>
    <w:rsid w:val="00184F09"/>
    <w:rsid w:val="00185345"/>
    <w:rsid w:val="00185BDD"/>
    <w:rsid w:val="00185C22"/>
    <w:rsid w:val="00185FA9"/>
    <w:rsid w:val="0018612F"/>
    <w:rsid w:val="0018654A"/>
    <w:rsid w:val="00186EC3"/>
    <w:rsid w:val="00186FE0"/>
    <w:rsid w:val="001870AE"/>
    <w:rsid w:val="00190243"/>
    <w:rsid w:val="0019098D"/>
    <w:rsid w:val="00191009"/>
    <w:rsid w:val="001919B7"/>
    <w:rsid w:val="00193104"/>
    <w:rsid w:val="001939BB"/>
    <w:rsid w:val="0019471F"/>
    <w:rsid w:val="001952D6"/>
    <w:rsid w:val="00195739"/>
    <w:rsid w:val="00195834"/>
    <w:rsid w:val="00195AFD"/>
    <w:rsid w:val="00195E1A"/>
    <w:rsid w:val="00195E83"/>
    <w:rsid w:val="00195FE4"/>
    <w:rsid w:val="001965EE"/>
    <w:rsid w:val="0019691C"/>
    <w:rsid w:val="00196E5A"/>
    <w:rsid w:val="00196F35"/>
    <w:rsid w:val="001971EA"/>
    <w:rsid w:val="001976DA"/>
    <w:rsid w:val="00197C60"/>
    <w:rsid w:val="001A05B9"/>
    <w:rsid w:val="001A0E0E"/>
    <w:rsid w:val="001A2B40"/>
    <w:rsid w:val="001A32E9"/>
    <w:rsid w:val="001A36B3"/>
    <w:rsid w:val="001A380C"/>
    <w:rsid w:val="001A3E7F"/>
    <w:rsid w:val="001A4387"/>
    <w:rsid w:val="001A4708"/>
    <w:rsid w:val="001A4955"/>
    <w:rsid w:val="001A515E"/>
    <w:rsid w:val="001A570C"/>
    <w:rsid w:val="001A5F41"/>
    <w:rsid w:val="001A5F76"/>
    <w:rsid w:val="001A6A78"/>
    <w:rsid w:val="001A6B6F"/>
    <w:rsid w:val="001A7418"/>
    <w:rsid w:val="001B0B0A"/>
    <w:rsid w:val="001B0CCA"/>
    <w:rsid w:val="001B1323"/>
    <w:rsid w:val="001B149B"/>
    <w:rsid w:val="001B1F08"/>
    <w:rsid w:val="001B2107"/>
    <w:rsid w:val="001B2580"/>
    <w:rsid w:val="001B25A7"/>
    <w:rsid w:val="001B2EA8"/>
    <w:rsid w:val="001B325A"/>
    <w:rsid w:val="001B4759"/>
    <w:rsid w:val="001B48EA"/>
    <w:rsid w:val="001B4F68"/>
    <w:rsid w:val="001B5146"/>
    <w:rsid w:val="001B5644"/>
    <w:rsid w:val="001B56AC"/>
    <w:rsid w:val="001B6691"/>
    <w:rsid w:val="001B69FD"/>
    <w:rsid w:val="001B6B7E"/>
    <w:rsid w:val="001B6EB2"/>
    <w:rsid w:val="001B6F94"/>
    <w:rsid w:val="001B70BE"/>
    <w:rsid w:val="001B74C0"/>
    <w:rsid w:val="001B79EE"/>
    <w:rsid w:val="001B7C66"/>
    <w:rsid w:val="001C0A91"/>
    <w:rsid w:val="001C0EF4"/>
    <w:rsid w:val="001C151B"/>
    <w:rsid w:val="001C1B23"/>
    <w:rsid w:val="001C1CD3"/>
    <w:rsid w:val="001C2024"/>
    <w:rsid w:val="001C3188"/>
    <w:rsid w:val="001C35F7"/>
    <w:rsid w:val="001C41A6"/>
    <w:rsid w:val="001C4473"/>
    <w:rsid w:val="001C4578"/>
    <w:rsid w:val="001C6912"/>
    <w:rsid w:val="001C6CB3"/>
    <w:rsid w:val="001C7AF6"/>
    <w:rsid w:val="001C7BA0"/>
    <w:rsid w:val="001C7C51"/>
    <w:rsid w:val="001D07A1"/>
    <w:rsid w:val="001D0865"/>
    <w:rsid w:val="001D0F48"/>
    <w:rsid w:val="001D1581"/>
    <w:rsid w:val="001D1B1B"/>
    <w:rsid w:val="001D215A"/>
    <w:rsid w:val="001D2954"/>
    <w:rsid w:val="001D2D5B"/>
    <w:rsid w:val="001D307A"/>
    <w:rsid w:val="001D37C9"/>
    <w:rsid w:val="001D3A04"/>
    <w:rsid w:val="001D3DC4"/>
    <w:rsid w:val="001D4617"/>
    <w:rsid w:val="001D52B4"/>
    <w:rsid w:val="001D5A50"/>
    <w:rsid w:val="001D5A61"/>
    <w:rsid w:val="001D62F6"/>
    <w:rsid w:val="001D67AB"/>
    <w:rsid w:val="001D682B"/>
    <w:rsid w:val="001D7097"/>
    <w:rsid w:val="001D715C"/>
    <w:rsid w:val="001D72B9"/>
    <w:rsid w:val="001D7455"/>
    <w:rsid w:val="001D7B4B"/>
    <w:rsid w:val="001D7C06"/>
    <w:rsid w:val="001E00B8"/>
    <w:rsid w:val="001E0845"/>
    <w:rsid w:val="001E0B3D"/>
    <w:rsid w:val="001E14D0"/>
    <w:rsid w:val="001E1C30"/>
    <w:rsid w:val="001E1DB0"/>
    <w:rsid w:val="001E28C6"/>
    <w:rsid w:val="001E3054"/>
    <w:rsid w:val="001E39CE"/>
    <w:rsid w:val="001E4177"/>
    <w:rsid w:val="001E4608"/>
    <w:rsid w:val="001E509C"/>
    <w:rsid w:val="001E52CE"/>
    <w:rsid w:val="001E5330"/>
    <w:rsid w:val="001E54C0"/>
    <w:rsid w:val="001E56BA"/>
    <w:rsid w:val="001E6549"/>
    <w:rsid w:val="001E68B9"/>
    <w:rsid w:val="001E6EBE"/>
    <w:rsid w:val="001E7362"/>
    <w:rsid w:val="001F1332"/>
    <w:rsid w:val="001F1AF4"/>
    <w:rsid w:val="001F21FC"/>
    <w:rsid w:val="001F2445"/>
    <w:rsid w:val="001F4060"/>
    <w:rsid w:val="001F46D4"/>
    <w:rsid w:val="001F4B8C"/>
    <w:rsid w:val="001F52A8"/>
    <w:rsid w:val="001F5B3D"/>
    <w:rsid w:val="001F5C87"/>
    <w:rsid w:val="001F61DB"/>
    <w:rsid w:val="001F648A"/>
    <w:rsid w:val="001F6773"/>
    <w:rsid w:val="001F6FD4"/>
    <w:rsid w:val="001F7BD2"/>
    <w:rsid w:val="001F7CB0"/>
    <w:rsid w:val="00200303"/>
    <w:rsid w:val="002005BB"/>
    <w:rsid w:val="002012EF"/>
    <w:rsid w:val="0020179E"/>
    <w:rsid w:val="00201BFF"/>
    <w:rsid w:val="00202E27"/>
    <w:rsid w:val="00204AB9"/>
    <w:rsid w:val="00204EDA"/>
    <w:rsid w:val="00205258"/>
    <w:rsid w:val="0020563D"/>
    <w:rsid w:val="00205A1D"/>
    <w:rsid w:val="00205D6A"/>
    <w:rsid w:val="0020673B"/>
    <w:rsid w:val="00206BCF"/>
    <w:rsid w:val="00207603"/>
    <w:rsid w:val="0020772F"/>
    <w:rsid w:val="00207A1F"/>
    <w:rsid w:val="00207B0C"/>
    <w:rsid w:val="002115FA"/>
    <w:rsid w:val="00211719"/>
    <w:rsid w:val="00212E0F"/>
    <w:rsid w:val="00213C50"/>
    <w:rsid w:val="00213EFE"/>
    <w:rsid w:val="00214351"/>
    <w:rsid w:val="002156EF"/>
    <w:rsid w:val="00215EF3"/>
    <w:rsid w:val="00216223"/>
    <w:rsid w:val="002166F6"/>
    <w:rsid w:val="00216B79"/>
    <w:rsid w:val="002170D0"/>
    <w:rsid w:val="002173EA"/>
    <w:rsid w:val="00220898"/>
    <w:rsid w:val="00220BAB"/>
    <w:rsid w:val="002215FB"/>
    <w:rsid w:val="00221C10"/>
    <w:rsid w:val="00221EFB"/>
    <w:rsid w:val="00221F8A"/>
    <w:rsid w:val="00222200"/>
    <w:rsid w:val="002227DC"/>
    <w:rsid w:val="00222933"/>
    <w:rsid w:val="00222CF9"/>
    <w:rsid w:val="002235C8"/>
    <w:rsid w:val="00223C4F"/>
    <w:rsid w:val="0022400E"/>
    <w:rsid w:val="00224235"/>
    <w:rsid w:val="00224E90"/>
    <w:rsid w:val="00225BD7"/>
    <w:rsid w:val="00225C74"/>
    <w:rsid w:val="00225CF2"/>
    <w:rsid w:val="00226332"/>
    <w:rsid w:val="00226D73"/>
    <w:rsid w:val="00227109"/>
    <w:rsid w:val="00227B8D"/>
    <w:rsid w:val="00227E87"/>
    <w:rsid w:val="00230030"/>
    <w:rsid w:val="002303C6"/>
    <w:rsid w:val="002305F3"/>
    <w:rsid w:val="00231B7F"/>
    <w:rsid w:val="00231D49"/>
    <w:rsid w:val="00231EE7"/>
    <w:rsid w:val="0023285A"/>
    <w:rsid w:val="00233E45"/>
    <w:rsid w:val="00233F0F"/>
    <w:rsid w:val="00234901"/>
    <w:rsid w:val="00234CA7"/>
    <w:rsid w:val="00234EF3"/>
    <w:rsid w:val="002351D3"/>
    <w:rsid w:val="00235F8E"/>
    <w:rsid w:val="002365A8"/>
    <w:rsid w:val="00236774"/>
    <w:rsid w:val="002372CD"/>
    <w:rsid w:val="00240015"/>
    <w:rsid w:val="002400A1"/>
    <w:rsid w:val="002403B9"/>
    <w:rsid w:val="0024067B"/>
    <w:rsid w:val="00240C78"/>
    <w:rsid w:val="002412AA"/>
    <w:rsid w:val="00241890"/>
    <w:rsid w:val="00241EA6"/>
    <w:rsid w:val="0024264E"/>
    <w:rsid w:val="00242CB8"/>
    <w:rsid w:val="00244E33"/>
    <w:rsid w:val="00245230"/>
    <w:rsid w:val="00245284"/>
    <w:rsid w:val="002452AA"/>
    <w:rsid w:val="00245F83"/>
    <w:rsid w:val="00246055"/>
    <w:rsid w:val="00246D6C"/>
    <w:rsid w:val="0024749F"/>
    <w:rsid w:val="00247DD6"/>
    <w:rsid w:val="00247EBD"/>
    <w:rsid w:val="00250241"/>
    <w:rsid w:val="00250F60"/>
    <w:rsid w:val="0025196B"/>
    <w:rsid w:val="00251F7A"/>
    <w:rsid w:val="00252037"/>
    <w:rsid w:val="002523F9"/>
    <w:rsid w:val="00252AE9"/>
    <w:rsid w:val="00252AFB"/>
    <w:rsid w:val="00252B7D"/>
    <w:rsid w:val="00252F72"/>
    <w:rsid w:val="002533C0"/>
    <w:rsid w:val="00253A01"/>
    <w:rsid w:val="0025510A"/>
    <w:rsid w:val="002556A6"/>
    <w:rsid w:val="0025619E"/>
    <w:rsid w:val="0025645A"/>
    <w:rsid w:val="0025676D"/>
    <w:rsid w:val="00256B27"/>
    <w:rsid w:val="00256D17"/>
    <w:rsid w:val="00257285"/>
    <w:rsid w:val="00257E05"/>
    <w:rsid w:val="002605D7"/>
    <w:rsid w:val="0026288E"/>
    <w:rsid w:val="00262E9B"/>
    <w:rsid w:val="002630AA"/>
    <w:rsid w:val="002634CC"/>
    <w:rsid w:val="00263B3C"/>
    <w:rsid w:val="00263BEE"/>
    <w:rsid w:val="00263E39"/>
    <w:rsid w:val="002642AD"/>
    <w:rsid w:val="00265076"/>
    <w:rsid w:val="002650B9"/>
    <w:rsid w:val="0026517A"/>
    <w:rsid w:val="0026522A"/>
    <w:rsid w:val="00265FE1"/>
    <w:rsid w:val="002666CF"/>
    <w:rsid w:val="00266767"/>
    <w:rsid w:val="0026735B"/>
    <w:rsid w:val="002679FB"/>
    <w:rsid w:val="00267C3C"/>
    <w:rsid w:val="002700F9"/>
    <w:rsid w:val="0027017A"/>
    <w:rsid w:val="00270E3D"/>
    <w:rsid w:val="0027141E"/>
    <w:rsid w:val="0027191B"/>
    <w:rsid w:val="00271BBA"/>
    <w:rsid w:val="00272717"/>
    <w:rsid w:val="00272785"/>
    <w:rsid w:val="00272D90"/>
    <w:rsid w:val="00273046"/>
    <w:rsid w:val="002738DB"/>
    <w:rsid w:val="0027406A"/>
    <w:rsid w:val="0027492B"/>
    <w:rsid w:val="00275333"/>
    <w:rsid w:val="002754F8"/>
    <w:rsid w:val="00275BD9"/>
    <w:rsid w:val="00275CBA"/>
    <w:rsid w:val="00276130"/>
    <w:rsid w:val="002762F5"/>
    <w:rsid w:val="00276310"/>
    <w:rsid w:val="0027667D"/>
    <w:rsid w:val="00276C9E"/>
    <w:rsid w:val="00277545"/>
    <w:rsid w:val="002775E5"/>
    <w:rsid w:val="0028199A"/>
    <w:rsid w:val="0028279A"/>
    <w:rsid w:val="00282BFB"/>
    <w:rsid w:val="00283106"/>
    <w:rsid w:val="0028325F"/>
    <w:rsid w:val="00285A98"/>
    <w:rsid w:val="00285B59"/>
    <w:rsid w:val="00286625"/>
    <w:rsid w:val="00286D78"/>
    <w:rsid w:val="00286FC7"/>
    <w:rsid w:val="0029009B"/>
    <w:rsid w:val="00290362"/>
    <w:rsid w:val="002908D9"/>
    <w:rsid w:val="00290D07"/>
    <w:rsid w:val="0029135F"/>
    <w:rsid w:val="002915C7"/>
    <w:rsid w:val="00291C40"/>
    <w:rsid w:val="00292458"/>
    <w:rsid w:val="00292814"/>
    <w:rsid w:val="002928B4"/>
    <w:rsid w:val="00292C47"/>
    <w:rsid w:val="00293486"/>
    <w:rsid w:val="00293917"/>
    <w:rsid w:val="00294A1F"/>
    <w:rsid w:val="00294B25"/>
    <w:rsid w:val="00295AA0"/>
    <w:rsid w:val="00296020"/>
    <w:rsid w:val="0029616A"/>
    <w:rsid w:val="002961B9"/>
    <w:rsid w:val="00296743"/>
    <w:rsid w:val="00296BB9"/>
    <w:rsid w:val="00296C5C"/>
    <w:rsid w:val="00297E23"/>
    <w:rsid w:val="002A07C3"/>
    <w:rsid w:val="002A0A66"/>
    <w:rsid w:val="002A0CB1"/>
    <w:rsid w:val="002A1341"/>
    <w:rsid w:val="002A29AD"/>
    <w:rsid w:val="002A2D3F"/>
    <w:rsid w:val="002A2E2C"/>
    <w:rsid w:val="002A2EF1"/>
    <w:rsid w:val="002A386E"/>
    <w:rsid w:val="002A3EAC"/>
    <w:rsid w:val="002A45CF"/>
    <w:rsid w:val="002A566B"/>
    <w:rsid w:val="002A5C84"/>
    <w:rsid w:val="002A5ED5"/>
    <w:rsid w:val="002A619C"/>
    <w:rsid w:val="002A6606"/>
    <w:rsid w:val="002A687A"/>
    <w:rsid w:val="002A6A83"/>
    <w:rsid w:val="002A7FAE"/>
    <w:rsid w:val="002B04DF"/>
    <w:rsid w:val="002B0736"/>
    <w:rsid w:val="002B1095"/>
    <w:rsid w:val="002B16A9"/>
    <w:rsid w:val="002B202F"/>
    <w:rsid w:val="002B273D"/>
    <w:rsid w:val="002B2DE8"/>
    <w:rsid w:val="002B2E9A"/>
    <w:rsid w:val="002B37CD"/>
    <w:rsid w:val="002B3EB0"/>
    <w:rsid w:val="002B3F2B"/>
    <w:rsid w:val="002B4A0C"/>
    <w:rsid w:val="002B4ED2"/>
    <w:rsid w:val="002B528E"/>
    <w:rsid w:val="002B59E0"/>
    <w:rsid w:val="002B5C10"/>
    <w:rsid w:val="002B6BE9"/>
    <w:rsid w:val="002B7656"/>
    <w:rsid w:val="002C02C1"/>
    <w:rsid w:val="002C06C1"/>
    <w:rsid w:val="002C07C0"/>
    <w:rsid w:val="002C089E"/>
    <w:rsid w:val="002C134F"/>
    <w:rsid w:val="002C147E"/>
    <w:rsid w:val="002C1A7F"/>
    <w:rsid w:val="002C28BD"/>
    <w:rsid w:val="002C2B05"/>
    <w:rsid w:val="002C2EAF"/>
    <w:rsid w:val="002C30B5"/>
    <w:rsid w:val="002C3369"/>
    <w:rsid w:val="002C3E02"/>
    <w:rsid w:val="002C4006"/>
    <w:rsid w:val="002C4BAA"/>
    <w:rsid w:val="002C4E61"/>
    <w:rsid w:val="002C5995"/>
    <w:rsid w:val="002C5BA5"/>
    <w:rsid w:val="002C5BBB"/>
    <w:rsid w:val="002C63DF"/>
    <w:rsid w:val="002C64A9"/>
    <w:rsid w:val="002C6850"/>
    <w:rsid w:val="002C6DD4"/>
    <w:rsid w:val="002C6F9A"/>
    <w:rsid w:val="002C7536"/>
    <w:rsid w:val="002D0D76"/>
    <w:rsid w:val="002D10F3"/>
    <w:rsid w:val="002D1A38"/>
    <w:rsid w:val="002D2844"/>
    <w:rsid w:val="002D339B"/>
    <w:rsid w:val="002D375F"/>
    <w:rsid w:val="002D37D7"/>
    <w:rsid w:val="002D3AE3"/>
    <w:rsid w:val="002D3FF3"/>
    <w:rsid w:val="002D43DB"/>
    <w:rsid w:val="002D6157"/>
    <w:rsid w:val="002D6813"/>
    <w:rsid w:val="002D7130"/>
    <w:rsid w:val="002D7275"/>
    <w:rsid w:val="002D7BEA"/>
    <w:rsid w:val="002D7CBC"/>
    <w:rsid w:val="002E0654"/>
    <w:rsid w:val="002E119C"/>
    <w:rsid w:val="002E1F34"/>
    <w:rsid w:val="002E1FB8"/>
    <w:rsid w:val="002E238A"/>
    <w:rsid w:val="002E325E"/>
    <w:rsid w:val="002E3565"/>
    <w:rsid w:val="002E3C35"/>
    <w:rsid w:val="002E584C"/>
    <w:rsid w:val="002E63C9"/>
    <w:rsid w:val="002E6A64"/>
    <w:rsid w:val="002E6D9E"/>
    <w:rsid w:val="002E70AB"/>
    <w:rsid w:val="002F0403"/>
    <w:rsid w:val="002F2ACA"/>
    <w:rsid w:val="002F33DF"/>
    <w:rsid w:val="002F3956"/>
    <w:rsid w:val="002F461E"/>
    <w:rsid w:val="002F4EF3"/>
    <w:rsid w:val="002F53FC"/>
    <w:rsid w:val="002F5561"/>
    <w:rsid w:val="002F60D7"/>
    <w:rsid w:val="002F636E"/>
    <w:rsid w:val="002F7A37"/>
    <w:rsid w:val="00300B0D"/>
    <w:rsid w:val="00300D01"/>
    <w:rsid w:val="00300F00"/>
    <w:rsid w:val="00301496"/>
    <w:rsid w:val="00301A2A"/>
    <w:rsid w:val="00302493"/>
    <w:rsid w:val="00302FC3"/>
    <w:rsid w:val="00303015"/>
    <w:rsid w:val="003031CD"/>
    <w:rsid w:val="00303835"/>
    <w:rsid w:val="00303B9D"/>
    <w:rsid w:val="00304A76"/>
    <w:rsid w:val="00304BB5"/>
    <w:rsid w:val="00304C19"/>
    <w:rsid w:val="00305412"/>
    <w:rsid w:val="00305830"/>
    <w:rsid w:val="00306B69"/>
    <w:rsid w:val="00306E4B"/>
    <w:rsid w:val="0031089D"/>
    <w:rsid w:val="00310AEA"/>
    <w:rsid w:val="003124CA"/>
    <w:rsid w:val="003130EC"/>
    <w:rsid w:val="00313745"/>
    <w:rsid w:val="00313764"/>
    <w:rsid w:val="00313A9B"/>
    <w:rsid w:val="00313F98"/>
    <w:rsid w:val="0031455A"/>
    <w:rsid w:val="00314627"/>
    <w:rsid w:val="003146BE"/>
    <w:rsid w:val="00314B67"/>
    <w:rsid w:val="00315555"/>
    <w:rsid w:val="00315E20"/>
    <w:rsid w:val="00316ADE"/>
    <w:rsid w:val="00316F4B"/>
    <w:rsid w:val="00316FF4"/>
    <w:rsid w:val="00317A16"/>
    <w:rsid w:val="00320041"/>
    <w:rsid w:val="00320999"/>
    <w:rsid w:val="00320EB1"/>
    <w:rsid w:val="00321199"/>
    <w:rsid w:val="00321B12"/>
    <w:rsid w:val="00321B80"/>
    <w:rsid w:val="00321E06"/>
    <w:rsid w:val="003220DB"/>
    <w:rsid w:val="003232BD"/>
    <w:rsid w:val="003236AD"/>
    <w:rsid w:val="003236CB"/>
    <w:rsid w:val="00323E90"/>
    <w:rsid w:val="0032444E"/>
    <w:rsid w:val="0032510B"/>
    <w:rsid w:val="00325AAD"/>
    <w:rsid w:val="003265DC"/>
    <w:rsid w:val="0032736A"/>
    <w:rsid w:val="003276CE"/>
    <w:rsid w:val="00330457"/>
    <w:rsid w:val="00330B83"/>
    <w:rsid w:val="00331970"/>
    <w:rsid w:val="00332009"/>
    <w:rsid w:val="003325F8"/>
    <w:rsid w:val="00332CF3"/>
    <w:rsid w:val="00333249"/>
    <w:rsid w:val="00333918"/>
    <w:rsid w:val="00333BD4"/>
    <w:rsid w:val="00334070"/>
    <w:rsid w:val="00334BA3"/>
    <w:rsid w:val="0033511D"/>
    <w:rsid w:val="0033513E"/>
    <w:rsid w:val="0033569B"/>
    <w:rsid w:val="00335C40"/>
    <w:rsid w:val="00335DE3"/>
    <w:rsid w:val="003365C5"/>
    <w:rsid w:val="00336DD8"/>
    <w:rsid w:val="00336E7B"/>
    <w:rsid w:val="00336FB1"/>
    <w:rsid w:val="0033713C"/>
    <w:rsid w:val="00337783"/>
    <w:rsid w:val="003379D5"/>
    <w:rsid w:val="00341757"/>
    <w:rsid w:val="00342193"/>
    <w:rsid w:val="0034262E"/>
    <w:rsid w:val="003440FD"/>
    <w:rsid w:val="00344261"/>
    <w:rsid w:val="0034501B"/>
    <w:rsid w:val="00347179"/>
    <w:rsid w:val="00347D5A"/>
    <w:rsid w:val="00350A69"/>
    <w:rsid w:val="00350DA9"/>
    <w:rsid w:val="00351C0B"/>
    <w:rsid w:val="00351DD6"/>
    <w:rsid w:val="00352DF2"/>
    <w:rsid w:val="003530E7"/>
    <w:rsid w:val="003539B6"/>
    <w:rsid w:val="003541CF"/>
    <w:rsid w:val="0035554F"/>
    <w:rsid w:val="00355818"/>
    <w:rsid w:val="00355AB3"/>
    <w:rsid w:val="003565EF"/>
    <w:rsid w:val="00356C5F"/>
    <w:rsid w:val="00356C6E"/>
    <w:rsid w:val="00356F15"/>
    <w:rsid w:val="00357870"/>
    <w:rsid w:val="00357ADF"/>
    <w:rsid w:val="00357E05"/>
    <w:rsid w:val="00360E40"/>
    <w:rsid w:val="00360FD2"/>
    <w:rsid w:val="0036138F"/>
    <w:rsid w:val="00362FF0"/>
    <w:rsid w:val="0036314D"/>
    <w:rsid w:val="00363AF0"/>
    <w:rsid w:val="00363F0F"/>
    <w:rsid w:val="0036416C"/>
    <w:rsid w:val="0036446E"/>
    <w:rsid w:val="00364666"/>
    <w:rsid w:val="00364822"/>
    <w:rsid w:val="00365049"/>
    <w:rsid w:val="003655FF"/>
    <w:rsid w:val="00365DF8"/>
    <w:rsid w:val="003662E3"/>
    <w:rsid w:val="00366498"/>
    <w:rsid w:val="0036685D"/>
    <w:rsid w:val="00366C5A"/>
    <w:rsid w:val="0037003E"/>
    <w:rsid w:val="00370613"/>
    <w:rsid w:val="003709B8"/>
    <w:rsid w:val="00371C4D"/>
    <w:rsid w:val="00371C98"/>
    <w:rsid w:val="003725E3"/>
    <w:rsid w:val="00372D2E"/>
    <w:rsid w:val="00373C92"/>
    <w:rsid w:val="00374A23"/>
    <w:rsid w:val="00374DF1"/>
    <w:rsid w:val="003758AF"/>
    <w:rsid w:val="00376414"/>
    <w:rsid w:val="003765F1"/>
    <w:rsid w:val="00377B25"/>
    <w:rsid w:val="00377BDF"/>
    <w:rsid w:val="00380465"/>
    <w:rsid w:val="0038089F"/>
    <w:rsid w:val="003816E9"/>
    <w:rsid w:val="00381EC4"/>
    <w:rsid w:val="00382645"/>
    <w:rsid w:val="003833B4"/>
    <w:rsid w:val="00383414"/>
    <w:rsid w:val="003839DE"/>
    <w:rsid w:val="00383A28"/>
    <w:rsid w:val="00385339"/>
    <w:rsid w:val="00385542"/>
    <w:rsid w:val="0038567C"/>
    <w:rsid w:val="00385A9C"/>
    <w:rsid w:val="00386192"/>
    <w:rsid w:val="003861A3"/>
    <w:rsid w:val="00386751"/>
    <w:rsid w:val="00387B12"/>
    <w:rsid w:val="003907BD"/>
    <w:rsid w:val="0039086B"/>
    <w:rsid w:val="003911B6"/>
    <w:rsid w:val="00391A64"/>
    <w:rsid w:val="00391EE1"/>
    <w:rsid w:val="0039245F"/>
    <w:rsid w:val="00392B36"/>
    <w:rsid w:val="00392B39"/>
    <w:rsid w:val="00393A7A"/>
    <w:rsid w:val="00394555"/>
    <w:rsid w:val="00394AB9"/>
    <w:rsid w:val="00394B87"/>
    <w:rsid w:val="00394CE1"/>
    <w:rsid w:val="003951EA"/>
    <w:rsid w:val="0039553E"/>
    <w:rsid w:val="00396CFF"/>
    <w:rsid w:val="00396D16"/>
    <w:rsid w:val="0039772D"/>
    <w:rsid w:val="003A0075"/>
    <w:rsid w:val="003A00E6"/>
    <w:rsid w:val="003A07A9"/>
    <w:rsid w:val="003A10FE"/>
    <w:rsid w:val="003A12C2"/>
    <w:rsid w:val="003A1719"/>
    <w:rsid w:val="003A17AE"/>
    <w:rsid w:val="003A19D5"/>
    <w:rsid w:val="003A1DF4"/>
    <w:rsid w:val="003A2081"/>
    <w:rsid w:val="003A2376"/>
    <w:rsid w:val="003A23FF"/>
    <w:rsid w:val="003A30C2"/>
    <w:rsid w:val="003A32B5"/>
    <w:rsid w:val="003A35AC"/>
    <w:rsid w:val="003A3E49"/>
    <w:rsid w:val="003A431F"/>
    <w:rsid w:val="003A480C"/>
    <w:rsid w:val="003A555A"/>
    <w:rsid w:val="003A55F8"/>
    <w:rsid w:val="003A59DB"/>
    <w:rsid w:val="003A6E82"/>
    <w:rsid w:val="003B0614"/>
    <w:rsid w:val="003B082D"/>
    <w:rsid w:val="003B1127"/>
    <w:rsid w:val="003B1676"/>
    <w:rsid w:val="003B17BD"/>
    <w:rsid w:val="003B240B"/>
    <w:rsid w:val="003B2837"/>
    <w:rsid w:val="003B28D8"/>
    <w:rsid w:val="003B2AA2"/>
    <w:rsid w:val="003B4F53"/>
    <w:rsid w:val="003B5CC1"/>
    <w:rsid w:val="003B641E"/>
    <w:rsid w:val="003B6CFC"/>
    <w:rsid w:val="003B6E66"/>
    <w:rsid w:val="003B7CB5"/>
    <w:rsid w:val="003B7F38"/>
    <w:rsid w:val="003C0297"/>
    <w:rsid w:val="003C03B3"/>
    <w:rsid w:val="003C0669"/>
    <w:rsid w:val="003C095D"/>
    <w:rsid w:val="003C18A7"/>
    <w:rsid w:val="003C2768"/>
    <w:rsid w:val="003C2B58"/>
    <w:rsid w:val="003C2BFC"/>
    <w:rsid w:val="003C2D61"/>
    <w:rsid w:val="003C3690"/>
    <w:rsid w:val="003C4B28"/>
    <w:rsid w:val="003C528B"/>
    <w:rsid w:val="003C580B"/>
    <w:rsid w:val="003C61A7"/>
    <w:rsid w:val="003C630C"/>
    <w:rsid w:val="003C63FF"/>
    <w:rsid w:val="003C6550"/>
    <w:rsid w:val="003C6B75"/>
    <w:rsid w:val="003C7DAB"/>
    <w:rsid w:val="003D0C38"/>
    <w:rsid w:val="003D158B"/>
    <w:rsid w:val="003D194B"/>
    <w:rsid w:val="003D2065"/>
    <w:rsid w:val="003D223A"/>
    <w:rsid w:val="003D285D"/>
    <w:rsid w:val="003D37F9"/>
    <w:rsid w:val="003D3EFE"/>
    <w:rsid w:val="003D4F6E"/>
    <w:rsid w:val="003D4F8B"/>
    <w:rsid w:val="003D5D39"/>
    <w:rsid w:val="003D5F2C"/>
    <w:rsid w:val="003D6758"/>
    <w:rsid w:val="003D6F3B"/>
    <w:rsid w:val="003D766C"/>
    <w:rsid w:val="003D7893"/>
    <w:rsid w:val="003E0F50"/>
    <w:rsid w:val="003E2ED5"/>
    <w:rsid w:val="003E2F91"/>
    <w:rsid w:val="003E384B"/>
    <w:rsid w:val="003E39C2"/>
    <w:rsid w:val="003E3DC3"/>
    <w:rsid w:val="003E41C9"/>
    <w:rsid w:val="003E4BDD"/>
    <w:rsid w:val="003E5891"/>
    <w:rsid w:val="003E5CD2"/>
    <w:rsid w:val="003E6D4A"/>
    <w:rsid w:val="003F0502"/>
    <w:rsid w:val="003F13E2"/>
    <w:rsid w:val="003F3113"/>
    <w:rsid w:val="003F33A5"/>
    <w:rsid w:val="003F3D92"/>
    <w:rsid w:val="003F480A"/>
    <w:rsid w:val="003F4DBD"/>
    <w:rsid w:val="003F52DF"/>
    <w:rsid w:val="003F54ED"/>
    <w:rsid w:val="003F5632"/>
    <w:rsid w:val="003F575D"/>
    <w:rsid w:val="003F5F21"/>
    <w:rsid w:val="003F60F6"/>
    <w:rsid w:val="003F639B"/>
    <w:rsid w:val="003F653B"/>
    <w:rsid w:val="003F6588"/>
    <w:rsid w:val="003F77AD"/>
    <w:rsid w:val="003F787C"/>
    <w:rsid w:val="003F7A9F"/>
    <w:rsid w:val="004001DD"/>
    <w:rsid w:val="004002B8"/>
    <w:rsid w:val="00400328"/>
    <w:rsid w:val="00400DDE"/>
    <w:rsid w:val="004021CF"/>
    <w:rsid w:val="0040235E"/>
    <w:rsid w:val="00402A9C"/>
    <w:rsid w:val="0040327A"/>
    <w:rsid w:val="0040399B"/>
    <w:rsid w:val="00403D24"/>
    <w:rsid w:val="00403FA3"/>
    <w:rsid w:val="0040485D"/>
    <w:rsid w:val="00404BF1"/>
    <w:rsid w:val="00404EC8"/>
    <w:rsid w:val="00405872"/>
    <w:rsid w:val="00405B46"/>
    <w:rsid w:val="00407D43"/>
    <w:rsid w:val="00410B03"/>
    <w:rsid w:val="00410C79"/>
    <w:rsid w:val="00410E59"/>
    <w:rsid w:val="004111E2"/>
    <w:rsid w:val="0041139E"/>
    <w:rsid w:val="00411774"/>
    <w:rsid w:val="00412230"/>
    <w:rsid w:val="004123E2"/>
    <w:rsid w:val="0041280D"/>
    <w:rsid w:val="004129C6"/>
    <w:rsid w:val="00412BA4"/>
    <w:rsid w:val="00413E7A"/>
    <w:rsid w:val="00413F52"/>
    <w:rsid w:val="00414A8E"/>
    <w:rsid w:val="004157AB"/>
    <w:rsid w:val="0041768C"/>
    <w:rsid w:val="00417935"/>
    <w:rsid w:val="004202AD"/>
    <w:rsid w:val="00420A9B"/>
    <w:rsid w:val="00420DEC"/>
    <w:rsid w:val="0042184B"/>
    <w:rsid w:val="00422350"/>
    <w:rsid w:val="004249EA"/>
    <w:rsid w:val="00424C1B"/>
    <w:rsid w:val="00424C77"/>
    <w:rsid w:val="00425133"/>
    <w:rsid w:val="00425A3A"/>
    <w:rsid w:val="00425E87"/>
    <w:rsid w:val="0042625F"/>
    <w:rsid w:val="0042645F"/>
    <w:rsid w:val="00426CEA"/>
    <w:rsid w:val="00427012"/>
    <w:rsid w:val="004275BC"/>
    <w:rsid w:val="00427771"/>
    <w:rsid w:val="00427814"/>
    <w:rsid w:val="00427AFE"/>
    <w:rsid w:val="00427F37"/>
    <w:rsid w:val="0043054D"/>
    <w:rsid w:val="004309BE"/>
    <w:rsid w:val="00430AC4"/>
    <w:rsid w:val="00431583"/>
    <w:rsid w:val="004318F5"/>
    <w:rsid w:val="0043223D"/>
    <w:rsid w:val="00432601"/>
    <w:rsid w:val="00432A21"/>
    <w:rsid w:val="00432C08"/>
    <w:rsid w:val="00432D40"/>
    <w:rsid w:val="00433B96"/>
    <w:rsid w:val="004341B7"/>
    <w:rsid w:val="0043512F"/>
    <w:rsid w:val="004358A6"/>
    <w:rsid w:val="004365A7"/>
    <w:rsid w:val="004369E2"/>
    <w:rsid w:val="00437439"/>
    <w:rsid w:val="00437C56"/>
    <w:rsid w:val="00437D98"/>
    <w:rsid w:val="0044043D"/>
    <w:rsid w:val="004414A8"/>
    <w:rsid w:val="0044164F"/>
    <w:rsid w:val="00441EBF"/>
    <w:rsid w:val="00442363"/>
    <w:rsid w:val="004428DA"/>
    <w:rsid w:val="00442AE9"/>
    <w:rsid w:val="0044417A"/>
    <w:rsid w:val="00445123"/>
    <w:rsid w:val="0044534E"/>
    <w:rsid w:val="00445871"/>
    <w:rsid w:val="00446AED"/>
    <w:rsid w:val="00446B71"/>
    <w:rsid w:val="00447652"/>
    <w:rsid w:val="0045018A"/>
    <w:rsid w:val="00451BA3"/>
    <w:rsid w:val="00451C33"/>
    <w:rsid w:val="00451DE5"/>
    <w:rsid w:val="0045234B"/>
    <w:rsid w:val="00452F24"/>
    <w:rsid w:val="00453540"/>
    <w:rsid w:val="00454C4B"/>
    <w:rsid w:val="00454DB8"/>
    <w:rsid w:val="00454ED2"/>
    <w:rsid w:val="00456253"/>
    <w:rsid w:val="0045638A"/>
    <w:rsid w:val="004564A5"/>
    <w:rsid w:val="00460279"/>
    <w:rsid w:val="00460B55"/>
    <w:rsid w:val="0046116A"/>
    <w:rsid w:val="004612EA"/>
    <w:rsid w:val="00461779"/>
    <w:rsid w:val="004619A1"/>
    <w:rsid w:val="00461AD1"/>
    <w:rsid w:val="00461D4F"/>
    <w:rsid w:val="00462151"/>
    <w:rsid w:val="00462862"/>
    <w:rsid w:val="00463D8A"/>
    <w:rsid w:val="00464028"/>
    <w:rsid w:val="0046426F"/>
    <w:rsid w:val="00465DE1"/>
    <w:rsid w:val="0046636E"/>
    <w:rsid w:val="00466B69"/>
    <w:rsid w:val="0046748E"/>
    <w:rsid w:val="00467B38"/>
    <w:rsid w:val="00467D84"/>
    <w:rsid w:val="0047081C"/>
    <w:rsid w:val="00470DB2"/>
    <w:rsid w:val="00471DCB"/>
    <w:rsid w:val="00472517"/>
    <w:rsid w:val="004727CA"/>
    <w:rsid w:val="00473198"/>
    <w:rsid w:val="00473D04"/>
    <w:rsid w:val="004749CA"/>
    <w:rsid w:val="00475ACF"/>
    <w:rsid w:val="00475B05"/>
    <w:rsid w:val="00476C72"/>
    <w:rsid w:val="00476CC7"/>
    <w:rsid w:val="00477D9E"/>
    <w:rsid w:val="004805A7"/>
    <w:rsid w:val="004810B8"/>
    <w:rsid w:val="004816D4"/>
    <w:rsid w:val="00481D03"/>
    <w:rsid w:val="00482440"/>
    <w:rsid w:val="004831DF"/>
    <w:rsid w:val="00483848"/>
    <w:rsid w:val="00483859"/>
    <w:rsid w:val="00484773"/>
    <w:rsid w:val="00484A43"/>
    <w:rsid w:val="00484BFA"/>
    <w:rsid w:val="00485142"/>
    <w:rsid w:val="0048562B"/>
    <w:rsid w:val="00486129"/>
    <w:rsid w:val="00486FC5"/>
    <w:rsid w:val="004872E0"/>
    <w:rsid w:val="00487594"/>
    <w:rsid w:val="00487918"/>
    <w:rsid w:val="00487C29"/>
    <w:rsid w:val="00487FC3"/>
    <w:rsid w:val="0049025A"/>
    <w:rsid w:val="004923EB"/>
    <w:rsid w:val="00492433"/>
    <w:rsid w:val="00492DC0"/>
    <w:rsid w:val="00494643"/>
    <w:rsid w:val="0049474B"/>
    <w:rsid w:val="00494D72"/>
    <w:rsid w:val="00495656"/>
    <w:rsid w:val="00495DE9"/>
    <w:rsid w:val="00496728"/>
    <w:rsid w:val="004967FF"/>
    <w:rsid w:val="00496847"/>
    <w:rsid w:val="00496F3C"/>
    <w:rsid w:val="00497458"/>
    <w:rsid w:val="00497D47"/>
    <w:rsid w:val="004A0388"/>
    <w:rsid w:val="004A063F"/>
    <w:rsid w:val="004A0667"/>
    <w:rsid w:val="004A19FB"/>
    <w:rsid w:val="004A2287"/>
    <w:rsid w:val="004A23F5"/>
    <w:rsid w:val="004A2D73"/>
    <w:rsid w:val="004A33C6"/>
    <w:rsid w:val="004A33E3"/>
    <w:rsid w:val="004A45F8"/>
    <w:rsid w:val="004A48A2"/>
    <w:rsid w:val="004A4EE4"/>
    <w:rsid w:val="004A62F0"/>
    <w:rsid w:val="004A6BC8"/>
    <w:rsid w:val="004A70DC"/>
    <w:rsid w:val="004A7ECA"/>
    <w:rsid w:val="004B0859"/>
    <w:rsid w:val="004B1736"/>
    <w:rsid w:val="004B18C8"/>
    <w:rsid w:val="004B1A68"/>
    <w:rsid w:val="004B1A6F"/>
    <w:rsid w:val="004B1BBC"/>
    <w:rsid w:val="004B1D3D"/>
    <w:rsid w:val="004B2504"/>
    <w:rsid w:val="004B255B"/>
    <w:rsid w:val="004B2750"/>
    <w:rsid w:val="004B3D82"/>
    <w:rsid w:val="004B3E10"/>
    <w:rsid w:val="004B4077"/>
    <w:rsid w:val="004B419A"/>
    <w:rsid w:val="004B4F44"/>
    <w:rsid w:val="004B51AA"/>
    <w:rsid w:val="004B5D12"/>
    <w:rsid w:val="004B6278"/>
    <w:rsid w:val="004B65C9"/>
    <w:rsid w:val="004B6696"/>
    <w:rsid w:val="004B6BBC"/>
    <w:rsid w:val="004B7057"/>
    <w:rsid w:val="004B7F64"/>
    <w:rsid w:val="004C0B11"/>
    <w:rsid w:val="004C10A8"/>
    <w:rsid w:val="004C13B8"/>
    <w:rsid w:val="004C17BE"/>
    <w:rsid w:val="004C2CAF"/>
    <w:rsid w:val="004C2CB7"/>
    <w:rsid w:val="004C33D3"/>
    <w:rsid w:val="004C35C5"/>
    <w:rsid w:val="004C3A71"/>
    <w:rsid w:val="004C3CB5"/>
    <w:rsid w:val="004C5556"/>
    <w:rsid w:val="004C5FAD"/>
    <w:rsid w:val="004C652E"/>
    <w:rsid w:val="004C6A8C"/>
    <w:rsid w:val="004C7191"/>
    <w:rsid w:val="004C74F7"/>
    <w:rsid w:val="004C797B"/>
    <w:rsid w:val="004C7D31"/>
    <w:rsid w:val="004D0A41"/>
    <w:rsid w:val="004D0B62"/>
    <w:rsid w:val="004D1541"/>
    <w:rsid w:val="004D1B8F"/>
    <w:rsid w:val="004D2D24"/>
    <w:rsid w:val="004D3E6F"/>
    <w:rsid w:val="004D46A2"/>
    <w:rsid w:val="004D48A7"/>
    <w:rsid w:val="004D4A62"/>
    <w:rsid w:val="004D4A88"/>
    <w:rsid w:val="004D5A1B"/>
    <w:rsid w:val="004D5FB4"/>
    <w:rsid w:val="004D72A4"/>
    <w:rsid w:val="004D7425"/>
    <w:rsid w:val="004D7F1A"/>
    <w:rsid w:val="004E06D3"/>
    <w:rsid w:val="004E085E"/>
    <w:rsid w:val="004E0EDC"/>
    <w:rsid w:val="004E19AA"/>
    <w:rsid w:val="004E1FB6"/>
    <w:rsid w:val="004E22BE"/>
    <w:rsid w:val="004E2336"/>
    <w:rsid w:val="004E2362"/>
    <w:rsid w:val="004E2486"/>
    <w:rsid w:val="004E3528"/>
    <w:rsid w:val="004E3B67"/>
    <w:rsid w:val="004E3D8A"/>
    <w:rsid w:val="004E3DBF"/>
    <w:rsid w:val="004E52D3"/>
    <w:rsid w:val="004E5497"/>
    <w:rsid w:val="004E5522"/>
    <w:rsid w:val="004E578D"/>
    <w:rsid w:val="004E5BA7"/>
    <w:rsid w:val="004F07F5"/>
    <w:rsid w:val="004F1C0C"/>
    <w:rsid w:val="004F20C4"/>
    <w:rsid w:val="004F23EE"/>
    <w:rsid w:val="004F2CE0"/>
    <w:rsid w:val="004F364F"/>
    <w:rsid w:val="004F3672"/>
    <w:rsid w:val="004F41E0"/>
    <w:rsid w:val="004F56B5"/>
    <w:rsid w:val="004F7DE6"/>
    <w:rsid w:val="00500B75"/>
    <w:rsid w:val="005012CF"/>
    <w:rsid w:val="00501695"/>
    <w:rsid w:val="00501837"/>
    <w:rsid w:val="00501A21"/>
    <w:rsid w:val="00501C3C"/>
    <w:rsid w:val="00503ECF"/>
    <w:rsid w:val="00503F5C"/>
    <w:rsid w:val="00504680"/>
    <w:rsid w:val="005049D9"/>
    <w:rsid w:val="00505543"/>
    <w:rsid w:val="00505DC2"/>
    <w:rsid w:val="00506063"/>
    <w:rsid w:val="005075CC"/>
    <w:rsid w:val="00507748"/>
    <w:rsid w:val="005102DE"/>
    <w:rsid w:val="0051068A"/>
    <w:rsid w:val="00510DC2"/>
    <w:rsid w:val="00511F30"/>
    <w:rsid w:val="00512441"/>
    <w:rsid w:val="00512482"/>
    <w:rsid w:val="0051266A"/>
    <w:rsid w:val="0051359F"/>
    <w:rsid w:val="00513E2A"/>
    <w:rsid w:val="005140F8"/>
    <w:rsid w:val="0051500E"/>
    <w:rsid w:val="00515C98"/>
    <w:rsid w:val="005160A1"/>
    <w:rsid w:val="00516260"/>
    <w:rsid w:val="00517591"/>
    <w:rsid w:val="00517993"/>
    <w:rsid w:val="00517C31"/>
    <w:rsid w:val="0052013C"/>
    <w:rsid w:val="00520E0F"/>
    <w:rsid w:val="00520F93"/>
    <w:rsid w:val="005218DC"/>
    <w:rsid w:val="00521AFB"/>
    <w:rsid w:val="00523A86"/>
    <w:rsid w:val="005246EA"/>
    <w:rsid w:val="00525284"/>
    <w:rsid w:val="00525339"/>
    <w:rsid w:val="005256CF"/>
    <w:rsid w:val="005256E5"/>
    <w:rsid w:val="00525BC7"/>
    <w:rsid w:val="00525C55"/>
    <w:rsid w:val="00525F49"/>
    <w:rsid w:val="0052605E"/>
    <w:rsid w:val="00526BF9"/>
    <w:rsid w:val="00527251"/>
    <w:rsid w:val="005276D0"/>
    <w:rsid w:val="00527A39"/>
    <w:rsid w:val="00531291"/>
    <w:rsid w:val="00531C21"/>
    <w:rsid w:val="005321A0"/>
    <w:rsid w:val="00532FA1"/>
    <w:rsid w:val="00533840"/>
    <w:rsid w:val="00534069"/>
    <w:rsid w:val="005340A3"/>
    <w:rsid w:val="00534C37"/>
    <w:rsid w:val="0053510F"/>
    <w:rsid w:val="005357BD"/>
    <w:rsid w:val="00535B85"/>
    <w:rsid w:val="005366FC"/>
    <w:rsid w:val="00536A55"/>
    <w:rsid w:val="00536AD8"/>
    <w:rsid w:val="00536FCD"/>
    <w:rsid w:val="00537403"/>
    <w:rsid w:val="005376CE"/>
    <w:rsid w:val="0053794A"/>
    <w:rsid w:val="00537A64"/>
    <w:rsid w:val="00540789"/>
    <w:rsid w:val="0054146E"/>
    <w:rsid w:val="00543709"/>
    <w:rsid w:val="0054375D"/>
    <w:rsid w:val="00543A0E"/>
    <w:rsid w:val="00544B83"/>
    <w:rsid w:val="00544DF3"/>
    <w:rsid w:val="00544FCB"/>
    <w:rsid w:val="00545E9E"/>
    <w:rsid w:val="00546825"/>
    <w:rsid w:val="0054685B"/>
    <w:rsid w:val="00550001"/>
    <w:rsid w:val="0055019C"/>
    <w:rsid w:val="00550242"/>
    <w:rsid w:val="0055028E"/>
    <w:rsid w:val="00550652"/>
    <w:rsid w:val="00550A99"/>
    <w:rsid w:val="00550E40"/>
    <w:rsid w:val="005512C4"/>
    <w:rsid w:val="00552EA6"/>
    <w:rsid w:val="00553CE6"/>
    <w:rsid w:val="005544E0"/>
    <w:rsid w:val="0055475C"/>
    <w:rsid w:val="005558B7"/>
    <w:rsid w:val="00556954"/>
    <w:rsid w:val="00556F90"/>
    <w:rsid w:val="005607FC"/>
    <w:rsid w:val="00561481"/>
    <w:rsid w:val="00563634"/>
    <w:rsid w:val="00563DE3"/>
    <w:rsid w:val="00563DFD"/>
    <w:rsid w:val="00564516"/>
    <w:rsid w:val="00564669"/>
    <w:rsid w:val="005648B4"/>
    <w:rsid w:val="0056558B"/>
    <w:rsid w:val="00565698"/>
    <w:rsid w:val="005662BA"/>
    <w:rsid w:val="0056646F"/>
    <w:rsid w:val="00566C28"/>
    <w:rsid w:val="00566FB2"/>
    <w:rsid w:val="005709DA"/>
    <w:rsid w:val="00571AF5"/>
    <w:rsid w:val="0057217F"/>
    <w:rsid w:val="005723E5"/>
    <w:rsid w:val="0057254D"/>
    <w:rsid w:val="00572E8E"/>
    <w:rsid w:val="00573732"/>
    <w:rsid w:val="00573F8E"/>
    <w:rsid w:val="0057406E"/>
    <w:rsid w:val="00574ADD"/>
    <w:rsid w:val="00574CC6"/>
    <w:rsid w:val="00574D76"/>
    <w:rsid w:val="005750D4"/>
    <w:rsid w:val="005750DF"/>
    <w:rsid w:val="00575314"/>
    <w:rsid w:val="00575515"/>
    <w:rsid w:val="005756DE"/>
    <w:rsid w:val="005759C7"/>
    <w:rsid w:val="00575BC2"/>
    <w:rsid w:val="00576A91"/>
    <w:rsid w:val="00577659"/>
    <w:rsid w:val="005776BD"/>
    <w:rsid w:val="005778F2"/>
    <w:rsid w:val="00577CAC"/>
    <w:rsid w:val="00577F65"/>
    <w:rsid w:val="00580150"/>
    <w:rsid w:val="0058015F"/>
    <w:rsid w:val="00580A21"/>
    <w:rsid w:val="00580B47"/>
    <w:rsid w:val="00581380"/>
    <w:rsid w:val="005814A0"/>
    <w:rsid w:val="00581E70"/>
    <w:rsid w:val="00581EB4"/>
    <w:rsid w:val="00582833"/>
    <w:rsid w:val="00582D2B"/>
    <w:rsid w:val="00582E8E"/>
    <w:rsid w:val="005833D5"/>
    <w:rsid w:val="00583E18"/>
    <w:rsid w:val="00583F36"/>
    <w:rsid w:val="00583F4A"/>
    <w:rsid w:val="00584452"/>
    <w:rsid w:val="00584779"/>
    <w:rsid w:val="00584C3D"/>
    <w:rsid w:val="00584ECC"/>
    <w:rsid w:val="005850C5"/>
    <w:rsid w:val="00585C2E"/>
    <w:rsid w:val="005877F0"/>
    <w:rsid w:val="005878D2"/>
    <w:rsid w:val="005901C6"/>
    <w:rsid w:val="00590509"/>
    <w:rsid w:val="00590ADB"/>
    <w:rsid w:val="00590DD7"/>
    <w:rsid w:val="00591207"/>
    <w:rsid w:val="00591579"/>
    <w:rsid w:val="005934D3"/>
    <w:rsid w:val="005937C5"/>
    <w:rsid w:val="00593B0A"/>
    <w:rsid w:val="00594056"/>
    <w:rsid w:val="00594391"/>
    <w:rsid w:val="00594803"/>
    <w:rsid w:val="005950B6"/>
    <w:rsid w:val="00595BAE"/>
    <w:rsid w:val="00596837"/>
    <w:rsid w:val="00597115"/>
    <w:rsid w:val="005974BB"/>
    <w:rsid w:val="005977AE"/>
    <w:rsid w:val="005979AE"/>
    <w:rsid w:val="00597BDA"/>
    <w:rsid w:val="005A09B4"/>
    <w:rsid w:val="005A0F75"/>
    <w:rsid w:val="005A1014"/>
    <w:rsid w:val="005A37B5"/>
    <w:rsid w:val="005A3A64"/>
    <w:rsid w:val="005A48AA"/>
    <w:rsid w:val="005A5598"/>
    <w:rsid w:val="005A59E0"/>
    <w:rsid w:val="005A6336"/>
    <w:rsid w:val="005A63C4"/>
    <w:rsid w:val="005A7064"/>
    <w:rsid w:val="005A76BD"/>
    <w:rsid w:val="005A7C3C"/>
    <w:rsid w:val="005B003E"/>
    <w:rsid w:val="005B0279"/>
    <w:rsid w:val="005B0873"/>
    <w:rsid w:val="005B15D4"/>
    <w:rsid w:val="005B1736"/>
    <w:rsid w:val="005B2C04"/>
    <w:rsid w:val="005B4230"/>
    <w:rsid w:val="005B42BF"/>
    <w:rsid w:val="005B538D"/>
    <w:rsid w:val="005B5420"/>
    <w:rsid w:val="005B55A5"/>
    <w:rsid w:val="005B68CC"/>
    <w:rsid w:val="005B783D"/>
    <w:rsid w:val="005C0550"/>
    <w:rsid w:val="005C0B3E"/>
    <w:rsid w:val="005C2515"/>
    <w:rsid w:val="005C2755"/>
    <w:rsid w:val="005C3690"/>
    <w:rsid w:val="005C43B6"/>
    <w:rsid w:val="005C46AF"/>
    <w:rsid w:val="005C4B6B"/>
    <w:rsid w:val="005C5067"/>
    <w:rsid w:val="005C5182"/>
    <w:rsid w:val="005C5D37"/>
    <w:rsid w:val="005C6089"/>
    <w:rsid w:val="005C63B1"/>
    <w:rsid w:val="005C667B"/>
    <w:rsid w:val="005C6D2C"/>
    <w:rsid w:val="005C75F4"/>
    <w:rsid w:val="005C7899"/>
    <w:rsid w:val="005C7CE0"/>
    <w:rsid w:val="005D071E"/>
    <w:rsid w:val="005D099F"/>
    <w:rsid w:val="005D0D84"/>
    <w:rsid w:val="005D0EE0"/>
    <w:rsid w:val="005D0F71"/>
    <w:rsid w:val="005D104C"/>
    <w:rsid w:val="005D12EA"/>
    <w:rsid w:val="005D1A98"/>
    <w:rsid w:val="005D2CF1"/>
    <w:rsid w:val="005D39A8"/>
    <w:rsid w:val="005D4AE1"/>
    <w:rsid w:val="005D4F79"/>
    <w:rsid w:val="005D58F4"/>
    <w:rsid w:val="005D59CD"/>
    <w:rsid w:val="005D5ECB"/>
    <w:rsid w:val="005D61A5"/>
    <w:rsid w:val="005D7835"/>
    <w:rsid w:val="005E13F8"/>
    <w:rsid w:val="005E1432"/>
    <w:rsid w:val="005E1604"/>
    <w:rsid w:val="005E1F2F"/>
    <w:rsid w:val="005E24C0"/>
    <w:rsid w:val="005E279D"/>
    <w:rsid w:val="005E28EA"/>
    <w:rsid w:val="005E2A78"/>
    <w:rsid w:val="005E2B43"/>
    <w:rsid w:val="005E32EA"/>
    <w:rsid w:val="005E3485"/>
    <w:rsid w:val="005E355B"/>
    <w:rsid w:val="005E36E6"/>
    <w:rsid w:val="005E37A8"/>
    <w:rsid w:val="005E4A9F"/>
    <w:rsid w:val="005E4ABE"/>
    <w:rsid w:val="005E54FE"/>
    <w:rsid w:val="005E5CA7"/>
    <w:rsid w:val="005E5F99"/>
    <w:rsid w:val="005E6243"/>
    <w:rsid w:val="005E7251"/>
    <w:rsid w:val="005E730D"/>
    <w:rsid w:val="005F0CDC"/>
    <w:rsid w:val="005F226C"/>
    <w:rsid w:val="005F2657"/>
    <w:rsid w:val="005F2FDC"/>
    <w:rsid w:val="005F30F9"/>
    <w:rsid w:val="005F36E5"/>
    <w:rsid w:val="005F39E6"/>
    <w:rsid w:val="005F3DA5"/>
    <w:rsid w:val="005F3EFA"/>
    <w:rsid w:val="005F438F"/>
    <w:rsid w:val="005F4B83"/>
    <w:rsid w:val="005F53C5"/>
    <w:rsid w:val="005F55A7"/>
    <w:rsid w:val="005F582E"/>
    <w:rsid w:val="005F62B4"/>
    <w:rsid w:val="005F6866"/>
    <w:rsid w:val="005F6AD9"/>
    <w:rsid w:val="00600C13"/>
    <w:rsid w:val="00601868"/>
    <w:rsid w:val="0060274E"/>
    <w:rsid w:val="00602BC1"/>
    <w:rsid w:val="00603F6E"/>
    <w:rsid w:val="0060435C"/>
    <w:rsid w:val="00604D13"/>
    <w:rsid w:val="00604DA9"/>
    <w:rsid w:val="0060506B"/>
    <w:rsid w:val="0060546E"/>
    <w:rsid w:val="0060572A"/>
    <w:rsid w:val="006058AA"/>
    <w:rsid w:val="00605F92"/>
    <w:rsid w:val="006062AC"/>
    <w:rsid w:val="006063F3"/>
    <w:rsid w:val="00606875"/>
    <w:rsid w:val="006068A3"/>
    <w:rsid w:val="00606CA1"/>
    <w:rsid w:val="00607DA0"/>
    <w:rsid w:val="00607E2D"/>
    <w:rsid w:val="00607FC8"/>
    <w:rsid w:val="00611266"/>
    <w:rsid w:val="0061198E"/>
    <w:rsid w:val="00611E56"/>
    <w:rsid w:val="0061207A"/>
    <w:rsid w:val="00612370"/>
    <w:rsid w:val="00612B51"/>
    <w:rsid w:val="00612B92"/>
    <w:rsid w:val="00612ED1"/>
    <w:rsid w:val="0061342D"/>
    <w:rsid w:val="00614B7F"/>
    <w:rsid w:val="00616466"/>
    <w:rsid w:val="0061649D"/>
    <w:rsid w:val="00616D5D"/>
    <w:rsid w:val="00616E5D"/>
    <w:rsid w:val="00617450"/>
    <w:rsid w:val="00617C15"/>
    <w:rsid w:val="00617F04"/>
    <w:rsid w:val="006200B9"/>
    <w:rsid w:val="006207E4"/>
    <w:rsid w:val="006209E8"/>
    <w:rsid w:val="00621021"/>
    <w:rsid w:val="006213DB"/>
    <w:rsid w:val="00622489"/>
    <w:rsid w:val="006228A3"/>
    <w:rsid w:val="00622CA8"/>
    <w:rsid w:val="00623151"/>
    <w:rsid w:val="00623F34"/>
    <w:rsid w:val="006241CA"/>
    <w:rsid w:val="006244F4"/>
    <w:rsid w:val="00624B83"/>
    <w:rsid w:val="00625D9F"/>
    <w:rsid w:val="00626244"/>
    <w:rsid w:val="00626262"/>
    <w:rsid w:val="006263E7"/>
    <w:rsid w:val="00627472"/>
    <w:rsid w:val="006275B9"/>
    <w:rsid w:val="00627856"/>
    <w:rsid w:val="00627A6E"/>
    <w:rsid w:val="00627F88"/>
    <w:rsid w:val="006302B6"/>
    <w:rsid w:val="006303CC"/>
    <w:rsid w:val="00630451"/>
    <w:rsid w:val="00630BF5"/>
    <w:rsid w:val="00630F67"/>
    <w:rsid w:val="00630FB3"/>
    <w:rsid w:val="00631161"/>
    <w:rsid w:val="006316DA"/>
    <w:rsid w:val="00631D47"/>
    <w:rsid w:val="00632521"/>
    <w:rsid w:val="0063288E"/>
    <w:rsid w:val="00632CB7"/>
    <w:rsid w:val="0063352D"/>
    <w:rsid w:val="00633806"/>
    <w:rsid w:val="00633C52"/>
    <w:rsid w:val="00633C61"/>
    <w:rsid w:val="00633E1A"/>
    <w:rsid w:val="00634D6A"/>
    <w:rsid w:val="0063500A"/>
    <w:rsid w:val="0063548B"/>
    <w:rsid w:val="006354AF"/>
    <w:rsid w:val="006355BA"/>
    <w:rsid w:val="006357D7"/>
    <w:rsid w:val="00635A03"/>
    <w:rsid w:val="00636680"/>
    <w:rsid w:val="0063703B"/>
    <w:rsid w:val="00637941"/>
    <w:rsid w:val="00640B73"/>
    <w:rsid w:val="00640CB1"/>
    <w:rsid w:val="0064130A"/>
    <w:rsid w:val="00641B7D"/>
    <w:rsid w:val="00642420"/>
    <w:rsid w:val="006424DD"/>
    <w:rsid w:val="0064251E"/>
    <w:rsid w:val="00643439"/>
    <w:rsid w:val="006435DB"/>
    <w:rsid w:val="00643988"/>
    <w:rsid w:val="00643AB6"/>
    <w:rsid w:val="00644CFE"/>
    <w:rsid w:val="00645A4C"/>
    <w:rsid w:val="0064670E"/>
    <w:rsid w:val="00646E6B"/>
    <w:rsid w:val="00647B74"/>
    <w:rsid w:val="00651534"/>
    <w:rsid w:val="00651814"/>
    <w:rsid w:val="006539C6"/>
    <w:rsid w:val="00653A03"/>
    <w:rsid w:val="00653A3A"/>
    <w:rsid w:val="00653A49"/>
    <w:rsid w:val="00653DAD"/>
    <w:rsid w:val="00654099"/>
    <w:rsid w:val="006547B5"/>
    <w:rsid w:val="0065491F"/>
    <w:rsid w:val="00654C2F"/>
    <w:rsid w:val="00655D30"/>
    <w:rsid w:val="006560E7"/>
    <w:rsid w:val="006562A0"/>
    <w:rsid w:val="006565BA"/>
    <w:rsid w:val="006566D7"/>
    <w:rsid w:val="006567EB"/>
    <w:rsid w:val="006573F5"/>
    <w:rsid w:val="0065740B"/>
    <w:rsid w:val="00657547"/>
    <w:rsid w:val="006578B1"/>
    <w:rsid w:val="006579B5"/>
    <w:rsid w:val="00657B03"/>
    <w:rsid w:val="00657F4D"/>
    <w:rsid w:val="0066020F"/>
    <w:rsid w:val="00660E79"/>
    <w:rsid w:val="00660F4C"/>
    <w:rsid w:val="00661FCA"/>
    <w:rsid w:val="0066254F"/>
    <w:rsid w:val="00662823"/>
    <w:rsid w:val="00662C8A"/>
    <w:rsid w:val="006638F3"/>
    <w:rsid w:val="00663D87"/>
    <w:rsid w:val="00665287"/>
    <w:rsid w:val="00665994"/>
    <w:rsid w:val="00665F43"/>
    <w:rsid w:val="00665F72"/>
    <w:rsid w:val="00666467"/>
    <w:rsid w:val="00666627"/>
    <w:rsid w:val="006669F7"/>
    <w:rsid w:val="00666BCA"/>
    <w:rsid w:val="00670368"/>
    <w:rsid w:val="006704F5"/>
    <w:rsid w:val="00670C63"/>
    <w:rsid w:val="00670E2D"/>
    <w:rsid w:val="006719A3"/>
    <w:rsid w:val="00671AEB"/>
    <w:rsid w:val="00671BA0"/>
    <w:rsid w:val="006740D7"/>
    <w:rsid w:val="006744A6"/>
    <w:rsid w:val="006747E6"/>
    <w:rsid w:val="00674E02"/>
    <w:rsid w:val="006752FB"/>
    <w:rsid w:val="0067533B"/>
    <w:rsid w:val="00675D10"/>
    <w:rsid w:val="00676AA3"/>
    <w:rsid w:val="0067701C"/>
    <w:rsid w:val="00677D15"/>
    <w:rsid w:val="00680144"/>
    <w:rsid w:val="0068070A"/>
    <w:rsid w:val="00680BC5"/>
    <w:rsid w:val="00680E96"/>
    <w:rsid w:val="00681020"/>
    <w:rsid w:val="00681B06"/>
    <w:rsid w:val="00681F0C"/>
    <w:rsid w:val="00682B27"/>
    <w:rsid w:val="006832D5"/>
    <w:rsid w:val="006834BD"/>
    <w:rsid w:val="00683783"/>
    <w:rsid w:val="006838E9"/>
    <w:rsid w:val="00683F31"/>
    <w:rsid w:val="006844FD"/>
    <w:rsid w:val="00685A57"/>
    <w:rsid w:val="00685EC7"/>
    <w:rsid w:val="006865ED"/>
    <w:rsid w:val="00686AB6"/>
    <w:rsid w:val="00686E3F"/>
    <w:rsid w:val="0068713C"/>
    <w:rsid w:val="006871F3"/>
    <w:rsid w:val="006878BF"/>
    <w:rsid w:val="00690563"/>
    <w:rsid w:val="006906EC"/>
    <w:rsid w:val="00690E16"/>
    <w:rsid w:val="00691038"/>
    <w:rsid w:val="00691304"/>
    <w:rsid w:val="0069163D"/>
    <w:rsid w:val="00692F93"/>
    <w:rsid w:val="006936C4"/>
    <w:rsid w:val="00693E7A"/>
    <w:rsid w:val="0069457F"/>
    <w:rsid w:val="006945C5"/>
    <w:rsid w:val="00694A14"/>
    <w:rsid w:val="00694F5A"/>
    <w:rsid w:val="0069535D"/>
    <w:rsid w:val="006956A4"/>
    <w:rsid w:val="00695832"/>
    <w:rsid w:val="00695AB2"/>
    <w:rsid w:val="00695C56"/>
    <w:rsid w:val="006973DF"/>
    <w:rsid w:val="00697443"/>
    <w:rsid w:val="00697FC7"/>
    <w:rsid w:val="006A0535"/>
    <w:rsid w:val="006A0C99"/>
    <w:rsid w:val="006A217A"/>
    <w:rsid w:val="006A3754"/>
    <w:rsid w:val="006A3A8A"/>
    <w:rsid w:val="006A423D"/>
    <w:rsid w:val="006A546C"/>
    <w:rsid w:val="006A582B"/>
    <w:rsid w:val="006A5FE5"/>
    <w:rsid w:val="006A62F4"/>
    <w:rsid w:val="006A6A40"/>
    <w:rsid w:val="006A6B3F"/>
    <w:rsid w:val="006A6F9F"/>
    <w:rsid w:val="006B056A"/>
    <w:rsid w:val="006B19F3"/>
    <w:rsid w:val="006B22A4"/>
    <w:rsid w:val="006B2636"/>
    <w:rsid w:val="006B2E34"/>
    <w:rsid w:val="006B32C8"/>
    <w:rsid w:val="006B32DD"/>
    <w:rsid w:val="006B356F"/>
    <w:rsid w:val="006B388B"/>
    <w:rsid w:val="006B3B2F"/>
    <w:rsid w:val="006B4B09"/>
    <w:rsid w:val="006B5434"/>
    <w:rsid w:val="006B5B51"/>
    <w:rsid w:val="006B5C52"/>
    <w:rsid w:val="006B6EBC"/>
    <w:rsid w:val="006B75CA"/>
    <w:rsid w:val="006B7705"/>
    <w:rsid w:val="006B77CC"/>
    <w:rsid w:val="006B7D34"/>
    <w:rsid w:val="006B7DD7"/>
    <w:rsid w:val="006C0635"/>
    <w:rsid w:val="006C0A23"/>
    <w:rsid w:val="006C1037"/>
    <w:rsid w:val="006C18A7"/>
    <w:rsid w:val="006C25CF"/>
    <w:rsid w:val="006C265F"/>
    <w:rsid w:val="006C26C1"/>
    <w:rsid w:val="006C2EA8"/>
    <w:rsid w:val="006C3118"/>
    <w:rsid w:val="006C3BA7"/>
    <w:rsid w:val="006C410B"/>
    <w:rsid w:val="006C4593"/>
    <w:rsid w:val="006C45AE"/>
    <w:rsid w:val="006C4C59"/>
    <w:rsid w:val="006C6FEE"/>
    <w:rsid w:val="006C7BC0"/>
    <w:rsid w:val="006C7CAB"/>
    <w:rsid w:val="006D0806"/>
    <w:rsid w:val="006D0BE1"/>
    <w:rsid w:val="006D12B8"/>
    <w:rsid w:val="006D1889"/>
    <w:rsid w:val="006D20FB"/>
    <w:rsid w:val="006D23F2"/>
    <w:rsid w:val="006D2E45"/>
    <w:rsid w:val="006D33C3"/>
    <w:rsid w:val="006D3A1C"/>
    <w:rsid w:val="006D3B23"/>
    <w:rsid w:val="006D3F5B"/>
    <w:rsid w:val="006D44F6"/>
    <w:rsid w:val="006D47D4"/>
    <w:rsid w:val="006D48EF"/>
    <w:rsid w:val="006D49F2"/>
    <w:rsid w:val="006D53A2"/>
    <w:rsid w:val="006D5479"/>
    <w:rsid w:val="006D5E1F"/>
    <w:rsid w:val="006D61F9"/>
    <w:rsid w:val="006D6E4B"/>
    <w:rsid w:val="006D7195"/>
    <w:rsid w:val="006D73C3"/>
    <w:rsid w:val="006D769A"/>
    <w:rsid w:val="006D7776"/>
    <w:rsid w:val="006D7BAD"/>
    <w:rsid w:val="006E00B4"/>
    <w:rsid w:val="006E0D40"/>
    <w:rsid w:val="006E1C00"/>
    <w:rsid w:val="006E1EB6"/>
    <w:rsid w:val="006E1FBB"/>
    <w:rsid w:val="006E23AA"/>
    <w:rsid w:val="006E2BB5"/>
    <w:rsid w:val="006E2FEE"/>
    <w:rsid w:val="006E30CB"/>
    <w:rsid w:val="006E31CE"/>
    <w:rsid w:val="006E4097"/>
    <w:rsid w:val="006E469F"/>
    <w:rsid w:val="006E51F8"/>
    <w:rsid w:val="006E60AD"/>
    <w:rsid w:val="006E66B9"/>
    <w:rsid w:val="006E68A0"/>
    <w:rsid w:val="006E6EC2"/>
    <w:rsid w:val="006E7449"/>
    <w:rsid w:val="006F0819"/>
    <w:rsid w:val="006F0826"/>
    <w:rsid w:val="006F0DC0"/>
    <w:rsid w:val="006F1402"/>
    <w:rsid w:val="006F2833"/>
    <w:rsid w:val="006F317F"/>
    <w:rsid w:val="006F3245"/>
    <w:rsid w:val="006F3474"/>
    <w:rsid w:val="006F382D"/>
    <w:rsid w:val="006F38B2"/>
    <w:rsid w:val="006F3FB4"/>
    <w:rsid w:val="006F454E"/>
    <w:rsid w:val="006F50F0"/>
    <w:rsid w:val="006F5A9F"/>
    <w:rsid w:val="006F5B2A"/>
    <w:rsid w:val="006F5C0E"/>
    <w:rsid w:val="006F697C"/>
    <w:rsid w:val="006F7084"/>
    <w:rsid w:val="006F71E2"/>
    <w:rsid w:val="006F73A2"/>
    <w:rsid w:val="006F74F0"/>
    <w:rsid w:val="006F7C55"/>
    <w:rsid w:val="00700186"/>
    <w:rsid w:val="00700497"/>
    <w:rsid w:val="007005F7"/>
    <w:rsid w:val="00701485"/>
    <w:rsid w:val="00701656"/>
    <w:rsid w:val="00701848"/>
    <w:rsid w:val="00702C5C"/>
    <w:rsid w:val="00702F10"/>
    <w:rsid w:val="007032FB"/>
    <w:rsid w:val="0070347F"/>
    <w:rsid w:val="007039B3"/>
    <w:rsid w:val="00704E59"/>
    <w:rsid w:val="007054EB"/>
    <w:rsid w:val="00705548"/>
    <w:rsid w:val="00705D2E"/>
    <w:rsid w:val="007063F2"/>
    <w:rsid w:val="00706982"/>
    <w:rsid w:val="0070761D"/>
    <w:rsid w:val="0070790E"/>
    <w:rsid w:val="00707CD7"/>
    <w:rsid w:val="007102A6"/>
    <w:rsid w:val="00710551"/>
    <w:rsid w:val="00710D1B"/>
    <w:rsid w:val="00710ECE"/>
    <w:rsid w:val="007116F9"/>
    <w:rsid w:val="00711938"/>
    <w:rsid w:val="00711E88"/>
    <w:rsid w:val="00712755"/>
    <w:rsid w:val="00712DC6"/>
    <w:rsid w:val="00713309"/>
    <w:rsid w:val="0071363B"/>
    <w:rsid w:val="00713859"/>
    <w:rsid w:val="00713B78"/>
    <w:rsid w:val="00714235"/>
    <w:rsid w:val="007156D1"/>
    <w:rsid w:val="007158B3"/>
    <w:rsid w:val="00715956"/>
    <w:rsid w:val="00715FFD"/>
    <w:rsid w:val="00716380"/>
    <w:rsid w:val="00716C2C"/>
    <w:rsid w:val="00716E25"/>
    <w:rsid w:val="007175CE"/>
    <w:rsid w:val="0071798C"/>
    <w:rsid w:val="00720541"/>
    <w:rsid w:val="007208AB"/>
    <w:rsid w:val="00721219"/>
    <w:rsid w:val="007218E8"/>
    <w:rsid w:val="00721A23"/>
    <w:rsid w:val="00722CD2"/>
    <w:rsid w:val="00723AF3"/>
    <w:rsid w:val="007240CA"/>
    <w:rsid w:val="00724170"/>
    <w:rsid w:val="007250A8"/>
    <w:rsid w:val="007253E9"/>
    <w:rsid w:val="00725473"/>
    <w:rsid w:val="00725C94"/>
    <w:rsid w:val="00726001"/>
    <w:rsid w:val="00727014"/>
    <w:rsid w:val="0072714C"/>
    <w:rsid w:val="007273EC"/>
    <w:rsid w:val="0072784C"/>
    <w:rsid w:val="00727AA6"/>
    <w:rsid w:val="00727AD1"/>
    <w:rsid w:val="00730A06"/>
    <w:rsid w:val="00731BCC"/>
    <w:rsid w:val="00731D02"/>
    <w:rsid w:val="007326F9"/>
    <w:rsid w:val="0073427E"/>
    <w:rsid w:val="00735117"/>
    <w:rsid w:val="007353B0"/>
    <w:rsid w:val="00735A82"/>
    <w:rsid w:val="00735B35"/>
    <w:rsid w:val="007360F6"/>
    <w:rsid w:val="007363F6"/>
    <w:rsid w:val="007365BA"/>
    <w:rsid w:val="0073778A"/>
    <w:rsid w:val="00740071"/>
    <w:rsid w:val="00740871"/>
    <w:rsid w:val="0074101C"/>
    <w:rsid w:val="007417D7"/>
    <w:rsid w:val="0074226B"/>
    <w:rsid w:val="00743230"/>
    <w:rsid w:val="0074330D"/>
    <w:rsid w:val="0074350F"/>
    <w:rsid w:val="00744EE7"/>
    <w:rsid w:val="00745C9D"/>
    <w:rsid w:val="007469E4"/>
    <w:rsid w:val="00747C58"/>
    <w:rsid w:val="00747D93"/>
    <w:rsid w:val="00747DE9"/>
    <w:rsid w:val="00750268"/>
    <w:rsid w:val="00751CAC"/>
    <w:rsid w:val="007521F9"/>
    <w:rsid w:val="0075283F"/>
    <w:rsid w:val="0075387A"/>
    <w:rsid w:val="00755324"/>
    <w:rsid w:val="007557F5"/>
    <w:rsid w:val="00755931"/>
    <w:rsid w:val="00755F39"/>
    <w:rsid w:val="007562AF"/>
    <w:rsid w:val="00756339"/>
    <w:rsid w:val="0075650F"/>
    <w:rsid w:val="007568E6"/>
    <w:rsid w:val="0075694F"/>
    <w:rsid w:val="00757D42"/>
    <w:rsid w:val="00760371"/>
    <w:rsid w:val="00760F36"/>
    <w:rsid w:val="00760F54"/>
    <w:rsid w:val="00761977"/>
    <w:rsid w:val="00761F28"/>
    <w:rsid w:val="00762191"/>
    <w:rsid w:val="007627FC"/>
    <w:rsid w:val="00762E29"/>
    <w:rsid w:val="00763B0A"/>
    <w:rsid w:val="00764181"/>
    <w:rsid w:val="007665AA"/>
    <w:rsid w:val="00766CC2"/>
    <w:rsid w:val="00766E6E"/>
    <w:rsid w:val="007679D5"/>
    <w:rsid w:val="0077036F"/>
    <w:rsid w:val="00770DE4"/>
    <w:rsid w:val="007716D4"/>
    <w:rsid w:val="0077190F"/>
    <w:rsid w:val="00772734"/>
    <w:rsid w:val="00773165"/>
    <w:rsid w:val="00773BAD"/>
    <w:rsid w:val="00773CFA"/>
    <w:rsid w:val="00774B88"/>
    <w:rsid w:val="00775434"/>
    <w:rsid w:val="0077697E"/>
    <w:rsid w:val="007769B5"/>
    <w:rsid w:val="00776D4E"/>
    <w:rsid w:val="00776E88"/>
    <w:rsid w:val="0077727F"/>
    <w:rsid w:val="00777D46"/>
    <w:rsid w:val="00777F66"/>
    <w:rsid w:val="007801AC"/>
    <w:rsid w:val="00781571"/>
    <w:rsid w:val="007818F9"/>
    <w:rsid w:val="00782CF2"/>
    <w:rsid w:val="007830F8"/>
    <w:rsid w:val="0078484C"/>
    <w:rsid w:val="00784BB5"/>
    <w:rsid w:val="00784BBC"/>
    <w:rsid w:val="00785CFD"/>
    <w:rsid w:val="00785D7A"/>
    <w:rsid w:val="007862C9"/>
    <w:rsid w:val="0078682A"/>
    <w:rsid w:val="00786B44"/>
    <w:rsid w:val="00787979"/>
    <w:rsid w:val="00787E97"/>
    <w:rsid w:val="007905BA"/>
    <w:rsid w:val="0079077B"/>
    <w:rsid w:val="00790AEC"/>
    <w:rsid w:val="00790BED"/>
    <w:rsid w:val="0079117E"/>
    <w:rsid w:val="007916A2"/>
    <w:rsid w:val="00791ACF"/>
    <w:rsid w:val="00791E2A"/>
    <w:rsid w:val="0079202F"/>
    <w:rsid w:val="00792FD4"/>
    <w:rsid w:val="007931BF"/>
    <w:rsid w:val="0079331F"/>
    <w:rsid w:val="00794360"/>
    <w:rsid w:val="0079464C"/>
    <w:rsid w:val="00796177"/>
    <w:rsid w:val="00796713"/>
    <w:rsid w:val="00796E0E"/>
    <w:rsid w:val="007975C0"/>
    <w:rsid w:val="007A0F39"/>
    <w:rsid w:val="007A106B"/>
    <w:rsid w:val="007A110F"/>
    <w:rsid w:val="007A1A3A"/>
    <w:rsid w:val="007A2960"/>
    <w:rsid w:val="007A3BAB"/>
    <w:rsid w:val="007A4119"/>
    <w:rsid w:val="007A4592"/>
    <w:rsid w:val="007A5069"/>
    <w:rsid w:val="007A5247"/>
    <w:rsid w:val="007A5532"/>
    <w:rsid w:val="007A5740"/>
    <w:rsid w:val="007A5EAE"/>
    <w:rsid w:val="007A758A"/>
    <w:rsid w:val="007B09C0"/>
    <w:rsid w:val="007B0CB3"/>
    <w:rsid w:val="007B0D1E"/>
    <w:rsid w:val="007B0F67"/>
    <w:rsid w:val="007B1173"/>
    <w:rsid w:val="007B265E"/>
    <w:rsid w:val="007B2731"/>
    <w:rsid w:val="007B3AD5"/>
    <w:rsid w:val="007B4222"/>
    <w:rsid w:val="007B4688"/>
    <w:rsid w:val="007B4C04"/>
    <w:rsid w:val="007B50CF"/>
    <w:rsid w:val="007B546A"/>
    <w:rsid w:val="007B5C2A"/>
    <w:rsid w:val="007B5E3A"/>
    <w:rsid w:val="007B5E6A"/>
    <w:rsid w:val="007B6866"/>
    <w:rsid w:val="007B6F62"/>
    <w:rsid w:val="007B7097"/>
    <w:rsid w:val="007B7C4B"/>
    <w:rsid w:val="007B7D1F"/>
    <w:rsid w:val="007B7DDE"/>
    <w:rsid w:val="007B7F43"/>
    <w:rsid w:val="007C0203"/>
    <w:rsid w:val="007C095F"/>
    <w:rsid w:val="007C0DDC"/>
    <w:rsid w:val="007C110D"/>
    <w:rsid w:val="007C134D"/>
    <w:rsid w:val="007C1EDA"/>
    <w:rsid w:val="007C2544"/>
    <w:rsid w:val="007C2753"/>
    <w:rsid w:val="007C2B46"/>
    <w:rsid w:val="007C2FAC"/>
    <w:rsid w:val="007C315A"/>
    <w:rsid w:val="007C32DD"/>
    <w:rsid w:val="007C37C4"/>
    <w:rsid w:val="007C3AA8"/>
    <w:rsid w:val="007C3BFD"/>
    <w:rsid w:val="007C4596"/>
    <w:rsid w:val="007C4EEB"/>
    <w:rsid w:val="007C51A8"/>
    <w:rsid w:val="007C5237"/>
    <w:rsid w:val="007C52E4"/>
    <w:rsid w:val="007C5318"/>
    <w:rsid w:val="007C7647"/>
    <w:rsid w:val="007C77A3"/>
    <w:rsid w:val="007D0407"/>
    <w:rsid w:val="007D0817"/>
    <w:rsid w:val="007D0AB5"/>
    <w:rsid w:val="007D0FC4"/>
    <w:rsid w:val="007D1597"/>
    <w:rsid w:val="007D18AE"/>
    <w:rsid w:val="007D1B94"/>
    <w:rsid w:val="007D1F4F"/>
    <w:rsid w:val="007D26DA"/>
    <w:rsid w:val="007D26EA"/>
    <w:rsid w:val="007D2B01"/>
    <w:rsid w:val="007D2EF9"/>
    <w:rsid w:val="007D3082"/>
    <w:rsid w:val="007D379D"/>
    <w:rsid w:val="007D3C4E"/>
    <w:rsid w:val="007D3DA6"/>
    <w:rsid w:val="007D441F"/>
    <w:rsid w:val="007D463E"/>
    <w:rsid w:val="007D4D6E"/>
    <w:rsid w:val="007D60DF"/>
    <w:rsid w:val="007D670B"/>
    <w:rsid w:val="007D681F"/>
    <w:rsid w:val="007D69B3"/>
    <w:rsid w:val="007D70B0"/>
    <w:rsid w:val="007D787C"/>
    <w:rsid w:val="007E128C"/>
    <w:rsid w:val="007E1454"/>
    <w:rsid w:val="007E1773"/>
    <w:rsid w:val="007E1C37"/>
    <w:rsid w:val="007E2CD5"/>
    <w:rsid w:val="007E2D4F"/>
    <w:rsid w:val="007E3452"/>
    <w:rsid w:val="007E36A9"/>
    <w:rsid w:val="007E3B49"/>
    <w:rsid w:val="007E5178"/>
    <w:rsid w:val="007E5AA4"/>
    <w:rsid w:val="007E7CB0"/>
    <w:rsid w:val="007F0206"/>
    <w:rsid w:val="007F054B"/>
    <w:rsid w:val="007F0EEC"/>
    <w:rsid w:val="007F113C"/>
    <w:rsid w:val="007F3899"/>
    <w:rsid w:val="007F3AB5"/>
    <w:rsid w:val="007F3EAA"/>
    <w:rsid w:val="007F3F2A"/>
    <w:rsid w:val="007F4800"/>
    <w:rsid w:val="007F4D40"/>
    <w:rsid w:val="007F58A4"/>
    <w:rsid w:val="007F6221"/>
    <w:rsid w:val="007F6A3C"/>
    <w:rsid w:val="007F6DFE"/>
    <w:rsid w:val="007F7884"/>
    <w:rsid w:val="0080086B"/>
    <w:rsid w:val="00800D73"/>
    <w:rsid w:val="00801791"/>
    <w:rsid w:val="008019C8"/>
    <w:rsid w:val="008026DF"/>
    <w:rsid w:val="00802E15"/>
    <w:rsid w:val="00802EDB"/>
    <w:rsid w:val="00802F3D"/>
    <w:rsid w:val="008033A1"/>
    <w:rsid w:val="008038CA"/>
    <w:rsid w:val="00803F78"/>
    <w:rsid w:val="0080418C"/>
    <w:rsid w:val="008051DF"/>
    <w:rsid w:val="00806557"/>
    <w:rsid w:val="00807510"/>
    <w:rsid w:val="00810705"/>
    <w:rsid w:val="00810CCA"/>
    <w:rsid w:val="00810F6A"/>
    <w:rsid w:val="008124F6"/>
    <w:rsid w:val="00812993"/>
    <w:rsid w:val="00812A32"/>
    <w:rsid w:val="00812CBA"/>
    <w:rsid w:val="00813A1A"/>
    <w:rsid w:val="008149E5"/>
    <w:rsid w:val="00814E63"/>
    <w:rsid w:val="00815543"/>
    <w:rsid w:val="00815BEC"/>
    <w:rsid w:val="008165B6"/>
    <w:rsid w:val="00816C5F"/>
    <w:rsid w:val="00817A1B"/>
    <w:rsid w:val="00817AF3"/>
    <w:rsid w:val="00817CF6"/>
    <w:rsid w:val="008200D1"/>
    <w:rsid w:val="008208E1"/>
    <w:rsid w:val="00820A34"/>
    <w:rsid w:val="00820B1C"/>
    <w:rsid w:val="00820FCD"/>
    <w:rsid w:val="00821E2C"/>
    <w:rsid w:val="0082223D"/>
    <w:rsid w:val="008227BD"/>
    <w:rsid w:val="00822C13"/>
    <w:rsid w:val="00824029"/>
    <w:rsid w:val="008247D2"/>
    <w:rsid w:val="00824B4B"/>
    <w:rsid w:val="0082524F"/>
    <w:rsid w:val="00825571"/>
    <w:rsid w:val="00825B9F"/>
    <w:rsid w:val="00825F8B"/>
    <w:rsid w:val="00826B27"/>
    <w:rsid w:val="008274AF"/>
    <w:rsid w:val="00827D30"/>
    <w:rsid w:val="00830D8C"/>
    <w:rsid w:val="00830EF2"/>
    <w:rsid w:val="00830F02"/>
    <w:rsid w:val="00830FA6"/>
    <w:rsid w:val="00832084"/>
    <w:rsid w:val="008327E4"/>
    <w:rsid w:val="0083327A"/>
    <w:rsid w:val="00833432"/>
    <w:rsid w:val="008348DC"/>
    <w:rsid w:val="00834BFC"/>
    <w:rsid w:val="00834C3A"/>
    <w:rsid w:val="0083507F"/>
    <w:rsid w:val="008354C4"/>
    <w:rsid w:val="00835641"/>
    <w:rsid w:val="008358E2"/>
    <w:rsid w:val="00837256"/>
    <w:rsid w:val="00837909"/>
    <w:rsid w:val="00840049"/>
    <w:rsid w:val="0084005C"/>
    <w:rsid w:val="00840386"/>
    <w:rsid w:val="008415A0"/>
    <w:rsid w:val="00841ADE"/>
    <w:rsid w:val="00842047"/>
    <w:rsid w:val="00842207"/>
    <w:rsid w:val="00842608"/>
    <w:rsid w:val="0084316B"/>
    <w:rsid w:val="008433E1"/>
    <w:rsid w:val="008435C5"/>
    <w:rsid w:val="00843825"/>
    <w:rsid w:val="008438BE"/>
    <w:rsid w:val="00843D4B"/>
    <w:rsid w:val="00843E4E"/>
    <w:rsid w:val="00843EDC"/>
    <w:rsid w:val="0084468B"/>
    <w:rsid w:val="00844D56"/>
    <w:rsid w:val="00844F11"/>
    <w:rsid w:val="008455F7"/>
    <w:rsid w:val="00845800"/>
    <w:rsid w:val="008463A2"/>
    <w:rsid w:val="00846936"/>
    <w:rsid w:val="008475DF"/>
    <w:rsid w:val="0084794C"/>
    <w:rsid w:val="00847D4D"/>
    <w:rsid w:val="00850091"/>
    <w:rsid w:val="00850324"/>
    <w:rsid w:val="00850B64"/>
    <w:rsid w:val="00851882"/>
    <w:rsid w:val="00851C53"/>
    <w:rsid w:val="00852067"/>
    <w:rsid w:val="00852262"/>
    <w:rsid w:val="008522AE"/>
    <w:rsid w:val="008525D0"/>
    <w:rsid w:val="00852F91"/>
    <w:rsid w:val="00853092"/>
    <w:rsid w:val="00853609"/>
    <w:rsid w:val="00853854"/>
    <w:rsid w:val="00854EA6"/>
    <w:rsid w:val="00855899"/>
    <w:rsid w:val="00856420"/>
    <w:rsid w:val="00857307"/>
    <w:rsid w:val="0085783B"/>
    <w:rsid w:val="00857DCC"/>
    <w:rsid w:val="008616E1"/>
    <w:rsid w:val="00861E3A"/>
    <w:rsid w:val="008624FF"/>
    <w:rsid w:val="0086269C"/>
    <w:rsid w:val="00862E68"/>
    <w:rsid w:val="008630B6"/>
    <w:rsid w:val="008638AC"/>
    <w:rsid w:val="00864577"/>
    <w:rsid w:val="00865B80"/>
    <w:rsid w:val="00865EAD"/>
    <w:rsid w:val="00866D63"/>
    <w:rsid w:val="00867338"/>
    <w:rsid w:val="00867A78"/>
    <w:rsid w:val="008705AD"/>
    <w:rsid w:val="008713A0"/>
    <w:rsid w:val="00872105"/>
    <w:rsid w:val="00872A3E"/>
    <w:rsid w:val="0087329E"/>
    <w:rsid w:val="00873794"/>
    <w:rsid w:val="0087391B"/>
    <w:rsid w:val="00873AEC"/>
    <w:rsid w:val="00873BC0"/>
    <w:rsid w:val="00874371"/>
    <w:rsid w:val="00874755"/>
    <w:rsid w:val="00874D8E"/>
    <w:rsid w:val="00874DC7"/>
    <w:rsid w:val="00875014"/>
    <w:rsid w:val="008758B4"/>
    <w:rsid w:val="0087607D"/>
    <w:rsid w:val="008767A7"/>
    <w:rsid w:val="00876B74"/>
    <w:rsid w:val="00876FCE"/>
    <w:rsid w:val="00877894"/>
    <w:rsid w:val="00880351"/>
    <w:rsid w:val="00880BE4"/>
    <w:rsid w:val="00880F3E"/>
    <w:rsid w:val="00881AA9"/>
    <w:rsid w:val="00882F77"/>
    <w:rsid w:val="008836D7"/>
    <w:rsid w:val="0088397D"/>
    <w:rsid w:val="00886AB5"/>
    <w:rsid w:val="008873F3"/>
    <w:rsid w:val="00887647"/>
    <w:rsid w:val="00887B80"/>
    <w:rsid w:val="00887D5B"/>
    <w:rsid w:val="008903DC"/>
    <w:rsid w:val="00890704"/>
    <w:rsid w:val="00892979"/>
    <w:rsid w:val="00892B0F"/>
    <w:rsid w:val="00892F57"/>
    <w:rsid w:val="0089386D"/>
    <w:rsid w:val="00894157"/>
    <w:rsid w:val="008951B9"/>
    <w:rsid w:val="008954CB"/>
    <w:rsid w:val="00895CA7"/>
    <w:rsid w:val="00895D04"/>
    <w:rsid w:val="00895E38"/>
    <w:rsid w:val="00895F3E"/>
    <w:rsid w:val="00896A31"/>
    <w:rsid w:val="00897364"/>
    <w:rsid w:val="008A0A87"/>
    <w:rsid w:val="008A1027"/>
    <w:rsid w:val="008A12CA"/>
    <w:rsid w:val="008A136B"/>
    <w:rsid w:val="008A3E7A"/>
    <w:rsid w:val="008A4560"/>
    <w:rsid w:val="008A48D2"/>
    <w:rsid w:val="008A5416"/>
    <w:rsid w:val="008A6151"/>
    <w:rsid w:val="008A63A7"/>
    <w:rsid w:val="008A6433"/>
    <w:rsid w:val="008A72FC"/>
    <w:rsid w:val="008A7B0B"/>
    <w:rsid w:val="008B0052"/>
    <w:rsid w:val="008B024C"/>
    <w:rsid w:val="008B0AC4"/>
    <w:rsid w:val="008B0CCB"/>
    <w:rsid w:val="008B1611"/>
    <w:rsid w:val="008B2483"/>
    <w:rsid w:val="008B30A1"/>
    <w:rsid w:val="008B384D"/>
    <w:rsid w:val="008B44CD"/>
    <w:rsid w:val="008B4595"/>
    <w:rsid w:val="008B4FC7"/>
    <w:rsid w:val="008B5D60"/>
    <w:rsid w:val="008B6189"/>
    <w:rsid w:val="008B7919"/>
    <w:rsid w:val="008C20D3"/>
    <w:rsid w:val="008C2506"/>
    <w:rsid w:val="008C28E1"/>
    <w:rsid w:val="008C2DD5"/>
    <w:rsid w:val="008C2F34"/>
    <w:rsid w:val="008C38C7"/>
    <w:rsid w:val="008C4D21"/>
    <w:rsid w:val="008C4E43"/>
    <w:rsid w:val="008C4F95"/>
    <w:rsid w:val="008C54EA"/>
    <w:rsid w:val="008C5F5C"/>
    <w:rsid w:val="008C68A6"/>
    <w:rsid w:val="008C6C4B"/>
    <w:rsid w:val="008C73B3"/>
    <w:rsid w:val="008C74EE"/>
    <w:rsid w:val="008C7C67"/>
    <w:rsid w:val="008D0702"/>
    <w:rsid w:val="008D0A62"/>
    <w:rsid w:val="008D1C1B"/>
    <w:rsid w:val="008D22B5"/>
    <w:rsid w:val="008D2325"/>
    <w:rsid w:val="008D33A8"/>
    <w:rsid w:val="008D3AB5"/>
    <w:rsid w:val="008D3B44"/>
    <w:rsid w:val="008D4449"/>
    <w:rsid w:val="008D451B"/>
    <w:rsid w:val="008D484C"/>
    <w:rsid w:val="008D4A34"/>
    <w:rsid w:val="008D4F58"/>
    <w:rsid w:val="008D56C1"/>
    <w:rsid w:val="008D58F4"/>
    <w:rsid w:val="008D5965"/>
    <w:rsid w:val="008D61E4"/>
    <w:rsid w:val="008D68D8"/>
    <w:rsid w:val="008D70E2"/>
    <w:rsid w:val="008D7381"/>
    <w:rsid w:val="008D7424"/>
    <w:rsid w:val="008D7CA7"/>
    <w:rsid w:val="008D7F83"/>
    <w:rsid w:val="008E017C"/>
    <w:rsid w:val="008E01C5"/>
    <w:rsid w:val="008E03FF"/>
    <w:rsid w:val="008E0416"/>
    <w:rsid w:val="008E0DA8"/>
    <w:rsid w:val="008E1977"/>
    <w:rsid w:val="008E1ED1"/>
    <w:rsid w:val="008E218B"/>
    <w:rsid w:val="008E36C4"/>
    <w:rsid w:val="008E3956"/>
    <w:rsid w:val="008E3F61"/>
    <w:rsid w:val="008E4661"/>
    <w:rsid w:val="008E4BC5"/>
    <w:rsid w:val="008E5022"/>
    <w:rsid w:val="008E57DB"/>
    <w:rsid w:val="008E5EDC"/>
    <w:rsid w:val="008E61DA"/>
    <w:rsid w:val="008E6729"/>
    <w:rsid w:val="008E6DD9"/>
    <w:rsid w:val="008E6FC8"/>
    <w:rsid w:val="008E7AD2"/>
    <w:rsid w:val="008E7B73"/>
    <w:rsid w:val="008E7D71"/>
    <w:rsid w:val="008E7EC0"/>
    <w:rsid w:val="008F0003"/>
    <w:rsid w:val="008F0381"/>
    <w:rsid w:val="008F063C"/>
    <w:rsid w:val="008F0EC4"/>
    <w:rsid w:val="008F1A6B"/>
    <w:rsid w:val="008F218F"/>
    <w:rsid w:val="008F2CB0"/>
    <w:rsid w:val="008F34D8"/>
    <w:rsid w:val="008F4138"/>
    <w:rsid w:val="008F43E7"/>
    <w:rsid w:val="008F45E2"/>
    <w:rsid w:val="008F4746"/>
    <w:rsid w:val="008F52B6"/>
    <w:rsid w:val="008F6481"/>
    <w:rsid w:val="008F6A1F"/>
    <w:rsid w:val="008F7A6B"/>
    <w:rsid w:val="008F7D79"/>
    <w:rsid w:val="008F7DB9"/>
    <w:rsid w:val="00900873"/>
    <w:rsid w:val="00900CAA"/>
    <w:rsid w:val="00900DC4"/>
    <w:rsid w:val="00901038"/>
    <w:rsid w:val="009014ED"/>
    <w:rsid w:val="009019BD"/>
    <w:rsid w:val="00902625"/>
    <w:rsid w:val="0090267E"/>
    <w:rsid w:val="009026C9"/>
    <w:rsid w:val="00902A49"/>
    <w:rsid w:val="009039B5"/>
    <w:rsid w:val="0090404D"/>
    <w:rsid w:val="00904350"/>
    <w:rsid w:val="009048A7"/>
    <w:rsid w:val="009058CD"/>
    <w:rsid w:val="00905E50"/>
    <w:rsid w:val="00905E67"/>
    <w:rsid w:val="00906263"/>
    <w:rsid w:val="00906ED7"/>
    <w:rsid w:val="00907836"/>
    <w:rsid w:val="00907A09"/>
    <w:rsid w:val="00907EB0"/>
    <w:rsid w:val="009109E9"/>
    <w:rsid w:val="00910B88"/>
    <w:rsid w:val="00910DAD"/>
    <w:rsid w:val="00910F46"/>
    <w:rsid w:val="00912127"/>
    <w:rsid w:val="009140F7"/>
    <w:rsid w:val="009150A1"/>
    <w:rsid w:val="00915464"/>
    <w:rsid w:val="00915C36"/>
    <w:rsid w:val="00915D04"/>
    <w:rsid w:val="00915DD3"/>
    <w:rsid w:val="00916000"/>
    <w:rsid w:val="0091633B"/>
    <w:rsid w:val="00916663"/>
    <w:rsid w:val="0091666A"/>
    <w:rsid w:val="00916B85"/>
    <w:rsid w:val="00916F3C"/>
    <w:rsid w:val="0091707C"/>
    <w:rsid w:val="00917710"/>
    <w:rsid w:val="00917763"/>
    <w:rsid w:val="00917BDD"/>
    <w:rsid w:val="00917CBF"/>
    <w:rsid w:val="009206BE"/>
    <w:rsid w:val="0092075A"/>
    <w:rsid w:val="00921B08"/>
    <w:rsid w:val="00921C6D"/>
    <w:rsid w:val="00921CB9"/>
    <w:rsid w:val="0092207E"/>
    <w:rsid w:val="009224BC"/>
    <w:rsid w:val="0092292C"/>
    <w:rsid w:val="00923172"/>
    <w:rsid w:val="00923861"/>
    <w:rsid w:val="009243CD"/>
    <w:rsid w:val="00924D1C"/>
    <w:rsid w:val="00925AB2"/>
    <w:rsid w:val="009275ED"/>
    <w:rsid w:val="009278EF"/>
    <w:rsid w:val="00927BA3"/>
    <w:rsid w:val="00927FC8"/>
    <w:rsid w:val="00930CD9"/>
    <w:rsid w:val="009315E7"/>
    <w:rsid w:val="009316D9"/>
    <w:rsid w:val="0093189E"/>
    <w:rsid w:val="00931C14"/>
    <w:rsid w:val="00932ECF"/>
    <w:rsid w:val="00932F89"/>
    <w:rsid w:val="009337A7"/>
    <w:rsid w:val="00933846"/>
    <w:rsid w:val="00934372"/>
    <w:rsid w:val="009343B0"/>
    <w:rsid w:val="00934F88"/>
    <w:rsid w:val="00935FD0"/>
    <w:rsid w:val="00936017"/>
    <w:rsid w:val="009360F7"/>
    <w:rsid w:val="0093670C"/>
    <w:rsid w:val="00936752"/>
    <w:rsid w:val="00936C05"/>
    <w:rsid w:val="00936D86"/>
    <w:rsid w:val="00936FC0"/>
    <w:rsid w:val="009377DC"/>
    <w:rsid w:val="009400CD"/>
    <w:rsid w:val="009404E8"/>
    <w:rsid w:val="00940F4C"/>
    <w:rsid w:val="00941005"/>
    <w:rsid w:val="0094194C"/>
    <w:rsid w:val="00941BB2"/>
    <w:rsid w:val="00941C3F"/>
    <w:rsid w:val="0094252B"/>
    <w:rsid w:val="00942576"/>
    <w:rsid w:val="00943110"/>
    <w:rsid w:val="0094404A"/>
    <w:rsid w:val="00945583"/>
    <w:rsid w:val="009457A8"/>
    <w:rsid w:val="00945BDF"/>
    <w:rsid w:val="009461A2"/>
    <w:rsid w:val="0094623E"/>
    <w:rsid w:val="00946C3E"/>
    <w:rsid w:val="00946FDD"/>
    <w:rsid w:val="00947457"/>
    <w:rsid w:val="00947918"/>
    <w:rsid w:val="00947AD2"/>
    <w:rsid w:val="00947C04"/>
    <w:rsid w:val="00947D94"/>
    <w:rsid w:val="00947EB2"/>
    <w:rsid w:val="00950719"/>
    <w:rsid w:val="00950933"/>
    <w:rsid w:val="009511D2"/>
    <w:rsid w:val="00951A76"/>
    <w:rsid w:val="00951CED"/>
    <w:rsid w:val="009521B5"/>
    <w:rsid w:val="009523C5"/>
    <w:rsid w:val="00952EE1"/>
    <w:rsid w:val="0095333F"/>
    <w:rsid w:val="00953BDC"/>
    <w:rsid w:val="00954165"/>
    <w:rsid w:val="0095547D"/>
    <w:rsid w:val="00955644"/>
    <w:rsid w:val="00956485"/>
    <w:rsid w:val="00957007"/>
    <w:rsid w:val="00957454"/>
    <w:rsid w:val="0095771A"/>
    <w:rsid w:val="00957B50"/>
    <w:rsid w:val="00957B78"/>
    <w:rsid w:val="00957E72"/>
    <w:rsid w:val="00960284"/>
    <w:rsid w:val="00960631"/>
    <w:rsid w:val="00960D54"/>
    <w:rsid w:val="00960F51"/>
    <w:rsid w:val="009611F0"/>
    <w:rsid w:val="0096135D"/>
    <w:rsid w:val="009619D8"/>
    <w:rsid w:val="009619E2"/>
    <w:rsid w:val="009619EC"/>
    <w:rsid w:val="00961A0B"/>
    <w:rsid w:val="00961C96"/>
    <w:rsid w:val="00961D0C"/>
    <w:rsid w:val="0096253A"/>
    <w:rsid w:val="00962FD0"/>
    <w:rsid w:val="009635A5"/>
    <w:rsid w:val="00963785"/>
    <w:rsid w:val="00963EDA"/>
    <w:rsid w:val="00964C28"/>
    <w:rsid w:val="009657F9"/>
    <w:rsid w:val="00965B23"/>
    <w:rsid w:val="00965DD1"/>
    <w:rsid w:val="00965FB4"/>
    <w:rsid w:val="00966B1B"/>
    <w:rsid w:val="00967A34"/>
    <w:rsid w:val="00967F0F"/>
    <w:rsid w:val="00970128"/>
    <w:rsid w:val="009702E6"/>
    <w:rsid w:val="00970609"/>
    <w:rsid w:val="009706F6"/>
    <w:rsid w:val="00970E11"/>
    <w:rsid w:val="00970FFD"/>
    <w:rsid w:val="00971CF3"/>
    <w:rsid w:val="00971F21"/>
    <w:rsid w:val="00971FAC"/>
    <w:rsid w:val="00971FD8"/>
    <w:rsid w:val="00972436"/>
    <w:rsid w:val="0097255C"/>
    <w:rsid w:val="00972B63"/>
    <w:rsid w:val="00972B92"/>
    <w:rsid w:val="009733B1"/>
    <w:rsid w:val="00973D16"/>
    <w:rsid w:val="00974B42"/>
    <w:rsid w:val="00975DE1"/>
    <w:rsid w:val="009774A2"/>
    <w:rsid w:val="0098070E"/>
    <w:rsid w:val="0098095A"/>
    <w:rsid w:val="00981850"/>
    <w:rsid w:val="00981BCC"/>
    <w:rsid w:val="009822DB"/>
    <w:rsid w:val="009823D9"/>
    <w:rsid w:val="00982CF2"/>
    <w:rsid w:val="009837AA"/>
    <w:rsid w:val="00983CC3"/>
    <w:rsid w:val="00984B7A"/>
    <w:rsid w:val="00985FDA"/>
    <w:rsid w:val="00986A61"/>
    <w:rsid w:val="00986EE1"/>
    <w:rsid w:val="009873EE"/>
    <w:rsid w:val="009903B3"/>
    <w:rsid w:val="009904F2"/>
    <w:rsid w:val="0099061F"/>
    <w:rsid w:val="0099073E"/>
    <w:rsid w:val="0099129A"/>
    <w:rsid w:val="00991725"/>
    <w:rsid w:val="009921A0"/>
    <w:rsid w:val="00992602"/>
    <w:rsid w:val="0099272B"/>
    <w:rsid w:val="00993D90"/>
    <w:rsid w:val="00994BB8"/>
    <w:rsid w:val="00994BFB"/>
    <w:rsid w:val="00994CE0"/>
    <w:rsid w:val="009953E4"/>
    <w:rsid w:val="0099587E"/>
    <w:rsid w:val="00995DFB"/>
    <w:rsid w:val="009964BC"/>
    <w:rsid w:val="00996EF0"/>
    <w:rsid w:val="00996F4F"/>
    <w:rsid w:val="0099756A"/>
    <w:rsid w:val="00997EA2"/>
    <w:rsid w:val="009A03E1"/>
    <w:rsid w:val="009A0554"/>
    <w:rsid w:val="009A0999"/>
    <w:rsid w:val="009A0D94"/>
    <w:rsid w:val="009A1287"/>
    <w:rsid w:val="009A1727"/>
    <w:rsid w:val="009A2AA4"/>
    <w:rsid w:val="009A2AC7"/>
    <w:rsid w:val="009A2BF5"/>
    <w:rsid w:val="009A3048"/>
    <w:rsid w:val="009A3A0E"/>
    <w:rsid w:val="009A3A76"/>
    <w:rsid w:val="009A4558"/>
    <w:rsid w:val="009A492D"/>
    <w:rsid w:val="009A4EEA"/>
    <w:rsid w:val="009A5132"/>
    <w:rsid w:val="009A5653"/>
    <w:rsid w:val="009A5959"/>
    <w:rsid w:val="009A5EAF"/>
    <w:rsid w:val="009A6897"/>
    <w:rsid w:val="009A6A83"/>
    <w:rsid w:val="009A6BBA"/>
    <w:rsid w:val="009A6D59"/>
    <w:rsid w:val="009A72DB"/>
    <w:rsid w:val="009A73F4"/>
    <w:rsid w:val="009A747E"/>
    <w:rsid w:val="009A7F49"/>
    <w:rsid w:val="009B07F2"/>
    <w:rsid w:val="009B2226"/>
    <w:rsid w:val="009B2726"/>
    <w:rsid w:val="009B28BA"/>
    <w:rsid w:val="009B2E9D"/>
    <w:rsid w:val="009B3792"/>
    <w:rsid w:val="009B3D16"/>
    <w:rsid w:val="009B4274"/>
    <w:rsid w:val="009B4A10"/>
    <w:rsid w:val="009B4A5D"/>
    <w:rsid w:val="009B4A80"/>
    <w:rsid w:val="009B504B"/>
    <w:rsid w:val="009B5C35"/>
    <w:rsid w:val="009B679C"/>
    <w:rsid w:val="009B7192"/>
    <w:rsid w:val="009B7469"/>
    <w:rsid w:val="009C08DB"/>
    <w:rsid w:val="009C098C"/>
    <w:rsid w:val="009C0FDD"/>
    <w:rsid w:val="009C1780"/>
    <w:rsid w:val="009C1E2A"/>
    <w:rsid w:val="009C1FCB"/>
    <w:rsid w:val="009C2054"/>
    <w:rsid w:val="009C2962"/>
    <w:rsid w:val="009C296F"/>
    <w:rsid w:val="009C2A31"/>
    <w:rsid w:val="009C3205"/>
    <w:rsid w:val="009C32AF"/>
    <w:rsid w:val="009C3850"/>
    <w:rsid w:val="009C3980"/>
    <w:rsid w:val="009C4916"/>
    <w:rsid w:val="009C4C95"/>
    <w:rsid w:val="009C523E"/>
    <w:rsid w:val="009C5E69"/>
    <w:rsid w:val="009C6109"/>
    <w:rsid w:val="009C67C4"/>
    <w:rsid w:val="009C69EC"/>
    <w:rsid w:val="009C6B77"/>
    <w:rsid w:val="009C6C02"/>
    <w:rsid w:val="009C705D"/>
    <w:rsid w:val="009C771D"/>
    <w:rsid w:val="009C7731"/>
    <w:rsid w:val="009C7898"/>
    <w:rsid w:val="009C79BF"/>
    <w:rsid w:val="009C7B1D"/>
    <w:rsid w:val="009D01E1"/>
    <w:rsid w:val="009D182B"/>
    <w:rsid w:val="009D1F69"/>
    <w:rsid w:val="009D3461"/>
    <w:rsid w:val="009D3825"/>
    <w:rsid w:val="009D3A66"/>
    <w:rsid w:val="009D41E5"/>
    <w:rsid w:val="009D64C8"/>
    <w:rsid w:val="009D6E9A"/>
    <w:rsid w:val="009D71A3"/>
    <w:rsid w:val="009D7573"/>
    <w:rsid w:val="009D7646"/>
    <w:rsid w:val="009E0F37"/>
    <w:rsid w:val="009E1124"/>
    <w:rsid w:val="009E1312"/>
    <w:rsid w:val="009E19FB"/>
    <w:rsid w:val="009E1AE2"/>
    <w:rsid w:val="009E3F54"/>
    <w:rsid w:val="009E49A5"/>
    <w:rsid w:val="009E557D"/>
    <w:rsid w:val="009E56FF"/>
    <w:rsid w:val="009E60CD"/>
    <w:rsid w:val="009E64A7"/>
    <w:rsid w:val="009E78EF"/>
    <w:rsid w:val="009E79C3"/>
    <w:rsid w:val="009E7B11"/>
    <w:rsid w:val="009E7C4F"/>
    <w:rsid w:val="009F0206"/>
    <w:rsid w:val="009F039C"/>
    <w:rsid w:val="009F09F5"/>
    <w:rsid w:val="009F0B33"/>
    <w:rsid w:val="009F11BE"/>
    <w:rsid w:val="009F1417"/>
    <w:rsid w:val="009F1B9F"/>
    <w:rsid w:val="009F22CD"/>
    <w:rsid w:val="009F36FA"/>
    <w:rsid w:val="009F452E"/>
    <w:rsid w:val="009F4E99"/>
    <w:rsid w:val="009F4EF7"/>
    <w:rsid w:val="009F5411"/>
    <w:rsid w:val="009F5515"/>
    <w:rsid w:val="009F5D44"/>
    <w:rsid w:val="009F6421"/>
    <w:rsid w:val="009F7522"/>
    <w:rsid w:val="00A003A3"/>
    <w:rsid w:val="00A00677"/>
    <w:rsid w:val="00A01207"/>
    <w:rsid w:val="00A0166F"/>
    <w:rsid w:val="00A023D4"/>
    <w:rsid w:val="00A02407"/>
    <w:rsid w:val="00A02A36"/>
    <w:rsid w:val="00A02BAE"/>
    <w:rsid w:val="00A02CD0"/>
    <w:rsid w:val="00A02D13"/>
    <w:rsid w:val="00A02DD7"/>
    <w:rsid w:val="00A03832"/>
    <w:rsid w:val="00A038FF"/>
    <w:rsid w:val="00A03A34"/>
    <w:rsid w:val="00A043D9"/>
    <w:rsid w:val="00A05399"/>
    <w:rsid w:val="00A05452"/>
    <w:rsid w:val="00A054D9"/>
    <w:rsid w:val="00A062E6"/>
    <w:rsid w:val="00A06C51"/>
    <w:rsid w:val="00A0756F"/>
    <w:rsid w:val="00A075B0"/>
    <w:rsid w:val="00A10158"/>
    <w:rsid w:val="00A10C36"/>
    <w:rsid w:val="00A10DA5"/>
    <w:rsid w:val="00A11AB3"/>
    <w:rsid w:val="00A11B51"/>
    <w:rsid w:val="00A11F4B"/>
    <w:rsid w:val="00A122F9"/>
    <w:rsid w:val="00A12A53"/>
    <w:rsid w:val="00A132FE"/>
    <w:rsid w:val="00A13C65"/>
    <w:rsid w:val="00A148E1"/>
    <w:rsid w:val="00A14CA8"/>
    <w:rsid w:val="00A15998"/>
    <w:rsid w:val="00A160A3"/>
    <w:rsid w:val="00A16C9E"/>
    <w:rsid w:val="00A16DBE"/>
    <w:rsid w:val="00A1741E"/>
    <w:rsid w:val="00A201F3"/>
    <w:rsid w:val="00A20B43"/>
    <w:rsid w:val="00A20ECA"/>
    <w:rsid w:val="00A21018"/>
    <w:rsid w:val="00A2240E"/>
    <w:rsid w:val="00A22533"/>
    <w:rsid w:val="00A2330A"/>
    <w:rsid w:val="00A243C0"/>
    <w:rsid w:val="00A256C5"/>
    <w:rsid w:val="00A27349"/>
    <w:rsid w:val="00A27D56"/>
    <w:rsid w:val="00A30C19"/>
    <w:rsid w:val="00A318AF"/>
    <w:rsid w:val="00A32422"/>
    <w:rsid w:val="00A32572"/>
    <w:rsid w:val="00A3258C"/>
    <w:rsid w:val="00A328D9"/>
    <w:rsid w:val="00A329DE"/>
    <w:rsid w:val="00A3308E"/>
    <w:rsid w:val="00A33362"/>
    <w:rsid w:val="00A33AFD"/>
    <w:rsid w:val="00A33BA5"/>
    <w:rsid w:val="00A34A84"/>
    <w:rsid w:val="00A357DF"/>
    <w:rsid w:val="00A35A36"/>
    <w:rsid w:val="00A35DA4"/>
    <w:rsid w:val="00A35F80"/>
    <w:rsid w:val="00A36734"/>
    <w:rsid w:val="00A41279"/>
    <w:rsid w:val="00A414D2"/>
    <w:rsid w:val="00A415D9"/>
    <w:rsid w:val="00A41946"/>
    <w:rsid w:val="00A41A19"/>
    <w:rsid w:val="00A41CD8"/>
    <w:rsid w:val="00A42460"/>
    <w:rsid w:val="00A42814"/>
    <w:rsid w:val="00A42AC6"/>
    <w:rsid w:val="00A42B0C"/>
    <w:rsid w:val="00A42DA4"/>
    <w:rsid w:val="00A42FE3"/>
    <w:rsid w:val="00A430A0"/>
    <w:rsid w:val="00A4370F"/>
    <w:rsid w:val="00A43D45"/>
    <w:rsid w:val="00A440FC"/>
    <w:rsid w:val="00A4464F"/>
    <w:rsid w:val="00A44682"/>
    <w:rsid w:val="00A44C38"/>
    <w:rsid w:val="00A44C69"/>
    <w:rsid w:val="00A459E7"/>
    <w:rsid w:val="00A46390"/>
    <w:rsid w:val="00A46F7E"/>
    <w:rsid w:val="00A473FF"/>
    <w:rsid w:val="00A5012B"/>
    <w:rsid w:val="00A50356"/>
    <w:rsid w:val="00A505F1"/>
    <w:rsid w:val="00A50D78"/>
    <w:rsid w:val="00A511B7"/>
    <w:rsid w:val="00A51CD6"/>
    <w:rsid w:val="00A52105"/>
    <w:rsid w:val="00A523EA"/>
    <w:rsid w:val="00A53655"/>
    <w:rsid w:val="00A53CC5"/>
    <w:rsid w:val="00A5498D"/>
    <w:rsid w:val="00A54D0A"/>
    <w:rsid w:val="00A5572A"/>
    <w:rsid w:val="00A55BD2"/>
    <w:rsid w:val="00A55D62"/>
    <w:rsid w:val="00A560D3"/>
    <w:rsid w:val="00A56212"/>
    <w:rsid w:val="00A563D7"/>
    <w:rsid w:val="00A563E3"/>
    <w:rsid w:val="00A56C19"/>
    <w:rsid w:val="00A56C8F"/>
    <w:rsid w:val="00A56C94"/>
    <w:rsid w:val="00A57E14"/>
    <w:rsid w:val="00A600BE"/>
    <w:rsid w:val="00A60128"/>
    <w:rsid w:val="00A6070F"/>
    <w:rsid w:val="00A60856"/>
    <w:rsid w:val="00A616DE"/>
    <w:rsid w:val="00A61B9C"/>
    <w:rsid w:val="00A62657"/>
    <w:rsid w:val="00A636F0"/>
    <w:rsid w:val="00A639B4"/>
    <w:rsid w:val="00A63B97"/>
    <w:rsid w:val="00A63FFA"/>
    <w:rsid w:val="00A64903"/>
    <w:rsid w:val="00A64C72"/>
    <w:rsid w:val="00A64D02"/>
    <w:rsid w:val="00A64FD2"/>
    <w:rsid w:val="00A6545A"/>
    <w:rsid w:val="00A65687"/>
    <w:rsid w:val="00A65EB2"/>
    <w:rsid w:val="00A662C2"/>
    <w:rsid w:val="00A6683C"/>
    <w:rsid w:val="00A66B87"/>
    <w:rsid w:val="00A671EF"/>
    <w:rsid w:val="00A674BC"/>
    <w:rsid w:val="00A67DE8"/>
    <w:rsid w:val="00A70A10"/>
    <w:rsid w:val="00A70A64"/>
    <w:rsid w:val="00A70C5C"/>
    <w:rsid w:val="00A70CA1"/>
    <w:rsid w:val="00A712E0"/>
    <w:rsid w:val="00A7225B"/>
    <w:rsid w:val="00A724B7"/>
    <w:rsid w:val="00A72B42"/>
    <w:rsid w:val="00A73621"/>
    <w:rsid w:val="00A73833"/>
    <w:rsid w:val="00A742AA"/>
    <w:rsid w:val="00A74876"/>
    <w:rsid w:val="00A7598A"/>
    <w:rsid w:val="00A759E4"/>
    <w:rsid w:val="00A75F71"/>
    <w:rsid w:val="00A7652C"/>
    <w:rsid w:val="00A769ED"/>
    <w:rsid w:val="00A76C40"/>
    <w:rsid w:val="00A77064"/>
    <w:rsid w:val="00A77663"/>
    <w:rsid w:val="00A77A78"/>
    <w:rsid w:val="00A81996"/>
    <w:rsid w:val="00A81CF3"/>
    <w:rsid w:val="00A82337"/>
    <w:rsid w:val="00A825B1"/>
    <w:rsid w:val="00A8288C"/>
    <w:rsid w:val="00A829D3"/>
    <w:rsid w:val="00A82FE7"/>
    <w:rsid w:val="00A836D1"/>
    <w:rsid w:val="00A84121"/>
    <w:rsid w:val="00A84BA9"/>
    <w:rsid w:val="00A84BEB"/>
    <w:rsid w:val="00A850B1"/>
    <w:rsid w:val="00A853FF"/>
    <w:rsid w:val="00A86279"/>
    <w:rsid w:val="00A868F5"/>
    <w:rsid w:val="00A8739B"/>
    <w:rsid w:val="00A90C4E"/>
    <w:rsid w:val="00A90FBE"/>
    <w:rsid w:val="00A910F1"/>
    <w:rsid w:val="00A91610"/>
    <w:rsid w:val="00A91829"/>
    <w:rsid w:val="00A93177"/>
    <w:rsid w:val="00A93A98"/>
    <w:rsid w:val="00A957A9"/>
    <w:rsid w:val="00A95CD1"/>
    <w:rsid w:val="00A95F06"/>
    <w:rsid w:val="00A96393"/>
    <w:rsid w:val="00A97092"/>
    <w:rsid w:val="00A97593"/>
    <w:rsid w:val="00A97F7F"/>
    <w:rsid w:val="00A97F99"/>
    <w:rsid w:val="00AA01B6"/>
    <w:rsid w:val="00AA01DD"/>
    <w:rsid w:val="00AA0793"/>
    <w:rsid w:val="00AA0EAB"/>
    <w:rsid w:val="00AA102C"/>
    <w:rsid w:val="00AA1D62"/>
    <w:rsid w:val="00AA1DB5"/>
    <w:rsid w:val="00AA38C9"/>
    <w:rsid w:val="00AA3D61"/>
    <w:rsid w:val="00AA3DC9"/>
    <w:rsid w:val="00AA4B70"/>
    <w:rsid w:val="00AA5B20"/>
    <w:rsid w:val="00AA5E8A"/>
    <w:rsid w:val="00AA5FA1"/>
    <w:rsid w:val="00AA640F"/>
    <w:rsid w:val="00AA6897"/>
    <w:rsid w:val="00AA6B61"/>
    <w:rsid w:val="00AA7CB0"/>
    <w:rsid w:val="00AA7D82"/>
    <w:rsid w:val="00AB00A8"/>
    <w:rsid w:val="00AB033C"/>
    <w:rsid w:val="00AB051B"/>
    <w:rsid w:val="00AB194B"/>
    <w:rsid w:val="00AB1FB7"/>
    <w:rsid w:val="00AB2953"/>
    <w:rsid w:val="00AB35D2"/>
    <w:rsid w:val="00AB439C"/>
    <w:rsid w:val="00AB44CF"/>
    <w:rsid w:val="00AB4912"/>
    <w:rsid w:val="00AB4B9C"/>
    <w:rsid w:val="00AB52E5"/>
    <w:rsid w:val="00AB58D9"/>
    <w:rsid w:val="00AB6246"/>
    <w:rsid w:val="00AB69FE"/>
    <w:rsid w:val="00AB6C40"/>
    <w:rsid w:val="00AB7965"/>
    <w:rsid w:val="00AC093F"/>
    <w:rsid w:val="00AC0AC0"/>
    <w:rsid w:val="00AC0B0D"/>
    <w:rsid w:val="00AC1F9F"/>
    <w:rsid w:val="00AC3389"/>
    <w:rsid w:val="00AC3B66"/>
    <w:rsid w:val="00AC48F2"/>
    <w:rsid w:val="00AC4F97"/>
    <w:rsid w:val="00AC4FB5"/>
    <w:rsid w:val="00AC5276"/>
    <w:rsid w:val="00AC5376"/>
    <w:rsid w:val="00AC7031"/>
    <w:rsid w:val="00AC7422"/>
    <w:rsid w:val="00AC7CEA"/>
    <w:rsid w:val="00AC7F29"/>
    <w:rsid w:val="00AD0323"/>
    <w:rsid w:val="00AD0A21"/>
    <w:rsid w:val="00AD0CD6"/>
    <w:rsid w:val="00AD0E83"/>
    <w:rsid w:val="00AD1505"/>
    <w:rsid w:val="00AD1A1C"/>
    <w:rsid w:val="00AD1D8A"/>
    <w:rsid w:val="00AD221C"/>
    <w:rsid w:val="00AD24F0"/>
    <w:rsid w:val="00AD2A32"/>
    <w:rsid w:val="00AD2A74"/>
    <w:rsid w:val="00AD2C77"/>
    <w:rsid w:val="00AD2FEE"/>
    <w:rsid w:val="00AD3DD9"/>
    <w:rsid w:val="00AD4016"/>
    <w:rsid w:val="00AD4142"/>
    <w:rsid w:val="00AD4194"/>
    <w:rsid w:val="00AD4889"/>
    <w:rsid w:val="00AD54A0"/>
    <w:rsid w:val="00AD6A97"/>
    <w:rsid w:val="00AD7701"/>
    <w:rsid w:val="00AD7795"/>
    <w:rsid w:val="00AD78B2"/>
    <w:rsid w:val="00AD7C8A"/>
    <w:rsid w:val="00AD7E20"/>
    <w:rsid w:val="00AD7F86"/>
    <w:rsid w:val="00AE0FED"/>
    <w:rsid w:val="00AE14EF"/>
    <w:rsid w:val="00AE266C"/>
    <w:rsid w:val="00AE308F"/>
    <w:rsid w:val="00AE385F"/>
    <w:rsid w:val="00AE3FBE"/>
    <w:rsid w:val="00AE4BB6"/>
    <w:rsid w:val="00AE57B1"/>
    <w:rsid w:val="00AE59D7"/>
    <w:rsid w:val="00AE5B41"/>
    <w:rsid w:val="00AE5F3C"/>
    <w:rsid w:val="00AE747F"/>
    <w:rsid w:val="00AE793D"/>
    <w:rsid w:val="00AE7B27"/>
    <w:rsid w:val="00AE7DFB"/>
    <w:rsid w:val="00AE7E76"/>
    <w:rsid w:val="00AF03D1"/>
    <w:rsid w:val="00AF06DC"/>
    <w:rsid w:val="00AF0BA8"/>
    <w:rsid w:val="00AF145B"/>
    <w:rsid w:val="00AF1739"/>
    <w:rsid w:val="00AF1AE3"/>
    <w:rsid w:val="00AF2CD6"/>
    <w:rsid w:val="00AF3525"/>
    <w:rsid w:val="00AF3594"/>
    <w:rsid w:val="00AF3A38"/>
    <w:rsid w:val="00AF3D99"/>
    <w:rsid w:val="00AF3F21"/>
    <w:rsid w:val="00AF3FDB"/>
    <w:rsid w:val="00AF437D"/>
    <w:rsid w:val="00AF43C0"/>
    <w:rsid w:val="00AF4548"/>
    <w:rsid w:val="00AF46D1"/>
    <w:rsid w:val="00AF4DEE"/>
    <w:rsid w:val="00AF5643"/>
    <w:rsid w:val="00AF60E5"/>
    <w:rsid w:val="00AF750F"/>
    <w:rsid w:val="00B004B2"/>
    <w:rsid w:val="00B0065B"/>
    <w:rsid w:val="00B0086E"/>
    <w:rsid w:val="00B00D68"/>
    <w:rsid w:val="00B014C8"/>
    <w:rsid w:val="00B01879"/>
    <w:rsid w:val="00B01B75"/>
    <w:rsid w:val="00B01D44"/>
    <w:rsid w:val="00B022D5"/>
    <w:rsid w:val="00B02CDF"/>
    <w:rsid w:val="00B03592"/>
    <w:rsid w:val="00B0369C"/>
    <w:rsid w:val="00B04FC2"/>
    <w:rsid w:val="00B0504C"/>
    <w:rsid w:val="00B064D9"/>
    <w:rsid w:val="00B06D7A"/>
    <w:rsid w:val="00B079EB"/>
    <w:rsid w:val="00B07CB0"/>
    <w:rsid w:val="00B110C7"/>
    <w:rsid w:val="00B11172"/>
    <w:rsid w:val="00B120E7"/>
    <w:rsid w:val="00B121D3"/>
    <w:rsid w:val="00B12B0B"/>
    <w:rsid w:val="00B12DE6"/>
    <w:rsid w:val="00B13192"/>
    <w:rsid w:val="00B13391"/>
    <w:rsid w:val="00B137B9"/>
    <w:rsid w:val="00B141EF"/>
    <w:rsid w:val="00B143F6"/>
    <w:rsid w:val="00B144A3"/>
    <w:rsid w:val="00B152BF"/>
    <w:rsid w:val="00B15C21"/>
    <w:rsid w:val="00B15DD1"/>
    <w:rsid w:val="00B15E60"/>
    <w:rsid w:val="00B16671"/>
    <w:rsid w:val="00B169F9"/>
    <w:rsid w:val="00B21F92"/>
    <w:rsid w:val="00B221D2"/>
    <w:rsid w:val="00B227A0"/>
    <w:rsid w:val="00B227C1"/>
    <w:rsid w:val="00B2295E"/>
    <w:rsid w:val="00B22B74"/>
    <w:rsid w:val="00B23AEF"/>
    <w:rsid w:val="00B23FB6"/>
    <w:rsid w:val="00B2471D"/>
    <w:rsid w:val="00B24EF2"/>
    <w:rsid w:val="00B25442"/>
    <w:rsid w:val="00B25616"/>
    <w:rsid w:val="00B25CC5"/>
    <w:rsid w:val="00B263A9"/>
    <w:rsid w:val="00B2647D"/>
    <w:rsid w:val="00B2798F"/>
    <w:rsid w:val="00B305EA"/>
    <w:rsid w:val="00B30A37"/>
    <w:rsid w:val="00B30F3E"/>
    <w:rsid w:val="00B31AA5"/>
    <w:rsid w:val="00B31DF8"/>
    <w:rsid w:val="00B32728"/>
    <w:rsid w:val="00B32EBD"/>
    <w:rsid w:val="00B34675"/>
    <w:rsid w:val="00B34A85"/>
    <w:rsid w:val="00B35290"/>
    <w:rsid w:val="00B36171"/>
    <w:rsid w:val="00B36440"/>
    <w:rsid w:val="00B364C3"/>
    <w:rsid w:val="00B36C7D"/>
    <w:rsid w:val="00B37290"/>
    <w:rsid w:val="00B374F0"/>
    <w:rsid w:val="00B400B6"/>
    <w:rsid w:val="00B403DA"/>
    <w:rsid w:val="00B406C4"/>
    <w:rsid w:val="00B4135A"/>
    <w:rsid w:val="00B415C5"/>
    <w:rsid w:val="00B41868"/>
    <w:rsid w:val="00B41AAB"/>
    <w:rsid w:val="00B41CC5"/>
    <w:rsid w:val="00B41DB4"/>
    <w:rsid w:val="00B4247C"/>
    <w:rsid w:val="00B42A1B"/>
    <w:rsid w:val="00B42A3E"/>
    <w:rsid w:val="00B42D8D"/>
    <w:rsid w:val="00B433B0"/>
    <w:rsid w:val="00B436B8"/>
    <w:rsid w:val="00B43A51"/>
    <w:rsid w:val="00B4416B"/>
    <w:rsid w:val="00B44A8D"/>
    <w:rsid w:val="00B44CC3"/>
    <w:rsid w:val="00B456E7"/>
    <w:rsid w:val="00B45E8E"/>
    <w:rsid w:val="00B4758C"/>
    <w:rsid w:val="00B51140"/>
    <w:rsid w:val="00B520BA"/>
    <w:rsid w:val="00B523EB"/>
    <w:rsid w:val="00B52AC2"/>
    <w:rsid w:val="00B52C35"/>
    <w:rsid w:val="00B53436"/>
    <w:rsid w:val="00B538D8"/>
    <w:rsid w:val="00B53E56"/>
    <w:rsid w:val="00B54BB7"/>
    <w:rsid w:val="00B550DC"/>
    <w:rsid w:val="00B55C86"/>
    <w:rsid w:val="00B56488"/>
    <w:rsid w:val="00B56C87"/>
    <w:rsid w:val="00B5713C"/>
    <w:rsid w:val="00B57330"/>
    <w:rsid w:val="00B5789A"/>
    <w:rsid w:val="00B57D61"/>
    <w:rsid w:val="00B57EEA"/>
    <w:rsid w:val="00B6058E"/>
    <w:rsid w:val="00B60EB8"/>
    <w:rsid w:val="00B619E1"/>
    <w:rsid w:val="00B61D4F"/>
    <w:rsid w:val="00B62088"/>
    <w:rsid w:val="00B62AD4"/>
    <w:rsid w:val="00B62CE7"/>
    <w:rsid w:val="00B633B1"/>
    <w:rsid w:val="00B64A01"/>
    <w:rsid w:val="00B64F18"/>
    <w:rsid w:val="00B64F83"/>
    <w:rsid w:val="00B65E78"/>
    <w:rsid w:val="00B66157"/>
    <w:rsid w:val="00B6634B"/>
    <w:rsid w:val="00B6679E"/>
    <w:rsid w:val="00B66B49"/>
    <w:rsid w:val="00B672D2"/>
    <w:rsid w:val="00B67514"/>
    <w:rsid w:val="00B702AB"/>
    <w:rsid w:val="00B7043B"/>
    <w:rsid w:val="00B7062C"/>
    <w:rsid w:val="00B7073E"/>
    <w:rsid w:val="00B7187A"/>
    <w:rsid w:val="00B71FE4"/>
    <w:rsid w:val="00B72579"/>
    <w:rsid w:val="00B72888"/>
    <w:rsid w:val="00B731CB"/>
    <w:rsid w:val="00B732C7"/>
    <w:rsid w:val="00B741AB"/>
    <w:rsid w:val="00B74651"/>
    <w:rsid w:val="00B74B94"/>
    <w:rsid w:val="00B750DC"/>
    <w:rsid w:val="00B7527C"/>
    <w:rsid w:val="00B752D4"/>
    <w:rsid w:val="00B759C0"/>
    <w:rsid w:val="00B75D94"/>
    <w:rsid w:val="00B76465"/>
    <w:rsid w:val="00B768EF"/>
    <w:rsid w:val="00B7746F"/>
    <w:rsid w:val="00B77901"/>
    <w:rsid w:val="00B805B1"/>
    <w:rsid w:val="00B80ADF"/>
    <w:rsid w:val="00B80B15"/>
    <w:rsid w:val="00B818EE"/>
    <w:rsid w:val="00B8354A"/>
    <w:rsid w:val="00B83E26"/>
    <w:rsid w:val="00B83F88"/>
    <w:rsid w:val="00B8483F"/>
    <w:rsid w:val="00B848D2"/>
    <w:rsid w:val="00B84EDF"/>
    <w:rsid w:val="00B86D49"/>
    <w:rsid w:val="00B86E14"/>
    <w:rsid w:val="00B87E71"/>
    <w:rsid w:val="00B90318"/>
    <w:rsid w:val="00B90DC6"/>
    <w:rsid w:val="00B9179B"/>
    <w:rsid w:val="00B920FE"/>
    <w:rsid w:val="00B92CBD"/>
    <w:rsid w:val="00B92D78"/>
    <w:rsid w:val="00B940C9"/>
    <w:rsid w:val="00B9459C"/>
    <w:rsid w:val="00B94894"/>
    <w:rsid w:val="00B95AA9"/>
    <w:rsid w:val="00B962EF"/>
    <w:rsid w:val="00B96307"/>
    <w:rsid w:val="00B9785A"/>
    <w:rsid w:val="00BA027E"/>
    <w:rsid w:val="00BA143E"/>
    <w:rsid w:val="00BA16D2"/>
    <w:rsid w:val="00BA1ACE"/>
    <w:rsid w:val="00BA1C28"/>
    <w:rsid w:val="00BA2CB7"/>
    <w:rsid w:val="00BA36A3"/>
    <w:rsid w:val="00BA471C"/>
    <w:rsid w:val="00BA5AC6"/>
    <w:rsid w:val="00BA665A"/>
    <w:rsid w:val="00BA68D3"/>
    <w:rsid w:val="00BA6DAD"/>
    <w:rsid w:val="00BA75B9"/>
    <w:rsid w:val="00BA7CB0"/>
    <w:rsid w:val="00BB0047"/>
    <w:rsid w:val="00BB031E"/>
    <w:rsid w:val="00BB0596"/>
    <w:rsid w:val="00BB0FD3"/>
    <w:rsid w:val="00BB1B24"/>
    <w:rsid w:val="00BB2328"/>
    <w:rsid w:val="00BB2E78"/>
    <w:rsid w:val="00BB2F44"/>
    <w:rsid w:val="00BB3F5F"/>
    <w:rsid w:val="00BB4240"/>
    <w:rsid w:val="00BB4281"/>
    <w:rsid w:val="00BB6584"/>
    <w:rsid w:val="00BB6EEE"/>
    <w:rsid w:val="00BB70C2"/>
    <w:rsid w:val="00BB78C0"/>
    <w:rsid w:val="00BC050F"/>
    <w:rsid w:val="00BC0A85"/>
    <w:rsid w:val="00BC16B3"/>
    <w:rsid w:val="00BC197F"/>
    <w:rsid w:val="00BC1B88"/>
    <w:rsid w:val="00BC2116"/>
    <w:rsid w:val="00BC29C4"/>
    <w:rsid w:val="00BC2CE5"/>
    <w:rsid w:val="00BC2EC7"/>
    <w:rsid w:val="00BC320E"/>
    <w:rsid w:val="00BC349A"/>
    <w:rsid w:val="00BC36BF"/>
    <w:rsid w:val="00BC3CA2"/>
    <w:rsid w:val="00BC3E67"/>
    <w:rsid w:val="00BC5135"/>
    <w:rsid w:val="00BC5161"/>
    <w:rsid w:val="00BC58DB"/>
    <w:rsid w:val="00BC5CEB"/>
    <w:rsid w:val="00BC6592"/>
    <w:rsid w:val="00BC6723"/>
    <w:rsid w:val="00BC67DE"/>
    <w:rsid w:val="00BC7192"/>
    <w:rsid w:val="00BC744E"/>
    <w:rsid w:val="00BC78AB"/>
    <w:rsid w:val="00BC7BF2"/>
    <w:rsid w:val="00BC7EF2"/>
    <w:rsid w:val="00BD0032"/>
    <w:rsid w:val="00BD0663"/>
    <w:rsid w:val="00BD29E1"/>
    <w:rsid w:val="00BD44AF"/>
    <w:rsid w:val="00BD45BE"/>
    <w:rsid w:val="00BD49DC"/>
    <w:rsid w:val="00BD5544"/>
    <w:rsid w:val="00BD5B8C"/>
    <w:rsid w:val="00BD5C94"/>
    <w:rsid w:val="00BD6188"/>
    <w:rsid w:val="00BD626E"/>
    <w:rsid w:val="00BD690D"/>
    <w:rsid w:val="00BD6D99"/>
    <w:rsid w:val="00BD6DA2"/>
    <w:rsid w:val="00BD7A1A"/>
    <w:rsid w:val="00BD7C99"/>
    <w:rsid w:val="00BD7D02"/>
    <w:rsid w:val="00BE06E9"/>
    <w:rsid w:val="00BE074C"/>
    <w:rsid w:val="00BE08E5"/>
    <w:rsid w:val="00BE0E41"/>
    <w:rsid w:val="00BE108B"/>
    <w:rsid w:val="00BE17C7"/>
    <w:rsid w:val="00BE1939"/>
    <w:rsid w:val="00BE19A6"/>
    <w:rsid w:val="00BE221A"/>
    <w:rsid w:val="00BE2F3D"/>
    <w:rsid w:val="00BE311F"/>
    <w:rsid w:val="00BE3DC9"/>
    <w:rsid w:val="00BE5E19"/>
    <w:rsid w:val="00BE5E23"/>
    <w:rsid w:val="00BE600D"/>
    <w:rsid w:val="00BE616B"/>
    <w:rsid w:val="00BE6350"/>
    <w:rsid w:val="00BE6943"/>
    <w:rsid w:val="00BE6B58"/>
    <w:rsid w:val="00BE6C3E"/>
    <w:rsid w:val="00BE6D20"/>
    <w:rsid w:val="00BE6E84"/>
    <w:rsid w:val="00BE740B"/>
    <w:rsid w:val="00BE7B39"/>
    <w:rsid w:val="00BF02E6"/>
    <w:rsid w:val="00BF04DC"/>
    <w:rsid w:val="00BF0B49"/>
    <w:rsid w:val="00BF18FF"/>
    <w:rsid w:val="00BF1FAA"/>
    <w:rsid w:val="00BF23EE"/>
    <w:rsid w:val="00BF2700"/>
    <w:rsid w:val="00BF4C0B"/>
    <w:rsid w:val="00BF5531"/>
    <w:rsid w:val="00BF56A7"/>
    <w:rsid w:val="00BF5E11"/>
    <w:rsid w:val="00BF68FA"/>
    <w:rsid w:val="00BF717D"/>
    <w:rsid w:val="00BF7709"/>
    <w:rsid w:val="00BF7BA5"/>
    <w:rsid w:val="00BF7F6D"/>
    <w:rsid w:val="00C007B2"/>
    <w:rsid w:val="00C00BD3"/>
    <w:rsid w:val="00C010D3"/>
    <w:rsid w:val="00C0190B"/>
    <w:rsid w:val="00C01EC3"/>
    <w:rsid w:val="00C023B0"/>
    <w:rsid w:val="00C028A7"/>
    <w:rsid w:val="00C034C7"/>
    <w:rsid w:val="00C0359D"/>
    <w:rsid w:val="00C03D06"/>
    <w:rsid w:val="00C03D3A"/>
    <w:rsid w:val="00C03E49"/>
    <w:rsid w:val="00C05513"/>
    <w:rsid w:val="00C05C9E"/>
    <w:rsid w:val="00C05D26"/>
    <w:rsid w:val="00C06082"/>
    <w:rsid w:val="00C062A8"/>
    <w:rsid w:val="00C0638C"/>
    <w:rsid w:val="00C06ADB"/>
    <w:rsid w:val="00C06EDF"/>
    <w:rsid w:val="00C07C79"/>
    <w:rsid w:val="00C07DC1"/>
    <w:rsid w:val="00C10192"/>
    <w:rsid w:val="00C10C84"/>
    <w:rsid w:val="00C1142C"/>
    <w:rsid w:val="00C11823"/>
    <w:rsid w:val="00C1185A"/>
    <w:rsid w:val="00C120DE"/>
    <w:rsid w:val="00C12FCD"/>
    <w:rsid w:val="00C132DB"/>
    <w:rsid w:val="00C135AB"/>
    <w:rsid w:val="00C13E73"/>
    <w:rsid w:val="00C1491F"/>
    <w:rsid w:val="00C14D42"/>
    <w:rsid w:val="00C152BA"/>
    <w:rsid w:val="00C15EF1"/>
    <w:rsid w:val="00C166C0"/>
    <w:rsid w:val="00C1684B"/>
    <w:rsid w:val="00C171BD"/>
    <w:rsid w:val="00C17590"/>
    <w:rsid w:val="00C176CE"/>
    <w:rsid w:val="00C179DF"/>
    <w:rsid w:val="00C17A1C"/>
    <w:rsid w:val="00C17DB8"/>
    <w:rsid w:val="00C202EC"/>
    <w:rsid w:val="00C20729"/>
    <w:rsid w:val="00C215D3"/>
    <w:rsid w:val="00C21BF4"/>
    <w:rsid w:val="00C21D4A"/>
    <w:rsid w:val="00C21DBC"/>
    <w:rsid w:val="00C22047"/>
    <w:rsid w:val="00C225DF"/>
    <w:rsid w:val="00C229C7"/>
    <w:rsid w:val="00C22E72"/>
    <w:rsid w:val="00C234D9"/>
    <w:rsid w:val="00C2357D"/>
    <w:rsid w:val="00C23ABB"/>
    <w:rsid w:val="00C24230"/>
    <w:rsid w:val="00C244C7"/>
    <w:rsid w:val="00C25D41"/>
    <w:rsid w:val="00C26033"/>
    <w:rsid w:val="00C260A7"/>
    <w:rsid w:val="00C27364"/>
    <w:rsid w:val="00C273E2"/>
    <w:rsid w:val="00C277CB"/>
    <w:rsid w:val="00C305B1"/>
    <w:rsid w:val="00C30B40"/>
    <w:rsid w:val="00C3139B"/>
    <w:rsid w:val="00C31FBC"/>
    <w:rsid w:val="00C3224A"/>
    <w:rsid w:val="00C3232B"/>
    <w:rsid w:val="00C329A2"/>
    <w:rsid w:val="00C32E0E"/>
    <w:rsid w:val="00C3343F"/>
    <w:rsid w:val="00C3430F"/>
    <w:rsid w:val="00C344B9"/>
    <w:rsid w:val="00C346BF"/>
    <w:rsid w:val="00C34B50"/>
    <w:rsid w:val="00C35056"/>
    <w:rsid w:val="00C355CA"/>
    <w:rsid w:val="00C362A6"/>
    <w:rsid w:val="00C36953"/>
    <w:rsid w:val="00C376D4"/>
    <w:rsid w:val="00C37D26"/>
    <w:rsid w:val="00C4087A"/>
    <w:rsid w:val="00C40E5D"/>
    <w:rsid w:val="00C41558"/>
    <w:rsid w:val="00C41A9C"/>
    <w:rsid w:val="00C42C12"/>
    <w:rsid w:val="00C4357C"/>
    <w:rsid w:val="00C43843"/>
    <w:rsid w:val="00C4403F"/>
    <w:rsid w:val="00C44A28"/>
    <w:rsid w:val="00C44A67"/>
    <w:rsid w:val="00C461C7"/>
    <w:rsid w:val="00C463FC"/>
    <w:rsid w:val="00C4668A"/>
    <w:rsid w:val="00C509DF"/>
    <w:rsid w:val="00C51581"/>
    <w:rsid w:val="00C51A2F"/>
    <w:rsid w:val="00C525D3"/>
    <w:rsid w:val="00C5278B"/>
    <w:rsid w:val="00C529CF"/>
    <w:rsid w:val="00C534AD"/>
    <w:rsid w:val="00C53614"/>
    <w:rsid w:val="00C53D7F"/>
    <w:rsid w:val="00C53DBC"/>
    <w:rsid w:val="00C544BB"/>
    <w:rsid w:val="00C54691"/>
    <w:rsid w:val="00C54D21"/>
    <w:rsid w:val="00C5510C"/>
    <w:rsid w:val="00C5557E"/>
    <w:rsid w:val="00C56DF3"/>
    <w:rsid w:val="00C572FA"/>
    <w:rsid w:val="00C57993"/>
    <w:rsid w:val="00C57996"/>
    <w:rsid w:val="00C57FA0"/>
    <w:rsid w:val="00C6004C"/>
    <w:rsid w:val="00C60800"/>
    <w:rsid w:val="00C608DE"/>
    <w:rsid w:val="00C614AB"/>
    <w:rsid w:val="00C62897"/>
    <w:rsid w:val="00C62B33"/>
    <w:rsid w:val="00C62BEC"/>
    <w:rsid w:val="00C642CB"/>
    <w:rsid w:val="00C6462F"/>
    <w:rsid w:val="00C65756"/>
    <w:rsid w:val="00C65D4A"/>
    <w:rsid w:val="00C6653D"/>
    <w:rsid w:val="00C665E4"/>
    <w:rsid w:val="00C672A4"/>
    <w:rsid w:val="00C67438"/>
    <w:rsid w:val="00C67D1A"/>
    <w:rsid w:val="00C70431"/>
    <w:rsid w:val="00C70689"/>
    <w:rsid w:val="00C72928"/>
    <w:rsid w:val="00C72B56"/>
    <w:rsid w:val="00C73104"/>
    <w:rsid w:val="00C73342"/>
    <w:rsid w:val="00C739B3"/>
    <w:rsid w:val="00C73D12"/>
    <w:rsid w:val="00C741F9"/>
    <w:rsid w:val="00C744A8"/>
    <w:rsid w:val="00C74554"/>
    <w:rsid w:val="00C7498A"/>
    <w:rsid w:val="00C74A69"/>
    <w:rsid w:val="00C76214"/>
    <w:rsid w:val="00C764FC"/>
    <w:rsid w:val="00C76B5F"/>
    <w:rsid w:val="00C77106"/>
    <w:rsid w:val="00C77FDC"/>
    <w:rsid w:val="00C80E2E"/>
    <w:rsid w:val="00C81829"/>
    <w:rsid w:val="00C825EF"/>
    <w:rsid w:val="00C82E69"/>
    <w:rsid w:val="00C831E9"/>
    <w:rsid w:val="00C834F3"/>
    <w:rsid w:val="00C838CE"/>
    <w:rsid w:val="00C83903"/>
    <w:rsid w:val="00C83DE6"/>
    <w:rsid w:val="00C84956"/>
    <w:rsid w:val="00C84BE5"/>
    <w:rsid w:val="00C8552E"/>
    <w:rsid w:val="00C858AD"/>
    <w:rsid w:val="00C85F77"/>
    <w:rsid w:val="00C86488"/>
    <w:rsid w:val="00C8691E"/>
    <w:rsid w:val="00C86924"/>
    <w:rsid w:val="00C869EA"/>
    <w:rsid w:val="00C87248"/>
    <w:rsid w:val="00C87EB0"/>
    <w:rsid w:val="00C907D6"/>
    <w:rsid w:val="00C90D17"/>
    <w:rsid w:val="00C91135"/>
    <w:rsid w:val="00C9173F"/>
    <w:rsid w:val="00C9174E"/>
    <w:rsid w:val="00C92915"/>
    <w:rsid w:val="00C92C8E"/>
    <w:rsid w:val="00C93C75"/>
    <w:rsid w:val="00C93F1B"/>
    <w:rsid w:val="00C94097"/>
    <w:rsid w:val="00C94D3A"/>
    <w:rsid w:val="00C95E16"/>
    <w:rsid w:val="00C95FC9"/>
    <w:rsid w:val="00C964FD"/>
    <w:rsid w:val="00C968CF"/>
    <w:rsid w:val="00C96A9F"/>
    <w:rsid w:val="00C96C2D"/>
    <w:rsid w:val="00C96EB2"/>
    <w:rsid w:val="00C97307"/>
    <w:rsid w:val="00CA1780"/>
    <w:rsid w:val="00CA230E"/>
    <w:rsid w:val="00CA2321"/>
    <w:rsid w:val="00CA23EE"/>
    <w:rsid w:val="00CA2BEE"/>
    <w:rsid w:val="00CA3226"/>
    <w:rsid w:val="00CA4259"/>
    <w:rsid w:val="00CA4329"/>
    <w:rsid w:val="00CA458C"/>
    <w:rsid w:val="00CA45C0"/>
    <w:rsid w:val="00CA46A5"/>
    <w:rsid w:val="00CA6227"/>
    <w:rsid w:val="00CA690D"/>
    <w:rsid w:val="00CA6F9F"/>
    <w:rsid w:val="00CA75F0"/>
    <w:rsid w:val="00CA775C"/>
    <w:rsid w:val="00CA778E"/>
    <w:rsid w:val="00CA79EE"/>
    <w:rsid w:val="00CA7E6C"/>
    <w:rsid w:val="00CB035C"/>
    <w:rsid w:val="00CB06EA"/>
    <w:rsid w:val="00CB11C3"/>
    <w:rsid w:val="00CB1276"/>
    <w:rsid w:val="00CB1320"/>
    <w:rsid w:val="00CB139A"/>
    <w:rsid w:val="00CB15D8"/>
    <w:rsid w:val="00CB2177"/>
    <w:rsid w:val="00CB22CB"/>
    <w:rsid w:val="00CB23A9"/>
    <w:rsid w:val="00CB24D6"/>
    <w:rsid w:val="00CB2552"/>
    <w:rsid w:val="00CB28CB"/>
    <w:rsid w:val="00CB55C3"/>
    <w:rsid w:val="00CB6546"/>
    <w:rsid w:val="00CB70F6"/>
    <w:rsid w:val="00CB7B89"/>
    <w:rsid w:val="00CC0F44"/>
    <w:rsid w:val="00CC0FDF"/>
    <w:rsid w:val="00CC14D9"/>
    <w:rsid w:val="00CC1D08"/>
    <w:rsid w:val="00CC1D8C"/>
    <w:rsid w:val="00CC2143"/>
    <w:rsid w:val="00CC2376"/>
    <w:rsid w:val="00CC2CCF"/>
    <w:rsid w:val="00CC3040"/>
    <w:rsid w:val="00CC4436"/>
    <w:rsid w:val="00CC5009"/>
    <w:rsid w:val="00CC53EC"/>
    <w:rsid w:val="00CC5577"/>
    <w:rsid w:val="00CC5AE4"/>
    <w:rsid w:val="00CC5E10"/>
    <w:rsid w:val="00CC6300"/>
    <w:rsid w:val="00CC63D8"/>
    <w:rsid w:val="00CC6489"/>
    <w:rsid w:val="00CC6D48"/>
    <w:rsid w:val="00CD0162"/>
    <w:rsid w:val="00CD037C"/>
    <w:rsid w:val="00CD04B7"/>
    <w:rsid w:val="00CD07B3"/>
    <w:rsid w:val="00CD07F1"/>
    <w:rsid w:val="00CD0969"/>
    <w:rsid w:val="00CD0F3E"/>
    <w:rsid w:val="00CD1331"/>
    <w:rsid w:val="00CD1C76"/>
    <w:rsid w:val="00CD2EEA"/>
    <w:rsid w:val="00CD31D9"/>
    <w:rsid w:val="00CD39B3"/>
    <w:rsid w:val="00CD3C4F"/>
    <w:rsid w:val="00CD3D8E"/>
    <w:rsid w:val="00CD3E39"/>
    <w:rsid w:val="00CD3ED9"/>
    <w:rsid w:val="00CD43F5"/>
    <w:rsid w:val="00CD5548"/>
    <w:rsid w:val="00CD620D"/>
    <w:rsid w:val="00CD6685"/>
    <w:rsid w:val="00CD74AA"/>
    <w:rsid w:val="00CD7973"/>
    <w:rsid w:val="00CD7BDC"/>
    <w:rsid w:val="00CD7F84"/>
    <w:rsid w:val="00CD7FFA"/>
    <w:rsid w:val="00CE0430"/>
    <w:rsid w:val="00CE07E9"/>
    <w:rsid w:val="00CE0D27"/>
    <w:rsid w:val="00CE1489"/>
    <w:rsid w:val="00CE14A2"/>
    <w:rsid w:val="00CE21E3"/>
    <w:rsid w:val="00CE2ABB"/>
    <w:rsid w:val="00CE2D0A"/>
    <w:rsid w:val="00CE314C"/>
    <w:rsid w:val="00CE3996"/>
    <w:rsid w:val="00CE3B14"/>
    <w:rsid w:val="00CE3ECB"/>
    <w:rsid w:val="00CE4D76"/>
    <w:rsid w:val="00CE4DF7"/>
    <w:rsid w:val="00CE4EF7"/>
    <w:rsid w:val="00CE52FB"/>
    <w:rsid w:val="00CE5976"/>
    <w:rsid w:val="00CE72E5"/>
    <w:rsid w:val="00CE7DF7"/>
    <w:rsid w:val="00CE7EC9"/>
    <w:rsid w:val="00CF0638"/>
    <w:rsid w:val="00CF07D1"/>
    <w:rsid w:val="00CF0B9A"/>
    <w:rsid w:val="00CF0D38"/>
    <w:rsid w:val="00CF1140"/>
    <w:rsid w:val="00CF1959"/>
    <w:rsid w:val="00CF2595"/>
    <w:rsid w:val="00CF2E03"/>
    <w:rsid w:val="00CF2F0B"/>
    <w:rsid w:val="00CF3808"/>
    <w:rsid w:val="00CF3FB3"/>
    <w:rsid w:val="00CF40BC"/>
    <w:rsid w:val="00CF4899"/>
    <w:rsid w:val="00CF50DB"/>
    <w:rsid w:val="00CF533A"/>
    <w:rsid w:val="00CF539E"/>
    <w:rsid w:val="00CF5498"/>
    <w:rsid w:val="00CF5D29"/>
    <w:rsid w:val="00CF6257"/>
    <w:rsid w:val="00CF7B22"/>
    <w:rsid w:val="00D00754"/>
    <w:rsid w:val="00D0162F"/>
    <w:rsid w:val="00D01852"/>
    <w:rsid w:val="00D01D89"/>
    <w:rsid w:val="00D02C41"/>
    <w:rsid w:val="00D02F42"/>
    <w:rsid w:val="00D030BA"/>
    <w:rsid w:val="00D032E8"/>
    <w:rsid w:val="00D03697"/>
    <w:rsid w:val="00D03964"/>
    <w:rsid w:val="00D04165"/>
    <w:rsid w:val="00D0443D"/>
    <w:rsid w:val="00D05094"/>
    <w:rsid w:val="00D0567F"/>
    <w:rsid w:val="00D059DB"/>
    <w:rsid w:val="00D05F3B"/>
    <w:rsid w:val="00D0615D"/>
    <w:rsid w:val="00D07336"/>
    <w:rsid w:val="00D07CA4"/>
    <w:rsid w:val="00D07F30"/>
    <w:rsid w:val="00D1055E"/>
    <w:rsid w:val="00D10760"/>
    <w:rsid w:val="00D11E24"/>
    <w:rsid w:val="00D12903"/>
    <w:rsid w:val="00D12D4F"/>
    <w:rsid w:val="00D1334E"/>
    <w:rsid w:val="00D13F20"/>
    <w:rsid w:val="00D13F97"/>
    <w:rsid w:val="00D14723"/>
    <w:rsid w:val="00D14A09"/>
    <w:rsid w:val="00D1547E"/>
    <w:rsid w:val="00D15B34"/>
    <w:rsid w:val="00D15E1E"/>
    <w:rsid w:val="00D1635A"/>
    <w:rsid w:val="00D16372"/>
    <w:rsid w:val="00D1662F"/>
    <w:rsid w:val="00D16790"/>
    <w:rsid w:val="00D16F78"/>
    <w:rsid w:val="00D17022"/>
    <w:rsid w:val="00D1707E"/>
    <w:rsid w:val="00D17E95"/>
    <w:rsid w:val="00D2022A"/>
    <w:rsid w:val="00D20285"/>
    <w:rsid w:val="00D209A1"/>
    <w:rsid w:val="00D22138"/>
    <w:rsid w:val="00D23475"/>
    <w:rsid w:val="00D2430D"/>
    <w:rsid w:val="00D24EAC"/>
    <w:rsid w:val="00D2524A"/>
    <w:rsid w:val="00D257DD"/>
    <w:rsid w:val="00D269B4"/>
    <w:rsid w:val="00D26BB4"/>
    <w:rsid w:val="00D30519"/>
    <w:rsid w:val="00D3184F"/>
    <w:rsid w:val="00D31E75"/>
    <w:rsid w:val="00D33EA1"/>
    <w:rsid w:val="00D341DF"/>
    <w:rsid w:val="00D34608"/>
    <w:rsid w:val="00D347E7"/>
    <w:rsid w:val="00D34B23"/>
    <w:rsid w:val="00D35761"/>
    <w:rsid w:val="00D3647D"/>
    <w:rsid w:val="00D36893"/>
    <w:rsid w:val="00D37AD7"/>
    <w:rsid w:val="00D40535"/>
    <w:rsid w:val="00D41886"/>
    <w:rsid w:val="00D42810"/>
    <w:rsid w:val="00D4300F"/>
    <w:rsid w:val="00D43432"/>
    <w:rsid w:val="00D45111"/>
    <w:rsid w:val="00D45137"/>
    <w:rsid w:val="00D459BD"/>
    <w:rsid w:val="00D45A64"/>
    <w:rsid w:val="00D45FF0"/>
    <w:rsid w:val="00D46C4A"/>
    <w:rsid w:val="00D47370"/>
    <w:rsid w:val="00D479DC"/>
    <w:rsid w:val="00D50353"/>
    <w:rsid w:val="00D50B53"/>
    <w:rsid w:val="00D51053"/>
    <w:rsid w:val="00D515FA"/>
    <w:rsid w:val="00D52246"/>
    <w:rsid w:val="00D52363"/>
    <w:rsid w:val="00D523C0"/>
    <w:rsid w:val="00D52532"/>
    <w:rsid w:val="00D52AE5"/>
    <w:rsid w:val="00D52C54"/>
    <w:rsid w:val="00D5308E"/>
    <w:rsid w:val="00D53214"/>
    <w:rsid w:val="00D536E6"/>
    <w:rsid w:val="00D53DA2"/>
    <w:rsid w:val="00D54A02"/>
    <w:rsid w:val="00D551ED"/>
    <w:rsid w:val="00D55D8D"/>
    <w:rsid w:val="00D56A7A"/>
    <w:rsid w:val="00D56D2D"/>
    <w:rsid w:val="00D573CB"/>
    <w:rsid w:val="00D614B7"/>
    <w:rsid w:val="00D6165E"/>
    <w:rsid w:val="00D61753"/>
    <w:rsid w:val="00D617E2"/>
    <w:rsid w:val="00D61DF0"/>
    <w:rsid w:val="00D63881"/>
    <w:rsid w:val="00D63E96"/>
    <w:rsid w:val="00D643A2"/>
    <w:rsid w:val="00D643C4"/>
    <w:rsid w:val="00D64434"/>
    <w:rsid w:val="00D64801"/>
    <w:rsid w:val="00D649F8"/>
    <w:rsid w:val="00D654D4"/>
    <w:rsid w:val="00D66980"/>
    <w:rsid w:val="00D7009B"/>
    <w:rsid w:val="00D70BC0"/>
    <w:rsid w:val="00D711A9"/>
    <w:rsid w:val="00D711FF"/>
    <w:rsid w:val="00D71F9B"/>
    <w:rsid w:val="00D725FB"/>
    <w:rsid w:val="00D7274C"/>
    <w:rsid w:val="00D72ABB"/>
    <w:rsid w:val="00D72EE5"/>
    <w:rsid w:val="00D73004"/>
    <w:rsid w:val="00D732DC"/>
    <w:rsid w:val="00D7373E"/>
    <w:rsid w:val="00D75BE3"/>
    <w:rsid w:val="00D75CB9"/>
    <w:rsid w:val="00D76752"/>
    <w:rsid w:val="00D76F59"/>
    <w:rsid w:val="00D7709A"/>
    <w:rsid w:val="00D772C2"/>
    <w:rsid w:val="00D774B9"/>
    <w:rsid w:val="00D7787E"/>
    <w:rsid w:val="00D80766"/>
    <w:rsid w:val="00D81520"/>
    <w:rsid w:val="00D81784"/>
    <w:rsid w:val="00D83A86"/>
    <w:rsid w:val="00D8503B"/>
    <w:rsid w:val="00D851A3"/>
    <w:rsid w:val="00D85220"/>
    <w:rsid w:val="00D85463"/>
    <w:rsid w:val="00D85C23"/>
    <w:rsid w:val="00D86A51"/>
    <w:rsid w:val="00D90542"/>
    <w:rsid w:val="00D9219E"/>
    <w:rsid w:val="00D9365D"/>
    <w:rsid w:val="00D93932"/>
    <w:rsid w:val="00D93A5D"/>
    <w:rsid w:val="00D93CB0"/>
    <w:rsid w:val="00D9415D"/>
    <w:rsid w:val="00D94C82"/>
    <w:rsid w:val="00D94E8E"/>
    <w:rsid w:val="00D95921"/>
    <w:rsid w:val="00D95F42"/>
    <w:rsid w:val="00D96A54"/>
    <w:rsid w:val="00D96E85"/>
    <w:rsid w:val="00D972CB"/>
    <w:rsid w:val="00D97333"/>
    <w:rsid w:val="00D979E3"/>
    <w:rsid w:val="00D97E44"/>
    <w:rsid w:val="00DA06EB"/>
    <w:rsid w:val="00DA0EBB"/>
    <w:rsid w:val="00DA1DAF"/>
    <w:rsid w:val="00DA27A0"/>
    <w:rsid w:val="00DA2E85"/>
    <w:rsid w:val="00DA3501"/>
    <w:rsid w:val="00DA38C2"/>
    <w:rsid w:val="00DA3BC5"/>
    <w:rsid w:val="00DA46F8"/>
    <w:rsid w:val="00DA495A"/>
    <w:rsid w:val="00DA4998"/>
    <w:rsid w:val="00DA64CE"/>
    <w:rsid w:val="00DA6D22"/>
    <w:rsid w:val="00DA6ECA"/>
    <w:rsid w:val="00DA7EA0"/>
    <w:rsid w:val="00DB0792"/>
    <w:rsid w:val="00DB0F09"/>
    <w:rsid w:val="00DB12C9"/>
    <w:rsid w:val="00DB1C84"/>
    <w:rsid w:val="00DB2BA7"/>
    <w:rsid w:val="00DB2BE7"/>
    <w:rsid w:val="00DB2D20"/>
    <w:rsid w:val="00DB2DEC"/>
    <w:rsid w:val="00DB3628"/>
    <w:rsid w:val="00DB40F5"/>
    <w:rsid w:val="00DB4BF7"/>
    <w:rsid w:val="00DB4C00"/>
    <w:rsid w:val="00DB6169"/>
    <w:rsid w:val="00DB6462"/>
    <w:rsid w:val="00DB6941"/>
    <w:rsid w:val="00DB74EB"/>
    <w:rsid w:val="00DB75E9"/>
    <w:rsid w:val="00DB7D20"/>
    <w:rsid w:val="00DC0BAE"/>
    <w:rsid w:val="00DC1424"/>
    <w:rsid w:val="00DC26DD"/>
    <w:rsid w:val="00DC2C43"/>
    <w:rsid w:val="00DC2DC5"/>
    <w:rsid w:val="00DC3849"/>
    <w:rsid w:val="00DC4099"/>
    <w:rsid w:val="00DC416C"/>
    <w:rsid w:val="00DC5666"/>
    <w:rsid w:val="00DC5808"/>
    <w:rsid w:val="00DC586A"/>
    <w:rsid w:val="00DC5B11"/>
    <w:rsid w:val="00DC62B9"/>
    <w:rsid w:val="00DC652F"/>
    <w:rsid w:val="00DC6DCB"/>
    <w:rsid w:val="00DC6E45"/>
    <w:rsid w:val="00DC73AE"/>
    <w:rsid w:val="00DC7907"/>
    <w:rsid w:val="00DC79E3"/>
    <w:rsid w:val="00DC7D9D"/>
    <w:rsid w:val="00DD03CE"/>
    <w:rsid w:val="00DD0CC6"/>
    <w:rsid w:val="00DD19A7"/>
    <w:rsid w:val="00DD2AC1"/>
    <w:rsid w:val="00DD3316"/>
    <w:rsid w:val="00DD3CAF"/>
    <w:rsid w:val="00DD4273"/>
    <w:rsid w:val="00DD4641"/>
    <w:rsid w:val="00DD4B0F"/>
    <w:rsid w:val="00DD5B7F"/>
    <w:rsid w:val="00DD74C8"/>
    <w:rsid w:val="00DD78A4"/>
    <w:rsid w:val="00DD7E22"/>
    <w:rsid w:val="00DE0333"/>
    <w:rsid w:val="00DE0758"/>
    <w:rsid w:val="00DE13DC"/>
    <w:rsid w:val="00DE1B37"/>
    <w:rsid w:val="00DE21AB"/>
    <w:rsid w:val="00DE3F9C"/>
    <w:rsid w:val="00DE460C"/>
    <w:rsid w:val="00DE4805"/>
    <w:rsid w:val="00DE6438"/>
    <w:rsid w:val="00DE6788"/>
    <w:rsid w:val="00DE6D11"/>
    <w:rsid w:val="00DE708A"/>
    <w:rsid w:val="00DE778B"/>
    <w:rsid w:val="00DE7A71"/>
    <w:rsid w:val="00DE7AB8"/>
    <w:rsid w:val="00DF0B2E"/>
    <w:rsid w:val="00DF1433"/>
    <w:rsid w:val="00DF1591"/>
    <w:rsid w:val="00DF1A57"/>
    <w:rsid w:val="00DF1B67"/>
    <w:rsid w:val="00DF2120"/>
    <w:rsid w:val="00DF2130"/>
    <w:rsid w:val="00DF2CDD"/>
    <w:rsid w:val="00DF2E3A"/>
    <w:rsid w:val="00DF463F"/>
    <w:rsid w:val="00DF46C8"/>
    <w:rsid w:val="00DF492D"/>
    <w:rsid w:val="00DF4F73"/>
    <w:rsid w:val="00DF68F8"/>
    <w:rsid w:val="00DF7089"/>
    <w:rsid w:val="00DF7C67"/>
    <w:rsid w:val="00E007C8"/>
    <w:rsid w:val="00E00939"/>
    <w:rsid w:val="00E00F77"/>
    <w:rsid w:val="00E0121A"/>
    <w:rsid w:val="00E01703"/>
    <w:rsid w:val="00E021ED"/>
    <w:rsid w:val="00E02287"/>
    <w:rsid w:val="00E027C0"/>
    <w:rsid w:val="00E02B50"/>
    <w:rsid w:val="00E02D80"/>
    <w:rsid w:val="00E03101"/>
    <w:rsid w:val="00E03185"/>
    <w:rsid w:val="00E039DE"/>
    <w:rsid w:val="00E03B81"/>
    <w:rsid w:val="00E03CAC"/>
    <w:rsid w:val="00E043B5"/>
    <w:rsid w:val="00E04AE0"/>
    <w:rsid w:val="00E05165"/>
    <w:rsid w:val="00E06B25"/>
    <w:rsid w:val="00E06CFC"/>
    <w:rsid w:val="00E073EC"/>
    <w:rsid w:val="00E0782D"/>
    <w:rsid w:val="00E1079E"/>
    <w:rsid w:val="00E10B6D"/>
    <w:rsid w:val="00E10FE1"/>
    <w:rsid w:val="00E116C4"/>
    <w:rsid w:val="00E117B6"/>
    <w:rsid w:val="00E11917"/>
    <w:rsid w:val="00E140EF"/>
    <w:rsid w:val="00E142F9"/>
    <w:rsid w:val="00E15E60"/>
    <w:rsid w:val="00E1606F"/>
    <w:rsid w:val="00E160E4"/>
    <w:rsid w:val="00E1630A"/>
    <w:rsid w:val="00E1650F"/>
    <w:rsid w:val="00E16528"/>
    <w:rsid w:val="00E16AD6"/>
    <w:rsid w:val="00E16BDE"/>
    <w:rsid w:val="00E16F0B"/>
    <w:rsid w:val="00E1794D"/>
    <w:rsid w:val="00E20973"/>
    <w:rsid w:val="00E209E8"/>
    <w:rsid w:val="00E2148F"/>
    <w:rsid w:val="00E2196E"/>
    <w:rsid w:val="00E21FCC"/>
    <w:rsid w:val="00E223F7"/>
    <w:rsid w:val="00E22A70"/>
    <w:rsid w:val="00E24580"/>
    <w:rsid w:val="00E249E6"/>
    <w:rsid w:val="00E252D0"/>
    <w:rsid w:val="00E25A41"/>
    <w:rsid w:val="00E25E2C"/>
    <w:rsid w:val="00E2657F"/>
    <w:rsid w:val="00E269B6"/>
    <w:rsid w:val="00E26AE9"/>
    <w:rsid w:val="00E30011"/>
    <w:rsid w:val="00E308C2"/>
    <w:rsid w:val="00E30F57"/>
    <w:rsid w:val="00E31380"/>
    <w:rsid w:val="00E32485"/>
    <w:rsid w:val="00E32980"/>
    <w:rsid w:val="00E330AE"/>
    <w:rsid w:val="00E33852"/>
    <w:rsid w:val="00E33897"/>
    <w:rsid w:val="00E338D7"/>
    <w:rsid w:val="00E338F3"/>
    <w:rsid w:val="00E3426E"/>
    <w:rsid w:val="00E3434E"/>
    <w:rsid w:val="00E3448E"/>
    <w:rsid w:val="00E34532"/>
    <w:rsid w:val="00E34CD7"/>
    <w:rsid w:val="00E35878"/>
    <w:rsid w:val="00E358DE"/>
    <w:rsid w:val="00E35E3D"/>
    <w:rsid w:val="00E35E87"/>
    <w:rsid w:val="00E36ED1"/>
    <w:rsid w:val="00E379B9"/>
    <w:rsid w:val="00E40463"/>
    <w:rsid w:val="00E40703"/>
    <w:rsid w:val="00E40DA0"/>
    <w:rsid w:val="00E415BD"/>
    <w:rsid w:val="00E41763"/>
    <w:rsid w:val="00E41949"/>
    <w:rsid w:val="00E41EB7"/>
    <w:rsid w:val="00E4246D"/>
    <w:rsid w:val="00E425E5"/>
    <w:rsid w:val="00E43E7B"/>
    <w:rsid w:val="00E43E89"/>
    <w:rsid w:val="00E443CF"/>
    <w:rsid w:val="00E444A5"/>
    <w:rsid w:val="00E44ECF"/>
    <w:rsid w:val="00E45641"/>
    <w:rsid w:val="00E456E6"/>
    <w:rsid w:val="00E46B4A"/>
    <w:rsid w:val="00E4778D"/>
    <w:rsid w:val="00E4790C"/>
    <w:rsid w:val="00E47A7A"/>
    <w:rsid w:val="00E50088"/>
    <w:rsid w:val="00E50118"/>
    <w:rsid w:val="00E50E5E"/>
    <w:rsid w:val="00E51B80"/>
    <w:rsid w:val="00E5276D"/>
    <w:rsid w:val="00E5288E"/>
    <w:rsid w:val="00E531FD"/>
    <w:rsid w:val="00E53743"/>
    <w:rsid w:val="00E53F91"/>
    <w:rsid w:val="00E5445B"/>
    <w:rsid w:val="00E544BA"/>
    <w:rsid w:val="00E546C5"/>
    <w:rsid w:val="00E55033"/>
    <w:rsid w:val="00E556D4"/>
    <w:rsid w:val="00E55A3D"/>
    <w:rsid w:val="00E561D7"/>
    <w:rsid w:val="00E56557"/>
    <w:rsid w:val="00E570E3"/>
    <w:rsid w:val="00E57107"/>
    <w:rsid w:val="00E571A8"/>
    <w:rsid w:val="00E576EA"/>
    <w:rsid w:val="00E5777B"/>
    <w:rsid w:val="00E60219"/>
    <w:rsid w:val="00E60D08"/>
    <w:rsid w:val="00E625D5"/>
    <w:rsid w:val="00E629E0"/>
    <w:rsid w:val="00E63731"/>
    <w:rsid w:val="00E63980"/>
    <w:rsid w:val="00E66281"/>
    <w:rsid w:val="00E6658B"/>
    <w:rsid w:val="00E66B1A"/>
    <w:rsid w:val="00E67772"/>
    <w:rsid w:val="00E7082E"/>
    <w:rsid w:val="00E708AB"/>
    <w:rsid w:val="00E70AEA"/>
    <w:rsid w:val="00E70F29"/>
    <w:rsid w:val="00E716E0"/>
    <w:rsid w:val="00E71C4B"/>
    <w:rsid w:val="00E71ED4"/>
    <w:rsid w:val="00E72039"/>
    <w:rsid w:val="00E72D1C"/>
    <w:rsid w:val="00E72E99"/>
    <w:rsid w:val="00E73875"/>
    <w:rsid w:val="00E74555"/>
    <w:rsid w:val="00E745CB"/>
    <w:rsid w:val="00E74B83"/>
    <w:rsid w:val="00E74D34"/>
    <w:rsid w:val="00E74D64"/>
    <w:rsid w:val="00E7571F"/>
    <w:rsid w:val="00E75760"/>
    <w:rsid w:val="00E75B2E"/>
    <w:rsid w:val="00E76303"/>
    <w:rsid w:val="00E768C2"/>
    <w:rsid w:val="00E771BD"/>
    <w:rsid w:val="00E77236"/>
    <w:rsid w:val="00E77A47"/>
    <w:rsid w:val="00E8018D"/>
    <w:rsid w:val="00E80990"/>
    <w:rsid w:val="00E81104"/>
    <w:rsid w:val="00E8127F"/>
    <w:rsid w:val="00E81352"/>
    <w:rsid w:val="00E82CBD"/>
    <w:rsid w:val="00E83DBD"/>
    <w:rsid w:val="00E83ED4"/>
    <w:rsid w:val="00E83EEE"/>
    <w:rsid w:val="00E8523E"/>
    <w:rsid w:val="00E85B24"/>
    <w:rsid w:val="00E85B2F"/>
    <w:rsid w:val="00E85B9B"/>
    <w:rsid w:val="00E86D39"/>
    <w:rsid w:val="00E870DE"/>
    <w:rsid w:val="00E879B2"/>
    <w:rsid w:val="00E903DC"/>
    <w:rsid w:val="00E90481"/>
    <w:rsid w:val="00E90508"/>
    <w:rsid w:val="00E90A07"/>
    <w:rsid w:val="00E90B0F"/>
    <w:rsid w:val="00E916A3"/>
    <w:rsid w:val="00E916C5"/>
    <w:rsid w:val="00E917AF"/>
    <w:rsid w:val="00E918A6"/>
    <w:rsid w:val="00E918B2"/>
    <w:rsid w:val="00E91C37"/>
    <w:rsid w:val="00E921A7"/>
    <w:rsid w:val="00E923CF"/>
    <w:rsid w:val="00E926DC"/>
    <w:rsid w:val="00E92775"/>
    <w:rsid w:val="00E9328C"/>
    <w:rsid w:val="00E9410F"/>
    <w:rsid w:val="00E948A0"/>
    <w:rsid w:val="00E94C79"/>
    <w:rsid w:val="00E952E7"/>
    <w:rsid w:val="00E954B1"/>
    <w:rsid w:val="00E95A76"/>
    <w:rsid w:val="00E96328"/>
    <w:rsid w:val="00E964FA"/>
    <w:rsid w:val="00E965BC"/>
    <w:rsid w:val="00E96D6E"/>
    <w:rsid w:val="00E9713F"/>
    <w:rsid w:val="00E97195"/>
    <w:rsid w:val="00E9764B"/>
    <w:rsid w:val="00E97802"/>
    <w:rsid w:val="00E97DE7"/>
    <w:rsid w:val="00EA01ED"/>
    <w:rsid w:val="00EA035A"/>
    <w:rsid w:val="00EA0669"/>
    <w:rsid w:val="00EA07AB"/>
    <w:rsid w:val="00EA1808"/>
    <w:rsid w:val="00EA1DC7"/>
    <w:rsid w:val="00EA2C6A"/>
    <w:rsid w:val="00EA2DD2"/>
    <w:rsid w:val="00EA379D"/>
    <w:rsid w:val="00EA39F7"/>
    <w:rsid w:val="00EA5D26"/>
    <w:rsid w:val="00EA6627"/>
    <w:rsid w:val="00EA68AB"/>
    <w:rsid w:val="00EB0245"/>
    <w:rsid w:val="00EB0F71"/>
    <w:rsid w:val="00EB17B4"/>
    <w:rsid w:val="00EB196B"/>
    <w:rsid w:val="00EB25D7"/>
    <w:rsid w:val="00EB2AC6"/>
    <w:rsid w:val="00EB2F7B"/>
    <w:rsid w:val="00EB30DA"/>
    <w:rsid w:val="00EB3249"/>
    <w:rsid w:val="00EB394B"/>
    <w:rsid w:val="00EB3BE6"/>
    <w:rsid w:val="00EB3CDB"/>
    <w:rsid w:val="00EB41BB"/>
    <w:rsid w:val="00EB44FB"/>
    <w:rsid w:val="00EB4705"/>
    <w:rsid w:val="00EB49DA"/>
    <w:rsid w:val="00EB4C66"/>
    <w:rsid w:val="00EB57AD"/>
    <w:rsid w:val="00EB6BE4"/>
    <w:rsid w:val="00EB6EE5"/>
    <w:rsid w:val="00EB7443"/>
    <w:rsid w:val="00EB78DE"/>
    <w:rsid w:val="00EC0B96"/>
    <w:rsid w:val="00EC198E"/>
    <w:rsid w:val="00EC25A1"/>
    <w:rsid w:val="00EC31E0"/>
    <w:rsid w:val="00EC34A6"/>
    <w:rsid w:val="00EC3DAF"/>
    <w:rsid w:val="00EC3F59"/>
    <w:rsid w:val="00EC3FEC"/>
    <w:rsid w:val="00EC4326"/>
    <w:rsid w:val="00EC4FA7"/>
    <w:rsid w:val="00EC5582"/>
    <w:rsid w:val="00EC563A"/>
    <w:rsid w:val="00EC59FC"/>
    <w:rsid w:val="00EC5F41"/>
    <w:rsid w:val="00EC602B"/>
    <w:rsid w:val="00EC62EE"/>
    <w:rsid w:val="00EC6BD3"/>
    <w:rsid w:val="00EC741D"/>
    <w:rsid w:val="00EC7A45"/>
    <w:rsid w:val="00ED031B"/>
    <w:rsid w:val="00ED0901"/>
    <w:rsid w:val="00ED0F9C"/>
    <w:rsid w:val="00ED178D"/>
    <w:rsid w:val="00ED17AA"/>
    <w:rsid w:val="00ED1A6A"/>
    <w:rsid w:val="00ED1E4E"/>
    <w:rsid w:val="00ED2453"/>
    <w:rsid w:val="00ED25A5"/>
    <w:rsid w:val="00ED2A73"/>
    <w:rsid w:val="00ED2D5E"/>
    <w:rsid w:val="00ED302E"/>
    <w:rsid w:val="00ED3296"/>
    <w:rsid w:val="00ED3467"/>
    <w:rsid w:val="00ED3D44"/>
    <w:rsid w:val="00ED4191"/>
    <w:rsid w:val="00ED41C7"/>
    <w:rsid w:val="00ED43B4"/>
    <w:rsid w:val="00ED4644"/>
    <w:rsid w:val="00ED521F"/>
    <w:rsid w:val="00ED563C"/>
    <w:rsid w:val="00ED5A8B"/>
    <w:rsid w:val="00ED6451"/>
    <w:rsid w:val="00ED6484"/>
    <w:rsid w:val="00ED7670"/>
    <w:rsid w:val="00ED7B65"/>
    <w:rsid w:val="00ED7FC3"/>
    <w:rsid w:val="00EE0D6B"/>
    <w:rsid w:val="00EE18B4"/>
    <w:rsid w:val="00EE1C1C"/>
    <w:rsid w:val="00EE1FC2"/>
    <w:rsid w:val="00EE207D"/>
    <w:rsid w:val="00EE4B80"/>
    <w:rsid w:val="00EE4D9A"/>
    <w:rsid w:val="00EE552E"/>
    <w:rsid w:val="00EE667B"/>
    <w:rsid w:val="00EE681E"/>
    <w:rsid w:val="00EE7A35"/>
    <w:rsid w:val="00EE7DAB"/>
    <w:rsid w:val="00EF08BD"/>
    <w:rsid w:val="00EF1055"/>
    <w:rsid w:val="00EF1427"/>
    <w:rsid w:val="00EF1612"/>
    <w:rsid w:val="00EF19DD"/>
    <w:rsid w:val="00EF240F"/>
    <w:rsid w:val="00EF264B"/>
    <w:rsid w:val="00EF2E43"/>
    <w:rsid w:val="00EF360D"/>
    <w:rsid w:val="00EF38D8"/>
    <w:rsid w:val="00EF3D7C"/>
    <w:rsid w:val="00EF4ED3"/>
    <w:rsid w:val="00EF50FD"/>
    <w:rsid w:val="00EF511E"/>
    <w:rsid w:val="00EF6A46"/>
    <w:rsid w:val="00EF6F5A"/>
    <w:rsid w:val="00EF73DA"/>
    <w:rsid w:val="00EF78A3"/>
    <w:rsid w:val="00F00B8E"/>
    <w:rsid w:val="00F020F5"/>
    <w:rsid w:val="00F02169"/>
    <w:rsid w:val="00F0249F"/>
    <w:rsid w:val="00F025B2"/>
    <w:rsid w:val="00F0296E"/>
    <w:rsid w:val="00F02C27"/>
    <w:rsid w:val="00F02FD6"/>
    <w:rsid w:val="00F02FE5"/>
    <w:rsid w:val="00F03274"/>
    <w:rsid w:val="00F04136"/>
    <w:rsid w:val="00F04151"/>
    <w:rsid w:val="00F04442"/>
    <w:rsid w:val="00F05010"/>
    <w:rsid w:val="00F0501D"/>
    <w:rsid w:val="00F05243"/>
    <w:rsid w:val="00F05B33"/>
    <w:rsid w:val="00F05C54"/>
    <w:rsid w:val="00F061A3"/>
    <w:rsid w:val="00F06B3C"/>
    <w:rsid w:val="00F07498"/>
    <w:rsid w:val="00F07E32"/>
    <w:rsid w:val="00F101A8"/>
    <w:rsid w:val="00F10311"/>
    <w:rsid w:val="00F109E8"/>
    <w:rsid w:val="00F10D9B"/>
    <w:rsid w:val="00F112CF"/>
    <w:rsid w:val="00F11723"/>
    <w:rsid w:val="00F119ED"/>
    <w:rsid w:val="00F11D17"/>
    <w:rsid w:val="00F139D6"/>
    <w:rsid w:val="00F13F9E"/>
    <w:rsid w:val="00F1416A"/>
    <w:rsid w:val="00F14DD7"/>
    <w:rsid w:val="00F15109"/>
    <w:rsid w:val="00F151AE"/>
    <w:rsid w:val="00F156A5"/>
    <w:rsid w:val="00F16A97"/>
    <w:rsid w:val="00F171A9"/>
    <w:rsid w:val="00F17ACF"/>
    <w:rsid w:val="00F17D38"/>
    <w:rsid w:val="00F20511"/>
    <w:rsid w:val="00F20D18"/>
    <w:rsid w:val="00F20E1F"/>
    <w:rsid w:val="00F21337"/>
    <w:rsid w:val="00F21F42"/>
    <w:rsid w:val="00F23C5A"/>
    <w:rsid w:val="00F248B8"/>
    <w:rsid w:val="00F25229"/>
    <w:rsid w:val="00F25D38"/>
    <w:rsid w:val="00F26CDA"/>
    <w:rsid w:val="00F26EBC"/>
    <w:rsid w:val="00F26F14"/>
    <w:rsid w:val="00F277B7"/>
    <w:rsid w:val="00F30C46"/>
    <w:rsid w:val="00F313B0"/>
    <w:rsid w:val="00F31565"/>
    <w:rsid w:val="00F315CB"/>
    <w:rsid w:val="00F31946"/>
    <w:rsid w:val="00F31C83"/>
    <w:rsid w:val="00F31F95"/>
    <w:rsid w:val="00F3267D"/>
    <w:rsid w:val="00F32EBF"/>
    <w:rsid w:val="00F330A4"/>
    <w:rsid w:val="00F338C4"/>
    <w:rsid w:val="00F33CD4"/>
    <w:rsid w:val="00F33DEE"/>
    <w:rsid w:val="00F33E4A"/>
    <w:rsid w:val="00F34B77"/>
    <w:rsid w:val="00F34C19"/>
    <w:rsid w:val="00F35271"/>
    <w:rsid w:val="00F35EE1"/>
    <w:rsid w:val="00F36344"/>
    <w:rsid w:val="00F36699"/>
    <w:rsid w:val="00F367F1"/>
    <w:rsid w:val="00F368E1"/>
    <w:rsid w:val="00F36922"/>
    <w:rsid w:val="00F369B6"/>
    <w:rsid w:val="00F371B8"/>
    <w:rsid w:val="00F3730E"/>
    <w:rsid w:val="00F375BE"/>
    <w:rsid w:val="00F3785C"/>
    <w:rsid w:val="00F37A0A"/>
    <w:rsid w:val="00F37E0F"/>
    <w:rsid w:val="00F400F3"/>
    <w:rsid w:val="00F404B5"/>
    <w:rsid w:val="00F40C79"/>
    <w:rsid w:val="00F40EFC"/>
    <w:rsid w:val="00F410A8"/>
    <w:rsid w:val="00F4125A"/>
    <w:rsid w:val="00F41575"/>
    <w:rsid w:val="00F4158A"/>
    <w:rsid w:val="00F41854"/>
    <w:rsid w:val="00F41D13"/>
    <w:rsid w:val="00F4218B"/>
    <w:rsid w:val="00F4233F"/>
    <w:rsid w:val="00F4253D"/>
    <w:rsid w:val="00F42B67"/>
    <w:rsid w:val="00F43E0B"/>
    <w:rsid w:val="00F444DF"/>
    <w:rsid w:val="00F4546C"/>
    <w:rsid w:val="00F47193"/>
    <w:rsid w:val="00F47301"/>
    <w:rsid w:val="00F477D3"/>
    <w:rsid w:val="00F47E75"/>
    <w:rsid w:val="00F47EB4"/>
    <w:rsid w:val="00F504BD"/>
    <w:rsid w:val="00F508BA"/>
    <w:rsid w:val="00F51D27"/>
    <w:rsid w:val="00F52837"/>
    <w:rsid w:val="00F531BB"/>
    <w:rsid w:val="00F53652"/>
    <w:rsid w:val="00F54A39"/>
    <w:rsid w:val="00F555EB"/>
    <w:rsid w:val="00F5592D"/>
    <w:rsid w:val="00F571B2"/>
    <w:rsid w:val="00F57593"/>
    <w:rsid w:val="00F57E34"/>
    <w:rsid w:val="00F60256"/>
    <w:rsid w:val="00F604E2"/>
    <w:rsid w:val="00F60DCD"/>
    <w:rsid w:val="00F6180E"/>
    <w:rsid w:val="00F61F08"/>
    <w:rsid w:val="00F628FF"/>
    <w:rsid w:val="00F62D2C"/>
    <w:rsid w:val="00F63305"/>
    <w:rsid w:val="00F6362A"/>
    <w:rsid w:val="00F63DC5"/>
    <w:rsid w:val="00F640D9"/>
    <w:rsid w:val="00F65414"/>
    <w:rsid w:val="00F65DBD"/>
    <w:rsid w:val="00F65F58"/>
    <w:rsid w:val="00F6608C"/>
    <w:rsid w:val="00F66558"/>
    <w:rsid w:val="00F67BD2"/>
    <w:rsid w:val="00F70253"/>
    <w:rsid w:val="00F70259"/>
    <w:rsid w:val="00F70362"/>
    <w:rsid w:val="00F70543"/>
    <w:rsid w:val="00F70645"/>
    <w:rsid w:val="00F70B47"/>
    <w:rsid w:val="00F71637"/>
    <w:rsid w:val="00F71879"/>
    <w:rsid w:val="00F72348"/>
    <w:rsid w:val="00F72701"/>
    <w:rsid w:val="00F732F8"/>
    <w:rsid w:val="00F73739"/>
    <w:rsid w:val="00F74C9C"/>
    <w:rsid w:val="00F754B1"/>
    <w:rsid w:val="00F768E3"/>
    <w:rsid w:val="00F76AB3"/>
    <w:rsid w:val="00F77F6B"/>
    <w:rsid w:val="00F808D2"/>
    <w:rsid w:val="00F808F7"/>
    <w:rsid w:val="00F80CF7"/>
    <w:rsid w:val="00F81407"/>
    <w:rsid w:val="00F81A73"/>
    <w:rsid w:val="00F82DCE"/>
    <w:rsid w:val="00F83E36"/>
    <w:rsid w:val="00F83FDB"/>
    <w:rsid w:val="00F853E1"/>
    <w:rsid w:val="00F8559A"/>
    <w:rsid w:val="00F85BC8"/>
    <w:rsid w:val="00F86777"/>
    <w:rsid w:val="00F86DDB"/>
    <w:rsid w:val="00F87F62"/>
    <w:rsid w:val="00F87F8D"/>
    <w:rsid w:val="00F90F36"/>
    <w:rsid w:val="00F90F86"/>
    <w:rsid w:val="00F911A7"/>
    <w:rsid w:val="00F913F3"/>
    <w:rsid w:val="00F91777"/>
    <w:rsid w:val="00F91B57"/>
    <w:rsid w:val="00F91D20"/>
    <w:rsid w:val="00F921D5"/>
    <w:rsid w:val="00F9230C"/>
    <w:rsid w:val="00F924FF"/>
    <w:rsid w:val="00F93656"/>
    <w:rsid w:val="00F93667"/>
    <w:rsid w:val="00F93C6F"/>
    <w:rsid w:val="00F953E0"/>
    <w:rsid w:val="00F95D9C"/>
    <w:rsid w:val="00F95E55"/>
    <w:rsid w:val="00F961C9"/>
    <w:rsid w:val="00F968DE"/>
    <w:rsid w:val="00F973CD"/>
    <w:rsid w:val="00FA07DE"/>
    <w:rsid w:val="00FA0841"/>
    <w:rsid w:val="00FA0976"/>
    <w:rsid w:val="00FA0C3F"/>
    <w:rsid w:val="00FA106D"/>
    <w:rsid w:val="00FA1CB2"/>
    <w:rsid w:val="00FA1FBC"/>
    <w:rsid w:val="00FA2D33"/>
    <w:rsid w:val="00FA2DE4"/>
    <w:rsid w:val="00FA360A"/>
    <w:rsid w:val="00FA3DC5"/>
    <w:rsid w:val="00FA3F3F"/>
    <w:rsid w:val="00FA45B6"/>
    <w:rsid w:val="00FA4A82"/>
    <w:rsid w:val="00FA4CD6"/>
    <w:rsid w:val="00FA4DDE"/>
    <w:rsid w:val="00FA60C2"/>
    <w:rsid w:val="00FA781E"/>
    <w:rsid w:val="00FA786C"/>
    <w:rsid w:val="00FA7AF9"/>
    <w:rsid w:val="00FB0123"/>
    <w:rsid w:val="00FB0280"/>
    <w:rsid w:val="00FB0F58"/>
    <w:rsid w:val="00FB1495"/>
    <w:rsid w:val="00FB1E79"/>
    <w:rsid w:val="00FB1F5A"/>
    <w:rsid w:val="00FB1FD6"/>
    <w:rsid w:val="00FB20CD"/>
    <w:rsid w:val="00FB2114"/>
    <w:rsid w:val="00FB290A"/>
    <w:rsid w:val="00FB2A5E"/>
    <w:rsid w:val="00FB2A91"/>
    <w:rsid w:val="00FB2DD0"/>
    <w:rsid w:val="00FB42AF"/>
    <w:rsid w:val="00FB4551"/>
    <w:rsid w:val="00FB4A61"/>
    <w:rsid w:val="00FB4ACE"/>
    <w:rsid w:val="00FB5179"/>
    <w:rsid w:val="00FB5C38"/>
    <w:rsid w:val="00FB5C47"/>
    <w:rsid w:val="00FB627B"/>
    <w:rsid w:val="00FB63B4"/>
    <w:rsid w:val="00FB644C"/>
    <w:rsid w:val="00FB6577"/>
    <w:rsid w:val="00FB6D7D"/>
    <w:rsid w:val="00FB73B0"/>
    <w:rsid w:val="00FB778D"/>
    <w:rsid w:val="00FC0F5F"/>
    <w:rsid w:val="00FC1CFD"/>
    <w:rsid w:val="00FC21FC"/>
    <w:rsid w:val="00FC252F"/>
    <w:rsid w:val="00FC267E"/>
    <w:rsid w:val="00FC33BD"/>
    <w:rsid w:val="00FC4945"/>
    <w:rsid w:val="00FC4AFD"/>
    <w:rsid w:val="00FC5823"/>
    <w:rsid w:val="00FC7299"/>
    <w:rsid w:val="00FC75F9"/>
    <w:rsid w:val="00FC78DB"/>
    <w:rsid w:val="00FC7C9A"/>
    <w:rsid w:val="00FD07EB"/>
    <w:rsid w:val="00FD0D4C"/>
    <w:rsid w:val="00FD0F3D"/>
    <w:rsid w:val="00FD1298"/>
    <w:rsid w:val="00FD21CB"/>
    <w:rsid w:val="00FD2729"/>
    <w:rsid w:val="00FD2946"/>
    <w:rsid w:val="00FD34C6"/>
    <w:rsid w:val="00FD4310"/>
    <w:rsid w:val="00FD46D8"/>
    <w:rsid w:val="00FD528C"/>
    <w:rsid w:val="00FD5FF1"/>
    <w:rsid w:val="00FD65F6"/>
    <w:rsid w:val="00FD6D2B"/>
    <w:rsid w:val="00FD6FF7"/>
    <w:rsid w:val="00FD7191"/>
    <w:rsid w:val="00FD7582"/>
    <w:rsid w:val="00FE0AD6"/>
    <w:rsid w:val="00FE0DC8"/>
    <w:rsid w:val="00FE1523"/>
    <w:rsid w:val="00FE1C16"/>
    <w:rsid w:val="00FE24FE"/>
    <w:rsid w:val="00FE39DA"/>
    <w:rsid w:val="00FE4442"/>
    <w:rsid w:val="00FE4597"/>
    <w:rsid w:val="00FE4701"/>
    <w:rsid w:val="00FE48AF"/>
    <w:rsid w:val="00FE4B26"/>
    <w:rsid w:val="00FE4FC0"/>
    <w:rsid w:val="00FE5320"/>
    <w:rsid w:val="00FE6036"/>
    <w:rsid w:val="00FE6112"/>
    <w:rsid w:val="00FE623C"/>
    <w:rsid w:val="00FE6850"/>
    <w:rsid w:val="00FE6F11"/>
    <w:rsid w:val="00FE72E0"/>
    <w:rsid w:val="00FF0645"/>
    <w:rsid w:val="00FF0B57"/>
    <w:rsid w:val="00FF0B89"/>
    <w:rsid w:val="00FF17D1"/>
    <w:rsid w:val="00FF1BC7"/>
    <w:rsid w:val="00FF1EB2"/>
    <w:rsid w:val="00FF1F8B"/>
    <w:rsid w:val="00FF2116"/>
    <w:rsid w:val="00FF22F9"/>
    <w:rsid w:val="00FF391D"/>
    <w:rsid w:val="00FF3BC5"/>
    <w:rsid w:val="00FF3D6C"/>
    <w:rsid w:val="00FF4A26"/>
    <w:rsid w:val="00FF4C91"/>
    <w:rsid w:val="00FF511B"/>
    <w:rsid w:val="00FF5270"/>
    <w:rsid w:val="00FF5355"/>
    <w:rsid w:val="00FF5881"/>
    <w:rsid w:val="00FF5AA6"/>
    <w:rsid w:val="00FF5B27"/>
    <w:rsid w:val="00FF62DE"/>
    <w:rsid w:val="00FF65B7"/>
    <w:rsid w:val="00FF757C"/>
    <w:rsid w:val="00FF75B2"/>
    <w:rsid w:val="00FF7B5C"/>
    <w:rsid w:val="00FF7C52"/>
    <w:rsid w:val="01E5762B"/>
    <w:rsid w:val="089F2D32"/>
    <w:rsid w:val="0DBF0C92"/>
    <w:rsid w:val="0E67394F"/>
    <w:rsid w:val="0F573AF1"/>
    <w:rsid w:val="12DC5633"/>
    <w:rsid w:val="15BC69E0"/>
    <w:rsid w:val="18CE6D66"/>
    <w:rsid w:val="1A6B797B"/>
    <w:rsid w:val="1CCE76F2"/>
    <w:rsid w:val="28D77703"/>
    <w:rsid w:val="2B8C7060"/>
    <w:rsid w:val="2CB3355D"/>
    <w:rsid w:val="304E4623"/>
    <w:rsid w:val="30CA6D7F"/>
    <w:rsid w:val="34D00A40"/>
    <w:rsid w:val="37B865B7"/>
    <w:rsid w:val="39B82532"/>
    <w:rsid w:val="3A816DA9"/>
    <w:rsid w:val="400D0616"/>
    <w:rsid w:val="40E13ADA"/>
    <w:rsid w:val="46A5568E"/>
    <w:rsid w:val="53C455BD"/>
    <w:rsid w:val="57F84CFB"/>
    <w:rsid w:val="5DC526A7"/>
    <w:rsid w:val="6120612A"/>
    <w:rsid w:val="61A563D4"/>
    <w:rsid w:val="6584257D"/>
    <w:rsid w:val="67F51384"/>
    <w:rsid w:val="680D36B8"/>
    <w:rsid w:val="68D63669"/>
    <w:rsid w:val="6AE84207"/>
    <w:rsid w:val="6C162508"/>
    <w:rsid w:val="6DD45A4A"/>
    <w:rsid w:val="71A0599E"/>
    <w:rsid w:val="72260473"/>
    <w:rsid w:val="751A4863"/>
    <w:rsid w:val="7B670A12"/>
    <w:rsid w:val="7CC07F9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nhideWhenUsed="0" w:uiPriority="0" w:semiHidden="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nhideWhenUsed="0" w:uiPriority="0" w:name="Document Map"/>
    <w:lsdException w:unhideWhenUsed="0" w:uiPriority="0" w:semiHidden="0" w:name="Plain Text"/>
    <w:lsdException w:uiPriority="0" w:name="E-mail Signature"/>
    <w:lsdException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styleId="2">
    <w:name w:val="heading 1"/>
    <w:basedOn w:val="3"/>
    <w:next w:val="1"/>
    <w:link w:val="141"/>
    <w:qFormat/>
    <w:uiPriority w:val="0"/>
    <w:pPr>
      <w:keepNext/>
      <w:keepLines/>
      <w:tabs>
        <w:tab w:val="center" w:pos="4153"/>
        <w:tab w:val="left" w:pos="5280"/>
        <w:tab w:val="right" w:pos="8306"/>
        <w:tab w:val="right" w:pos="9639"/>
      </w:tabs>
      <w:spacing w:line="360" w:lineRule="auto"/>
      <w:ind w:right="100" w:rightChars="100"/>
      <w:outlineLvl w:val="0"/>
    </w:pPr>
    <w:rPr>
      <w:rFonts w:ascii="宋体" w:hAnsi="宋体"/>
      <w:b w:val="0"/>
      <w:bCs w:val="0"/>
      <w:kern w:val="44"/>
      <w:szCs w:val="44"/>
    </w:rPr>
  </w:style>
  <w:style w:type="paragraph" w:styleId="5">
    <w:name w:val="heading 2"/>
    <w:basedOn w:val="1"/>
    <w:next w:val="6"/>
    <w:qFormat/>
    <w:uiPriority w:val="0"/>
    <w:pPr>
      <w:keepNext/>
      <w:keepLines/>
      <w:numPr>
        <w:ilvl w:val="1"/>
        <w:numId w:val="1"/>
      </w:numPr>
      <w:adjustRightInd/>
      <w:spacing w:before="260" w:after="260" w:line="416" w:lineRule="auto"/>
      <w:textAlignment w:val="auto"/>
      <w:outlineLvl w:val="1"/>
    </w:pPr>
    <w:rPr>
      <w:rFonts w:ascii="Arial" w:hAnsi="Arial" w:eastAsia="黑体"/>
      <w:b/>
      <w:kern w:val="2"/>
      <w:sz w:val="32"/>
    </w:rPr>
  </w:style>
  <w:style w:type="paragraph" w:styleId="7">
    <w:name w:val="heading 3"/>
    <w:basedOn w:val="1"/>
    <w:next w:val="1"/>
    <w:link w:val="143"/>
    <w:qFormat/>
    <w:uiPriority w:val="0"/>
    <w:pPr>
      <w:keepNext/>
      <w:keepLines/>
      <w:spacing w:before="260" w:after="260" w:line="416" w:lineRule="atLeast"/>
      <w:outlineLvl w:val="2"/>
    </w:pPr>
    <w:rPr>
      <w:b/>
      <w:bCs/>
      <w:sz w:val="32"/>
      <w:szCs w:val="32"/>
    </w:rPr>
  </w:style>
  <w:style w:type="paragraph" w:styleId="8">
    <w:name w:val="heading 4"/>
    <w:basedOn w:val="1"/>
    <w:next w:val="1"/>
    <w:link w:val="144"/>
    <w:qFormat/>
    <w:uiPriority w:val="0"/>
    <w:pPr>
      <w:numPr>
        <w:ilvl w:val="3"/>
        <w:numId w:val="1"/>
      </w:numPr>
      <w:spacing w:line="460" w:lineRule="exact"/>
      <w:jc w:val="left"/>
      <w:outlineLvl w:val="3"/>
    </w:pPr>
    <w:rPr>
      <w:sz w:val="24"/>
    </w:rPr>
  </w:style>
  <w:style w:type="paragraph" w:styleId="9">
    <w:name w:val="heading 5"/>
    <w:basedOn w:val="1"/>
    <w:next w:val="10"/>
    <w:qFormat/>
    <w:uiPriority w:val="0"/>
    <w:pPr>
      <w:widowControl/>
      <w:tabs>
        <w:tab w:val="left" w:pos="0"/>
      </w:tabs>
      <w:adjustRightInd/>
      <w:spacing w:before="240" w:after="60" w:line="240" w:lineRule="auto"/>
      <w:jc w:val="left"/>
      <w:textAlignment w:val="auto"/>
      <w:outlineLvl w:val="4"/>
    </w:pPr>
    <w:rPr>
      <w:b/>
      <w:sz w:val="22"/>
    </w:rPr>
  </w:style>
  <w:style w:type="paragraph" w:styleId="11">
    <w:name w:val="heading 6"/>
    <w:basedOn w:val="1"/>
    <w:next w:val="1"/>
    <w:link w:val="145"/>
    <w:qFormat/>
    <w:uiPriority w:val="0"/>
    <w:pPr>
      <w:spacing w:line="460" w:lineRule="exact"/>
      <w:jc w:val="left"/>
      <w:outlineLvl w:val="5"/>
    </w:pPr>
    <w:rPr>
      <w:sz w:val="24"/>
    </w:rPr>
  </w:style>
  <w:style w:type="paragraph" w:styleId="12">
    <w:name w:val="heading 7"/>
    <w:basedOn w:val="1"/>
    <w:next w:val="1"/>
    <w:link w:val="146"/>
    <w:qFormat/>
    <w:uiPriority w:val="0"/>
    <w:pPr>
      <w:spacing w:line="460" w:lineRule="exact"/>
      <w:jc w:val="left"/>
      <w:outlineLvl w:val="6"/>
    </w:pPr>
    <w:rPr>
      <w:sz w:val="24"/>
    </w:rPr>
  </w:style>
  <w:style w:type="paragraph" w:styleId="13">
    <w:name w:val="heading 8"/>
    <w:basedOn w:val="1"/>
    <w:next w:val="1"/>
    <w:link w:val="147"/>
    <w:qFormat/>
    <w:uiPriority w:val="0"/>
    <w:pPr>
      <w:spacing w:line="460" w:lineRule="exact"/>
      <w:jc w:val="left"/>
      <w:outlineLvl w:val="7"/>
    </w:pPr>
    <w:rPr>
      <w:sz w:val="24"/>
    </w:rPr>
  </w:style>
  <w:style w:type="paragraph" w:styleId="14">
    <w:name w:val="heading 9"/>
    <w:basedOn w:val="1"/>
    <w:next w:val="1"/>
    <w:link w:val="148"/>
    <w:qFormat/>
    <w:uiPriority w:val="0"/>
    <w:pPr>
      <w:keepNext/>
      <w:keepLines/>
      <w:spacing w:before="240" w:after="64" w:line="320" w:lineRule="atLeast"/>
      <w:jc w:val="left"/>
      <w:outlineLvl w:val="8"/>
    </w:pPr>
    <w:rPr>
      <w:rFonts w:ascii="Arial" w:hAnsi="Arial" w:eastAsia="黑体"/>
      <w:sz w:val="24"/>
    </w:rPr>
  </w:style>
  <w:style w:type="character" w:default="1" w:styleId="43">
    <w:name w:val="Default Paragraph Font"/>
    <w:semiHidden/>
    <w:unhideWhenUsed/>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customStyle="1" w:styleId="3">
    <w:name w:val="样式2"/>
    <w:basedOn w:val="4"/>
    <w:link w:val="73"/>
    <w:qFormat/>
    <w:uiPriority w:val="0"/>
    <w:pPr>
      <w:tabs>
        <w:tab w:val="center" w:pos="4153"/>
        <w:tab w:val="left" w:pos="5280"/>
        <w:tab w:val="right" w:pos="8306"/>
        <w:tab w:val="right" w:pos="9639"/>
      </w:tabs>
      <w:jc w:val="both"/>
    </w:pPr>
    <w:rPr>
      <w:b/>
      <w:bCs/>
    </w:rPr>
  </w:style>
  <w:style w:type="paragraph" w:styleId="4">
    <w:name w:val="header"/>
    <w:basedOn w:val="1"/>
    <w:link w:val="72"/>
    <w:qFormat/>
    <w:uiPriority w:val="0"/>
    <w:pPr>
      <w:tabs>
        <w:tab w:val="center" w:pos="4153"/>
        <w:tab w:val="right" w:pos="8306"/>
      </w:tabs>
      <w:snapToGrid w:val="0"/>
      <w:spacing w:line="240" w:lineRule="atLeast"/>
      <w:jc w:val="right"/>
    </w:pPr>
    <w:rPr>
      <w:sz w:val="24"/>
      <w:szCs w:val="24"/>
    </w:rPr>
  </w:style>
  <w:style w:type="paragraph" w:styleId="6">
    <w:name w:val="Normal Indent"/>
    <w:basedOn w:val="1"/>
    <w:link w:val="160"/>
    <w:qFormat/>
    <w:uiPriority w:val="0"/>
    <w:pPr>
      <w:adjustRightInd/>
      <w:spacing w:line="240" w:lineRule="auto"/>
      <w:ind w:firstLine="420"/>
      <w:textAlignment w:val="auto"/>
    </w:pPr>
    <w:rPr>
      <w:rFonts w:ascii="LinePrinter" w:hAnsi="LinePrinter"/>
      <w:kern w:val="2"/>
    </w:rPr>
  </w:style>
  <w:style w:type="paragraph" w:styleId="10">
    <w:name w:val="Body Text"/>
    <w:basedOn w:val="1"/>
    <w:link w:val="142"/>
    <w:qFormat/>
    <w:uiPriority w:val="0"/>
    <w:pPr>
      <w:widowControl/>
      <w:adjustRightInd/>
      <w:spacing w:after="60" w:line="240" w:lineRule="auto"/>
      <w:jc w:val="left"/>
      <w:textAlignment w:val="auto"/>
    </w:pPr>
    <w:rPr>
      <w:sz w:val="22"/>
    </w:rPr>
  </w:style>
  <w:style w:type="paragraph" w:styleId="15">
    <w:name w:val="toc 7"/>
    <w:basedOn w:val="1"/>
    <w:next w:val="1"/>
    <w:qFormat/>
    <w:uiPriority w:val="39"/>
    <w:pPr>
      <w:ind w:left="1260"/>
      <w:jc w:val="left"/>
    </w:pPr>
    <w:rPr>
      <w:rFonts w:asciiTheme="minorHAnsi" w:hAnsiTheme="minorHAnsi"/>
      <w:sz w:val="18"/>
      <w:szCs w:val="18"/>
    </w:rPr>
  </w:style>
  <w:style w:type="paragraph" w:styleId="16">
    <w:name w:val="Document Map"/>
    <w:basedOn w:val="1"/>
    <w:semiHidden/>
    <w:uiPriority w:val="0"/>
    <w:pPr>
      <w:shd w:val="clear" w:color="auto" w:fill="000080"/>
    </w:pPr>
  </w:style>
  <w:style w:type="paragraph" w:styleId="17">
    <w:name w:val="annotation text"/>
    <w:basedOn w:val="1"/>
    <w:semiHidden/>
    <w:uiPriority w:val="0"/>
    <w:pPr>
      <w:jc w:val="left"/>
    </w:pPr>
  </w:style>
  <w:style w:type="paragraph" w:styleId="18">
    <w:name w:val="Body Text Indent"/>
    <w:basedOn w:val="1"/>
    <w:link w:val="168"/>
    <w:uiPriority w:val="0"/>
    <w:pPr>
      <w:adjustRightInd/>
      <w:spacing w:line="400" w:lineRule="atLeast"/>
      <w:ind w:left="900"/>
      <w:textAlignment w:val="auto"/>
    </w:pPr>
    <w:rPr>
      <w:spacing w:val="10"/>
      <w:kern w:val="2"/>
      <w:sz w:val="24"/>
    </w:rPr>
  </w:style>
  <w:style w:type="paragraph" w:styleId="19">
    <w:name w:val="Block Text"/>
    <w:basedOn w:val="1"/>
    <w:qFormat/>
    <w:uiPriority w:val="0"/>
    <w:pPr>
      <w:tabs>
        <w:tab w:val="left" w:pos="0"/>
        <w:tab w:val="left" w:pos="105"/>
      </w:tabs>
      <w:adjustRightInd/>
      <w:spacing w:line="240" w:lineRule="auto"/>
      <w:ind w:left="540" w:right="294" w:hanging="260"/>
      <w:textAlignment w:val="auto"/>
    </w:pPr>
    <w:rPr>
      <w:rFonts w:ascii="宋体"/>
      <w:kern w:val="2"/>
      <w:sz w:val="28"/>
    </w:rPr>
  </w:style>
  <w:style w:type="paragraph" w:styleId="20">
    <w:name w:val="toc 5"/>
    <w:basedOn w:val="1"/>
    <w:next w:val="1"/>
    <w:qFormat/>
    <w:uiPriority w:val="39"/>
    <w:pPr>
      <w:ind w:left="840"/>
      <w:jc w:val="left"/>
    </w:pPr>
    <w:rPr>
      <w:rFonts w:asciiTheme="minorHAnsi" w:hAnsiTheme="minorHAnsi"/>
      <w:sz w:val="18"/>
      <w:szCs w:val="18"/>
    </w:rPr>
  </w:style>
  <w:style w:type="paragraph" w:styleId="21">
    <w:name w:val="toc 3"/>
    <w:basedOn w:val="1"/>
    <w:next w:val="1"/>
    <w:qFormat/>
    <w:uiPriority w:val="39"/>
    <w:pPr>
      <w:ind w:left="420"/>
      <w:jc w:val="left"/>
    </w:pPr>
    <w:rPr>
      <w:rFonts w:asciiTheme="minorHAnsi" w:hAnsiTheme="minorHAnsi"/>
      <w:i/>
      <w:iCs/>
      <w:sz w:val="20"/>
    </w:rPr>
  </w:style>
  <w:style w:type="paragraph" w:styleId="22">
    <w:name w:val="Plain Text"/>
    <w:basedOn w:val="1"/>
    <w:link w:val="112"/>
    <w:uiPriority w:val="0"/>
    <w:pPr>
      <w:adjustRightInd/>
      <w:spacing w:line="240" w:lineRule="auto"/>
      <w:textAlignment w:val="auto"/>
    </w:pPr>
    <w:rPr>
      <w:rFonts w:ascii="宋体" w:hAnsi="Courier New"/>
      <w:kern w:val="2"/>
    </w:rPr>
  </w:style>
  <w:style w:type="paragraph" w:styleId="23">
    <w:name w:val="toc 8"/>
    <w:basedOn w:val="1"/>
    <w:next w:val="1"/>
    <w:qFormat/>
    <w:uiPriority w:val="39"/>
    <w:pPr>
      <w:ind w:left="1470"/>
      <w:jc w:val="left"/>
    </w:pPr>
    <w:rPr>
      <w:rFonts w:asciiTheme="minorHAnsi" w:hAnsiTheme="minorHAnsi"/>
      <w:sz w:val="18"/>
      <w:szCs w:val="18"/>
    </w:rPr>
  </w:style>
  <w:style w:type="paragraph" w:styleId="24">
    <w:name w:val="Date"/>
    <w:basedOn w:val="1"/>
    <w:next w:val="1"/>
    <w:link w:val="109"/>
    <w:qFormat/>
    <w:uiPriority w:val="0"/>
    <w:pPr>
      <w:adjustRightInd/>
      <w:spacing w:line="240" w:lineRule="auto"/>
      <w:ind w:firstLine="200" w:firstLineChars="200"/>
      <w:textAlignment w:val="auto"/>
    </w:pPr>
    <w:rPr>
      <w:rFonts w:ascii="Arial" w:hAnsi="Arial"/>
      <w:kern w:val="2"/>
      <w:szCs w:val="21"/>
    </w:rPr>
  </w:style>
  <w:style w:type="paragraph" w:styleId="25">
    <w:name w:val="Body Text Indent 2"/>
    <w:basedOn w:val="1"/>
    <w:link w:val="152"/>
    <w:qFormat/>
    <w:uiPriority w:val="0"/>
    <w:pPr>
      <w:adjustRightInd/>
      <w:spacing w:before="60" w:after="60" w:line="360" w:lineRule="auto"/>
      <w:ind w:firstLine="482"/>
      <w:textAlignment w:val="auto"/>
    </w:pPr>
    <w:rPr>
      <w:color w:val="FF0000"/>
      <w:kern w:val="2"/>
      <w:sz w:val="24"/>
    </w:rPr>
  </w:style>
  <w:style w:type="paragraph" w:styleId="26">
    <w:name w:val="Balloon Text"/>
    <w:basedOn w:val="1"/>
    <w:semiHidden/>
    <w:uiPriority w:val="0"/>
    <w:rPr>
      <w:sz w:val="18"/>
      <w:szCs w:val="18"/>
    </w:rPr>
  </w:style>
  <w:style w:type="paragraph" w:styleId="27">
    <w:name w:val="footer"/>
    <w:basedOn w:val="1"/>
    <w:link w:val="123"/>
    <w:qFormat/>
    <w:uiPriority w:val="0"/>
    <w:pPr>
      <w:tabs>
        <w:tab w:val="center" w:pos="4153"/>
        <w:tab w:val="right" w:pos="8306"/>
      </w:tabs>
      <w:spacing w:line="240" w:lineRule="atLeast"/>
      <w:jc w:val="left"/>
    </w:pPr>
    <w:rPr>
      <w:sz w:val="18"/>
    </w:rPr>
  </w:style>
  <w:style w:type="paragraph" w:styleId="28">
    <w:name w:val="toc 1"/>
    <w:basedOn w:val="1"/>
    <w:next w:val="1"/>
    <w:qFormat/>
    <w:uiPriority w:val="39"/>
    <w:pPr>
      <w:spacing w:before="120" w:after="120"/>
      <w:jc w:val="left"/>
    </w:pPr>
    <w:rPr>
      <w:rFonts w:asciiTheme="minorHAnsi" w:hAnsiTheme="minorHAnsi"/>
      <w:b/>
      <w:bCs/>
      <w:caps/>
      <w:sz w:val="20"/>
    </w:rPr>
  </w:style>
  <w:style w:type="paragraph" w:styleId="29">
    <w:name w:val="toc 4"/>
    <w:basedOn w:val="1"/>
    <w:next w:val="1"/>
    <w:qFormat/>
    <w:uiPriority w:val="39"/>
    <w:pPr>
      <w:ind w:left="630"/>
      <w:jc w:val="left"/>
    </w:pPr>
    <w:rPr>
      <w:rFonts w:asciiTheme="minorHAnsi" w:hAnsiTheme="minorHAnsi"/>
      <w:sz w:val="18"/>
      <w:szCs w:val="18"/>
    </w:rPr>
  </w:style>
  <w:style w:type="paragraph" w:styleId="30">
    <w:name w:val="Subtitle"/>
    <w:basedOn w:val="1"/>
    <w:next w:val="1"/>
    <w:link w:val="176"/>
    <w:qFormat/>
    <w:uiPriority w:val="0"/>
    <w:pPr>
      <w:spacing w:before="240" w:after="60"/>
      <w:jc w:val="center"/>
      <w:outlineLvl w:val="1"/>
    </w:pPr>
    <w:rPr>
      <w:rFonts w:asciiTheme="majorHAnsi" w:hAnsiTheme="majorHAnsi" w:cstheme="majorBidi"/>
      <w:b/>
      <w:bCs/>
      <w:kern w:val="28"/>
      <w:sz w:val="32"/>
      <w:szCs w:val="32"/>
    </w:rPr>
  </w:style>
  <w:style w:type="paragraph" w:styleId="31">
    <w:name w:val="List"/>
    <w:basedOn w:val="1"/>
    <w:qFormat/>
    <w:uiPriority w:val="0"/>
    <w:pPr>
      <w:widowControl/>
      <w:overflowPunct w:val="0"/>
      <w:autoSpaceDE w:val="0"/>
      <w:autoSpaceDN w:val="0"/>
      <w:spacing w:line="240" w:lineRule="auto"/>
      <w:ind w:left="283" w:hanging="283"/>
      <w:jc w:val="left"/>
    </w:pPr>
    <w:rPr>
      <w:sz w:val="24"/>
      <w:lang w:val="en-GB"/>
    </w:rPr>
  </w:style>
  <w:style w:type="paragraph" w:styleId="32">
    <w:name w:val="toc 6"/>
    <w:basedOn w:val="1"/>
    <w:next w:val="1"/>
    <w:qFormat/>
    <w:uiPriority w:val="39"/>
    <w:pPr>
      <w:ind w:left="1050"/>
      <w:jc w:val="left"/>
    </w:pPr>
    <w:rPr>
      <w:rFonts w:asciiTheme="minorHAnsi" w:hAnsiTheme="minorHAnsi"/>
      <w:sz w:val="18"/>
      <w:szCs w:val="18"/>
    </w:rPr>
  </w:style>
  <w:style w:type="paragraph" w:styleId="33">
    <w:name w:val="Body Text Indent 3"/>
    <w:basedOn w:val="1"/>
    <w:qFormat/>
    <w:uiPriority w:val="0"/>
    <w:pPr>
      <w:adjustRightInd/>
      <w:spacing w:before="60" w:after="60" w:line="360" w:lineRule="auto"/>
      <w:ind w:firstLine="482"/>
      <w:textAlignment w:val="auto"/>
    </w:pPr>
    <w:rPr>
      <w:kern w:val="2"/>
      <w:sz w:val="24"/>
    </w:rPr>
  </w:style>
  <w:style w:type="paragraph" w:styleId="34">
    <w:name w:val="toc 2"/>
    <w:basedOn w:val="1"/>
    <w:next w:val="1"/>
    <w:qFormat/>
    <w:uiPriority w:val="39"/>
    <w:pPr>
      <w:ind w:left="210"/>
      <w:jc w:val="left"/>
    </w:pPr>
    <w:rPr>
      <w:rFonts w:asciiTheme="minorHAnsi" w:hAnsiTheme="minorHAnsi"/>
      <w:smallCaps/>
      <w:sz w:val="20"/>
    </w:rPr>
  </w:style>
  <w:style w:type="paragraph" w:styleId="35">
    <w:name w:val="toc 9"/>
    <w:basedOn w:val="1"/>
    <w:next w:val="1"/>
    <w:qFormat/>
    <w:uiPriority w:val="39"/>
    <w:pPr>
      <w:ind w:left="1680"/>
      <w:jc w:val="left"/>
    </w:pPr>
    <w:rPr>
      <w:rFonts w:asciiTheme="minorHAnsi" w:hAnsiTheme="minorHAnsi"/>
      <w:sz w:val="18"/>
      <w:szCs w:val="18"/>
    </w:rPr>
  </w:style>
  <w:style w:type="paragraph" w:styleId="36">
    <w:name w:val="Body Text 2"/>
    <w:basedOn w:val="1"/>
    <w:link w:val="151"/>
    <w:uiPriority w:val="0"/>
    <w:pPr>
      <w:adjustRightInd/>
      <w:spacing w:line="240" w:lineRule="auto"/>
      <w:textAlignment w:val="auto"/>
    </w:pPr>
    <w:rPr>
      <w:strike/>
      <w:color w:val="0000FF"/>
      <w:kern w:val="2"/>
      <w:sz w:val="30"/>
    </w:rPr>
  </w:style>
  <w:style w:type="paragraph" w:styleId="37">
    <w:name w:val="Normal (Web)"/>
    <w:basedOn w:val="1"/>
    <w:uiPriority w:val="0"/>
    <w:pPr>
      <w:widowControl/>
      <w:spacing w:before="284" w:after="100" w:afterAutospacing="1" w:line="360" w:lineRule="auto"/>
      <w:jc w:val="left"/>
    </w:pPr>
    <w:rPr>
      <w:rFonts w:ascii="宋体" w:hAnsi="宋体"/>
      <w:sz w:val="24"/>
    </w:rPr>
  </w:style>
  <w:style w:type="paragraph" w:styleId="38">
    <w:name w:val="Title"/>
    <w:basedOn w:val="1"/>
    <w:link w:val="125"/>
    <w:qFormat/>
    <w:uiPriority w:val="0"/>
    <w:pPr>
      <w:spacing w:before="240" w:after="60"/>
      <w:jc w:val="center"/>
      <w:outlineLvl w:val="0"/>
    </w:pPr>
    <w:rPr>
      <w:rFonts w:ascii="Arial" w:hAnsi="Arial" w:cs="Arial"/>
      <w:b/>
      <w:bCs/>
      <w:sz w:val="32"/>
      <w:szCs w:val="32"/>
    </w:rPr>
  </w:style>
  <w:style w:type="paragraph" w:styleId="39">
    <w:name w:val="annotation subject"/>
    <w:basedOn w:val="17"/>
    <w:next w:val="17"/>
    <w:semiHidden/>
    <w:uiPriority w:val="0"/>
    <w:rPr>
      <w:b/>
      <w:bCs/>
    </w:rPr>
  </w:style>
  <w:style w:type="paragraph" w:styleId="40">
    <w:name w:val="Body Text First Indent 2"/>
    <w:basedOn w:val="18"/>
    <w:link w:val="169"/>
    <w:qFormat/>
    <w:uiPriority w:val="0"/>
    <w:pPr>
      <w:topLinePunct/>
      <w:adjustRightInd w:val="0"/>
      <w:spacing w:after="120" w:line="530" w:lineRule="exact"/>
      <w:ind w:left="420" w:leftChars="200" w:firstLine="420" w:firstLineChars="200"/>
      <w:textAlignment w:val="baseline"/>
    </w:pPr>
    <w:rPr>
      <w:rFonts w:eastAsia="幼圆"/>
      <w:spacing w:val="0"/>
      <w:kern w:val="0"/>
      <w:sz w:val="26"/>
    </w:rPr>
  </w:style>
  <w:style w:type="table" w:styleId="42">
    <w:name w:val="Table Grid"/>
    <w:basedOn w:val="41"/>
    <w:uiPriority w:val="0"/>
    <w:pPr>
      <w:widowControl w:val="0"/>
      <w:adjustRightInd w:val="0"/>
      <w:spacing w:line="312"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0"/>
    <w:rPr>
      <w:b/>
      <w:bCs/>
    </w:rPr>
  </w:style>
  <w:style w:type="character" w:styleId="45">
    <w:name w:val="page number"/>
    <w:basedOn w:val="43"/>
    <w:qFormat/>
    <w:uiPriority w:val="0"/>
  </w:style>
  <w:style w:type="character" w:styleId="46">
    <w:name w:val="FollowedHyperlink"/>
    <w:basedOn w:val="43"/>
    <w:qFormat/>
    <w:uiPriority w:val="99"/>
    <w:rPr>
      <w:color w:val="800080"/>
      <w:u w:val="single"/>
    </w:rPr>
  </w:style>
  <w:style w:type="character" w:styleId="47">
    <w:name w:val="Hyperlink"/>
    <w:basedOn w:val="43"/>
    <w:qFormat/>
    <w:uiPriority w:val="99"/>
    <w:rPr>
      <w:color w:val="0000FF"/>
      <w:u w:val="single"/>
    </w:rPr>
  </w:style>
  <w:style w:type="character" w:styleId="48">
    <w:name w:val="annotation reference"/>
    <w:basedOn w:val="43"/>
    <w:semiHidden/>
    <w:uiPriority w:val="0"/>
    <w:rPr>
      <w:sz w:val="21"/>
      <w:szCs w:val="21"/>
    </w:rPr>
  </w:style>
  <w:style w:type="paragraph" w:customStyle="1" w:styleId="49">
    <w:name w:val="Char"/>
    <w:basedOn w:val="1"/>
    <w:semiHidden/>
    <w:qFormat/>
    <w:uiPriority w:val="0"/>
    <w:pPr>
      <w:adjustRightInd/>
      <w:spacing w:line="240" w:lineRule="auto"/>
      <w:textAlignment w:val="auto"/>
    </w:pPr>
    <w:rPr>
      <w:kern w:val="2"/>
      <w:szCs w:val="24"/>
    </w:rPr>
  </w:style>
  <w:style w:type="paragraph" w:customStyle="1" w:styleId="50">
    <w:name w:val="样式 首行缩进:  0 厘米 行距: 单倍行距 Char"/>
    <w:basedOn w:val="1"/>
    <w:uiPriority w:val="0"/>
    <w:pPr>
      <w:spacing w:line="240" w:lineRule="auto"/>
    </w:pPr>
    <w:rPr>
      <w:szCs w:val="21"/>
    </w:rPr>
  </w:style>
  <w:style w:type="paragraph" w:customStyle="1" w:styleId="51">
    <w:name w:val="样式 Arial 首行缩进:  2 字符"/>
    <w:basedOn w:val="1"/>
    <w:uiPriority w:val="0"/>
    <w:pPr>
      <w:adjustRightInd/>
      <w:spacing w:line="240" w:lineRule="auto"/>
      <w:ind w:firstLine="403" w:firstLineChars="200"/>
      <w:textAlignment w:val="auto"/>
    </w:pPr>
    <w:rPr>
      <w:rFonts w:cs="华文新魏"/>
      <w:kern w:val="2"/>
      <w:szCs w:val="21"/>
    </w:rPr>
  </w:style>
  <w:style w:type="character" w:customStyle="1" w:styleId="52">
    <w:name w:val="样式 Arial"/>
    <w:basedOn w:val="43"/>
    <w:qFormat/>
    <w:uiPriority w:val="0"/>
    <w:rPr>
      <w:rFonts w:hint="default" w:ascii="Times New Roman" w:hAnsi="Times New Roman" w:eastAsia="宋体" w:cs="Times New Roman"/>
      <w:sz w:val="21"/>
      <w:szCs w:val="21"/>
    </w:rPr>
  </w:style>
  <w:style w:type="paragraph" w:customStyle="1" w:styleId="53">
    <w:name w:val="样式 标题 1 + 首行缩进:  2 字符 段前: 1 行 段后: 1 行"/>
    <w:basedOn w:val="2"/>
    <w:uiPriority w:val="0"/>
    <w:pPr>
      <w:adjustRightInd/>
      <w:spacing w:beforeLines="100" w:afterLines="100" w:line="240" w:lineRule="auto"/>
      <w:textAlignment w:val="auto"/>
    </w:pPr>
    <w:rPr>
      <w:rFonts w:eastAsia="黑体" w:cs="华文新魏"/>
      <w:b/>
      <w:bCs/>
      <w:szCs w:val="20"/>
    </w:rPr>
  </w:style>
  <w:style w:type="paragraph" w:customStyle="1" w:styleId="54">
    <w:name w:val="样式 样式 标题 2 + 段前: 0.5 行 段后: 0.5 行 + 首行缩进:  2 字符 段前: 0.5 行 段后: 0..."/>
    <w:basedOn w:val="1"/>
    <w:uiPriority w:val="0"/>
    <w:pPr>
      <w:keepNext/>
      <w:keepLines/>
      <w:spacing w:beforeLines="50" w:afterLines="50" w:line="240" w:lineRule="auto"/>
      <w:jc w:val="left"/>
      <w:textAlignment w:val="auto"/>
      <w:outlineLvl w:val="1"/>
    </w:pPr>
    <w:rPr>
      <w:rFonts w:eastAsia="黑体" w:cs="华文新魏"/>
    </w:rPr>
  </w:style>
  <w:style w:type="character" w:customStyle="1" w:styleId="55">
    <w:name w:val="样式 标题 1 + 加粗 Char"/>
    <w:basedOn w:val="43"/>
    <w:qFormat/>
    <w:uiPriority w:val="0"/>
    <w:rPr>
      <w:rFonts w:eastAsia="黑体"/>
      <w:b/>
      <w:bCs/>
      <w:kern w:val="44"/>
      <w:sz w:val="28"/>
      <w:szCs w:val="28"/>
      <w:lang w:val="en-US" w:eastAsia="zh-CN" w:bidi="ar-SA"/>
    </w:rPr>
  </w:style>
  <w:style w:type="paragraph" w:customStyle="1" w:styleId="56">
    <w:name w:val="默认段落字体 Para Char Char Char Char Char"/>
    <w:basedOn w:val="1"/>
    <w:qFormat/>
    <w:uiPriority w:val="0"/>
    <w:pPr>
      <w:adjustRightInd/>
      <w:spacing w:line="240" w:lineRule="auto"/>
      <w:textAlignment w:val="auto"/>
    </w:pPr>
    <w:rPr>
      <w:rFonts w:ascii="宋体" w:hAnsi="宋体"/>
      <w:b/>
      <w:color w:val="000000"/>
      <w:kern w:val="2"/>
      <w:sz w:val="24"/>
      <w:szCs w:val="24"/>
    </w:rPr>
  </w:style>
  <w:style w:type="paragraph" w:customStyle="1" w:styleId="57">
    <w:name w:val="默认段落字体 Para Char Char Char Char"/>
    <w:basedOn w:val="1"/>
    <w:qFormat/>
    <w:uiPriority w:val="0"/>
    <w:pPr>
      <w:adjustRightInd/>
      <w:spacing w:line="240" w:lineRule="auto"/>
      <w:textAlignment w:val="auto"/>
    </w:pPr>
    <w:rPr>
      <w:kern w:val="2"/>
      <w:szCs w:val="24"/>
    </w:rPr>
  </w:style>
  <w:style w:type="paragraph" w:customStyle="1" w:styleId="58">
    <w:name w:val="段"/>
    <w:uiPriority w:val="0"/>
    <w:pPr>
      <w:autoSpaceDE w:val="0"/>
      <w:autoSpaceDN w:val="0"/>
      <w:spacing w:line="400" w:lineRule="exact"/>
      <w:ind w:firstLine="480" w:firstLineChars="200"/>
      <w:jc w:val="both"/>
    </w:pPr>
    <w:rPr>
      <w:rFonts w:ascii="Times New Roman" w:hAnsi="Times New Roman" w:eastAsia="宋体" w:cs="Times New Roman"/>
      <w:color w:val="000000"/>
      <w:sz w:val="24"/>
      <w:lang w:val="en-US" w:eastAsia="zh-CN" w:bidi="ar-SA"/>
    </w:rPr>
  </w:style>
  <w:style w:type="paragraph" w:customStyle="1" w:styleId="59">
    <w:name w:val="Heading TOC"/>
    <w:basedOn w:val="1"/>
    <w:next w:val="10"/>
    <w:qFormat/>
    <w:uiPriority w:val="0"/>
    <w:pPr>
      <w:widowControl/>
      <w:adjustRightInd/>
      <w:spacing w:line="240" w:lineRule="auto"/>
      <w:jc w:val="left"/>
      <w:textAlignment w:val="auto"/>
    </w:pPr>
    <w:rPr>
      <w:rFonts w:ascii="Arial" w:hAnsi="Arial"/>
      <w:b/>
      <w:sz w:val="36"/>
      <w:lang w:val="en-GB"/>
    </w:rPr>
  </w:style>
  <w:style w:type="paragraph" w:customStyle="1" w:styleId="60">
    <w:name w:val="Prompt"/>
    <w:basedOn w:val="1"/>
    <w:uiPriority w:val="0"/>
    <w:pPr>
      <w:widowControl/>
      <w:adjustRightInd/>
      <w:spacing w:line="240" w:lineRule="auto"/>
      <w:ind w:right="-2"/>
      <w:jc w:val="left"/>
      <w:textAlignment w:val="auto"/>
    </w:pPr>
    <w:rPr>
      <w:rFonts w:ascii="Arial" w:hAnsi="Arial"/>
      <w:sz w:val="16"/>
      <w:lang w:val="en-GB"/>
    </w:rPr>
  </w:style>
  <w:style w:type="paragraph" w:customStyle="1" w:styleId="61">
    <w:name w:val="Table"/>
    <w:basedOn w:val="1"/>
    <w:uiPriority w:val="0"/>
    <w:pPr>
      <w:widowControl/>
      <w:adjustRightInd/>
      <w:spacing w:before="40" w:after="40" w:line="240" w:lineRule="auto"/>
      <w:jc w:val="left"/>
      <w:textAlignment w:val="auto"/>
    </w:pPr>
    <w:rPr>
      <w:rFonts w:ascii="Arial" w:hAnsi="Arial"/>
      <w:sz w:val="20"/>
    </w:rPr>
  </w:style>
  <w:style w:type="paragraph" w:customStyle="1" w:styleId="62">
    <w:name w:val="Copyright"/>
    <w:basedOn w:val="1"/>
    <w:uiPriority w:val="0"/>
    <w:pPr>
      <w:widowControl/>
      <w:adjustRightInd/>
      <w:spacing w:before="160" w:line="240" w:lineRule="auto"/>
      <w:jc w:val="left"/>
      <w:textAlignment w:val="auto"/>
    </w:pPr>
    <w:rPr>
      <w:rFonts w:ascii="Arial" w:hAnsi="Arial"/>
      <w:sz w:val="12"/>
      <w:lang w:val="en-GB"/>
    </w:rPr>
  </w:style>
  <w:style w:type="paragraph" w:customStyle="1" w:styleId="63">
    <w:name w:val="Char Char Char Char"/>
    <w:basedOn w:val="1"/>
    <w:uiPriority w:val="0"/>
    <w:pPr>
      <w:adjustRightInd/>
      <w:spacing w:line="240" w:lineRule="auto"/>
      <w:textAlignment w:val="auto"/>
    </w:pPr>
    <w:rPr>
      <w:kern w:val="2"/>
      <w:szCs w:val="24"/>
    </w:rPr>
  </w:style>
  <w:style w:type="paragraph" w:customStyle="1" w:styleId="64">
    <w:name w:val="Char Char Char"/>
    <w:basedOn w:val="1"/>
    <w:qFormat/>
    <w:uiPriority w:val="0"/>
    <w:pPr>
      <w:spacing w:line="360" w:lineRule="auto"/>
      <w:textAlignment w:val="auto"/>
    </w:pPr>
    <w:rPr>
      <w:sz w:val="24"/>
    </w:rPr>
  </w:style>
  <w:style w:type="paragraph" w:customStyle="1" w:styleId="65">
    <w:name w:val="样式1"/>
    <w:basedOn w:val="1"/>
    <w:qFormat/>
    <w:uiPriority w:val="0"/>
    <w:pPr>
      <w:tabs>
        <w:tab w:val="left" w:pos="1440"/>
      </w:tabs>
      <w:spacing w:before="180" w:after="120" w:line="240" w:lineRule="auto"/>
      <w:ind w:firstLine="420"/>
      <w:jc w:val="left"/>
    </w:pPr>
    <w:rPr>
      <w:spacing w:val="8"/>
      <w:sz w:val="24"/>
    </w:rPr>
  </w:style>
  <w:style w:type="paragraph" w:customStyle="1" w:styleId="66">
    <w:name w:val="样式 标题 2 + 段前: 6 磅"/>
    <w:basedOn w:val="5"/>
    <w:qFormat/>
    <w:uiPriority w:val="0"/>
    <w:pPr>
      <w:tabs>
        <w:tab w:val="left" w:pos="578"/>
        <w:tab w:val="left" w:pos="680"/>
        <w:tab w:val="left" w:pos="720"/>
        <w:tab w:val="clear" w:pos="567"/>
      </w:tabs>
      <w:adjustRightInd w:val="0"/>
      <w:spacing w:before="120" w:after="120" w:line="416" w:lineRule="atLeast"/>
      <w:jc w:val="left"/>
      <w:textAlignment w:val="baseline"/>
    </w:pPr>
    <w:rPr>
      <w:rFonts w:ascii="仿宋_GB2312" w:eastAsia="仿宋_GB2312"/>
      <w:color w:val="000000"/>
      <w:kern w:val="44"/>
      <w:sz w:val="28"/>
      <w:lang w:val="sv-SE"/>
    </w:rPr>
  </w:style>
  <w:style w:type="character" w:customStyle="1" w:styleId="67">
    <w:name w:val="tw4winMark"/>
    <w:qFormat/>
    <w:uiPriority w:val="0"/>
    <w:rPr>
      <w:rFonts w:ascii="Courier New" w:hAnsi="Courier New" w:cs="Courier New"/>
      <w:vanish/>
      <w:color w:val="800080"/>
      <w:sz w:val="24"/>
      <w:szCs w:val="24"/>
      <w:vertAlign w:val="subscript"/>
    </w:rPr>
  </w:style>
  <w:style w:type="paragraph" w:customStyle="1" w:styleId="68">
    <w:name w:val="Text"/>
    <w:basedOn w:val="1"/>
    <w:link w:val="69"/>
    <w:qFormat/>
    <w:uiPriority w:val="0"/>
    <w:pPr>
      <w:widowControl/>
      <w:adjustRightInd/>
      <w:spacing w:line="360" w:lineRule="atLeast"/>
      <w:textAlignment w:val="auto"/>
    </w:pPr>
    <w:rPr>
      <w:rFonts w:ascii="Arial" w:hAnsi="Arial" w:eastAsia="Times New Roman"/>
      <w:sz w:val="22"/>
      <w:lang w:val="en-GB" w:eastAsia="de-DE"/>
    </w:rPr>
  </w:style>
  <w:style w:type="character" w:customStyle="1" w:styleId="69">
    <w:name w:val="Text Char1"/>
    <w:basedOn w:val="43"/>
    <w:link w:val="68"/>
    <w:qFormat/>
    <w:uiPriority w:val="0"/>
    <w:rPr>
      <w:rFonts w:ascii="Arial" w:hAnsi="Arial" w:eastAsia="Times New Roman"/>
      <w:sz w:val="22"/>
      <w:lang w:val="en-GB" w:eastAsia="de-DE"/>
    </w:rPr>
  </w:style>
  <w:style w:type="paragraph" w:customStyle="1" w:styleId="70">
    <w:name w:val="TOC 标题1"/>
    <w:basedOn w:val="2"/>
    <w:next w:val="1"/>
    <w:qFormat/>
    <w:uiPriority w:val="39"/>
    <w:pPr>
      <w:widowControl/>
      <w:adjustRightInd/>
      <w:spacing w:before="480" w:line="276" w:lineRule="auto"/>
      <w:jc w:val="left"/>
      <w:textAlignment w:val="auto"/>
      <w:outlineLvl w:val="9"/>
    </w:pPr>
    <w:rPr>
      <w:rFonts w:ascii="Cambria" w:hAnsi="Cambria"/>
      <w:color w:val="365F91"/>
      <w:kern w:val="0"/>
      <w:szCs w:val="28"/>
    </w:rPr>
  </w:style>
  <w:style w:type="paragraph" w:customStyle="1" w:styleId="71">
    <w:name w:val="样式3"/>
    <w:basedOn w:val="4"/>
    <w:next w:val="4"/>
    <w:link w:val="74"/>
    <w:qFormat/>
    <w:uiPriority w:val="0"/>
  </w:style>
  <w:style w:type="character" w:customStyle="1" w:styleId="72">
    <w:name w:val="页眉 Char"/>
    <w:basedOn w:val="43"/>
    <w:link w:val="4"/>
    <w:qFormat/>
    <w:uiPriority w:val="0"/>
    <w:rPr>
      <w:sz w:val="24"/>
      <w:szCs w:val="24"/>
    </w:rPr>
  </w:style>
  <w:style w:type="character" w:customStyle="1" w:styleId="73">
    <w:name w:val="样式2 Char"/>
    <w:basedOn w:val="72"/>
    <w:link w:val="3"/>
    <w:qFormat/>
    <w:uiPriority w:val="0"/>
    <w:rPr>
      <w:b/>
      <w:bCs/>
      <w:sz w:val="24"/>
      <w:szCs w:val="24"/>
    </w:rPr>
  </w:style>
  <w:style w:type="character" w:customStyle="1" w:styleId="74">
    <w:name w:val="样式3 Char"/>
    <w:basedOn w:val="72"/>
    <w:link w:val="71"/>
    <w:qFormat/>
    <w:uiPriority w:val="0"/>
    <w:rPr>
      <w:sz w:val="24"/>
      <w:szCs w:val="24"/>
    </w:rPr>
  </w:style>
  <w:style w:type="paragraph" w:customStyle="1" w:styleId="75">
    <w:name w:val="font5"/>
    <w:basedOn w:val="1"/>
    <w:qFormat/>
    <w:uiPriority w:val="0"/>
    <w:pPr>
      <w:widowControl/>
      <w:adjustRightInd/>
      <w:spacing w:before="100" w:beforeAutospacing="1" w:after="100" w:afterAutospacing="1" w:line="240" w:lineRule="auto"/>
      <w:jc w:val="left"/>
      <w:textAlignment w:val="auto"/>
    </w:pPr>
    <w:rPr>
      <w:rFonts w:hint="eastAsia" w:ascii="宋体" w:hAnsi="宋体"/>
      <w:sz w:val="18"/>
      <w:szCs w:val="18"/>
    </w:rPr>
  </w:style>
  <w:style w:type="paragraph" w:customStyle="1" w:styleId="76">
    <w:name w:val="font6"/>
    <w:basedOn w:val="1"/>
    <w:qFormat/>
    <w:uiPriority w:val="0"/>
    <w:pPr>
      <w:widowControl/>
      <w:adjustRightInd/>
      <w:spacing w:before="100" w:beforeAutospacing="1" w:after="100" w:afterAutospacing="1" w:line="240" w:lineRule="auto"/>
      <w:jc w:val="left"/>
      <w:textAlignment w:val="auto"/>
    </w:pPr>
    <w:rPr>
      <w:sz w:val="28"/>
      <w:szCs w:val="28"/>
    </w:rPr>
  </w:style>
  <w:style w:type="paragraph" w:customStyle="1" w:styleId="77">
    <w:name w:val="font7"/>
    <w:basedOn w:val="1"/>
    <w:qFormat/>
    <w:uiPriority w:val="0"/>
    <w:pPr>
      <w:widowControl/>
      <w:adjustRightInd/>
      <w:spacing w:before="100" w:beforeAutospacing="1" w:after="100" w:afterAutospacing="1" w:line="240" w:lineRule="auto"/>
      <w:jc w:val="left"/>
      <w:textAlignment w:val="auto"/>
    </w:pPr>
    <w:rPr>
      <w:rFonts w:hint="eastAsia" w:ascii="宋体" w:hAnsi="宋体"/>
      <w:sz w:val="28"/>
      <w:szCs w:val="28"/>
    </w:rPr>
  </w:style>
  <w:style w:type="paragraph" w:customStyle="1" w:styleId="78">
    <w:name w:val="font8"/>
    <w:basedOn w:val="1"/>
    <w:uiPriority w:val="0"/>
    <w:pPr>
      <w:widowControl/>
      <w:adjustRightInd/>
      <w:spacing w:before="100" w:beforeAutospacing="1" w:after="100" w:afterAutospacing="1" w:line="240" w:lineRule="auto"/>
      <w:jc w:val="left"/>
      <w:textAlignment w:val="auto"/>
    </w:pPr>
    <w:rPr>
      <w:rFonts w:hint="eastAsia" w:ascii="宋体" w:hAnsi="宋体"/>
      <w:sz w:val="28"/>
      <w:szCs w:val="28"/>
    </w:rPr>
  </w:style>
  <w:style w:type="paragraph" w:customStyle="1" w:styleId="79">
    <w:name w:val="font9"/>
    <w:basedOn w:val="1"/>
    <w:qFormat/>
    <w:uiPriority w:val="0"/>
    <w:pPr>
      <w:widowControl/>
      <w:adjustRightInd/>
      <w:spacing w:before="100" w:beforeAutospacing="1" w:after="100" w:afterAutospacing="1" w:line="240" w:lineRule="auto"/>
      <w:jc w:val="left"/>
      <w:textAlignment w:val="auto"/>
    </w:pPr>
    <w:rPr>
      <w:rFonts w:hint="eastAsia" w:ascii="宋体" w:hAnsi="宋体"/>
      <w:color w:val="000000"/>
      <w:sz w:val="28"/>
      <w:szCs w:val="28"/>
    </w:rPr>
  </w:style>
  <w:style w:type="paragraph" w:customStyle="1" w:styleId="80">
    <w:name w:val="font10"/>
    <w:basedOn w:val="1"/>
    <w:qFormat/>
    <w:uiPriority w:val="0"/>
    <w:pPr>
      <w:widowControl/>
      <w:adjustRightInd/>
      <w:spacing w:before="100" w:beforeAutospacing="1" w:after="100" w:afterAutospacing="1" w:line="240" w:lineRule="auto"/>
      <w:jc w:val="left"/>
      <w:textAlignment w:val="auto"/>
    </w:pPr>
    <w:rPr>
      <w:color w:val="000000"/>
      <w:sz w:val="28"/>
      <w:szCs w:val="28"/>
    </w:rPr>
  </w:style>
  <w:style w:type="paragraph" w:customStyle="1" w:styleId="81">
    <w:name w:val="font11"/>
    <w:basedOn w:val="1"/>
    <w:uiPriority w:val="0"/>
    <w:pPr>
      <w:widowControl/>
      <w:adjustRightInd/>
      <w:spacing w:before="100" w:beforeAutospacing="1" w:after="100" w:afterAutospacing="1" w:line="240" w:lineRule="auto"/>
      <w:jc w:val="left"/>
      <w:textAlignment w:val="auto"/>
    </w:pPr>
    <w:rPr>
      <w:color w:val="000000"/>
      <w:sz w:val="28"/>
      <w:szCs w:val="28"/>
    </w:rPr>
  </w:style>
  <w:style w:type="paragraph" w:customStyle="1" w:styleId="82">
    <w:name w:val="font12"/>
    <w:basedOn w:val="1"/>
    <w:qFormat/>
    <w:uiPriority w:val="0"/>
    <w:pPr>
      <w:widowControl/>
      <w:adjustRightInd/>
      <w:spacing w:before="100" w:beforeAutospacing="1" w:after="100" w:afterAutospacing="1" w:line="240" w:lineRule="auto"/>
      <w:jc w:val="left"/>
      <w:textAlignment w:val="auto"/>
    </w:pPr>
    <w:rPr>
      <w:rFonts w:hint="eastAsia" w:ascii="宋体" w:hAnsi="宋体"/>
      <w:color w:val="000000"/>
      <w:sz w:val="28"/>
      <w:szCs w:val="28"/>
    </w:rPr>
  </w:style>
  <w:style w:type="paragraph" w:customStyle="1" w:styleId="83">
    <w:name w:val="font13"/>
    <w:basedOn w:val="1"/>
    <w:qFormat/>
    <w:uiPriority w:val="0"/>
    <w:pPr>
      <w:widowControl/>
      <w:adjustRightInd/>
      <w:spacing w:before="100" w:beforeAutospacing="1" w:after="100" w:afterAutospacing="1" w:line="240" w:lineRule="auto"/>
      <w:jc w:val="left"/>
      <w:textAlignment w:val="auto"/>
    </w:pPr>
    <w:rPr>
      <w:rFonts w:ascii="Arial" w:hAnsi="Arial" w:cs="Arial"/>
      <w:sz w:val="28"/>
      <w:szCs w:val="28"/>
    </w:rPr>
  </w:style>
  <w:style w:type="paragraph" w:customStyle="1" w:styleId="84">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sz w:val="24"/>
      <w:szCs w:val="24"/>
    </w:rPr>
  </w:style>
  <w:style w:type="paragraph" w:customStyle="1" w:styleId="85">
    <w:name w:val="xl2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sz w:val="24"/>
      <w:szCs w:val="24"/>
    </w:rPr>
  </w:style>
  <w:style w:type="paragraph" w:customStyle="1" w:styleId="86">
    <w:name w:val="xl26"/>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sz w:val="28"/>
      <w:szCs w:val="28"/>
    </w:rPr>
  </w:style>
  <w:style w:type="paragraph" w:customStyle="1" w:styleId="87">
    <w:name w:val="xl27"/>
    <w:basedOn w:val="1"/>
    <w:qFormat/>
    <w:uiPriority w:val="0"/>
    <w:pPr>
      <w:widowControl/>
      <w:pBdr>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sz w:val="28"/>
      <w:szCs w:val="28"/>
    </w:rPr>
  </w:style>
  <w:style w:type="paragraph" w:customStyle="1" w:styleId="88">
    <w:name w:val="xl28"/>
    <w:basedOn w:val="1"/>
    <w:qFormat/>
    <w:uiPriority w:val="0"/>
    <w:pPr>
      <w:widowControl/>
      <w:pBdr>
        <w:bottom w:val="single" w:color="auto" w:sz="4" w:space="0"/>
        <w:right w:val="single" w:color="auto" w:sz="4" w:space="0"/>
      </w:pBdr>
      <w:adjustRightInd/>
      <w:spacing w:before="100" w:beforeAutospacing="1" w:after="100" w:afterAutospacing="1" w:line="240" w:lineRule="auto"/>
      <w:jc w:val="left"/>
      <w:textAlignment w:val="center"/>
    </w:pPr>
    <w:rPr>
      <w:sz w:val="28"/>
      <w:szCs w:val="28"/>
    </w:rPr>
  </w:style>
  <w:style w:type="paragraph" w:customStyle="1" w:styleId="89">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adjustRightInd/>
      <w:spacing w:before="100" w:beforeAutospacing="1" w:after="100" w:afterAutospacing="1" w:line="240" w:lineRule="auto"/>
      <w:jc w:val="left"/>
      <w:textAlignment w:val="center"/>
    </w:pPr>
    <w:rPr>
      <w:rFonts w:ascii="宋体" w:hAnsi="宋体"/>
      <w:color w:val="000000"/>
      <w:sz w:val="28"/>
      <w:szCs w:val="28"/>
    </w:rPr>
  </w:style>
  <w:style w:type="paragraph" w:customStyle="1" w:styleId="90">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adjustRightInd/>
      <w:spacing w:before="100" w:beforeAutospacing="1" w:after="100" w:afterAutospacing="1" w:line="240" w:lineRule="auto"/>
      <w:jc w:val="center"/>
      <w:textAlignment w:val="center"/>
    </w:pPr>
    <w:rPr>
      <w:rFonts w:ascii="宋体" w:hAnsi="宋体"/>
      <w:color w:val="000000"/>
      <w:sz w:val="28"/>
      <w:szCs w:val="28"/>
    </w:rPr>
  </w:style>
  <w:style w:type="paragraph" w:customStyle="1" w:styleId="91">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olor w:val="000000"/>
      <w:sz w:val="28"/>
      <w:szCs w:val="28"/>
    </w:rPr>
  </w:style>
  <w:style w:type="paragraph" w:customStyle="1" w:styleId="92">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adjustRightInd/>
      <w:spacing w:before="100" w:beforeAutospacing="1" w:after="100" w:afterAutospacing="1" w:line="240" w:lineRule="auto"/>
      <w:jc w:val="left"/>
      <w:textAlignment w:val="center"/>
    </w:pPr>
    <w:rPr>
      <w:rFonts w:ascii="宋体" w:hAnsi="宋体"/>
      <w:sz w:val="28"/>
      <w:szCs w:val="28"/>
    </w:rPr>
  </w:style>
  <w:style w:type="paragraph" w:customStyle="1" w:styleId="93">
    <w:name w:val="xl33"/>
    <w:basedOn w:val="1"/>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sz w:val="28"/>
      <w:szCs w:val="28"/>
    </w:rPr>
  </w:style>
  <w:style w:type="paragraph" w:customStyle="1" w:styleId="94">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adjustRightInd/>
      <w:spacing w:before="100" w:beforeAutospacing="1" w:after="100" w:afterAutospacing="1" w:line="240" w:lineRule="auto"/>
      <w:jc w:val="center"/>
      <w:textAlignment w:val="center"/>
    </w:pPr>
    <w:rPr>
      <w:rFonts w:ascii="宋体" w:hAnsi="宋体"/>
      <w:color w:val="000000"/>
      <w:sz w:val="28"/>
      <w:szCs w:val="28"/>
    </w:rPr>
  </w:style>
  <w:style w:type="paragraph" w:customStyle="1" w:styleId="95">
    <w:name w:val="xl35"/>
    <w:basedOn w:val="1"/>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sz w:val="28"/>
      <w:szCs w:val="28"/>
    </w:rPr>
  </w:style>
  <w:style w:type="paragraph" w:customStyle="1" w:styleId="96">
    <w:name w:val="xl36"/>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sz w:val="28"/>
      <w:szCs w:val="28"/>
    </w:rPr>
  </w:style>
  <w:style w:type="paragraph" w:customStyle="1" w:styleId="97">
    <w:name w:val="xl37"/>
    <w:basedOn w:val="1"/>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sz w:val="28"/>
      <w:szCs w:val="28"/>
    </w:rPr>
  </w:style>
  <w:style w:type="paragraph" w:customStyle="1" w:styleId="98">
    <w:name w:val="xl38"/>
    <w:basedOn w:val="1"/>
    <w:qFormat/>
    <w:uiPriority w:val="0"/>
    <w:pPr>
      <w:widowControl/>
      <w:pBdr>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sz w:val="28"/>
      <w:szCs w:val="28"/>
    </w:rPr>
  </w:style>
  <w:style w:type="paragraph" w:customStyle="1" w:styleId="99">
    <w:name w:val="正文1"/>
    <w:basedOn w:val="1"/>
    <w:qFormat/>
    <w:uiPriority w:val="0"/>
    <w:pPr>
      <w:spacing w:line="430" w:lineRule="atLeast"/>
    </w:pPr>
    <w:rPr>
      <w:rFonts w:ascii="宋体"/>
      <w:b/>
      <w:spacing w:val="16"/>
      <w:sz w:val="24"/>
    </w:rPr>
  </w:style>
  <w:style w:type="paragraph" w:customStyle="1" w:styleId="100">
    <w:name w:val="Char11"/>
    <w:basedOn w:val="1"/>
    <w:semiHidden/>
    <w:qFormat/>
    <w:uiPriority w:val="0"/>
    <w:pPr>
      <w:adjustRightInd/>
      <w:spacing w:line="240" w:lineRule="auto"/>
      <w:textAlignment w:val="auto"/>
    </w:pPr>
    <w:rPr>
      <w:kern w:val="2"/>
      <w:szCs w:val="24"/>
    </w:rPr>
  </w:style>
  <w:style w:type="paragraph" w:customStyle="1" w:styleId="101">
    <w:name w:val="Char Char Char Char Char Char Char"/>
    <w:basedOn w:val="1"/>
    <w:qFormat/>
    <w:uiPriority w:val="0"/>
    <w:pPr>
      <w:adjustRightInd/>
      <w:spacing w:line="240" w:lineRule="auto"/>
      <w:textAlignment w:val="auto"/>
    </w:pPr>
    <w:rPr>
      <w:kern w:val="2"/>
      <w:szCs w:val="24"/>
    </w:rPr>
  </w:style>
  <w:style w:type="paragraph" w:customStyle="1" w:styleId="102">
    <w:name w:val="Char1"/>
    <w:basedOn w:val="1"/>
    <w:qFormat/>
    <w:uiPriority w:val="0"/>
    <w:pPr>
      <w:adjustRightInd/>
      <w:spacing w:line="240" w:lineRule="auto"/>
      <w:textAlignment w:val="auto"/>
    </w:pPr>
    <w:rPr>
      <w:kern w:val="2"/>
      <w:szCs w:val="24"/>
    </w:rPr>
  </w:style>
  <w:style w:type="paragraph" w:customStyle="1" w:styleId="103">
    <w:name w:val="日期1"/>
    <w:basedOn w:val="1"/>
    <w:next w:val="1"/>
    <w:qFormat/>
    <w:uiPriority w:val="0"/>
    <w:pPr>
      <w:spacing w:line="360" w:lineRule="atLeast"/>
      <w:textAlignment w:val="auto"/>
    </w:pPr>
    <w:rPr>
      <w:rFonts w:hint="eastAsia" w:ascii="宋体" w:eastAsia="Wingdings"/>
      <w:sz w:val="24"/>
    </w:rPr>
  </w:style>
  <w:style w:type="paragraph" w:customStyle="1" w:styleId="104">
    <w:name w:val="表格"/>
    <w:basedOn w:val="1"/>
    <w:link w:val="177"/>
    <w:qFormat/>
    <w:uiPriority w:val="0"/>
    <w:pPr>
      <w:adjustRightInd/>
      <w:spacing w:line="240" w:lineRule="atLeast"/>
      <w:jc w:val="center"/>
      <w:textAlignment w:val="auto"/>
    </w:pPr>
    <w:rPr>
      <w:color w:val="000000"/>
      <w:kern w:val="2"/>
      <w:sz w:val="24"/>
      <w:szCs w:val="22"/>
    </w:rPr>
  </w:style>
  <w:style w:type="paragraph" w:customStyle="1" w:styleId="105">
    <w:name w:val="标题3"/>
    <w:basedOn w:val="7"/>
    <w:qFormat/>
    <w:uiPriority w:val="0"/>
    <w:pPr>
      <w:keepLines w:val="0"/>
      <w:tabs>
        <w:tab w:val="left" w:pos="709"/>
        <w:tab w:val="left" w:pos="851"/>
      </w:tabs>
      <w:spacing w:before="0" w:after="0" w:line="360" w:lineRule="auto"/>
      <w:ind w:left="709" w:hanging="709"/>
      <w:textAlignment w:val="auto"/>
    </w:pPr>
    <w:rPr>
      <w:b w:val="0"/>
      <w:bCs w:val="0"/>
      <w:color w:val="000000"/>
      <w:sz w:val="24"/>
      <w:szCs w:val="20"/>
    </w:rPr>
  </w:style>
  <w:style w:type="paragraph" w:customStyle="1" w:styleId="106">
    <w:name w:val="系统工程系统工程"/>
    <w:basedOn w:val="1"/>
    <w:qFormat/>
    <w:uiPriority w:val="0"/>
    <w:pPr>
      <w:adjustRightInd/>
      <w:spacing w:line="240" w:lineRule="auto"/>
      <w:textAlignment w:val="auto"/>
    </w:pPr>
    <w:rPr>
      <w:kern w:val="2"/>
      <w:sz w:val="28"/>
      <w:szCs w:val="24"/>
    </w:rPr>
  </w:style>
  <w:style w:type="paragraph" w:customStyle="1" w:styleId="107">
    <w:name w:val="1.1.1.1"/>
    <w:basedOn w:val="1"/>
    <w:uiPriority w:val="0"/>
    <w:pPr>
      <w:tabs>
        <w:tab w:val="left" w:pos="1134"/>
      </w:tabs>
      <w:spacing w:before="60" w:after="60" w:line="360" w:lineRule="atLeast"/>
    </w:pPr>
    <w:rPr>
      <w:rFonts w:ascii="Arial" w:hAnsi="Arial"/>
      <w:sz w:val="24"/>
    </w:rPr>
  </w:style>
  <w:style w:type="paragraph" w:customStyle="1" w:styleId="108">
    <w:name w:val="Char Char Char1 Char Char Char Char"/>
    <w:basedOn w:val="1"/>
    <w:semiHidden/>
    <w:qFormat/>
    <w:uiPriority w:val="0"/>
    <w:pPr>
      <w:adjustRightInd/>
      <w:spacing w:line="240" w:lineRule="auto"/>
      <w:textAlignment w:val="auto"/>
    </w:pPr>
    <w:rPr>
      <w:kern w:val="2"/>
      <w:szCs w:val="30"/>
    </w:rPr>
  </w:style>
  <w:style w:type="character" w:customStyle="1" w:styleId="109">
    <w:name w:val="日期 Char"/>
    <w:basedOn w:val="43"/>
    <w:link w:val="24"/>
    <w:qFormat/>
    <w:uiPriority w:val="0"/>
    <w:rPr>
      <w:rFonts w:ascii="Arial" w:hAnsi="Arial" w:eastAsia="宋体"/>
      <w:kern w:val="2"/>
      <w:sz w:val="21"/>
      <w:szCs w:val="21"/>
      <w:lang w:val="en-US" w:eastAsia="zh-CN" w:bidi="ar-SA"/>
    </w:rPr>
  </w:style>
  <w:style w:type="paragraph" w:customStyle="1" w:styleId="110">
    <w:name w:val="前言、引言标题"/>
    <w:next w:val="1"/>
    <w:qFormat/>
    <w:uiPriority w:val="0"/>
    <w:pPr>
      <w:numPr>
        <w:ilvl w:val="0"/>
        <w:numId w:val="2"/>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11">
    <w:name w:val="样式 (中文) 黑体 二号 居中 首行缩进:  0 厘米"/>
    <w:basedOn w:val="1"/>
    <w:uiPriority w:val="0"/>
    <w:pPr>
      <w:spacing w:line="490" w:lineRule="exact"/>
      <w:jc w:val="center"/>
    </w:pPr>
    <w:rPr>
      <w:rFonts w:eastAsia="黑体" w:cs="宋体"/>
      <w:sz w:val="44"/>
    </w:rPr>
  </w:style>
  <w:style w:type="character" w:customStyle="1" w:styleId="112">
    <w:name w:val="纯文本 Char"/>
    <w:basedOn w:val="43"/>
    <w:link w:val="22"/>
    <w:qFormat/>
    <w:uiPriority w:val="0"/>
    <w:rPr>
      <w:rFonts w:ascii="宋体" w:hAnsi="Courier New" w:eastAsia="宋体"/>
      <w:kern w:val="2"/>
      <w:sz w:val="21"/>
      <w:lang w:val="en-US" w:eastAsia="zh-CN" w:bidi="ar-SA"/>
    </w:rPr>
  </w:style>
  <w:style w:type="paragraph" w:customStyle="1" w:styleId="113">
    <w:name w:val="列出段落1"/>
    <w:basedOn w:val="1"/>
    <w:qFormat/>
    <w:uiPriority w:val="0"/>
    <w:pPr>
      <w:adjustRightInd/>
      <w:spacing w:line="240" w:lineRule="auto"/>
      <w:ind w:firstLine="420" w:firstLineChars="200"/>
      <w:textAlignment w:val="auto"/>
    </w:pPr>
    <w:rPr>
      <w:kern w:val="2"/>
      <w:szCs w:val="24"/>
    </w:rPr>
  </w:style>
  <w:style w:type="character" w:customStyle="1" w:styleId="114">
    <w:name w:val="正文首行缩进 2 Char"/>
    <w:basedOn w:val="43"/>
    <w:qFormat/>
    <w:uiPriority w:val="0"/>
    <w:rPr>
      <w:rFonts w:ascii="黑体" w:hAnsi="Arial" w:eastAsia="黑体" w:cs="Arial"/>
      <w:sz w:val="24"/>
      <w:lang w:val="en-US" w:eastAsia="zh-CN" w:bidi="ar-SA"/>
    </w:rPr>
  </w:style>
  <w:style w:type="paragraph" w:customStyle="1" w:styleId="115">
    <w:name w:val="样式 标题 3条标题1.1.1H33h33rd levell3CTHeading 3 - oldBold He..."/>
    <w:basedOn w:val="7"/>
    <w:qFormat/>
    <w:uiPriority w:val="0"/>
    <w:pPr>
      <w:spacing w:before="0" w:after="0" w:line="360" w:lineRule="auto"/>
    </w:pPr>
    <w:rPr>
      <w:rFonts w:ascii="宋体" w:hAnsi="宋体" w:cs="宋体"/>
      <w:b w:val="0"/>
      <w:bCs w:val="0"/>
      <w:sz w:val="24"/>
      <w:szCs w:val="20"/>
    </w:rPr>
  </w:style>
  <w:style w:type="paragraph" w:customStyle="1" w:styleId="116">
    <w:name w:val="样式 标题 2标题 2 Char Char标题 2 Char Char Char节标题 1.1例如：1.1 内容H2..."/>
    <w:basedOn w:val="5"/>
    <w:qFormat/>
    <w:uiPriority w:val="0"/>
    <w:pPr>
      <w:spacing w:before="120" w:after="120" w:line="240" w:lineRule="exact"/>
    </w:pPr>
    <w:rPr>
      <w:rFonts w:ascii="宋体" w:hAnsi="宋体" w:eastAsia="宋体" w:cs="宋体"/>
      <w:bCs/>
      <w:color w:val="000000"/>
      <w:sz w:val="24"/>
    </w:rPr>
  </w:style>
  <w:style w:type="paragraph" w:customStyle="1" w:styleId="117">
    <w:name w:val="样式戴波1"/>
    <w:basedOn w:val="1"/>
    <w:qFormat/>
    <w:uiPriority w:val="0"/>
    <w:pPr>
      <w:numPr>
        <w:ilvl w:val="0"/>
        <w:numId w:val="3"/>
      </w:numPr>
    </w:pPr>
  </w:style>
  <w:style w:type="paragraph" w:customStyle="1" w:styleId="118">
    <w:name w:val="样式4"/>
    <w:basedOn w:val="2"/>
    <w:next w:val="65"/>
    <w:qFormat/>
    <w:uiPriority w:val="0"/>
  </w:style>
  <w:style w:type="paragraph" w:customStyle="1" w:styleId="119">
    <w:name w:val="样式x3"/>
    <w:basedOn w:val="120"/>
    <w:qFormat/>
    <w:uiPriority w:val="0"/>
    <w:pPr>
      <w:numPr>
        <w:ilvl w:val="0"/>
        <w:numId w:val="4"/>
      </w:numPr>
    </w:pPr>
  </w:style>
  <w:style w:type="paragraph" w:customStyle="1" w:styleId="120">
    <w:name w:val="样式x1"/>
    <w:basedOn w:val="38"/>
    <w:qFormat/>
    <w:uiPriority w:val="0"/>
    <w:rPr>
      <w:sz w:val="24"/>
    </w:rPr>
  </w:style>
  <w:style w:type="paragraph" w:customStyle="1" w:styleId="121">
    <w:name w:val="样式x2"/>
    <w:basedOn w:val="1"/>
    <w:next w:val="3"/>
    <w:qFormat/>
    <w:uiPriority w:val="0"/>
    <w:pPr>
      <w:numPr>
        <w:ilvl w:val="0"/>
        <w:numId w:val="5"/>
      </w:numPr>
    </w:pPr>
    <w:rPr>
      <w:b/>
      <w:sz w:val="24"/>
    </w:rPr>
  </w:style>
  <w:style w:type="paragraph" w:customStyle="1" w:styleId="122">
    <w:name w:val="正文-XGF"/>
    <w:basedOn w:val="25"/>
    <w:qFormat/>
    <w:uiPriority w:val="0"/>
    <w:pPr>
      <w:tabs>
        <w:tab w:val="left" w:pos="2340"/>
      </w:tabs>
      <w:adjustRightInd w:val="0"/>
      <w:spacing w:before="0" w:after="0"/>
      <w:ind w:firstLine="200" w:firstLineChars="200"/>
      <w:textAlignment w:val="baseline"/>
    </w:pPr>
    <w:rPr>
      <w:rFonts w:ascii="Calibri" w:hAnsi="Calibri"/>
      <w:color w:val="000000"/>
      <w:kern w:val="0"/>
      <w:sz w:val="28"/>
      <w:szCs w:val="28"/>
    </w:rPr>
  </w:style>
  <w:style w:type="character" w:customStyle="1" w:styleId="123">
    <w:name w:val="页脚 Char"/>
    <w:basedOn w:val="43"/>
    <w:link w:val="27"/>
    <w:qFormat/>
    <w:uiPriority w:val="99"/>
    <w:rPr>
      <w:rFonts w:eastAsia="宋体"/>
      <w:sz w:val="18"/>
      <w:lang w:val="en-US" w:eastAsia="zh-CN" w:bidi="ar-SA"/>
    </w:rPr>
  </w:style>
  <w:style w:type="character" w:customStyle="1" w:styleId="124">
    <w:name w:val="Char Char8"/>
    <w:basedOn w:val="43"/>
    <w:qFormat/>
    <w:uiPriority w:val="0"/>
    <w:rPr>
      <w:sz w:val="18"/>
    </w:rPr>
  </w:style>
  <w:style w:type="character" w:customStyle="1" w:styleId="125">
    <w:name w:val="标题 Char"/>
    <w:basedOn w:val="43"/>
    <w:link w:val="38"/>
    <w:qFormat/>
    <w:uiPriority w:val="0"/>
    <w:rPr>
      <w:rFonts w:ascii="Arial" w:hAnsi="Arial" w:eastAsia="宋体" w:cs="Arial"/>
      <w:b/>
      <w:bCs/>
      <w:sz w:val="32"/>
      <w:szCs w:val="32"/>
      <w:lang w:val="en-US" w:eastAsia="zh-CN" w:bidi="ar-SA"/>
    </w:rPr>
  </w:style>
  <w:style w:type="character" w:customStyle="1" w:styleId="126">
    <w:name w:val="页眉 Char2"/>
    <w:qFormat/>
    <w:uiPriority w:val="0"/>
    <w:rPr>
      <w:rFonts w:ascii="Times New Roman" w:hAnsi="Times New Roman"/>
      <w:sz w:val="18"/>
      <w:szCs w:val="18"/>
    </w:rPr>
  </w:style>
  <w:style w:type="paragraph" w:customStyle="1" w:styleId="127">
    <w:name w:val="Char3"/>
    <w:basedOn w:val="1"/>
    <w:qFormat/>
    <w:uiPriority w:val="0"/>
    <w:pPr>
      <w:adjustRightInd/>
      <w:spacing w:line="240" w:lineRule="auto"/>
      <w:textAlignment w:val="auto"/>
    </w:pPr>
    <w:rPr>
      <w:kern w:val="2"/>
    </w:rPr>
  </w:style>
  <w:style w:type="paragraph" w:customStyle="1" w:styleId="128">
    <w:name w:val="Char2"/>
    <w:basedOn w:val="1"/>
    <w:semiHidden/>
    <w:uiPriority w:val="0"/>
    <w:pPr>
      <w:adjustRightInd/>
      <w:spacing w:line="240" w:lineRule="auto"/>
      <w:textAlignment w:val="auto"/>
    </w:pPr>
    <w:rPr>
      <w:kern w:val="2"/>
      <w:szCs w:val="24"/>
    </w:rPr>
  </w:style>
  <w:style w:type="paragraph" w:customStyle="1" w:styleId="129">
    <w:name w:val="Char Char Char Char1"/>
    <w:basedOn w:val="1"/>
    <w:qFormat/>
    <w:uiPriority w:val="0"/>
    <w:pPr>
      <w:adjustRightInd/>
      <w:spacing w:line="240" w:lineRule="auto"/>
      <w:textAlignment w:val="auto"/>
    </w:pPr>
    <w:rPr>
      <w:kern w:val="2"/>
      <w:szCs w:val="24"/>
    </w:rPr>
  </w:style>
  <w:style w:type="paragraph" w:customStyle="1" w:styleId="130">
    <w:name w:val="Char Char Char1"/>
    <w:basedOn w:val="1"/>
    <w:uiPriority w:val="0"/>
    <w:pPr>
      <w:spacing w:line="360" w:lineRule="auto"/>
      <w:textAlignment w:val="auto"/>
    </w:pPr>
    <w:rPr>
      <w:sz w:val="24"/>
    </w:rPr>
  </w:style>
  <w:style w:type="paragraph" w:customStyle="1" w:styleId="131">
    <w:name w:val="Char Char Char Char Char Char Char1"/>
    <w:basedOn w:val="1"/>
    <w:qFormat/>
    <w:uiPriority w:val="0"/>
    <w:pPr>
      <w:adjustRightInd/>
      <w:spacing w:line="240" w:lineRule="auto"/>
      <w:textAlignment w:val="auto"/>
    </w:pPr>
    <w:rPr>
      <w:kern w:val="2"/>
      <w:szCs w:val="24"/>
    </w:rPr>
  </w:style>
  <w:style w:type="paragraph" w:customStyle="1" w:styleId="132">
    <w:name w:val="Char12"/>
    <w:basedOn w:val="1"/>
    <w:qFormat/>
    <w:uiPriority w:val="0"/>
    <w:pPr>
      <w:adjustRightInd/>
      <w:spacing w:line="240" w:lineRule="auto"/>
      <w:textAlignment w:val="auto"/>
    </w:pPr>
    <w:rPr>
      <w:kern w:val="2"/>
      <w:szCs w:val="24"/>
    </w:rPr>
  </w:style>
  <w:style w:type="paragraph" w:customStyle="1" w:styleId="133">
    <w:name w:val="日期2"/>
    <w:basedOn w:val="1"/>
    <w:next w:val="1"/>
    <w:qFormat/>
    <w:uiPriority w:val="0"/>
    <w:pPr>
      <w:spacing w:line="360" w:lineRule="atLeast"/>
      <w:textAlignment w:val="auto"/>
    </w:pPr>
    <w:rPr>
      <w:rFonts w:hint="eastAsia" w:ascii="宋体" w:eastAsia="Wingdings"/>
      <w:sz w:val="24"/>
    </w:rPr>
  </w:style>
  <w:style w:type="paragraph" w:customStyle="1" w:styleId="134">
    <w:name w:val="Char Char Char1 Char Char Char Char1"/>
    <w:basedOn w:val="1"/>
    <w:semiHidden/>
    <w:qFormat/>
    <w:uiPriority w:val="0"/>
    <w:pPr>
      <w:adjustRightInd/>
      <w:spacing w:line="240" w:lineRule="auto"/>
      <w:textAlignment w:val="auto"/>
    </w:pPr>
    <w:rPr>
      <w:kern w:val="2"/>
      <w:szCs w:val="30"/>
    </w:rPr>
  </w:style>
  <w:style w:type="character" w:customStyle="1" w:styleId="135">
    <w:name w:val="Char Char81"/>
    <w:basedOn w:val="43"/>
    <w:qFormat/>
    <w:uiPriority w:val="0"/>
    <w:rPr>
      <w:sz w:val="18"/>
    </w:rPr>
  </w:style>
  <w:style w:type="paragraph" w:customStyle="1" w:styleId="136">
    <w:name w:val="列出段落2"/>
    <w:basedOn w:val="1"/>
    <w:qFormat/>
    <w:uiPriority w:val="34"/>
    <w:pPr>
      <w:ind w:firstLine="420" w:firstLineChars="200"/>
    </w:pPr>
  </w:style>
  <w:style w:type="paragraph" w:customStyle="1" w:styleId="137">
    <w:name w:val="样式 (符号) 宋体 红色 首行缩进:  2 字符"/>
    <w:basedOn w:val="1"/>
    <w:qFormat/>
    <w:uiPriority w:val="0"/>
    <w:pPr>
      <w:wordWrap w:val="0"/>
      <w:spacing w:line="360" w:lineRule="auto"/>
      <w:ind w:firstLine="200" w:firstLineChars="200"/>
      <w:jc w:val="left"/>
      <w:textAlignment w:val="top"/>
    </w:pPr>
    <w:rPr>
      <w:rFonts w:hAnsi="宋体" w:eastAsia="新宋体" w:cs="宋体"/>
      <w:sz w:val="24"/>
    </w:rPr>
  </w:style>
  <w:style w:type="paragraph" w:customStyle="1" w:styleId="138">
    <w:name w:val="Char31"/>
    <w:basedOn w:val="1"/>
    <w:qFormat/>
    <w:uiPriority w:val="0"/>
    <w:pPr>
      <w:adjustRightInd/>
      <w:spacing w:line="240" w:lineRule="auto"/>
      <w:textAlignment w:val="auto"/>
    </w:pPr>
    <w:rPr>
      <w:kern w:val="2"/>
    </w:rPr>
  </w:style>
  <w:style w:type="character" w:customStyle="1" w:styleId="139">
    <w:name w:val="首行缩进 Char"/>
    <w:link w:val="140"/>
    <w:qFormat/>
    <w:uiPriority w:val="0"/>
    <w:rPr>
      <w:rFonts w:eastAsia="方正书宋简体" w:cs="宋体"/>
      <w:kern w:val="2"/>
      <w:sz w:val="21"/>
    </w:rPr>
  </w:style>
  <w:style w:type="paragraph" w:customStyle="1" w:styleId="140">
    <w:name w:val="首行缩进"/>
    <w:basedOn w:val="1"/>
    <w:link w:val="139"/>
    <w:qFormat/>
    <w:uiPriority w:val="0"/>
    <w:pPr>
      <w:adjustRightInd/>
      <w:spacing w:line="300" w:lineRule="auto"/>
      <w:ind w:firstLine="420" w:firstLineChars="200"/>
      <w:textAlignment w:val="auto"/>
    </w:pPr>
    <w:rPr>
      <w:rFonts w:eastAsia="方正书宋简体" w:cs="宋体"/>
      <w:kern w:val="2"/>
    </w:rPr>
  </w:style>
  <w:style w:type="character" w:customStyle="1" w:styleId="141">
    <w:name w:val="标题 1 Char"/>
    <w:basedOn w:val="43"/>
    <w:link w:val="2"/>
    <w:qFormat/>
    <w:uiPriority w:val="0"/>
    <w:rPr>
      <w:rFonts w:ascii="宋体" w:hAnsi="宋体"/>
      <w:kern w:val="44"/>
      <w:sz w:val="24"/>
      <w:szCs w:val="44"/>
    </w:rPr>
  </w:style>
  <w:style w:type="character" w:customStyle="1" w:styleId="142">
    <w:name w:val="正文文本 Char"/>
    <w:basedOn w:val="43"/>
    <w:link w:val="10"/>
    <w:qFormat/>
    <w:uiPriority w:val="0"/>
    <w:rPr>
      <w:sz w:val="22"/>
    </w:rPr>
  </w:style>
  <w:style w:type="character" w:customStyle="1" w:styleId="143">
    <w:name w:val="标题 3 Char"/>
    <w:basedOn w:val="43"/>
    <w:link w:val="7"/>
    <w:qFormat/>
    <w:uiPriority w:val="0"/>
    <w:rPr>
      <w:b/>
      <w:bCs/>
      <w:sz w:val="32"/>
      <w:szCs w:val="32"/>
    </w:rPr>
  </w:style>
  <w:style w:type="character" w:customStyle="1" w:styleId="144">
    <w:name w:val="标题 4 Char"/>
    <w:basedOn w:val="43"/>
    <w:link w:val="8"/>
    <w:qFormat/>
    <w:uiPriority w:val="0"/>
    <w:rPr>
      <w:sz w:val="24"/>
    </w:rPr>
  </w:style>
  <w:style w:type="character" w:customStyle="1" w:styleId="145">
    <w:name w:val="标题 6 Char"/>
    <w:basedOn w:val="43"/>
    <w:link w:val="11"/>
    <w:qFormat/>
    <w:uiPriority w:val="0"/>
    <w:rPr>
      <w:sz w:val="24"/>
    </w:rPr>
  </w:style>
  <w:style w:type="character" w:customStyle="1" w:styleId="146">
    <w:name w:val="标题 7 Char"/>
    <w:basedOn w:val="43"/>
    <w:link w:val="12"/>
    <w:qFormat/>
    <w:uiPriority w:val="0"/>
    <w:rPr>
      <w:sz w:val="24"/>
    </w:rPr>
  </w:style>
  <w:style w:type="character" w:customStyle="1" w:styleId="147">
    <w:name w:val="标题 8 Char"/>
    <w:basedOn w:val="43"/>
    <w:link w:val="13"/>
    <w:qFormat/>
    <w:uiPriority w:val="0"/>
    <w:rPr>
      <w:sz w:val="24"/>
    </w:rPr>
  </w:style>
  <w:style w:type="character" w:customStyle="1" w:styleId="148">
    <w:name w:val="标题 9 Char"/>
    <w:basedOn w:val="43"/>
    <w:link w:val="14"/>
    <w:qFormat/>
    <w:uiPriority w:val="0"/>
    <w:rPr>
      <w:rFonts w:ascii="Arial" w:hAnsi="Arial" w:eastAsia="黑体"/>
      <w:sz w:val="24"/>
    </w:rPr>
  </w:style>
  <w:style w:type="paragraph" w:customStyle="1" w:styleId="149">
    <w:name w:val="Char32"/>
    <w:basedOn w:val="1"/>
    <w:qFormat/>
    <w:uiPriority w:val="0"/>
    <w:pPr>
      <w:adjustRightInd/>
      <w:spacing w:line="240" w:lineRule="auto"/>
      <w:textAlignment w:val="auto"/>
    </w:pPr>
    <w:rPr>
      <w:kern w:val="2"/>
    </w:rPr>
  </w:style>
  <w:style w:type="character" w:customStyle="1" w:styleId="150">
    <w:name w:val="正文文本缩进 Char"/>
    <w:basedOn w:val="43"/>
    <w:qFormat/>
    <w:uiPriority w:val="0"/>
    <w:rPr>
      <w:rFonts w:eastAsia="仿宋_GB2312"/>
      <w:color w:val="FF0000"/>
      <w:sz w:val="28"/>
    </w:rPr>
  </w:style>
  <w:style w:type="character" w:customStyle="1" w:styleId="151">
    <w:name w:val="正文文本 2 Char"/>
    <w:basedOn w:val="43"/>
    <w:link w:val="36"/>
    <w:qFormat/>
    <w:uiPriority w:val="0"/>
    <w:rPr>
      <w:strike/>
      <w:color w:val="0000FF"/>
      <w:kern w:val="2"/>
      <w:sz w:val="30"/>
    </w:rPr>
  </w:style>
  <w:style w:type="character" w:customStyle="1" w:styleId="152">
    <w:name w:val="正文文本缩进 2 Char"/>
    <w:basedOn w:val="43"/>
    <w:link w:val="25"/>
    <w:qFormat/>
    <w:uiPriority w:val="0"/>
    <w:rPr>
      <w:color w:val="FF0000"/>
      <w:kern w:val="2"/>
      <w:sz w:val="24"/>
    </w:rPr>
  </w:style>
  <w:style w:type="paragraph" w:customStyle="1" w:styleId="153">
    <w:name w:val="Char Char Char Char2"/>
    <w:basedOn w:val="1"/>
    <w:qFormat/>
    <w:uiPriority w:val="0"/>
    <w:pPr>
      <w:adjustRightInd/>
      <w:spacing w:line="240" w:lineRule="auto"/>
      <w:textAlignment w:val="auto"/>
    </w:pPr>
    <w:rPr>
      <w:kern w:val="2"/>
      <w:szCs w:val="24"/>
    </w:rPr>
  </w:style>
  <w:style w:type="paragraph" w:customStyle="1" w:styleId="154">
    <w:name w:val="Char Char Char Char Char Char Char2"/>
    <w:basedOn w:val="1"/>
    <w:qFormat/>
    <w:uiPriority w:val="0"/>
    <w:pPr>
      <w:adjustRightInd/>
      <w:spacing w:line="240" w:lineRule="auto"/>
      <w:textAlignment w:val="auto"/>
    </w:pPr>
    <w:rPr>
      <w:kern w:val="2"/>
      <w:szCs w:val="24"/>
    </w:rPr>
  </w:style>
  <w:style w:type="paragraph" w:customStyle="1" w:styleId="155">
    <w:name w:val="53770"/>
    <w:basedOn w:val="1"/>
    <w:qFormat/>
    <w:uiPriority w:val="0"/>
    <w:pPr>
      <w:adjustRightInd/>
      <w:spacing w:line="440" w:lineRule="exact"/>
      <w:textAlignment w:val="auto"/>
    </w:pPr>
    <w:rPr>
      <w:rFonts w:ascii="宋体" w:hAnsi="宋体"/>
      <w:kern w:val="2"/>
      <w:sz w:val="24"/>
      <w:szCs w:val="24"/>
    </w:rPr>
  </w:style>
  <w:style w:type="paragraph" w:customStyle="1" w:styleId="156">
    <w:name w:val="xl4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s="Arial Unicode MS"/>
      <w:sz w:val="18"/>
      <w:szCs w:val="18"/>
    </w:rPr>
  </w:style>
  <w:style w:type="character" w:customStyle="1" w:styleId="157">
    <w:name w:val="正文f Char Char"/>
    <w:link w:val="158"/>
    <w:qFormat/>
    <w:uiPriority w:val="0"/>
    <w:rPr>
      <w:rFonts w:eastAsia="仿宋_GB2312"/>
      <w:sz w:val="24"/>
    </w:rPr>
  </w:style>
  <w:style w:type="paragraph" w:customStyle="1" w:styleId="158">
    <w:name w:val="正文f"/>
    <w:basedOn w:val="1"/>
    <w:link w:val="157"/>
    <w:qFormat/>
    <w:uiPriority w:val="0"/>
    <w:pPr>
      <w:spacing w:line="460" w:lineRule="atLeast"/>
      <w:ind w:firstLine="480" w:firstLineChars="200"/>
    </w:pPr>
    <w:rPr>
      <w:rFonts w:eastAsia="仿宋_GB2312"/>
      <w:sz w:val="24"/>
    </w:rPr>
  </w:style>
  <w:style w:type="character" w:customStyle="1" w:styleId="159">
    <w:name w:val="Text Char"/>
    <w:qFormat/>
    <w:uiPriority w:val="0"/>
    <w:rPr>
      <w:rFonts w:ascii="Arial" w:hAnsi="Arial" w:eastAsia="仿宋_GB2312"/>
      <w:sz w:val="22"/>
      <w:lang w:val="en-GB" w:eastAsia="de-DE"/>
    </w:rPr>
  </w:style>
  <w:style w:type="character" w:customStyle="1" w:styleId="160">
    <w:name w:val="正文缩进 Char"/>
    <w:link w:val="6"/>
    <w:qFormat/>
    <w:uiPriority w:val="0"/>
    <w:rPr>
      <w:rFonts w:ascii="LinePrinter" w:hAnsi="LinePrinter"/>
      <w:kern w:val="2"/>
      <w:sz w:val="21"/>
    </w:rPr>
  </w:style>
  <w:style w:type="character" w:customStyle="1" w:styleId="161">
    <w:name w:val="电科院技术报告子标题 Char Char Char"/>
    <w:link w:val="162"/>
    <w:qFormat/>
    <w:uiPriority w:val="0"/>
    <w:rPr>
      <w:b/>
      <w:kern w:val="2"/>
      <w:sz w:val="28"/>
      <w:szCs w:val="28"/>
    </w:rPr>
  </w:style>
  <w:style w:type="paragraph" w:customStyle="1" w:styleId="162">
    <w:name w:val="电科院技术报告子标题 Char Char"/>
    <w:basedOn w:val="1"/>
    <w:link w:val="161"/>
    <w:qFormat/>
    <w:uiPriority w:val="0"/>
    <w:pPr>
      <w:widowControl/>
      <w:adjustRightInd/>
      <w:spacing w:before="240" w:after="240" w:line="360" w:lineRule="auto"/>
      <w:jc w:val="left"/>
      <w:textAlignment w:val="auto"/>
    </w:pPr>
    <w:rPr>
      <w:b/>
      <w:kern w:val="2"/>
      <w:sz w:val="28"/>
      <w:szCs w:val="28"/>
    </w:rPr>
  </w:style>
  <w:style w:type="character" w:customStyle="1" w:styleId="163">
    <w:name w:val="电科院技术报告正文 Char Char Char"/>
    <w:link w:val="164"/>
    <w:qFormat/>
    <w:uiPriority w:val="0"/>
    <w:rPr>
      <w:rFonts w:ascii="幼圆" w:hAnsi="宋体" w:eastAsia="幼圆"/>
      <w:kern w:val="2"/>
      <w:sz w:val="28"/>
      <w:szCs w:val="28"/>
    </w:rPr>
  </w:style>
  <w:style w:type="paragraph" w:customStyle="1" w:styleId="164">
    <w:name w:val="电科院技术报告正文 Char Char"/>
    <w:link w:val="163"/>
    <w:qFormat/>
    <w:uiPriority w:val="0"/>
    <w:pPr>
      <w:widowControl w:val="0"/>
      <w:adjustRightInd w:val="0"/>
      <w:spacing w:line="360" w:lineRule="auto"/>
      <w:ind w:firstLine="560" w:firstLineChars="200"/>
      <w:jc w:val="both"/>
    </w:pPr>
    <w:rPr>
      <w:rFonts w:ascii="幼圆" w:hAnsi="宋体" w:eastAsia="幼圆" w:cs="Times New Roman"/>
      <w:kern w:val="2"/>
      <w:sz w:val="28"/>
      <w:szCs w:val="28"/>
      <w:lang w:val="en-US" w:eastAsia="zh-CN" w:bidi="ar-SA"/>
    </w:rPr>
  </w:style>
  <w:style w:type="character" w:customStyle="1" w:styleId="165">
    <w:name w:val="电科院报告表标题 Char Char"/>
    <w:link w:val="166"/>
    <w:qFormat/>
    <w:uiPriority w:val="0"/>
    <w:rPr>
      <w:rFonts w:ascii="宋体" w:hAnsi="宋体" w:eastAsia="Times New Roman"/>
      <w:b/>
      <w:kern w:val="2"/>
      <w:sz w:val="28"/>
      <w:szCs w:val="28"/>
    </w:rPr>
  </w:style>
  <w:style w:type="paragraph" w:customStyle="1" w:styleId="166">
    <w:name w:val="电科院报告表标题 Char"/>
    <w:next w:val="167"/>
    <w:link w:val="165"/>
    <w:qFormat/>
    <w:uiPriority w:val="0"/>
    <w:pPr>
      <w:snapToGrid w:val="0"/>
      <w:spacing w:line="360" w:lineRule="auto"/>
      <w:ind w:firstLine="420"/>
      <w:jc w:val="center"/>
    </w:pPr>
    <w:rPr>
      <w:rFonts w:ascii="宋体" w:hAnsi="宋体" w:eastAsia="Times New Roman" w:cs="Times New Roman"/>
      <w:b/>
      <w:kern w:val="2"/>
      <w:sz w:val="28"/>
      <w:szCs w:val="28"/>
      <w:lang w:val="en-US" w:eastAsia="zh-CN" w:bidi="ar-SA"/>
    </w:rPr>
  </w:style>
  <w:style w:type="paragraph" w:customStyle="1" w:styleId="167">
    <w:name w:val="电科院技术报告表格正文"/>
    <w:qFormat/>
    <w:uiPriority w:val="0"/>
    <w:pPr>
      <w:widowControl w:val="0"/>
      <w:snapToGrid w:val="0"/>
      <w:jc w:val="center"/>
    </w:pPr>
    <w:rPr>
      <w:rFonts w:ascii="宋体" w:hAnsi="宋体" w:eastAsia="宋体" w:cs="Times New Roman"/>
      <w:kern w:val="2"/>
      <w:sz w:val="21"/>
      <w:szCs w:val="21"/>
      <w:lang w:val="en-US" w:eastAsia="zh-CN" w:bidi="ar-SA"/>
    </w:rPr>
  </w:style>
  <w:style w:type="character" w:customStyle="1" w:styleId="168">
    <w:name w:val="正文文本缩进 Char1"/>
    <w:basedOn w:val="43"/>
    <w:link w:val="18"/>
    <w:qFormat/>
    <w:uiPriority w:val="0"/>
    <w:rPr>
      <w:spacing w:val="10"/>
      <w:kern w:val="2"/>
      <w:sz w:val="24"/>
    </w:rPr>
  </w:style>
  <w:style w:type="character" w:customStyle="1" w:styleId="169">
    <w:name w:val="正文首行缩进 2 Char1"/>
    <w:basedOn w:val="168"/>
    <w:link w:val="40"/>
    <w:qFormat/>
    <w:uiPriority w:val="0"/>
    <w:rPr>
      <w:rFonts w:eastAsia="幼圆"/>
      <w:spacing w:val="10"/>
      <w:kern w:val="2"/>
      <w:sz w:val="26"/>
    </w:rPr>
  </w:style>
  <w:style w:type="paragraph" w:customStyle="1" w:styleId="170">
    <w:name w:val="默认段落字体 Char Char Char"/>
    <w:basedOn w:val="1"/>
    <w:qFormat/>
    <w:uiPriority w:val="0"/>
    <w:pPr>
      <w:adjustRightInd/>
      <w:spacing w:line="240" w:lineRule="auto"/>
      <w:textAlignment w:val="auto"/>
    </w:pPr>
    <w:rPr>
      <w:kern w:val="2"/>
      <w:sz w:val="24"/>
      <w:szCs w:val="24"/>
    </w:rPr>
  </w:style>
  <w:style w:type="character" w:customStyle="1" w:styleId="171">
    <w:name w:val="条标题1.1.1 Char Char"/>
    <w:qFormat/>
    <w:uiPriority w:val="0"/>
    <w:rPr>
      <w:rFonts w:eastAsia="宋体"/>
      <w:b/>
      <w:sz w:val="32"/>
      <w:lang w:val="en-US" w:eastAsia="zh-CN" w:bidi="ar-SA"/>
    </w:rPr>
  </w:style>
  <w:style w:type="character" w:customStyle="1" w:styleId="172">
    <w:name w:val="图标题 Char"/>
    <w:qFormat/>
    <w:uiPriority w:val="0"/>
    <w:rPr>
      <w:rFonts w:eastAsia="宋体"/>
      <w:kern w:val="2"/>
      <w:sz w:val="24"/>
      <w:lang w:val="en-US" w:eastAsia="zh-CN" w:bidi="ar-SA"/>
    </w:rPr>
  </w:style>
  <w:style w:type="paragraph" w:customStyle="1" w:styleId="173">
    <w:name w:val="修订1"/>
    <w:hidden/>
    <w:semiHidden/>
    <w:qFormat/>
    <w:uiPriority w:val="99"/>
    <w:rPr>
      <w:rFonts w:ascii="Times New Roman" w:hAnsi="Times New Roman" w:eastAsia="宋体" w:cs="Times New Roman"/>
      <w:sz w:val="21"/>
      <w:lang w:val="en-US" w:eastAsia="zh-CN" w:bidi="ar-SA"/>
    </w:rPr>
  </w:style>
  <w:style w:type="character" w:customStyle="1" w:styleId="174">
    <w:name w:val="标题中文 Char"/>
    <w:link w:val="175"/>
    <w:qFormat/>
    <w:uiPriority w:val="0"/>
    <w:rPr>
      <w:rFonts w:ascii="宋体" w:hAnsi="宋体" w:cs="Arial"/>
      <w:b/>
      <w:bCs/>
      <w:kern w:val="28"/>
      <w:sz w:val="36"/>
      <w:szCs w:val="36"/>
      <w:lang w:val="en-GB"/>
    </w:rPr>
  </w:style>
  <w:style w:type="paragraph" w:customStyle="1" w:styleId="175">
    <w:name w:val="标题中文"/>
    <w:basedOn w:val="30"/>
    <w:link w:val="174"/>
    <w:qFormat/>
    <w:uiPriority w:val="0"/>
    <w:pPr>
      <w:widowControl/>
      <w:adjustRightInd/>
      <w:snapToGrid w:val="0"/>
      <w:spacing w:after="240" w:line="360" w:lineRule="auto"/>
      <w:ind w:firstLine="200" w:firstLineChars="200"/>
      <w:textAlignment w:val="auto"/>
      <w:outlineLvl w:val="9"/>
    </w:pPr>
    <w:rPr>
      <w:rFonts w:ascii="宋体" w:hAnsi="宋体" w:cs="Arial"/>
      <w:sz w:val="36"/>
      <w:szCs w:val="36"/>
      <w:lang w:val="en-GB"/>
    </w:rPr>
  </w:style>
  <w:style w:type="character" w:customStyle="1" w:styleId="176">
    <w:name w:val="副标题 Char"/>
    <w:basedOn w:val="43"/>
    <w:link w:val="30"/>
    <w:qFormat/>
    <w:uiPriority w:val="0"/>
    <w:rPr>
      <w:rFonts w:asciiTheme="majorHAnsi" w:hAnsiTheme="majorHAnsi" w:cstheme="majorBidi"/>
      <w:b/>
      <w:bCs/>
      <w:kern w:val="28"/>
      <w:sz w:val="32"/>
      <w:szCs w:val="32"/>
    </w:rPr>
  </w:style>
  <w:style w:type="character" w:customStyle="1" w:styleId="177">
    <w:name w:val="无间隔 Char"/>
    <w:link w:val="104"/>
    <w:uiPriority w:val="0"/>
    <w:rPr>
      <w:rFonts w:ascii="Times New Roman" w:hAnsi="Times New Roman"/>
      <w:color w:val="000000"/>
      <w:kern w:val="2"/>
      <w:sz w:val="24"/>
      <w:szCs w:val="22"/>
    </w:rPr>
  </w:style>
  <w:style w:type="paragraph" w:styleId="178">
    <w:name w:val="List Paragraph"/>
    <w:basedOn w:val="1"/>
    <w:qFormat/>
    <w:uiPriority w:val="34"/>
    <w:pPr>
      <w:adjustRightInd/>
      <w:spacing w:line="360" w:lineRule="auto"/>
      <w:ind w:firstLine="420" w:firstLineChars="200"/>
      <w:textAlignment w:val="auto"/>
    </w:pPr>
    <w:rPr>
      <w:rFonts w:cstheme="minorBidi"/>
      <w:kern w:val="2"/>
      <w:sz w:val="24"/>
      <w:szCs w:val="22"/>
    </w:rPr>
  </w:style>
  <w:style w:type="character" w:customStyle="1" w:styleId="179">
    <w:name w:val="fontstyle01"/>
    <w:qFormat/>
    <w:uiPriority w:val="0"/>
    <w:rPr>
      <w:rFonts w:hint="eastAsia" w:ascii="宋体" w:hAnsi="宋体" w:eastAsia="宋体"/>
      <w:color w:val="000000"/>
      <w:sz w:val="20"/>
      <w:szCs w:val="20"/>
    </w:rPr>
  </w:style>
  <w:style w:type="character" w:customStyle="1" w:styleId="180">
    <w:name w:val="fontstyle21"/>
    <w:uiPriority w:val="0"/>
    <w:rPr>
      <w:rFonts w:hint="default" w:ascii="TimesNewRomanPSMT" w:hAnsi="TimesNewRomanPSMT"/>
      <w:color w:val="000000"/>
      <w:sz w:val="20"/>
      <w:szCs w:val="20"/>
    </w:rPr>
  </w:style>
  <w:style w:type="paragraph" w:customStyle="1" w:styleId="181">
    <w:name w:val="msonormal"/>
    <w:basedOn w:val="1"/>
    <w:uiPriority w:val="0"/>
    <w:pPr>
      <w:widowControl/>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182">
    <w:name w:val="font14"/>
    <w:basedOn w:val="1"/>
    <w:qFormat/>
    <w:uiPriority w:val="0"/>
    <w:pPr>
      <w:widowControl/>
      <w:adjustRightInd/>
      <w:spacing w:before="100" w:beforeAutospacing="1" w:after="100" w:afterAutospacing="1" w:line="240" w:lineRule="auto"/>
      <w:jc w:val="left"/>
      <w:textAlignment w:val="auto"/>
    </w:pPr>
    <w:rPr>
      <w:rFonts w:ascii="仿宋_GB2312" w:hAnsi="宋体" w:eastAsia="仿宋_GB2312" w:cs="宋体"/>
      <w:szCs w:val="21"/>
    </w:rPr>
  </w:style>
  <w:style w:type="paragraph" w:customStyle="1" w:styleId="183">
    <w:name w:val="font15"/>
    <w:basedOn w:val="1"/>
    <w:qFormat/>
    <w:uiPriority w:val="0"/>
    <w:pPr>
      <w:widowControl/>
      <w:adjustRightInd/>
      <w:spacing w:before="100" w:beforeAutospacing="1" w:after="100" w:afterAutospacing="1" w:line="240" w:lineRule="auto"/>
      <w:jc w:val="left"/>
      <w:textAlignment w:val="auto"/>
    </w:pPr>
    <w:rPr>
      <w:szCs w:val="21"/>
    </w:rPr>
  </w:style>
  <w:style w:type="paragraph" w:customStyle="1" w:styleId="184">
    <w:name w:val="font16"/>
    <w:basedOn w:val="1"/>
    <w:qFormat/>
    <w:uiPriority w:val="0"/>
    <w:pPr>
      <w:widowControl/>
      <w:adjustRightInd/>
      <w:spacing w:before="100" w:beforeAutospacing="1" w:after="100" w:afterAutospacing="1" w:line="240" w:lineRule="auto"/>
      <w:jc w:val="left"/>
      <w:textAlignment w:val="auto"/>
    </w:pPr>
    <w:rPr>
      <w:szCs w:val="21"/>
    </w:rPr>
  </w:style>
  <w:style w:type="paragraph" w:customStyle="1" w:styleId="185">
    <w:name w:val="font17"/>
    <w:basedOn w:val="1"/>
    <w:qFormat/>
    <w:uiPriority w:val="0"/>
    <w:pPr>
      <w:widowControl/>
      <w:adjustRightInd/>
      <w:spacing w:before="100" w:beforeAutospacing="1" w:after="100" w:afterAutospacing="1" w:line="240" w:lineRule="auto"/>
      <w:jc w:val="left"/>
      <w:textAlignment w:val="auto"/>
    </w:pPr>
    <w:rPr>
      <w:rFonts w:ascii="宋体" w:hAnsi="宋体" w:cs="宋体"/>
      <w:sz w:val="20"/>
    </w:rPr>
  </w:style>
  <w:style w:type="paragraph" w:customStyle="1" w:styleId="186">
    <w:name w:val="font18"/>
    <w:basedOn w:val="1"/>
    <w:qFormat/>
    <w:uiPriority w:val="0"/>
    <w:pPr>
      <w:widowControl/>
      <w:adjustRightInd/>
      <w:spacing w:before="100" w:beforeAutospacing="1" w:after="100" w:afterAutospacing="1" w:line="240" w:lineRule="auto"/>
      <w:jc w:val="left"/>
      <w:textAlignment w:val="auto"/>
    </w:pPr>
    <w:rPr>
      <w:rFonts w:ascii="宋体" w:hAnsi="宋体" w:cs="宋体"/>
      <w:sz w:val="18"/>
      <w:szCs w:val="18"/>
    </w:rPr>
  </w:style>
  <w:style w:type="paragraph" w:customStyle="1" w:styleId="187">
    <w:name w:val="font19"/>
    <w:basedOn w:val="1"/>
    <w:qFormat/>
    <w:uiPriority w:val="0"/>
    <w:pPr>
      <w:widowControl/>
      <w:adjustRightInd/>
      <w:spacing w:before="100" w:beforeAutospacing="1" w:after="100" w:afterAutospacing="1" w:line="240" w:lineRule="auto"/>
      <w:jc w:val="left"/>
      <w:textAlignment w:val="auto"/>
    </w:pPr>
    <w:rPr>
      <w:rFonts w:ascii="宋体" w:hAnsi="宋体" w:cs="宋体"/>
      <w:szCs w:val="21"/>
    </w:rPr>
  </w:style>
  <w:style w:type="paragraph" w:customStyle="1" w:styleId="188">
    <w:name w:val="font20"/>
    <w:basedOn w:val="1"/>
    <w:uiPriority w:val="0"/>
    <w:pPr>
      <w:widowControl/>
      <w:adjustRightInd/>
      <w:spacing w:before="100" w:beforeAutospacing="1" w:after="100" w:afterAutospacing="1" w:line="240" w:lineRule="auto"/>
      <w:jc w:val="left"/>
      <w:textAlignment w:val="auto"/>
    </w:pPr>
    <w:rPr>
      <w:rFonts w:ascii="宋体" w:hAnsi="宋体" w:cs="宋体"/>
      <w:sz w:val="20"/>
    </w:rPr>
  </w:style>
  <w:style w:type="paragraph" w:customStyle="1" w:styleId="189">
    <w:name w:val="font21"/>
    <w:basedOn w:val="1"/>
    <w:qFormat/>
    <w:uiPriority w:val="0"/>
    <w:pPr>
      <w:widowControl/>
      <w:adjustRightInd/>
      <w:spacing w:before="100" w:beforeAutospacing="1" w:after="100" w:afterAutospacing="1" w:line="240" w:lineRule="auto"/>
      <w:jc w:val="left"/>
      <w:textAlignment w:val="auto"/>
    </w:pPr>
    <w:rPr>
      <w:rFonts w:ascii="仿宋_GB2312" w:hAnsi="宋体" w:eastAsia="仿宋_GB2312" w:cs="宋体"/>
      <w:sz w:val="20"/>
    </w:rPr>
  </w:style>
  <w:style w:type="paragraph" w:customStyle="1" w:styleId="190">
    <w:name w:val="xl70"/>
    <w:basedOn w:val="1"/>
    <w:qFormat/>
    <w:uiPriority w:val="0"/>
    <w:pPr>
      <w:widowControl/>
      <w:adjustRightInd/>
      <w:spacing w:before="100" w:beforeAutospacing="1" w:after="100" w:afterAutospacing="1" w:line="240" w:lineRule="auto"/>
      <w:jc w:val="left"/>
      <w:textAlignment w:val="auto"/>
    </w:pPr>
    <w:rPr>
      <w:rFonts w:ascii="宋体" w:hAnsi="宋体" w:cs="宋体"/>
      <w:sz w:val="20"/>
    </w:rPr>
  </w:style>
  <w:style w:type="paragraph" w:customStyle="1" w:styleId="191">
    <w:name w:val="xl71"/>
    <w:basedOn w:val="1"/>
    <w:qFormat/>
    <w:uiPriority w:val="0"/>
    <w:pPr>
      <w:widowControl/>
      <w:adjustRightInd/>
      <w:spacing w:before="100" w:beforeAutospacing="1" w:after="100" w:afterAutospacing="1" w:line="240" w:lineRule="auto"/>
      <w:jc w:val="center"/>
      <w:textAlignment w:val="auto"/>
    </w:pPr>
    <w:rPr>
      <w:rFonts w:ascii="宋体" w:hAnsi="宋体" w:cs="宋体"/>
      <w:sz w:val="20"/>
    </w:rPr>
  </w:style>
  <w:style w:type="paragraph" w:customStyle="1" w:styleId="192">
    <w:name w:val="xl72"/>
    <w:basedOn w:val="1"/>
    <w:qFormat/>
    <w:uiPriority w:val="0"/>
    <w:pPr>
      <w:widowControl/>
      <w:adjustRightInd/>
      <w:spacing w:before="100" w:beforeAutospacing="1" w:after="100" w:afterAutospacing="1" w:line="240" w:lineRule="auto"/>
      <w:jc w:val="left"/>
      <w:textAlignment w:val="auto"/>
    </w:pPr>
    <w:rPr>
      <w:rFonts w:ascii="宋体" w:hAnsi="宋体" w:cs="宋体"/>
      <w:color w:val="FF0000"/>
      <w:sz w:val="20"/>
    </w:rPr>
  </w:style>
  <w:style w:type="paragraph" w:customStyle="1" w:styleId="193">
    <w:name w:val="xl7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0"/>
    </w:rPr>
  </w:style>
  <w:style w:type="paragraph" w:customStyle="1" w:styleId="194">
    <w:name w:val="xl7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sz w:val="20"/>
    </w:rPr>
  </w:style>
  <w:style w:type="paragraph" w:customStyle="1" w:styleId="195">
    <w:name w:val="xl7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sz w:val="20"/>
    </w:rPr>
  </w:style>
  <w:style w:type="paragraph" w:customStyle="1" w:styleId="196">
    <w:name w:val="xl76"/>
    <w:basedOn w:val="1"/>
    <w:qFormat/>
    <w:uiPriority w:val="0"/>
    <w:pPr>
      <w:widowControl/>
      <w:adjustRightInd/>
      <w:spacing w:before="100" w:beforeAutospacing="1" w:after="100" w:afterAutospacing="1" w:line="240" w:lineRule="auto"/>
      <w:jc w:val="left"/>
      <w:textAlignment w:val="auto"/>
    </w:pPr>
    <w:rPr>
      <w:rFonts w:ascii="宋体" w:hAnsi="宋体" w:cs="宋体"/>
      <w:color w:val="FF0000"/>
      <w:sz w:val="20"/>
    </w:rPr>
  </w:style>
  <w:style w:type="paragraph" w:customStyle="1" w:styleId="197">
    <w:name w:val="xl77"/>
    <w:basedOn w:val="1"/>
    <w:qFormat/>
    <w:uiPriority w:val="0"/>
    <w:pPr>
      <w:widowControl/>
      <w:adjustRightInd/>
      <w:spacing w:before="100" w:beforeAutospacing="1" w:after="100" w:afterAutospacing="1" w:line="240" w:lineRule="auto"/>
      <w:jc w:val="left"/>
      <w:textAlignment w:val="auto"/>
    </w:pPr>
    <w:rPr>
      <w:rFonts w:ascii="宋体" w:hAnsi="宋体" w:cs="宋体"/>
      <w:sz w:val="20"/>
    </w:rPr>
  </w:style>
  <w:style w:type="paragraph" w:customStyle="1" w:styleId="198">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sz w:val="20"/>
    </w:rPr>
  </w:style>
  <w:style w:type="paragraph" w:customStyle="1" w:styleId="199">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0"/>
    </w:rPr>
  </w:style>
  <w:style w:type="paragraph" w:customStyle="1" w:styleId="200">
    <w:name w:val="xl8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0"/>
    </w:rPr>
  </w:style>
  <w:style w:type="paragraph" w:customStyle="1" w:styleId="201">
    <w:name w:val="xl8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sz w:val="20"/>
    </w:rPr>
  </w:style>
  <w:style w:type="paragraph" w:customStyle="1" w:styleId="202">
    <w:name w:val="xl8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0"/>
    </w:rPr>
  </w:style>
  <w:style w:type="paragraph" w:customStyle="1" w:styleId="203">
    <w:name w:val="xl8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color w:val="FF0000"/>
      <w:sz w:val="20"/>
    </w:rPr>
  </w:style>
  <w:style w:type="paragraph" w:customStyle="1" w:styleId="204">
    <w:name w:val="xl8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2"/>
      <w:szCs w:val="22"/>
    </w:rPr>
  </w:style>
  <w:style w:type="paragraph" w:customStyle="1" w:styleId="205">
    <w:name w:val="xl8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sz w:val="20"/>
    </w:rPr>
  </w:style>
  <w:style w:type="paragraph" w:customStyle="1" w:styleId="206">
    <w:name w:val="xl8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0"/>
    </w:rPr>
  </w:style>
  <w:style w:type="paragraph" w:customStyle="1" w:styleId="207">
    <w:name w:val="xl8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color w:val="FF0000"/>
      <w:sz w:val="20"/>
    </w:rPr>
  </w:style>
  <w:style w:type="paragraph" w:customStyle="1" w:styleId="208">
    <w:name w:val="xl8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sz w:val="20"/>
    </w:rPr>
  </w:style>
  <w:style w:type="paragraph" w:customStyle="1" w:styleId="209">
    <w:name w:val="xl8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sz w:val="20"/>
    </w:rPr>
  </w:style>
  <w:style w:type="paragraph" w:customStyle="1" w:styleId="210">
    <w:name w:val="xl9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sz w:val="20"/>
    </w:rPr>
  </w:style>
  <w:style w:type="paragraph" w:customStyle="1" w:styleId="211">
    <w:name w:val="xl9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sz w:val="20"/>
    </w:rPr>
  </w:style>
  <w:style w:type="paragraph" w:customStyle="1" w:styleId="212">
    <w:name w:val="xl9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仿宋_GB2312" w:hAnsi="宋体" w:eastAsia="仿宋_GB2312" w:cs="宋体"/>
      <w:szCs w:val="21"/>
    </w:rPr>
  </w:style>
  <w:style w:type="paragraph" w:customStyle="1" w:styleId="213">
    <w:name w:val="xl9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仿宋_GB2312" w:hAnsi="宋体" w:eastAsia="仿宋_GB2312" w:cs="宋体"/>
      <w:szCs w:val="21"/>
    </w:rPr>
  </w:style>
  <w:style w:type="paragraph" w:customStyle="1" w:styleId="214">
    <w:name w:val="xl9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szCs w:val="21"/>
    </w:rPr>
  </w:style>
  <w:style w:type="paragraph" w:customStyle="1" w:styleId="215">
    <w:name w:val="xl9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szCs w:val="21"/>
    </w:rPr>
  </w:style>
  <w:style w:type="paragraph" w:customStyle="1" w:styleId="216">
    <w:name w:val="xl9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rFonts w:ascii="宋体" w:hAnsi="宋体" w:cs="宋体"/>
      <w:sz w:val="20"/>
    </w:rPr>
  </w:style>
  <w:style w:type="paragraph" w:customStyle="1" w:styleId="217">
    <w:name w:val="xl9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sz w:val="20"/>
    </w:rPr>
  </w:style>
  <w:style w:type="paragraph" w:customStyle="1" w:styleId="218">
    <w:name w:val="xl9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szCs w:val="21"/>
    </w:rPr>
  </w:style>
  <w:style w:type="paragraph" w:customStyle="1" w:styleId="219">
    <w:name w:val="xl9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0"/>
    </w:rPr>
  </w:style>
  <w:style w:type="paragraph" w:customStyle="1" w:styleId="220">
    <w:name w:val="xl10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0"/>
    </w:rPr>
  </w:style>
  <w:style w:type="paragraph" w:customStyle="1" w:styleId="221">
    <w:name w:val="xl10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b/>
      <w:bCs/>
      <w:sz w:val="20"/>
    </w:rPr>
  </w:style>
  <w:style w:type="paragraph" w:customStyle="1" w:styleId="222">
    <w:name w:val="二级条标题"/>
    <w:basedOn w:val="1"/>
    <w:next w:val="58"/>
    <w:link w:val="223"/>
    <w:qFormat/>
    <w:uiPriority w:val="0"/>
    <w:pPr>
      <w:widowControl/>
      <w:adjustRightInd/>
      <w:spacing w:line="240" w:lineRule="auto"/>
      <w:textAlignment w:val="auto"/>
      <w:outlineLvl w:val="3"/>
    </w:pPr>
    <w:rPr>
      <w:rFonts w:ascii="黑体" w:eastAsia="黑体"/>
    </w:rPr>
  </w:style>
  <w:style w:type="character" w:customStyle="1" w:styleId="223">
    <w:name w:val="二级条标题 Char"/>
    <w:link w:val="222"/>
    <w:qFormat/>
    <w:uiPriority w:val="0"/>
    <w:rPr>
      <w:rFonts w:ascii="黑体" w:eastAsia="黑体"/>
      <w:sz w:val="21"/>
    </w:rPr>
  </w:style>
  <w:style w:type="paragraph" w:customStyle="1" w:styleId="224">
    <w:name w:val="三级条标题"/>
    <w:basedOn w:val="222"/>
    <w:next w:val="58"/>
    <w:link w:val="225"/>
    <w:qFormat/>
    <w:uiPriority w:val="0"/>
    <w:pPr>
      <w:tabs>
        <w:tab w:val="left" w:pos="360"/>
      </w:tabs>
      <w:ind w:left="-180"/>
      <w:outlineLvl w:val="4"/>
    </w:pPr>
  </w:style>
  <w:style w:type="character" w:customStyle="1" w:styleId="225">
    <w:name w:val="三级条标题 Char"/>
    <w:basedOn w:val="223"/>
    <w:link w:val="224"/>
    <w:qFormat/>
    <w:uiPriority w:val="0"/>
    <w:rPr>
      <w:rFonts w:ascii="黑体" w:eastAsia="黑体"/>
      <w:sz w:val="21"/>
    </w:rPr>
  </w:style>
  <w:style w:type="paragraph" w:customStyle="1" w:styleId="226">
    <w:name w:val="CM17"/>
    <w:basedOn w:val="1"/>
    <w:next w:val="1"/>
    <w:qFormat/>
    <w:uiPriority w:val="0"/>
    <w:pPr>
      <w:autoSpaceDE w:val="0"/>
      <w:autoSpaceDN w:val="0"/>
      <w:spacing w:line="468" w:lineRule="atLeast"/>
      <w:jc w:val="left"/>
      <w:textAlignment w:val="auto"/>
    </w:pPr>
    <w:rPr>
      <w:rFonts w:ascii="黑体" w:eastAsia="黑体"/>
      <w:sz w:val="24"/>
      <w:szCs w:val="24"/>
    </w:rPr>
  </w:style>
  <w:style w:type="character" w:customStyle="1" w:styleId="227">
    <w:name w:val="0正文 Char"/>
    <w:link w:val="228"/>
    <w:qFormat/>
    <w:uiPriority w:val="0"/>
    <w:rPr>
      <w:color w:val="000000"/>
      <w:sz w:val="24"/>
      <w:szCs w:val="24"/>
    </w:rPr>
  </w:style>
  <w:style w:type="paragraph" w:customStyle="1" w:styleId="228">
    <w:name w:val="0正文"/>
    <w:basedOn w:val="1"/>
    <w:link w:val="227"/>
    <w:qFormat/>
    <w:uiPriority w:val="0"/>
    <w:pPr>
      <w:snapToGrid w:val="0"/>
      <w:spacing w:line="360" w:lineRule="auto"/>
      <w:ind w:firstLine="200" w:firstLineChars="200"/>
      <w:textAlignment w:val="auto"/>
    </w:pPr>
    <w:rPr>
      <w:color w:val="000000"/>
      <w:sz w:val="24"/>
      <w:szCs w:val="24"/>
    </w:rPr>
  </w:style>
  <w:style w:type="paragraph" w:customStyle="1" w:styleId="229">
    <w:name w:val="0标题3"/>
    <w:basedOn w:val="7"/>
    <w:link w:val="230"/>
    <w:qFormat/>
    <w:uiPriority w:val="0"/>
    <w:pPr>
      <w:keepNext w:val="0"/>
      <w:keepLines w:val="0"/>
      <w:snapToGrid w:val="0"/>
      <w:spacing w:before="0" w:after="0" w:line="360" w:lineRule="auto"/>
      <w:ind w:firstLine="200" w:firstLineChars="200"/>
      <w:textAlignment w:val="auto"/>
    </w:pPr>
    <w:rPr>
      <w:b w:val="0"/>
      <w:sz w:val="24"/>
      <w:szCs w:val="24"/>
    </w:rPr>
  </w:style>
  <w:style w:type="character" w:customStyle="1" w:styleId="230">
    <w:name w:val="0标题3 字符"/>
    <w:link w:val="229"/>
    <w:qFormat/>
    <w:uiPriority w:val="0"/>
    <w:rPr>
      <w:bCs/>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numbering" Target="numbering.xml"/><Relationship Id="rId17" Type="http://schemas.openxmlformats.org/officeDocument/2006/relationships/image" Target="media/image4.emf"/><Relationship Id="rId16" Type="http://schemas.openxmlformats.org/officeDocument/2006/relationships/image" Target="media/image3.wmf"/><Relationship Id="rId15" Type="http://schemas.openxmlformats.org/officeDocument/2006/relationships/oleObject" Target="embeddings/oleObject2.bin"/><Relationship Id="rId14" Type="http://schemas.openxmlformats.org/officeDocument/2006/relationships/image" Target="media/image2.wmf"/><Relationship Id="rId13" Type="http://schemas.openxmlformats.org/officeDocument/2006/relationships/oleObject" Target="embeddings/oleObject1.bin"/><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7B742-789F-410F-90F9-67EB3ED8CC8B}">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105</Pages>
  <Words>3392</Words>
  <Characters>4533</Characters>
  <Lines>502</Lines>
  <Paragraphs>141</Paragraphs>
  <TotalTime>8</TotalTime>
  <ScaleCrop>false</ScaleCrop>
  <LinksUpToDate>false</LinksUpToDate>
  <CharactersWithSpaces>4770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2026-03-06T07:34:00Z</dcterms:created>
  <dc:creator>张杰</dc:creator>
  <cp:lastModifiedBy>J</cp:lastModifiedBy>
  <cp:lastPrinted>2020-10-16T12:44:00Z</cp:lastPrinted>
  <dcterms:modified xsi:type="dcterms:W3CDTF">2026-04-09T03:25:56Z</dcterms:modified>
  <dc:subject>潜江标书</dc:subject>
  <dc:title>500kV潜江变电所</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2052-12.1.0.25225</vt:lpwstr>
  </property>
  <property fmtid="{D5CDD505-2E9C-101B-9397-08002B2CF9AE}" pid="4" name="KSOTemplateDocerSaveRecord">
    <vt:lpwstr>eyJoZGlkIjoiODVkNjM2YTNmNTVlMDIyYjgxOGMwZDFiNzQ0NzVlYmEiLCJ1c2VySWQiOiIyNDA4ODc4MTcifQ==</vt:lpwstr>
  </property>
  <property fmtid="{D5CDD505-2E9C-101B-9397-08002B2CF9AE}" pid="5" name="ICV">
    <vt:lpwstr>A9824776185D4651B3977DFAC2869F30_12</vt:lpwstr>
  </property>
</Properties>
</file>