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A1D1AC">
      <w:r>
        <w:rPr>
          <w:rFonts w:hint="eastAsia" w:ascii="宋体" w:hAnsi="Calibri"/>
          <w:spacing w:val="10"/>
          <w:kern w:val="0"/>
          <w:sz w:val="44"/>
          <w:szCs w:val="44"/>
          <w:highlight w:val="yellow"/>
          <w:lang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-2617470</wp:posOffset>
            </wp:positionV>
            <wp:extent cx="7964805" cy="2985770"/>
            <wp:effectExtent l="0" t="0" r="5715" b="1270"/>
            <wp:wrapThrough wrapText="bothSides">
              <wp:wrapPolygon>
                <wp:start x="0" y="0"/>
                <wp:lineTo x="0" y="21499"/>
                <wp:lineTo x="21574" y="21499"/>
                <wp:lineTo x="21574" y="0"/>
                <wp:lineTo x="0" y="0"/>
              </wp:wrapPolygon>
            </wp:wrapThrough>
            <wp:docPr id="2"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模板-3"/>
                    <pic:cNvPicPr>
                      <a:picLocks noChangeAspect="1"/>
                    </pic:cNvPicPr>
                  </pic:nvPicPr>
                  <pic:blipFill>
                    <a:blip r:embed="rId4"/>
                    <a:stretch>
                      <a:fillRect/>
                    </a:stretch>
                  </pic:blipFill>
                  <pic:spPr>
                    <a:xfrm>
                      <a:off x="0" y="0"/>
                      <a:ext cx="7964805" cy="2985770"/>
                    </a:xfrm>
                    <a:prstGeom prst="rect">
                      <a:avLst/>
                    </a:prstGeom>
                    <a:noFill/>
                    <a:ln>
                      <a:noFill/>
                    </a:ln>
                  </pic:spPr>
                </pic:pic>
              </a:graphicData>
            </a:graphic>
          </wp:anchor>
        </w:drawing>
      </w:r>
    </w:p>
    <w:p w14:paraId="699EB9C4"/>
    <w:p w14:paraId="14D2FF51">
      <w:pPr>
        <w:spacing w:line="360" w:lineRule="auto"/>
        <w:jc w:val="center"/>
        <w:rPr>
          <w:rFonts w:hint="eastAsia" w:ascii="黑体" w:hAnsi="黑体" w:eastAsia="黑体" w:cs="黑体"/>
          <w:b/>
          <w:spacing w:val="10"/>
          <w:kern w:val="0"/>
          <w:sz w:val="44"/>
          <w:szCs w:val="44"/>
          <w:lang w:bidi="ar"/>
        </w:rPr>
      </w:pPr>
      <w:bookmarkStart w:id="0" w:name="_Hlk167087612"/>
      <w:r>
        <w:rPr>
          <w:rFonts w:hint="eastAsia" w:ascii="黑体" w:hAnsi="黑体" w:eastAsia="黑体" w:cs="黑体"/>
          <w:b/>
          <w:spacing w:val="10"/>
          <w:kern w:val="0"/>
          <w:sz w:val="44"/>
          <w:szCs w:val="44"/>
          <w:lang w:val="en-US" w:eastAsia="zh-CN" w:bidi="ar"/>
        </w:rPr>
        <w:t>林卡～青岩220kV线路工程（林卡220kV变220kV出线间隔扩建工程）起重设备大修技术服务</w:t>
      </w:r>
      <w:r>
        <w:rPr>
          <w:rFonts w:hint="eastAsia" w:ascii="黑体" w:hAnsi="黑体" w:eastAsia="黑体" w:cs="黑体"/>
          <w:b/>
          <w:spacing w:val="10"/>
          <w:kern w:val="0"/>
          <w:sz w:val="44"/>
          <w:szCs w:val="44"/>
          <w:lang w:bidi="ar"/>
        </w:rPr>
        <w:t>技术规范书</w:t>
      </w:r>
    </w:p>
    <w:bookmarkEnd w:id="0"/>
    <w:p w14:paraId="3E777444">
      <w:pPr>
        <w:spacing w:before="624" w:beforeLines="200" w:line="360" w:lineRule="auto"/>
        <w:jc w:val="center"/>
        <w:rPr>
          <w:rFonts w:eastAsia="黑体"/>
          <w:b/>
          <w:sz w:val="36"/>
          <w:szCs w:val="20"/>
        </w:rPr>
      </w:pPr>
    </w:p>
    <w:p w14:paraId="4967E744">
      <w:pPr>
        <w:spacing w:before="624" w:beforeLines="200" w:line="360" w:lineRule="auto"/>
        <w:jc w:val="center"/>
        <w:rPr>
          <w:rFonts w:eastAsia="黑体"/>
          <w:b/>
          <w:sz w:val="36"/>
          <w:szCs w:val="20"/>
        </w:rPr>
      </w:pPr>
    </w:p>
    <w:p w14:paraId="1BE35C7C">
      <w:pPr>
        <w:spacing w:before="624" w:beforeLines="200" w:line="360" w:lineRule="auto"/>
        <w:jc w:val="center"/>
        <w:rPr>
          <w:rFonts w:eastAsia="黑体"/>
          <w:b/>
          <w:sz w:val="36"/>
          <w:szCs w:val="20"/>
        </w:rPr>
      </w:pPr>
    </w:p>
    <w:p w14:paraId="6C94EDAF">
      <w:pPr>
        <w:spacing w:before="624" w:beforeLines="200" w:line="360" w:lineRule="auto"/>
        <w:jc w:val="both"/>
        <w:rPr>
          <w:rFonts w:eastAsia="黑体"/>
          <w:b/>
          <w:sz w:val="36"/>
          <w:szCs w:val="20"/>
        </w:rPr>
      </w:pPr>
    </w:p>
    <w:p w14:paraId="60418659">
      <w:pPr>
        <w:spacing w:line="600" w:lineRule="exact"/>
        <w:ind w:firstLine="2389" w:firstLineChars="700"/>
        <w:outlineLvl w:val="9"/>
        <w:rPr>
          <w:rFonts w:hint="eastAsia" w:ascii="黑体" w:hAnsi="黑体" w:eastAsia="黑体" w:cs="黑体"/>
          <w:b/>
          <w:spacing w:val="10"/>
          <w:kern w:val="0"/>
          <w:sz w:val="32"/>
          <w:szCs w:val="32"/>
          <w:lang w:bidi="ar"/>
        </w:rPr>
      </w:pPr>
      <w:bookmarkStart w:id="1" w:name="_Toc24392"/>
      <w:bookmarkStart w:id="2" w:name="_Toc12623"/>
      <w:r>
        <w:rPr>
          <w:rFonts w:hint="eastAsia" w:ascii="黑体" w:hAnsi="黑体" w:eastAsia="黑体" w:cs="黑体"/>
          <w:b/>
          <w:spacing w:val="10"/>
          <w:kern w:val="0"/>
          <w:sz w:val="32"/>
          <w:szCs w:val="32"/>
          <w:lang w:bidi="ar"/>
        </w:rPr>
        <w:t>贵州送变电有限责任公司</w:t>
      </w:r>
      <w:bookmarkEnd w:id="1"/>
      <w:bookmarkEnd w:id="2"/>
    </w:p>
    <w:p w14:paraId="52DAF211">
      <w:pPr>
        <w:spacing w:line="600" w:lineRule="exact"/>
        <w:jc w:val="center"/>
        <w:rPr>
          <w:rFonts w:hint="default" w:ascii="方正小标宋_GBK" w:hAnsi="方正小标宋_GBK" w:eastAsia="黑体" w:cs="方正小标宋_GBK"/>
          <w:b/>
          <w:bCs/>
          <w:sz w:val="32"/>
          <w:szCs w:val="32"/>
          <w:lang w:val="en-US" w:eastAsia="zh-CN"/>
        </w:rPr>
      </w:pPr>
      <w:r>
        <w:rPr>
          <w:rFonts w:hint="eastAsia" w:ascii="黑体" w:hAnsi="黑体" w:eastAsia="黑体" w:cs="黑体"/>
          <w:b/>
          <w:spacing w:val="10"/>
          <w:kern w:val="0"/>
          <w:sz w:val="32"/>
          <w:szCs w:val="32"/>
          <w:lang w:bidi="ar"/>
        </w:rPr>
        <w:t>202</w:t>
      </w:r>
      <w:r>
        <w:rPr>
          <w:rFonts w:hint="eastAsia" w:ascii="黑体" w:hAnsi="黑体" w:eastAsia="黑体" w:cs="黑体"/>
          <w:b/>
          <w:spacing w:val="10"/>
          <w:kern w:val="0"/>
          <w:sz w:val="32"/>
          <w:szCs w:val="32"/>
          <w:lang w:val="en-US" w:eastAsia="zh-CN" w:bidi="ar"/>
        </w:rPr>
        <w:t>6</w:t>
      </w:r>
      <w:r>
        <w:rPr>
          <w:rFonts w:hint="eastAsia" w:ascii="黑体" w:hAnsi="黑体" w:eastAsia="黑体" w:cs="黑体"/>
          <w:b/>
          <w:spacing w:val="10"/>
          <w:kern w:val="0"/>
          <w:sz w:val="32"/>
          <w:szCs w:val="32"/>
          <w:lang w:bidi="ar"/>
        </w:rPr>
        <w:t>年</w:t>
      </w:r>
      <w:r>
        <w:rPr>
          <w:rFonts w:hint="eastAsia" w:ascii="黑体" w:hAnsi="黑体" w:eastAsia="黑体" w:cs="黑体"/>
          <w:b/>
          <w:spacing w:val="10"/>
          <w:kern w:val="0"/>
          <w:sz w:val="32"/>
          <w:szCs w:val="32"/>
          <w:lang w:val="en-US" w:eastAsia="zh-CN" w:bidi="ar"/>
        </w:rPr>
        <w:t>03月</w:t>
      </w:r>
    </w:p>
    <w:p w14:paraId="3964DB60">
      <w:pPr>
        <w:widowControl/>
        <w:jc w:val="left"/>
        <w:rPr>
          <w:rFonts w:hint="eastAsia" w:ascii="宋体" w:hAnsi="宋体" w:eastAsia="宋体" w:cs="宋体"/>
          <w:b/>
          <w:bCs/>
          <w:color w:val="000000"/>
          <w:kern w:val="0"/>
          <w:sz w:val="31"/>
          <w:szCs w:val="31"/>
          <w:lang w:bidi="ar"/>
        </w:rPr>
      </w:pPr>
    </w:p>
    <w:p w14:paraId="0D31E6C4">
      <w:pPr>
        <w:widowControl/>
        <w:jc w:val="left"/>
        <w:rPr>
          <w:rFonts w:hint="eastAsia" w:ascii="宋体" w:hAnsi="宋体" w:eastAsia="宋体" w:cs="宋体"/>
          <w:b/>
          <w:bCs/>
          <w:color w:val="000000"/>
          <w:kern w:val="0"/>
          <w:sz w:val="31"/>
          <w:szCs w:val="31"/>
          <w:lang w:bidi="ar"/>
        </w:rPr>
      </w:pPr>
    </w:p>
    <w:p w14:paraId="054FBC37">
      <w:pPr>
        <w:widowControl/>
        <w:jc w:val="left"/>
        <w:rPr>
          <w:rFonts w:hint="eastAsia" w:ascii="宋体" w:hAnsi="宋体" w:eastAsia="宋体" w:cs="宋体"/>
          <w:b/>
          <w:bCs/>
          <w:color w:val="000000"/>
          <w:kern w:val="0"/>
          <w:sz w:val="31"/>
          <w:szCs w:val="31"/>
          <w:lang w:bidi="ar"/>
        </w:rPr>
      </w:pPr>
    </w:p>
    <w:p w14:paraId="549A0A0B">
      <w:pPr>
        <w:widowControl/>
        <w:jc w:val="left"/>
        <w:rPr>
          <w:rFonts w:hint="eastAsia" w:ascii="宋体" w:hAnsi="宋体" w:eastAsia="宋体" w:cs="宋体"/>
          <w:b/>
          <w:bCs/>
          <w:color w:val="000000"/>
          <w:kern w:val="0"/>
          <w:sz w:val="31"/>
          <w:szCs w:val="31"/>
          <w:lang w:bidi="ar"/>
        </w:rPr>
      </w:pPr>
    </w:p>
    <w:p w14:paraId="11738363">
      <w:pPr>
        <w:widowControl/>
        <w:jc w:val="left"/>
        <w:rPr>
          <w:rFonts w:hint="eastAsia" w:ascii="宋体" w:hAnsi="宋体" w:eastAsia="宋体" w:cs="宋体"/>
          <w:b/>
          <w:bCs/>
          <w:color w:val="000000"/>
          <w:kern w:val="0"/>
          <w:sz w:val="31"/>
          <w:szCs w:val="31"/>
          <w:lang w:bidi="ar"/>
        </w:rPr>
      </w:pPr>
    </w:p>
    <w:sdt>
      <w:sdtPr>
        <w:rPr>
          <w:rFonts w:ascii="宋体" w:hAnsi="宋体" w:eastAsia="宋体"/>
        </w:rPr>
        <w:id w:val="147461999"/>
        <w15:color w:val="DBDBDB"/>
        <w:docPartObj>
          <w:docPartGallery w:val="Table of Contents"/>
          <w:docPartUnique/>
        </w:docPartObj>
      </w:sdtPr>
      <w:sdtEndPr>
        <w:rPr>
          <w:rFonts w:hint="eastAsia" w:ascii="宋体" w:hAnsi="宋体" w:eastAsia="宋体" w:cs="宋体"/>
          <w:bCs/>
          <w:color w:val="000000"/>
          <w:kern w:val="0"/>
          <w:szCs w:val="31"/>
          <w:lang w:bidi="ar"/>
        </w:rPr>
      </w:sdtEndPr>
      <w:sdtContent>
        <w:p w14:paraId="778378AB">
          <w:pPr>
            <w:jc w:val="center"/>
            <w:rPr>
              <w:b/>
              <w:bCs/>
              <w:sz w:val="28"/>
              <w:szCs w:val="28"/>
            </w:rPr>
          </w:pPr>
          <w:r>
            <w:rPr>
              <w:rFonts w:ascii="宋体" w:hAnsi="宋体" w:eastAsia="宋体"/>
              <w:b/>
              <w:bCs/>
              <w:sz w:val="28"/>
              <w:szCs w:val="28"/>
            </w:rPr>
            <w:t>目录</w:t>
          </w:r>
        </w:p>
        <w:p w14:paraId="269F6E8F">
          <w:pPr>
            <w:pStyle w:val="6"/>
            <w:tabs>
              <w:tab w:val="right" w:leader="dot" w:pos="8306"/>
            </w:tabs>
            <w:rPr>
              <w:sz w:val="28"/>
              <w:szCs w:val="28"/>
            </w:rPr>
          </w:pPr>
          <w:r>
            <w:rPr>
              <w:rFonts w:hint="eastAsia" w:ascii="宋体" w:hAnsi="宋体" w:eastAsia="宋体" w:cs="宋体"/>
              <w:b/>
              <w:bCs/>
              <w:color w:val="000000"/>
              <w:kern w:val="0"/>
              <w:sz w:val="28"/>
              <w:szCs w:val="28"/>
              <w:lang w:bidi="ar"/>
            </w:rPr>
            <w:fldChar w:fldCharType="begin"/>
          </w:r>
          <w:r>
            <w:rPr>
              <w:rFonts w:hint="eastAsia" w:ascii="宋体" w:hAnsi="宋体" w:eastAsia="宋体" w:cs="宋体"/>
              <w:b/>
              <w:bCs/>
              <w:color w:val="000000"/>
              <w:kern w:val="0"/>
              <w:sz w:val="28"/>
              <w:szCs w:val="28"/>
              <w:lang w:bidi="ar"/>
            </w:rPr>
            <w:instrText xml:space="preserve">TOC \o "1-1" \h \u </w:instrText>
          </w:r>
          <w:r>
            <w:rPr>
              <w:rFonts w:hint="eastAsia" w:ascii="宋体" w:hAnsi="宋体" w:eastAsia="宋体" w:cs="宋体"/>
              <w:b/>
              <w:bCs/>
              <w:color w:val="000000"/>
              <w:kern w:val="0"/>
              <w:sz w:val="28"/>
              <w:szCs w:val="28"/>
              <w:lang w:bidi="ar"/>
            </w:rPr>
            <w:fldChar w:fldCharType="separate"/>
          </w:r>
        </w:p>
        <w:p w14:paraId="7E74F0C1">
          <w:pPr>
            <w:pStyle w:val="6"/>
            <w:tabs>
              <w:tab w:val="right" w:leader="dot" w:pos="8306"/>
            </w:tabs>
            <w:rPr>
              <w:sz w:val="28"/>
              <w:szCs w:val="28"/>
            </w:rPr>
          </w:pPr>
          <w:r>
            <w:fldChar w:fldCharType="begin"/>
          </w:r>
          <w:r>
            <w:instrText xml:space="preserve"> HYPERLINK \l "_Toc19176" </w:instrText>
          </w:r>
          <w:r>
            <w:fldChar w:fldCharType="separate"/>
          </w:r>
          <w:r>
            <w:rPr>
              <w:rFonts w:hint="eastAsia" w:ascii="宋体" w:hAnsi="宋体" w:eastAsia="宋体" w:cs="宋体"/>
              <w:kern w:val="0"/>
              <w:sz w:val="28"/>
              <w:szCs w:val="28"/>
              <w:lang w:bidi="ar"/>
            </w:rPr>
            <w:t>1总则</w:t>
          </w:r>
          <w:r>
            <w:rPr>
              <w:sz w:val="28"/>
              <w:szCs w:val="28"/>
            </w:rPr>
            <w:tab/>
          </w:r>
          <w:r>
            <w:rPr>
              <w:sz w:val="28"/>
              <w:szCs w:val="28"/>
            </w:rPr>
            <w:fldChar w:fldCharType="begin"/>
          </w:r>
          <w:r>
            <w:rPr>
              <w:sz w:val="28"/>
              <w:szCs w:val="28"/>
            </w:rPr>
            <w:instrText xml:space="preserve"> PAGEREF _Toc19176 \h </w:instrText>
          </w:r>
          <w:r>
            <w:rPr>
              <w:sz w:val="28"/>
              <w:szCs w:val="28"/>
            </w:rPr>
            <w:fldChar w:fldCharType="separate"/>
          </w:r>
          <w:r>
            <w:rPr>
              <w:sz w:val="28"/>
              <w:szCs w:val="28"/>
            </w:rPr>
            <w:t>2</w:t>
          </w:r>
          <w:r>
            <w:rPr>
              <w:sz w:val="28"/>
              <w:szCs w:val="28"/>
            </w:rPr>
            <w:fldChar w:fldCharType="end"/>
          </w:r>
          <w:r>
            <w:rPr>
              <w:sz w:val="28"/>
              <w:szCs w:val="28"/>
            </w:rPr>
            <w:fldChar w:fldCharType="end"/>
          </w:r>
        </w:p>
        <w:p w14:paraId="15F76E40">
          <w:pPr>
            <w:pStyle w:val="6"/>
            <w:tabs>
              <w:tab w:val="right" w:leader="dot" w:pos="8306"/>
            </w:tabs>
            <w:rPr>
              <w:sz w:val="28"/>
              <w:szCs w:val="28"/>
            </w:rPr>
          </w:pPr>
          <w:r>
            <w:fldChar w:fldCharType="begin"/>
          </w:r>
          <w:r>
            <w:instrText xml:space="preserve"> HYPERLINK \l "_Toc1627" </w:instrText>
          </w:r>
          <w:r>
            <w:fldChar w:fldCharType="separate"/>
          </w:r>
          <w:r>
            <w:rPr>
              <w:rFonts w:hint="eastAsia" w:ascii="宋体" w:hAnsi="宋体" w:eastAsia="宋体" w:cs="宋体"/>
              <w:bCs/>
              <w:kern w:val="0"/>
              <w:sz w:val="28"/>
              <w:szCs w:val="28"/>
              <w:lang w:bidi="ar"/>
            </w:rPr>
            <w:t>2应遵循的主要标准</w:t>
          </w:r>
          <w:r>
            <w:rPr>
              <w:sz w:val="28"/>
              <w:szCs w:val="28"/>
            </w:rPr>
            <w:tab/>
          </w:r>
          <w:r>
            <w:rPr>
              <w:sz w:val="28"/>
              <w:szCs w:val="28"/>
            </w:rPr>
            <w:fldChar w:fldCharType="begin"/>
          </w:r>
          <w:r>
            <w:rPr>
              <w:sz w:val="28"/>
              <w:szCs w:val="28"/>
            </w:rPr>
            <w:instrText xml:space="preserve"> PAGEREF _Toc1627 \h </w:instrText>
          </w:r>
          <w:r>
            <w:rPr>
              <w:sz w:val="28"/>
              <w:szCs w:val="28"/>
            </w:rPr>
            <w:fldChar w:fldCharType="separate"/>
          </w:r>
          <w:r>
            <w:rPr>
              <w:sz w:val="28"/>
              <w:szCs w:val="28"/>
            </w:rPr>
            <w:t>5</w:t>
          </w:r>
          <w:r>
            <w:rPr>
              <w:sz w:val="28"/>
              <w:szCs w:val="28"/>
            </w:rPr>
            <w:fldChar w:fldCharType="end"/>
          </w:r>
          <w:r>
            <w:rPr>
              <w:sz w:val="28"/>
              <w:szCs w:val="28"/>
            </w:rPr>
            <w:fldChar w:fldCharType="end"/>
          </w:r>
        </w:p>
        <w:p w14:paraId="5902813F">
          <w:pPr>
            <w:pStyle w:val="6"/>
            <w:tabs>
              <w:tab w:val="right" w:leader="dot" w:pos="8306"/>
            </w:tabs>
            <w:rPr>
              <w:sz w:val="28"/>
              <w:szCs w:val="28"/>
            </w:rPr>
          </w:pPr>
          <w:r>
            <w:rPr>
              <w:rFonts w:hint="eastAsia" w:ascii="宋体" w:hAnsi="宋体" w:eastAsia="宋体" w:cs="宋体"/>
              <w:bCs/>
              <w:kern w:val="0"/>
              <w:sz w:val="28"/>
              <w:szCs w:val="28"/>
              <w:lang w:bidi="ar"/>
            </w:rPr>
            <w:t>★</w:t>
          </w:r>
          <w:r>
            <w:fldChar w:fldCharType="begin"/>
          </w:r>
          <w:r>
            <w:instrText xml:space="preserve"> HYPERLINK \l "_Toc31224" </w:instrText>
          </w:r>
          <w:r>
            <w:fldChar w:fldCharType="separate"/>
          </w:r>
          <w:r>
            <w:rPr>
              <w:rFonts w:hint="eastAsia" w:ascii="宋体" w:hAnsi="宋体" w:eastAsia="宋体" w:cs="宋体"/>
              <w:bCs/>
              <w:kern w:val="0"/>
              <w:sz w:val="28"/>
              <w:szCs w:val="28"/>
              <w:lang w:bidi="ar"/>
            </w:rPr>
            <w:t>3项目的</w:t>
          </w:r>
          <w:r>
            <w:rPr>
              <w:rFonts w:hint="eastAsia" w:ascii="宋体" w:hAnsi="宋体" w:eastAsia="宋体" w:cs="宋体"/>
              <w:bCs/>
              <w:kern w:val="0"/>
              <w:sz w:val="28"/>
              <w:szCs w:val="28"/>
              <w:lang w:val="en-US" w:eastAsia="zh-CN" w:bidi="ar"/>
            </w:rPr>
            <w:t>背景、</w:t>
          </w:r>
          <w:r>
            <w:rPr>
              <w:rFonts w:hint="eastAsia" w:ascii="宋体" w:hAnsi="宋体" w:eastAsia="宋体" w:cs="宋体"/>
              <w:bCs/>
              <w:kern w:val="0"/>
              <w:sz w:val="28"/>
              <w:szCs w:val="28"/>
              <w:lang w:bidi="ar"/>
            </w:rPr>
            <w:t>内容与目的</w:t>
          </w:r>
          <w:r>
            <w:rPr>
              <w:sz w:val="28"/>
              <w:szCs w:val="28"/>
            </w:rPr>
            <w:tab/>
          </w:r>
          <w:r>
            <w:rPr>
              <w:sz w:val="28"/>
              <w:szCs w:val="28"/>
            </w:rPr>
            <w:fldChar w:fldCharType="begin"/>
          </w:r>
          <w:r>
            <w:rPr>
              <w:sz w:val="28"/>
              <w:szCs w:val="28"/>
            </w:rPr>
            <w:instrText xml:space="preserve"> PAGEREF _Toc31224 \h </w:instrText>
          </w:r>
          <w:r>
            <w:rPr>
              <w:sz w:val="28"/>
              <w:szCs w:val="28"/>
            </w:rPr>
            <w:fldChar w:fldCharType="separate"/>
          </w:r>
          <w:r>
            <w:rPr>
              <w:sz w:val="28"/>
              <w:szCs w:val="28"/>
            </w:rPr>
            <w:t>6</w:t>
          </w:r>
          <w:r>
            <w:rPr>
              <w:sz w:val="28"/>
              <w:szCs w:val="28"/>
            </w:rPr>
            <w:fldChar w:fldCharType="end"/>
          </w:r>
          <w:r>
            <w:rPr>
              <w:sz w:val="28"/>
              <w:szCs w:val="28"/>
            </w:rPr>
            <w:fldChar w:fldCharType="end"/>
          </w:r>
        </w:p>
        <w:p w14:paraId="63B5FA17">
          <w:pPr>
            <w:pStyle w:val="6"/>
            <w:tabs>
              <w:tab w:val="right" w:leader="dot" w:pos="8306"/>
            </w:tabs>
            <w:rPr>
              <w:sz w:val="28"/>
              <w:szCs w:val="28"/>
            </w:rPr>
          </w:pPr>
          <w:r>
            <w:fldChar w:fldCharType="begin"/>
          </w:r>
          <w:r>
            <w:instrText xml:space="preserve"> HYPERLINK \l "_Toc2674" </w:instrText>
          </w:r>
          <w:r>
            <w:fldChar w:fldCharType="separate"/>
          </w:r>
          <w:r>
            <w:rPr>
              <w:rFonts w:hint="eastAsia" w:ascii="宋体" w:hAnsi="宋体" w:eastAsia="宋体" w:cs="宋体"/>
              <w:bCs/>
              <w:kern w:val="0"/>
              <w:sz w:val="28"/>
              <w:szCs w:val="28"/>
              <w:lang w:bidi="ar"/>
            </w:rPr>
            <w:t>4项目的必要性</w:t>
          </w:r>
          <w:r>
            <w:rPr>
              <w:sz w:val="28"/>
              <w:szCs w:val="28"/>
            </w:rPr>
            <w:tab/>
          </w:r>
          <w:r>
            <w:rPr>
              <w:sz w:val="28"/>
              <w:szCs w:val="28"/>
            </w:rPr>
            <w:fldChar w:fldCharType="begin"/>
          </w:r>
          <w:r>
            <w:rPr>
              <w:sz w:val="28"/>
              <w:szCs w:val="28"/>
            </w:rPr>
            <w:instrText xml:space="preserve"> PAGEREF _Toc2674 \h </w:instrText>
          </w:r>
          <w:r>
            <w:rPr>
              <w:sz w:val="28"/>
              <w:szCs w:val="28"/>
            </w:rPr>
            <w:fldChar w:fldCharType="separate"/>
          </w:r>
          <w:r>
            <w:rPr>
              <w:sz w:val="28"/>
              <w:szCs w:val="28"/>
            </w:rPr>
            <w:t>7</w:t>
          </w:r>
          <w:r>
            <w:rPr>
              <w:sz w:val="28"/>
              <w:szCs w:val="28"/>
            </w:rPr>
            <w:fldChar w:fldCharType="end"/>
          </w:r>
          <w:r>
            <w:rPr>
              <w:sz w:val="28"/>
              <w:szCs w:val="28"/>
            </w:rPr>
            <w:fldChar w:fldCharType="end"/>
          </w:r>
        </w:p>
        <w:p w14:paraId="329329B5">
          <w:pPr>
            <w:pStyle w:val="6"/>
            <w:tabs>
              <w:tab w:val="right" w:leader="dot" w:pos="8306"/>
            </w:tabs>
            <w:rPr>
              <w:sz w:val="28"/>
              <w:szCs w:val="28"/>
            </w:rPr>
          </w:pPr>
          <w:r>
            <w:fldChar w:fldCharType="begin"/>
          </w:r>
          <w:r>
            <w:instrText xml:space="preserve"> HYPERLINK \l "_Toc16262" </w:instrText>
          </w:r>
          <w:r>
            <w:fldChar w:fldCharType="separate"/>
          </w:r>
          <w:r>
            <w:rPr>
              <w:rFonts w:hint="eastAsia" w:ascii="宋体" w:hAnsi="宋体" w:eastAsia="宋体" w:cs="宋体"/>
              <w:bCs/>
              <w:kern w:val="0"/>
              <w:sz w:val="28"/>
              <w:szCs w:val="28"/>
              <w:lang w:bidi="ar"/>
            </w:rPr>
            <w:t>★5技术服务的唯一性</w:t>
          </w:r>
          <w:r>
            <w:rPr>
              <w:sz w:val="28"/>
              <w:szCs w:val="28"/>
            </w:rPr>
            <w:tab/>
          </w:r>
          <w:r>
            <w:rPr>
              <w:sz w:val="28"/>
              <w:szCs w:val="28"/>
            </w:rPr>
            <w:fldChar w:fldCharType="begin"/>
          </w:r>
          <w:r>
            <w:rPr>
              <w:sz w:val="28"/>
              <w:szCs w:val="28"/>
            </w:rPr>
            <w:instrText xml:space="preserve"> PAGEREF _Toc16262 \h </w:instrText>
          </w:r>
          <w:r>
            <w:rPr>
              <w:sz w:val="28"/>
              <w:szCs w:val="28"/>
            </w:rPr>
            <w:fldChar w:fldCharType="separate"/>
          </w:r>
          <w:r>
            <w:rPr>
              <w:sz w:val="28"/>
              <w:szCs w:val="28"/>
            </w:rPr>
            <w:t>7</w:t>
          </w:r>
          <w:r>
            <w:rPr>
              <w:sz w:val="28"/>
              <w:szCs w:val="28"/>
            </w:rPr>
            <w:fldChar w:fldCharType="end"/>
          </w:r>
          <w:r>
            <w:rPr>
              <w:sz w:val="28"/>
              <w:szCs w:val="28"/>
            </w:rPr>
            <w:fldChar w:fldCharType="end"/>
          </w:r>
        </w:p>
        <w:p w14:paraId="6FE7C7AE">
          <w:pPr>
            <w:pStyle w:val="6"/>
            <w:tabs>
              <w:tab w:val="right" w:leader="dot" w:pos="8306"/>
            </w:tabs>
            <w:rPr>
              <w:sz w:val="28"/>
              <w:szCs w:val="28"/>
            </w:rPr>
          </w:pPr>
          <w:r>
            <w:fldChar w:fldCharType="begin"/>
          </w:r>
          <w:r>
            <w:instrText xml:space="preserve"> HYPERLINK \l "_Toc13172" </w:instrText>
          </w:r>
          <w:r>
            <w:fldChar w:fldCharType="separate"/>
          </w:r>
          <w:r>
            <w:rPr>
              <w:rFonts w:hint="eastAsia" w:ascii="宋体" w:hAnsi="宋体" w:eastAsia="宋体" w:cs="宋体"/>
              <w:bCs/>
              <w:kern w:val="0"/>
              <w:sz w:val="28"/>
              <w:szCs w:val="28"/>
              <w:lang w:bidi="ar"/>
            </w:rPr>
            <w:t>6安全要求</w:t>
          </w:r>
          <w:r>
            <w:rPr>
              <w:sz w:val="28"/>
              <w:szCs w:val="28"/>
            </w:rPr>
            <w:tab/>
          </w:r>
          <w:r>
            <w:rPr>
              <w:sz w:val="28"/>
              <w:szCs w:val="28"/>
            </w:rPr>
            <w:fldChar w:fldCharType="begin"/>
          </w:r>
          <w:r>
            <w:rPr>
              <w:sz w:val="28"/>
              <w:szCs w:val="28"/>
            </w:rPr>
            <w:instrText xml:space="preserve"> PAGEREF _Toc13172 \h </w:instrText>
          </w:r>
          <w:r>
            <w:rPr>
              <w:sz w:val="28"/>
              <w:szCs w:val="28"/>
            </w:rPr>
            <w:fldChar w:fldCharType="separate"/>
          </w:r>
          <w:r>
            <w:rPr>
              <w:sz w:val="28"/>
              <w:szCs w:val="28"/>
            </w:rPr>
            <w:t>7</w:t>
          </w:r>
          <w:r>
            <w:rPr>
              <w:sz w:val="28"/>
              <w:szCs w:val="28"/>
            </w:rPr>
            <w:fldChar w:fldCharType="end"/>
          </w:r>
          <w:r>
            <w:rPr>
              <w:sz w:val="28"/>
              <w:szCs w:val="28"/>
            </w:rPr>
            <w:fldChar w:fldCharType="end"/>
          </w:r>
        </w:p>
        <w:p w14:paraId="4492CB14">
          <w:pPr>
            <w:pStyle w:val="6"/>
            <w:tabs>
              <w:tab w:val="right" w:leader="dot" w:pos="8306"/>
            </w:tabs>
            <w:rPr>
              <w:sz w:val="28"/>
              <w:szCs w:val="28"/>
            </w:rPr>
          </w:pPr>
          <w:r>
            <w:fldChar w:fldCharType="begin"/>
          </w:r>
          <w:r>
            <w:instrText xml:space="preserve"> HYPERLINK \l "_Toc2586" </w:instrText>
          </w:r>
          <w:r>
            <w:fldChar w:fldCharType="separate"/>
          </w:r>
          <w:r>
            <w:rPr>
              <w:rFonts w:hint="eastAsia" w:ascii="宋体" w:hAnsi="宋体" w:eastAsia="宋体" w:cs="宋体"/>
              <w:bCs/>
              <w:kern w:val="0"/>
              <w:sz w:val="28"/>
              <w:szCs w:val="28"/>
              <w:lang w:bidi="ar"/>
            </w:rPr>
            <w:t>7服务验收</w:t>
          </w:r>
          <w:r>
            <w:rPr>
              <w:sz w:val="28"/>
              <w:szCs w:val="28"/>
            </w:rPr>
            <w:tab/>
          </w:r>
          <w:r>
            <w:rPr>
              <w:sz w:val="28"/>
              <w:szCs w:val="28"/>
            </w:rPr>
            <w:fldChar w:fldCharType="begin"/>
          </w:r>
          <w:r>
            <w:rPr>
              <w:sz w:val="28"/>
              <w:szCs w:val="28"/>
            </w:rPr>
            <w:instrText xml:space="preserve"> PAGEREF _Toc2586 \h </w:instrText>
          </w:r>
          <w:r>
            <w:rPr>
              <w:sz w:val="28"/>
              <w:szCs w:val="28"/>
            </w:rPr>
            <w:fldChar w:fldCharType="separate"/>
          </w:r>
          <w:r>
            <w:rPr>
              <w:sz w:val="28"/>
              <w:szCs w:val="28"/>
            </w:rPr>
            <w:t>8</w:t>
          </w:r>
          <w:r>
            <w:rPr>
              <w:sz w:val="28"/>
              <w:szCs w:val="28"/>
            </w:rPr>
            <w:fldChar w:fldCharType="end"/>
          </w:r>
          <w:r>
            <w:rPr>
              <w:sz w:val="28"/>
              <w:szCs w:val="28"/>
            </w:rPr>
            <w:fldChar w:fldCharType="end"/>
          </w:r>
        </w:p>
        <w:p w14:paraId="0AB9520A">
          <w:pPr>
            <w:pStyle w:val="6"/>
            <w:tabs>
              <w:tab w:val="right" w:leader="dot" w:pos="8306"/>
            </w:tabs>
            <w:rPr>
              <w:sz w:val="28"/>
              <w:szCs w:val="28"/>
            </w:rPr>
          </w:pPr>
          <w:r>
            <w:fldChar w:fldCharType="begin"/>
          </w:r>
          <w:r>
            <w:instrText xml:space="preserve"> HYPERLINK \l "_Toc27396" </w:instrText>
          </w:r>
          <w:r>
            <w:fldChar w:fldCharType="separate"/>
          </w:r>
          <w:r>
            <w:rPr>
              <w:rFonts w:hint="eastAsia" w:ascii="宋体" w:hAnsi="宋体" w:eastAsia="宋体" w:cs="宋体"/>
              <w:kern w:val="0"/>
              <w:sz w:val="28"/>
              <w:szCs w:val="28"/>
              <w:lang w:bidi="ar"/>
            </w:rPr>
            <w:t>8服务期限</w:t>
          </w:r>
          <w:r>
            <w:rPr>
              <w:sz w:val="28"/>
              <w:szCs w:val="28"/>
            </w:rPr>
            <w:tab/>
          </w:r>
          <w:r>
            <w:rPr>
              <w:sz w:val="28"/>
              <w:szCs w:val="28"/>
            </w:rPr>
            <w:fldChar w:fldCharType="begin"/>
          </w:r>
          <w:r>
            <w:rPr>
              <w:sz w:val="28"/>
              <w:szCs w:val="28"/>
            </w:rPr>
            <w:instrText xml:space="preserve"> PAGEREF _Toc27396 \h </w:instrText>
          </w:r>
          <w:r>
            <w:rPr>
              <w:sz w:val="28"/>
              <w:szCs w:val="28"/>
            </w:rPr>
            <w:fldChar w:fldCharType="separate"/>
          </w:r>
          <w:r>
            <w:rPr>
              <w:sz w:val="28"/>
              <w:szCs w:val="28"/>
            </w:rPr>
            <w:t>8</w:t>
          </w:r>
          <w:r>
            <w:rPr>
              <w:sz w:val="28"/>
              <w:szCs w:val="28"/>
            </w:rPr>
            <w:fldChar w:fldCharType="end"/>
          </w:r>
          <w:r>
            <w:rPr>
              <w:sz w:val="28"/>
              <w:szCs w:val="28"/>
            </w:rPr>
            <w:fldChar w:fldCharType="end"/>
          </w:r>
        </w:p>
        <w:p w14:paraId="43703735">
          <w:pPr>
            <w:pStyle w:val="6"/>
            <w:tabs>
              <w:tab w:val="right" w:leader="dot" w:pos="8306"/>
            </w:tabs>
            <w:rPr>
              <w:sz w:val="28"/>
              <w:szCs w:val="28"/>
            </w:rPr>
          </w:pPr>
        </w:p>
        <w:p w14:paraId="0696AF21">
          <w:pPr>
            <w:widowControl/>
            <w:jc w:val="left"/>
            <w:outlineLvl w:val="9"/>
            <w:rPr>
              <w:rFonts w:hint="eastAsia" w:ascii="宋体" w:hAnsi="宋体" w:eastAsia="宋体" w:cs="宋体"/>
              <w:bCs/>
              <w:color w:val="000000"/>
              <w:kern w:val="0"/>
              <w:sz w:val="28"/>
              <w:szCs w:val="28"/>
              <w:lang w:bidi="ar"/>
            </w:rPr>
          </w:pPr>
          <w:r>
            <w:rPr>
              <w:rFonts w:hint="eastAsia" w:ascii="宋体" w:hAnsi="宋体" w:eastAsia="宋体" w:cs="宋体"/>
              <w:bCs/>
              <w:color w:val="000000"/>
              <w:kern w:val="0"/>
              <w:sz w:val="28"/>
              <w:szCs w:val="28"/>
              <w:lang w:bidi="ar"/>
            </w:rPr>
            <w:fldChar w:fldCharType="end"/>
          </w:r>
        </w:p>
        <w:p w14:paraId="6E50329E">
          <w:pPr>
            <w:widowControl/>
            <w:jc w:val="left"/>
            <w:outlineLvl w:val="9"/>
            <w:rPr>
              <w:rFonts w:hint="eastAsia" w:ascii="宋体" w:hAnsi="宋体" w:eastAsia="宋体" w:cs="宋体"/>
              <w:bCs/>
              <w:color w:val="000000"/>
              <w:kern w:val="0"/>
              <w:sz w:val="28"/>
              <w:szCs w:val="28"/>
              <w:lang w:bidi="ar"/>
            </w:rPr>
          </w:pPr>
        </w:p>
        <w:p w14:paraId="2B90A651">
          <w:pPr>
            <w:widowControl/>
            <w:jc w:val="left"/>
            <w:outlineLvl w:val="9"/>
            <w:rPr>
              <w:rFonts w:hint="eastAsia" w:ascii="宋体" w:hAnsi="宋体" w:eastAsia="宋体" w:cs="宋体"/>
              <w:bCs/>
              <w:color w:val="000000"/>
              <w:kern w:val="0"/>
              <w:szCs w:val="28"/>
              <w:lang w:bidi="ar"/>
            </w:rPr>
          </w:pPr>
        </w:p>
        <w:p w14:paraId="5B185916">
          <w:pPr>
            <w:widowControl/>
            <w:jc w:val="left"/>
            <w:outlineLvl w:val="9"/>
            <w:rPr>
              <w:rFonts w:hint="eastAsia" w:ascii="宋体" w:hAnsi="宋体" w:eastAsia="宋体" w:cs="宋体"/>
              <w:bCs/>
              <w:color w:val="000000"/>
              <w:kern w:val="0"/>
              <w:szCs w:val="28"/>
              <w:lang w:bidi="ar"/>
            </w:rPr>
          </w:pPr>
        </w:p>
        <w:p w14:paraId="53937ED5">
          <w:pPr>
            <w:widowControl/>
            <w:jc w:val="left"/>
            <w:outlineLvl w:val="9"/>
            <w:rPr>
              <w:rFonts w:hint="eastAsia" w:ascii="宋体" w:hAnsi="宋体" w:eastAsia="宋体" w:cs="宋体"/>
              <w:bCs/>
              <w:color w:val="000000"/>
              <w:kern w:val="0"/>
              <w:szCs w:val="28"/>
              <w:lang w:bidi="ar"/>
            </w:rPr>
          </w:pPr>
        </w:p>
        <w:p w14:paraId="08928D41">
          <w:pPr>
            <w:widowControl/>
            <w:jc w:val="left"/>
            <w:outlineLvl w:val="9"/>
            <w:rPr>
              <w:rFonts w:hint="eastAsia" w:ascii="宋体" w:hAnsi="宋体" w:eastAsia="宋体" w:cs="宋体"/>
              <w:bCs/>
              <w:color w:val="000000"/>
              <w:kern w:val="0"/>
              <w:szCs w:val="28"/>
              <w:lang w:bidi="ar"/>
            </w:rPr>
          </w:pPr>
        </w:p>
        <w:p w14:paraId="4EFA7ECD">
          <w:pPr>
            <w:widowControl/>
            <w:jc w:val="left"/>
            <w:outlineLvl w:val="9"/>
            <w:rPr>
              <w:rFonts w:hint="eastAsia" w:ascii="宋体" w:hAnsi="宋体" w:eastAsia="宋体" w:cs="宋体"/>
              <w:bCs/>
              <w:color w:val="000000"/>
              <w:kern w:val="0"/>
              <w:szCs w:val="28"/>
              <w:lang w:bidi="ar"/>
            </w:rPr>
          </w:pPr>
        </w:p>
        <w:p w14:paraId="55967AF1">
          <w:pPr>
            <w:widowControl/>
            <w:jc w:val="left"/>
            <w:outlineLvl w:val="9"/>
            <w:rPr>
              <w:rFonts w:hint="eastAsia" w:ascii="宋体" w:hAnsi="宋体" w:eastAsia="宋体" w:cs="宋体"/>
              <w:bCs/>
              <w:color w:val="000000"/>
              <w:kern w:val="0"/>
              <w:szCs w:val="28"/>
              <w:lang w:bidi="ar"/>
            </w:rPr>
          </w:pPr>
        </w:p>
        <w:p w14:paraId="1FFCFFAF">
          <w:pPr>
            <w:widowControl/>
            <w:jc w:val="left"/>
            <w:outlineLvl w:val="9"/>
            <w:rPr>
              <w:rFonts w:hint="eastAsia" w:ascii="宋体" w:hAnsi="宋体" w:eastAsia="宋体" w:cs="宋体"/>
              <w:bCs/>
              <w:color w:val="000000"/>
              <w:kern w:val="0"/>
              <w:szCs w:val="28"/>
              <w:lang w:bidi="ar"/>
            </w:rPr>
          </w:pPr>
        </w:p>
        <w:p w14:paraId="6479D957">
          <w:pPr>
            <w:widowControl/>
            <w:jc w:val="left"/>
            <w:outlineLvl w:val="9"/>
            <w:rPr>
              <w:rFonts w:hint="eastAsia" w:ascii="宋体" w:hAnsi="宋体" w:eastAsia="宋体" w:cs="宋体"/>
              <w:bCs/>
              <w:color w:val="000000"/>
              <w:kern w:val="0"/>
              <w:szCs w:val="28"/>
              <w:lang w:bidi="ar"/>
            </w:rPr>
          </w:pPr>
        </w:p>
        <w:p w14:paraId="516610E2">
          <w:pPr>
            <w:widowControl/>
            <w:jc w:val="left"/>
            <w:outlineLvl w:val="9"/>
            <w:rPr>
              <w:rFonts w:hint="eastAsia" w:ascii="宋体" w:hAnsi="宋体" w:eastAsia="宋体" w:cs="宋体"/>
              <w:bCs/>
              <w:color w:val="000000"/>
              <w:kern w:val="0"/>
              <w:szCs w:val="28"/>
              <w:lang w:bidi="ar"/>
            </w:rPr>
          </w:pPr>
        </w:p>
        <w:p w14:paraId="02722B6D">
          <w:pPr>
            <w:widowControl/>
            <w:jc w:val="left"/>
            <w:outlineLvl w:val="9"/>
            <w:rPr>
              <w:rFonts w:hint="eastAsia" w:ascii="宋体" w:hAnsi="宋体" w:eastAsia="宋体" w:cs="宋体"/>
              <w:bCs/>
              <w:color w:val="000000"/>
              <w:kern w:val="0"/>
              <w:szCs w:val="28"/>
              <w:lang w:bidi="ar"/>
            </w:rPr>
          </w:pPr>
        </w:p>
        <w:p w14:paraId="13C322ED">
          <w:pPr>
            <w:widowControl/>
            <w:jc w:val="left"/>
            <w:outlineLvl w:val="9"/>
          </w:pPr>
          <w:bookmarkStart w:id="3" w:name="_Toc19176"/>
        </w:p>
      </w:sdtContent>
    </w:sdt>
    <w:p w14:paraId="1D2A7689">
      <w:pPr>
        <w:widowControl/>
        <w:jc w:val="left"/>
        <w:outlineLvl w:val="9"/>
        <w:rPr>
          <w:rFonts w:hint="eastAsia" w:ascii="宋体" w:hAnsi="宋体" w:eastAsia="宋体" w:cs="宋体"/>
          <w:color w:val="000000"/>
          <w:kern w:val="0"/>
          <w:sz w:val="28"/>
          <w:szCs w:val="28"/>
          <w:lang w:bidi="ar"/>
        </w:rPr>
      </w:pPr>
    </w:p>
    <w:p w14:paraId="7F6580A4">
      <w:pPr>
        <w:widowControl/>
        <w:jc w:val="left"/>
        <w:outlineLvl w:val="9"/>
        <w:rPr>
          <w:rFonts w:hint="eastAsia" w:ascii="宋体" w:hAnsi="宋体" w:eastAsia="宋体" w:cs="宋体"/>
          <w:color w:val="000000"/>
          <w:kern w:val="0"/>
          <w:sz w:val="28"/>
          <w:szCs w:val="28"/>
          <w:lang w:bidi="ar"/>
        </w:rPr>
      </w:pPr>
    </w:p>
    <w:p w14:paraId="320D76CB">
      <w:pPr>
        <w:widowControl/>
        <w:jc w:val="left"/>
        <w:outlineLvl w:val="0"/>
        <w:rPr>
          <w:rFonts w:hint="eastAsia" w:ascii="宋体" w:hAnsi="宋体" w:eastAsia="宋体" w:cs="宋体"/>
          <w:sz w:val="28"/>
          <w:szCs w:val="28"/>
        </w:rPr>
      </w:pPr>
      <w:r>
        <w:rPr>
          <w:rFonts w:hint="eastAsia" w:ascii="宋体" w:hAnsi="宋体" w:eastAsia="宋体" w:cs="宋体"/>
          <w:color w:val="000000"/>
          <w:kern w:val="0"/>
          <w:sz w:val="28"/>
          <w:szCs w:val="28"/>
          <w:lang w:bidi="ar"/>
        </w:rPr>
        <w:t>1总则</w:t>
      </w:r>
      <w:bookmarkEnd w:id="3"/>
    </w:p>
    <w:p w14:paraId="26CB5AB2">
      <w:pPr>
        <w:widowControl/>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1.1定义</w:t>
      </w:r>
    </w:p>
    <w:p w14:paraId="63CA3AB0">
      <w:pPr>
        <w:keepNext w:val="0"/>
        <w:keepLines w:val="0"/>
        <w:widowControl/>
        <w:suppressLineNumbers w:val="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bidi="ar"/>
        </w:rPr>
        <w:t>本技术规范书适用于贵州送变电有限责任公司</w:t>
      </w:r>
      <w:r>
        <w:rPr>
          <w:rFonts w:hint="eastAsia" w:ascii="宋体" w:hAnsi="宋体" w:eastAsia="宋体" w:cs="宋体"/>
          <w:color w:val="000000"/>
          <w:kern w:val="0"/>
          <w:sz w:val="28"/>
          <w:szCs w:val="28"/>
          <w:lang w:val="en-US" w:eastAsia="zh-CN" w:bidi="ar"/>
        </w:rPr>
        <w:t>林卡～青岩220kV线路工程（林卡220kV变220kV出线间隔扩建工程）起重设备大修技术服务。</w:t>
      </w:r>
    </w:p>
    <w:p w14:paraId="6E1C19C7">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招标方：贵州电网有限责任公司贵州送变电有限责任公司。</w:t>
      </w:r>
    </w:p>
    <w:p w14:paraId="3473691D">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bidi="ar"/>
        </w:rPr>
        <w:t>合同签订方：贵州电网有限责任公司贵州送变电有限责任公司。</w:t>
      </w:r>
    </w:p>
    <w:p w14:paraId="3A1AE651">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中标方：</w:t>
      </w:r>
      <w:r>
        <w:rPr>
          <w:rFonts w:hint="eastAsia" w:ascii="宋体" w:hAnsi="宋体" w:eastAsia="宋体" w:cs="宋体"/>
          <w:color w:val="auto"/>
          <w:kern w:val="0"/>
          <w:sz w:val="28"/>
          <w:szCs w:val="28"/>
          <w:highlight w:val="none"/>
          <w:lang w:val="en-US" w:eastAsia="zh-CN" w:bidi="ar"/>
        </w:rPr>
        <w:t>招标人应当直接确定排名第一的中标候选人为中标人</w:t>
      </w:r>
      <w:r>
        <w:rPr>
          <w:rFonts w:hint="eastAsia" w:ascii="宋体" w:hAnsi="宋体" w:eastAsia="宋体" w:cs="宋体"/>
          <w:color w:val="auto"/>
          <w:kern w:val="0"/>
          <w:sz w:val="28"/>
          <w:szCs w:val="28"/>
          <w:highlight w:val="none"/>
          <w:lang w:bidi="ar"/>
        </w:rPr>
        <w:t>。</w:t>
      </w:r>
    </w:p>
    <w:p w14:paraId="26A757E2">
      <w:pPr>
        <w:widowControl/>
        <w:ind w:firstLine="560" w:firstLineChars="200"/>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本规范书提出的是最低限度的技术要求。凡本招标技术规范书中未规定，但在相关的行业标准、国家标准或IEC标准中有规定的规范条文，服务方应按相应标准的条文执行。对国家有关安全、环保等强制性标准，必须满足其要求。</w:t>
      </w:r>
    </w:p>
    <w:p w14:paraId="202B645B">
      <w:pPr>
        <w:widowControl/>
        <w:ind w:firstLine="560" w:firstLineChars="200"/>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如果投标方没有以书面形式对本技术规范书的条文提出异议，则意味着投标方提供的服务完全符合本技术规范书的要求。如有异议，不管是多么微小，都应以“对技术规范书的意见和同技术规范书的差异”为标题的专门章节中加以详细描述。</w:t>
      </w:r>
    </w:p>
    <w:p w14:paraId="2A770BF6">
      <w:pPr>
        <w:widowControl/>
        <w:ind w:firstLine="560" w:firstLineChars="200"/>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本技术规范书所使用的标准如遇与投标方所执行的标准不一致时，按较高标准执行。</w:t>
      </w:r>
    </w:p>
    <w:p w14:paraId="3E168D13">
      <w:pPr>
        <w:widowControl/>
        <w:ind w:firstLine="560" w:firstLineChars="200"/>
        <w:jc w:val="left"/>
        <w:rPr>
          <w:rFonts w:hint="eastAsia" w:ascii="宋体" w:hAnsi="宋体" w:eastAsia="宋体" w:cs="宋体"/>
          <w:color w:val="FF0000"/>
          <w:sz w:val="28"/>
          <w:szCs w:val="28"/>
          <w:highlight w:val="none"/>
        </w:rPr>
      </w:pPr>
      <w:r>
        <w:rPr>
          <w:rFonts w:hint="eastAsia" w:ascii="宋体" w:hAnsi="宋体" w:eastAsia="宋体" w:cs="宋体"/>
          <w:color w:val="auto"/>
          <w:kern w:val="0"/>
          <w:sz w:val="28"/>
          <w:szCs w:val="28"/>
          <w:highlight w:val="none"/>
          <w:lang w:bidi="ar"/>
        </w:rPr>
        <w:t>本技术规范书经双方确认后作为</w:t>
      </w:r>
      <w:r>
        <w:rPr>
          <w:rFonts w:hint="eastAsia" w:ascii="宋体" w:hAnsi="宋体" w:eastAsia="宋体" w:cs="宋体"/>
          <w:color w:val="000000"/>
          <w:kern w:val="0"/>
          <w:sz w:val="28"/>
          <w:szCs w:val="28"/>
          <w:lang w:val="en-US" w:eastAsia="zh-CN" w:bidi="ar"/>
        </w:rPr>
        <w:t>林卡～青岩220kV线路工程（林卡220kV变220kV出线间隔扩建工程）起重设备大修技术服务</w:t>
      </w:r>
      <w:r>
        <w:rPr>
          <w:rFonts w:hint="eastAsia" w:ascii="宋体" w:hAnsi="宋体" w:eastAsia="宋体" w:cs="宋体"/>
          <w:color w:val="auto"/>
          <w:kern w:val="0"/>
          <w:sz w:val="28"/>
          <w:szCs w:val="28"/>
          <w:highlight w:val="none"/>
          <w:lang w:bidi="ar"/>
        </w:rPr>
        <w:t>合同的技术附件，与合同正文具有同等的法律效力。</w:t>
      </w:r>
    </w:p>
    <w:p w14:paraId="50F4A65D">
      <w:pPr>
        <w:widowControl/>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1.2投标须知</w:t>
      </w:r>
    </w:p>
    <w:p w14:paraId="08154416">
      <w:pPr>
        <w:widowControl/>
        <w:numPr>
          <w:ilvl w:val="0"/>
          <w:numId w:val="2"/>
        </w:numPr>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本招标文件仅适用于贵州送变电有限责任公司</w:t>
      </w:r>
      <w:r>
        <w:rPr>
          <w:rFonts w:hint="eastAsia" w:ascii="宋体" w:hAnsi="宋体" w:eastAsia="宋体" w:cs="宋体"/>
          <w:color w:val="000000"/>
          <w:kern w:val="0"/>
          <w:sz w:val="28"/>
          <w:szCs w:val="28"/>
          <w:lang w:val="en-US" w:eastAsia="zh-CN" w:bidi="ar"/>
        </w:rPr>
        <w:t>林卡～青岩220kV线路工程（林卡220kV变220kV出线间隔扩建工程）起重设备大修技术服务</w:t>
      </w:r>
      <w:r>
        <w:rPr>
          <w:rFonts w:hint="eastAsia" w:ascii="宋体" w:hAnsi="宋体" w:eastAsia="宋体" w:cs="宋体"/>
          <w:color w:val="000000"/>
          <w:kern w:val="0"/>
          <w:sz w:val="28"/>
          <w:szCs w:val="28"/>
          <w:lang w:bidi="ar"/>
        </w:rPr>
        <w:t>，本招标文件的最终解释权归贵州电网有限责任公司贵州送变电有限责任公司。</w:t>
      </w:r>
    </w:p>
    <w:p w14:paraId="777B5DE8">
      <w:pPr>
        <w:widowControl/>
        <w:numPr>
          <w:ilvl w:val="0"/>
          <w:numId w:val="2"/>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本招标文件描述了“</w:t>
      </w:r>
      <w:r>
        <w:rPr>
          <w:rFonts w:hint="eastAsia" w:ascii="宋体" w:hAnsi="宋体" w:eastAsia="宋体" w:cs="宋体"/>
          <w:color w:val="000000"/>
          <w:kern w:val="0"/>
          <w:sz w:val="28"/>
          <w:szCs w:val="28"/>
          <w:lang w:val="en-US" w:eastAsia="zh-CN" w:bidi="ar"/>
        </w:rPr>
        <w:t>林卡～青岩220kV线路工程（林卡220kV变220kV出线间隔扩建工程）起重设备大修技术服务</w:t>
      </w:r>
      <w:r>
        <w:rPr>
          <w:rFonts w:hint="eastAsia" w:ascii="宋体" w:hAnsi="宋体" w:eastAsia="宋体" w:cs="宋体"/>
          <w:color w:val="000000"/>
          <w:kern w:val="0"/>
          <w:sz w:val="28"/>
          <w:szCs w:val="28"/>
          <w:lang w:bidi="ar"/>
        </w:rPr>
        <w:t>”（简称本项目）工作目标、内容和要求，可供投标方编写投标文件之用。</w:t>
      </w:r>
    </w:p>
    <w:p w14:paraId="41BFC0A1">
      <w:pPr>
        <w:widowControl/>
        <w:numPr>
          <w:ilvl w:val="0"/>
          <w:numId w:val="2"/>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本项目由贵州电网有限责任公司组织招标，贵州送变电有限责任公司完成合同签订。</w:t>
      </w:r>
    </w:p>
    <w:p w14:paraId="1F85DB64">
      <w:pPr>
        <w:widowControl/>
        <w:numPr>
          <w:ilvl w:val="0"/>
          <w:numId w:val="2"/>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投标方应按照本招标文件的要求提供详细、完整的解决方案。该方案应完全满足或高于本招标文件要求，对于本招标文件中的某些部分，投标方如不能满足要求，或有其它替代方案，或有其它修改建议，应在方案中指出其必须进行修改的理由以及与原要求的差别，否则，招标方即认为投标方可以满足本招标文件的要求。</w:t>
      </w:r>
    </w:p>
    <w:p w14:paraId="1D7B48A3">
      <w:pPr>
        <w:widowControl/>
        <w:numPr>
          <w:ilvl w:val="0"/>
          <w:numId w:val="2"/>
        </w:numPr>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所有招标方认为是本招标文件范围所要求而被遗漏的项目，都被认为是包含在本次招标范围内，投标方的报价被视为包含此遗漏项目的报价。投标方可以就投标方认为的遗漏项目提请招标方注意，并详细说明理由，招标方将就此进行澄清。</w:t>
      </w:r>
    </w:p>
    <w:p w14:paraId="71875D9F">
      <w:pPr>
        <w:widowControl/>
        <w:numPr>
          <w:ilvl w:val="0"/>
          <w:numId w:val="2"/>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投标方应保证所提供的所有资料真实、完整、准确无误，否则招标方将有权取消投标方的中标资格，由此产生的一切后果由投标方承担。</w:t>
      </w:r>
    </w:p>
    <w:p w14:paraId="72170B5E">
      <w:pPr>
        <w:widowControl/>
        <w:numPr>
          <w:ilvl w:val="0"/>
          <w:numId w:val="0"/>
        </w:numPr>
        <w:ind w:leftChars="0"/>
        <w:jc w:val="left"/>
        <w:rPr>
          <w:rFonts w:hint="eastAsia" w:ascii="宋体" w:hAnsi="宋体" w:eastAsia="宋体" w:cs="宋体"/>
          <w:sz w:val="28"/>
          <w:szCs w:val="28"/>
        </w:rPr>
      </w:pPr>
    </w:p>
    <w:p w14:paraId="7FA0C4E7">
      <w:pPr>
        <w:widowControl/>
        <w:jc w:val="left"/>
        <w:outlineLvl w:val="0"/>
        <w:rPr>
          <w:rFonts w:hint="eastAsia" w:ascii="宋体" w:hAnsi="宋体" w:eastAsia="宋体" w:cs="宋体"/>
          <w:b/>
          <w:bCs/>
          <w:color w:val="000000"/>
          <w:kern w:val="0"/>
          <w:sz w:val="28"/>
          <w:szCs w:val="28"/>
          <w:lang w:bidi="ar"/>
        </w:rPr>
      </w:pPr>
      <w:bookmarkStart w:id="4" w:name="_Toc1627"/>
      <w:r>
        <w:rPr>
          <w:rFonts w:hint="eastAsia" w:ascii="宋体" w:hAnsi="宋体" w:eastAsia="宋体" w:cs="宋体"/>
          <w:b/>
          <w:bCs/>
          <w:color w:val="000000"/>
          <w:kern w:val="0"/>
          <w:sz w:val="28"/>
          <w:szCs w:val="28"/>
          <w:lang w:bidi="ar"/>
        </w:rPr>
        <w:t>2应遵循的主要标准</w:t>
      </w:r>
      <w:bookmarkEnd w:id="4"/>
    </w:p>
    <w:p w14:paraId="466CFB1B">
      <w:pPr>
        <w:widowControl/>
        <w:ind w:firstLine="560" w:firstLineChars="200"/>
        <w:jc w:val="left"/>
        <w:rPr>
          <w:rFonts w:hint="eastAsia" w:ascii="宋体" w:hAnsi="宋体" w:eastAsia="宋体" w:cs="宋体"/>
          <w:b/>
          <w:bCs/>
          <w:color w:val="000000"/>
          <w:kern w:val="0"/>
          <w:sz w:val="28"/>
          <w:szCs w:val="28"/>
          <w:lang w:bidi="ar"/>
        </w:rPr>
      </w:pPr>
      <w:r>
        <w:rPr>
          <w:rFonts w:hint="eastAsia" w:ascii="宋体" w:hAnsi="宋体" w:eastAsia="宋体" w:cs="宋体"/>
          <w:color w:val="000000"/>
          <w:kern w:val="0"/>
          <w:sz w:val="28"/>
          <w:szCs w:val="28"/>
          <w:lang w:bidi="ar"/>
        </w:rPr>
        <w:t>为明确采购服务要求，保证采购服务质量，本采购服务中的工作标准及安全要求应遵循下列技术标准。</w:t>
      </w:r>
    </w:p>
    <w:p w14:paraId="3E39D12F">
      <w:pPr>
        <w:widowControl/>
        <w:ind w:firstLine="560" w:firstLineChars="200"/>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下列文件中的条款通过本标准的引用而成为本标准的条款。凡是注日期的引用文件，其随后所有的修改单（不包括勘误的内容）或修订版均不适用于本标准。</w:t>
      </w:r>
    </w:p>
    <w:p w14:paraId="0759D0B9">
      <w:pPr>
        <w:widowControl/>
        <w:ind w:firstLine="560" w:firstLineChars="200"/>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凡是不注日期的引用文件，其最新版本适用于本标准。</w:t>
      </w:r>
    </w:p>
    <w:p w14:paraId="74870073">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bookmarkStart w:id="5" w:name="_Hlk107126497"/>
      <w:r>
        <w:rPr>
          <w:rFonts w:hint="eastAsia" w:ascii="宋体" w:hAnsi="宋体" w:eastAsia="宋体" w:cs="宋体"/>
          <w:color w:val="000000" w:themeColor="text1"/>
          <w:kern w:val="0"/>
          <w:sz w:val="28"/>
          <w:szCs w:val="28"/>
          <w:lang w:bidi="ar"/>
          <w14:textFill>
            <w14:solidFill>
              <w14:schemeClr w14:val="tx1"/>
            </w14:solidFill>
          </w14:textFill>
        </w:rPr>
        <w:t>《电力建设安全工作规程，第3部分：变电站》DL5009.3-2013</w:t>
      </w:r>
    </w:p>
    <w:p w14:paraId="2A4AD98F">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lang w:bidi="ar"/>
          <w14:textFill>
            <w14:solidFill>
              <w14:schemeClr w14:val="tx1"/>
            </w14:solidFill>
          </w14:textFill>
        </w:rPr>
        <w:t>《电气装置安装工程质量检验及评定规</w:t>
      </w:r>
      <w:r>
        <w:rPr>
          <w:rFonts w:hint="eastAsia" w:ascii="宋体" w:hAnsi="宋体" w:eastAsia="宋体" w:cs="宋体"/>
          <w:color w:val="000000" w:themeColor="text1"/>
          <w:kern w:val="0"/>
          <w:sz w:val="28"/>
          <w:szCs w:val="28"/>
          <w:lang w:eastAsia="zh-CN" w:bidi="ar"/>
          <w14:textFill>
            <w14:solidFill>
              <w14:schemeClr w14:val="tx1"/>
            </w14:solidFill>
          </w14:textFill>
        </w:rPr>
        <w:t>》</w:t>
      </w:r>
      <w:r>
        <w:rPr>
          <w:rFonts w:hint="eastAsia" w:ascii="宋体" w:hAnsi="宋体" w:eastAsia="宋体" w:cs="宋体"/>
          <w:color w:val="000000" w:themeColor="text1"/>
          <w:kern w:val="0"/>
          <w:sz w:val="28"/>
          <w:szCs w:val="28"/>
          <w:lang w:bidi="ar"/>
          <w14:textFill>
            <w14:solidFill>
              <w14:schemeClr w14:val="tx1"/>
            </w14:solidFill>
          </w14:textFill>
        </w:rPr>
        <w:t>（DL/T5161.1~5161.17-2018）</w:t>
      </w:r>
    </w:p>
    <w:p w14:paraId="64FB4E90">
      <w:pPr>
        <w:widowControl/>
        <w:jc w:val="left"/>
        <w:rPr>
          <w:rFonts w:hint="eastAsia" w:ascii="宋体" w:hAnsi="宋体" w:eastAsia="宋体" w:cs="宋体"/>
          <w:color w:val="FF0000"/>
          <w:kern w:val="0"/>
          <w:sz w:val="28"/>
          <w:szCs w:val="28"/>
          <w:highlight w:val="yellow"/>
          <w:lang w:bidi="ar"/>
        </w:rPr>
      </w:pPr>
      <w:r>
        <w:rPr>
          <w:rFonts w:hint="eastAsia" w:ascii="宋体" w:hAnsi="宋体" w:eastAsia="宋体" w:cs="宋体"/>
          <w:color w:val="auto"/>
          <w:kern w:val="0"/>
          <w:sz w:val="28"/>
          <w:szCs w:val="28"/>
          <w:highlight w:val="none"/>
          <w:lang w:bidi="ar"/>
        </w:rPr>
        <w:t>《</w:t>
      </w:r>
      <w:r>
        <w:rPr>
          <w:rFonts w:hint="eastAsia" w:ascii="宋体" w:hAnsi="宋体" w:eastAsia="宋体" w:cs="宋体"/>
          <w:color w:val="auto"/>
          <w:kern w:val="0"/>
          <w:sz w:val="28"/>
          <w:szCs w:val="28"/>
          <w:highlight w:val="none"/>
          <w:lang w:val="en-US" w:eastAsia="zh-CN" w:bidi="ar"/>
        </w:rPr>
        <w:t>电力设备检修试验规程</w:t>
      </w:r>
      <w:r>
        <w:rPr>
          <w:rFonts w:hint="eastAsia" w:ascii="宋体" w:hAnsi="宋体" w:eastAsia="宋体" w:cs="宋体"/>
          <w:color w:val="auto"/>
          <w:kern w:val="0"/>
          <w:sz w:val="28"/>
          <w:szCs w:val="28"/>
          <w:highlight w:val="none"/>
          <w:lang w:bidi="ar"/>
        </w:rPr>
        <w:t>》</w:t>
      </w:r>
      <w:r>
        <w:rPr>
          <w:rFonts w:hint="eastAsia" w:ascii="宋体" w:hAnsi="宋体" w:eastAsia="宋体" w:cs="宋体"/>
          <w:color w:val="auto"/>
          <w:kern w:val="0"/>
          <w:sz w:val="28"/>
          <w:szCs w:val="28"/>
          <w:highlight w:val="none"/>
          <w:lang w:val="en-US" w:eastAsia="zh-CN" w:bidi="ar"/>
        </w:rPr>
        <w:t>Q/CSG1206007-2017</w:t>
      </w:r>
    </w:p>
    <w:bookmarkEnd w:id="5"/>
    <w:p w14:paraId="3D42667A">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bookmarkStart w:id="6" w:name="_Hlk107126537"/>
      <w:r>
        <w:rPr>
          <w:rFonts w:hint="eastAsia" w:ascii="宋体" w:hAnsi="宋体" w:eastAsia="宋体" w:cs="宋体"/>
          <w:color w:val="000000" w:themeColor="text1"/>
          <w:kern w:val="0"/>
          <w:sz w:val="28"/>
          <w:szCs w:val="28"/>
          <w:lang w:bidi="ar"/>
          <w14:textFill>
            <w14:solidFill>
              <w14:schemeClr w14:val="tx1"/>
            </w14:solidFill>
          </w14:textFill>
        </w:rPr>
        <w:t>《输变电工程建设标准强制性条文实施管理规程》</w:t>
      </w:r>
      <w:bookmarkEnd w:id="6"/>
      <w:r>
        <w:rPr>
          <w:rFonts w:hint="eastAsia" w:ascii="宋体" w:hAnsi="宋体" w:eastAsia="宋体" w:cs="宋体"/>
          <w:color w:val="000000" w:themeColor="text1"/>
          <w:kern w:val="0"/>
          <w:sz w:val="28"/>
          <w:szCs w:val="28"/>
          <w:lang w:bidi="ar"/>
          <w14:textFill>
            <w14:solidFill>
              <w14:schemeClr w14:val="tx1"/>
            </w14:solidFill>
          </w14:textFill>
        </w:rPr>
        <w:t>(Q/GDW10248.1-2016)</w:t>
      </w:r>
    </w:p>
    <w:p w14:paraId="2A1E35D5">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lang w:bidi="ar"/>
          <w14:textFill>
            <w14:solidFill>
              <w14:schemeClr w14:val="tx1"/>
            </w14:solidFill>
          </w14:textFill>
        </w:rPr>
        <w:t>《中国南方电网公司电力建设施工安全基准风险指南》（2022版）</w:t>
      </w:r>
    </w:p>
    <w:p w14:paraId="5C4EDFB3">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lang w:bidi="ar"/>
          <w14:textFill>
            <w14:solidFill>
              <w14:schemeClr w14:val="tx1"/>
            </w14:solidFill>
          </w14:textFill>
        </w:rPr>
        <w:t>《中国南方电网有限责任公司电力安全工作规程》（2022版）</w:t>
      </w:r>
    </w:p>
    <w:p w14:paraId="552A6FBE">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r>
        <w:rPr>
          <w:rFonts w:hint="eastAsia" w:ascii="宋体" w:hAnsi="宋体" w:eastAsia="宋体" w:cs="宋体"/>
          <w:color w:val="000000" w:themeColor="text1"/>
          <w:kern w:val="0"/>
          <w:sz w:val="28"/>
          <w:szCs w:val="28"/>
          <w:lang w:bidi="ar"/>
          <w14:textFill>
            <w14:solidFill>
              <w14:schemeClr w14:val="tx1"/>
            </w14:solidFill>
          </w14:textFill>
        </w:rPr>
        <w:t>《中国南方电网有限责任公司10kV～500kV输变电及配电工程质量验收与评定标准》Q/CSG 411002-2012</w:t>
      </w:r>
      <w:r>
        <w:rPr>
          <w:rFonts w:hint="eastAsia" w:ascii="宋体" w:hAnsi="宋体" w:eastAsia="宋体" w:cs="宋体"/>
          <w:color w:val="000000" w:themeColor="text1"/>
          <w:kern w:val="0"/>
          <w:sz w:val="28"/>
          <w:szCs w:val="28"/>
          <w:lang w:bidi="ar"/>
          <w14:textFill>
            <w14:solidFill>
              <w14:schemeClr w14:val="tx1"/>
            </w14:solidFill>
          </w14:textFill>
        </w:rPr>
        <w:br w:type="textWrapping"/>
      </w:r>
      <w:r>
        <w:rPr>
          <w:rFonts w:hint="eastAsia" w:ascii="宋体" w:hAnsi="宋体" w:eastAsia="宋体" w:cs="宋体"/>
          <w:color w:val="000000" w:themeColor="text1"/>
          <w:kern w:val="0"/>
          <w:sz w:val="28"/>
          <w:szCs w:val="28"/>
          <w:lang w:bidi="ar"/>
          <w14:textFill>
            <w14:solidFill>
              <w14:schemeClr w14:val="tx1"/>
            </w14:solidFill>
          </w14:textFill>
        </w:rPr>
        <w:t>《中国南方电网有限责任公司电网建设施工作业指导书》（2012年版）</w:t>
      </w:r>
      <w:r>
        <w:rPr>
          <w:rFonts w:hint="eastAsia" w:ascii="宋体" w:hAnsi="宋体" w:eastAsia="宋体" w:cs="宋体"/>
          <w:color w:val="000000" w:themeColor="text1"/>
          <w:kern w:val="0"/>
          <w:sz w:val="28"/>
          <w:szCs w:val="28"/>
          <w:lang w:bidi="ar"/>
          <w14:textFill>
            <w14:solidFill>
              <w14:schemeClr w14:val="tx1"/>
            </w14:solidFill>
          </w14:textFill>
        </w:rPr>
        <w:br w:type="textWrapping"/>
      </w:r>
      <w:r>
        <w:rPr>
          <w:rFonts w:hint="eastAsia" w:ascii="宋体" w:hAnsi="宋体" w:eastAsia="宋体" w:cs="宋体"/>
          <w:color w:val="000000" w:themeColor="text1"/>
          <w:kern w:val="0"/>
          <w:sz w:val="28"/>
          <w:szCs w:val="28"/>
          <w:lang w:bidi="ar"/>
          <w14:textFill>
            <w14:solidFill>
              <w14:schemeClr w14:val="tx1"/>
            </w14:solidFill>
          </w14:textFill>
        </w:rPr>
        <w:t>贵州送变电有限责任公司《质量、职业健康安全和环境管理整合体系管理手册》、《程序文件》及其它整合体系文件</w:t>
      </w:r>
    </w:p>
    <w:p w14:paraId="0460EE1E">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p>
    <w:p w14:paraId="3159B93C">
      <w:pPr>
        <w:widowControl/>
        <w:jc w:val="left"/>
        <w:rPr>
          <w:rFonts w:hint="eastAsia" w:ascii="宋体" w:hAnsi="宋体" w:eastAsia="宋体" w:cs="宋体"/>
          <w:color w:val="000000" w:themeColor="text1"/>
          <w:kern w:val="0"/>
          <w:sz w:val="28"/>
          <w:szCs w:val="28"/>
          <w:lang w:bidi="ar"/>
          <w14:textFill>
            <w14:solidFill>
              <w14:schemeClr w14:val="tx1"/>
            </w14:solidFill>
          </w14:textFill>
        </w:rPr>
      </w:pPr>
    </w:p>
    <w:p w14:paraId="0D5BD810">
      <w:pPr>
        <w:widowControl/>
        <w:jc w:val="left"/>
        <w:outlineLvl w:val="0"/>
        <w:rPr>
          <w:rFonts w:hint="eastAsia" w:ascii="宋体" w:hAnsi="宋体" w:eastAsia="宋体" w:cs="宋体"/>
          <w:b/>
          <w:bCs/>
          <w:color w:val="000000"/>
          <w:kern w:val="0"/>
          <w:sz w:val="28"/>
          <w:szCs w:val="28"/>
          <w:lang w:bidi="ar"/>
        </w:rPr>
      </w:pPr>
      <w:bookmarkStart w:id="7" w:name="_Toc31224"/>
      <w:r>
        <w:rPr>
          <w:rFonts w:hint="eastAsia" w:ascii="微软雅黑" w:hAnsi="微软雅黑" w:eastAsia="微软雅黑" w:cs="微软雅黑"/>
          <w:b/>
          <w:bCs/>
          <w:color w:val="000000"/>
          <w:kern w:val="0"/>
          <w:sz w:val="28"/>
          <w:szCs w:val="28"/>
          <w:lang w:bidi="ar"/>
        </w:rPr>
        <w:t>★</w:t>
      </w:r>
      <w:r>
        <w:rPr>
          <w:rFonts w:hint="eastAsia" w:ascii="宋体" w:hAnsi="宋体" w:eastAsia="宋体" w:cs="宋体"/>
          <w:b/>
          <w:bCs/>
          <w:color w:val="000000"/>
          <w:kern w:val="0"/>
          <w:sz w:val="28"/>
          <w:szCs w:val="28"/>
          <w:lang w:bidi="ar"/>
        </w:rPr>
        <w:t>3项目的</w:t>
      </w:r>
      <w:r>
        <w:rPr>
          <w:rFonts w:hint="eastAsia" w:ascii="宋体" w:hAnsi="宋体" w:eastAsia="宋体" w:cs="宋体"/>
          <w:b/>
          <w:bCs/>
          <w:color w:val="000000"/>
          <w:kern w:val="0"/>
          <w:sz w:val="28"/>
          <w:szCs w:val="28"/>
          <w:lang w:val="en-US" w:eastAsia="zh-CN" w:bidi="ar"/>
        </w:rPr>
        <w:t>背景、</w:t>
      </w:r>
      <w:r>
        <w:rPr>
          <w:rFonts w:hint="eastAsia" w:ascii="宋体" w:hAnsi="宋体" w:eastAsia="宋体" w:cs="宋体"/>
          <w:b/>
          <w:bCs/>
          <w:color w:val="000000"/>
          <w:kern w:val="0"/>
          <w:sz w:val="28"/>
          <w:szCs w:val="28"/>
          <w:lang w:bidi="ar"/>
        </w:rPr>
        <w:t>内容与目的</w:t>
      </w:r>
      <w:bookmarkEnd w:id="7"/>
    </w:p>
    <w:p w14:paraId="70A74A57">
      <w:pPr>
        <w:keepNext w:val="0"/>
        <w:keepLines w:val="0"/>
        <w:pageBreakBefore w:val="0"/>
        <w:widowControl/>
        <w:numPr>
          <w:ilvl w:val="0"/>
          <w:numId w:val="3"/>
        </w:numPr>
        <w:kinsoku/>
        <w:wordWrap/>
        <w:overflowPunct/>
        <w:topLinePunct w:val="0"/>
        <w:autoSpaceDE/>
        <w:autoSpaceDN/>
        <w:bidi w:val="0"/>
        <w:adjustRightInd/>
        <w:snapToGrid/>
        <w:ind w:left="425" w:hanging="425"/>
        <w:jc w:val="left"/>
        <w:textAlignment w:val="auto"/>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项目的背景</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000000"/>
          <w:kern w:val="0"/>
          <w:sz w:val="28"/>
          <w:szCs w:val="28"/>
          <w:lang w:val="en-US" w:eastAsia="zh-CN" w:bidi="ar"/>
        </w:rPr>
        <w:t>林卡～青岩220kV线路工程（林卡220kV变220kV出线间隔扩建工程）起重设备大修技术服务</w:t>
      </w:r>
      <w:r>
        <w:rPr>
          <w:rFonts w:hint="eastAsia" w:ascii="宋体" w:hAnsi="宋体" w:eastAsia="宋体" w:cs="宋体"/>
          <w:color w:val="auto"/>
          <w:kern w:val="0"/>
          <w:sz w:val="28"/>
          <w:szCs w:val="28"/>
          <w:highlight w:val="none"/>
          <w:lang w:val="en-US" w:eastAsia="zh-CN" w:bidi="ar"/>
        </w:rPr>
        <w:t>。</w:t>
      </w:r>
    </w:p>
    <w:p w14:paraId="51BFCA78">
      <w:pPr>
        <w:keepNext w:val="0"/>
        <w:keepLines w:val="0"/>
        <w:widowControl/>
        <w:suppressLineNumbers w:val="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bidi="ar"/>
        </w:rPr>
        <w:t>项目的内容：</w:t>
      </w:r>
      <w:r>
        <w:rPr>
          <w:rFonts w:hint="eastAsia" w:ascii="宋体" w:hAnsi="宋体" w:eastAsia="宋体" w:cs="宋体"/>
          <w:color w:val="auto"/>
          <w:kern w:val="0"/>
          <w:sz w:val="28"/>
          <w:szCs w:val="28"/>
          <w:highlight w:val="none"/>
          <w:lang w:val="en-US" w:eastAsia="zh-CN" w:bidi="ar"/>
        </w:rPr>
        <w:t>现场 1台 老QD起重设备大修技术服务；</w:t>
      </w:r>
    </w:p>
    <w:p w14:paraId="6292C96D">
      <w:pPr>
        <w:widowControl/>
        <w:numPr>
          <w:ilvl w:val="0"/>
          <w:numId w:val="3"/>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项目目的：</w:t>
      </w:r>
      <w:r>
        <w:rPr>
          <w:rFonts w:hint="eastAsia" w:ascii="宋体" w:hAnsi="宋体" w:eastAsia="宋体" w:cs="宋体"/>
          <w:color w:val="auto"/>
          <w:kern w:val="0"/>
          <w:sz w:val="28"/>
          <w:szCs w:val="28"/>
          <w:highlight w:val="none"/>
          <w:lang w:val="en-US" w:eastAsia="zh-CN" w:bidi="ar"/>
        </w:rPr>
        <w:t>提供的大修</w:t>
      </w:r>
      <w:r>
        <w:rPr>
          <w:rFonts w:hint="eastAsia" w:ascii="宋体" w:hAnsi="宋体" w:eastAsia="宋体" w:cs="宋体"/>
          <w:color w:val="auto"/>
          <w:kern w:val="0"/>
          <w:sz w:val="28"/>
          <w:szCs w:val="28"/>
          <w:highlight w:val="none"/>
          <w:lang w:bidi="ar"/>
        </w:rPr>
        <w:t>技术服务满足工程项目</w:t>
      </w:r>
      <w:r>
        <w:rPr>
          <w:rFonts w:hint="eastAsia" w:ascii="宋体" w:hAnsi="宋体" w:eastAsia="宋体" w:cs="宋体"/>
          <w:color w:val="000000"/>
          <w:kern w:val="0"/>
          <w:sz w:val="28"/>
          <w:szCs w:val="28"/>
          <w:lang w:val="en-US" w:eastAsia="zh-CN" w:bidi="ar"/>
        </w:rPr>
        <w:t>林卡～青岩220kV线路工程（林卡220kV变220kV出线间隔扩建工程）起重设备技术服务</w:t>
      </w:r>
      <w:r>
        <w:rPr>
          <w:rFonts w:hint="eastAsia" w:ascii="宋体" w:hAnsi="宋体" w:eastAsia="宋体" w:cs="宋体"/>
          <w:color w:val="auto"/>
          <w:kern w:val="0"/>
          <w:sz w:val="28"/>
          <w:szCs w:val="28"/>
          <w:highlight w:val="none"/>
          <w:lang w:val="en-US" w:eastAsia="zh-CN" w:bidi="ar"/>
        </w:rPr>
        <w:t>的相关</w:t>
      </w:r>
      <w:r>
        <w:rPr>
          <w:rFonts w:hint="eastAsia" w:ascii="宋体" w:hAnsi="宋体" w:eastAsia="宋体" w:cs="宋体"/>
          <w:color w:val="auto"/>
          <w:kern w:val="0"/>
          <w:sz w:val="28"/>
          <w:szCs w:val="28"/>
          <w:highlight w:val="none"/>
          <w:lang w:bidi="ar"/>
        </w:rPr>
        <w:t>要求，保</w:t>
      </w:r>
      <w:r>
        <w:rPr>
          <w:rFonts w:hint="eastAsia" w:ascii="宋体" w:hAnsi="宋体" w:eastAsia="宋体" w:cs="宋体"/>
          <w:color w:val="auto"/>
          <w:kern w:val="0"/>
          <w:sz w:val="28"/>
          <w:szCs w:val="28"/>
          <w:highlight w:val="none"/>
          <w:lang w:val="en-US" w:eastAsia="zh-CN" w:bidi="ar"/>
        </w:rPr>
        <w:t>证</w:t>
      </w:r>
      <w:r>
        <w:rPr>
          <w:rFonts w:hint="eastAsia" w:ascii="宋体" w:hAnsi="宋体" w:eastAsia="宋体" w:cs="宋体"/>
          <w:color w:val="000000"/>
          <w:kern w:val="0"/>
          <w:sz w:val="28"/>
          <w:szCs w:val="28"/>
          <w:lang w:val="en-US" w:eastAsia="zh-CN" w:bidi="ar"/>
        </w:rPr>
        <w:t>起重设备技术服务</w:t>
      </w:r>
      <w:r>
        <w:rPr>
          <w:rFonts w:hint="eastAsia" w:ascii="宋体" w:hAnsi="宋体" w:eastAsia="宋体" w:cs="宋体"/>
          <w:color w:val="auto"/>
          <w:kern w:val="0"/>
          <w:sz w:val="28"/>
          <w:szCs w:val="28"/>
          <w:highlight w:val="none"/>
          <w:lang w:val="en-US" w:eastAsia="zh-CN" w:bidi="ar"/>
        </w:rPr>
        <w:t>后满足国家、行业等相关技术规范要求，并经监理、业主、运行、使用等单位验收合格并投入运行，投入运行无异常</w:t>
      </w:r>
      <w:r>
        <w:rPr>
          <w:rFonts w:hint="eastAsia" w:ascii="宋体" w:hAnsi="宋体" w:eastAsia="宋体" w:cs="宋体"/>
          <w:color w:val="auto"/>
          <w:kern w:val="0"/>
          <w:sz w:val="28"/>
          <w:szCs w:val="28"/>
          <w:highlight w:val="none"/>
          <w:lang w:bidi="ar"/>
        </w:rPr>
        <w:t>。</w:t>
      </w:r>
    </w:p>
    <w:p w14:paraId="438480BD">
      <w:pPr>
        <w:widowControl/>
        <w:numPr>
          <w:ilvl w:val="0"/>
          <w:numId w:val="3"/>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资质要求：需具备国家相关行政主管部门颁发的起重设备安装、修理、改造许可证，且在有效期内。</w:t>
      </w:r>
    </w:p>
    <w:p w14:paraId="19351DA8">
      <w:pPr>
        <w:widowControl/>
        <w:numPr>
          <w:ilvl w:val="0"/>
          <w:numId w:val="3"/>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技术要求：完成</w:t>
      </w:r>
      <w:r>
        <w:rPr>
          <w:rFonts w:hint="eastAsia" w:ascii="宋体" w:hAnsi="宋体" w:eastAsia="宋体" w:cs="宋体"/>
          <w:color w:val="auto"/>
          <w:kern w:val="0"/>
          <w:sz w:val="28"/>
          <w:szCs w:val="28"/>
          <w:lang w:val="en-US" w:eastAsia="zh-CN" w:bidi="ar"/>
        </w:rPr>
        <w:t>林卡～青岩220kV线路工程（林卡220kV变220kV出线间隔扩建工程）现场使用</w:t>
      </w:r>
      <w:r>
        <w:rPr>
          <w:rFonts w:hint="eastAsia" w:ascii="宋体" w:hAnsi="宋体" w:eastAsia="宋体" w:cs="宋体"/>
          <w:color w:val="auto"/>
          <w:kern w:val="0"/>
          <w:sz w:val="28"/>
          <w:szCs w:val="28"/>
          <w:highlight w:val="none"/>
          <w:lang w:val="en-US" w:eastAsia="zh-CN" w:bidi="ar"/>
        </w:rPr>
        <w:t>要求，需对</w:t>
      </w:r>
      <w:r>
        <w:rPr>
          <w:rFonts w:hint="eastAsia" w:ascii="宋体" w:hAnsi="宋体" w:eastAsia="宋体" w:cs="宋体"/>
          <w:color w:val="auto"/>
          <w:kern w:val="0"/>
          <w:sz w:val="28"/>
          <w:szCs w:val="28"/>
          <w:lang w:val="en-US" w:eastAsia="zh-CN" w:bidi="ar"/>
        </w:rPr>
        <w:t>林卡～青岩220kV线路工程（林卡220kV变220kV出线间隔扩建工程）起重设备进行大修、保养及质保，包含以下内容：</w:t>
      </w:r>
    </w:p>
    <w:p w14:paraId="584A8DA1">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外观及结构</w:t>
      </w:r>
      <w:r>
        <w:rPr>
          <w:rFonts w:hint="default" w:ascii="宋体" w:hAnsi="宋体" w:eastAsia="宋体" w:cs="宋体"/>
          <w:color w:val="auto"/>
          <w:kern w:val="0"/>
          <w:sz w:val="28"/>
          <w:szCs w:val="28"/>
          <w:highlight w:val="none"/>
          <w:lang w:val="en-US" w:eastAsia="zh-CN" w:bidi="ar"/>
        </w:rPr>
        <w:t>：检查起重设备的金属结构是否有裂纹、变形、锈蚀等缺陷，</w:t>
      </w:r>
      <w:r>
        <w:rPr>
          <w:rFonts w:hint="eastAsia" w:ascii="宋体" w:hAnsi="宋体" w:eastAsia="宋体" w:cs="宋体"/>
          <w:color w:val="auto"/>
          <w:kern w:val="0"/>
          <w:sz w:val="28"/>
          <w:szCs w:val="28"/>
          <w:highlight w:val="none"/>
          <w:lang w:val="en-US" w:eastAsia="zh-CN" w:bidi="ar"/>
        </w:rPr>
        <w:t>将有裂纹和锈蚀部分需要进行修复及更换。</w:t>
      </w:r>
    </w:p>
    <w:p w14:paraId="279014BF">
      <w:pPr>
        <w:widowControl/>
        <w:numPr>
          <w:ilvl w:val="0"/>
          <w:numId w:val="0"/>
        </w:numPr>
        <w:ind w:left="420" w:leftChars="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 xml:space="preserve"> 1.桥架（主梁+端梁）</w:t>
      </w:r>
    </w:p>
    <w:p w14:paraId="3EF08E74">
      <w:pPr>
        <w:widowControl/>
        <w:numPr>
          <w:ilvl w:val="0"/>
          <w:numId w:val="0"/>
        </w:numPr>
        <w:ind w:left="420" w:leftChars="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1.1全面除锈、打磨、探伤（磁粉/超声波）</w:t>
      </w:r>
    </w:p>
    <w:p w14:paraId="072665BA">
      <w:pPr>
        <w:widowControl/>
        <w:numPr>
          <w:ilvl w:val="0"/>
          <w:numId w:val="0"/>
        </w:numPr>
        <w:ind w:left="420" w:leftChars="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1.2主梁上拱度：≥0.7S/1000（S=跨度）；挠度：≤S/700（额定载荷）</w:t>
      </w:r>
    </w:p>
    <w:p w14:paraId="20D735CC">
      <w:pPr>
        <w:widowControl/>
        <w:numPr>
          <w:ilvl w:val="0"/>
          <w:numId w:val="0"/>
        </w:numPr>
        <w:ind w:left="420" w:leftChars="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2.焊缝裂纹：铲除重焊、无损检测</w:t>
      </w:r>
    </w:p>
    <w:p w14:paraId="348EFD1F">
      <w:pPr>
        <w:widowControl/>
        <w:numPr>
          <w:ilvl w:val="0"/>
          <w:numId w:val="0"/>
        </w:numPr>
        <w:ind w:left="420" w:leftChars="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3.变形矫正：火焰+机械矫正，加固腹板/筋板</w:t>
      </w:r>
    </w:p>
    <w:p w14:paraId="7F059C58">
      <w:pPr>
        <w:widowControl/>
        <w:numPr>
          <w:ilvl w:val="0"/>
          <w:numId w:val="0"/>
        </w:numPr>
        <w:ind w:left="420" w:leftChars="0"/>
        <w:jc w:val="left"/>
        <w:rPr>
          <w:rFonts w:hint="default" w:ascii="宋体" w:hAnsi="宋体" w:eastAsia="宋体" w:cs="宋体"/>
          <w:color w:val="auto"/>
          <w:kern w:val="0"/>
          <w:sz w:val="28"/>
          <w:szCs w:val="28"/>
          <w:highlight w:val="none"/>
          <w:lang w:val="en-US" w:bidi="ar"/>
        </w:rPr>
      </w:pPr>
      <w:r>
        <w:rPr>
          <w:rFonts w:hint="eastAsia" w:ascii="宋体" w:hAnsi="宋体" w:eastAsia="宋体" w:cs="宋体"/>
          <w:color w:val="auto"/>
          <w:kern w:val="0"/>
          <w:sz w:val="28"/>
          <w:szCs w:val="28"/>
          <w:highlight w:val="none"/>
          <w:lang w:val="en-US" w:eastAsia="zh-CN" w:bidi="ar"/>
        </w:rPr>
        <w:t>4.防腐：2遍防锈漆+2遍面漆（橘红/设备色）</w:t>
      </w:r>
    </w:p>
    <w:p w14:paraId="02CAA682">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起升和运动机构：检查是否有裂纹、变形、磨损超标；钢丝绳是否有断丝、松股、锈蚀；排线器和导绳器是否完好、卡绳；如有以上情况需修复及更换。</w:t>
      </w:r>
    </w:p>
    <w:p w14:paraId="446D2775">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w:t>
      </w:r>
      <w:r>
        <w:rPr>
          <w:rFonts w:hint="eastAsia" w:ascii="宋体" w:hAnsi="宋体" w:eastAsia="宋体" w:cs="宋体"/>
          <w:color w:val="auto"/>
          <w:kern w:val="0"/>
          <w:sz w:val="28"/>
          <w:szCs w:val="28"/>
          <w:highlight w:val="none"/>
          <w:lang w:bidi="ar"/>
        </w:rPr>
        <w:t>起升机构</w:t>
      </w:r>
    </w:p>
    <w:p w14:paraId="37ADCB7B">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1.1</w:t>
      </w:r>
      <w:r>
        <w:rPr>
          <w:rFonts w:hint="eastAsia" w:ascii="宋体" w:hAnsi="宋体" w:eastAsia="宋体" w:cs="宋体"/>
          <w:color w:val="auto"/>
          <w:kern w:val="0"/>
          <w:sz w:val="28"/>
          <w:szCs w:val="28"/>
          <w:highlight w:val="none"/>
          <w:lang w:bidi="ar"/>
        </w:rPr>
        <w:t>吊钩：磁粉探伤；危险断面磨损&gt;10%</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auto"/>
          <w:kern w:val="0"/>
          <w:sz w:val="28"/>
          <w:szCs w:val="28"/>
          <w:highlight w:val="none"/>
          <w:lang w:bidi="ar"/>
        </w:rPr>
        <w:t>必须更换；严禁焊补裂纹</w:t>
      </w:r>
    </w:p>
    <w:p w14:paraId="6CE67891">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1.2</w:t>
      </w:r>
      <w:r>
        <w:rPr>
          <w:rFonts w:hint="eastAsia" w:ascii="宋体" w:hAnsi="宋体" w:eastAsia="宋体" w:cs="宋体"/>
          <w:color w:val="auto"/>
          <w:kern w:val="0"/>
          <w:sz w:val="28"/>
          <w:szCs w:val="28"/>
          <w:highlight w:val="none"/>
          <w:lang w:bidi="ar"/>
        </w:rPr>
        <w:t>滑轮：拆洗探伤；槽磨损&gt;30%</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auto"/>
          <w:kern w:val="0"/>
          <w:sz w:val="28"/>
          <w:szCs w:val="28"/>
          <w:highlight w:val="none"/>
          <w:lang w:bidi="ar"/>
        </w:rPr>
        <w:t xml:space="preserve"> 报废；径向间隙≤0.5mm</w:t>
      </w:r>
    </w:p>
    <w:p w14:paraId="5BA7C18B">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1.3</w:t>
      </w:r>
      <w:r>
        <w:rPr>
          <w:rFonts w:hint="eastAsia" w:ascii="宋体" w:hAnsi="宋体" w:eastAsia="宋体" w:cs="宋体"/>
          <w:color w:val="auto"/>
          <w:kern w:val="0"/>
          <w:sz w:val="28"/>
          <w:szCs w:val="28"/>
          <w:highlight w:val="none"/>
          <w:lang w:bidi="ar"/>
        </w:rPr>
        <w:t>卷筒：检查绳槽、裂纹、磨损；修复或更换</w:t>
      </w:r>
    </w:p>
    <w:p w14:paraId="79EF1C03">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1.4</w:t>
      </w:r>
      <w:r>
        <w:rPr>
          <w:rFonts w:hint="eastAsia" w:ascii="宋体" w:hAnsi="宋体" w:eastAsia="宋体" w:cs="宋体"/>
          <w:color w:val="auto"/>
          <w:kern w:val="0"/>
          <w:sz w:val="28"/>
          <w:szCs w:val="28"/>
          <w:highlight w:val="none"/>
          <w:lang w:bidi="ar"/>
        </w:rPr>
        <w:t>钢丝绳：全部更换；检查卷筒压板、防脱装置</w:t>
      </w:r>
    </w:p>
    <w:p w14:paraId="4A95B4A1">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1.5</w:t>
      </w:r>
      <w:r>
        <w:rPr>
          <w:rFonts w:hint="eastAsia" w:ascii="宋体" w:hAnsi="宋体" w:eastAsia="宋体" w:cs="宋体"/>
          <w:color w:val="auto"/>
          <w:kern w:val="0"/>
          <w:sz w:val="28"/>
          <w:szCs w:val="28"/>
          <w:highlight w:val="none"/>
          <w:lang w:bidi="ar"/>
        </w:rPr>
        <w:t>减速器：拆洗、换密封、换N320/CKC220齿轮油；油位达标、无渗漏</w:t>
      </w:r>
    </w:p>
    <w:p w14:paraId="5C7E77C9">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1.6</w:t>
      </w:r>
      <w:r>
        <w:rPr>
          <w:rFonts w:hint="eastAsia" w:ascii="宋体" w:hAnsi="宋体" w:eastAsia="宋体" w:cs="宋体"/>
          <w:color w:val="auto"/>
          <w:kern w:val="0"/>
          <w:sz w:val="28"/>
          <w:szCs w:val="28"/>
          <w:highlight w:val="none"/>
          <w:lang w:bidi="ar"/>
        </w:rPr>
        <w:t>联轴器：检查齿面、弹性垫；对中偏差≤0.1mm/m（径向）、≤0.2mm/m（轴向）</w:t>
      </w:r>
    </w:p>
    <w:p w14:paraId="022EEA96">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1.7</w:t>
      </w:r>
      <w:r>
        <w:rPr>
          <w:rFonts w:hint="eastAsia" w:ascii="宋体" w:hAnsi="宋体" w:eastAsia="宋体" w:cs="宋体"/>
          <w:color w:val="auto"/>
          <w:kern w:val="0"/>
          <w:sz w:val="28"/>
          <w:szCs w:val="28"/>
          <w:highlight w:val="none"/>
          <w:lang w:bidi="ar"/>
        </w:rPr>
        <w:t>制动器：拆检、换摩擦片；闸瓦间隙0.5±0.1mm；两侧同步、无卡滞</w:t>
      </w:r>
    </w:p>
    <w:p w14:paraId="09D4574A">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1.8</w:t>
      </w:r>
      <w:r>
        <w:rPr>
          <w:rFonts w:hint="eastAsia" w:ascii="宋体" w:hAnsi="宋体" w:eastAsia="宋体" w:cs="宋体"/>
          <w:color w:val="auto"/>
          <w:kern w:val="0"/>
          <w:sz w:val="28"/>
          <w:szCs w:val="28"/>
          <w:highlight w:val="none"/>
          <w:lang w:bidi="ar"/>
        </w:rPr>
        <w:t>轴承：拆洗、换脂（3#锂基脂/二硫化钼）；温升≤70℃（空载10min）</w:t>
      </w:r>
    </w:p>
    <w:p w14:paraId="153A0C19">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2. 运行机构（大车+小车）</w:t>
      </w:r>
    </w:p>
    <w:p w14:paraId="526B1D21">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2.1</w:t>
      </w:r>
      <w:r>
        <w:rPr>
          <w:rFonts w:hint="eastAsia" w:ascii="宋体" w:hAnsi="宋体" w:eastAsia="宋体" w:cs="宋体"/>
          <w:color w:val="auto"/>
          <w:kern w:val="0"/>
          <w:sz w:val="28"/>
          <w:szCs w:val="28"/>
          <w:highlight w:val="none"/>
          <w:lang w:bidi="ar"/>
        </w:rPr>
        <w:t>车轮：踏面磨损&gt;15%、轮缘磨损&gt;10mm</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auto"/>
          <w:kern w:val="0"/>
          <w:sz w:val="28"/>
          <w:szCs w:val="28"/>
          <w:highlight w:val="none"/>
          <w:lang w:bidi="ar"/>
        </w:rPr>
        <w:t xml:space="preserve"> 修复/更换；轮径偏差≤0.5/1000</w:t>
      </w:r>
    </w:p>
    <w:p w14:paraId="1A817092">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2.2</w:t>
      </w:r>
      <w:r>
        <w:rPr>
          <w:rFonts w:hint="eastAsia" w:ascii="宋体" w:hAnsi="宋体" w:eastAsia="宋体" w:cs="宋体"/>
          <w:color w:val="auto"/>
          <w:kern w:val="0"/>
          <w:sz w:val="28"/>
          <w:szCs w:val="28"/>
          <w:highlight w:val="none"/>
          <w:lang w:bidi="ar"/>
        </w:rPr>
        <w:t>啃轨调整：轮缘与轨道间隙2-4mm；垂直度≤L/400</w:t>
      </w:r>
    </w:p>
    <w:p w14:paraId="31EE4E41">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2.3</w:t>
      </w:r>
      <w:r>
        <w:rPr>
          <w:rFonts w:hint="eastAsia" w:ascii="宋体" w:hAnsi="宋体" w:eastAsia="宋体" w:cs="宋体"/>
          <w:color w:val="auto"/>
          <w:kern w:val="0"/>
          <w:sz w:val="28"/>
          <w:szCs w:val="28"/>
          <w:highlight w:val="none"/>
          <w:lang w:bidi="ar"/>
        </w:rPr>
        <w:t>传动：减速器、联轴器、制动器同起升标准</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auto"/>
          <w:kern w:val="0"/>
          <w:sz w:val="28"/>
          <w:szCs w:val="28"/>
          <w:highlight w:val="none"/>
          <w:lang w:bidi="ar"/>
        </w:rPr>
        <w:t>运行平稳、无跑偏、无异常噪音</w:t>
      </w:r>
    </w:p>
    <w:p w14:paraId="09E2F104">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3. 润滑系统</w:t>
      </w:r>
    </w:p>
    <w:p w14:paraId="536290A4">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3.1</w:t>
      </w:r>
      <w:r>
        <w:rPr>
          <w:rFonts w:hint="eastAsia" w:ascii="宋体" w:hAnsi="宋体" w:eastAsia="宋体" w:cs="宋体"/>
          <w:color w:val="auto"/>
          <w:kern w:val="0"/>
          <w:sz w:val="28"/>
          <w:szCs w:val="28"/>
          <w:highlight w:val="none"/>
          <w:lang w:bidi="ar"/>
        </w:rPr>
        <w:t>集中润滑站：清洗过滤器、换油、注脂</w:t>
      </w:r>
    </w:p>
    <w:p w14:paraId="368228C4">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3.2</w:t>
      </w:r>
      <w:r>
        <w:rPr>
          <w:rFonts w:hint="eastAsia" w:ascii="宋体" w:hAnsi="宋体" w:eastAsia="宋体" w:cs="宋体"/>
          <w:color w:val="auto"/>
          <w:kern w:val="0"/>
          <w:sz w:val="28"/>
          <w:szCs w:val="28"/>
          <w:highlight w:val="none"/>
          <w:lang w:bidi="ar"/>
        </w:rPr>
        <w:t>各轴承、卷筒、车轮按标准注脂（大车150g/点、卷筒200g/端）</w:t>
      </w:r>
    </w:p>
    <w:p w14:paraId="47D2559D">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制动器、安全装置：检查是否正常，磨损情况；起重限位、起升限位需处理使其正常动作。</w:t>
      </w:r>
    </w:p>
    <w:p w14:paraId="236C1542">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1.</w:t>
      </w:r>
      <w:r>
        <w:rPr>
          <w:rFonts w:hint="eastAsia" w:ascii="宋体" w:hAnsi="宋体" w:eastAsia="宋体" w:cs="宋体"/>
          <w:color w:val="auto"/>
          <w:kern w:val="0"/>
          <w:sz w:val="28"/>
          <w:szCs w:val="28"/>
          <w:highlight w:val="none"/>
          <w:lang w:bidi="ar"/>
        </w:rPr>
        <w:t>超载限制器、起升高度/下降深度限位、运行限位</w:t>
      </w:r>
    </w:p>
    <w:p w14:paraId="3835263D">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2.</w:t>
      </w:r>
      <w:r>
        <w:rPr>
          <w:rFonts w:hint="eastAsia" w:ascii="宋体" w:hAnsi="宋体" w:eastAsia="宋体" w:cs="宋体"/>
          <w:color w:val="auto"/>
          <w:kern w:val="0"/>
          <w:sz w:val="28"/>
          <w:szCs w:val="28"/>
          <w:highlight w:val="none"/>
          <w:lang w:bidi="ar"/>
        </w:rPr>
        <w:t>缓冲器、止挡、扫轨板、防脱钩装置</w:t>
      </w:r>
    </w:p>
    <w:p w14:paraId="26C4A506">
      <w:pPr>
        <w:widowControl/>
        <w:numPr>
          <w:ilvl w:val="0"/>
          <w:numId w:val="0"/>
        </w:numPr>
        <w:ind w:left="420" w:left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3.</w:t>
      </w:r>
      <w:r>
        <w:rPr>
          <w:rFonts w:hint="eastAsia" w:ascii="宋体" w:hAnsi="宋体" w:eastAsia="宋体" w:cs="宋体"/>
          <w:color w:val="auto"/>
          <w:kern w:val="0"/>
          <w:sz w:val="28"/>
          <w:szCs w:val="28"/>
          <w:highlight w:val="none"/>
          <w:lang w:bidi="ar"/>
        </w:rPr>
        <w:t>紧急停止、联锁、接地/接零（电阻≤4Ω）</w:t>
      </w:r>
    </w:p>
    <w:p w14:paraId="1FFAEAB2">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default" w:ascii="宋体" w:hAnsi="宋体" w:eastAsia="宋体" w:cs="宋体"/>
          <w:color w:val="auto"/>
          <w:kern w:val="0"/>
          <w:sz w:val="28"/>
          <w:szCs w:val="28"/>
          <w:highlight w:val="none"/>
          <w:lang w:val="en-US" w:eastAsia="zh-CN" w:bidi="ar"/>
        </w:rPr>
        <w:t>电气系统检查：</w:t>
      </w:r>
      <w:r>
        <w:rPr>
          <w:rFonts w:hint="eastAsia" w:ascii="宋体" w:hAnsi="宋体" w:eastAsia="宋体" w:cs="宋体"/>
          <w:color w:val="auto"/>
          <w:kern w:val="0"/>
          <w:sz w:val="28"/>
          <w:szCs w:val="28"/>
          <w:highlight w:val="none"/>
          <w:lang w:val="en-US" w:eastAsia="zh-CN" w:bidi="ar"/>
        </w:rPr>
        <w:t>检查及更换按钮控制器和控制电缆；接触器、电缆芯线、</w:t>
      </w:r>
      <w:r>
        <w:rPr>
          <w:rFonts w:hint="default" w:ascii="宋体" w:hAnsi="宋体" w:eastAsia="宋体" w:cs="宋体"/>
          <w:color w:val="auto"/>
          <w:kern w:val="0"/>
          <w:sz w:val="28"/>
          <w:szCs w:val="28"/>
          <w:highlight w:val="none"/>
          <w:lang w:val="en-US" w:eastAsia="zh-CN" w:bidi="ar"/>
        </w:rPr>
        <w:t>开关等电气元件</w:t>
      </w:r>
      <w:r>
        <w:rPr>
          <w:rFonts w:hint="eastAsia" w:ascii="宋体" w:hAnsi="宋体" w:eastAsia="宋体" w:cs="宋体"/>
          <w:color w:val="auto"/>
          <w:kern w:val="0"/>
          <w:sz w:val="28"/>
          <w:szCs w:val="28"/>
          <w:highlight w:val="none"/>
          <w:lang w:val="en-US" w:eastAsia="zh-CN" w:bidi="ar"/>
        </w:rPr>
        <w:t>有烧灼情况的需更换，保障</w:t>
      </w:r>
      <w:r>
        <w:rPr>
          <w:rFonts w:hint="default" w:ascii="宋体" w:hAnsi="宋体" w:eastAsia="宋体" w:cs="宋体"/>
          <w:color w:val="auto"/>
          <w:kern w:val="0"/>
          <w:sz w:val="28"/>
          <w:szCs w:val="28"/>
          <w:highlight w:val="none"/>
          <w:lang w:val="en-US" w:eastAsia="zh-CN" w:bidi="ar"/>
        </w:rPr>
        <w:t>工作状态和安全性。</w:t>
      </w:r>
    </w:p>
    <w:p w14:paraId="6C073D25">
      <w:pPr>
        <w:widowControl/>
        <w:numPr>
          <w:ilvl w:val="0"/>
          <w:numId w:val="0"/>
        </w:numPr>
        <w:ind w:left="420" w:leftChars="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1. 电机：拆检、烘干、绝缘测试（≥0.5MΩ）；换碳刷、轴承；轴弯曲≤0.2mm</w:t>
      </w:r>
    </w:p>
    <w:p w14:paraId="19C3772B">
      <w:pPr>
        <w:widowControl/>
        <w:numPr>
          <w:ilvl w:val="0"/>
          <w:numId w:val="0"/>
        </w:numPr>
        <w:ind w:left="420" w:leftChars="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2.控制柜：清洁、换老化线路；全车接触器更换；压力≥25N</w:t>
      </w:r>
    </w:p>
    <w:p w14:paraId="4F7E6267">
      <w:pPr>
        <w:widowControl/>
        <w:numPr>
          <w:ilvl w:val="0"/>
          <w:numId w:val="0"/>
        </w:numPr>
        <w:ind w:left="420" w:leftChars="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限位开关：上升/下降/行程/极限；校准误差≤±10mm；动作灵敏可靠</w:t>
      </w:r>
    </w:p>
    <w:p w14:paraId="2BB70F8A">
      <w:pPr>
        <w:widowControl/>
        <w:numPr>
          <w:ilvl w:val="0"/>
          <w:numId w:val="0"/>
        </w:numPr>
        <w:ind w:left="420" w:leftChars="0"/>
        <w:jc w:val="left"/>
        <w:rPr>
          <w:rFonts w:hint="default" w:ascii="宋体" w:hAnsi="宋体" w:eastAsia="宋体" w:cs="宋体"/>
          <w:color w:val="auto"/>
          <w:kern w:val="0"/>
          <w:sz w:val="28"/>
          <w:szCs w:val="28"/>
          <w:highlight w:val="none"/>
          <w:lang w:val="en-US" w:bidi="ar"/>
        </w:rPr>
      </w:pPr>
      <w:r>
        <w:rPr>
          <w:rFonts w:hint="eastAsia" w:ascii="宋体" w:hAnsi="宋体" w:eastAsia="宋体" w:cs="宋体"/>
          <w:color w:val="auto"/>
          <w:kern w:val="0"/>
          <w:sz w:val="28"/>
          <w:szCs w:val="28"/>
          <w:highlight w:val="none"/>
          <w:lang w:val="en-US" w:eastAsia="zh-CN" w:bidi="ar"/>
        </w:rPr>
        <w:t>3.安全回路：模拟故障测试；响应时间≤50ms照明、信号、滑触线：更换老化部件、绝缘达标、布线规范</w:t>
      </w:r>
    </w:p>
    <w:p w14:paraId="1E3F7E94">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全面保养</w:t>
      </w:r>
      <w:r>
        <w:rPr>
          <w:rFonts w:hint="default" w:ascii="宋体" w:hAnsi="宋体" w:eastAsia="宋体" w:cs="宋体"/>
          <w:color w:val="auto"/>
          <w:kern w:val="0"/>
          <w:sz w:val="28"/>
          <w:szCs w:val="28"/>
          <w:highlight w:val="none"/>
          <w:lang w:val="en-US" w:eastAsia="zh-CN" w:bidi="ar"/>
        </w:rPr>
        <w:t>：</w:t>
      </w:r>
      <w:r>
        <w:rPr>
          <w:rFonts w:hint="eastAsia" w:ascii="宋体" w:hAnsi="宋体" w:eastAsia="宋体" w:cs="宋体"/>
          <w:color w:val="auto"/>
          <w:kern w:val="0"/>
          <w:sz w:val="28"/>
          <w:szCs w:val="28"/>
          <w:highlight w:val="none"/>
          <w:lang w:val="en-US" w:eastAsia="zh-CN" w:bidi="ar"/>
        </w:rPr>
        <w:t>包括但不限于紧固、润滑、清洁、清洗、更换、调试校准和试车等</w:t>
      </w:r>
      <w:r>
        <w:rPr>
          <w:rFonts w:hint="default" w:ascii="宋体" w:hAnsi="宋体" w:eastAsia="宋体" w:cs="宋体"/>
          <w:color w:val="auto"/>
          <w:kern w:val="0"/>
          <w:sz w:val="28"/>
          <w:szCs w:val="28"/>
          <w:highlight w:val="none"/>
          <w:lang w:val="en-US" w:eastAsia="zh-CN" w:bidi="ar"/>
        </w:rPr>
        <w:t>。</w:t>
      </w:r>
    </w:p>
    <w:p w14:paraId="67ECEF88">
      <w:pPr>
        <w:widowControl/>
        <w:numPr>
          <w:ilvl w:val="0"/>
          <w:numId w:val="4"/>
        </w:numPr>
        <w:ind w:left="845" w:leftChars="0" w:hanging="425" w:firstLineChars="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val="en-US" w:eastAsia="zh-CN" w:bidi="ar"/>
        </w:rPr>
        <w:t>中标单位保障1年内维护保养和保修</w:t>
      </w:r>
      <w:r>
        <w:rPr>
          <w:rFonts w:hint="eastAsia" w:ascii="宋体" w:hAnsi="宋体" w:eastAsia="宋体" w:cs="宋体"/>
          <w:color w:val="auto"/>
          <w:kern w:val="0"/>
          <w:sz w:val="28"/>
          <w:szCs w:val="28"/>
          <w:lang w:val="en-US" w:eastAsia="zh-CN" w:bidi="ar"/>
        </w:rPr>
        <w:t>，使起重设备具备投入运行条件。</w:t>
      </w:r>
    </w:p>
    <w:p w14:paraId="776BBC03">
      <w:pPr>
        <w:widowControl/>
        <w:jc w:val="left"/>
        <w:outlineLvl w:val="0"/>
        <w:rPr>
          <w:rFonts w:hint="eastAsia" w:ascii="宋体" w:hAnsi="宋体" w:eastAsia="宋体" w:cs="宋体"/>
          <w:color w:val="000000"/>
          <w:kern w:val="0"/>
          <w:sz w:val="28"/>
          <w:szCs w:val="28"/>
          <w:lang w:bidi="ar"/>
        </w:rPr>
      </w:pPr>
      <w:bookmarkStart w:id="8" w:name="_Toc2674"/>
      <w:r>
        <w:rPr>
          <w:rFonts w:hint="eastAsia" w:ascii="宋体" w:hAnsi="宋体" w:eastAsia="宋体" w:cs="宋体"/>
          <w:b/>
          <w:bCs/>
          <w:color w:val="000000"/>
          <w:kern w:val="0"/>
          <w:sz w:val="28"/>
          <w:szCs w:val="28"/>
          <w:lang w:bidi="ar"/>
        </w:rPr>
        <w:t>4项目的必要性</w:t>
      </w:r>
      <w:bookmarkEnd w:id="8"/>
    </w:p>
    <w:p w14:paraId="2B897AE9">
      <w:pPr>
        <w:widowControl/>
        <w:ind w:firstLine="560" w:firstLineChars="200"/>
        <w:jc w:val="left"/>
        <w:rPr>
          <w:rFonts w:hint="eastAsia" w:ascii="宋体" w:hAnsi="宋体" w:eastAsia="宋体" w:cs="宋体"/>
          <w:color w:val="auto"/>
          <w:kern w:val="0"/>
          <w:sz w:val="28"/>
          <w:szCs w:val="28"/>
          <w:highlight w:val="none"/>
          <w:lang w:val="en-US" w:eastAsia="zh-CN" w:bidi="ar"/>
        </w:rPr>
      </w:pPr>
      <w:r>
        <w:rPr>
          <w:rFonts w:hint="eastAsia" w:ascii="宋体" w:hAnsi="宋体" w:eastAsia="宋体" w:cs="宋体"/>
          <w:color w:val="auto"/>
          <w:kern w:val="0"/>
          <w:sz w:val="28"/>
          <w:szCs w:val="28"/>
          <w:highlight w:val="none"/>
          <w:lang w:val="en-US" w:eastAsia="zh-CN" w:bidi="ar"/>
        </w:rPr>
        <w:t>根据</w:t>
      </w:r>
      <w:r>
        <w:rPr>
          <w:rFonts w:hint="eastAsia" w:ascii="宋体" w:hAnsi="宋体" w:eastAsia="宋体" w:cs="宋体"/>
          <w:color w:val="000000"/>
          <w:kern w:val="0"/>
          <w:sz w:val="28"/>
          <w:szCs w:val="28"/>
          <w:lang w:val="en-US" w:eastAsia="zh-CN" w:bidi="ar"/>
        </w:rPr>
        <w:t>林卡～青岩220kV线路工程（林卡220kV变220kV出线间隔扩建工程）具备现场使用条件的相关</w:t>
      </w:r>
      <w:r>
        <w:rPr>
          <w:rFonts w:hint="eastAsia" w:ascii="宋体" w:hAnsi="宋体" w:eastAsia="宋体" w:cs="宋体"/>
          <w:color w:val="auto"/>
          <w:kern w:val="0"/>
          <w:sz w:val="28"/>
          <w:szCs w:val="28"/>
          <w:highlight w:val="none"/>
          <w:lang w:val="en-US" w:eastAsia="zh-CN" w:bidi="ar"/>
        </w:rPr>
        <w:t>要求，需对</w:t>
      </w:r>
      <w:r>
        <w:rPr>
          <w:rFonts w:hint="eastAsia" w:ascii="宋体" w:hAnsi="宋体" w:eastAsia="宋体" w:cs="宋体"/>
          <w:color w:val="000000"/>
          <w:kern w:val="0"/>
          <w:sz w:val="28"/>
          <w:szCs w:val="28"/>
          <w:lang w:val="en-US" w:eastAsia="zh-CN" w:bidi="ar"/>
        </w:rPr>
        <w:t>林卡～青岩220kV线路工程（林卡220kV变220kV出线间隔扩建工程）的起重设备进行大修</w:t>
      </w:r>
      <w:r>
        <w:rPr>
          <w:rFonts w:hint="eastAsia" w:ascii="宋体" w:hAnsi="宋体" w:eastAsia="宋体" w:cs="宋体"/>
          <w:color w:val="auto"/>
          <w:kern w:val="0"/>
          <w:sz w:val="28"/>
          <w:szCs w:val="28"/>
          <w:highlight w:val="none"/>
          <w:lang w:val="en-US" w:eastAsia="zh-CN" w:bidi="ar"/>
        </w:rPr>
        <w:t>技术服务。</w:t>
      </w:r>
    </w:p>
    <w:p w14:paraId="3F29C925">
      <w:pPr>
        <w:widowControl/>
        <w:jc w:val="left"/>
        <w:outlineLvl w:val="0"/>
        <w:rPr>
          <w:rFonts w:hint="eastAsia" w:ascii="宋体" w:hAnsi="宋体" w:eastAsia="宋体" w:cs="宋体"/>
          <w:b/>
          <w:bCs/>
          <w:color w:val="000000"/>
          <w:kern w:val="0"/>
          <w:sz w:val="28"/>
          <w:szCs w:val="28"/>
          <w:lang w:bidi="ar"/>
        </w:rPr>
      </w:pPr>
      <w:bookmarkStart w:id="9" w:name="_Toc16262"/>
      <w:r>
        <w:rPr>
          <w:rFonts w:hint="eastAsia" w:ascii="宋体" w:hAnsi="宋体" w:eastAsia="宋体" w:cs="宋体"/>
          <w:b/>
          <w:bCs/>
          <w:color w:val="000000"/>
          <w:kern w:val="0"/>
          <w:sz w:val="28"/>
          <w:szCs w:val="28"/>
          <w:lang w:bidi="ar"/>
        </w:rPr>
        <w:t>★5技术服务的唯一性</w:t>
      </w:r>
      <w:bookmarkEnd w:id="9"/>
    </w:p>
    <w:p w14:paraId="7EB6E217">
      <w:pPr>
        <w:keepNext w:val="0"/>
        <w:keepLines w:val="0"/>
        <w:widowControl/>
        <w:suppressLineNumbers w:val="0"/>
        <w:ind w:firstLine="560" w:firstLineChars="200"/>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为保</w:t>
      </w:r>
      <w:r>
        <w:rPr>
          <w:rFonts w:hint="eastAsia" w:ascii="宋体" w:hAnsi="宋体" w:eastAsia="宋体" w:cs="宋体"/>
          <w:color w:val="auto"/>
          <w:kern w:val="0"/>
          <w:sz w:val="28"/>
          <w:szCs w:val="28"/>
          <w:highlight w:val="none"/>
          <w:lang w:val="en-US" w:eastAsia="zh-CN" w:bidi="ar"/>
        </w:rPr>
        <w:t>证</w:t>
      </w:r>
      <w:r>
        <w:rPr>
          <w:rFonts w:hint="eastAsia" w:ascii="宋体" w:hAnsi="宋体" w:eastAsia="宋体" w:cs="宋体"/>
          <w:color w:val="auto"/>
          <w:kern w:val="0"/>
          <w:sz w:val="28"/>
          <w:szCs w:val="28"/>
          <w:highlight w:val="none"/>
          <w:lang w:bidi="ar"/>
        </w:rPr>
        <w:t>本期</w:t>
      </w:r>
      <w:r>
        <w:rPr>
          <w:rFonts w:hint="eastAsia" w:ascii="宋体" w:hAnsi="宋体" w:eastAsia="宋体" w:cs="宋体"/>
          <w:color w:val="auto"/>
          <w:kern w:val="0"/>
          <w:sz w:val="28"/>
          <w:szCs w:val="28"/>
          <w:highlight w:val="none"/>
          <w:lang w:val="en-US" w:eastAsia="zh-CN" w:bidi="ar"/>
        </w:rPr>
        <w:t>工程</w:t>
      </w:r>
      <w:r>
        <w:rPr>
          <w:rFonts w:hint="eastAsia" w:ascii="宋体" w:hAnsi="宋体" w:eastAsia="宋体" w:cs="宋体"/>
          <w:color w:val="auto"/>
          <w:kern w:val="0"/>
          <w:sz w:val="28"/>
          <w:szCs w:val="28"/>
          <w:highlight w:val="none"/>
          <w:lang w:bidi="ar"/>
        </w:rPr>
        <w:t>施工的质量，通过</w:t>
      </w:r>
      <w:r>
        <w:rPr>
          <w:rFonts w:hint="eastAsia" w:ascii="宋体" w:hAnsi="宋体" w:eastAsia="宋体" w:cs="宋体"/>
          <w:color w:val="auto"/>
          <w:kern w:val="0"/>
          <w:sz w:val="28"/>
          <w:szCs w:val="28"/>
          <w:highlight w:val="none"/>
          <w:lang w:val="en-US" w:eastAsia="zh-CN" w:bidi="ar"/>
        </w:rPr>
        <w:t>公开招标</w:t>
      </w:r>
      <w:r>
        <w:rPr>
          <w:rFonts w:hint="eastAsia" w:ascii="宋体" w:hAnsi="宋体" w:eastAsia="宋体" w:cs="宋体"/>
          <w:color w:val="auto"/>
          <w:kern w:val="0"/>
          <w:sz w:val="28"/>
          <w:szCs w:val="28"/>
          <w:highlight w:val="none"/>
          <w:lang w:bidi="ar"/>
        </w:rPr>
        <w:t>方式，以</w:t>
      </w:r>
      <w:r>
        <w:rPr>
          <w:rFonts w:hint="eastAsia" w:ascii="宋体" w:hAnsi="宋体" w:eastAsia="宋体" w:cs="宋体"/>
          <w:color w:val="auto"/>
          <w:kern w:val="0"/>
          <w:sz w:val="28"/>
          <w:szCs w:val="28"/>
          <w:highlight w:val="none"/>
          <w:lang w:val="en-US" w:eastAsia="zh-CN" w:bidi="ar"/>
        </w:rPr>
        <w:t>维修</w:t>
      </w:r>
      <w:r>
        <w:rPr>
          <w:rFonts w:hint="eastAsia" w:ascii="宋体" w:hAnsi="宋体" w:eastAsia="宋体" w:cs="宋体"/>
          <w:color w:val="auto"/>
          <w:kern w:val="0"/>
          <w:sz w:val="28"/>
          <w:szCs w:val="28"/>
          <w:highlight w:val="none"/>
          <w:lang w:bidi="ar"/>
        </w:rPr>
        <w:t>技术力量雄厚、工作态度严谨为原则作为本项目技术服务单位。</w:t>
      </w:r>
    </w:p>
    <w:p w14:paraId="3D788A12">
      <w:pPr>
        <w:widowControl/>
        <w:jc w:val="left"/>
        <w:outlineLvl w:val="0"/>
        <w:rPr>
          <w:rFonts w:hint="eastAsia" w:ascii="宋体" w:hAnsi="宋体" w:eastAsia="宋体" w:cs="宋体"/>
          <w:sz w:val="28"/>
          <w:szCs w:val="28"/>
        </w:rPr>
      </w:pPr>
      <w:bookmarkStart w:id="10" w:name="_Toc13172"/>
      <w:r>
        <w:rPr>
          <w:rFonts w:hint="eastAsia" w:ascii="宋体" w:hAnsi="宋体" w:eastAsia="宋体" w:cs="宋体"/>
          <w:b/>
          <w:bCs/>
          <w:color w:val="000000"/>
          <w:kern w:val="0"/>
          <w:sz w:val="28"/>
          <w:szCs w:val="28"/>
          <w:lang w:bidi="ar"/>
        </w:rPr>
        <w:t>6安全要求</w:t>
      </w:r>
      <w:bookmarkEnd w:id="10"/>
    </w:p>
    <w:p w14:paraId="58CF767F">
      <w:pPr>
        <w:widowControl/>
        <w:numPr>
          <w:ilvl w:val="0"/>
          <w:numId w:val="5"/>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工作过程中应执行Q/CSG510001《中国南方电网有限责任公司电力安全工作规程》</w:t>
      </w:r>
      <w:r>
        <w:rPr>
          <w:rFonts w:hint="eastAsia" w:ascii="宋体" w:hAnsi="宋体" w:eastAsia="宋体" w:cs="宋体"/>
          <w:color w:val="000000"/>
          <w:kern w:val="0"/>
          <w:sz w:val="28"/>
          <w:szCs w:val="28"/>
          <w:lang w:eastAsia="zh-CN" w:bidi="ar"/>
        </w:rPr>
        <w:t>（</w:t>
      </w:r>
      <w:r>
        <w:rPr>
          <w:rFonts w:hint="eastAsia" w:ascii="宋体" w:hAnsi="宋体" w:eastAsia="宋体" w:cs="宋体"/>
          <w:color w:val="000000"/>
          <w:kern w:val="0"/>
          <w:sz w:val="28"/>
          <w:szCs w:val="28"/>
          <w:lang w:val="en-US" w:eastAsia="zh-CN" w:bidi="ar"/>
        </w:rPr>
        <w:t>2022版）相关</w:t>
      </w:r>
      <w:r>
        <w:rPr>
          <w:rFonts w:hint="eastAsia" w:ascii="宋体" w:hAnsi="宋体" w:eastAsia="宋体" w:cs="宋体"/>
          <w:color w:val="000000"/>
          <w:kern w:val="0"/>
          <w:sz w:val="28"/>
          <w:szCs w:val="28"/>
          <w:lang w:bidi="ar"/>
        </w:rPr>
        <w:t>要求。</w:t>
      </w:r>
    </w:p>
    <w:p w14:paraId="6BE350A0">
      <w:pPr>
        <w:widowControl/>
        <w:numPr>
          <w:ilvl w:val="0"/>
          <w:numId w:val="5"/>
        </w:numPr>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具备保证安全组织措</w:t>
      </w:r>
      <w:r>
        <w:rPr>
          <w:rFonts w:hint="eastAsia" w:ascii="宋体" w:hAnsi="宋体" w:eastAsia="宋体" w:cs="宋体"/>
          <w:color w:val="000000"/>
          <w:kern w:val="0"/>
          <w:sz w:val="28"/>
          <w:szCs w:val="28"/>
          <w:highlight w:val="none"/>
          <w:lang w:bidi="ar"/>
        </w:rPr>
        <w:t>施的能力，</w:t>
      </w:r>
      <w:r>
        <w:rPr>
          <w:rFonts w:hint="eastAsia" w:ascii="宋体" w:hAnsi="宋体" w:eastAsia="宋体" w:cs="宋体"/>
          <w:color w:val="000000"/>
          <w:kern w:val="0"/>
          <w:sz w:val="28"/>
          <w:szCs w:val="28"/>
          <w:highlight w:val="none"/>
          <w:lang w:val="en-US" w:eastAsia="zh-CN" w:bidi="ar"/>
        </w:rPr>
        <w:t>安排负责人和技术人员现场督促、指导，正确保障现场作业人员规范施工、安全文明施工，并工作期间始终在现场</w:t>
      </w:r>
      <w:r>
        <w:rPr>
          <w:rFonts w:hint="eastAsia" w:ascii="宋体" w:hAnsi="宋体" w:eastAsia="宋体" w:cs="宋体"/>
          <w:color w:val="000000"/>
          <w:kern w:val="0"/>
          <w:sz w:val="28"/>
          <w:szCs w:val="28"/>
          <w:highlight w:val="none"/>
          <w:lang w:bidi="ar"/>
        </w:rPr>
        <w:t>。</w:t>
      </w:r>
    </w:p>
    <w:p w14:paraId="0A60FDA7">
      <w:pPr>
        <w:widowControl/>
        <w:numPr>
          <w:ilvl w:val="0"/>
          <w:numId w:val="5"/>
        </w:numPr>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技术指导</w:t>
      </w:r>
      <w:r>
        <w:rPr>
          <w:rFonts w:hint="eastAsia" w:ascii="宋体" w:hAnsi="宋体" w:eastAsia="宋体" w:cs="宋体"/>
          <w:color w:val="000000"/>
          <w:kern w:val="0"/>
          <w:sz w:val="28"/>
          <w:szCs w:val="28"/>
          <w:lang w:bidi="ar"/>
        </w:rPr>
        <w:t>人员的安排应满足</w:t>
      </w:r>
      <w:r>
        <w:rPr>
          <w:rFonts w:hint="eastAsia" w:ascii="宋体" w:hAnsi="宋体" w:eastAsia="宋体" w:cs="宋体"/>
          <w:color w:val="000000"/>
          <w:kern w:val="0"/>
          <w:sz w:val="28"/>
          <w:szCs w:val="28"/>
          <w:lang w:eastAsia="zh-CN" w:bidi="ar"/>
        </w:rPr>
        <w:t>、</w:t>
      </w:r>
      <w:r>
        <w:rPr>
          <w:rFonts w:hint="eastAsia" w:ascii="宋体" w:hAnsi="宋体" w:eastAsia="宋体" w:cs="宋体"/>
          <w:color w:val="000000"/>
          <w:kern w:val="0"/>
          <w:sz w:val="28"/>
          <w:szCs w:val="28"/>
          <w:lang w:val="en-US" w:eastAsia="zh-CN" w:bidi="ar"/>
        </w:rPr>
        <w:t>胜任林卡～青岩220kV线路工程（林卡220kV变220kV出线间隔扩建工程）起重设备大修技术服务现场技术指导工作，如不满足时应立即更换，并不得影响现场工作</w:t>
      </w:r>
      <w:r>
        <w:rPr>
          <w:rFonts w:hint="eastAsia" w:ascii="宋体" w:hAnsi="宋体" w:eastAsia="宋体" w:cs="宋体"/>
          <w:color w:val="000000"/>
          <w:kern w:val="0"/>
          <w:sz w:val="28"/>
          <w:szCs w:val="28"/>
          <w:lang w:bidi="ar"/>
        </w:rPr>
        <w:t>。</w:t>
      </w:r>
    </w:p>
    <w:p w14:paraId="47F9E111">
      <w:pPr>
        <w:widowControl/>
        <w:numPr>
          <w:ilvl w:val="0"/>
          <w:numId w:val="5"/>
        </w:numPr>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技术指导</w:t>
      </w:r>
      <w:r>
        <w:rPr>
          <w:rFonts w:hint="eastAsia" w:ascii="宋体" w:hAnsi="宋体" w:eastAsia="宋体" w:cs="宋体"/>
          <w:color w:val="000000"/>
          <w:kern w:val="0"/>
          <w:sz w:val="28"/>
          <w:szCs w:val="28"/>
          <w:lang w:bidi="ar"/>
        </w:rPr>
        <w:t>人员及个人防护用品的配备应满足执行南网“十个规定动作”的要求。</w:t>
      </w:r>
    </w:p>
    <w:p w14:paraId="3F0CDE48">
      <w:pPr>
        <w:widowControl/>
        <w:numPr>
          <w:ilvl w:val="0"/>
          <w:numId w:val="5"/>
        </w:numPr>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现场工作人员应具有较强的安全意识、相应的安全技能及必要的作业技能，且经安全规程考试、实际技能考核合格。</w:t>
      </w:r>
    </w:p>
    <w:p w14:paraId="09DB30BB">
      <w:pPr>
        <w:widowControl/>
        <w:jc w:val="left"/>
        <w:outlineLvl w:val="0"/>
        <w:rPr>
          <w:rFonts w:hint="eastAsia" w:ascii="宋体" w:hAnsi="宋体" w:eastAsia="宋体" w:cs="宋体"/>
          <w:b/>
          <w:bCs/>
          <w:color w:val="000000"/>
          <w:kern w:val="0"/>
          <w:sz w:val="28"/>
          <w:szCs w:val="28"/>
          <w:lang w:bidi="ar"/>
        </w:rPr>
      </w:pPr>
      <w:bookmarkStart w:id="11" w:name="_Toc2586"/>
      <w:r>
        <w:rPr>
          <w:rFonts w:hint="eastAsia" w:ascii="宋体" w:hAnsi="宋体" w:eastAsia="宋体" w:cs="宋体"/>
          <w:b/>
          <w:bCs/>
          <w:color w:val="000000"/>
          <w:kern w:val="0"/>
          <w:sz w:val="28"/>
          <w:szCs w:val="28"/>
          <w:lang w:bidi="ar"/>
        </w:rPr>
        <w:t>7服务验收</w:t>
      </w:r>
      <w:bookmarkEnd w:id="11"/>
    </w:p>
    <w:p w14:paraId="585F5E30">
      <w:pPr>
        <w:widowControl/>
        <w:ind w:firstLine="560" w:firstLineChars="200"/>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投标方提供的研究成果及服务应包括下列内容，但不限于此：</w:t>
      </w:r>
    </w:p>
    <w:p w14:paraId="2BBA85FC">
      <w:pPr>
        <w:widowControl/>
        <w:numPr>
          <w:ilvl w:val="0"/>
          <w:numId w:val="6"/>
        </w:numPr>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提供全流程技术服务。投标方需配备的现场服务人员不少于</w:t>
      </w:r>
      <w:r>
        <w:rPr>
          <w:rFonts w:hint="eastAsia" w:ascii="宋体" w:hAnsi="宋体" w:eastAsia="宋体" w:cs="宋体"/>
          <w:color w:val="000000"/>
          <w:kern w:val="0"/>
          <w:sz w:val="28"/>
          <w:szCs w:val="28"/>
          <w:lang w:val="en-US" w:eastAsia="zh-CN" w:bidi="ar"/>
        </w:rPr>
        <w:t>2</w:t>
      </w:r>
      <w:r>
        <w:rPr>
          <w:rFonts w:hint="eastAsia" w:ascii="宋体" w:hAnsi="宋体" w:eastAsia="宋体" w:cs="宋体"/>
          <w:color w:val="000000"/>
          <w:kern w:val="0"/>
          <w:sz w:val="28"/>
          <w:szCs w:val="28"/>
          <w:lang w:bidi="ar"/>
        </w:rPr>
        <w:t>人，且具备独立指导现场施工的能力。</w:t>
      </w:r>
    </w:p>
    <w:p w14:paraId="0BF34803">
      <w:pPr>
        <w:widowControl/>
        <w:numPr>
          <w:ilvl w:val="0"/>
          <w:numId w:val="6"/>
        </w:numPr>
        <w:jc w:val="left"/>
        <w:rPr>
          <w:rFonts w:hint="eastAsia" w:ascii="宋体" w:hAnsi="宋体" w:eastAsia="宋体" w:cs="宋体"/>
          <w:color w:val="auto"/>
          <w:kern w:val="0"/>
          <w:sz w:val="28"/>
          <w:szCs w:val="28"/>
          <w:highlight w:val="none"/>
          <w:lang w:bidi="ar"/>
        </w:rPr>
      </w:pPr>
      <w:r>
        <w:rPr>
          <w:rFonts w:hint="eastAsia" w:ascii="宋体" w:hAnsi="宋体" w:eastAsia="宋体" w:cs="宋体"/>
          <w:color w:val="auto"/>
          <w:kern w:val="0"/>
          <w:sz w:val="28"/>
          <w:szCs w:val="28"/>
          <w:highlight w:val="none"/>
          <w:lang w:bidi="ar"/>
        </w:rPr>
        <w:t>投标方应保证施工过程中的关键点符合设备厂家工艺要求</w:t>
      </w:r>
      <w:r>
        <w:rPr>
          <w:rFonts w:hint="eastAsia" w:ascii="宋体" w:hAnsi="宋体" w:eastAsia="宋体" w:cs="宋体"/>
          <w:color w:val="auto"/>
          <w:kern w:val="0"/>
          <w:sz w:val="28"/>
          <w:szCs w:val="28"/>
          <w:highlight w:val="none"/>
          <w:lang w:val="en-US" w:eastAsia="zh-CN" w:bidi="ar"/>
        </w:rPr>
        <w:t>及相关规程规范要求</w:t>
      </w:r>
      <w:r>
        <w:rPr>
          <w:rFonts w:hint="eastAsia" w:ascii="宋体" w:hAnsi="宋体" w:eastAsia="宋体" w:cs="宋体"/>
          <w:color w:val="auto"/>
          <w:kern w:val="0"/>
          <w:sz w:val="28"/>
          <w:szCs w:val="28"/>
          <w:highlight w:val="none"/>
          <w:lang w:bidi="ar"/>
        </w:rPr>
        <w:t>，对现场施工人员进行培训交底。完成</w:t>
      </w:r>
      <w:r>
        <w:rPr>
          <w:rFonts w:hint="eastAsia" w:ascii="宋体" w:hAnsi="宋体" w:eastAsia="宋体" w:cs="宋体"/>
          <w:color w:val="000000"/>
          <w:kern w:val="0"/>
          <w:sz w:val="28"/>
          <w:szCs w:val="28"/>
          <w:lang w:val="en-US" w:eastAsia="zh-CN" w:bidi="ar"/>
        </w:rPr>
        <w:t>林卡～青岩220kV线路工程（林卡220kV变220kV出线间隔扩建工程）起重设备</w:t>
      </w:r>
      <w:r>
        <w:rPr>
          <w:rFonts w:hint="eastAsia" w:ascii="宋体" w:hAnsi="宋体" w:eastAsia="宋体" w:cs="宋体"/>
          <w:color w:val="auto"/>
          <w:kern w:val="0"/>
          <w:sz w:val="28"/>
          <w:szCs w:val="28"/>
          <w:highlight w:val="none"/>
          <w:lang w:val="en-US" w:eastAsia="zh-CN" w:bidi="ar"/>
        </w:rPr>
        <w:t>相关大修</w:t>
      </w:r>
      <w:r>
        <w:rPr>
          <w:rFonts w:hint="eastAsia" w:ascii="宋体" w:hAnsi="宋体" w:eastAsia="宋体" w:cs="宋体"/>
          <w:color w:val="auto"/>
          <w:kern w:val="0"/>
          <w:sz w:val="28"/>
          <w:szCs w:val="28"/>
          <w:highlight w:val="none"/>
          <w:lang w:bidi="ar"/>
        </w:rPr>
        <w:t>技术服务</w:t>
      </w:r>
      <w:r>
        <w:rPr>
          <w:rFonts w:hint="eastAsia" w:ascii="宋体" w:hAnsi="宋体" w:eastAsia="宋体" w:cs="宋体"/>
          <w:color w:val="auto"/>
          <w:kern w:val="0"/>
          <w:sz w:val="28"/>
          <w:szCs w:val="28"/>
          <w:highlight w:val="none"/>
          <w:lang w:eastAsia="zh-CN" w:bidi="ar"/>
        </w:rPr>
        <w:t>，</w:t>
      </w:r>
      <w:r>
        <w:rPr>
          <w:rFonts w:hint="eastAsia" w:ascii="宋体" w:hAnsi="宋体" w:eastAsia="宋体" w:cs="宋体"/>
          <w:color w:val="auto"/>
          <w:kern w:val="0"/>
          <w:sz w:val="28"/>
          <w:szCs w:val="28"/>
          <w:highlight w:val="none"/>
          <w:lang w:val="en-US" w:eastAsia="zh-CN" w:bidi="ar"/>
        </w:rPr>
        <w:t>确保设备按期投运使用</w:t>
      </w:r>
      <w:r>
        <w:rPr>
          <w:rFonts w:hint="eastAsia" w:ascii="宋体" w:hAnsi="宋体" w:eastAsia="宋体" w:cs="宋体"/>
          <w:color w:val="auto"/>
          <w:kern w:val="0"/>
          <w:sz w:val="28"/>
          <w:szCs w:val="28"/>
          <w:highlight w:val="none"/>
          <w:lang w:bidi="ar"/>
        </w:rPr>
        <w:t>。</w:t>
      </w:r>
    </w:p>
    <w:p w14:paraId="20AB77AA">
      <w:pPr>
        <w:widowControl/>
        <w:jc w:val="left"/>
        <w:outlineLvl w:val="0"/>
        <w:rPr>
          <w:rFonts w:hint="eastAsia" w:ascii="宋体" w:hAnsi="宋体" w:eastAsia="宋体" w:cs="宋体"/>
          <w:b/>
          <w:bCs/>
          <w:color w:val="000000"/>
          <w:kern w:val="0"/>
          <w:sz w:val="28"/>
          <w:szCs w:val="28"/>
          <w:lang w:bidi="ar"/>
        </w:rPr>
      </w:pPr>
      <w:bookmarkStart w:id="12" w:name="_Toc27396"/>
      <w:r>
        <w:rPr>
          <w:rFonts w:hint="eastAsia" w:ascii="宋体" w:hAnsi="宋体" w:eastAsia="宋体" w:cs="宋体"/>
          <w:b/>
          <w:bCs/>
          <w:color w:val="000000"/>
          <w:kern w:val="0"/>
          <w:sz w:val="28"/>
          <w:szCs w:val="28"/>
          <w:lang w:bidi="ar"/>
        </w:rPr>
        <w:t>8服务期限</w:t>
      </w:r>
      <w:bookmarkEnd w:id="12"/>
    </w:p>
    <w:p w14:paraId="07695C93">
      <w:pPr>
        <w:keepNext w:val="0"/>
        <w:keepLines w:val="0"/>
        <w:pageBreakBefore w:val="0"/>
        <w:widowControl/>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000000"/>
          <w:kern w:val="0"/>
          <w:sz w:val="28"/>
          <w:szCs w:val="28"/>
          <w:lang w:eastAsia="zh-CN" w:bidi="ar"/>
        </w:rPr>
      </w:pPr>
      <w:r>
        <w:rPr>
          <w:rFonts w:hint="eastAsia" w:ascii="宋体" w:hAnsi="宋体" w:eastAsia="宋体" w:cs="宋体"/>
          <w:color w:val="000000"/>
          <w:kern w:val="0"/>
          <w:sz w:val="28"/>
          <w:szCs w:val="28"/>
          <w:lang w:val="en-US" w:eastAsia="zh-CN" w:bidi="ar"/>
        </w:rPr>
        <w:t>大修</w:t>
      </w:r>
      <w:r>
        <w:rPr>
          <w:rFonts w:hint="eastAsia" w:ascii="宋体" w:hAnsi="宋体" w:eastAsia="宋体" w:cs="宋体"/>
          <w:color w:val="000000"/>
          <w:kern w:val="0"/>
          <w:sz w:val="28"/>
          <w:szCs w:val="28"/>
          <w:lang w:bidi="ar"/>
        </w:rPr>
        <w:t>技术服务期限为合同签订之日起至</w:t>
      </w:r>
      <w:r>
        <w:rPr>
          <w:rFonts w:hint="eastAsia" w:ascii="宋体" w:hAnsi="宋体" w:eastAsia="宋体" w:cs="宋体"/>
          <w:color w:val="auto"/>
          <w:kern w:val="0"/>
          <w:sz w:val="28"/>
          <w:szCs w:val="28"/>
          <w:highlight w:val="none"/>
          <w:lang w:val="en-US" w:eastAsia="zh-CN" w:bidi="ar"/>
        </w:rPr>
        <w:t>维护保养和保修</w:t>
      </w:r>
      <w:bookmarkStart w:id="15" w:name="_GoBack"/>
      <w:bookmarkEnd w:id="15"/>
      <w:r>
        <w:rPr>
          <w:rFonts w:hint="eastAsia" w:ascii="宋体" w:hAnsi="宋体" w:eastAsia="宋体" w:cs="宋体"/>
          <w:color w:val="000000"/>
          <w:kern w:val="0"/>
          <w:sz w:val="28"/>
          <w:szCs w:val="28"/>
          <w:lang w:val="en-US" w:eastAsia="zh-CN" w:bidi="ar"/>
        </w:rPr>
        <w:t>期结束</w:t>
      </w:r>
      <w:r>
        <w:rPr>
          <w:rFonts w:hint="eastAsia" w:ascii="宋体" w:hAnsi="宋体" w:eastAsia="宋体" w:cs="宋体"/>
          <w:color w:val="000000"/>
          <w:kern w:val="0"/>
          <w:sz w:val="28"/>
          <w:szCs w:val="28"/>
          <w:lang w:eastAsia="zh-CN" w:bidi="ar"/>
        </w:rPr>
        <w:t>。</w:t>
      </w:r>
    </w:p>
    <w:p w14:paraId="79CA62E9">
      <w:pPr>
        <w:keepNext w:val="0"/>
        <w:keepLines w:val="0"/>
        <w:pageBreakBefore w:val="0"/>
        <w:widowControl/>
        <w:kinsoku/>
        <w:wordWrap/>
        <w:overflowPunct/>
        <w:topLinePunct w:val="0"/>
        <w:autoSpaceDE/>
        <w:autoSpaceDN/>
        <w:bidi w:val="0"/>
        <w:adjustRightInd/>
        <w:snapToGrid/>
        <w:ind w:firstLine="3900" w:firstLineChars="1300"/>
        <w:jc w:val="left"/>
        <w:textAlignment w:val="auto"/>
        <w:outlineLvl w:val="9"/>
        <w:rPr>
          <w:rFonts w:hint="eastAsia" w:ascii="宋体" w:hAnsi="宋体" w:eastAsia="宋体" w:cs="宋体"/>
          <w:color w:val="000000"/>
          <w:kern w:val="0"/>
          <w:sz w:val="28"/>
          <w:szCs w:val="28"/>
          <w:u w:val="single"/>
          <w:lang w:bidi="ar"/>
        </w:rPr>
      </w:pPr>
      <w:bookmarkStart w:id="13" w:name="_Toc32232"/>
      <w:bookmarkStart w:id="14" w:name="_Toc21577"/>
      <w:r>
        <w:rPr>
          <w:rFonts w:hint="eastAsia" w:ascii="宋体" w:hAnsi="宋体" w:eastAsia="宋体" w:cs="宋体"/>
          <w:color w:val="000000"/>
          <w:kern w:val="0"/>
          <w:sz w:val="30"/>
          <w:szCs w:val="30"/>
          <w:lang w:bidi="ar"/>
        </w:rPr>
        <w:t>投标方名称</w:t>
      </w:r>
      <w:bookmarkEnd w:id="13"/>
      <w:bookmarkEnd w:id="14"/>
      <w:r>
        <w:rPr>
          <w:rFonts w:hint="eastAsia" w:ascii="宋体" w:hAnsi="宋体" w:eastAsia="宋体" w:cs="宋体"/>
          <w:color w:val="000000"/>
          <w:kern w:val="0"/>
          <w:sz w:val="30"/>
          <w:szCs w:val="30"/>
          <w:lang w:eastAsia="zh-CN" w:bidi="ar"/>
        </w:rPr>
        <w:t>：</w:t>
      </w:r>
    </w:p>
    <w:p w14:paraId="60D02BED">
      <w:pPr>
        <w:widowControl/>
        <w:ind w:left="3910" w:leftChars="1862"/>
        <w:jc w:val="left"/>
        <w:rPr>
          <w:rFonts w:hint="eastAsia" w:ascii="宋体" w:hAnsi="宋体" w:eastAsia="宋体" w:cs="宋体"/>
          <w:color w:val="000000"/>
          <w:kern w:val="0"/>
          <w:sz w:val="28"/>
          <w:szCs w:val="28"/>
          <w:lang w:bidi="ar"/>
        </w:rPr>
      </w:pPr>
      <w:r>
        <w:rPr>
          <w:rFonts w:hint="eastAsia" w:ascii="宋体" w:hAnsi="宋体" w:eastAsia="宋体" w:cs="宋体"/>
          <w:color w:val="000000"/>
          <w:kern w:val="0"/>
          <w:sz w:val="28"/>
          <w:szCs w:val="28"/>
          <w:lang w:bidi="ar"/>
        </w:rPr>
        <w:t>投标方代表签字：</w:t>
      </w:r>
    </w:p>
    <w:p w14:paraId="37AEB27F">
      <w:pPr>
        <w:widowControl/>
        <w:ind w:left="3910" w:leftChars="1862"/>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单位盖章：</w:t>
      </w:r>
    </w:p>
    <w:p w14:paraId="52FC02FA">
      <w:pPr>
        <w:widowControl/>
        <w:ind w:firstLine="3920" w:firstLineChars="1400"/>
        <w:jc w:val="left"/>
        <w:rPr>
          <w:rFonts w:hint="eastAsia" w:ascii="宋体" w:hAnsi="宋体" w:eastAsia="宋体" w:cs="宋体"/>
          <w:sz w:val="28"/>
          <w:szCs w:val="28"/>
        </w:rPr>
      </w:pPr>
      <w:r>
        <w:rPr>
          <w:rFonts w:hint="eastAsia" w:ascii="宋体" w:hAnsi="宋体" w:eastAsia="宋体" w:cs="宋体"/>
          <w:color w:val="000000"/>
          <w:kern w:val="0"/>
          <w:sz w:val="28"/>
          <w:szCs w:val="28"/>
          <w:lang w:bidi="ar"/>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8B2F8D4-705C-4078-A333-589F0B8BBA4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40AC1D3-6534-4B3D-97F8-538547CE9CC9}"/>
  </w:font>
  <w:font w:name="Cambria">
    <w:panose1 w:val="02040503050406030204"/>
    <w:charset w:val="00"/>
    <w:family w:val="roman"/>
    <w:pitch w:val="default"/>
    <w:sig w:usb0="E00006FF" w:usb1="420024FF" w:usb2="02000000" w:usb3="00000000" w:csb0="2000019F" w:csb1="00000000"/>
  </w:font>
  <w:font w:name="方正小标宋_GBK">
    <w:panose1 w:val="02000000000000000000"/>
    <w:charset w:val="86"/>
    <w:family w:val="script"/>
    <w:pitch w:val="default"/>
    <w:sig w:usb0="A00002BF" w:usb1="38CF7CFA" w:usb2="00082016" w:usb3="00000000" w:csb0="00040001" w:csb1="00000000"/>
    <w:embedRegular r:id="rId3" w:fontKey="{EEF98B7F-A163-4F2A-939D-907A81BBA872}"/>
  </w:font>
  <w:font w:name="微软雅黑">
    <w:panose1 w:val="020B0503020204020204"/>
    <w:charset w:val="86"/>
    <w:family w:val="auto"/>
    <w:pitch w:val="default"/>
    <w:sig w:usb0="80000287" w:usb1="2ACF3C50" w:usb2="00000016" w:usb3="00000000" w:csb0="0004001F" w:csb1="00000000"/>
    <w:embedRegular r:id="rId4" w:fontKey="{9306EED2-563B-484B-8CD4-405934AAB75F}"/>
  </w:font>
  <w:font w:name="WPSEMBED9">
    <w:panose1 w:val="02000000000000000000"/>
    <w:charset w:val="86"/>
    <w:family w:val="auto"/>
    <w:pitch w:val="default"/>
    <w:sig w:usb0="A00002BF" w:usb1="38CF7CFA" w:usb2="00082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96836"/>
    <w:multiLevelType w:val="singleLevel"/>
    <w:tmpl w:val="8CE96836"/>
    <w:lvl w:ilvl="0" w:tentative="0">
      <w:start w:val="1"/>
      <w:numFmt w:val="upperLetter"/>
      <w:lvlText w:val="%1."/>
      <w:lvlJc w:val="left"/>
      <w:pPr>
        <w:ind w:left="845" w:hanging="425"/>
      </w:pPr>
      <w:rPr>
        <w:rFonts w:hint="default"/>
      </w:rPr>
    </w:lvl>
  </w:abstractNum>
  <w:abstractNum w:abstractNumId="1">
    <w:nsid w:val="8E053A5B"/>
    <w:multiLevelType w:val="singleLevel"/>
    <w:tmpl w:val="8E053A5B"/>
    <w:lvl w:ilvl="0" w:tentative="0">
      <w:start w:val="1"/>
      <w:numFmt w:val="decimal"/>
      <w:lvlText w:val="(%1)"/>
      <w:lvlJc w:val="left"/>
      <w:pPr>
        <w:ind w:left="425" w:hanging="425"/>
      </w:pPr>
      <w:rPr>
        <w:rFonts w:hint="default"/>
      </w:rPr>
    </w:lvl>
  </w:abstractNum>
  <w:abstractNum w:abstractNumId="2">
    <w:nsid w:val="220CE9CC"/>
    <w:multiLevelType w:val="singleLevel"/>
    <w:tmpl w:val="220CE9CC"/>
    <w:lvl w:ilvl="0" w:tentative="0">
      <w:start w:val="1"/>
      <w:numFmt w:val="decimal"/>
      <w:lvlText w:val="(%1)"/>
      <w:lvlJc w:val="left"/>
      <w:pPr>
        <w:ind w:left="425" w:hanging="425"/>
      </w:pPr>
      <w:rPr>
        <w:rFonts w:hint="default"/>
      </w:rPr>
    </w:lvl>
  </w:abstractNum>
  <w:abstractNum w:abstractNumId="3">
    <w:nsid w:val="3499129F"/>
    <w:multiLevelType w:val="singleLevel"/>
    <w:tmpl w:val="3499129F"/>
    <w:lvl w:ilvl="0" w:tentative="0">
      <w:start w:val="1"/>
      <w:numFmt w:val="decimal"/>
      <w:lvlText w:val="(%1)"/>
      <w:lvlJc w:val="left"/>
      <w:pPr>
        <w:ind w:left="425" w:hanging="425"/>
      </w:pPr>
      <w:rPr>
        <w:rFonts w:hint="default"/>
      </w:rPr>
    </w:lvl>
  </w:abstractNum>
  <w:abstractNum w:abstractNumId="4">
    <w:nsid w:val="73AA0C1F"/>
    <w:multiLevelType w:val="multilevel"/>
    <w:tmpl w:val="73AA0C1F"/>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936"/>
        </w:tabs>
        <w:ind w:left="936" w:hanging="576"/>
      </w:pPr>
    </w:lvl>
    <w:lvl w:ilvl="2" w:tentative="0">
      <w:start w:val="1"/>
      <w:numFmt w:val="decimal"/>
      <w:pStyle w:val="3"/>
      <w:lvlText w:val="%1.%2.%3"/>
      <w:lvlJc w:val="left"/>
      <w:pPr>
        <w:tabs>
          <w:tab w:val="left" w:pos="1004"/>
        </w:tabs>
        <w:ind w:left="1004" w:hanging="720"/>
      </w:pPr>
      <w:rPr>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5">
    <w:nsid w:val="75279687"/>
    <w:multiLevelType w:val="singleLevel"/>
    <w:tmpl w:val="75279687"/>
    <w:lvl w:ilvl="0" w:tentative="0">
      <w:start w:val="1"/>
      <w:numFmt w:val="decimal"/>
      <w:lvlText w:val="(%1)"/>
      <w:lvlJc w:val="left"/>
      <w:pPr>
        <w:ind w:left="425" w:hanging="425"/>
      </w:pPr>
      <w:rPr>
        <w:rFonts w:hint="default"/>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mZTI2M2M0ZGRmYWVjNjViNTk5ZjQwZGY0ZjA0NjIifQ=="/>
  </w:docVars>
  <w:rsids>
    <w:rsidRoot w:val="2C613746"/>
    <w:rsid w:val="001C1146"/>
    <w:rsid w:val="00224B3F"/>
    <w:rsid w:val="0026563B"/>
    <w:rsid w:val="002E2C64"/>
    <w:rsid w:val="00322AC8"/>
    <w:rsid w:val="004E0C0F"/>
    <w:rsid w:val="005A0F47"/>
    <w:rsid w:val="006232AF"/>
    <w:rsid w:val="00710B74"/>
    <w:rsid w:val="00885B23"/>
    <w:rsid w:val="00A022F5"/>
    <w:rsid w:val="00C362DD"/>
    <w:rsid w:val="00C50BCC"/>
    <w:rsid w:val="01E7687A"/>
    <w:rsid w:val="02025461"/>
    <w:rsid w:val="031C1C40"/>
    <w:rsid w:val="04043713"/>
    <w:rsid w:val="04F92238"/>
    <w:rsid w:val="05600E1D"/>
    <w:rsid w:val="05AB31B1"/>
    <w:rsid w:val="061840F1"/>
    <w:rsid w:val="06841FD6"/>
    <w:rsid w:val="06EC66E0"/>
    <w:rsid w:val="07B471FE"/>
    <w:rsid w:val="07DB29DD"/>
    <w:rsid w:val="08283748"/>
    <w:rsid w:val="08E15EBF"/>
    <w:rsid w:val="09FB7366"/>
    <w:rsid w:val="0A79472F"/>
    <w:rsid w:val="0ABA2D7D"/>
    <w:rsid w:val="0AF73FD1"/>
    <w:rsid w:val="0B835907"/>
    <w:rsid w:val="0B8E5FB8"/>
    <w:rsid w:val="0BAE0408"/>
    <w:rsid w:val="0C64739E"/>
    <w:rsid w:val="0C831895"/>
    <w:rsid w:val="0CEE31B2"/>
    <w:rsid w:val="0D3D5EE8"/>
    <w:rsid w:val="0D3F756A"/>
    <w:rsid w:val="0E4720C5"/>
    <w:rsid w:val="0E5554BE"/>
    <w:rsid w:val="0E5E4367"/>
    <w:rsid w:val="0EB6385C"/>
    <w:rsid w:val="0F205179"/>
    <w:rsid w:val="0F44355D"/>
    <w:rsid w:val="0F5337A0"/>
    <w:rsid w:val="10507CE0"/>
    <w:rsid w:val="105907F3"/>
    <w:rsid w:val="12750261"/>
    <w:rsid w:val="12A8795F"/>
    <w:rsid w:val="13461062"/>
    <w:rsid w:val="13743CE5"/>
    <w:rsid w:val="13D529D6"/>
    <w:rsid w:val="14E37374"/>
    <w:rsid w:val="15082937"/>
    <w:rsid w:val="15B12FCF"/>
    <w:rsid w:val="163559AE"/>
    <w:rsid w:val="172779EC"/>
    <w:rsid w:val="17E01949"/>
    <w:rsid w:val="18371EB1"/>
    <w:rsid w:val="19E27BFB"/>
    <w:rsid w:val="1B2D759B"/>
    <w:rsid w:val="1BC65014"/>
    <w:rsid w:val="1CF55E97"/>
    <w:rsid w:val="1D9C6312"/>
    <w:rsid w:val="1E682698"/>
    <w:rsid w:val="1FA140B4"/>
    <w:rsid w:val="203223C8"/>
    <w:rsid w:val="212136FE"/>
    <w:rsid w:val="2177331E"/>
    <w:rsid w:val="217D386C"/>
    <w:rsid w:val="21C66054"/>
    <w:rsid w:val="225418B2"/>
    <w:rsid w:val="232C1EE7"/>
    <w:rsid w:val="23F635D0"/>
    <w:rsid w:val="248A15BB"/>
    <w:rsid w:val="25B763DF"/>
    <w:rsid w:val="25EB41B1"/>
    <w:rsid w:val="263A0DBE"/>
    <w:rsid w:val="26D367F9"/>
    <w:rsid w:val="281523B6"/>
    <w:rsid w:val="28575C58"/>
    <w:rsid w:val="28814A83"/>
    <w:rsid w:val="28CD5F1A"/>
    <w:rsid w:val="2A273408"/>
    <w:rsid w:val="2A385615"/>
    <w:rsid w:val="2AE17A5A"/>
    <w:rsid w:val="2BDD46C6"/>
    <w:rsid w:val="2C613746"/>
    <w:rsid w:val="2C723060"/>
    <w:rsid w:val="2DD26830"/>
    <w:rsid w:val="2DEA7C21"/>
    <w:rsid w:val="2E2A34C6"/>
    <w:rsid w:val="2E4E3659"/>
    <w:rsid w:val="2E933762"/>
    <w:rsid w:val="2EB84F76"/>
    <w:rsid w:val="2F1D27DA"/>
    <w:rsid w:val="2F285C58"/>
    <w:rsid w:val="2F603644"/>
    <w:rsid w:val="30C5561A"/>
    <w:rsid w:val="31660CB9"/>
    <w:rsid w:val="33791178"/>
    <w:rsid w:val="33923FE8"/>
    <w:rsid w:val="34140EA1"/>
    <w:rsid w:val="34D32B0A"/>
    <w:rsid w:val="35BC534C"/>
    <w:rsid w:val="371F13C0"/>
    <w:rsid w:val="374675C3"/>
    <w:rsid w:val="3747333B"/>
    <w:rsid w:val="374C2700"/>
    <w:rsid w:val="382471D8"/>
    <w:rsid w:val="3B9F153B"/>
    <w:rsid w:val="3BE42E37"/>
    <w:rsid w:val="3C1C6B44"/>
    <w:rsid w:val="3C9E7EBE"/>
    <w:rsid w:val="3D6B49BF"/>
    <w:rsid w:val="3DDD67A7"/>
    <w:rsid w:val="3E0304A1"/>
    <w:rsid w:val="3E71188D"/>
    <w:rsid w:val="3F656A54"/>
    <w:rsid w:val="3FA3733A"/>
    <w:rsid w:val="410D4CAE"/>
    <w:rsid w:val="415D5C35"/>
    <w:rsid w:val="41760AA5"/>
    <w:rsid w:val="41F17676"/>
    <w:rsid w:val="425D3A13"/>
    <w:rsid w:val="42862F6A"/>
    <w:rsid w:val="437C30E3"/>
    <w:rsid w:val="44BF09B5"/>
    <w:rsid w:val="45CC5137"/>
    <w:rsid w:val="467A41DC"/>
    <w:rsid w:val="469D6AD4"/>
    <w:rsid w:val="47504A59"/>
    <w:rsid w:val="48537D92"/>
    <w:rsid w:val="48E84EAF"/>
    <w:rsid w:val="491D5CAA"/>
    <w:rsid w:val="4AF33166"/>
    <w:rsid w:val="4B4340EE"/>
    <w:rsid w:val="4C3954F1"/>
    <w:rsid w:val="4D295043"/>
    <w:rsid w:val="4DEA4CF4"/>
    <w:rsid w:val="4E4D260C"/>
    <w:rsid w:val="4E626647"/>
    <w:rsid w:val="50533AEF"/>
    <w:rsid w:val="50E772C9"/>
    <w:rsid w:val="513D15DF"/>
    <w:rsid w:val="51676EFC"/>
    <w:rsid w:val="51776DE6"/>
    <w:rsid w:val="51782617"/>
    <w:rsid w:val="51844B18"/>
    <w:rsid w:val="52614E59"/>
    <w:rsid w:val="529C7762"/>
    <w:rsid w:val="534E6CFE"/>
    <w:rsid w:val="54041F40"/>
    <w:rsid w:val="5449029B"/>
    <w:rsid w:val="54A83213"/>
    <w:rsid w:val="55545149"/>
    <w:rsid w:val="55F83D27"/>
    <w:rsid w:val="56CF2CD9"/>
    <w:rsid w:val="572054EF"/>
    <w:rsid w:val="57352314"/>
    <w:rsid w:val="57631674"/>
    <w:rsid w:val="57710879"/>
    <w:rsid w:val="57D91936"/>
    <w:rsid w:val="57F31E3E"/>
    <w:rsid w:val="583345AB"/>
    <w:rsid w:val="590429E2"/>
    <w:rsid w:val="59091DA7"/>
    <w:rsid w:val="591A3FB4"/>
    <w:rsid w:val="596A02BB"/>
    <w:rsid w:val="59861649"/>
    <w:rsid w:val="5A997904"/>
    <w:rsid w:val="5AB87F28"/>
    <w:rsid w:val="5AB92941"/>
    <w:rsid w:val="5B982FBB"/>
    <w:rsid w:val="5BA66B4C"/>
    <w:rsid w:val="5C052CF9"/>
    <w:rsid w:val="5E473A9D"/>
    <w:rsid w:val="5ECE7C9A"/>
    <w:rsid w:val="5ED542F2"/>
    <w:rsid w:val="5F8E7B1E"/>
    <w:rsid w:val="60261490"/>
    <w:rsid w:val="6171498D"/>
    <w:rsid w:val="619863BE"/>
    <w:rsid w:val="623B7475"/>
    <w:rsid w:val="63123525"/>
    <w:rsid w:val="63942ECD"/>
    <w:rsid w:val="63FF151B"/>
    <w:rsid w:val="64414AEB"/>
    <w:rsid w:val="647749B0"/>
    <w:rsid w:val="65312DB1"/>
    <w:rsid w:val="65B71058"/>
    <w:rsid w:val="670713E9"/>
    <w:rsid w:val="67242BCD"/>
    <w:rsid w:val="686E3D04"/>
    <w:rsid w:val="688F074F"/>
    <w:rsid w:val="69342E70"/>
    <w:rsid w:val="69385BA9"/>
    <w:rsid w:val="698C4A5A"/>
    <w:rsid w:val="69AE2C22"/>
    <w:rsid w:val="6B367948"/>
    <w:rsid w:val="6CD04C5E"/>
    <w:rsid w:val="6E0F7A08"/>
    <w:rsid w:val="6E891568"/>
    <w:rsid w:val="6EF235B1"/>
    <w:rsid w:val="6F596350"/>
    <w:rsid w:val="6F5B3CFF"/>
    <w:rsid w:val="6F6E2E43"/>
    <w:rsid w:val="6FF37B5B"/>
    <w:rsid w:val="703674CE"/>
    <w:rsid w:val="738F7621"/>
    <w:rsid w:val="74600FBD"/>
    <w:rsid w:val="74D15A17"/>
    <w:rsid w:val="786F3168"/>
    <w:rsid w:val="78B6564F"/>
    <w:rsid w:val="7919583B"/>
    <w:rsid w:val="794E3ADA"/>
    <w:rsid w:val="7B0031D5"/>
    <w:rsid w:val="7BCB1412"/>
    <w:rsid w:val="7C4B4301"/>
    <w:rsid w:val="7D655F74"/>
    <w:rsid w:val="7F8B6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9"/>
    <w:pPr>
      <w:keepNext/>
      <w:keepLines/>
      <w:spacing w:before="260" w:after="260" w:line="416" w:lineRule="auto"/>
      <w:outlineLvl w:val="1"/>
    </w:pPr>
    <w:rPr>
      <w:rFonts w:ascii="Cambria" w:hAnsi="Cambria"/>
      <w:b/>
      <w:bCs/>
      <w:kern w:val="0"/>
      <w:szCs w:val="32"/>
    </w:rPr>
  </w:style>
  <w:style w:type="paragraph" w:styleId="3">
    <w:name w:val="heading 3"/>
    <w:basedOn w:val="1"/>
    <w:next w:val="1"/>
    <w:qFormat/>
    <w:uiPriority w:val="0"/>
    <w:pPr>
      <w:numPr>
        <w:ilvl w:val="2"/>
        <w:numId w:val="1"/>
      </w:numPr>
      <w:spacing w:before="120" w:line="360" w:lineRule="auto"/>
      <w:outlineLvl w:val="2"/>
    </w:pPr>
    <w:rPr>
      <w:bCs/>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next w:val="5"/>
    <w:qFormat/>
    <w:uiPriority w:val="0"/>
    <w:pPr>
      <w:ind w:left="420"/>
    </w:pPr>
    <w:rPr>
      <w:rFonts w:ascii="宋体" w:hAnsi="宋体"/>
      <w:sz w:val="28"/>
    </w:rPr>
  </w:style>
  <w:style w:type="paragraph" w:styleId="5">
    <w:name w:val="envelope return"/>
    <w:basedOn w:val="1"/>
    <w:qFormat/>
    <w:uiPriority w:val="0"/>
    <w:pPr>
      <w:snapToGrid w:val="0"/>
    </w:pPr>
    <w:rPr>
      <w:rFonts w:ascii="Arial" w:hAnsi="Arial" w:eastAsia="宋体" w:cs="Times New Roman"/>
    </w:rPr>
  </w:style>
  <w:style w:type="paragraph" w:styleId="6">
    <w:name w:val="toc 1"/>
    <w:basedOn w:val="1"/>
    <w:next w:val="1"/>
    <w:qFormat/>
    <w:uiPriority w:val="0"/>
  </w:style>
  <w:style w:type="paragraph" w:styleId="7">
    <w:name w:val="Normal (Web)"/>
    <w:basedOn w:val="1"/>
    <w:qFormat/>
    <w:uiPriority w:val="0"/>
    <w:rPr>
      <w:sz w:val="24"/>
    </w:rPr>
  </w:style>
  <w:style w:type="paragraph" w:styleId="8">
    <w:name w:val="Body Text First Indent 2"/>
    <w:basedOn w:val="4"/>
    <w:qFormat/>
    <w:uiPriority w:val="0"/>
    <w:pPr>
      <w:ind w:firstLine="420" w:firstLine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Hyperlink"/>
    <w:basedOn w:val="11"/>
    <w:unhideWhenUsed/>
    <w:qFormat/>
    <w:uiPriority w:val="99"/>
    <w:rPr>
      <w:color w:val="0000FF"/>
      <w:u w:val="single"/>
    </w:rPr>
  </w:style>
  <w:style w:type="paragraph" w:customStyle="1" w:styleId="14">
    <w:name w:val="正文文本缩进1"/>
    <w:basedOn w:val="1"/>
    <w:qFormat/>
    <w:uiPriority w:val="0"/>
    <w:pPr>
      <w:adjustRightInd w:val="0"/>
      <w:spacing w:line="360" w:lineRule="auto"/>
      <w:ind w:firstLine="600"/>
      <w:jc w:val="left"/>
      <w:textAlignment w:val="baseline"/>
    </w:pPr>
    <w:rPr>
      <w:spacing w:val="30"/>
      <w:kern w:val="0"/>
      <w:sz w:val="28"/>
      <w:szCs w:val="28"/>
    </w:rPr>
  </w:style>
  <w:style w:type="paragraph" w:customStyle="1" w:styleId="15">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3417</Words>
  <Characters>3843</Characters>
  <Lines>23</Lines>
  <Paragraphs>6</Paragraphs>
  <TotalTime>2</TotalTime>
  <ScaleCrop>false</ScaleCrop>
  <LinksUpToDate>false</LinksUpToDate>
  <CharactersWithSpaces>3876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2024-08-16T01:34:00Z</dcterms:created>
  <dc:creator>亥刂傦銘鈊</dc:creator>
  <cp:lastModifiedBy>糖</cp:lastModifiedBy>
  <dcterms:modified xsi:type="dcterms:W3CDTF">2026-03-28T09:19:09Z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47320C57CF784F0494137D82A998C44D_13</vt:lpwstr>
  </property>
  <property fmtid="{D5CDD505-2E9C-101B-9397-08002B2CF9AE}" pid="4" name="KSOTemplateDocerSaveRecord">
    <vt:lpwstr>eyJoZGlkIjoiYzAyMWU2ZTg4Mzc5ZTE2OTQxYjNhNjQyODJmYWZmOTIiLCJ1c2VySWQiOiIzNzIxOTA0NzEifQ==</vt:lpwstr>
  </property>
</Properties>
</file>