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284" w:lineRule="auto"/>
        <w:rPr>
          <w:color w:val="auto"/>
          <w:highlight w:val="none"/>
        </w:rPr>
      </w:pPr>
    </w:p>
    <w:p>
      <w:pPr>
        <w:pStyle w:val="4"/>
        <w:spacing w:line="284" w:lineRule="auto"/>
        <w:rPr>
          <w:color w:val="auto"/>
          <w:highlight w:val="none"/>
        </w:rPr>
      </w:pPr>
    </w:p>
    <w:p>
      <w:pPr>
        <w:pStyle w:val="4"/>
        <w:spacing w:line="285" w:lineRule="auto"/>
        <w:rPr>
          <w:color w:val="auto"/>
          <w:highlight w:val="none"/>
        </w:rPr>
      </w:pPr>
      <w:r>
        <w:rPr>
          <w:color w:val="auto"/>
          <w:highlight w:val="none"/>
          <w:lang w:eastAsia="zh-CN"/>
        </w:rPr>
        <w:drawing>
          <wp:anchor distT="0" distB="0" distL="0" distR="0" simplePos="0" relativeHeight="251659264" behindDoc="0" locked="0" layoutInCell="1" allowOverlap="1">
            <wp:simplePos x="0" y="0"/>
            <wp:positionH relativeFrom="column">
              <wp:posOffset>92075</wp:posOffset>
            </wp:positionH>
            <wp:positionV relativeFrom="paragraph">
              <wp:posOffset>206375</wp:posOffset>
            </wp:positionV>
            <wp:extent cx="749300" cy="584200"/>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5"/>
                    <a:stretch>
                      <a:fillRect/>
                    </a:stretch>
                  </pic:blipFill>
                  <pic:spPr>
                    <a:xfrm>
                      <a:off x="0" y="0"/>
                      <a:ext cx="749302" cy="584180"/>
                    </a:xfrm>
                    <a:prstGeom prst="rect">
                      <a:avLst/>
                    </a:prstGeom>
                  </pic:spPr>
                </pic:pic>
              </a:graphicData>
            </a:graphic>
          </wp:anchor>
        </w:drawing>
      </w:r>
    </w:p>
    <w:p>
      <w:pPr>
        <w:spacing w:before="178" w:line="198" w:lineRule="auto"/>
        <w:ind w:left="1542"/>
        <w:outlineLvl w:val="0"/>
        <w:rPr>
          <w:rFonts w:ascii="黑体" w:hAnsi="黑体" w:eastAsia="黑体" w:cs="黑体"/>
          <w:color w:val="auto"/>
          <w:sz w:val="55"/>
          <w:szCs w:val="55"/>
          <w:highlight w:val="none"/>
        </w:rPr>
      </w:pPr>
      <w:r>
        <w:rPr>
          <w:rFonts w:ascii="黑体" w:hAnsi="黑体" w:eastAsia="黑体" w:cs="黑体"/>
          <w:b/>
          <w:bCs/>
          <w:color w:val="auto"/>
          <w:spacing w:val="15"/>
          <w:sz w:val="55"/>
          <w:szCs w:val="55"/>
          <w:highlight w:val="none"/>
        </w:rPr>
        <w:t>中国南方电网</w:t>
      </w:r>
    </w:p>
    <w:p>
      <w:pPr>
        <w:pStyle w:val="4"/>
        <w:spacing w:line="198" w:lineRule="auto"/>
        <w:ind w:left="1515"/>
        <w:rPr>
          <w:color w:val="auto"/>
          <w:sz w:val="20"/>
          <w:szCs w:val="20"/>
          <w:highlight w:val="none"/>
        </w:rPr>
      </w:pPr>
      <w:r>
        <w:rPr>
          <w:b/>
          <w:bCs/>
          <w:color w:val="auto"/>
          <w:spacing w:val="-2"/>
          <w:sz w:val="20"/>
          <w:szCs w:val="20"/>
          <w:highlight w:val="none"/>
        </w:rPr>
        <w:t>CHINA</w:t>
      </w:r>
      <w:r>
        <w:rPr>
          <w:b/>
          <w:bCs/>
          <w:color w:val="auto"/>
          <w:spacing w:val="21"/>
          <w:sz w:val="20"/>
          <w:szCs w:val="20"/>
          <w:highlight w:val="none"/>
        </w:rPr>
        <w:t xml:space="preserve">  </w:t>
      </w:r>
      <w:r>
        <w:rPr>
          <w:b/>
          <w:bCs/>
          <w:color w:val="auto"/>
          <w:spacing w:val="-2"/>
          <w:sz w:val="20"/>
          <w:szCs w:val="20"/>
          <w:highlight w:val="none"/>
        </w:rPr>
        <w:t>SOUTHERN</w:t>
      </w:r>
      <w:r>
        <w:rPr>
          <w:b/>
          <w:bCs/>
          <w:color w:val="auto"/>
          <w:spacing w:val="23"/>
          <w:w w:val="101"/>
          <w:sz w:val="20"/>
          <w:szCs w:val="20"/>
          <w:highlight w:val="none"/>
        </w:rPr>
        <w:t xml:space="preserve">  </w:t>
      </w:r>
      <w:r>
        <w:rPr>
          <w:b/>
          <w:bCs/>
          <w:color w:val="auto"/>
          <w:spacing w:val="-2"/>
          <w:sz w:val="20"/>
          <w:szCs w:val="20"/>
          <w:highlight w:val="none"/>
        </w:rPr>
        <w:t>POWER</w:t>
      </w:r>
      <w:r>
        <w:rPr>
          <w:b/>
          <w:bCs/>
          <w:color w:val="auto"/>
          <w:spacing w:val="21"/>
          <w:sz w:val="20"/>
          <w:szCs w:val="20"/>
          <w:highlight w:val="none"/>
        </w:rPr>
        <w:t xml:space="preserve">  </w:t>
      </w:r>
      <w:r>
        <w:rPr>
          <w:b/>
          <w:bCs/>
          <w:color w:val="auto"/>
          <w:spacing w:val="-2"/>
          <w:sz w:val="20"/>
          <w:szCs w:val="20"/>
          <w:highlight w:val="none"/>
        </w:rPr>
        <w:t>GRID</w:t>
      </w:r>
    </w:p>
    <w:p>
      <w:pPr>
        <w:pStyle w:val="4"/>
        <w:spacing w:line="241" w:lineRule="auto"/>
        <w:rPr>
          <w:color w:val="auto"/>
          <w:highlight w:val="none"/>
        </w:rPr>
      </w:pPr>
    </w:p>
    <w:p>
      <w:pPr>
        <w:pStyle w:val="4"/>
        <w:spacing w:line="241" w:lineRule="auto"/>
        <w:rPr>
          <w:color w:val="auto"/>
          <w:highlight w:val="none"/>
        </w:rPr>
      </w:pPr>
    </w:p>
    <w:p>
      <w:pPr>
        <w:pStyle w:val="4"/>
        <w:spacing w:line="241" w:lineRule="auto"/>
        <w:rPr>
          <w:color w:val="auto"/>
          <w:highlight w:val="none"/>
        </w:rPr>
      </w:pPr>
    </w:p>
    <w:p>
      <w:pPr>
        <w:pStyle w:val="4"/>
        <w:spacing w:line="241" w:lineRule="auto"/>
        <w:rPr>
          <w:color w:val="auto"/>
          <w:highlight w:val="none"/>
        </w:rPr>
      </w:pPr>
    </w:p>
    <w:p>
      <w:pPr>
        <w:pStyle w:val="4"/>
        <w:spacing w:line="241" w:lineRule="auto"/>
        <w:rPr>
          <w:color w:val="auto"/>
          <w:highlight w:val="none"/>
        </w:rPr>
      </w:pPr>
    </w:p>
    <w:p>
      <w:pPr>
        <w:pStyle w:val="4"/>
        <w:spacing w:line="241" w:lineRule="auto"/>
        <w:rPr>
          <w:color w:val="auto"/>
          <w:highlight w:val="none"/>
        </w:rPr>
      </w:pPr>
    </w:p>
    <w:p>
      <w:pPr>
        <w:pStyle w:val="4"/>
        <w:spacing w:line="241" w:lineRule="auto"/>
        <w:rPr>
          <w:color w:val="auto"/>
          <w:highlight w:val="none"/>
        </w:rPr>
      </w:pPr>
    </w:p>
    <w:p>
      <w:pPr>
        <w:pStyle w:val="4"/>
        <w:spacing w:line="242" w:lineRule="auto"/>
        <w:rPr>
          <w:color w:val="auto"/>
          <w:highlight w:val="none"/>
        </w:rPr>
      </w:pPr>
    </w:p>
    <w:p>
      <w:pPr>
        <w:pStyle w:val="4"/>
        <w:spacing w:line="242" w:lineRule="auto"/>
        <w:rPr>
          <w:color w:val="auto"/>
          <w:highlight w:val="none"/>
        </w:rPr>
      </w:pPr>
    </w:p>
    <w:p>
      <w:pPr>
        <w:spacing w:before="110" w:line="312" w:lineRule="auto"/>
        <w:ind w:left="2790" w:hanging="2790"/>
        <w:jc w:val="center"/>
        <w:rPr>
          <w:rFonts w:ascii="黑体" w:hAnsi="黑体" w:eastAsia="黑体" w:cs="黑体"/>
          <w:b/>
          <w:bCs/>
          <w:color w:val="auto"/>
          <w:spacing w:val="17"/>
          <w:sz w:val="34"/>
          <w:szCs w:val="34"/>
          <w:highlight w:val="none"/>
          <w:lang w:eastAsia="zh-CN"/>
        </w:rPr>
      </w:pPr>
      <w:r>
        <w:rPr>
          <w:rFonts w:hint="eastAsia" w:ascii="黑体" w:hAnsi="黑体" w:eastAsia="黑体" w:cs="黑体"/>
          <w:b/>
          <w:bCs/>
          <w:color w:val="auto"/>
          <w:spacing w:val="17"/>
          <w:sz w:val="34"/>
          <w:szCs w:val="34"/>
          <w:highlight w:val="none"/>
          <w:lang w:eastAsia="zh-CN"/>
        </w:rPr>
        <w:t>普洱供电局2026年小型基建项目抗震专审零星采购</w:t>
      </w:r>
    </w:p>
    <w:p>
      <w:pPr>
        <w:spacing w:before="110" w:line="312" w:lineRule="auto"/>
        <w:ind w:left="2790" w:hanging="2790"/>
        <w:jc w:val="center"/>
        <w:rPr>
          <w:rFonts w:ascii="黑体" w:hAnsi="黑体" w:eastAsia="黑体" w:cs="黑体"/>
          <w:color w:val="auto"/>
          <w:sz w:val="34"/>
          <w:szCs w:val="34"/>
          <w:highlight w:val="none"/>
          <w:lang w:eastAsia="zh-CN"/>
        </w:rPr>
      </w:pPr>
      <w:r>
        <w:rPr>
          <w:rFonts w:hint="eastAsia" w:ascii="黑体" w:hAnsi="黑体" w:eastAsia="黑体" w:cs="黑体"/>
          <w:b/>
          <w:bCs/>
          <w:color w:val="auto"/>
          <w:spacing w:val="17"/>
          <w:sz w:val="34"/>
          <w:szCs w:val="34"/>
          <w:highlight w:val="none"/>
          <w:lang w:eastAsia="zh-CN"/>
        </w:rPr>
        <w:t>技术规范</w:t>
      </w:r>
      <w:r>
        <w:rPr>
          <w:rFonts w:ascii="黑体" w:hAnsi="黑体" w:eastAsia="黑体" w:cs="黑体"/>
          <w:b/>
          <w:bCs/>
          <w:color w:val="auto"/>
          <w:spacing w:val="17"/>
          <w:sz w:val="34"/>
          <w:szCs w:val="34"/>
          <w:highlight w:val="none"/>
          <w:lang w:eastAsia="zh-CN"/>
        </w:rPr>
        <w:t>书</w:t>
      </w:r>
    </w:p>
    <w:p>
      <w:pPr>
        <w:pStyle w:val="4"/>
        <w:spacing w:line="246"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pStyle w:val="4"/>
        <w:spacing w:line="247" w:lineRule="auto"/>
        <w:rPr>
          <w:color w:val="auto"/>
          <w:highlight w:val="none"/>
          <w:lang w:eastAsia="zh-CN"/>
        </w:rPr>
      </w:pPr>
    </w:p>
    <w:p>
      <w:pPr>
        <w:spacing w:before="111" w:line="221" w:lineRule="auto"/>
        <w:ind w:left="770"/>
        <w:rPr>
          <w:rFonts w:ascii="仿宋" w:hAnsi="仿宋" w:eastAsia="仿宋" w:cs="仿宋"/>
          <w:b/>
          <w:bCs/>
          <w:color w:val="auto"/>
          <w:spacing w:val="15"/>
          <w:sz w:val="34"/>
          <w:szCs w:val="34"/>
          <w:highlight w:val="none"/>
          <w:lang w:eastAsia="zh-CN"/>
        </w:rPr>
      </w:pPr>
      <w:r>
        <w:rPr>
          <w:rFonts w:hint="eastAsia" w:ascii="仿宋" w:hAnsi="仿宋" w:eastAsia="仿宋" w:cs="仿宋"/>
          <w:b/>
          <w:bCs/>
          <w:color w:val="auto"/>
          <w:spacing w:val="15"/>
          <w:sz w:val="34"/>
          <w:szCs w:val="34"/>
          <w:highlight w:val="none"/>
          <w:lang w:eastAsia="zh-CN"/>
        </w:rPr>
        <w:t>建设</w:t>
      </w:r>
      <w:r>
        <w:rPr>
          <w:rFonts w:ascii="仿宋" w:hAnsi="仿宋" w:eastAsia="仿宋" w:cs="仿宋"/>
          <w:b/>
          <w:bCs/>
          <w:color w:val="auto"/>
          <w:spacing w:val="15"/>
          <w:sz w:val="34"/>
          <w:szCs w:val="34"/>
          <w:highlight w:val="none"/>
          <w:lang w:eastAsia="zh-CN"/>
        </w:rPr>
        <w:t>单位：云南电网有限责任公司</w:t>
      </w:r>
      <w:r>
        <w:rPr>
          <w:rFonts w:hint="eastAsia" w:ascii="仿宋" w:hAnsi="仿宋" w:eastAsia="仿宋" w:cs="仿宋"/>
          <w:b/>
          <w:bCs/>
          <w:color w:val="auto"/>
          <w:spacing w:val="15"/>
          <w:sz w:val="34"/>
          <w:szCs w:val="34"/>
          <w:highlight w:val="none"/>
          <w:lang w:eastAsia="zh-CN"/>
        </w:rPr>
        <w:t>普洱普洱供电局</w:t>
      </w:r>
    </w:p>
    <w:p>
      <w:pPr>
        <w:spacing w:before="111" w:line="221" w:lineRule="auto"/>
        <w:ind w:left="770"/>
        <w:rPr>
          <w:rFonts w:ascii="仿宋" w:hAnsi="仿宋" w:eastAsia="仿宋" w:cs="仿宋"/>
          <w:b/>
          <w:bCs/>
          <w:color w:val="auto"/>
          <w:spacing w:val="15"/>
          <w:sz w:val="34"/>
          <w:szCs w:val="34"/>
          <w:highlight w:val="none"/>
          <w:lang w:eastAsia="zh-CN"/>
        </w:rPr>
      </w:pPr>
      <w:r>
        <w:rPr>
          <w:rFonts w:hint="eastAsia" w:ascii="仿宋" w:hAnsi="仿宋" w:eastAsia="仿宋" w:cs="仿宋"/>
          <w:b/>
          <w:bCs/>
          <w:color w:val="auto"/>
          <w:spacing w:val="15"/>
          <w:sz w:val="34"/>
          <w:szCs w:val="34"/>
          <w:highlight w:val="none"/>
          <w:lang w:eastAsia="zh-CN"/>
        </w:rPr>
        <w:t xml:space="preserve">         </w:t>
      </w:r>
    </w:p>
    <w:p>
      <w:pPr>
        <w:spacing w:before="226" w:line="222" w:lineRule="auto"/>
        <w:ind w:left="3860"/>
        <w:rPr>
          <w:rFonts w:ascii="仿宋" w:hAnsi="仿宋" w:eastAsia="仿宋" w:cs="仿宋"/>
          <w:color w:val="auto"/>
          <w:sz w:val="34"/>
          <w:szCs w:val="34"/>
          <w:highlight w:val="none"/>
          <w:lang w:eastAsia="zh-CN"/>
        </w:rPr>
      </w:pPr>
      <w:r>
        <w:rPr>
          <w:rFonts w:ascii="仿宋" w:hAnsi="仿宋" w:eastAsia="仿宋" w:cs="仿宋"/>
          <w:b/>
          <w:bCs/>
          <w:color w:val="auto"/>
          <w:spacing w:val="40"/>
          <w:w w:val="106"/>
          <w:sz w:val="34"/>
          <w:szCs w:val="34"/>
          <w:highlight w:val="none"/>
          <w:lang w:eastAsia="zh-CN"/>
        </w:rPr>
        <w:t>202</w:t>
      </w:r>
      <w:r>
        <w:rPr>
          <w:rFonts w:hint="eastAsia" w:ascii="仿宋" w:hAnsi="仿宋" w:eastAsia="仿宋" w:cs="仿宋"/>
          <w:b/>
          <w:bCs/>
          <w:color w:val="auto"/>
          <w:spacing w:val="40"/>
          <w:w w:val="106"/>
          <w:sz w:val="34"/>
          <w:szCs w:val="34"/>
          <w:highlight w:val="none"/>
          <w:lang w:eastAsia="zh-CN"/>
        </w:rPr>
        <w:t>6</w:t>
      </w:r>
      <w:r>
        <w:rPr>
          <w:rFonts w:ascii="仿宋" w:hAnsi="仿宋" w:eastAsia="仿宋" w:cs="仿宋"/>
          <w:b/>
          <w:bCs/>
          <w:color w:val="auto"/>
          <w:spacing w:val="40"/>
          <w:w w:val="106"/>
          <w:sz w:val="34"/>
          <w:szCs w:val="34"/>
          <w:highlight w:val="none"/>
          <w:lang w:eastAsia="zh-CN"/>
        </w:rPr>
        <w:t>年</w:t>
      </w:r>
      <w:r>
        <w:rPr>
          <w:rFonts w:hint="eastAsia" w:ascii="仿宋" w:hAnsi="仿宋" w:eastAsia="仿宋" w:cs="仿宋"/>
          <w:b/>
          <w:bCs/>
          <w:color w:val="auto"/>
          <w:spacing w:val="40"/>
          <w:w w:val="106"/>
          <w:sz w:val="34"/>
          <w:szCs w:val="34"/>
          <w:highlight w:val="none"/>
          <w:lang w:eastAsia="zh-CN"/>
        </w:rPr>
        <w:t>4</w:t>
      </w:r>
      <w:r>
        <w:rPr>
          <w:rFonts w:ascii="仿宋" w:hAnsi="仿宋" w:eastAsia="仿宋" w:cs="仿宋"/>
          <w:b/>
          <w:bCs/>
          <w:color w:val="auto"/>
          <w:spacing w:val="40"/>
          <w:w w:val="106"/>
          <w:sz w:val="34"/>
          <w:szCs w:val="34"/>
          <w:highlight w:val="none"/>
          <w:lang w:eastAsia="zh-CN"/>
        </w:rPr>
        <w:t>月</w:t>
      </w:r>
    </w:p>
    <w:p>
      <w:pPr>
        <w:spacing w:line="222" w:lineRule="auto"/>
        <w:rPr>
          <w:rFonts w:ascii="仿宋" w:hAnsi="仿宋" w:eastAsia="仿宋" w:cs="仿宋"/>
          <w:color w:val="auto"/>
          <w:sz w:val="34"/>
          <w:szCs w:val="34"/>
          <w:highlight w:val="none"/>
          <w:lang w:eastAsia="zh-CN"/>
        </w:rPr>
        <w:sectPr>
          <w:pgSz w:w="11900" w:h="16840"/>
          <w:pgMar w:top="1431" w:right="1500" w:bottom="0" w:left="1574" w:header="0" w:footer="0" w:gutter="0"/>
          <w:cols w:space="720" w:num="1"/>
        </w:sectPr>
      </w:pPr>
    </w:p>
    <w:p>
      <w:pPr>
        <w:spacing w:line="360" w:lineRule="auto"/>
        <w:ind w:firstLine="562" w:firstLineChars="200"/>
        <w:outlineLvl w:val="2"/>
        <w:rPr>
          <w:rFonts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一、项目基本信息</w:t>
      </w:r>
    </w:p>
    <w:p>
      <w:pPr>
        <w:spacing w:line="360" w:lineRule="auto"/>
        <w:ind w:left="14" w:right="130" w:firstLine="560" w:firstLineChars="200"/>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1.项目概况：</w:t>
      </w:r>
    </w:p>
    <w:p>
      <w:pPr>
        <w:spacing w:line="360" w:lineRule="auto"/>
        <w:ind w:left="14" w:right="130" w:firstLine="560" w:firstLineChars="200"/>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项目1：普洱西盟供电局生产业务用房项目拟建项目总用地面积为5855.81㎡，总建筑面积4395.2㎡，建筑占地面积927.1㎡，为地上6层（局部4层）、地下1层（隔震层）；室内外高差0.6m；建筑高度22.8米。结构形式为框架结构+隔震体系，抗震设防烈度8度0.30g，建筑结构设计使用年限50年。</w:t>
      </w:r>
    </w:p>
    <w:p>
      <w:pPr>
        <w:spacing w:line="360" w:lineRule="auto"/>
        <w:ind w:left="14" w:right="130"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项目2：普洱孟连供电局生产辅助用房项目</w:t>
      </w:r>
    </w:p>
    <w:p>
      <w:pPr>
        <w:numPr>
          <w:ilvl w:val="0"/>
          <w:numId w:val="1"/>
        </w:numPr>
        <w:spacing w:line="360" w:lineRule="auto"/>
        <w:ind w:left="14" w:right="130"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普洱供电局孟连巡维中心拟建项目总用地面积为19726.5㎡，其中生产辅助用房建筑面积2931.82㎡，建筑占地面积484.3㎡，地上6层，地下1层（隔震层），建筑高度22.50m，结构形式为框架结构+隔震体系，抗震设防烈度8度0.30g，建筑结构设计使用年限50年。</w:t>
      </w:r>
    </w:p>
    <w:p>
      <w:pPr>
        <w:numPr>
          <w:ilvl w:val="0"/>
          <w:numId w:val="1"/>
        </w:numPr>
        <w:spacing w:line="360" w:lineRule="auto"/>
        <w:ind w:left="14" w:right="130"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普洱孟连供电局保障性住房项目建筑面积1613.94㎡，建筑占地面积 264.76㎡，地上 6 层，建筑高度 20.40m。剪力墙结构，抗震设防烈度 8 度 0.30g，建筑结构设计使用年限 50 年。</w:t>
      </w:r>
    </w:p>
    <w:p>
      <w:pPr>
        <w:spacing w:line="360" w:lineRule="auto"/>
        <w:ind w:left="14" w:right="130" w:firstLine="560" w:firstLineChars="200"/>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2.采购适用范围：普洱西盟供电局生产业务用房项目、普洱孟连供电局生产辅助用房项目（普洱孟连供电局保障性住房项目、普洱供电局孟连巡维中心）抗震设防专项审查。</w:t>
      </w:r>
    </w:p>
    <w:p>
      <w:pPr>
        <w:spacing w:line="360" w:lineRule="auto"/>
        <w:ind w:left="14" w:right="130" w:firstLine="560" w:firstLineChars="200"/>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3.批复文件：《关于同意普洱西盟供电局生产业务用房项目可行性研究报告的批复》(云电规划〔2025〕802号)；《关于同意普洱孟连供电局生产辅助用房项目</w:t>
      </w:r>
      <w:r>
        <w:rPr>
          <w:rFonts w:ascii="仿宋" w:hAnsi="仿宋" w:eastAsia="仿宋" w:cs="仿宋"/>
          <w:color w:val="auto"/>
          <w:sz w:val="28"/>
          <w:szCs w:val="28"/>
          <w:highlight w:val="none"/>
          <w:lang w:eastAsia="zh-CN"/>
        </w:rPr>
        <w:t>可行性研究报告的批复</w:t>
      </w:r>
      <w:r>
        <w:rPr>
          <w:rFonts w:hint="eastAsia" w:ascii="仿宋" w:hAnsi="仿宋" w:eastAsia="仿宋" w:cs="仿宋"/>
          <w:color w:val="auto"/>
          <w:sz w:val="28"/>
          <w:szCs w:val="28"/>
          <w:highlight w:val="none"/>
          <w:lang w:eastAsia="zh-CN"/>
        </w:rPr>
        <w:t>》(云电规划〔2025〕889号)</w:t>
      </w:r>
    </w:p>
    <w:p>
      <w:pPr>
        <w:spacing w:line="360" w:lineRule="auto"/>
        <w:ind w:right="135"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4.资金来源：</w:t>
      </w:r>
      <w:r>
        <w:rPr>
          <w:rFonts w:hint="eastAsia" w:ascii="仿宋" w:hAnsi="仿宋" w:eastAsia="仿宋" w:cs="仿宋"/>
          <w:color w:val="auto"/>
          <w:sz w:val="28"/>
          <w:szCs w:val="28"/>
          <w:highlight w:val="none"/>
          <w:lang w:val="en-US" w:eastAsia="zh-CN"/>
        </w:rPr>
        <w:t>自筹</w:t>
      </w:r>
    </w:p>
    <w:p>
      <w:pPr>
        <w:spacing w:line="360" w:lineRule="auto"/>
        <w:ind w:firstLine="560" w:firstLineChars="200"/>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5.</w:t>
      </w:r>
      <w:r>
        <w:rPr>
          <w:rFonts w:hint="eastAsia" w:ascii="仿宋" w:hAnsi="仿宋" w:eastAsia="仿宋" w:cs="仿宋"/>
          <w:color w:val="auto"/>
          <w:sz w:val="28"/>
          <w:szCs w:val="28"/>
          <w:highlight w:val="none"/>
          <w:lang w:val="en-US" w:eastAsia="zh-CN"/>
        </w:rPr>
        <w:t>计划</w:t>
      </w:r>
      <w:r>
        <w:rPr>
          <w:rFonts w:hint="eastAsia" w:ascii="仿宋" w:hAnsi="仿宋" w:eastAsia="仿宋" w:cs="仿宋"/>
          <w:color w:val="auto"/>
          <w:sz w:val="28"/>
          <w:szCs w:val="28"/>
          <w:highlight w:val="none"/>
          <w:lang w:eastAsia="zh-CN"/>
        </w:rPr>
        <w:t>采购金额：</w:t>
      </w:r>
      <w:r>
        <w:rPr>
          <w:rFonts w:hint="eastAsia" w:ascii="仿宋" w:hAnsi="仿宋" w:eastAsia="仿宋" w:cs="仿宋"/>
          <w:color w:val="auto"/>
          <w:sz w:val="28"/>
          <w:szCs w:val="28"/>
          <w:highlight w:val="none"/>
          <w:lang w:val="en-US" w:eastAsia="zh-CN"/>
        </w:rPr>
        <w:t>9000.00</w:t>
      </w:r>
      <w:r>
        <w:rPr>
          <w:rFonts w:hint="eastAsia" w:ascii="仿宋" w:hAnsi="仿宋" w:eastAsia="仿宋" w:cs="仿宋"/>
          <w:color w:val="auto"/>
          <w:sz w:val="28"/>
          <w:szCs w:val="28"/>
          <w:highlight w:val="none"/>
          <w:lang w:eastAsia="zh-CN"/>
        </w:rPr>
        <w:t>元。</w:t>
      </w:r>
    </w:p>
    <w:p>
      <w:pPr>
        <w:spacing w:line="360" w:lineRule="auto"/>
        <w:ind w:firstLine="560" w:firstLineChars="200"/>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6.成交后是否允许分包：不允许。</w:t>
      </w:r>
    </w:p>
    <w:p>
      <w:pPr>
        <w:spacing w:line="360" w:lineRule="auto"/>
        <w:ind w:firstLine="560" w:firstLineChars="200"/>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7.采购方案决定层级：云南电网有限责任公司普洱供电局。</w:t>
      </w:r>
    </w:p>
    <w:p>
      <w:pPr>
        <w:spacing w:line="360" w:lineRule="auto"/>
        <w:ind w:firstLine="562" w:firstLineChars="200"/>
        <w:outlineLvl w:val="2"/>
        <w:rPr>
          <w:rFonts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二、采购范围及标的物清单</w:t>
      </w:r>
    </w:p>
    <w:p>
      <w:pPr>
        <w:spacing w:line="360" w:lineRule="auto"/>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1.采购范围</w:t>
      </w:r>
      <w:r>
        <w:rPr>
          <w:rFonts w:hint="eastAsia" w:ascii="仿宋" w:hAnsi="仿宋" w:eastAsia="仿宋" w:cs="仿宋"/>
          <w:color w:val="auto"/>
          <w:sz w:val="28"/>
          <w:szCs w:val="28"/>
          <w:highlight w:val="none"/>
          <w:lang w:val="en-US" w:eastAsia="zh-CN"/>
        </w:rPr>
        <w:t>及报价要求</w:t>
      </w:r>
    </w:p>
    <w:tbl>
      <w:tblPr>
        <w:tblStyle w:val="8"/>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3"/>
        <w:gridCol w:w="1187"/>
        <w:gridCol w:w="1225"/>
        <w:gridCol w:w="1205"/>
        <w:gridCol w:w="1004"/>
        <w:gridCol w:w="1096"/>
        <w:gridCol w:w="990"/>
        <w:gridCol w:w="13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2" w:hRule="atLeast"/>
          <w:jc w:val="center"/>
        </w:trPr>
        <w:tc>
          <w:tcPr>
            <w:tcW w:w="453" w:type="dxa"/>
            <w:textDirection w:val="tbRlV"/>
            <w:vAlign w:val="center"/>
          </w:tcPr>
          <w:p>
            <w:pPr>
              <w:pStyle w:val="9"/>
              <w:ind w:left="312"/>
              <w:jc w:val="both"/>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2412" w:type="dxa"/>
            <w:gridSpan w:val="2"/>
            <w:vAlign w:val="center"/>
          </w:tcPr>
          <w:p>
            <w:pPr>
              <w:pStyle w:val="9"/>
              <w:jc w:val="center"/>
              <w:rPr>
                <w:rFonts w:ascii="仿宋" w:hAnsi="仿宋" w:eastAsia="仿宋" w:cs="仿宋"/>
                <w:color w:val="auto"/>
                <w:sz w:val="21"/>
                <w:szCs w:val="21"/>
                <w:highlight w:val="none"/>
              </w:rPr>
            </w:pPr>
            <w:r>
              <w:rPr>
                <w:rFonts w:hint="eastAsia" w:ascii="仿宋" w:hAnsi="仿宋" w:eastAsia="仿宋" w:cs="仿宋"/>
                <w:color w:val="auto"/>
                <w:spacing w:val="3"/>
                <w:sz w:val="21"/>
                <w:szCs w:val="21"/>
                <w:highlight w:val="none"/>
                <w:lang w:val="en-US" w:eastAsia="zh-CN"/>
              </w:rPr>
              <w:t>项目</w:t>
            </w:r>
            <w:r>
              <w:rPr>
                <w:rFonts w:hint="eastAsia" w:ascii="仿宋" w:hAnsi="仿宋" w:eastAsia="仿宋" w:cs="仿宋"/>
                <w:color w:val="auto"/>
                <w:spacing w:val="3"/>
                <w:sz w:val="21"/>
                <w:szCs w:val="21"/>
                <w:highlight w:val="none"/>
              </w:rPr>
              <w:t>名称</w:t>
            </w:r>
          </w:p>
        </w:tc>
        <w:tc>
          <w:tcPr>
            <w:tcW w:w="1205" w:type="dxa"/>
            <w:vAlign w:val="center"/>
          </w:tcPr>
          <w:p>
            <w:pPr>
              <w:pStyle w:val="9"/>
              <w:ind w:left="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pacing w:val="3"/>
                <w:sz w:val="21"/>
                <w:szCs w:val="21"/>
                <w:highlight w:val="none"/>
                <w:lang w:val="en-US" w:eastAsia="zh-CN"/>
              </w:rPr>
              <w:t>建筑面积（㎡</w:t>
            </w:r>
            <w:r>
              <w:rPr>
                <w:rFonts w:hint="eastAsia" w:ascii="仿宋" w:hAnsi="仿宋" w:eastAsia="仿宋" w:cs="仿宋"/>
                <w:color w:val="auto"/>
                <w:sz w:val="21"/>
                <w:szCs w:val="21"/>
                <w:highlight w:val="none"/>
                <w:lang w:val="en-US" w:eastAsia="zh-CN"/>
              </w:rPr>
              <w:t>）</w:t>
            </w:r>
          </w:p>
        </w:tc>
        <w:tc>
          <w:tcPr>
            <w:tcW w:w="1004" w:type="dxa"/>
            <w:vAlign w:val="center"/>
          </w:tcPr>
          <w:p>
            <w:pPr>
              <w:pStyle w:val="9"/>
              <w:ind w:left="0"/>
              <w:jc w:val="center"/>
              <w:rPr>
                <w:rFonts w:hint="eastAsia" w:ascii="仿宋" w:hAnsi="仿宋" w:eastAsia="仿宋" w:cs="仿宋"/>
                <w:color w:val="auto"/>
                <w:spacing w:val="3"/>
                <w:sz w:val="21"/>
                <w:szCs w:val="21"/>
                <w:highlight w:val="none"/>
                <w:lang w:val="en-US" w:eastAsia="zh-CN"/>
              </w:rPr>
            </w:pPr>
            <w:r>
              <w:rPr>
                <w:rFonts w:hint="eastAsia" w:ascii="仿宋" w:hAnsi="仿宋" w:eastAsia="仿宋" w:cs="仿宋"/>
                <w:color w:val="auto"/>
                <w:spacing w:val="3"/>
                <w:sz w:val="21"/>
                <w:szCs w:val="21"/>
                <w:highlight w:val="none"/>
                <w:lang w:val="en-US" w:eastAsia="zh-CN"/>
              </w:rPr>
              <w:t>固定单价采购金额</w:t>
            </w:r>
          </w:p>
          <w:p>
            <w:pPr>
              <w:pStyle w:val="9"/>
              <w:ind w:left="0"/>
              <w:jc w:val="center"/>
              <w:rPr>
                <w:rFonts w:hint="eastAsia" w:ascii="仿宋" w:hAnsi="仿宋" w:eastAsia="仿宋" w:cs="仿宋"/>
                <w:color w:val="auto"/>
                <w:spacing w:val="3"/>
                <w:sz w:val="21"/>
                <w:szCs w:val="21"/>
                <w:highlight w:val="none"/>
                <w:lang w:val="en-US" w:eastAsia="zh-CN"/>
              </w:rPr>
            </w:pPr>
            <w:r>
              <w:rPr>
                <w:rFonts w:hint="eastAsia" w:ascii="仿宋" w:hAnsi="仿宋" w:eastAsia="仿宋" w:cs="仿宋"/>
                <w:color w:val="auto"/>
                <w:spacing w:val="3"/>
                <w:sz w:val="21"/>
                <w:szCs w:val="21"/>
                <w:highlight w:val="none"/>
                <w:lang w:val="en-US" w:eastAsia="zh-CN"/>
              </w:rPr>
              <w:t>(元)</w:t>
            </w:r>
          </w:p>
        </w:tc>
        <w:tc>
          <w:tcPr>
            <w:tcW w:w="1096" w:type="dxa"/>
            <w:vAlign w:val="center"/>
          </w:tcPr>
          <w:p>
            <w:pPr>
              <w:pStyle w:val="9"/>
              <w:ind w:left="94"/>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pacing w:val="5"/>
                <w:sz w:val="21"/>
                <w:szCs w:val="21"/>
                <w:highlight w:val="none"/>
                <w:lang w:val="en-US" w:eastAsia="zh-CN"/>
              </w:rPr>
              <w:t>合计金额（元）</w:t>
            </w:r>
          </w:p>
        </w:tc>
        <w:tc>
          <w:tcPr>
            <w:tcW w:w="990" w:type="dxa"/>
            <w:vAlign w:val="center"/>
          </w:tcPr>
          <w:p>
            <w:pPr>
              <w:pStyle w:val="9"/>
              <w:jc w:val="center"/>
              <w:rPr>
                <w:rFonts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服务</w:t>
            </w:r>
          </w:p>
          <w:p>
            <w:pPr>
              <w:pStyle w:val="9"/>
              <w:jc w:val="center"/>
              <w:rPr>
                <w:rFonts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地点</w:t>
            </w:r>
          </w:p>
        </w:tc>
        <w:tc>
          <w:tcPr>
            <w:tcW w:w="1307" w:type="dxa"/>
            <w:vAlign w:val="center"/>
          </w:tcPr>
          <w:p>
            <w:pPr>
              <w:jc w:val="center"/>
              <w:rPr>
                <w:rFonts w:ascii="仿宋" w:hAnsi="仿宋" w:eastAsia="仿宋" w:cs="仿宋"/>
                <w:color w:val="auto"/>
                <w:sz w:val="21"/>
                <w:szCs w:val="21"/>
                <w:highlight w:val="none"/>
              </w:rPr>
            </w:pPr>
          </w:p>
          <w:p>
            <w:pPr>
              <w:pStyle w:val="9"/>
              <w:ind w:left="138"/>
              <w:jc w:val="center"/>
              <w:rPr>
                <w:rFonts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采购有效期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jc w:val="center"/>
        </w:trPr>
        <w:tc>
          <w:tcPr>
            <w:tcW w:w="453" w:type="dxa"/>
          </w:tcPr>
          <w:p>
            <w:pPr>
              <w:jc w:val="center"/>
              <w:rPr>
                <w:rFonts w:ascii="仿宋" w:hAnsi="仿宋" w:eastAsia="仿宋" w:cs="仿宋"/>
                <w:color w:val="auto"/>
                <w:sz w:val="21"/>
                <w:szCs w:val="21"/>
                <w:highlight w:val="none"/>
              </w:rPr>
            </w:pPr>
          </w:p>
          <w:p>
            <w:pPr>
              <w:jc w:val="center"/>
              <w:rPr>
                <w:rFonts w:ascii="仿宋" w:hAnsi="仿宋" w:eastAsia="仿宋" w:cs="仿宋"/>
                <w:color w:val="auto"/>
                <w:sz w:val="21"/>
                <w:szCs w:val="21"/>
                <w:highlight w:val="none"/>
              </w:rPr>
            </w:pPr>
          </w:p>
          <w:p>
            <w:pPr>
              <w:pStyle w:val="9"/>
              <w:ind w:left="105"/>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2412" w:type="dxa"/>
            <w:gridSpan w:val="2"/>
            <w:vAlign w:val="center"/>
          </w:tcPr>
          <w:p>
            <w:pPr>
              <w:pStyle w:val="9"/>
              <w:jc w:val="center"/>
              <w:rPr>
                <w:rFonts w:ascii="仿宋" w:hAnsi="仿宋" w:eastAsia="仿宋" w:cs="仿宋"/>
                <w:color w:val="auto"/>
                <w:sz w:val="21"/>
                <w:szCs w:val="21"/>
                <w:highlight w:val="none"/>
                <w:lang w:eastAsia="zh-CN"/>
              </w:rPr>
            </w:pPr>
            <w:r>
              <w:rPr>
                <w:rFonts w:hint="eastAsia" w:ascii="仿宋" w:hAnsi="仿宋" w:eastAsia="仿宋" w:cs="仿宋"/>
                <w:color w:val="auto"/>
                <w:spacing w:val="19"/>
                <w:sz w:val="21"/>
                <w:szCs w:val="21"/>
                <w:highlight w:val="none"/>
                <w:lang w:eastAsia="zh-CN"/>
              </w:rPr>
              <w:t>普洱西盟供电局生产业务用房项目</w:t>
            </w:r>
          </w:p>
        </w:tc>
        <w:tc>
          <w:tcPr>
            <w:tcW w:w="1205" w:type="dxa"/>
            <w:vAlign w:val="center"/>
          </w:tcPr>
          <w:p>
            <w:pPr>
              <w:pStyle w:val="9"/>
              <w:jc w:val="center"/>
              <w:rPr>
                <w:rFonts w:hint="eastAsia" w:ascii="仿宋" w:hAnsi="仿宋" w:eastAsia="仿宋" w:cs="仿宋"/>
                <w:color w:val="auto"/>
                <w:spacing w:val="19"/>
                <w:sz w:val="21"/>
                <w:szCs w:val="21"/>
                <w:highlight w:val="none"/>
                <w:lang w:eastAsia="zh-CN"/>
              </w:rPr>
            </w:pPr>
            <w:r>
              <w:rPr>
                <w:rFonts w:hint="eastAsia" w:ascii="仿宋" w:hAnsi="仿宋" w:eastAsia="仿宋" w:cs="仿宋"/>
                <w:color w:val="auto"/>
                <w:spacing w:val="19"/>
                <w:sz w:val="21"/>
                <w:szCs w:val="21"/>
                <w:highlight w:val="none"/>
                <w:lang w:eastAsia="zh-CN"/>
              </w:rPr>
              <w:t>4395.2</w:t>
            </w:r>
          </w:p>
        </w:tc>
        <w:tc>
          <w:tcPr>
            <w:tcW w:w="1004" w:type="dxa"/>
          </w:tcPr>
          <w:p>
            <w:pPr>
              <w:pStyle w:val="9"/>
              <w:jc w:val="center"/>
              <w:rPr>
                <w:rFonts w:hint="eastAsia" w:ascii="仿宋" w:hAnsi="仿宋" w:eastAsia="仿宋" w:cs="仿宋"/>
                <w:color w:val="auto"/>
                <w:spacing w:val="19"/>
                <w:sz w:val="21"/>
                <w:szCs w:val="21"/>
                <w:highlight w:val="none"/>
                <w:lang w:val="en-US" w:eastAsia="zh-CN"/>
              </w:rPr>
            </w:pPr>
          </w:p>
        </w:tc>
        <w:tc>
          <w:tcPr>
            <w:tcW w:w="1096" w:type="dxa"/>
          </w:tcPr>
          <w:p>
            <w:pPr>
              <w:jc w:val="center"/>
              <w:rPr>
                <w:rFonts w:ascii="仿宋" w:hAnsi="仿宋" w:eastAsia="仿宋" w:cs="仿宋"/>
                <w:color w:val="auto"/>
                <w:sz w:val="21"/>
                <w:szCs w:val="21"/>
                <w:highlight w:val="none"/>
              </w:rPr>
            </w:pPr>
          </w:p>
          <w:p>
            <w:pPr>
              <w:jc w:val="center"/>
              <w:rPr>
                <w:rFonts w:ascii="仿宋" w:hAnsi="仿宋" w:eastAsia="仿宋" w:cs="仿宋"/>
                <w:color w:val="auto"/>
                <w:sz w:val="21"/>
                <w:szCs w:val="21"/>
                <w:highlight w:val="none"/>
              </w:rPr>
            </w:pPr>
          </w:p>
          <w:p>
            <w:pPr>
              <w:pStyle w:val="9"/>
              <w:ind w:left="285"/>
              <w:jc w:val="center"/>
              <w:rPr>
                <w:rFonts w:ascii="仿宋" w:hAnsi="仿宋" w:eastAsia="仿宋" w:cs="仿宋"/>
                <w:color w:val="auto"/>
                <w:sz w:val="21"/>
                <w:szCs w:val="21"/>
                <w:highlight w:val="none"/>
              </w:rPr>
            </w:pPr>
          </w:p>
        </w:tc>
        <w:tc>
          <w:tcPr>
            <w:tcW w:w="990" w:type="dxa"/>
          </w:tcPr>
          <w:p>
            <w:pPr>
              <w:jc w:val="center"/>
              <w:rPr>
                <w:rFonts w:ascii="仿宋" w:hAnsi="仿宋" w:eastAsia="仿宋" w:cs="仿宋"/>
                <w:color w:val="auto"/>
                <w:sz w:val="21"/>
                <w:szCs w:val="21"/>
                <w:highlight w:val="none"/>
              </w:rPr>
            </w:pPr>
          </w:p>
          <w:p>
            <w:pPr>
              <w:pStyle w:val="9"/>
              <w:ind w:left="132"/>
              <w:jc w:val="center"/>
              <w:rPr>
                <w:rFonts w:hint="default" w:ascii="仿宋" w:hAnsi="仿宋" w:eastAsia="仿宋" w:cs="仿宋"/>
                <w:color w:val="auto"/>
                <w:sz w:val="21"/>
                <w:szCs w:val="21"/>
                <w:highlight w:val="none"/>
                <w:lang w:val="en-US"/>
              </w:rPr>
            </w:pPr>
            <w:r>
              <w:rPr>
                <w:rFonts w:hint="eastAsia" w:ascii="仿宋" w:hAnsi="仿宋" w:eastAsia="仿宋" w:cs="仿宋"/>
                <w:color w:val="auto"/>
                <w:spacing w:val="19"/>
                <w:sz w:val="21"/>
                <w:szCs w:val="21"/>
                <w:highlight w:val="none"/>
                <w:lang w:eastAsia="zh-CN"/>
              </w:rPr>
              <w:t>普洱市</w:t>
            </w:r>
            <w:r>
              <w:rPr>
                <w:rFonts w:hint="eastAsia" w:ascii="仿宋" w:hAnsi="仿宋" w:eastAsia="仿宋" w:cs="仿宋"/>
                <w:color w:val="auto"/>
                <w:spacing w:val="19"/>
                <w:sz w:val="21"/>
                <w:szCs w:val="21"/>
                <w:highlight w:val="none"/>
                <w:lang w:val="en-US" w:eastAsia="zh-CN"/>
              </w:rPr>
              <w:t>思茅县</w:t>
            </w:r>
          </w:p>
        </w:tc>
        <w:tc>
          <w:tcPr>
            <w:tcW w:w="1307" w:type="dxa"/>
          </w:tcPr>
          <w:p>
            <w:pPr>
              <w:jc w:val="center"/>
              <w:rPr>
                <w:rFonts w:ascii="仿宋" w:hAnsi="仿宋" w:eastAsia="仿宋" w:cs="仿宋"/>
                <w:color w:val="auto"/>
                <w:sz w:val="21"/>
                <w:szCs w:val="21"/>
                <w:highlight w:val="none"/>
                <w:lang w:eastAsia="zh-CN"/>
              </w:rPr>
            </w:pPr>
          </w:p>
          <w:p>
            <w:pPr>
              <w:pStyle w:val="9"/>
              <w:ind w:left="138"/>
              <w:jc w:val="center"/>
              <w:rPr>
                <w:rFonts w:ascii="仿宋" w:hAnsi="仿宋" w:eastAsia="仿宋" w:cs="仿宋"/>
                <w:color w:val="auto"/>
                <w:sz w:val="21"/>
                <w:szCs w:val="21"/>
                <w:highlight w:val="none"/>
                <w:lang w:eastAsia="zh-CN"/>
              </w:rPr>
            </w:pPr>
            <w:r>
              <w:rPr>
                <w:rFonts w:hint="eastAsia" w:ascii="仿宋" w:hAnsi="仿宋" w:eastAsia="仿宋" w:cs="仿宋"/>
                <w:color w:val="auto"/>
                <w:spacing w:val="4"/>
                <w:sz w:val="21"/>
                <w:szCs w:val="21"/>
                <w:highlight w:val="none"/>
                <w:lang w:eastAsia="zh-CN"/>
              </w:rPr>
              <w:t>自合同签订之日起</w:t>
            </w:r>
            <w:r>
              <w:rPr>
                <w:rFonts w:hint="eastAsia" w:ascii="仿宋" w:hAnsi="仿宋" w:eastAsia="仿宋" w:cs="仿宋"/>
                <w:color w:val="auto"/>
                <w:spacing w:val="1"/>
                <w:sz w:val="21"/>
                <w:szCs w:val="21"/>
                <w:highlight w:val="none"/>
                <w:lang w:eastAsia="zh-CN"/>
              </w:rPr>
              <w:t>至2026年12月31</w:t>
            </w:r>
            <w:r>
              <w:rPr>
                <w:rFonts w:hint="eastAsia" w:ascii="仿宋" w:hAnsi="仿宋" w:eastAsia="仿宋" w:cs="仿宋"/>
                <w:color w:val="auto"/>
                <w:spacing w:val="11"/>
                <w:sz w:val="21"/>
                <w:szCs w:val="21"/>
                <w:highlight w:val="none"/>
                <w:lang w:eastAsia="zh-CN"/>
              </w:rPr>
              <w:t>日止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jc w:val="center"/>
        </w:trPr>
        <w:tc>
          <w:tcPr>
            <w:tcW w:w="453" w:type="dxa"/>
            <w:vMerge w:val="restart"/>
            <w:vAlign w:val="top"/>
          </w:tcPr>
          <w:p>
            <w:pPr>
              <w:jc w:val="center"/>
              <w:rPr>
                <w:rFonts w:ascii="仿宋" w:hAnsi="仿宋" w:eastAsia="仿宋" w:cs="仿宋"/>
                <w:color w:val="auto"/>
                <w:sz w:val="21"/>
                <w:szCs w:val="21"/>
                <w:highlight w:val="none"/>
              </w:rPr>
            </w:pPr>
          </w:p>
          <w:p>
            <w:pPr>
              <w:jc w:val="center"/>
              <w:rPr>
                <w:rFonts w:ascii="仿宋" w:hAnsi="仿宋" w:eastAsia="仿宋" w:cs="仿宋"/>
                <w:color w:val="auto"/>
                <w:sz w:val="21"/>
                <w:szCs w:val="21"/>
                <w:highlight w:val="none"/>
              </w:rPr>
            </w:pPr>
          </w:p>
          <w:p>
            <w:pPr>
              <w:pStyle w:val="9"/>
              <w:ind w:left="105" w:leftChars="0"/>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2</w:t>
            </w:r>
          </w:p>
        </w:tc>
        <w:tc>
          <w:tcPr>
            <w:tcW w:w="1187" w:type="dxa"/>
            <w:vMerge w:val="restart"/>
            <w:tcBorders>
              <w:right w:val="single" w:color="auto" w:sz="4" w:space="0"/>
            </w:tcBorders>
            <w:vAlign w:val="center"/>
          </w:tcPr>
          <w:p>
            <w:pPr>
              <w:pStyle w:val="9"/>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pacing w:val="19"/>
                <w:sz w:val="21"/>
                <w:szCs w:val="21"/>
                <w:highlight w:val="none"/>
                <w:lang w:eastAsia="zh-CN"/>
              </w:rPr>
              <w:t>普洱孟连供电局生产辅助用房项目</w:t>
            </w:r>
          </w:p>
        </w:tc>
        <w:tc>
          <w:tcPr>
            <w:tcW w:w="1225" w:type="dxa"/>
            <w:tcBorders>
              <w:left w:val="single" w:color="auto" w:sz="4" w:space="0"/>
              <w:bottom w:val="single" w:color="auto" w:sz="4" w:space="0"/>
            </w:tcBorders>
            <w:vAlign w:val="center"/>
          </w:tcPr>
          <w:p>
            <w:pPr>
              <w:pStyle w:val="9"/>
              <w:jc w:val="center"/>
              <w:rPr>
                <w:rFonts w:hint="eastAsia" w:ascii="仿宋" w:hAnsi="仿宋" w:eastAsia="仿宋" w:cs="仿宋"/>
                <w:color w:val="auto"/>
                <w:spacing w:val="19"/>
                <w:sz w:val="21"/>
                <w:szCs w:val="21"/>
                <w:highlight w:val="none"/>
                <w:lang w:eastAsia="zh-CN"/>
              </w:rPr>
            </w:pPr>
            <w:r>
              <w:rPr>
                <w:rFonts w:hint="eastAsia" w:ascii="仿宋" w:hAnsi="仿宋" w:eastAsia="仿宋" w:cs="仿宋"/>
                <w:color w:val="auto"/>
                <w:spacing w:val="19"/>
                <w:sz w:val="21"/>
                <w:szCs w:val="21"/>
                <w:highlight w:val="none"/>
                <w:lang w:eastAsia="zh-CN"/>
              </w:rPr>
              <w:t>普洱供电局孟连巡维中心</w:t>
            </w:r>
          </w:p>
        </w:tc>
        <w:tc>
          <w:tcPr>
            <w:tcW w:w="1205" w:type="dxa"/>
            <w:vAlign w:val="center"/>
          </w:tcPr>
          <w:p>
            <w:pPr>
              <w:pStyle w:val="9"/>
              <w:jc w:val="center"/>
              <w:rPr>
                <w:rFonts w:hint="eastAsia" w:ascii="仿宋" w:hAnsi="仿宋" w:eastAsia="仿宋" w:cs="仿宋"/>
                <w:color w:val="auto"/>
                <w:spacing w:val="19"/>
                <w:sz w:val="21"/>
                <w:szCs w:val="21"/>
                <w:highlight w:val="none"/>
                <w:lang w:eastAsia="zh-CN"/>
              </w:rPr>
            </w:pPr>
          </w:p>
          <w:p>
            <w:pPr>
              <w:pStyle w:val="9"/>
              <w:jc w:val="center"/>
              <w:rPr>
                <w:rFonts w:hint="eastAsia" w:ascii="仿宋" w:hAnsi="仿宋" w:eastAsia="仿宋" w:cs="仿宋"/>
                <w:color w:val="auto"/>
                <w:spacing w:val="19"/>
                <w:sz w:val="21"/>
                <w:szCs w:val="21"/>
                <w:highlight w:val="none"/>
                <w:lang w:val="en-US" w:eastAsia="en-US"/>
              </w:rPr>
            </w:pPr>
            <w:r>
              <w:rPr>
                <w:rFonts w:hint="eastAsia" w:ascii="仿宋" w:hAnsi="仿宋" w:eastAsia="仿宋" w:cs="仿宋"/>
                <w:color w:val="auto"/>
                <w:spacing w:val="19"/>
                <w:sz w:val="21"/>
                <w:szCs w:val="21"/>
                <w:highlight w:val="none"/>
                <w:lang w:eastAsia="zh-CN"/>
              </w:rPr>
              <w:t>2931.82</w:t>
            </w:r>
          </w:p>
        </w:tc>
        <w:tc>
          <w:tcPr>
            <w:tcW w:w="1004" w:type="dxa"/>
            <w:vAlign w:val="top"/>
          </w:tcPr>
          <w:p>
            <w:pPr>
              <w:pStyle w:val="9"/>
              <w:jc w:val="center"/>
              <w:rPr>
                <w:rFonts w:hint="eastAsia" w:ascii="仿宋" w:hAnsi="仿宋" w:eastAsia="仿宋" w:cs="仿宋"/>
                <w:color w:val="auto"/>
                <w:spacing w:val="19"/>
                <w:sz w:val="21"/>
                <w:szCs w:val="21"/>
                <w:highlight w:val="none"/>
                <w:lang w:val="en-US" w:eastAsia="zh-CN"/>
              </w:rPr>
            </w:pPr>
          </w:p>
        </w:tc>
        <w:tc>
          <w:tcPr>
            <w:tcW w:w="1096" w:type="dxa"/>
            <w:vAlign w:val="top"/>
          </w:tcPr>
          <w:p>
            <w:pPr>
              <w:jc w:val="center"/>
              <w:rPr>
                <w:rFonts w:ascii="仿宋" w:hAnsi="仿宋" w:eastAsia="仿宋" w:cs="仿宋"/>
                <w:color w:val="auto"/>
                <w:sz w:val="21"/>
                <w:szCs w:val="21"/>
                <w:highlight w:val="none"/>
              </w:rPr>
            </w:pPr>
          </w:p>
          <w:p>
            <w:pPr>
              <w:pStyle w:val="9"/>
              <w:ind w:left="285" w:leftChars="0"/>
              <w:jc w:val="center"/>
              <w:rPr>
                <w:rFonts w:hint="eastAsia" w:ascii="仿宋" w:hAnsi="仿宋" w:eastAsia="仿宋" w:cs="仿宋"/>
                <w:snapToGrid w:val="0"/>
                <w:color w:val="auto"/>
                <w:sz w:val="21"/>
                <w:szCs w:val="21"/>
                <w:highlight w:val="none"/>
                <w:lang w:val="en-US" w:eastAsia="en-US" w:bidi="ar-SA"/>
              </w:rPr>
            </w:pPr>
          </w:p>
        </w:tc>
        <w:tc>
          <w:tcPr>
            <w:tcW w:w="990" w:type="dxa"/>
            <w:vMerge w:val="restart"/>
            <w:vAlign w:val="top"/>
          </w:tcPr>
          <w:p>
            <w:pPr>
              <w:jc w:val="center"/>
              <w:rPr>
                <w:rFonts w:ascii="仿宋" w:hAnsi="仿宋" w:eastAsia="仿宋" w:cs="仿宋"/>
                <w:color w:val="auto"/>
                <w:sz w:val="21"/>
                <w:szCs w:val="21"/>
                <w:highlight w:val="none"/>
              </w:rPr>
            </w:pPr>
          </w:p>
          <w:p>
            <w:pPr>
              <w:pStyle w:val="9"/>
              <w:ind w:left="132" w:leftChars="0"/>
              <w:jc w:val="center"/>
              <w:rPr>
                <w:rFonts w:hint="default"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pacing w:val="19"/>
                <w:sz w:val="21"/>
                <w:szCs w:val="21"/>
                <w:highlight w:val="none"/>
                <w:lang w:eastAsia="zh-CN"/>
              </w:rPr>
              <w:t>普洱市</w:t>
            </w:r>
            <w:r>
              <w:rPr>
                <w:rFonts w:hint="eastAsia" w:ascii="仿宋" w:hAnsi="仿宋" w:eastAsia="仿宋" w:cs="仿宋"/>
                <w:color w:val="auto"/>
                <w:spacing w:val="19"/>
                <w:sz w:val="21"/>
                <w:szCs w:val="21"/>
                <w:highlight w:val="none"/>
                <w:lang w:val="en-US" w:eastAsia="zh-CN"/>
              </w:rPr>
              <w:t>孟连县</w:t>
            </w:r>
          </w:p>
        </w:tc>
        <w:tc>
          <w:tcPr>
            <w:tcW w:w="1307" w:type="dxa"/>
            <w:vMerge w:val="restart"/>
            <w:vAlign w:val="top"/>
          </w:tcPr>
          <w:p>
            <w:pPr>
              <w:jc w:val="center"/>
              <w:rPr>
                <w:rFonts w:ascii="仿宋" w:hAnsi="仿宋" w:eastAsia="仿宋" w:cs="仿宋"/>
                <w:color w:val="auto"/>
                <w:sz w:val="21"/>
                <w:szCs w:val="21"/>
                <w:highlight w:val="none"/>
                <w:lang w:eastAsia="zh-CN"/>
              </w:rPr>
            </w:pPr>
          </w:p>
          <w:p>
            <w:pPr>
              <w:pStyle w:val="9"/>
              <w:ind w:left="138" w:leftChars="0"/>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pacing w:val="4"/>
                <w:sz w:val="21"/>
                <w:szCs w:val="21"/>
                <w:highlight w:val="none"/>
                <w:lang w:eastAsia="zh-CN"/>
              </w:rPr>
              <w:t>自合同签订之日起</w:t>
            </w:r>
            <w:r>
              <w:rPr>
                <w:rFonts w:hint="eastAsia" w:ascii="仿宋" w:hAnsi="仿宋" w:eastAsia="仿宋" w:cs="仿宋"/>
                <w:color w:val="auto"/>
                <w:spacing w:val="1"/>
                <w:sz w:val="21"/>
                <w:szCs w:val="21"/>
                <w:highlight w:val="none"/>
                <w:lang w:eastAsia="zh-CN"/>
              </w:rPr>
              <w:t>至2026年12月31</w:t>
            </w:r>
            <w:r>
              <w:rPr>
                <w:rFonts w:hint="eastAsia" w:ascii="仿宋" w:hAnsi="仿宋" w:eastAsia="仿宋" w:cs="仿宋"/>
                <w:color w:val="auto"/>
                <w:spacing w:val="11"/>
                <w:sz w:val="21"/>
                <w:szCs w:val="21"/>
                <w:highlight w:val="none"/>
                <w:lang w:eastAsia="zh-CN"/>
              </w:rPr>
              <w:t>日止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jc w:val="center"/>
        </w:trPr>
        <w:tc>
          <w:tcPr>
            <w:tcW w:w="453" w:type="dxa"/>
            <w:vMerge w:val="continue"/>
            <w:tcBorders>
              <w:bottom w:val="single" w:color="auto" w:sz="4" w:space="0"/>
            </w:tcBorders>
            <w:vAlign w:val="top"/>
          </w:tcPr>
          <w:p>
            <w:pPr>
              <w:pStyle w:val="9"/>
              <w:ind w:left="105" w:leftChars="0"/>
              <w:jc w:val="center"/>
              <w:rPr>
                <w:rFonts w:hint="eastAsia" w:ascii="仿宋" w:hAnsi="仿宋" w:eastAsia="仿宋" w:cs="仿宋"/>
                <w:color w:val="auto"/>
                <w:sz w:val="21"/>
                <w:szCs w:val="21"/>
                <w:highlight w:val="none"/>
                <w:lang w:val="en-US" w:eastAsia="zh-CN"/>
              </w:rPr>
            </w:pPr>
          </w:p>
        </w:tc>
        <w:tc>
          <w:tcPr>
            <w:tcW w:w="1187" w:type="dxa"/>
            <w:vMerge w:val="continue"/>
            <w:tcBorders>
              <w:bottom w:val="single" w:color="auto" w:sz="4" w:space="0"/>
              <w:right w:val="single" w:color="auto" w:sz="4" w:space="0"/>
            </w:tcBorders>
            <w:vAlign w:val="top"/>
          </w:tcPr>
          <w:p>
            <w:pPr>
              <w:pStyle w:val="9"/>
              <w:jc w:val="center"/>
              <w:rPr>
                <w:rFonts w:hint="eastAsia" w:ascii="仿宋" w:hAnsi="仿宋" w:eastAsia="仿宋" w:cs="仿宋"/>
                <w:color w:val="auto"/>
                <w:spacing w:val="19"/>
                <w:sz w:val="21"/>
                <w:szCs w:val="21"/>
                <w:highlight w:val="none"/>
                <w:lang w:eastAsia="zh-CN"/>
              </w:rPr>
            </w:pPr>
          </w:p>
        </w:tc>
        <w:tc>
          <w:tcPr>
            <w:tcW w:w="1225" w:type="dxa"/>
            <w:tcBorders>
              <w:top w:val="single" w:color="auto" w:sz="4" w:space="0"/>
              <w:left w:val="single" w:color="auto" w:sz="4" w:space="0"/>
              <w:bottom w:val="single" w:color="auto" w:sz="4" w:space="0"/>
            </w:tcBorders>
            <w:vAlign w:val="top"/>
          </w:tcPr>
          <w:p>
            <w:pPr>
              <w:pStyle w:val="9"/>
              <w:jc w:val="center"/>
              <w:rPr>
                <w:rFonts w:hint="eastAsia" w:ascii="仿宋" w:hAnsi="仿宋" w:eastAsia="仿宋" w:cs="仿宋"/>
                <w:color w:val="auto"/>
                <w:spacing w:val="19"/>
                <w:sz w:val="21"/>
                <w:szCs w:val="21"/>
                <w:highlight w:val="none"/>
                <w:lang w:eastAsia="zh-CN"/>
              </w:rPr>
            </w:pPr>
            <w:r>
              <w:rPr>
                <w:rFonts w:hint="eastAsia" w:ascii="仿宋" w:hAnsi="仿宋" w:eastAsia="仿宋" w:cs="仿宋"/>
                <w:color w:val="auto"/>
                <w:spacing w:val="19"/>
                <w:sz w:val="21"/>
                <w:szCs w:val="21"/>
                <w:highlight w:val="none"/>
                <w:lang w:eastAsia="zh-CN"/>
              </w:rPr>
              <w:t>普洱孟连供电局保障性住房项目</w:t>
            </w:r>
          </w:p>
        </w:tc>
        <w:tc>
          <w:tcPr>
            <w:tcW w:w="1205" w:type="dxa"/>
            <w:vAlign w:val="center"/>
          </w:tcPr>
          <w:p>
            <w:pPr>
              <w:pStyle w:val="9"/>
              <w:jc w:val="center"/>
              <w:rPr>
                <w:rFonts w:hint="eastAsia" w:ascii="仿宋" w:hAnsi="仿宋" w:eastAsia="仿宋" w:cs="仿宋"/>
                <w:color w:val="auto"/>
                <w:spacing w:val="19"/>
                <w:sz w:val="21"/>
                <w:szCs w:val="21"/>
                <w:highlight w:val="none"/>
                <w:lang w:val="en-US" w:eastAsia="en-US"/>
              </w:rPr>
            </w:pPr>
            <w:r>
              <w:rPr>
                <w:rFonts w:hint="eastAsia" w:ascii="仿宋" w:hAnsi="仿宋" w:eastAsia="仿宋" w:cs="仿宋"/>
                <w:color w:val="auto"/>
                <w:spacing w:val="19"/>
                <w:sz w:val="21"/>
                <w:szCs w:val="21"/>
                <w:highlight w:val="none"/>
                <w:lang w:eastAsia="zh-CN"/>
              </w:rPr>
              <w:t>1613.94</w:t>
            </w:r>
          </w:p>
        </w:tc>
        <w:tc>
          <w:tcPr>
            <w:tcW w:w="1004" w:type="dxa"/>
            <w:vAlign w:val="top"/>
          </w:tcPr>
          <w:p>
            <w:pPr>
              <w:pStyle w:val="9"/>
              <w:jc w:val="center"/>
              <w:rPr>
                <w:rFonts w:hint="eastAsia" w:ascii="仿宋" w:hAnsi="仿宋" w:eastAsia="仿宋" w:cs="仿宋"/>
                <w:color w:val="auto"/>
                <w:spacing w:val="19"/>
                <w:sz w:val="21"/>
                <w:szCs w:val="21"/>
                <w:highlight w:val="none"/>
                <w:lang w:val="en-US" w:eastAsia="zh-CN"/>
              </w:rPr>
            </w:pPr>
          </w:p>
        </w:tc>
        <w:tc>
          <w:tcPr>
            <w:tcW w:w="1096" w:type="dxa"/>
            <w:vAlign w:val="top"/>
          </w:tcPr>
          <w:p>
            <w:pPr>
              <w:pStyle w:val="9"/>
              <w:ind w:left="285" w:leftChars="0"/>
              <w:jc w:val="center"/>
              <w:rPr>
                <w:rFonts w:hint="eastAsia" w:ascii="仿宋" w:hAnsi="仿宋" w:eastAsia="仿宋" w:cs="仿宋"/>
                <w:snapToGrid w:val="0"/>
                <w:color w:val="auto"/>
                <w:sz w:val="21"/>
                <w:szCs w:val="21"/>
                <w:highlight w:val="none"/>
                <w:lang w:val="en-US" w:eastAsia="en-US" w:bidi="ar-SA"/>
              </w:rPr>
            </w:pPr>
          </w:p>
        </w:tc>
        <w:tc>
          <w:tcPr>
            <w:tcW w:w="990" w:type="dxa"/>
            <w:vMerge w:val="continue"/>
            <w:vAlign w:val="top"/>
          </w:tcPr>
          <w:p>
            <w:pPr>
              <w:pStyle w:val="9"/>
              <w:ind w:left="132" w:leftChars="0"/>
              <w:jc w:val="center"/>
              <w:rPr>
                <w:rFonts w:hint="eastAsia" w:ascii="仿宋" w:hAnsi="仿宋" w:eastAsia="仿宋" w:cs="仿宋"/>
                <w:color w:val="auto"/>
                <w:spacing w:val="19"/>
                <w:sz w:val="21"/>
                <w:szCs w:val="21"/>
                <w:highlight w:val="none"/>
                <w:lang w:eastAsia="zh-CN"/>
              </w:rPr>
            </w:pPr>
          </w:p>
        </w:tc>
        <w:tc>
          <w:tcPr>
            <w:tcW w:w="1307" w:type="dxa"/>
            <w:vMerge w:val="continue"/>
            <w:vAlign w:val="top"/>
          </w:tcPr>
          <w:p>
            <w:pPr>
              <w:pStyle w:val="9"/>
              <w:ind w:left="138" w:leftChars="0"/>
              <w:jc w:val="center"/>
              <w:rPr>
                <w:rFonts w:hint="eastAsia" w:ascii="仿宋" w:hAnsi="仿宋" w:eastAsia="仿宋" w:cs="仿宋"/>
                <w:color w:val="auto"/>
                <w:spacing w:val="4"/>
                <w:sz w:val="21"/>
                <w:szCs w:val="21"/>
                <w:highlight w:val="none"/>
                <w:lang w:eastAsia="zh-CN"/>
              </w:rPr>
            </w:pPr>
          </w:p>
        </w:tc>
      </w:tr>
    </w:tbl>
    <w:p>
      <w:pPr>
        <w:spacing w:line="360" w:lineRule="auto"/>
        <w:ind w:left="14" w:right="130" w:firstLine="560" w:firstLineChars="200"/>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备注：</w:t>
      </w:r>
    </w:p>
    <w:p>
      <w:pPr>
        <w:spacing w:line="360" w:lineRule="auto"/>
        <w:ind w:firstLine="562" w:firstLineChars="200"/>
        <w:outlineLvl w:val="2"/>
        <w:rPr>
          <w:rFonts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三、采购技术要求</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1.通用资格要求：</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.1 适用范围与审查依据</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.1.1 适用范围</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适用于本项目初步设计阶段抗震设防专项审查，包含：超限高层建筑、特殊结构体系、减隔震工程、重大/重要公共建筑、高烈度区重点工程等按规定必须开展抗震专审的项目。</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.1.2 审查依据（必须执行）</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《建设工程抗震管理条例》（国务院令第 744 号）</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《建筑与市政工程抗震通用规范》GB 55002</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《建筑工程抗震设防分类标准》GB 50223</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《建筑抗震设计规范》GB 50011</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《超限高层建筑工程抗震设防专项审查技术要点》（住建部）</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项目所在地省级管理办法与技术要点（如云南省云建规〔2020〕5 号、云建震〔2020〕178 号）项目批复、规划条件、勘察报告及初步设计文件。</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.2 总体技术要求</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审查阶段：初步设计完成后、施工图设计前完成，审查意见作为施工图审查与施工许可依据。</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审查原则：合规性、安全性、经济性、可实施性；强制性条文必须 100% 满足。</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成果要求：出具正式抗震设防专项审查意见书，含专家签到、审查结论、修改清单、复核意见。</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时限要求：资料齐全后7–15 个工作日完成审查并出具正式意见；配合答疑与复核。</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.3 核心审查内容（必查项）</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.3.1 抗震设防标准符合性</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抗震设防类别、设防烈度、设计基本地震加速度、设计地震分组准确合规场地类别、地震动参数、安评结论（如有）应用正确重要建筑、关键功能建筑抗震性能目标合理。</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.3.2 概念设计与结构体系</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结构体系选型合理、规则性可控，平面/竖向布置符合抗震概念设计刚度、承载力、延性匹配，薄弱层、扭转效应控制达标传力路径清晰，关键构件与关键部位抗震措施到位。</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.3.3 计算分析与模型</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计算软件合规、版本有效；力学模型、计算参数符合实际多模型、多方法验算（反应谱、时程、弹性/弹塑性分析等）超限项目按规定完成专项性能分析与论证。</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.3.4 地基基础与下部结构</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场地稳定性、液化判别、软土震陷评估正确基础形式、抗拔抗倾覆、桩基抗震验算与构造满足要求上下部协同分析合理。</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.3.5 抗震构造措施</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构件配筋、节点构造、约束构件、连接构造满足规范强条材料性能、延性要求、锚固长度、箍筋配置等合规非结构构件（围护、隔墙、幕墙、设备）抗震连接可靠。</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.3.6 减隔震与新技术专项（如涉及）</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减隔震装置选型、参数、布置、验算合规支座性能、限位与保护措施、施工与更换可行性论证新技术、新材料、新体系完成抗震安全论证。</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.3.7 多专业协同</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建筑、结构、机电、消防等专业抗震设计协调一致重要设备、管线、支架抗震措施满足要求应急功能、避难空间、疏散通道抗震保障可靠。</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.4送审资料与成果交付</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w:t>
      </w:r>
      <w:r>
        <w:rPr>
          <w:rFonts w:ascii="仿宋" w:hAnsi="仿宋" w:eastAsia="仿宋" w:cs="仿宋"/>
          <w:color w:val="auto"/>
          <w:sz w:val="28"/>
          <w:szCs w:val="28"/>
          <w:highlight w:val="none"/>
          <w:lang w:eastAsia="zh-CN"/>
        </w:rPr>
        <w:t>4</w:t>
      </w:r>
      <w:r>
        <w:rPr>
          <w:rFonts w:hint="eastAsia" w:ascii="仿宋" w:hAnsi="仿宋" w:eastAsia="仿宋" w:cs="仿宋"/>
          <w:color w:val="auto"/>
          <w:sz w:val="28"/>
          <w:szCs w:val="28"/>
          <w:highlight w:val="none"/>
          <w:lang w:eastAsia="zh-CN"/>
        </w:rPr>
        <w:t>.1 送审资料清单</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抗震专审申请表、立项/规划批文工程勘察报告（正式版）、初步设计图纸（建筑、结构、机电）、结构计算书、计算模型文件超限/减隔震专项报告、性能化分析报告、其他主管部门要求材料。</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w:t>
      </w:r>
      <w:r>
        <w:rPr>
          <w:rFonts w:ascii="仿宋" w:hAnsi="仿宋" w:eastAsia="仿宋" w:cs="仿宋"/>
          <w:color w:val="auto"/>
          <w:sz w:val="28"/>
          <w:szCs w:val="28"/>
          <w:highlight w:val="none"/>
          <w:lang w:eastAsia="zh-CN"/>
        </w:rPr>
        <w:t>4</w:t>
      </w:r>
      <w:r>
        <w:rPr>
          <w:rFonts w:hint="eastAsia" w:ascii="仿宋" w:hAnsi="仿宋" w:eastAsia="仿宋" w:cs="仿宋"/>
          <w:color w:val="auto"/>
          <w:sz w:val="28"/>
          <w:szCs w:val="28"/>
          <w:highlight w:val="none"/>
          <w:lang w:eastAsia="zh-CN"/>
        </w:rPr>
        <w:t>.2 交付成果</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《抗震设防专项审查意见书》（盖章原件）</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专家审查意见汇总表、问题清单与整改回复</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电子版全套成果（PDF + 可编辑版）</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配合完成主管部门备案与意见闭环</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w:t>
      </w:r>
      <w:r>
        <w:rPr>
          <w:rFonts w:ascii="仿宋" w:hAnsi="仿宋" w:eastAsia="仿宋" w:cs="仿宋"/>
          <w:color w:val="auto"/>
          <w:sz w:val="28"/>
          <w:szCs w:val="28"/>
          <w:highlight w:val="none"/>
          <w:lang w:eastAsia="zh-CN"/>
        </w:rPr>
        <w:t>5</w:t>
      </w:r>
      <w:r>
        <w:rPr>
          <w:rFonts w:hint="eastAsia" w:ascii="仿宋" w:hAnsi="仿宋" w:eastAsia="仿宋" w:cs="仿宋"/>
          <w:color w:val="auto"/>
          <w:sz w:val="28"/>
          <w:szCs w:val="28"/>
          <w:highlight w:val="none"/>
          <w:lang w:eastAsia="zh-CN"/>
        </w:rPr>
        <w:t xml:space="preserve"> 质量与服务要求</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审查结论客观公正，依据充分，条文引用准确</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强条问题零容忍，必须明确整改要求</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提供技术咨询与答疑，配合设计单位优化</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严格保密项目资料，不对外泄露</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满足住建部门备案与核查要求，审查成果有效</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eastAsia="zh-CN"/>
        </w:rPr>
        <w:t>.</w:t>
      </w:r>
      <w:r>
        <w:rPr>
          <w:rFonts w:ascii="仿宋" w:hAnsi="仿宋" w:eastAsia="仿宋" w:cs="仿宋"/>
          <w:color w:val="auto"/>
          <w:sz w:val="28"/>
          <w:szCs w:val="28"/>
          <w:highlight w:val="none"/>
          <w:lang w:eastAsia="zh-CN"/>
        </w:rPr>
        <w:t>6</w:t>
      </w:r>
      <w:r>
        <w:rPr>
          <w:rFonts w:hint="eastAsia" w:ascii="仿宋" w:hAnsi="仿宋" w:eastAsia="仿宋" w:cs="仿宋"/>
          <w:color w:val="auto"/>
          <w:sz w:val="28"/>
          <w:szCs w:val="28"/>
          <w:highlight w:val="none"/>
          <w:lang w:eastAsia="zh-CN"/>
        </w:rPr>
        <w:t xml:space="preserve"> 否决项（不满足则技术标不合格）</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违反抗震强制性条文且未提出整改</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审查依据错误、标准过期</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专家组成不符合规定、无相应资格</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未按时限交付、成果不完整</w:t>
      </w:r>
    </w:p>
    <w:p>
      <w:pPr>
        <w:spacing w:line="360" w:lineRule="auto"/>
        <w:ind w:left="14" w:right="130" w:firstLine="560" w:firstLineChars="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存在重大安全疏漏或结论失实</w:t>
      </w:r>
      <w:bookmarkStart w:id="0" w:name="_GoBack"/>
      <w:bookmarkEnd w:id="0"/>
    </w:p>
    <w:p>
      <w:pPr>
        <w:numPr>
          <w:ilvl w:val="0"/>
          <w:numId w:val="2"/>
        </w:numPr>
        <w:spacing w:line="360" w:lineRule="auto"/>
        <w:ind w:left="14" w:right="130"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提供服务时间要求：2026年</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lang w:eastAsia="zh-CN"/>
        </w:rPr>
        <w:t>月30日前。</w:t>
      </w:r>
    </w:p>
    <w:p>
      <w:pPr>
        <w:spacing w:line="360" w:lineRule="auto"/>
        <w:ind w:firstLine="562" w:firstLineChars="200"/>
        <w:outlineLvl w:val="2"/>
        <w:rPr>
          <w:rFonts w:hint="eastAsia" w:ascii="仿宋" w:hAnsi="仿宋" w:eastAsia="仿宋" w:cs="仿宋"/>
          <w:color w:val="auto"/>
          <w:sz w:val="28"/>
          <w:szCs w:val="28"/>
          <w:lang w:eastAsia="zh-CN"/>
        </w:rPr>
      </w:pPr>
      <w:r>
        <w:rPr>
          <w:rFonts w:hint="eastAsia" w:ascii="仿宋" w:hAnsi="仿宋" w:eastAsia="仿宋" w:cs="仿宋"/>
          <w:b/>
          <w:bCs/>
          <w:sz w:val="28"/>
          <w:szCs w:val="28"/>
          <w:lang w:eastAsia="zh-CN"/>
        </w:rPr>
        <w:t>四、项目实施保证</w:t>
      </w:r>
    </w:p>
    <w:p>
      <w:pPr>
        <w:spacing w:line="360" w:lineRule="auto"/>
        <w:ind w:firstLine="560" w:firstLineChars="200"/>
        <w:outlineLvl w:val="2"/>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按照云南省住房和城乡建设厅文件</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云南省住房和城乡建设关于印发云南省建筑工程抗震设防专项审查管理办法的通知</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云建规（2020）5号文要求为省人民政府行政审批的属地（普洱市）城乡建设行政主管部门组织实施。</w:t>
      </w:r>
    </w:p>
    <w:p>
      <w:pPr>
        <w:spacing w:line="360" w:lineRule="auto"/>
        <w:ind w:firstLine="562" w:firstLineChars="200"/>
        <w:outlineLvl w:val="2"/>
        <w:rPr>
          <w:rFonts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五、</w:t>
      </w:r>
      <w:r>
        <w:rPr>
          <w:rFonts w:hint="eastAsia" w:ascii="仿宋" w:hAnsi="仿宋" w:eastAsia="仿宋" w:cs="仿宋"/>
          <w:b/>
          <w:bCs/>
          <w:color w:val="auto"/>
          <w:sz w:val="28"/>
          <w:szCs w:val="28"/>
          <w:highlight w:val="none"/>
          <w:lang w:eastAsia="zh-CN"/>
        </w:rPr>
        <w:t>服务要求</w:t>
      </w:r>
    </w:p>
    <w:p>
      <w:pPr>
        <w:spacing w:line="360" w:lineRule="auto"/>
        <w:ind w:left="14" w:right="130" w:firstLine="636" w:firstLineChars="200"/>
        <w:rPr>
          <w:rFonts w:ascii="仿宋" w:hAnsi="仿宋" w:eastAsia="仿宋" w:cs="仿宋"/>
          <w:color w:val="auto"/>
          <w:spacing w:val="19"/>
          <w:sz w:val="28"/>
          <w:szCs w:val="28"/>
          <w:highlight w:val="none"/>
          <w:lang w:eastAsia="zh-CN"/>
        </w:rPr>
      </w:pPr>
      <w:r>
        <w:rPr>
          <w:rFonts w:hint="eastAsia" w:ascii="仿宋" w:hAnsi="仿宋" w:eastAsia="仿宋" w:cs="仿宋"/>
          <w:color w:val="auto"/>
          <w:spacing w:val="19"/>
          <w:sz w:val="28"/>
          <w:szCs w:val="28"/>
          <w:highlight w:val="none"/>
          <w:lang w:eastAsia="zh-CN"/>
        </w:rPr>
        <w:t>为实施普洱西盟供电局生产业务用房项目、普洱孟连供电局生产辅助用房项目抗震设防专项审查技术咨询服务零星采购工作，对中标人提出技术要求如下：</w:t>
      </w:r>
    </w:p>
    <w:p>
      <w:pPr>
        <w:spacing w:line="360" w:lineRule="auto"/>
        <w:ind w:left="14" w:right="130" w:firstLine="636" w:firstLineChars="200"/>
        <w:rPr>
          <w:rFonts w:ascii="仿宋" w:hAnsi="仿宋" w:eastAsia="仿宋" w:cs="仿宋"/>
          <w:color w:val="auto"/>
          <w:spacing w:val="19"/>
          <w:sz w:val="28"/>
          <w:szCs w:val="28"/>
          <w:highlight w:val="none"/>
          <w:lang w:eastAsia="zh-CN"/>
        </w:rPr>
      </w:pPr>
      <w:r>
        <w:rPr>
          <w:rFonts w:hint="eastAsia" w:ascii="仿宋" w:hAnsi="仿宋" w:eastAsia="仿宋" w:cs="仿宋"/>
          <w:color w:val="auto"/>
          <w:spacing w:val="19"/>
          <w:sz w:val="28"/>
          <w:szCs w:val="28"/>
          <w:highlight w:val="none"/>
          <w:lang w:eastAsia="zh-CN"/>
        </w:rPr>
        <w:t>中标人应承担对应项目抗震专审服务工作，服务范围为普洱西盟供电局生产业务用房项目、普洱孟连供电局生产辅助用房项目，具体工作内容及要求如下：</w:t>
      </w:r>
    </w:p>
    <w:p>
      <w:pPr>
        <w:spacing w:line="360" w:lineRule="auto"/>
        <w:ind w:left="14" w:right="130" w:firstLine="636" w:firstLineChars="200"/>
        <w:rPr>
          <w:rFonts w:ascii="仿宋" w:hAnsi="仿宋" w:eastAsia="仿宋" w:cs="仿宋"/>
          <w:b/>
          <w:bCs/>
          <w:color w:val="auto"/>
          <w:spacing w:val="10"/>
          <w:sz w:val="31"/>
          <w:szCs w:val="31"/>
          <w:highlight w:val="none"/>
          <w:lang w:eastAsia="zh-CN"/>
        </w:rPr>
      </w:pPr>
      <w:r>
        <w:rPr>
          <w:rFonts w:hint="eastAsia" w:ascii="仿宋" w:hAnsi="仿宋" w:eastAsia="仿宋" w:cs="仿宋"/>
          <w:color w:val="auto"/>
          <w:spacing w:val="19"/>
          <w:sz w:val="28"/>
          <w:szCs w:val="28"/>
          <w:highlight w:val="none"/>
          <w:lang w:eastAsia="zh-CN"/>
        </w:rPr>
        <w:t>在抗震设防专项审查评审过程中，中标人协助评审单位（云南电网有限责任公司普洱供电局）开展普洱西盟供电局生产业务用房项目、普洱孟连供电局生产辅助用房项目的抗震设防专项审查评审工作，提供技术咨询服务，并出具专家技术咨询意见。</w:t>
      </w:r>
    </w:p>
    <w:sectPr>
      <w:headerReference r:id="rId3" w:type="default"/>
      <w:pgSz w:w="11900" w:h="16840"/>
      <w:pgMar w:top="1440" w:right="1800" w:bottom="1440" w:left="1800" w:header="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90D4AD"/>
    <w:multiLevelType w:val="singleLevel"/>
    <w:tmpl w:val="1D90D4AD"/>
    <w:lvl w:ilvl="0" w:tentative="0">
      <w:start w:val="1"/>
      <w:numFmt w:val="decimal"/>
      <w:suff w:val="nothing"/>
      <w:lvlText w:val="（%1）"/>
      <w:lvlJc w:val="left"/>
    </w:lvl>
  </w:abstractNum>
  <w:abstractNum w:abstractNumId="1">
    <w:nsid w:val="2FF0C343"/>
    <w:multiLevelType w:val="singleLevel"/>
    <w:tmpl w:val="2FF0C343"/>
    <w:lvl w:ilvl="0" w:tentative="0">
      <w:start w:val="3"/>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F50"/>
    <w:rsid w:val="000F656C"/>
    <w:rsid w:val="002E4A92"/>
    <w:rsid w:val="00387F50"/>
    <w:rsid w:val="003D0DD1"/>
    <w:rsid w:val="005C4B32"/>
    <w:rsid w:val="006B62CF"/>
    <w:rsid w:val="0071275D"/>
    <w:rsid w:val="00A91E5A"/>
    <w:rsid w:val="00C4259E"/>
    <w:rsid w:val="00F81A14"/>
    <w:rsid w:val="051931EE"/>
    <w:rsid w:val="09F4350A"/>
    <w:rsid w:val="1DC75A96"/>
    <w:rsid w:val="2599753F"/>
    <w:rsid w:val="28F31625"/>
    <w:rsid w:val="2B8C6C23"/>
    <w:rsid w:val="33B31662"/>
    <w:rsid w:val="441427F7"/>
    <w:rsid w:val="49724248"/>
    <w:rsid w:val="4A38089F"/>
    <w:rsid w:val="4B4E0E88"/>
    <w:rsid w:val="4FA77D90"/>
    <w:rsid w:val="501F4BE8"/>
    <w:rsid w:val="5316005E"/>
    <w:rsid w:val="5A7F67C4"/>
    <w:rsid w:val="5B7F1317"/>
    <w:rsid w:val="60BB5FCF"/>
    <w:rsid w:val="6C225EDD"/>
    <w:rsid w:val="715B3EF0"/>
    <w:rsid w:val="79D43FC4"/>
    <w:rsid w:val="7FBB17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2"/>
    <w:basedOn w:val="1"/>
    <w:next w:val="1"/>
    <w:semiHidden/>
    <w:unhideWhenUsed/>
    <w:qFormat/>
    <w:uiPriority w:val="0"/>
    <w:pPr>
      <w:spacing w:beforeAutospacing="1" w:afterAutospacing="1"/>
      <w:outlineLvl w:val="1"/>
    </w:pPr>
    <w:rPr>
      <w:rFonts w:hint="eastAsia" w:ascii="宋体" w:hAnsi="宋体" w:eastAsia="宋体" w:cs="Times New Roman"/>
      <w:b/>
      <w:bCs/>
      <w:sz w:val="36"/>
      <w:szCs w:val="36"/>
      <w:lang w:eastAsia="zh-CN"/>
    </w:rPr>
  </w:style>
  <w:style w:type="paragraph" w:styleId="3">
    <w:name w:val="heading 3"/>
    <w:basedOn w:val="1"/>
    <w:next w:val="1"/>
    <w:semiHidden/>
    <w:unhideWhenUsed/>
    <w:qFormat/>
    <w:uiPriority w:val="0"/>
    <w:pPr>
      <w:spacing w:beforeAutospacing="1" w:afterAutospacing="1"/>
      <w:outlineLvl w:val="2"/>
    </w:pPr>
    <w:rPr>
      <w:rFonts w:hint="eastAsia" w:ascii="宋体" w:hAnsi="宋体" w:eastAsia="宋体" w:cs="Times New Roman"/>
      <w:b/>
      <w:bCs/>
      <w:sz w:val="27"/>
      <w:szCs w:val="27"/>
      <w:lang w:eastAsia="zh-CN"/>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4">
    <w:name w:val="Body Text"/>
    <w:basedOn w:val="1"/>
    <w:semiHidden/>
    <w:qFormat/>
    <w:uiPriority w:val="0"/>
  </w:style>
  <w:style w:type="character" w:styleId="7">
    <w:name w:val="Strong"/>
    <w:basedOn w:val="6"/>
    <w:qFormat/>
    <w:uiPriority w:val="0"/>
    <w:rPr>
      <w:b/>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宋体" w:hAnsi="宋体" w:eastAsia="宋体" w:cs="宋体"/>
      <w:sz w:val="25"/>
      <w:szCs w:val="25"/>
    </w:rPr>
  </w:style>
  <w:style w:type="paragraph" w:customStyle="1" w:styleId="10">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4DC3C-BA94-42C3-85A6-98F29C18F1EF}">
  <ds:schemaRefs/>
</ds:datastoreItem>
</file>

<file path=docProps/app.xml><?xml version="1.0" encoding="utf-8"?>
<Properties xmlns="http://schemas.openxmlformats.org/officeDocument/2006/extended-properties" xmlns:vt="http://schemas.openxmlformats.org/officeDocument/2006/docPropsVTypes">
  <Template>Normal.dotm</Template>
  <Pages>7</Pages>
  <Words>396</Words>
  <Characters>2263</Characters>
  <Lines>18</Lines>
  <Paragraphs>5</Paragraphs>
  <TotalTime>7</TotalTime>
  <ScaleCrop>false</ScaleCrop>
  <LinksUpToDate>false</LinksUpToDate>
  <CharactersWithSpaces>2654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2026-04-08T07:47:00Z</dcterms:created>
  <dc:creator>Administrator</dc:creator>
  <cp:lastModifiedBy>User</cp:lastModifiedBy>
  <dcterms:modified xsi:type="dcterms:W3CDTF">2026-04-09T02:07:34Z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2026-04-03T16:26:07Z</vt:filetime>
  </property>
  <property fmtid="{D5CDD505-2E9C-101B-9397-08002B2CF9AE}" pid="4" name="UsrData">
    <vt:lpwstr>69cf799c9aafeb002068b691wl</vt:lpwstr>
  </property>
  <property fmtid="{D5CDD505-2E9C-101B-9397-08002B2CF9AE}" pid="5" name="KSOTemplateDocerSaveRecord">
    <vt:lpwstr>eyJoZGlkIjoiOWYxZmI2Mjc4ZmE1OTY1OTJiN2QxOWRjZGQxNWRjNjIiLCJ1c2VySWQiOiI1MDYxNTQ4MjMifQ==</vt:lpwstr>
  </property>
  <property fmtid="{D5CDD505-2E9C-101B-9397-08002B2CF9AE}" pid="6" name="KSOProductBuildVer">
    <vt:lpwstr>2052-11.8.2.12309</vt:lpwstr>
  </property>
  <property fmtid="{D5CDD505-2E9C-101B-9397-08002B2CF9AE}" pid="7" name="ICV">
    <vt:lpwstr>AB12D79AFC864251857F6D262AF86AF7_12</vt:lpwstr>
  </property>
</Properties>
</file>