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广州供电局输电监测中心生产检修用房电气设备搬迁及改造工程监理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pPr>
        <w:pStyle w:val="11"/>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368"/>
        <w:gridCol w:w="5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368" w:type="dxa"/>
            <w:noWrap w:val="0"/>
            <w:vAlign w:val="top"/>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665" w:type="dxa"/>
            <w:noWrap w:val="0"/>
            <w:vAlign w:val="top"/>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776"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368"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665"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广供电基〔2026〕24号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76"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368"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665"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资金已落实。资金来源为征收补偿资金。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776"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368"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665"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776"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368"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665"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76"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368"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665" w:type="dxa"/>
            <w:noWrap w:val="0"/>
            <w:vAlign w:val="center"/>
          </w:tcPr>
          <w:p>
            <w:pPr>
              <w:pStyle w:val="11"/>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计划开、竣工时间：合同签订之日起至2026年8月30日</w:t>
            </w:r>
            <w:r>
              <w:rPr>
                <w:rFonts w:hint="default"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（实际工期以开工报告、竣工报告为准</w:t>
            </w:r>
            <w:r>
              <w:rPr>
                <w:rFonts w:asciiTheme="minorEastAsia" w:hAnsiTheme="minorEastAsia" w:eastAsiaTheme="minorEastAsia" w:cstheme="minorEastAsia"/>
                <w:snapToGrid w:val="0"/>
                <w:sz w:val="24"/>
                <w:szCs w:val="24"/>
                <w:highlight w:val="none"/>
                <w:u w:val="single"/>
              </w:rPr>
              <w:t>。</w:t>
            </w:r>
            <w:r>
              <w:rPr>
                <w:rFonts w:hint="eastAsia" w:asciiTheme="minorEastAsia" w:hAnsiTheme="minorEastAsia" w:eastAsiaTheme="minorEastAsia" w:cstheme="minorEastAsia"/>
                <w:snapToGrid w:val="0"/>
                <w:sz w:val="24"/>
                <w:szCs w:val="24"/>
                <w:highlight w:val="none"/>
                <w:u w:val="single"/>
                <w:lang w:eastAsia="zh-CN"/>
              </w:rPr>
              <w:t>）</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480" w:lineRule="auto"/>
        <w:textAlignment w:val="auto"/>
        <w:outlineLvl w:val="1"/>
        <w:rPr>
          <w:rFonts w:ascii="宋体" w:hAnsi="宋体"/>
          <w:color w:val="auto"/>
          <w:highlight w:val="none"/>
        </w:rPr>
      </w:pPr>
      <w:r>
        <w:rPr>
          <w:rFonts w:hint="eastAsia" w:asciiTheme="minorEastAsia" w:hAnsiTheme="minorEastAsia" w:eastAsiaTheme="minorEastAsia" w:cstheme="minorEastAsia"/>
          <w:b/>
          <w:bCs/>
          <w:color w:val="auto"/>
          <w:sz w:val="24"/>
          <w:szCs w:val="24"/>
          <w:highlight w:val="none"/>
          <w:u w:val="none"/>
          <w:lang w:val="en-US" w:eastAsia="zh-CN"/>
        </w:rPr>
        <w:t>项目概况</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本工程为输电监测中心生产检修用房电气设备搬迁及改造项目，项目对输电监测中心生产检修用房电气设备进行搬迁和改造，以满足生产检修用房使用要求。</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本工程主要负责广州供电局输电监测中心生产检修用房电气设备搬迁及改造工作，建设内容包括电力运营监控中心、电力应急指挥中心以及电力生产各类专业用房等相关区域的电气及智能化设备搬迁、改造及调试工作，工程内容主要包括：</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1、</w:t>
      </w:r>
      <w:r>
        <w:rPr>
          <w:rFonts w:hint="eastAsia" w:ascii="宋体" w:hAnsi="宋体" w:eastAsia="宋体" w:cs="宋体"/>
          <w:b w:val="0"/>
          <w:bCs w:val="0"/>
          <w:i w:val="0"/>
          <w:iCs/>
          <w:color w:val="auto"/>
          <w:kern w:val="2"/>
          <w:sz w:val="24"/>
          <w:szCs w:val="24"/>
          <w:highlight w:val="none"/>
          <w:u w:val="single"/>
          <w:lang w:val="en-US" w:eastAsia="zh-CN" w:bidi="ar-SA"/>
        </w:rPr>
        <w:t>原有电力生产监控系统接入工程，包括：输电在线监测系统、输电线路视频监视、应急管理、作业现场安全监管等生产监控系统的接入工程。</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cs="宋体"/>
          <w:b w:val="0"/>
          <w:bCs w:val="0"/>
          <w:i w:val="0"/>
          <w:iCs/>
          <w:color w:val="auto"/>
          <w:kern w:val="2"/>
          <w:sz w:val="24"/>
          <w:szCs w:val="24"/>
          <w:highlight w:val="none"/>
          <w:u w:val="single"/>
          <w:lang w:val="en-US" w:eastAsia="zh-CN" w:bidi="ar-SA"/>
        </w:rPr>
        <w:t>2、</w:t>
      </w:r>
      <w:r>
        <w:rPr>
          <w:rFonts w:hint="eastAsia" w:ascii="宋体" w:hAnsi="宋体" w:eastAsia="宋体" w:cs="宋体"/>
          <w:b w:val="0"/>
          <w:bCs w:val="0"/>
          <w:i w:val="0"/>
          <w:iCs/>
          <w:color w:val="auto"/>
          <w:kern w:val="2"/>
          <w:sz w:val="24"/>
          <w:szCs w:val="24"/>
          <w:highlight w:val="none"/>
          <w:u w:val="single"/>
          <w:lang w:val="en-US" w:eastAsia="zh-CN" w:bidi="ar-SA"/>
        </w:rPr>
        <w:t>电力运营监控中心、电力应急指挥中心等生产检修用房的硬件系统及设备改造工程，包括：电力运营监控显示系统、音频扩声系统、工作站及KVM系统、集中控制系统及相关配件、配套线缆等工程。</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color w:val="auto"/>
        </w:rPr>
      </w:pPr>
      <w:r>
        <w:rPr>
          <w:rFonts w:hint="eastAsia" w:ascii="宋体" w:hAnsi="宋体" w:cs="宋体"/>
          <w:b w:val="0"/>
          <w:bCs w:val="0"/>
          <w:i w:val="0"/>
          <w:iCs/>
          <w:color w:val="auto"/>
          <w:kern w:val="2"/>
          <w:sz w:val="24"/>
          <w:szCs w:val="24"/>
          <w:highlight w:val="none"/>
          <w:u w:val="single"/>
          <w:lang w:val="en-US" w:eastAsia="zh-CN" w:bidi="ar-SA"/>
        </w:rPr>
        <w:t>3、全品类物资拆装搬迁，包括输电管理一所现有生产检修电气设备的拆装及搬运。</w:t>
      </w:r>
    </w:p>
    <w:p>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outlineLvl w:val="1"/>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ind w:firstLine="480" w:firstLineChars="200"/>
        <w:textAlignment w:val="auto"/>
        <w:rPr>
          <w:rFonts w:hint="eastAsia"/>
          <w:color w:val="auto"/>
          <w:highlight w:val="none"/>
          <w:lang w:val="en-US" w:eastAsia="zh-CN"/>
        </w:rPr>
      </w:pPr>
      <w:r>
        <w:rPr>
          <w:rFonts w:hint="eastAsia" w:ascii="宋体" w:hAnsi="宋体" w:eastAsia="宋体" w:cs="宋体"/>
          <w:b w:val="0"/>
          <w:bCs w:val="0"/>
          <w:i w:val="0"/>
          <w:iCs/>
          <w:color w:val="auto"/>
          <w:kern w:val="2"/>
          <w:sz w:val="24"/>
          <w:szCs w:val="24"/>
          <w:highlight w:val="none"/>
          <w:u w:val="single"/>
          <w:lang w:val="en-US" w:eastAsia="zh-CN" w:bidi="ar-SA"/>
        </w:rPr>
        <w:t>完成</w:t>
      </w:r>
      <w:r>
        <w:rPr>
          <w:rFonts w:hint="eastAsia" w:ascii="宋体" w:hAnsi="宋体" w:cs="宋体"/>
          <w:b w:val="0"/>
          <w:bCs w:val="0"/>
          <w:i w:val="0"/>
          <w:iCs/>
          <w:color w:val="auto"/>
          <w:kern w:val="2"/>
          <w:sz w:val="24"/>
          <w:szCs w:val="24"/>
          <w:highlight w:val="none"/>
          <w:u w:val="single"/>
          <w:lang w:val="en-US" w:eastAsia="zh-CN" w:bidi="ar-SA"/>
        </w:rPr>
        <w:t>本项目包含工程建设</w:t>
      </w:r>
      <w:r>
        <w:rPr>
          <w:rFonts w:hint="eastAsia" w:ascii="宋体" w:hAnsi="宋体" w:eastAsia="宋体" w:cs="宋体"/>
          <w:b w:val="0"/>
          <w:bCs w:val="0"/>
          <w:i w:val="0"/>
          <w:iCs/>
          <w:color w:val="auto"/>
          <w:kern w:val="2"/>
          <w:sz w:val="24"/>
          <w:szCs w:val="24"/>
          <w:highlight w:val="none"/>
          <w:u w:val="single"/>
          <w:lang w:val="en-US" w:eastAsia="zh-CN" w:bidi="ar-SA"/>
        </w:rPr>
        <w:t>准备、施工、竣工结算、缺陷责任期、电子化移交的全过程监理</w:t>
      </w:r>
      <w:r>
        <w:rPr>
          <w:rFonts w:hint="eastAsia" w:ascii="宋体" w:hAnsi="宋体" w:cs="宋体"/>
          <w:b w:val="0"/>
          <w:bCs w:val="0"/>
          <w:i w:val="0"/>
          <w:iCs/>
          <w:color w:val="auto"/>
          <w:kern w:val="2"/>
          <w:sz w:val="24"/>
          <w:szCs w:val="24"/>
          <w:highlight w:val="none"/>
          <w:u w:val="single"/>
          <w:lang w:val="en-US" w:eastAsia="zh-CN" w:bidi="ar-SA"/>
        </w:rPr>
        <w:t>。</w:t>
      </w:r>
      <w:r>
        <w:rPr>
          <w:rFonts w:hint="eastAsia" w:ascii="宋体" w:hAnsi="宋体" w:eastAsia="宋体" w:cs="宋体"/>
          <w:b w:val="0"/>
          <w:bCs w:val="0"/>
          <w:i w:val="0"/>
          <w:iCs/>
          <w:color w:val="auto"/>
          <w:kern w:val="2"/>
          <w:sz w:val="24"/>
          <w:szCs w:val="24"/>
          <w:highlight w:val="none"/>
          <w:u w:val="single"/>
          <w:lang w:val="en-US" w:eastAsia="zh-CN" w:bidi="ar-SA"/>
        </w:rPr>
        <w:t>包括但不限于以下内容：</w:t>
      </w:r>
    </w:p>
    <w:p>
      <w:pPr>
        <w:keepNext w:val="0"/>
        <w:keepLines w:val="0"/>
        <w:pageBreakBefore w:val="0"/>
        <w:widowControl w:val="0"/>
        <w:shd w:val="clear" w:color="auto" w:fill="auto"/>
        <w:kinsoku/>
        <w:wordWrap/>
        <w:overflowPunct/>
        <w:topLinePunct w:val="0"/>
        <w:bidi w:val="0"/>
        <w:snapToGrid/>
        <w:spacing w:before="157" w:beforeLines="50" w:after="157" w:afterLines="50" w:line="480" w:lineRule="auto"/>
        <w:ind w:firstLine="480" w:firstLineChars="200"/>
        <w:textAlignment w:val="auto"/>
        <w:rPr>
          <w:rFonts w:hint="eastAsia" w:ascii="宋体" w:hAnsi="宋体" w:eastAsia="宋体" w:cs="宋体"/>
          <w:b w:val="0"/>
          <w:bCs w:val="0"/>
          <w:i w:val="0"/>
          <w:iCs/>
          <w:color w:val="auto"/>
          <w:kern w:val="2"/>
          <w:sz w:val="24"/>
          <w:szCs w:val="24"/>
          <w:highlight w:val="none"/>
          <w:u w:val="single"/>
          <w:lang w:val="en-US" w:eastAsia="zh-CN" w:bidi="ar-SA"/>
        </w:rPr>
      </w:pPr>
      <w:r>
        <w:rPr>
          <w:rFonts w:hint="eastAsia" w:ascii="宋体" w:hAnsi="宋体" w:eastAsia="宋体" w:cs="宋体"/>
          <w:b w:val="0"/>
          <w:bCs w:val="0"/>
          <w:i w:val="0"/>
          <w:iCs/>
          <w:color w:val="auto"/>
          <w:kern w:val="2"/>
          <w:sz w:val="24"/>
          <w:szCs w:val="24"/>
          <w:highlight w:val="none"/>
          <w:u w:val="single"/>
          <w:lang w:val="en-US" w:eastAsia="zh-CN" w:bidi="ar-SA"/>
        </w:rPr>
        <w:t>监理工作内容包含国家监理规范所规定的要求，并需要结合国家、行业及南方电网公司建设的相关标准、规范及项目管理的相关规范，协助</w:t>
      </w:r>
      <w:r>
        <w:rPr>
          <w:rFonts w:hint="eastAsia" w:ascii="宋体" w:hAnsi="宋体" w:cs="宋体"/>
          <w:b w:val="0"/>
          <w:bCs w:val="0"/>
          <w:i w:val="0"/>
          <w:iCs/>
          <w:color w:val="auto"/>
          <w:kern w:val="2"/>
          <w:sz w:val="24"/>
          <w:szCs w:val="24"/>
          <w:highlight w:val="none"/>
          <w:u w:val="single"/>
          <w:lang w:val="en-US" w:eastAsia="zh-CN" w:bidi="ar-SA"/>
        </w:rPr>
        <w:t>建设单位</w:t>
      </w:r>
      <w:r>
        <w:rPr>
          <w:rFonts w:hint="eastAsia" w:ascii="宋体" w:hAnsi="宋体" w:eastAsia="宋体" w:cs="宋体"/>
          <w:b w:val="0"/>
          <w:bCs w:val="0"/>
          <w:i w:val="0"/>
          <w:iCs/>
          <w:color w:val="auto"/>
          <w:kern w:val="2"/>
          <w:sz w:val="24"/>
          <w:szCs w:val="24"/>
          <w:highlight w:val="none"/>
          <w:u w:val="single"/>
          <w:lang w:val="en-US" w:eastAsia="zh-CN" w:bidi="ar-SA"/>
        </w:rPr>
        <w:t>做好从项目设计、项目实施阶段的“三控（质量控制、进度控制、投资控制）、三管（合同管理、信息管理、安全管理）、一协调（甲方、总包方、设备材料供应方等各方的协同工作）”监理工作。</w:t>
      </w:r>
    </w:p>
    <w:p>
      <w:pPr>
        <w:pStyle w:val="4"/>
        <w:keepNext w:val="0"/>
        <w:keepLines w:val="0"/>
        <w:pageBreakBefore w:val="0"/>
        <w:numPr>
          <w:ilvl w:val="0"/>
          <w:numId w:val="3"/>
        </w:numPr>
        <w:kinsoku/>
        <w:wordWrap/>
        <w:overflowPunct/>
        <w:topLinePunct w:val="0"/>
        <w:bidi w:val="0"/>
        <w:spacing w:line="360" w:lineRule="auto"/>
        <w:outlineLvl w:val="1"/>
        <w:rPr>
          <w:rFonts w:hint="eastAsia"/>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报价表及报价要求</w:t>
      </w:r>
    </w:p>
    <w:tbl>
      <w:tblPr>
        <w:tblStyle w:val="15"/>
        <w:tblpPr w:leftFromText="180" w:rightFromText="180" w:vertAnchor="text" w:horzAnchor="page" w:tblpX="1352" w:tblpY="66"/>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04"/>
        <w:gridCol w:w="2880"/>
        <w:gridCol w:w="1725"/>
        <w:gridCol w:w="1215"/>
        <w:gridCol w:w="1485"/>
        <w:gridCol w:w="19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4" w:type="dxa"/>
            <w:tcBorders>
              <w:right w:val="single" w:color="000000"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2880" w:type="dxa"/>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工程或费用名称</w:t>
            </w:r>
          </w:p>
        </w:tc>
        <w:tc>
          <w:tcPr>
            <w:tcW w:w="1725" w:type="dxa"/>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最高限价</w:t>
            </w:r>
            <w:r>
              <w:rPr>
                <w:rFonts w:hint="eastAsia" w:asciiTheme="minorEastAsia" w:hAnsiTheme="minorEastAsia" w:eastAsiaTheme="minorEastAsia" w:cstheme="minorEastAsia"/>
                <w:sz w:val="21"/>
                <w:szCs w:val="21"/>
              </w:rPr>
              <w:t>金额（元）</w:t>
            </w:r>
          </w:p>
        </w:tc>
        <w:tc>
          <w:tcPr>
            <w:tcW w:w="1215" w:type="dxa"/>
            <w:tcBorders>
              <w:left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w:t>
            </w:r>
          </w:p>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下浮率</w:t>
            </w:r>
          </w:p>
        </w:tc>
        <w:tc>
          <w:tcPr>
            <w:tcW w:w="1485" w:type="dxa"/>
            <w:tcBorders>
              <w:left w:val="single" w:color="auto" w:sz="4" w:space="0"/>
            </w:tcBorders>
            <w:shd w:val="clear" w:color="auto" w:fill="auto"/>
            <w:vAlign w:val="center"/>
          </w:tcPr>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投标报价</w:t>
            </w:r>
          </w:p>
          <w:p>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（元）</w:t>
            </w:r>
          </w:p>
        </w:tc>
        <w:tc>
          <w:tcPr>
            <w:tcW w:w="1987" w:type="dxa"/>
            <w:tcBorders>
              <w:left w:val="single" w:color="auto"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  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604" w:type="dxa"/>
            <w:tcBorders>
              <w:top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kern w:val="0"/>
                <w:sz w:val="21"/>
                <w:szCs w:val="21"/>
              </w:rPr>
              <w:t>广州供电局输电监测中心生产检修用房电气设备搬迁及改造工程</w:t>
            </w:r>
            <w:r>
              <w:rPr>
                <w:rFonts w:hint="eastAsia" w:asciiTheme="minorEastAsia" w:hAnsiTheme="minorEastAsia" w:eastAsiaTheme="minorEastAsia" w:cstheme="minorEastAsia"/>
                <w:kern w:val="0"/>
                <w:sz w:val="21"/>
                <w:szCs w:val="21"/>
                <w:lang w:val="en-US" w:eastAsia="zh-CN"/>
              </w:rPr>
              <w:t>监理</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810079.29</w:t>
            </w:r>
          </w:p>
        </w:tc>
        <w:tc>
          <w:tcPr>
            <w:tcW w:w="1215" w:type="dxa"/>
            <w:tcBorders>
              <w:top w:val="single" w:color="000000" w:sz="4" w:space="0"/>
              <w:left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tc>
        <w:tc>
          <w:tcPr>
            <w:tcW w:w="1485" w:type="dxa"/>
            <w:tcBorders>
              <w:top w:val="single" w:color="000000" w:sz="4" w:space="0"/>
              <w:left w:val="single" w:color="000000" w:sz="4" w:space="0"/>
              <w:bottom w:val="single" w:color="000000" w:sz="4" w:space="0"/>
            </w:tcBorders>
            <w:shd w:val="clear" w:color="auto" w:fill="auto"/>
            <w:vAlign w:val="center"/>
          </w:tcPr>
          <w:p>
            <w:pPr>
              <w:rPr>
                <w:rFonts w:hint="eastAsia" w:asciiTheme="minorEastAsia" w:hAnsiTheme="minorEastAsia" w:eastAsiaTheme="minorEastAsia" w:cstheme="minorEastAsia"/>
                <w:sz w:val="21"/>
                <w:szCs w:val="21"/>
              </w:rPr>
            </w:pPr>
          </w:p>
        </w:tc>
        <w:tc>
          <w:tcPr>
            <w:tcW w:w="1987" w:type="dxa"/>
            <w:tcBorders>
              <w:top w:val="single" w:color="000000" w:sz="4" w:space="0"/>
              <w:left w:val="single" w:color="000000" w:sz="4" w:space="0"/>
              <w:bottom w:val="single" w:color="000000" w:sz="4" w:space="0"/>
            </w:tcBorders>
            <w:shd w:val="clear" w:color="auto" w:fill="auto"/>
            <w:vAlign w:val="center"/>
          </w:tcPr>
          <w:p>
            <w:pPr>
              <w:rPr>
                <w:rFonts w:hint="eastAsia" w:asciiTheme="minorEastAsia" w:hAnsiTheme="minorEastAsia" w:eastAsiaTheme="minorEastAsia" w:cstheme="minorEastAsia"/>
                <w:sz w:val="21"/>
                <w:szCs w:val="21"/>
              </w:rPr>
            </w:pPr>
          </w:p>
        </w:tc>
      </w:tr>
    </w:tbl>
    <w:p>
      <w:pPr>
        <w:pStyle w:val="7"/>
        <w:keepNext w:val="0"/>
        <w:keepLines w:val="0"/>
        <w:pageBreakBefore w:val="0"/>
        <w:kinsoku/>
        <w:wordWrap/>
        <w:overflowPunct/>
        <w:topLinePunct w:val="0"/>
        <w:autoSpaceDE/>
        <w:autoSpaceDN/>
        <w:bidi w:val="0"/>
        <w:adjustRightInd/>
        <w:snapToGrid/>
        <w:spacing w:before="0" w:after="0" w:line="480" w:lineRule="auto"/>
        <w:textAlignment w:val="auto"/>
        <w:outlineLvl w:val="9"/>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pPr>
        <w:pStyle w:val="8"/>
        <w:keepNext w:val="0"/>
        <w:keepLines w:val="0"/>
        <w:pageBreakBefore w:val="0"/>
        <w:kinsoku/>
        <w:wordWrap/>
        <w:overflowPunct/>
        <w:topLinePunct w:val="0"/>
        <w:autoSpaceDE/>
        <w:autoSpaceDN/>
        <w:bidi w:val="0"/>
        <w:adjustRightInd/>
        <w:snapToGrid/>
        <w:spacing w:before="0" w:after="0" w:line="480" w:lineRule="auto"/>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按下浮率报价（保留两位小数，如8.88%），同时填报投标报价（投标报价=最高限价金额×（1-投标下浮率），四舍五入保留两位小数）。当投标报价与投标下浮率计算结果不一致时，以投标下浮率为准，按上述公式修正投标报价。</w:t>
      </w:r>
    </w:p>
    <w:p>
      <w:pPr>
        <w:pStyle w:val="8"/>
        <w:keepNext w:val="0"/>
        <w:keepLines w:val="0"/>
        <w:pageBreakBefore w:val="0"/>
        <w:kinsoku/>
        <w:wordWrap/>
        <w:overflowPunct/>
        <w:topLinePunct w:val="0"/>
        <w:autoSpaceDE/>
        <w:autoSpaceDN/>
        <w:bidi w:val="0"/>
        <w:adjustRightInd/>
        <w:snapToGrid/>
        <w:spacing w:before="0" w:after="0" w:line="480" w:lineRule="auto"/>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2.成本警示价：投标下浮率不低于0%为有效报价；当投标下浮率＞10%时应附成本分析报告，充分说明单价和费用的组成、降低成本的合理措施及在其他工程中应用过的经验等，经评审通过后方可视为有效报价。</w:t>
      </w:r>
    </w:p>
    <w:p>
      <w:pPr>
        <w:pStyle w:val="8"/>
        <w:keepNext w:val="0"/>
        <w:keepLines w:val="0"/>
        <w:pageBreakBefore w:val="0"/>
        <w:kinsoku/>
        <w:wordWrap/>
        <w:overflowPunct/>
        <w:topLinePunct w:val="0"/>
        <w:autoSpaceDE/>
        <w:autoSpaceDN/>
        <w:bidi w:val="0"/>
        <w:adjustRightInd/>
        <w:snapToGrid/>
        <w:spacing w:before="0" w:after="0" w:line="480" w:lineRule="auto"/>
        <w:jc w:val="left"/>
        <w:textAlignment w:val="auto"/>
        <w:outlineLvl w:val="9"/>
        <w:rPr>
          <w:rFonts w:hint="eastAsia"/>
          <w:color w:val="auto"/>
          <w:highlight w:val="none"/>
          <w:lang w:val="en-US" w:eastAsia="zh-CN"/>
        </w:rPr>
      </w:pPr>
      <w:r>
        <w:rPr>
          <w:rFonts w:hint="eastAsia" w:ascii="宋体" w:hAnsi="宋体" w:eastAsia="宋体" w:cs="宋体"/>
          <w:b w:val="0"/>
          <w:bCs w:val="0"/>
          <w:color w:val="auto"/>
          <w:kern w:val="2"/>
          <w:sz w:val="24"/>
          <w:szCs w:val="24"/>
          <w:highlight w:val="none"/>
          <w:u w:val="single"/>
          <w:lang w:val="en-US" w:eastAsia="zh-CN" w:bidi="ar-SA"/>
        </w:rPr>
        <w:t>3、价格分计算时，投标人评标价按（100-投标人填写的下浮数值）参与计算。如：下浮率为1.88％时，评标价按（100-1.88）参与计算。</w:t>
      </w:r>
    </w:p>
    <w:p>
      <w:pPr>
        <w:pStyle w:val="4"/>
        <w:keepNext w:val="0"/>
        <w:keepLines w:val="0"/>
        <w:pageBreakBefore w:val="0"/>
        <w:numPr>
          <w:ilvl w:val="0"/>
          <w:numId w:val="0"/>
        </w:numPr>
        <w:kinsoku/>
        <w:wordWrap/>
        <w:overflowPunct/>
        <w:topLinePunct w:val="0"/>
        <w:bidi w:val="0"/>
        <w:adjustRightInd/>
        <w:snapToGrid/>
        <w:spacing w:beforeLines="0" w:afterLines="0" w:line="48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both"/>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合同价款为暂定价，最终合同结算价=（经审批的初步设计概算监理费×（1-中标下浮率）±合同内约定且实际发生的相关奖罚费用（如有））×∑</w:t>
      </w:r>
      <w:r>
        <w:rPr>
          <w:rFonts w:hint="eastAsia" w:ascii="宋体" w:hAnsi="宋体" w:eastAsia="宋体" w:cs="宋体"/>
          <w:b/>
          <w:bCs/>
          <w:color w:val="auto"/>
          <w:kern w:val="2"/>
          <w:sz w:val="24"/>
          <w:szCs w:val="24"/>
          <w:highlight w:val="none"/>
          <w:u w:val="single"/>
          <w:lang w:val="en-US" w:eastAsia="zh-CN" w:bidi="ar-SA"/>
        </w:rPr>
        <w:t>监理单位实际参与的工程建设阶段</w:t>
      </w:r>
      <w:r>
        <w:rPr>
          <w:rFonts w:hint="eastAsia" w:ascii="宋体" w:hAnsi="宋体" w:eastAsia="宋体" w:cs="宋体"/>
          <w:b w:val="0"/>
          <w:bCs w:val="0"/>
          <w:color w:val="auto"/>
          <w:kern w:val="2"/>
          <w:sz w:val="24"/>
          <w:szCs w:val="24"/>
          <w:highlight w:val="none"/>
          <w:u w:val="single"/>
          <w:lang w:val="en-US" w:eastAsia="zh-CN" w:bidi="ar-SA"/>
        </w:rPr>
        <w:t>监理比例+ 招标代理服务费。</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工程建设监理费用各阶段的比例：勘察阶段3%，初步设计阶段4%，施工图设计阶段6%施工阶段85%，保修阶段2%。</w:t>
      </w:r>
      <w:r>
        <w:rPr>
          <w:rFonts w:hint="eastAsia" w:ascii="宋体" w:hAnsi="宋体" w:eastAsia="宋体" w:cs="宋体"/>
          <w:b/>
          <w:bCs/>
          <w:color w:val="auto"/>
          <w:kern w:val="2"/>
          <w:sz w:val="24"/>
          <w:szCs w:val="24"/>
          <w:highlight w:val="none"/>
          <w:u w:val="single"/>
          <w:lang w:val="en-US" w:eastAsia="zh-CN" w:bidi="ar-SA"/>
        </w:rPr>
        <w:t>监理单位实际参与的工程建设阶段</w:t>
      </w:r>
      <w:r>
        <w:rPr>
          <w:rFonts w:hint="eastAsia" w:ascii="宋体" w:hAnsi="宋体" w:cs="宋体"/>
          <w:b/>
          <w:bCs/>
          <w:color w:val="auto"/>
          <w:kern w:val="2"/>
          <w:sz w:val="24"/>
          <w:szCs w:val="24"/>
          <w:highlight w:val="none"/>
          <w:u w:val="single"/>
          <w:lang w:val="en-US" w:eastAsia="zh-CN" w:bidi="ar-SA"/>
        </w:rPr>
        <w:t>，</w:t>
      </w:r>
      <w:r>
        <w:rPr>
          <w:rFonts w:hint="eastAsia" w:ascii="宋体" w:hAnsi="宋体" w:cs="宋体"/>
          <w:b w:val="0"/>
          <w:bCs w:val="0"/>
          <w:color w:val="auto"/>
          <w:kern w:val="2"/>
          <w:sz w:val="24"/>
          <w:szCs w:val="24"/>
          <w:highlight w:val="none"/>
          <w:u w:val="single"/>
          <w:lang w:val="en-US" w:eastAsia="zh-CN" w:bidi="ar-SA"/>
        </w:rPr>
        <w:t>以建设单位与监理单位双方确认的为准。</w:t>
      </w:r>
    </w:p>
    <w:p>
      <w:pPr>
        <w:pStyle w:val="4"/>
        <w:keepNext w:val="0"/>
        <w:keepLines w:val="0"/>
        <w:pageBreakBefore w:val="0"/>
        <w:numPr>
          <w:ilvl w:val="0"/>
          <w:numId w:val="0"/>
        </w:numPr>
        <w:shd w:val="clear" w:color="auto" w:fill="auto"/>
        <w:kinsoku/>
        <w:wordWrap/>
        <w:overflowPunct/>
        <w:topLinePunct w:val="0"/>
        <w:bidi w:val="0"/>
        <w:adjustRightInd/>
        <w:snapToGrid/>
        <w:spacing w:beforeLines="0" w:afterLines="0" w:line="480" w:lineRule="auto"/>
        <w:ind w:leftChars="0"/>
        <w:textAlignment w:val="auto"/>
        <w:outlineLvl w:val="1"/>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textAlignment w:val="auto"/>
        <w:outlineLvl w:val="9"/>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pPr>
        <w:pStyle w:val="13"/>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textAlignment w:val="auto"/>
        <w:outlineLvl w:val="9"/>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br w:type="page"/>
      </w:r>
    </w:p>
    <w:p>
      <w:pPr>
        <w:pStyle w:val="11"/>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jc w:val="left"/>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pPr>
        <w:pStyle w:val="4"/>
        <w:spacing w:line="480" w:lineRule="auto"/>
        <w:rPr>
          <w:rFonts w:asciiTheme="minorEastAsia" w:hAnsiTheme="minorEastAsia" w:eastAsiaTheme="minorEastAsia" w:cstheme="minorEastAsia"/>
          <w:i w:val="0"/>
          <w:iCs/>
          <w:color w:val="auto"/>
          <w:sz w:val="24"/>
          <w:szCs w:val="24"/>
        </w:rPr>
      </w:pPr>
      <w:r>
        <w:rPr>
          <w:rFonts w:hint="eastAsia" w:asciiTheme="minorEastAsia" w:hAnsiTheme="minorEastAsia" w:eastAsiaTheme="minorEastAsia" w:cstheme="minorEastAsia"/>
          <w:i w:val="0"/>
          <w:iCs/>
          <w:color w:val="auto"/>
          <w:sz w:val="24"/>
          <w:szCs w:val="24"/>
        </w:rPr>
        <w:t>一、管理规范和技术（规范）标准</w:t>
      </w:r>
    </w:p>
    <w:p>
      <w:pPr>
        <w:pStyle w:val="11"/>
        <w:spacing w:line="480" w:lineRule="auto"/>
        <w:ind w:firstLine="480" w:firstLineChars="200"/>
        <w:rPr>
          <w:rFonts w:hint="eastAsia" w:asciiTheme="minorEastAsia" w:hAnsiTheme="minorEastAsia" w:eastAsiaTheme="minorEastAsia" w:cstheme="minorEastAsia"/>
          <w:iCs/>
          <w:sz w:val="24"/>
          <w:szCs w:val="24"/>
          <w:lang w:eastAsia="zh-CN"/>
        </w:rPr>
      </w:pPr>
      <w:r>
        <w:rPr>
          <w:rFonts w:hint="eastAsia" w:asciiTheme="minorEastAsia" w:hAnsiTheme="minorEastAsia" w:eastAsiaTheme="minorEastAsia" w:cstheme="minorEastAsia"/>
          <w:i w:val="0"/>
          <w:iCs/>
          <w:color w:val="auto"/>
          <w:sz w:val="24"/>
          <w:szCs w:val="24"/>
        </w:rPr>
        <w:t>详见合同附件</w:t>
      </w:r>
      <w:r>
        <w:rPr>
          <w:rFonts w:hint="eastAsia" w:asciiTheme="minorEastAsia" w:hAnsiTheme="minorEastAsia" w:eastAsiaTheme="minorEastAsia" w:cstheme="minorEastAsia"/>
          <w:i w:val="0"/>
          <w:iCs/>
          <w:color w:val="auto"/>
          <w:sz w:val="24"/>
          <w:szCs w:val="24"/>
          <w:lang w:eastAsia="zh-CN"/>
        </w:rPr>
        <w:t>。</w:t>
      </w:r>
    </w:p>
    <w:p>
      <w:pPr>
        <w:pStyle w:val="4"/>
        <w:spacing w:line="480" w:lineRule="auto"/>
        <w:rPr>
          <w:rFonts w:asciiTheme="minorEastAsia" w:hAnsiTheme="minorEastAsia" w:eastAsiaTheme="minorEastAsia" w:cstheme="minorEastAsia"/>
          <w:i w:val="0"/>
          <w:iCs/>
          <w:color w:val="auto"/>
          <w:sz w:val="24"/>
          <w:szCs w:val="24"/>
        </w:rPr>
      </w:pPr>
      <w:r>
        <w:rPr>
          <w:rFonts w:hint="eastAsia" w:asciiTheme="minorEastAsia" w:hAnsiTheme="minorEastAsia" w:eastAsiaTheme="minorEastAsia" w:cstheme="minorEastAsia"/>
          <w:i w:val="0"/>
          <w:iCs/>
          <w:color w:val="auto"/>
          <w:sz w:val="24"/>
          <w:szCs w:val="24"/>
        </w:rPr>
        <w:t>二、技术及管理要求</w:t>
      </w:r>
    </w:p>
    <w:p>
      <w:pPr>
        <w:autoSpaceDE w:val="0"/>
        <w:autoSpaceDN w:val="0"/>
        <w:adjustRightInd w:val="0"/>
        <w:spacing w:line="480" w:lineRule="auto"/>
        <w:rPr>
          <w:rFonts w:asciiTheme="minorEastAsia" w:hAnsiTheme="minorEastAsia" w:eastAsiaTheme="minorEastAsia" w:cstheme="minorEastAsia"/>
          <w:iCs/>
          <w:kern w:val="0"/>
          <w:sz w:val="24"/>
          <w:szCs w:val="24"/>
          <w:lang w:val="zh-CN"/>
        </w:rPr>
      </w:pPr>
      <w:r>
        <w:rPr>
          <w:rFonts w:hint="eastAsia" w:asciiTheme="minorEastAsia" w:hAnsiTheme="minorEastAsia" w:eastAsiaTheme="minorEastAsia" w:cstheme="minorEastAsia"/>
          <w:iCs/>
          <w:kern w:val="0"/>
          <w:sz w:val="24"/>
          <w:szCs w:val="24"/>
          <w:lang w:val="zh-CN"/>
        </w:rPr>
        <w:t>（一）满足南方电网公司</w:t>
      </w:r>
      <w:r>
        <w:rPr>
          <w:rFonts w:hint="eastAsia" w:asciiTheme="minorEastAsia" w:hAnsiTheme="minorEastAsia" w:eastAsiaTheme="minorEastAsia" w:cstheme="minorEastAsia"/>
          <w:iCs/>
          <w:kern w:val="0"/>
          <w:sz w:val="24"/>
          <w:szCs w:val="24"/>
          <w:lang w:val="en-US" w:eastAsia="zh-CN"/>
        </w:rPr>
        <w:t>相关</w:t>
      </w:r>
      <w:r>
        <w:rPr>
          <w:rFonts w:hint="eastAsia" w:asciiTheme="minorEastAsia" w:hAnsiTheme="minorEastAsia" w:eastAsiaTheme="minorEastAsia" w:cstheme="minorEastAsia"/>
          <w:iCs/>
          <w:kern w:val="0"/>
          <w:sz w:val="24"/>
          <w:szCs w:val="24"/>
          <w:lang w:val="zh-CN"/>
        </w:rPr>
        <w:t>管理制度、建设单位的质量、环境和职业健康安全管理体系文件、其他有关制度和规定。</w:t>
      </w:r>
    </w:p>
    <w:p>
      <w:pPr>
        <w:autoSpaceDE w:val="0"/>
        <w:autoSpaceDN w:val="0"/>
        <w:adjustRightInd w:val="0"/>
        <w:spacing w:line="480" w:lineRule="auto"/>
        <w:rPr>
          <w:rFonts w:asciiTheme="minorEastAsia" w:hAnsiTheme="minorEastAsia" w:eastAsiaTheme="minorEastAsia" w:cstheme="minorEastAsia"/>
          <w:bCs/>
          <w:iCs/>
          <w:kern w:val="0"/>
          <w:sz w:val="24"/>
          <w:szCs w:val="24"/>
          <w:lang w:val="zh-CN"/>
        </w:rPr>
      </w:pPr>
      <w:r>
        <w:rPr>
          <w:rFonts w:hint="eastAsia" w:asciiTheme="minorEastAsia" w:hAnsiTheme="minorEastAsia" w:eastAsiaTheme="minorEastAsia" w:cstheme="minorEastAsia"/>
          <w:bCs/>
          <w:iCs/>
          <w:kern w:val="0"/>
          <w:sz w:val="24"/>
          <w:szCs w:val="24"/>
          <w:lang w:val="zh-CN"/>
        </w:rPr>
        <w:t>（二）符合图纸及技术文件的要求（如有，详见招标文件附件）。</w:t>
      </w:r>
    </w:p>
    <w:p>
      <w:pPr>
        <w:keepNext w:val="0"/>
        <w:keepLines w:val="0"/>
        <w:pageBreakBefore w:val="0"/>
        <w:widowControl w:val="0"/>
        <w:kinsoku/>
        <w:wordWrap/>
        <w:overflowPunct/>
        <w:topLinePunct w:val="0"/>
        <w:bidi w:val="0"/>
        <w:snapToGrid/>
        <w:spacing w:line="480" w:lineRule="auto"/>
        <w:textAlignment w:val="auto"/>
        <w:rPr>
          <w:rFonts w:hint="eastAsia" w:ascii="宋体" w:hAnsi="宋体" w:eastAsia="宋体" w:cs="宋体"/>
          <w:color w:val="auto"/>
          <w:sz w:val="24"/>
          <w:szCs w:val="24"/>
          <w:highlight w:val="none"/>
          <w:u w:val="single"/>
          <w:vertAlign w:val="baseline"/>
          <w:lang w:val="en-US" w:eastAsia="zh-CN"/>
        </w:rPr>
      </w:pPr>
    </w:p>
    <w:p>
      <w:pPr>
        <w:pStyle w:val="11"/>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FBA539"/>
    <w:multiLevelType w:val="singleLevel"/>
    <w:tmpl w:val="DBFBA539"/>
    <w:lvl w:ilvl="0" w:tentative="0">
      <w:start w:val="1"/>
      <w:numFmt w:val="chineseCounting"/>
      <w:suff w:val="nothing"/>
      <w:lvlText w:val="%1、"/>
      <w:lvlJc w:val="left"/>
      <w:rPr>
        <w:rFonts w:hint="eastAsia"/>
      </w:rPr>
    </w:lvl>
  </w:abstractNum>
  <w:abstractNum w:abstractNumId="1">
    <w:nsid w:val="EA6993E1"/>
    <w:multiLevelType w:val="singleLevel"/>
    <w:tmpl w:val="EA6993E1"/>
    <w:lvl w:ilvl="0" w:tentative="0">
      <w:start w:val="3"/>
      <w:numFmt w:val="chineseCounting"/>
      <w:suff w:val="nothing"/>
      <w:lvlText w:val="%1、"/>
      <w:lvlJc w:val="left"/>
      <w:rPr>
        <w:rFonts w:hint="eastAsia"/>
        <w:i w:val="0"/>
        <w:iCs w:val="0"/>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NzJiMDc1ZGM5ZjMxMTM0ODAxMDJiOTI4ZDJlNGIifQ=="/>
  </w:docVars>
  <w:rsids>
    <w:rsidRoot w:val="24F737D8"/>
    <w:rsid w:val="001270A5"/>
    <w:rsid w:val="005B1D7C"/>
    <w:rsid w:val="007A4AD7"/>
    <w:rsid w:val="00D6591F"/>
    <w:rsid w:val="015676BF"/>
    <w:rsid w:val="01F4561D"/>
    <w:rsid w:val="02521EB3"/>
    <w:rsid w:val="02773D27"/>
    <w:rsid w:val="031F2BDF"/>
    <w:rsid w:val="03D37A53"/>
    <w:rsid w:val="046046C1"/>
    <w:rsid w:val="049525BD"/>
    <w:rsid w:val="04A24F71"/>
    <w:rsid w:val="04D211E1"/>
    <w:rsid w:val="05193970"/>
    <w:rsid w:val="06D60267"/>
    <w:rsid w:val="076F3B3B"/>
    <w:rsid w:val="07844629"/>
    <w:rsid w:val="07C608DE"/>
    <w:rsid w:val="07C94697"/>
    <w:rsid w:val="07CA37DF"/>
    <w:rsid w:val="084C5BEA"/>
    <w:rsid w:val="08F83980"/>
    <w:rsid w:val="097A0FA0"/>
    <w:rsid w:val="0A87769A"/>
    <w:rsid w:val="0A9731D6"/>
    <w:rsid w:val="0B4A6210"/>
    <w:rsid w:val="0B630D8D"/>
    <w:rsid w:val="0BC07002"/>
    <w:rsid w:val="0C40074F"/>
    <w:rsid w:val="0CD6500D"/>
    <w:rsid w:val="0D641630"/>
    <w:rsid w:val="0D78289A"/>
    <w:rsid w:val="0DA15AF6"/>
    <w:rsid w:val="0E2F4C02"/>
    <w:rsid w:val="0E3616E0"/>
    <w:rsid w:val="0E394169"/>
    <w:rsid w:val="0F4A0A1A"/>
    <w:rsid w:val="0F81532F"/>
    <w:rsid w:val="105477DF"/>
    <w:rsid w:val="105863D3"/>
    <w:rsid w:val="107144D2"/>
    <w:rsid w:val="108C40C1"/>
    <w:rsid w:val="109B55E3"/>
    <w:rsid w:val="10B3072A"/>
    <w:rsid w:val="10B3161F"/>
    <w:rsid w:val="11043AFD"/>
    <w:rsid w:val="114917E9"/>
    <w:rsid w:val="116419AD"/>
    <w:rsid w:val="11DF6CFE"/>
    <w:rsid w:val="11E91682"/>
    <w:rsid w:val="12F15453"/>
    <w:rsid w:val="13383335"/>
    <w:rsid w:val="143A04A8"/>
    <w:rsid w:val="14440D4B"/>
    <w:rsid w:val="14717A98"/>
    <w:rsid w:val="14781EB9"/>
    <w:rsid w:val="14B666F3"/>
    <w:rsid w:val="15056A61"/>
    <w:rsid w:val="15A84A0F"/>
    <w:rsid w:val="161A4245"/>
    <w:rsid w:val="16491459"/>
    <w:rsid w:val="17722603"/>
    <w:rsid w:val="18550589"/>
    <w:rsid w:val="18E57496"/>
    <w:rsid w:val="1A386933"/>
    <w:rsid w:val="1A4F176B"/>
    <w:rsid w:val="1A6764A2"/>
    <w:rsid w:val="1AEF3E96"/>
    <w:rsid w:val="1B013998"/>
    <w:rsid w:val="1B663F82"/>
    <w:rsid w:val="1B6D4114"/>
    <w:rsid w:val="1C2D4629"/>
    <w:rsid w:val="1C43636C"/>
    <w:rsid w:val="1C8618B6"/>
    <w:rsid w:val="1CD439E0"/>
    <w:rsid w:val="1D904223"/>
    <w:rsid w:val="1DCE4983"/>
    <w:rsid w:val="1EA91258"/>
    <w:rsid w:val="1EAC0D7B"/>
    <w:rsid w:val="1ED23930"/>
    <w:rsid w:val="1F34517D"/>
    <w:rsid w:val="1F653C49"/>
    <w:rsid w:val="1F866A3E"/>
    <w:rsid w:val="1FF914D4"/>
    <w:rsid w:val="20735046"/>
    <w:rsid w:val="216F4D5B"/>
    <w:rsid w:val="218925D5"/>
    <w:rsid w:val="21C11DC8"/>
    <w:rsid w:val="224E5539"/>
    <w:rsid w:val="22B440FE"/>
    <w:rsid w:val="23B738BA"/>
    <w:rsid w:val="24E67795"/>
    <w:rsid w:val="24ED0D59"/>
    <w:rsid w:val="24F737D8"/>
    <w:rsid w:val="2525523D"/>
    <w:rsid w:val="25890B8B"/>
    <w:rsid w:val="25C20339"/>
    <w:rsid w:val="26EB3B6A"/>
    <w:rsid w:val="2768157C"/>
    <w:rsid w:val="2900742F"/>
    <w:rsid w:val="291D5E51"/>
    <w:rsid w:val="29342134"/>
    <w:rsid w:val="2A1D1398"/>
    <w:rsid w:val="2A285235"/>
    <w:rsid w:val="2AF43C32"/>
    <w:rsid w:val="2AFA64F2"/>
    <w:rsid w:val="2BE07E0A"/>
    <w:rsid w:val="2CA17C08"/>
    <w:rsid w:val="2D5821DD"/>
    <w:rsid w:val="2DDF66E3"/>
    <w:rsid w:val="2EB93623"/>
    <w:rsid w:val="2EC60C00"/>
    <w:rsid w:val="2EFD64A5"/>
    <w:rsid w:val="2F032695"/>
    <w:rsid w:val="2FF65FF8"/>
    <w:rsid w:val="300D195C"/>
    <w:rsid w:val="30694AE3"/>
    <w:rsid w:val="30A25EDE"/>
    <w:rsid w:val="30BF37B5"/>
    <w:rsid w:val="313B0851"/>
    <w:rsid w:val="31A1649A"/>
    <w:rsid w:val="31C955A9"/>
    <w:rsid w:val="32181133"/>
    <w:rsid w:val="32AB72CC"/>
    <w:rsid w:val="3356516E"/>
    <w:rsid w:val="33B200AF"/>
    <w:rsid w:val="33C75702"/>
    <w:rsid w:val="33E61BE2"/>
    <w:rsid w:val="34781430"/>
    <w:rsid w:val="34825DD1"/>
    <w:rsid w:val="350E2D3E"/>
    <w:rsid w:val="35EA52C7"/>
    <w:rsid w:val="35FB1CEB"/>
    <w:rsid w:val="361736AD"/>
    <w:rsid w:val="36D200CF"/>
    <w:rsid w:val="36ED5748"/>
    <w:rsid w:val="36FD34CA"/>
    <w:rsid w:val="37085134"/>
    <w:rsid w:val="37667755"/>
    <w:rsid w:val="379951F8"/>
    <w:rsid w:val="382F278A"/>
    <w:rsid w:val="38382DC3"/>
    <w:rsid w:val="38DE045C"/>
    <w:rsid w:val="395123E3"/>
    <w:rsid w:val="3987396D"/>
    <w:rsid w:val="39971B83"/>
    <w:rsid w:val="39CA51D3"/>
    <w:rsid w:val="3A151C40"/>
    <w:rsid w:val="3AB77847"/>
    <w:rsid w:val="3B595AEE"/>
    <w:rsid w:val="3BF24D81"/>
    <w:rsid w:val="3BFE7BEA"/>
    <w:rsid w:val="3C1F3408"/>
    <w:rsid w:val="3C4750A3"/>
    <w:rsid w:val="3C4A35F1"/>
    <w:rsid w:val="3C5B598A"/>
    <w:rsid w:val="3CB33905"/>
    <w:rsid w:val="3CED4BAF"/>
    <w:rsid w:val="3D110F9F"/>
    <w:rsid w:val="3D370ACC"/>
    <w:rsid w:val="3E6E3DD3"/>
    <w:rsid w:val="3EA01CAF"/>
    <w:rsid w:val="3EC34BB2"/>
    <w:rsid w:val="3F017B05"/>
    <w:rsid w:val="3F2A5EBF"/>
    <w:rsid w:val="3FD359FA"/>
    <w:rsid w:val="4110603D"/>
    <w:rsid w:val="412A0921"/>
    <w:rsid w:val="420455E6"/>
    <w:rsid w:val="422F02A6"/>
    <w:rsid w:val="42614180"/>
    <w:rsid w:val="42E73C50"/>
    <w:rsid w:val="439B6A5B"/>
    <w:rsid w:val="43A43045"/>
    <w:rsid w:val="44982260"/>
    <w:rsid w:val="44A44263"/>
    <w:rsid w:val="44D414C9"/>
    <w:rsid w:val="44D8532E"/>
    <w:rsid w:val="45634249"/>
    <w:rsid w:val="460D08AE"/>
    <w:rsid w:val="46472D5E"/>
    <w:rsid w:val="468C5C3B"/>
    <w:rsid w:val="476B0980"/>
    <w:rsid w:val="485D3F87"/>
    <w:rsid w:val="493279A7"/>
    <w:rsid w:val="49570D63"/>
    <w:rsid w:val="49647D7D"/>
    <w:rsid w:val="496A657E"/>
    <w:rsid w:val="49843C09"/>
    <w:rsid w:val="4A4A3B4A"/>
    <w:rsid w:val="4B1B4AC8"/>
    <w:rsid w:val="4B3A1BDA"/>
    <w:rsid w:val="4B446F88"/>
    <w:rsid w:val="4B810BED"/>
    <w:rsid w:val="4BCD16F8"/>
    <w:rsid w:val="4BF83760"/>
    <w:rsid w:val="4C5B4768"/>
    <w:rsid w:val="4C8349B8"/>
    <w:rsid w:val="4C8D1FAD"/>
    <w:rsid w:val="4CB95376"/>
    <w:rsid w:val="4DA93FB0"/>
    <w:rsid w:val="4DD05C73"/>
    <w:rsid w:val="4E3441C2"/>
    <w:rsid w:val="4E7848CC"/>
    <w:rsid w:val="4ECB31E1"/>
    <w:rsid w:val="4EF8357A"/>
    <w:rsid w:val="4F9645D9"/>
    <w:rsid w:val="504766FD"/>
    <w:rsid w:val="5093712D"/>
    <w:rsid w:val="527B23BF"/>
    <w:rsid w:val="52BA4ADB"/>
    <w:rsid w:val="536744AF"/>
    <w:rsid w:val="53AF4D93"/>
    <w:rsid w:val="5472078A"/>
    <w:rsid w:val="54E22DEA"/>
    <w:rsid w:val="552A0C96"/>
    <w:rsid w:val="553B58E4"/>
    <w:rsid w:val="555B685B"/>
    <w:rsid w:val="55A61297"/>
    <w:rsid w:val="55BB16B6"/>
    <w:rsid w:val="55C3156A"/>
    <w:rsid w:val="55FD375F"/>
    <w:rsid w:val="56063820"/>
    <w:rsid w:val="560A4CB8"/>
    <w:rsid w:val="56297652"/>
    <w:rsid w:val="57416990"/>
    <w:rsid w:val="57743881"/>
    <w:rsid w:val="5782183A"/>
    <w:rsid w:val="57960F83"/>
    <w:rsid w:val="57BD355E"/>
    <w:rsid w:val="58C3434A"/>
    <w:rsid w:val="58D21C48"/>
    <w:rsid w:val="58E65DF6"/>
    <w:rsid w:val="59D716AF"/>
    <w:rsid w:val="5A2F2F46"/>
    <w:rsid w:val="5B0320E2"/>
    <w:rsid w:val="5B247B83"/>
    <w:rsid w:val="5B4D0AF6"/>
    <w:rsid w:val="5B5C2BAA"/>
    <w:rsid w:val="5B8B11A7"/>
    <w:rsid w:val="5B9E2EC4"/>
    <w:rsid w:val="5BB13B18"/>
    <w:rsid w:val="5BDF5D8A"/>
    <w:rsid w:val="5C737CE9"/>
    <w:rsid w:val="5CB87234"/>
    <w:rsid w:val="5CD10D7E"/>
    <w:rsid w:val="5D0B3660"/>
    <w:rsid w:val="5F1C5490"/>
    <w:rsid w:val="5FE21288"/>
    <w:rsid w:val="60002310"/>
    <w:rsid w:val="606D4EC2"/>
    <w:rsid w:val="608606DE"/>
    <w:rsid w:val="60897327"/>
    <w:rsid w:val="610E324A"/>
    <w:rsid w:val="6159588A"/>
    <w:rsid w:val="61AB32F6"/>
    <w:rsid w:val="61AC02EE"/>
    <w:rsid w:val="61F31EFD"/>
    <w:rsid w:val="61FA6FC5"/>
    <w:rsid w:val="63066BC7"/>
    <w:rsid w:val="631256A6"/>
    <w:rsid w:val="63976D92"/>
    <w:rsid w:val="63D0487B"/>
    <w:rsid w:val="64337DCC"/>
    <w:rsid w:val="64672037"/>
    <w:rsid w:val="64911DA0"/>
    <w:rsid w:val="64ED2C60"/>
    <w:rsid w:val="65901886"/>
    <w:rsid w:val="65945D8D"/>
    <w:rsid w:val="65C84527"/>
    <w:rsid w:val="65E66736"/>
    <w:rsid w:val="65E73470"/>
    <w:rsid w:val="66C35559"/>
    <w:rsid w:val="66C70420"/>
    <w:rsid w:val="67382BF0"/>
    <w:rsid w:val="67D57489"/>
    <w:rsid w:val="68570F93"/>
    <w:rsid w:val="690B264C"/>
    <w:rsid w:val="69B00DC6"/>
    <w:rsid w:val="69BC26F9"/>
    <w:rsid w:val="69D85E3C"/>
    <w:rsid w:val="6A287B5E"/>
    <w:rsid w:val="6B303A1A"/>
    <w:rsid w:val="6C704794"/>
    <w:rsid w:val="6D83255E"/>
    <w:rsid w:val="6DAA2FDF"/>
    <w:rsid w:val="6DF95579"/>
    <w:rsid w:val="6E121228"/>
    <w:rsid w:val="6E2F5DFC"/>
    <w:rsid w:val="6E7B7540"/>
    <w:rsid w:val="6F8447F5"/>
    <w:rsid w:val="6F8F1F87"/>
    <w:rsid w:val="6FD7553C"/>
    <w:rsid w:val="6FE70789"/>
    <w:rsid w:val="70D1495F"/>
    <w:rsid w:val="70ED510D"/>
    <w:rsid w:val="70F43E38"/>
    <w:rsid w:val="711759C6"/>
    <w:rsid w:val="712F63C0"/>
    <w:rsid w:val="71E17BC2"/>
    <w:rsid w:val="72473607"/>
    <w:rsid w:val="72717CD1"/>
    <w:rsid w:val="72D57472"/>
    <w:rsid w:val="73716D8D"/>
    <w:rsid w:val="73B2537D"/>
    <w:rsid w:val="743E1546"/>
    <w:rsid w:val="74614F7E"/>
    <w:rsid w:val="74695E39"/>
    <w:rsid w:val="754C6F3B"/>
    <w:rsid w:val="75893930"/>
    <w:rsid w:val="75B11AFF"/>
    <w:rsid w:val="75D32619"/>
    <w:rsid w:val="75E16A80"/>
    <w:rsid w:val="75FA2D4B"/>
    <w:rsid w:val="76307412"/>
    <w:rsid w:val="768D126A"/>
    <w:rsid w:val="77B533CE"/>
    <w:rsid w:val="780B6A75"/>
    <w:rsid w:val="78C6527C"/>
    <w:rsid w:val="79572781"/>
    <w:rsid w:val="79F83E18"/>
    <w:rsid w:val="7B44695C"/>
    <w:rsid w:val="7BA24A2A"/>
    <w:rsid w:val="7CB8115C"/>
    <w:rsid w:val="7CCA3477"/>
    <w:rsid w:val="7CED7DC5"/>
    <w:rsid w:val="7D0F76D8"/>
    <w:rsid w:val="7D4551F4"/>
    <w:rsid w:val="7D4B1775"/>
    <w:rsid w:val="7D96066F"/>
    <w:rsid w:val="7DCF2D35"/>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8"/>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99"/>
    <w:pPr>
      <w:snapToGrid w:val="0"/>
    </w:pPr>
    <w:rPr>
      <w:rFonts w:ascii="Arial" w:hAnsi="Arial" w:cs="Arial"/>
    </w:rPr>
  </w:style>
  <w:style w:type="paragraph" w:styleId="11">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2">
    <w:name w:val="Normal (Web)"/>
    <w:basedOn w:val="1"/>
    <w:qFormat/>
    <w:uiPriority w:val="0"/>
    <w:rPr>
      <w:sz w:val="24"/>
    </w:rPr>
  </w:style>
  <w:style w:type="paragraph" w:styleId="13">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9"/>
    <w:qFormat/>
    <w:uiPriority w:val="0"/>
    <w:pPr>
      <w:ind w:firstLine="420" w:firstLineChars="200"/>
    </w:pPr>
    <w:rPr>
      <w:b/>
      <w:bCs/>
      <w:kern w:val="44"/>
      <w:sz w:val="44"/>
      <w:szCs w:val="4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正文首行缩进1"/>
    <w:basedOn w:val="1"/>
    <w:qFormat/>
    <w:uiPriority w:val="0"/>
    <w:pPr>
      <w:spacing w:line="360" w:lineRule="auto"/>
      <w:ind w:firstLine="200" w:firstLineChars="200"/>
    </w:pPr>
    <w:rPr>
      <w:kern w:val="2"/>
      <w:sz w:val="24"/>
      <w:szCs w:val="24"/>
    </w:rPr>
  </w:style>
  <w:style w:type="character" w:customStyle="1" w:styleId="19">
    <w:name w:val="font11"/>
    <w:basedOn w:val="17"/>
    <w:qFormat/>
    <w:uiPriority w:val="0"/>
    <w:rPr>
      <w:rFonts w:hint="eastAsia" w:ascii="宋体" w:hAnsi="宋体" w:eastAsia="宋体" w:cs="宋体"/>
      <w:color w:val="000000"/>
      <w:sz w:val="22"/>
      <w:szCs w:val="22"/>
      <w:u w:val="none"/>
    </w:rPr>
  </w:style>
  <w:style w:type="paragraph" w:customStyle="1" w:styleId="20">
    <w:name w:val="Table Paragraph"/>
    <w:basedOn w:val="1"/>
    <w:qFormat/>
    <w:uiPriority w:val="1"/>
    <w:pPr>
      <w:autoSpaceDE w:val="0"/>
      <w:autoSpaceDN w:val="0"/>
      <w:jc w:val="left"/>
    </w:pPr>
    <w:rPr>
      <w:rFonts w:ascii="宋体" w:hAnsi="宋体" w:cs="宋体"/>
      <w:kern w:val="0"/>
      <w:sz w:val="22"/>
      <w:lang w:eastAsia="en-US"/>
    </w:rPr>
  </w:style>
  <w:style w:type="paragraph" w:customStyle="1" w:styleId="21">
    <w:name w:val="文章正文"/>
    <w:basedOn w:val="1"/>
    <w:qFormat/>
    <w:uiPriority w:val="0"/>
    <w:pPr>
      <w:adjustRightInd w:val="0"/>
      <w:snapToGrid w:val="0"/>
      <w:spacing w:line="360" w:lineRule="auto"/>
      <w:ind w:firstLine="480" w:firstLineChars="200"/>
      <w:jc w:val="left"/>
    </w:pPr>
    <w:rPr>
      <w:rFonts w:ascii="Calibri" w:hAnsi="Calibri"/>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1223</Words>
  <Characters>1302</Characters>
  <Lines>0</Lines>
  <Paragraphs>0</Paragraphs>
  <TotalTime>50</TotalTime>
  <ScaleCrop>false</ScaleCrop>
  <LinksUpToDate>false</LinksUpToDate>
  <CharactersWithSpaces>1476</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0</cp:lastModifiedBy>
  <cp:lastPrinted>2026-03-06T00:12:00Z</cp:lastPrinted>
  <dcterms:modified xsi:type="dcterms:W3CDTF">2026-03-12T08:40:26Z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EDF1AA3B88D44F0F8FEC517A4732750F</vt:lpwstr>
  </property>
  <property fmtid="{D5CDD505-2E9C-101B-9397-08002B2CF9AE}" pid="4" name="KSOTemplateDocerSaveRecord">
    <vt:lpwstr>eyJoZGlkIjoiM2RhNTM4MGNkZjU2OWNhZTA2NTk5ZjU3YTcyM2ZjMjAiLCJ1c2VySWQiOiIxNTU1NTczNTY1In0=</vt:lpwstr>
  </property>
</Properties>
</file>