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FDE02">
      <w:pPr>
        <w:spacing w:line="4556" w:lineRule="exact"/>
        <w:rPr>
          <w:highlight w:val="none"/>
        </w:rPr>
      </w:pPr>
      <w:r>
        <w:rPr>
          <w:position w:val="-91"/>
          <w:highlight w:val="none"/>
        </w:rPr>
        <w:drawing>
          <wp:inline distT="0" distB="0" distL="114300" distR="114300">
            <wp:extent cx="7559675" cy="2893060"/>
            <wp:effectExtent l="0" t="0" r="3175" b="2540"/>
            <wp:docPr id="1" name="IM 2"/>
            <wp:cNvGraphicFramePr/>
            <a:graphic xmlns:a="http://schemas.openxmlformats.org/drawingml/2006/main">
              <a:graphicData uri="http://schemas.openxmlformats.org/drawingml/2006/picture">
                <pic:pic xmlns:pic="http://schemas.openxmlformats.org/drawingml/2006/picture">
                  <pic:nvPicPr>
                    <pic:cNvPr id="1" name="IM 2"/>
                    <pic:cNvPicPr/>
                  </pic:nvPicPr>
                  <pic:blipFill>
                    <a:blip r:embed="rId9"/>
                    <a:stretch>
                      <a:fillRect/>
                    </a:stretch>
                  </pic:blipFill>
                  <pic:spPr>
                    <a:xfrm>
                      <a:off x="0" y="0"/>
                      <a:ext cx="7559675" cy="2893060"/>
                    </a:xfrm>
                    <a:prstGeom prst="rect">
                      <a:avLst/>
                    </a:prstGeom>
                    <a:noFill/>
                    <a:ln>
                      <a:noFill/>
                    </a:ln>
                  </pic:spPr>
                </pic:pic>
              </a:graphicData>
            </a:graphic>
          </wp:inline>
        </w:drawing>
      </w:r>
    </w:p>
    <w:p w14:paraId="58E65DC1">
      <w:pPr>
        <w:spacing w:line="298" w:lineRule="auto"/>
        <w:rPr>
          <w:rFonts w:ascii="Arial"/>
          <w:sz w:val="21"/>
          <w:highlight w:val="none"/>
        </w:rPr>
      </w:pPr>
    </w:p>
    <w:p w14:paraId="7F53CEBD">
      <w:pPr>
        <w:spacing w:line="298" w:lineRule="auto"/>
        <w:rPr>
          <w:rFonts w:ascii="Arial"/>
          <w:sz w:val="21"/>
          <w:highlight w:val="none"/>
        </w:rPr>
      </w:pPr>
    </w:p>
    <w:p w14:paraId="2C65F11D">
      <w:pPr>
        <w:spacing w:line="298" w:lineRule="auto"/>
        <w:rPr>
          <w:rFonts w:ascii="Arial"/>
          <w:sz w:val="21"/>
          <w:highlight w:val="none"/>
        </w:rPr>
      </w:pPr>
    </w:p>
    <w:p w14:paraId="0682D039">
      <w:pPr>
        <w:spacing w:line="299" w:lineRule="auto"/>
        <w:rPr>
          <w:rFonts w:ascii="Arial"/>
          <w:sz w:val="21"/>
          <w:highlight w:val="none"/>
        </w:rPr>
      </w:pPr>
    </w:p>
    <w:p w14:paraId="0727A472">
      <w:pPr>
        <w:pStyle w:val="2"/>
        <w:spacing w:before="139" w:line="246" w:lineRule="auto"/>
        <w:ind w:left="1867" w:right="1820" w:hanging="49"/>
        <w:jc w:val="center"/>
        <w:outlineLvl w:val="0"/>
        <w:rPr>
          <w:highlight w:val="none"/>
        </w:rPr>
      </w:pPr>
      <w:r>
        <w:rPr>
          <w:rFonts w:hint="eastAsia"/>
          <w:b/>
          <w:bCs/>
          <w:highlight w:val="none"/>
          <w:lang w:eastAsia="zh-CN"/>
        </w:rPr>
        <w:t>储能科技公司2026年宝塘储能站安健环改造</w:t>
      </w:r>
      <w:r>
        <w:rPr>
          <w:rFonts w:hint="eastAsia"/>
          <w:b/>
          <w:bCs/>
          <w:highlight w:val="none"/>
          <w:lang w:val="en-US" w:eastAsia="zh-CN"/>
        </w:rPr>
        <w:t>设计技术服务</w:t>
      </w:r>
      <w:r>
        <w:rPr>
          <w:b/>
          <w:bCs/>
          <w:spacing w:val="-6"/>
          <w:highlight w:val="none"/>
        </w:rPr>
        <w:t>技术方案</w:t>
      </w:r>
    </w:p>
    <w:p w14:paraId="6A5EDF34">
      <w:pPr>
        <w:spacing w:line="268" w:lineRule="auto"/>
        <w:rPr>
          <w:rFonts w:ascii="Arial"/>
          <w:sz w:val="21"/>
          <w:highlight w:val="none"/>
        </w:rPr>
      </w:pPr>
    </w:p>
    <w:p w14:paraId="20B44285">
      <w:pPr>
        <w:spacing w:line="269" w:lineRule="auto"/>
        <w:rPr>
          <w:rFonts w:ascii="Arial"/>
          <w:sz w:val="21"/>
          <w:highlight w:val="none"/>
        </w:rPr>
      </w:pPr>
    </w:p>
    <w:p w14:paraId="31009421">
      <w:pPr>
        <w:spacing w:line="275" w:lineRule="auto"/>
        <w:rPr>
          <w:rFonts w:ascii="Arial"/>
          <w:sz w:val="21"/>
          <w:highlight w:val="none"/>
        </w:rPr>
      </w:pPr>
    </w:p>
    <w:p w14:paraId="2D86AC94">
      <w:pPr>
        <w:pStyle w:val="2"/>
        <w:rPr>
          <w:rFonts w:ascii="Arial"/>
          <w:sz w:val="21"/>
          <w:highlight w:val="none"/>
        </w:rPr>
      </w:pPr>
    </w:p>
    <w:p w14:paraId="690DAE0B">
      <w:pPr>
        <w:pStyle w:val="3"/>
        <w:rPr>
          <w:rFonts w:ascii="Arial"/>
          <w:sz w:val="21"/>
          <w:highlight w:val="none"/>
        </w:rPr>
      </w:pPr>
    </w:p>
    <w:p w14:paraId="2BBA02EF">
      <w:pPr>
        <w:rPr>
          <w:rFonts w:ascii="Arial"/>
          <w:sz w:val="21"/>
          <w:highlight w:val="none"/>
        </w:rPr>
      </w:pPr>
    </w:p>
    <w:p w14:paraId="279DC2A8">
      <w:pPr>
        <w:pStyle w:val="2"/>
        <w:rPr>
          <w:rFonts w:ascii="Arial"/>
          <w:sz w:val="21"/>
          <w:highlight w:val="none"/>
        </w:rPr>
      </w:pPr>
    </w:p>
    <w:p w14:paraId="22D1CD8E">
      <w:pPr>
        <w:pStyle w:val="3"/>
        <w:rPr>
          <w:rFonts w:ascii="Arial"/>
          <w:sz w:val="21"/>
          <w:highlight w:val="none"/>
        </w:rPr>
      </w:pPr>
    </w:p>
    <w:p w14:paraId="1064AFC2">
      <w:pPr>
        <w:rPr>
          <w:rFonts w:ascii="Arial"/>
          <w:sz w:val="21"/>
          <w:highlight w:val="none"/>
        </w:rPr>
      </w:pPr>
    </w:p>
    <w:p w14:paraId="582F5B11">
      <w:pPr>
        <w:pStyle w:val="2"/>
        <w:rPr>
          <w:rFonts w:ascii="Arial"/>
          <w:sz w:val="21"/>
          <w:highlight w:val="none"/>
        </w:rPr>
      </w:pPr>
    </w:p>
    <w:p w14:paraId="3185DEB5">
      <w:pPr>
        <w:pStyle w:val="3"/>
        <w:rPr>
          <w:rFonts w:ascii="Arial"/>
          <w:sz w:val="21"/>
          <w:highlight w:val="none"/>
        </w:rPr>
      </w:pPr>
    </w:p>
    <w:p w14:paraId="669CBEB9">
      <w:pPr>
        <w:rPr>
          <w:rFonts w:ascii="Arial"/>
          <w:sz w:val="21"/>
          <w:highlight w:val="none"/>
        </w:rPr>
      </w:pPr>
    </w:p>
    <w:p w14:paraId="4F1DC52F">
      <w:pPr>
        <w:pStyle w:val="2"/>
        <w:rPr>
          <w:rFonts w:ascii="Arial"/>
          <w:sz w:val="21"/>
          <w:highlight w:val="none"/>
        </w:rPr>
      </w:pPr>
    </w:p>
    <w:p w14:paraId="5CD2F471">
      <w:pPr>
        <w:pStyle w:val="3"/>
        <w:rPr>
          <w:rFonts w:ascii="Arial"/>
          <w:sz w:val="21"/>
          <w:highlight w:val="none"/>
        </w:rPr>
      </w:pPr>
    </w:p>
    <w:p w14:paraId="0F6116BE"/>
    <w:p w14:paraId="134FE06D">
      <w:pPr>
        <w:spacing w:line="275" w:lineRule="auto"/>
        <w:rPr>
          <w:rFonts w:ascii="Arial"/>
          <w:sz w:val="21"/>
          <w:highlight w:val="none"/>
        </w:rPr>
      </w:pPr>
    </w:p>
    <w:p w14:paraId="105598D5">
      <w:pPr>
        <w:spacing w:line="276" w:lineRule="auto"/>
        <w:rPr>
          <w:rFonts w:ascii="Arial"/>
          <w:sz w:val="21"/>
          <w:highlight w:val="none"/>
        </w:rPr>
      </w:pPr>
    </w:p>
    <w:p w14:paraId="171DD05D">
      <w:pPr>
        <w:spacing w:line="276" w:lineRule="auto"/>
        <w:rPr>
          <w:rFonts w:ascii="Arial"/>
          <w:sz w:val="21"/>
          <w:highlight w:val="none"/>
        </w:rPr>
      </w:pPr>
    </w:p>
    <w:p w14:paraId="5E44EA7F">
      <w:pPr>
        <w:spacing w:line="276" w:lineRule="auto"/>
        <w:rPr>
          <w:rFonts w:ascii="Arial"/>
          <w:sz w:val="21"/>
          <w:highlight w:val="none"/>
        </w:rPr>
      </w:pPr>
    </w:p>
    <w:p w14:paraId="67F36510">
      <w:pPr>
        <w:spacing w:line="276" w:lineRule="auto"/>
        <w:rPr>
          <w:rFonts w:ascii="Arial"/>
          <w:sz w:val="21"/>
          <w:highlight w:val="none"/>
        </w:rPr>
      </w:pPr>
    </w:p>
    <w:p w14:paraId="3EB8BC2C">
      <w:pPr>
        <w:spacing w:before="92" w:line="276" w:lineRule="auto"/>
        <w:ind w:left="5504" w:right="3052" w:hanging="2234"/>
        <w:rPr>
          <w:rFonts w:ascii="黑体" w:hAnsi="黑体" w:eastAsia="黑体" w:cs="黑体"/>
          <w:sz w:val="28"/>
          <w:szCs w:val="28"/>
          <w:highlight w:val="none"/>
        </w:rPr>
      </w:pPr>
      <w:r>
        <w:rPr>
          <w:rFonts w:ascii="黑体" w:hAnsi="黑体" w:eastAsia="黑体" w:cs="黑体"/>
          <w:spacing w:val="-1"/>
          <w:sz w:val="28"/>
          <w:szCs w:val="28"/>
          <w:highlight w:val="none"/>
        </w:rPr>
        <w:t>南方电网调峰调频（广东）储能科技有限公司</w:t>
      </w:r>
      <w:r>
        <w:rPr>
          <w:rFonts w:ascii="黑体" w:hAnsi="黑体" w:eastAsia="黑体" w:cs="黑体"/>
          <w:spacing w:val="2"/>
          <w:sz w:val="28"/>
          <w:szCs w:val="28"/>
          <w:highlight w:val="none"/>
        </w:rPr>
        <w:t xml:space="preserve"> </w:t>
      </w:r>
      <w:r>
        <w:rPr>
          <w:rFonts w:hint="eastAsia" w:ascii="黑体" w:hAnsi="黑体" w:eastAsia="黑体" w:cs="黑体"/>
          <w:spacing w:val="2"/>
          <w:sz w:val="28"/>
          <w:szCs w:val="28"/>
          <w:highlight w:val="none"/>
          <w:lang w:val="en-US" w:eastAsia="zh-CN"/>
        </w:rPr>
        <w:t>建设</w:t>
      </w:r>
      <w:r>
        <w:rPr>
          <w:rFonts w:ascii="黑体" w:hAnsi="黑体" w:eastAsia="黑体" w:cs="黑体"/>
          <w:spacing w:val="-4"/>
          <w:sz w:val="28"/>
          <w:szCs w:val="28"/>
          <w:highlight w:val="none"/>
        </w:rPr>
        <w:t>中心</w:t>
      </w:r>
    </w:p>
    <w:p w14:paraId="3538B269">
      <w:pPr>
        <w:spacing w:before="100" w:line="224" w:lineRule="auto"/>
        <w:ind w:left="5446"/>
        <w:rPr>
          <w:rFonts w:ascii="黑体" w:hAnsi="黑体" w:eastAsia="黑体" w:cs="黑体"/>
          <w:spacing w:val="-5"/>
          <w:sz w:val="28"/>
          <w:szCs w:val="28"/>
          <w:highlight w:val="none"/>
        </w:rPr>
      </w:pPr>
      <w:r>
        <w:rPr>
          <w:rFonts w:ascii="Times New Roman" w:hAnsi="Times New Roman" w:eastAsia="Times New Roman" w:cs="Times New Roman"/>
          <w:spacing w:val="-5"/>
          <w:sz w:val="28"/>
          <w:szCs w:val="28"/>
          <w:highlight w:val="none"/>
        </w:rPr>
        <w:t>202</w:t>
      </w:r>
      <w:r>
        <w:rPr>
          <w:rFonts w:hint="eastAsia" w:ascii="Times New Roman" w:hAnsi="Times New Roman" w:eastAsia="宋体" w:cs="Times New Roman"/>
          <w:spacing w:val="-5"/>
          <w:sz w:val="28"/>
          <w:szCs w:val="28"/>
          <w:highlight w:val="none"/>
          <w:lang w:val="en-US" w:eastAsia="zh-CN"/>
        </w:rPr>
        <w:t>6</w:t>
      </w:r>
      <w:r>
        <w:rPr>
          <w:rFonts w:ascii="黑体" w:hAnsi="黑体" w:eastAsia="黑体" w:cs="黑体"/>
          <w:spacing w:val="-5"/>
          <w:sz w:val="28"/>
          <w:szCs w:val="28"/>
          <w:highlight w:val="none"/>
        </w:rPr>
        <w:t>年</w:t>
      </w:r>
      <w:r>
        <w:rPr>
          <w:rFonts w:ascii="黑体" w:hAnsi="黑体" w:eastAsia="黑体" w:cs="黑体"/>
          <w:spacing w:val="-31"/>
          <w:sz w:val="28"/>
          <w:szCs w:val="28"/>
          <w:highlight w:val="none"/>
        </w:rPr>
        <w:t xml:space="preserve"> </w:t>
      </w:r>
      <w:r>
        <w:rPr>
          <w:rFonts w:hint="eastAsia" w:ascii="黑体" w:hAnsi="黑体" w:eastAsia="黑体" w:cs="黑体"/>
          <w:spacing w:val="-31"/>
          <w:sz w:val="28"/>
          <w:szCs w:val="28"/>
          <w:highlight w:val="none"/>
          <w:lang w:val="en-US" w:eastAsia="zh-CN"/>
        </w:rPr>
        <w:t>3</w:t>
      </w:r>
      <w:r>
        <w:rPr>
          <w:rFonts w:ascii="黑体" w:hAnsi="黑体" w:eastAsia="黑体" w:cs="黑体"/>
          <w:spacing w:val="-5"/>
          <w:sz w:val="28"/>
          <w:szCs w:val="28"/>
          <w:highlight w:val="none"/>
        </w:rPr>
        <w:t>月</w:t>
      </w:r>
    </w:p>
    <w:p w14:paraId="734001A7">
      <w:pPr>
        <w:pStyle w:val="4"/>
        <w:rPr>
          <w:highlight w:val="none"/>
        </w:rPr>
        <w:sectPr>
          <w:headerReference r:id="rId5" w:type="default"/>
          <w:pgSz w:w="11906" w:h="16839"/>
          <w:pgMar w:top="1" w:right="0" w:bottom="0" w:left="0" w:header="0" w:footer="0" w:gutter="0"/>
          <w:cols w:space="720" w:num="1"/>
        </w:sectPr>
      </w:pPr>
    </w:p>
    <w:p w14:paraId="64D8F1A2">
      <w:pPr>
        <w:pStyle w:val="2"/>
        <w:spacing w:before="65" w:line="230" w:lineRule="auto"/>
        <w:jc w:val="both"/>
        <w:rPr>
          <w:rFonts w:hint="eastAsia" w:eastAsia="宋体"/>
          <w:highlight w:val="none"/>
          <w:lang w:eastAsia="zh-CN"/>
        </w:rPr>
      </w:pPr>
      <w:bookmarkStart w:id="0" w:name="bookmark1"/>
      <w:bookmarkEnd w:id="0"/>
    </w:p>
    <w:p w14:paraId="23207BB0">
      <w:pPr>
        <w:pStyle w:val="2"/>
        <w:spacing w:before="65" w:line="230" w:lineRule="auto"/>
        <w:ind w:left="4005"/>
        <w:rPr>
          <w:highlight w:val="none"/>
        </w:rPr>
      </w:pPr>
    </w:p>
    <w:p w14:paraId="481BEC03">
      <w:pPr>
        <w:pStyle w:val="2"/>
        <w:spacing w:before="65" w:line="230" w:lineRule="auto"/>
        <w:ind w:left="4005"/>
        <w:rPr>
          <w:highlight w:val="none"/>
        </w:rPr>
      </w:pPr>
    </w:p>
    <w:p w14:paraId="68EA1ACF">
      <w:pPr>
        <w:pStyle w:val="2"/>
        <w:spacing w:before="65" w:line="230" w:lineRule="auto"/>
        <w:ind w:left="4005"/>
        <w:rPr>
          <w:highlight w:val="none"/>
        </w:rPr>
      </w:pPr>
    </w:p>
    <w:p w14:paraId="0C574AD2">
      <w:pPr>
        <w:pStyle w:val="2"/>
        <w:jc w:val="center"/>
        <w:rPr>
          <w:rFonts w:hint="eastAsia" w:ascii="宋体" w:hAnsi="宋体" w:eastAsia="宋体" w:cs="宋体"/>
          <w:kern w:val="0"/>
          <w:sz w:val="44"/>
          <w:szCs w:val="44"/>
          <w:highlight w:val="none"/>
          <w:lang w:val="en-US" w:eastAsia="zh-CN"/>
        </w:rPr>
      </w:pPr>
      <w:r>
        <w:rPr>
          <w:rFonts w:hint="eastAsia" w:cs="宋体"/>
          <w:kern w:val="0"/>
          <w:sz w:val="44"/>
          <w:szCs w:val="44"/>
          <w:highlight w:val="none"/>
          <w:lang w:val="en-US" w:eastAsia="zh-CN"/>
        </w:rPr>
        <w:t>储能科技公司2026年宝塘储能站安健环改造设计技术服务</w:t>
      </w:r>
      <w:r>
        <w:rPr>
          <w:rFonts w:hint="eastAsia" w:ascii="宋体" w:hAnsi="宋体" w:eastAsia="宋体" w:cs="宋体"/>
          <w:kern w:val="0"/>
          <w:sz w:val="44"/>
          <w:szCs w:val="44"/>
          <w:highlight w:val="none"/>
          <w:lang w:val="en-US" w:eastAsia="zh-CN"/>
        </w:rPr>
        <w:t>技术方案</w:t>
      </w:r>
    </w:p>
    <w:p w14:paraId="015CCD5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r>
        <w:rPr>
          <w:rFonts w:hint="eastAsia" w:ascii="黑体" w:hAnsi="黑体" w:eastAsia="黑体" w:cs="黑体"/>
          <w:b/>
          <w:bCs/>
          <w:snapToGrid w:val="0"/>
          <w:color w:val="auto"/>
          <w:spacing w:val="-5"/>
          <w:kern w:val="0"/>
          <w:sz w:val="32"/>
          <w:szCs w:val="32"/>
          <w:lang w:val="en-US" w:eastAsia="zh-CN" w:bidi="ar-SA"/>
        </w:rPr>
        <w:t>一、</w:t>
      </w:r>
      <w:r>
        <w:rPr>
          <w:rFonts w:hint="eastAsia" w:ascii="黑体" w:hAnsi="黑体" w:eastAsia="黑体" w:cs="黑体"/>
          <w:b/>
          <w:bCs/>
          <w:color w:val="auto"/>
          <w:spacing w:val="-5"/>
          <w:sz w:val="32"/>
          <w:szCs w:val="32"/>
          <w:lang w:val="en-US" w:eastAsia="zh-CN"/>
        </w:rPr>
        <w:t>工作概况</w:t>
      </w:r>
    </w:p>
    <w:p w14:paraId="732DA2D5">
      <w:pPr>
        <w:pageBreakBefore w:val="0"/>
        <w:widowControl w:val="0"/>
        <w:topLinePunct w:val="0"/>
        <w:autoSpaceDE/>
        <w:autoSpaceDN/>
        <w:bidi w:val="0"/>
        <w:spacing w:before="0" w:after="0" w:line="360" w:lineRule="auto"/>
        <w:ind w:left="0" w:leftChars="0" w:right="0" w:rightChars="0" w:firstLine="640" w:firstLineChars="200"/>
        <w:textAlignment w:val="auto"/>
        <w:rPr>
          <w:rFonts w:hint="default"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本项目旨在对储能电站的站容站貌进行系统性、标准化提升设计招标。招标范围包括：依据国家相关规范，对电站中控室、会议室及办公舱区域的楼梯（优化坡度、宽度及美观性）、遮雨板（更换为兼具遮阳防尘功能的成品）、外观景平台（敷设减震降噪地板、增设标准化安全栏杆与休憩设施）、宣传栏（按抽蓄电站标准重新设计）、站内外地面（修补裂缝、敷设沥青并规划标线绿化）及全站台阶进行统一设计。要求中标设计单位在指定周期内，完成现场勘测、方案设计、施工图绘制及概算编制，提交一套完整、合规、可实施的设计成果，确保消除安全隐患、提升功能舒适度、塑造统一现代的企业形象。本方案为技术服务建议，具体内容以双方签订的正式合同为准。</w:t>
      </w:r>
    </w:p>
    <w:p w14:paraId="5DE193B0">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bookmarkStart w:id="1" w:name="_Toc42877389"/>
      <w:bookmarkStart w:id="2" w:name="_Toc17454604"/>
      <w:bookmarkStart w:id="3" w:name="_Toc42878042"/>
      <w:r>
        <w:rPr>
          <w:rFonts w:hint="eastAsia" w:ascii="黑体" w:hAnsi="黑体" w:eastAsia="黑体" w:cs="黑体"/>
          <w:b/>
          <w:bCs/>
          <w:color w:val="auto"/>
          <w:spacing w:val="-5"/>
          <w:sz w:val="32"/>
          <w:szCs w:val="32"/>
          <w:lang w:val="en-US" w:eastAsia="zh-CN"/>
        </w:rPr>
        <w:t>二、</w:t>
      </w:r>
      <w:r>
        <w:rPr>
          <w:rFonts w:hint="eastAsia" w:ascii="黑体" w:hAnsi="黑体" w:eastAsia="黑体" w:cs="黑体"/>
          <w:b/>
          <w:bCs/>
          <w:color w:val="auto"/>
          <w:spacing w:val="-5"/>
          <w:sz w:val="32"/>
          <w:szCs w:val="32"/>
          <w:lang w:val="en-US" w:eastAsia="zh-CN"/>
        </w:rPr>
        <w:t>编制依据、原则</w:t>
      </w:r>
      <w:bookmarkEnd w:id="1"/>
      <w:bookmarkEnd w:id="2"/>
      <w:bookmarkEnd w:id="3"/>
    </w:p>
    <w:p w14:paraId="57C98811">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firstLine="640" w:firstLineChars="200"/>
        <w:textAlignment w:val="baseline"/>
        <w:outlineLvl w:val="0"/>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依据设计文件的要求，</w:t>
      </w:r>
      <w:r>
        <w:rPr>
          <w:rFonts w:hint="eastAsia" w:ascii="仿宋_GB2312" w:hAnsi="仿宋_GB2312" w:eastAsia="仿宋_GB2312" w:cs="仿宋_GB2312"/>
          <w:snapToGrid w:val="0"/>
          <w:color w:val="auto"/>
          <w:kern w:val="0"/>
          <w:sz w:val="32"/>
          <w:szCs w:val="32"/>
          <w:lang w:val="en-US" w:eastAsia="zh-CN" w:bidi="ar-SA"/>
        </w:rPr>
        <w:t>本项目的材料、设备、施工须达到下列现行中华人民共和国以及行业或云南省的工程建设标准、规范的要求。</w:t>
      </w:r>
    </w:p>
    <w:p w14:paraId="4E731904">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1.《建筑设计防火规范》 GB50016-2014（2018年版）</w:t>
      </w:r>
    </w:p>
    <w:p w14:paraId="1DDEFCA0">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2.《建筑防火通用规范》 GB55037-2022</w:t>
      </w:r>
    </w:p>
    <w:p w14:paraId="5BB0C46A">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3.《建筑内部装修设计防火规范》 GB50222-2017</w:t>
      </w:r>
    </w:p>
    <w:p w14:paraId="4DDF643D">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4.《建筑防烟排烟系统技术标准》 GB51251-2017</w:t>
      </w:r>
    </w:p>
    <w:p w14:paraId="72C9B4BD">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5.《民用建筑通用规范》 GB55031-2022</w:t>
      </w:r>
    </w:p>
    <w:p w14:paraId="58582E82">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6.《民用建筑工程室内环境污染控制规范》GB50325-2020</w:t>
      </w:r>
    </w:p>
    <w:p w14:paraId="219A34F3">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7.《屋面工程技术规范》 GB50345-2012</w:t>
      </w:r>
    </w:p>
    <w:p w14:paraId="1523DD13">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8.《倒置式屋面工程技术规程》 JGJ230-2010</w:t>
      </w:r>
    </w:p>
    <w:p w14:paraId="1C62F89A">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9.《地下工程防水技术规范》 GB50108-2008</w:t>
      </w:r>
    </w:p>
    <w:p w14:paraId="3039BB9D">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10.《墙体材料应用统一技术规范》 GB50574-2010</w:t>
      </w:r>
    </w:p>
    <w:p w14:paraId="4D022DC7">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11.《玻璃幕墙工程技术规范》 JGJ102-2003</w:t>
      </w:r>
    </w:p>
    <w:p w14:paraId="70303B7E">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12.《建筑玻璃应用技术规程》 JGJ113-2015</w:t>
      </w:r>
    </w:p>
    <w:p w14:paraId="4EF6B8C1">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13.《建筑幕墙》 GB/T 21086-2007</w:t>
      </w:r>
    </w:p>
    <w:p w14:paraId="74406DB5">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14.《铝合金门窗》 GB/T8478-2020</w:t>
      </w:r>
    </w:p>
    <w:p w14:paraId="675FDDBC">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15.《建筑环境通用规范》 GB 55016-2021</w:t>
      </w:r>
    </w:p>
    <w:p w14:paraId="2F72C1D2">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16.《建筑钢结构防火技术规范》 GB51249-2017</w:t>
      </w:r>
    </w:p>
    <w:p w14:paraId="622EC4E1">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17.《工业建筑防腐蚀设计规范》 GB50046-2008</w:t>
      </w:r>
    </w:p>
    <w:p w14:paraId="27B57A33">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18.《涂装前钢材表面表面处理表面清洁度的目视评定》 GB/T8923·2-2008</w:t>
      </w:r>
    </w:p>
    <w:p w14:paraId="1FEE80F6">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19.《建筑地面工程防滑技术规程》 JGJ／T 331</w:t>
      </w:r>
    </w:p>
    <w:p w14:paraId="098C7B80">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20.《建筑防火封堵应用技术标准》 GB／T 51410</w:t>
      </w:r>
    </w:p>
    <w:p w14:paraId="33CD633E">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21.《固定式钢梯及平台安全要求 第2部分：钢斜梯》GB4053.2-2009</w:t>
      </w:r>
    </w:p>
    <w:p w14:paraId="00804127">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22.《固定式钢梯及平台安全要求 第3部分：工业防护栏杆及钢平台》    GB4053.3-2009</w:t>
      </w:r>
    </w:p>
    <w:p w14:paraId="1C7A3198">
      <w:pPr>
        <w:pStyle w:val="15"/>
        <w:pageBreakBefore w:val="0"/>
        <w:widowControl w:val="0"/>
        <w:numPr>
          <w:ilvl w:val="0"/>
          <w:numId w:val="3"/>
        </w:numPr>
        <w:kinsoku/>
        <w:wordWrap/>
        <w:overflowPunct/>
        <w:topLinePunct w:val="0"/>
        <w:autoSpaceDE/>
        <w:autoSpaceDN/>
        <w:bidi w:val="0"/>
        <w:adjustRightInd/>
        <w:snapToGrid/>
        <w:spacing w:before="0" w:after="0" w:line="360" w:lineRule="auto"/>
        <w:ind w:left="0" w:leftChars="0" w:right="0" w:rightChars="0" w:firstLineChars="0"/>
        <w:jc w:val="both"/>
        <w:textAlignment w:val="auto"/>
        <w:rPr>
          <w:b/>
          <w:vanish/>
          <w:color w:val="0070C0"/>
          <w:highlight w:val="none"/>
        </w:rPr>
      </w:pPr>
    </w:p>
    <w:p w14:paraId="33B68CCE">
      <w:pPr>
        <w:rPr>
          <w:rFonts w:hint="eastAsia" w:ascii="黑体" w:hAnsi="黑体" w:eastAsia="黑体" w:cs="黑体"/>
          <w:b/>
          <w:bCs/>
          <w:color w:val="auto"/>
          <w:spacing w:val="-5"/>
          <w:sz w:val="32"/>
          <w:szCs w:val="32"/>
          <w:lang w:val="en-US" w:eastAsia="zh-CN"/>
        </w:rPr>
      </w:pPr>
      <w:bookmarkStart w:id="4" w:name="_Toc17454605"/>
      <w:bookmarkStart w:id="5" w:name="_Toc42877390"/>
      <w:bookmarkStart w:id="6" w:name="_Toc42878043"/>
      <w:r>
        <w:rPr>
          <w:rFonts w:hint="eastAsia" w:ascii="黑体" w:hAnsi="黑体" w:eastAsia="黑体" w:cs="黑体"/>
          <w:b/>
          <w:bCs/>
          <w:snapToGrid w:val="0"/>
          <w:color w:val="auto"/>
          <w:spacing w:val="-5"/>
          <w:kern w:val="0"/>
          <w:sz w:val="32"/>
          <w:szCs w:val="32"/>
          <w:lang w:val="en-US" w:eastAsia="zh-CN" w:bidi="ar-SA"/>
        </w:rPr>
        <w:t>三、</w:t>
      </w:r>
      <w:r>
        <w:rPr>
          <w:rFonts w:hint="eastAsia" w:ascii="黑体" w:hAnsi="黑体" w:eastAsia="黑体" w:cs="黑体"/>
          <w:b/>
          <w:bCs/>
          <w:color w:val="auto"/>
          <w:spacing w:val="-5"/>
          <w:sz w:val="32"/>
          <w:szCs w:val="32"/>
          <w:lang w:val="en-US" w:eastAsia="zh-CN"/>
        </w:rPr>
        <w:t>工作</w:t>
      </w:r>
      <w:bookmarkEnd w:id="4"/>
      <w:bookmarkEnd w:id="5"/>
      <w:bookmarkEnd w:id="6"/>
      <w:r>
        <w:rPr>
          <w:rFonts w:hint="eastAsia" w:ascii="黑体" w:hAnsi="黑体" w:eastAsia="黑体" w:cs="黑体"/>
          <w:b/>
          <w:bCs/>
          <w:color w:val="auto"/>
          <w:spacing w:val="-5"/>
          <w:sz w:val="32"/>
          <w:szCs w:val="32"/>
          <w:lang w:val="en-US" w:eastAsia="zh-CN"/>
        </w:rPr>
        <w:t>准备</w:t>
      </w:r>
    </w:p>
    <w:p w14:paraId="2BB07976">
      <w:pPr>
        <w:pStyle w:val="15"/>
        <w:keepNext w:val="0"/>
        <w:keepLines w:val="0"/>
        <w:pageBreakBefore w:val="0"/>
        <w:numPr>
          <w:ilvl w:val="0"/>
          <w:numId w:val="4"/>
        </w:numPr>
        <w:kinsoku w:val="0"/>
        <w:wordWrap w:val="0"/>
        <w:overflowPunct w:val="0"/>
        <w:topLinePunct w:val="0"/>
        <w:bidi w:val="0"/>
        <w:adjustRightInd w:val="0"/>
        <w:snapToGrid w:val="0"/>
        <w:spacing w:before="0" w:after="0" w:line="360" w:lineRule="auto"/>
        <w:ind w:left="0" w:leftChars="0" w:right="0" w:rightChars="0" w:firstLineChars="0"/>
        <w:jc w:val="left"/>
        <w:textAlignment w:val="auto"/>
        <w:rPr>
          <w:rFonts w:hint="eastAsia" w:ascii="宋体" w:hAnsi="宋体"/>
          <w:vanish/>
          <w:szCs w:val="20"/>
          <w:highlight w:val="none"/>
        </w:rPr>
      </w:pPr>
    </w:p>
    <w:p w14:paraId="346E6494">
      <w:pPr>
        <w:pStyle w:val="15"/>
        <w:keepNext w:val="0"/>
        <w:keepLines w:val="0"/>
        <w:pageBreakBefore w:val="0"/>
        <w:numPr>
          <w:ilvl w:val="0"/>
          <w:numId w:val="4"/>
        </w:numPr>
        <w:kinsoku w:val="0"/>
        <w:wordWrap w:val="0"/>
        <w:overflowPunct w:val="0"/>
        <w:topLinePunct w:val="0"/>
        <w:bidi w:val="0"/>
        <w:adjustRightInd w:val="0"/>
        <w:snapToGrid w:val="0"/>
        <w:spacing w:before="0" w:after="0" w:line="360" w:lineRule="auto"/>
        <w:ind w:left="0" w:leftChars="0" w:right="0" w:rightChars="0" w:firstLineChars="0"/>
        <w:jc w:val="left"/>
        <w:textAlignment w:val="auto"/>
        <w:rPr>
          <w:rFonts w:hint="eastAsia" w:ascii="宋体" w:hAnsi="宋体"/>
          <w:vanish/>
          <w:szCs w:val="20"/>
          <w:highlight w:val="none"/>
        </w:rPr>
      </w:pPr>
    </w:p>
    <w:p w14:paraId="33E96B71">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default"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3.1工作地点</w:t>
      </w:r>
    </w:p>
    <w:p w14:paraId="69B185E9">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储能科技公司佛山宝塘储能电站。</w:t>
      </w:r>
    </w:p>
    <w:p w14:paraId="22BB4EC6">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3.2工作人员及工期要求</w:t>
      </w:r>
    </w:p>
    <w:tbl>
      <w:tblPr>
        <w:tblStyle w:val="13"/>
        <w:tblW w:w="83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67"/>
        <w:gridCol w:w="2339"/>
        <w:gridCol w:w="5003"/>
        <w:gridCol w:w="193"/>
      </w:tblGrid>
      <w:tr w14:paraId="5C7AA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767" w:type="dxa"/>
            <w:noWrap w:val="0"/>
            <w:vAlign w:val="center"/>
          </w:tcPr>
          <w:p w14:paraId="017CF744">
            <w:pPr>
              <w:pStyle w:val="14"/>
              <w:snapToGrid w:val="0"/>
              <w:spacing w:before="177" w:line="240" w:lineRule="auto"/>
              <w:ind w:left="0" w:leftChars="0" w:right="0" w:rightChars="0" w:firstLine="0" w:firstLineChars="0"/>
              <w:jc w:val="center"/>
              <w:rPr>
                <w:rFonts w:hint="eastAsia" w:ascii="仿宋_GB2312" w:hAnsi="仿宋_GB2312" w:eastAsia="仿宋_GB2312" w:cs="仿宋_GB2312"/>
                <w:b/>
                <w:spacing w:val="-3"/>
                <w:sz w:val="32"/>
                <w:szCs w:val="32"/>
                <w:highlight w:val="none"/>
                <w:lang w:val="en-US" w:eastAsia="zh-CN"/>
              </w:rPr>
            </w:pPr>
            <w:r>
              <w:rPr>
                <w:rFonts w:hint="eastAsia" w:ascii="仿宋_GB2312" w:hAnsi="仿宋_GB2312" w:eastAsia="仿宋_GB2312" w:cs="仿宋_GB2312"/>
                <w:b/>
                <w:spacing w:val="-3"/>
                <w:sz w:val="32"/>
                <w:szCs w:val="32"/>
                <w:highlight w:val="none"/>
                <w:lang w:val="en-US" w:eastAsia="zh-CN"/>
              </w:rPr>
              <w:t>序号</w:t>
            </w:r>
          </w:p>
        </w:tc>
        <w:tc>
          <w:tcPr>
            <w:tcW w:w="2339" w:type="dxa"/>
            <w:noWrap w:val="0"/>
            <w:vAlign w:val="center"/>
          </w:tcPr>
          <w:p w14:paraId="0E578ADE">
            <w:pPr>
              <w:pStyle w:val="14"/>
              <w:snapToGrid w:val="0"/>
              <w:spacing w:before="177" w:line="240" w:lineRule="auto"/>
              <w:ind w:left="0" w:leftChars="0" w:right="0" w:rightChars="0" w:firstLine="0" w:firstLineChars="0"/>
              <w:jc w:val="center"/>
              <w:rPr>
                <w:rFonts w:hint="default" w:ascii="仿宋_GB2312" w:hAnsi="仿宋_GB2312" w:eastAsia="仿宋_GB2312" w:cs="仿宋_GB2312"/>
                <w:b/>
                <w:spacing w:val="-3"/>
                <w:sz w:val="32"/>
                <w:szCs w:val="32"/>
                <w:highlight w:val="none"/>
                <w:lang w:val="en-US" w:eastAsia="zh-CN"/>
              </w:rPr>
            </w:pPr>
            <w:r>
              <w:rPr>
                <w:rFonts w:hint="eastAsia" w:ascii="仿宋_GB2312" w:hAnsi="仿宋_GB2312" w:eastAsia="仿宋_GB2312" w:cs="仿宋_GB2312"/>
                <w:b/>
                <w:spacing w:val="-3"/>
                <w:sz w:val="32"/>
                <w:szCs w:val="32"/>
                <w:highlight w:val="none"/>
                <w:lang w:val="en-US" w:eastAsia="zh-CN"/>
              </w:rPr>
              <w:t>岗位配置</w:t>
            </w:r>
          </w:p>
        </w:tc>
        <w:tc>
          <w:tcPr>
            <w:tcW w:w="5196" w:type="dxa"/>
            <w:gridSpan w:val="2"/>
            <w:noWrap w:val="0"/>
            <w:vAlign w:val="center"/>
          </w:tcPr>
          <w:p w14:paraId="08EB66F7">
            <w:pPr>
              <w:pStyle w:val="14"/>
              <w:snapToGrid w:val="0"/>
              <w:spacing w:before="177" w:line="240" w:lineRule="auto"/>
              <w:ind w:left="0" w:leftChars="0" w:right="0" w:rightChars="0" w:firstLine="0" w:firstLineChars="0"/>
              <w:jc w:val="center"/>
              <w:rPr>
                <w:rFonts w:hint="default" w:ascii="仿宋_GB2312" w:hAnsi="仿宋_GB2312" w:eastAsia="仿宋_GB2312" w:cs="仿宋_GB2312"/>
                <w:b/>
                <w:spacing w:val="-5"/>
                <w:sz w:val="32"/>
                <w:szCs w:val="32"/>
                <w:highlight w:val="none"/>
                <w:lang w:val="en-US" w:eastAsia="zh-CN"/>
              </w:rPr>
            </w:pPr>
            <w:r>
              <w:rPr>
                <w:rFonts w:hint="eastAsia" w:ascii="仿宋_GB2312" w:hAnsi="仿宋_GB2312" w:eastAsia="仿宋_GB2312" w:cs="仿宋_GB2312"/>
                <w:b/>
                <w:spacing w:val="-5"/>
                <w:sz w:val="32"/>
                <w:szCs w:val="32"/>
                <w:highlight w:val="none"/>
                <w:lang w:val="en-US" w:eastAsia="zh-CN"/>
              </w:rPr>
              <w:t>岗位职责</w:t>
            </w:r>
          </w:p>
        </w:tc>
      </w:tr>
      <w:tr w14:paraId="79770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767" w:type="dxa"/>
            <w:noWrap w:val="0"/>
            <w:vAlign w:val="center"/>
          </w:tcPr>
          <w:p w14:paraId="084EBEF6">
            <w:pPr>
              <w:pStyle w:val="14"/>
              <w:snapToGrid w:val="0"/>
              <w:spacing w:before="177" w:line="240" w:lineRule="auto"/>
              <w:ind w:left="0" w:leftChars="0" w:right="0" w:rightChars="0" w:firstLine="0" w:firstLineChars="0"/>
              <w:jc w:val="center"/>
              <w:rPr>
                <w:rFonts w:hint="eastAsia" w:ascii="仿宋_GB2312" w:hAnsi="仿宋_GB2312" w:eastAsia="仿宋_GB2312" w:cs="仿宋_GB2312"/>
                <w:spacing w:val="-3"/>
                <w:sz w:val="32"/>
                <w:szCs w:val="32"/>
                <w:highlight w:val="none"/>
                <w:lang w:val="en-US" w:eastAsia="zh-CN"/>
              </w:rPr>
            </w:pPr>
            <w:r>
              <w:rPr>
                <w:rFonts w:hint="eastAsia" w:ascii="仿宋_GB2312" w:hAnsi="仿宋_GB2312" w:eastAsia="仿宋_GB2312" w:cs="仿宋_GB2312"/>
                <w:spacing w:val="-3"/>
                <w:sz w:val="32"/>
                <w:szCs w:val="32"/>
                <w:highlight w:val="none"/>
                <w:lang w:val="en-US" w:eastAsia="zh-CN"/>
              </w:rPr>
              <w:t>1</w:t>
            </w:r>
          </w:p>
        </w:tc>
        <w:tc>
          <w:tcPr>
            <w:tcW w:w="2339" w:type="dxa"/>
            <w:noWrap w:val="0"/>
            <w:vAlign w:val="center"/>
          </w:tcPr>
          <w:p w14:paraId="79737204">
            <w:pPr>
              <w:pStyle w:val="14"/>
              <w:snapToGrid w:val="0"/>
              <w:spacing w:before="177" w:line="240" w:lineRule="auto"/>
              <w:ind w:left="0" w:leftChars="0" w:right="0" w:rightChars="0" w:firstLine="0" w:firstLineChars="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3"/>
                <w:sz w:val="32"/>
                <w:szCs w:val="32"/>
                <w:highlight w:val="none"/>
                <w:lang w:val="en-US" w:eastAsia="zh-CN"/>
              </w:rPr>
              <w:t>设计</w:t>
            </w:r>
            <w:r>
              <w:rPr>
                <w:rFonts w:hint="eastAsia" w:ascii="仿宋_GB2312" w:hAnsi="仿宋_GB2312" w:eastAsia="仿宋_GB2312" w:cs="仿宋_GB2312"/>
                <w:spacing w:val="-3"/>
                <w:sz w:val="32"/>
                <w:szCs w:val="32"/>
                <w:highlight w:val="none"/>
              </w:rPr>
              <w:t>负责人</w:t>
            </w:r>
          </w:p>
        </w:tc>
        <w:tc>
          <w:tcPr>
            <w:tcW w:w="5196" w:type="dxa"/>
            <w:gridSpan w:val="2"/>
            <w:noWrap w:val="0"/>
            <w:vAlign w:val="center"/>
          </w:tcPr>
          <w:p w14:paraId="6D6DC54D">
            <w:pPr>
              <w:pStyle w:val="14"/>
              <w:snapToGrid w:val="0"/>
              <w:spacing w:before="177" w:line="240" w:lineRule="auto"/>
              <w:ind w:left="0" w:leftChars="0" w:right="0" w:rightChars="0" w:firstLine="0" w:firstLineChars="0"/>
              <w:jc w:val="left"/>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1. 全面负责项目策划、组织、协调与控制。</w:t>
            </w:r>
          </w:p>
          <w:p w14:paraId="3C513EDC">
            <w:pPr>
              <w:pStyle w:val="14"/>
              <w:snapToGrid w:val="0"/>
              <w:spacing w:before="177" w:line="240" w:lineRule="auto"/>
              <w:ind w:left="0" w:leftChars="0" w:right="0" w:rightChars="0" w:firstLine="0" w:firstLineChars="0"/>
              <w:jc w:val="left"/>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2. 审核各阶段设计成果，确保其符合合同与规范要求。</w:t>
            </w:r>
          </w:p>
        </w:tc>
      </w:tr>
      <w:tr w14:paraId="3FB69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767" w:type="dxa"/>
            <w:noWrap w:val="0"/>
            <w:vAlign w:val="center"/>
          </w:tcPr>
          <w:p w14:paraId="6B52B52E">
            <w:pPr>
              <w:pStyle w:val="14"/>
              <w:snapToGrid w:val="0"/>
              <w:spacing w:before="174" w:line="240" w:lineRule="auto"/>
              <w:ind w:left="0" w:leftChars="0" w:right="0" w:rightChars="0" w:firstLine="0" w:firstLineChars="0"/>
              <w:jc w:val="center"/>
              <w:rPr>
                <w:rFonts w:hint="eastAsia" w:ascii="仿宋_GB2312" w:hAnsi="仿宋_GB2312" w:eastAsia="仿宋_GB2312" w:cs="仿宋_GB2312"/>
                <w:spacing w:val="-3"/>
                <w:sz w:val="32"/>
                <w:szCs w:val="32"/>
                <w:highlight w:val="none"/>
                <w:lang w:val="en-US" w:eastAsia="zh-CN"/>
              </w:rPr>
            </w:pPr>
            <w:r>
              <w:rPr>
                <w:rFonts w:hint="eastAsia" w:ascii="仿宋_GB2312" w:hAnsi="仿宋_GB2312" w:eastAsia="仿宋_GB2312" w:cs="仿宋_GB2312"/>
                <w:spacing w:val="-3"/>
                <w:sz w:val="32"/>
                <w:szCs w:val="32"/>
                <w:highlight w:val="none"/>
                <w:lang w:val="en-US" w:eastAsia="zh-CN"/>
              </w:rPr>
              <w:t>2</w:t>
            </w:r>
          </w:p>
        </w:tc>
        <w:tc>
          <w:tcPr>
            <w:tcW w:w="2339" w:type="dxa"/>
            <w:noWrap w:val="0"/>
            <w:vAlign w:val="center"/>
          </w:tcPr>
          <w:p w14:paraId="5EACD0AB">
            <w:pPr>
              <w:pStyle w:val="14"/>
              <w:snapToGrid w:val="0"/>
              <w:spacing w:before="174" w:line="240" w:lineRule="auto"/>
              <w:ind w:left="0" w:leftChars="0" w:right="0" w:rightChars="0" w:firstLine="0" w:firstLineChars="0"/>
              <w:jc w:val="center"/>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rPr>
              <w:t>驻场设计代表（兼协调员</w:t>
            </w:r>
            <w:r>
              <w:rPr>
                <w:rFonts w:hint="eastAsia" w:ascii="仿宋_GB2312" w:hAnsi="仿宋_GB2312" w:eastAsia="仿宋_GB2312" w:cs="仿宋_GB2312"/>
                <w:sz w:val="32"/>
                <w:szCs w:val="32"/>
                <w:lang w:eastAsia="zh-CN"/>
              </w:rPr>
              <w:t>）</w:t>
            </w:r>
          </w:p>
        </w:tc>
        <w:tc>
          <w:tcPr>
            <w:tcW w:w="5196" w:type="dxa"/>
            <w:gridSpan w:val="2"/>
            <w:noWrap w:val="0"/>
            <w:vAlign w:val="center"/>
          </w:tcPr>
          <w:p w14:paraId="5333FC6A">
            <w:pPr>
              <w:pStyle w:val="14"/>
              <w:snapToGrid w:val="0"/>
              <w:spacing w:before="175" w:line="240" w:lineRule="auto"/>
              <w:ind w:left="0" w:leftChars="0" w:right="0" w:rightChars="0" w:firstLine="0" w:firstLineChars="0"/>
              <w:jc w:val="left"/>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1. 施工阶段常驻或定期赴现场，解决施工中的设计问题，处理设计变更。</w:t>
            </w:r>
          </w:p>
          <w:p w14:paraId="01ACBECF">
            <w:pPr>
              <w:pStyle w:val="14"/>
              <w:snapToGrid w:val="0"/>
              <w:spacing w:before="175" w:line="240" w:lineRule="auto"/>
              <w:ind w:left="0" w:leftChars="0" w:right="0" w:rightChars="0" w:firstLine="0" w:firstLineChars="0"/>
              <w:jc w:val="left"/>
              <w:rPr>
                <w:rFonts w:hint="default"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2. 组织并参与设计交底、关键工序验收</w:t>
            </w:r>
          </w:p>
        </w:tc>
      </w:tr>
      <w:tr w14:paraId="38CAE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93" w:type="dxa"/>
          <w:trHeight w:val="0" w:hRule="atLeast"/>
          <w:tblHeader/>
          <w:jc w:val="center"/>
        </w:trPr>
        <w:tc>
          <w:tcPr>
            <w:tcW w:w="767" w:type="dxa"/>
            <w:noWrap w:val="0"/>
            <w:vAlign w:val="center"/>
          </w:tcPr>
          <w:p w14:paraId="4525B645">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pacing w:val="5"/>
                <w:sz w:val="32"/>
                <w:szCs w:val="32"/>
                <w:highlight w:val="none"/>
              </w:rPr>
              <w:t>序号</w:t>
            </w:r>
          </w:p>
        </w:tc>
        <w:tc>
          <w:tcPr>
            <w:tcW w:w="2339" w:type="dxa"/>
            <w:noWrap w:val="0"/>
            <w:vAlign w:val="center"/>
          </w:tcPr>
          <w:p w14:paraId="2A1564D4">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pacing w:val="7"/>
                <w:sz w:val="32"/>
                <w:szCs w:val="32"/>
                <w:highlight w:val="none"/>
              </w:rPr>
              <w:t>作业内容</w:t>
            </w:r>
          </w:p>
        </w:tc>
        <w:tc>
          <w:tcPr>
            <w:tcW w:w="5003" w:type="dxa"/>
            <w:noWrap w:val="0"/>
            <w:vAlign w:val="center"/>
          </w:tcPr>
          <w:p w14:paraId="181789B5">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b/>
                <w:sz w:val="32"/>
                <w:szCs w:val="32"/>
                <w:highlight w:val="none"/>
                <w:lang w:eastAsia="zh-CN"/>
              </w:rPr>
            </w:pPr>
            <w:r>
              <w:rPr>
                <w:rFonts w:hint="eastAsia" w:ascii="仿宋_GB2312" w:hAnsi="仿宋_GB2312" w:eastAsia="仿宋_GB2312" w:cs="仿宋_GB2312"/>
                <w:b/>
                <w:spacing w:val="3"/>
                <w:sz w:val="32"/>
                <w:szCs w:val="32"/>
                <w:highlight w:val="none"/>
                <w:lang w:val="en-US" w:eastAsia="zh-CN"/>
              </w:rPr>
              <w:t>工期（天）</w:t>
            </w:r>
          </w:p>
        </w:tc>
      </w:tr>
      <w:tr w14:paraId="6DEF9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93" w:type="dxa"/>
          <w:trHeight w:val="0" w:hRule="atLeast"/>
          <w:jc w:val="center"/>
        </w:trPr>
        <w:tc>
          <w:tcPr>
            <w:tcW w:w="767" w:type="dxa"/>
            <w:noWrap w:val="0"/>
            <w:vAlign w:val="center"/>
          </w:tcPr>
          <w:p w14:paraId="22398ECD">
            <w:pPr>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p>
        </w:tc>
        <w:tc>
          <w:tcPr>
            <w:tcW w:w="2339" w:type="dxa"/>
            <w:noWrap w:val="0"/>
            <w:vAlign w:val="center"/>
          </w:tcPr>
          <w:p w14:paraId="68881D16">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rPr>
            </w:pPr>
            <w:r>
              <w:rPr>
                <w:rFonts w:hint="eastAsia" w:ascii="仿宋_GB2312" w:hAnsi="仿宋_GB2312" w:eastAsia="仿宋_GB2312" w:cs="仿宋_GB2312"/>
                <w:i w:val="0"/>
                <w:iCs/>
                <w:color w:val="auto"/>
                <w:sz w:val="32"/>
                <w:szCs w:val="32"/>
                <w:highlight w:val="none"/>
                <w:lang w:val="en-US" w:eastAsia="zh-CN"/>
              </w:rPr>
              <w:t>现场勘测与方案设计</w:t>
            </w:r>
          </w:p>
        </w:tc>
        <w:tc>
          <w:tcPr>
            <w:tcW w:w="5003" w:type="dxa"/>
            <w:noWrap w:val="0"/>
            <w:vAlign w:val="center"/>
          </w:tcPr>
          <w:p w14:paraId="0076D892">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w:t>
            </w:r>
          </w:p>
        </w:tc>
      </w:tr>
      <w:tr w14:paraId="6DE15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93" w:type="dxa"/>
          <w:trHeight w:val="0" w:hRule="atLeast"/>
          <w:jc w:val="center"/>
        </w:trPr>
        <w:tc>
          <w:tcPr>
            <w:tcW w:w="767" w:type="dxa"/>
            <w:noWrap w:val="0"/>
            <w:vAlign w:val="center"/>
          </w:tcPr>
          <w:p w14:paraId="49415D57">
            <w:pPr>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p>
        </w:tc>
        <w:tc>
          <w:tcPr>
            <w:tcW w:w="2339" w:type="dxa"/>
            <w:noWrap w:val="0"/>
            <w:vAlign w:val="center"/>
          </w:tcPr>
          <w:p w14:paraId="56DF2E93">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i w:val="0"/>
                <w:iCs/>
                <w:color w:val="auto"/>
                <w:sz w:val="32"/>
                <w:szCs w:val="32"/>
                <w:highlight w:val="none"/>
                <w:lang w:val="en-US" w:eastAsia="zh-CN"/>
              </w:rPr>
            </w:pPr>
            <w:r>
              <w:rPr>
                <w:rFonts w:hint="eastAsia" w:ascii="仿宋_GB2312" w:hAnsi="仿宋_GB2312" w:eastAsia="仿宋_GB2312" w:cs="仿宋_GB2312"/>
                <w:i w:val="0"/>
                <w:iCs/>
                <w:color w:val="auto"/>
                <w:sz w:val="32"/>
                <w:szCs w:val="32"/>
                <w:highlight w:val="none"/>
                <w:lang w:val="en-US" w:eastAsia="zh-CN"/>
              </w:rPr>
              <w:t>施工图设计</w:t>
            </w:r>
          </w:p>
        </w:tc>
        <w:tc>
          <w:tcPr>
            <w:tcW w:w="5003" w:type="dxa"/>
            <w:noWrap w:val="0"/>
            <w:vAlign w:val="center"/>
          </w:tcPr>
          <w:p w14:paraId="19BBDC23">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15</w:t>
            </w:r>
          </w:p>
        </w:tc>
      </w:tr>
      <w:tr w14:paraId="53C1E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93" w:type="dxa"/>
          <w:trHeight w:val="0" w:hRule="atLeast"/>
          <w:jc w:val="center"/>
        </w:trPr>
        <w:tc>
          <w:tcPr>
            <w:tcW w:w="767" w:type="dxa"/>
            <w:noWrap w:val="0"/>
            <w:vAlign w:val="center"/>
          </w:tcPr>
          <w:p w14:paraId="12A02962">
            <w:pPr>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p>
        </w:tc>
        <w:tc>
          <w:tcPr>
            <w:tcW w:w="2339" w:type="dxa"/>
            <w:noWrap w:val="0"/>
            <w:vAlign w:val="center"/>
          </w:tcPr>
          <w:p w14:paraId="01E9C8EF">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仿宋_GB2312" w:hAnsi="仿宋_GB2312" w:eastAsia="仿宋_GB2312" w:cs="仿宋_GB2312"/>
                <w:i w:val="0"/>
                <w:iCs/>
                <w:color w:val="auto"/>
                <w:sz w:val="32"/>
                <w:szCs w:val="32"/>
                <w:highlight w:val="none"/>
                <w:lang w:val="en-US" w:eastAsia="zh-CN"/>
              </w:rPr>
            </w:pPr>
            <w:r>
              <w:rPr>
                <w:rFonts w:hint="eastAsia" w:ascii="仿宋_GB2312" w:hAnsi="仿宋_GB2312" w:eastAsia="仿宋_GB2312" w:cs="仿宋_GB2312"/>
                <w:i w:val="0"/>
                <w:iCs/>
                <w:color w:val="auto"/>
                <w:sz w:val="32"/>
                <w:szCs w:val="32"/>
                <w:highlight w:val="none"/>
                <w:lang w:val="en-US" w:eastAsia="zh-CN"/>
              </w:rPr>
              <w:t>施工配合与总结</w:t>
            </w:r>
          </w:p>
        </w:tc>
        <w:tc>
          <w:tcPr>
            <w:tcW w:w="5003" w:type="dxa"/>
            <w:noWrap w:val="0"/>
            <w:vAlign w:val="center"/>
          </w:tcPr>
          <w:p w14:paraId="255161CF">
            <w:pPr>
              <w:pStyle w:val="14"/>
              <w:keepNext/>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整个施工周期</w:t>
            </w:r>
          </w:p>
        </w:tc>
      </w:tr>
    </w:tbl>
    <w:p w14:paraId="1808BCA9">
      <w:pPr>
        <w:spacing w:line="289" w:lineRule="auto"/>
        <w:rPr>
          <w:rFonts w:ascii="Arial"/>
          <w:sz w:val="21"/>
          <w:szCs w:val="21"/>
          <w:highlight w:val="none"/>
        </w:rPr>
      </w:pPr>
    </w:p>
    <w:p w14:paraId="47A980B3">
      <w:pPr>
        <w:pStyle w:val="2"/>
        <w:keepNext w:val="0"/>
        <w:keepLines w:val="0"/>
        <w:pageBreakBefore w:val="0"/>
        <w:widowControl/>
        <w:numPr>
          <w:ilvl w:val="0"/>
          <w:numId w:val="5"/>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r>
        <w:rPr>
          <w:rFonts w:hint="eastAsia" w:ascii="黑体" w:hAnsi="黑体" w:eastAsia="黑体" w:cs="黑体"/>
          <w:b/>
          <w:bCs/>
          <w:color w:val="auto"/>
          <w:spacing w:val="-5"/>
          <w:sz w:val="32"/>
          <w:szCs w:val="32"/>
          <w:lang w:val="en-US" w:eastAsia="zh-CN"/>
        </w:rPr>
        <w:t>设计范围与技术要求</w:t>
      </w:r>
    </w:p>
    <w:p w14:paraId="337E9E4C">
      <w:pPr>
        <w:pageBreakBefore w:val="0"/>
        <w:widowControl w:val="0"/>
        <w:numPr>
          <w:ilvl w:val="0"/>
          <w:numId w:val="6"/>
        </w:numPr>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楼梯改造设计：对储能站内中观景平台、办公舱等区域楼梯进行美化设计。安全要求：踏步高≤150mm，踏面宽≥280mm，梯段净宽≥1100mm，坡度≤30°，设置双侧连续扶手。美观要求：选用防滑、耐用的面层材料（如防滑地砖、花纹钢板），外观与周边环境协调。</w:t>
      </w:r>
    </w:p>
    <w:p w14:paraId="6E2A2E7F">
      <w:pPr>
        <w:keepNext w:val="0"/>
        <w:keepLines w:val="0"/>
        <w:pageBreakBefore w:val="0"/>
        <w:widowControl w:val="0"/>
        <w:numPr>
          <w:ilvl w:val="0"/>
          <w:numId w:val="6"/>
        </w:numPr>
        <w:kinsoku w:val="0"/>
        <w:wordWrap/>
        <w:overflowPunct/>
        <w:topLinePunct w:val="0"/>
        <w:autoSpaceDE/>
        <w:autoSpaceDN/>
        <w:bidi w:val="0"/>
        <w:adjustRightInd w:val="0"/>
        <w:snapToGrid w:val="0"/>
        <w:spacing w:before="0" w:after="0" w:line="360" w:lineRule="auto"/>
        <w:ind w:left="0" w:leftChars="0" w:right="0" w:rightChars="0" w:firstLine="640" w:firstLineChars="200"/>
        <w:textAlignment w:val="auto"/>
        <w:rPr>
          <w:rFonts w:hint="default" w:ascii="仿宋_GB2312" w:hAnsi="仿宋_GB2312" w:eastAsia="仿宋_GB2312" w:cs="仿宋_GB2312"/>
          <w:snapToGrid w:val="0"/>
          <w:color w:val="auto"/>
          <w:kern w:val="0"/>
          <w:sz w:val="32"/>
          <w:szCs w:val="32"/>
          <w:lang w:val="en-US" w:eastAsia="zh-CN" w:bidi="ar-SA"/>
        </w:rPr>
      </w:pPr>
      <w:r>
        <w:rPr>
          <w:rFonts w:hint="default" w:ascii="仿宋_GB2312" w:hAnsi="仿宋_GB2312" w:eastAsia="仿宋_GB2312" w:cs="仿宋_GB2312"/>
          <w:snapToGrid w:val="0"/>
          <w:color w:val="auto"/>
          <w:kern w:val="0"/>
          <w:sz w:val="32"/>
          <w:szCs w:val="32"/>
          <w:lang w:val="en-US" w:eastAsia="zh-CN" w:bidi="ar-SA"/>
        </w:rPr>
        <w:t>遮雨板更换设计</w:t>
      </w:r>
      <w:r>
        <w:rPr>
          <w:rFonts w:hint="eastAsia" w:ascii="仿宋_GB2312" w:hAnsi="仿宋_GB2312" w:eastAsia="仿宋_GB2312" w:cs="仿宋_GB2312"/>
          <w:snapToGrid w:val="0"/>
          <w:color w:val="auto"/>
          <w:kern w:val="0"/>
          <w:sz w:val="32"/>
          <w:szCs w:val="32"/>
          <w:lang w:val="en-US" w:eastAsia="zh-CN" w:bidi="ar-SA"/>
        </w:rPr>
        <w:t>：对储能站内中观景平台、办公舱、餐厅等区域遮雨板进行美化设计。功能要求：具备高效防雨、防尘、遮阳功能，材质耐久。构造要求：提供结构计算书，确保抗风压安全。</w:t>
      </w:r>
    </w:p>
    <w:p w14:paraId="60254E8B">
      <w:pPr>
        <w:pStyle w:val="2"/>
        <w:keepNext w:val="0"/>
        <w:keepLines w:val="0"/>
        <w:pageBreakBefore w:val="0"/>
        <w:numPr>
          <w:ilvl w:val="0"/>
          <w:numId w:val="6"/>
        </w:numPr>
        <w:kinsoku w:val="0"/>
        <w:wordWrap/>
        <w:overflowPunct/>
        <w:topLinePunct w:val="0"/>
        <w:bidi w:val="0"/>
        <w:adjustRightInd w:val="0"/>
        <w:snapToGrid w:val="0"/>
        <w:spacing w:line="360" w:lineRule="auto"/>
        <w:ind w:left="0" w:leftChars="0" w:firstLine="640" w:firstLineChars="200"/>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宣传栏更新设计：参照抽水蓄能电站标准化样式，进行系列化设计。结构要求：采用不锈钢/铝合金等型材，内置LED照明，基础牢固。视觉要求：设计统一的版式、字体、配色，与企业视觉识别系统（VI）协调。</w:t>
      </w:r>
    </w:p>
    <w:p w14:paraId="4F8DCC03">
      <w:pPr>
        <w:keepNext w:val="0"/>
        <w:keepLines w:val="0"/>
        <w:pageBreakBefore w:val="0"/>
        <w:widowControl w:val="0"/>
        <w:numPr>
          <w:ilvl w:val="0"/>
          <w:numId w:val="6"/>
        </w:numPr>
        <w:kinsoku w:val="0"/>
        <w:wordWrap/>
        <w:overflowPunct/>
        <w:topLinePunct w:val="0"/>
        <w:autoSpaceDE/>
        <w:autoSpaceDN/>
        <w:bidi w:val="0"/>
        <w:adjustRightInd w:val="0"/>
        <w:snapToGrid w:val="0"/>
        <w:spacing w:before="0" w:after="0" w:line="360" w:lineRule="auto"/>
        <w:ind w:left="0" w:leftChars="0" w:right="0" w:rightChars="0" w:firstLine="640" w:firstLineChars="200"/>
        <w:textAlignment w:val="auto"/>
        <w:rPr>
          <w:rFonts w:hint="default" w:ascii="仿宋_GB2312" w:hAnsi="仿宋_GB2312" w:eastAsia="仿宋_GB2312" w:cs="仿宋_GB2312"/>
          <w:snapToGrid w:val="0"/>
          <w:color w:val="auto"/>
          <w:kern w:val="0"/>
          <w:sz w:val="32"/>
          <w:szCs w:val="32"/>
          <w:lang w:val="en-US" w:eastAsia="zh-CN" w:bidi="ar-SA"/>
        </w:rPr>
      </w:pPr>
      <w:r>
        <w:rPr>
          <w:rFonts w:hint="default" w:ascii="仿宋_GB2312" w:hAnsi="仿宋_GB2312" w:eastAsia="仿宋_GB2312" w:cs="仿宋_GB2312"/>
          <w:snapToGrid w:val="0"/>
          <w:color w:val="auto"/>
          <w:kern w:val="0"/>
          <w:sz w:val="32"/>
          <w:szCs w:val="32"/>
          <w:lang w:val="en-US" w:eastAsia="zh-CN" w:bidi="ar-SA"/>
        </w:rPr>
        <w:t>台阶标准化设计</w:t>
      </w:r>
      <w:r>
        <w:rPr>
          <w:rFonts w:hint="eastAsia" w:ascii="仿宋_GB2312" w:hAnsi="仿宋_GB2312" w:eastAsia="仿宋_GB2312" w:cs="仿宋_GB2312"/>
          <w:snapToGrid w:val="0"/>
          <w:color w:val="auto"/>
          <w:kern w:val="0"/>
          <w:sz w:val="32"/>
          <w:szCs w:val="32"/>
          <w:lang w:val="en-US" w:eastAsia="zh-CN" w:bidi="ar-SA"/>
        </w:rPr>
        <w:t>：对全站所有台阶进行统一修缮设计，明确踏步、踢面尺寸，选用花岗岩或混凝土预制块，表面做防滑处理，设计边缘警示标识。</w:t>
      </w:r>
    </w:p>
    <w:p w14:paraId="44F731DB">
      <w:pPr>
        <w:pStyle w:val="2"/>
        <w:keepNext w:val="0"/>
        <w:keepLines w:val="0"/>
        <w:pageBreakBefore w:val="0"/>
        <w:numPr>
          <w:ilvl w:val="0"/>
          <w:numId w:val="6"/>
        </w:numPr>
        <w:kinsoku w:val="0"/>
        <w:wordWrap/>
        <w:overflowPunct/>
        <w:topLinePunct w:val="0"/>
        <w:bidi w:val="0"/>
        <w:adjustRightInd w:val="0"/>
        <w:snapToGrid w:val="0"/>
        <w:spacing w:line="360" w:lineRule="auto"/>
        <w:ind w:left="0" w:leftChars="0" w:firstLine="640" w:firstLineChars="200"/>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栏杆改造设计：提供栏杆平面布置图、立面图、所有连接节点（立柱与基础、横杆与立柱、玻璃安装）的放大详图，以及材料表、加工工艺说明和防腐处理要求。</w:t>
      </w:r>
    </w:p>
    <w:p w14:paraId="17BB5455">
      <w:pPr>
        <w:pStyle w:val="2"/>
        <w:keepNext w:val="0"/>
        <w:keepLines w:val="0"/>
        <w:pageBreakBefore w:val="0"/>
        <w:numPr>
          <w:ilvl w:val="0"/>
          <w:numId w:val="6"/>
        </w:numPr>
        <w:kinsoku w:val="0"/>
        <w:wordWrap/>
        <w:overflowPunct/>
        <w:topLinePunct w:val="0"/>
        <w:bidi w:val="0"/>
        <w:adjustRightInd w:val="0"/>
        <w:snapToGrid w:val="0"/>
        <w:spacing w:line="360" w:lineRule="auto"/>
        <w:ind w:left="0" w:leftChars="0" w:firstLine="640" w:firstLineChars="200"/>
        <w:rPr>
          <w:rFonts w:hint="default"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地板改造设计：对储能站内中观景平台、办公舱等区域地板进行美化设计。结构设计：设计对现有铁皮基层进行防锈、找平处理方案，并铺设防潮层。视觉要求：提供多种颜色、纹理样板供选择，铺设图案与电站整体风格协调，可实现模块化更换。</w:t>
      </w:r>
    </w:p>
    <w:p w14:paraId="7328696A">
      <w:pPr>
        <w:pStyle w:val="2"/>
        <w:keepNext w:val="0"/>
        <w:keepLines w:val="0"/>
        <w:pageBreakBefore w:val="0"/>
        <w:numPr>
          <w:ilvl w:val="0"/>
          <w:numId w:val="6"/>
        </w:numPr>
        <w:kinsoku w:val="0"/>
        <w:wordWrap/>
        <w:overflowPunct/>
        <w:topLinePunct w:val="0"/>
        <w:bidi w:val="0"/>
        <w:adjustRightInd w:val="0"/>
        <w:snapToGrid w:val="0"/>
        <w:spacing w:line="360" w:lineRule="auto"/>
        <w:ind w:left="0" w:leftChars="0" w:firstLine="640" w:firstLineChars="200"/>
        <w:rPr>
          <w:rFonts w:hint="default"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标识系统整合设计：在以上改造中，集成安全、指引、设备标识，确保全站标识系统清晰、完整、规范，符合相关标准要求。</w:t>
      </w:r>
    </w:p>
    <w:p w14:paraId="7CED037E">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r>
        <w:rPr>
          <w:rFonts w:hint="eastAsia" w:ascii="黑体" w:hAnsi="黑体" w:eastAsia="黑体" w:cs="黑体"/>
          <w:b/>
          <w:bCs/>
          <w:color w:val="auto"/>
          <w:spacing w:val="-5"/>
          <w:sz w:val="32"/>
          <w:szCs w:val="32"/>
          <w:lang w:val="en-US" w:eastAsia="zh-CN"/>
        </w:rPr>
        <w:t>五</w:t>
      </w:r>
      <w:r>
        <w:rPr>
          <w:rFonts w:hint="default" w:ascii="黑体" w:hAnsi="黑体" w:eastAsia="黑体" w:cs="黑体"/>
          <w:b/>
          <w:bCs/>
          <w:color w:val="auto"/>
          <w:spacing w:val="-5"/>
          <w:sz w:val="32"/>
          <w:szCs w:val="32"/>
          <w:lang w:val="en-US" w:eastAsia="zh-CN"/>
        </w:rPr>
        <w:t>、</w:t>
      </w:r>
      <w:r>
        <w:rPr>
          <w:rFonts w:hint="eastAsia" w:ascii="黑体" w:hAnsi="黑体" w:eastAsia="黑体" w:cs="黑体"/>
          <w:b/>
          <w:bCs/>
          <w:color w:val="auto"/>
          <w:spacing w:val="-5"/>
          <w:sz w:val="32"/>
          <w:szCs w:val="32"/>
          <w:lang w:val="en-US" w:eastAsia="en-US"/>
        </w:rPr>
        <w:t>工作步骤与质量要求</w:t>
      </w:r>
    </w:p>
    <w:p w14:paraId="2E70FE5F">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bookmarkStart w:id="7" w:name="_Toc17454609"/>
      <w:bookmarkStart w:id="8" w:name="_Toc42877394"/>
      <w:bookmarkStart w:id="9" w:name="_Toc42878047"/>
      <w:r>
        <w:rPr>
          <w:rFonts w:hint="eastAsia" w:ascii="楷体_GB2312" w:hAnsi="楷体_GB2312" w:eastAsia="楷体_GB2312" w:cs="楷体_GB2312"/>
          <w:b/>
          <w:bCs/>
          <w:color w:val="auto"/>
          <w:sz w:val="32"/>
          <w:szCs w:val="32"/>
          <w:lang w:val="en-US" w:eastAsia="zh-CN"/>
        </w:rPr>
        <w:t>第一阶段：设计输入与现场勘测</w:t>
      </w:r>
    </w:p>
    <w:p w14:paraId="1C07892A">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全面收集并审查电站总平面图、相关建筑单体竣工图、结构图纸、地质勘察报告（如涉及）、现有设施照片、等基础资料；组织专业人员赴现场，对需改造的楼梯、平台、栏杆、地面、宣传栏等部位进行精确测绘（包括尺寸、坡度、现状材质、连接方式等），拍摄实景照片，记录详情，并与电站管理人员充分沟通功能需求与倾向。</w:t>
      </w:r>
    </w:p>
    <w:p w14:paraId="4BBA8459">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要求：收集的资料应完整、准确，作为设计的合法依据；现场勘测数据应精准，关键部位尺寸误差不大于±10mm，确保设计方案的可行性；应形成《现场勘测记录报告》，明确设计边界与核心需求。</w:t>
      </w:r>
    </w:p>
    <w:p w14:paraId="04520D67">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第二阶段：方案设计与深化</w:t>
      </w:r>
    </w:p>
    <w:p w14:paraId="32F11C65">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提供整体改造方案，包含总平面布局彩平图、核心区域（如大门、平台）效果图或三维示意图；在选定方案后，进行各分项深化设计。提供楼梯、栏杆、地板、遮雨板、宣传栏等主要部件的平立面设计图、选型示意图、材料样板及色彩规划；根据深化方案，编制较为详细的工程投资估算，作为项目投资控制参考。</w:t>
      </w:r>
    </w:p>
    <w:p w14:paraId="0C442DB0">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要求：所有设计内容均需与业主进行至少一轮专项汇报与沟通，获得业主书面确认后方可进入下一阶段。</w:t>
      </w:r>
    </w:p>
    <w:p w14:paraId="46C4099B">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第三阶段：施工图设计及造价文件编制</w:t>
      </w:r>
    </w:p>
    <w:p w14:paraId="16DB177A">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完成所有专业的施工图设计，包括但不限于：建筑改造平面、立面、剖面图；结构加固与新增构造详图；景观铺装与绿化施工图；电气照明（如需）改造图。针对楼梯、栏杆、地板、遮雨板安装等关键工艺，提供详细节点构造大样图。根据施工图，编制详细的工程量清单，并出具施工图预算，并形成技术文件。</w:t>
      </w:r>
    </w:p>
    <w:p w14:paraId="220AB810">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要求：施工图深度须完全满足《建筑工程设计文件编制深度规定》的要求，能够直接指导施工与采购；严格执行内部校审流程（设计、校对、审核），确保图纸零差错，各专业图纸无矛盾。</w:t>
      </w:r>
    </w:p>
    <w:p w14:paraId="6CCF22F8">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第四阶段：设计交底、施工配合与成果交付</w:t>
      </w:r>
    </w:p>
    <w:p w14:paraId="467E9229">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施工前，向施工单位及业主进行全面的设计图纸技术交底，明确设计意图、技术难点和质量控制要点；在施工关键阶段（如材料进场、样板确认、隐蔽工程验收等）提供现场技术服务，及时处理施工中的设计问题，出具必要的设计变更通知单；整理全部设计过程文件、最终图纸及变更资料，形成完整项目档案，正式移交业主。参与竣工验收，确认施工是否符合设计要求。</w:t>
      </w:r>
    </w:p>
    <w:p w14:paraId="437C8CA5">
      <w:pPr>
        <w:pageBreakBefore w:val="0"/>
        <w:widowControl w:val="0"/>
        <w:topLinePunct w:val="0"/>
        <w:autoSpaceDE/>
        <w:autoSpaceDN/>
        <w:bidi w:val="0"/>
        <w:spacing w:before="0" w:after="0" w:line="360" w:lineRule="auto"/>
        <w:ind w:left="0" w:leftChars="0" w:right="0" w:rightChars="0" w:firstLine="640" w:firstLineChars="200"/>
        <w:textAlignment w:val="auto"/>
        <w:rPr>
          <w:rFonts w:hint="default"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w:t>
      </w:r>
      <w:bookmarkEnd w:id="7"/>
      <w:bookmarkEnd w:id="8"/>
      <w:bookmarkEnd w:id="9"/>
      <w:r>
        <w:rPr>
          <w:rFonts w:hint="eastAsia" w:ascii="仿宋_GB2312" w:hAnsi="仿宋_GB2312" w:eastAsia="仿宋_GB2312" w:cs="仿宋_GB2312"/>
          <w:snapToGrid w:val="0"/>
          <w:color w:val="auto"/>
          <w:kern w:val="0"/>
          <w:sz w:val="32"/>
          <w:szCs w:val="32"/>
          <w:lang w:val="en-US" w:eastAsia="zh-CN" w:bidi="ar-SA"/>
        </w:rPr>
        <w:t>设计交底全面、透彻，有完整的交底会议纪要；最终交付的设计成果档案齐全、签署完备，并配合业主完成项目竣工验收。</w:t>
      </w:r>
    </w:p>
    <w:p w14:paraId="1482CBCA">
      <w:pPr>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br w:type="page"/>
      </w:r>
    </w:p>
    <w:p w14:paraId="2D7A77A3">
      <w:pPr>
        <w:rPr>
          <w:rFonts w:ascii="Arial"/>
          <w:sz w:val="21"/>
          <w:highlight w:val="none"/>
        </w:rPr>
      </w:pPr>
      <w:bookmarkStart w:id="10" w:name="_GoBack"/>
      <w:bookmarkEnd w:id="10"/>
    </w:p>
    <w:sectPr>
      <w:headerReference r:id="rId6" w:type="default"/>
      <w:footerReference r:id="rId7" w:type="default"/>
      <w:pgSz w:w="11906" w:h="16838"/>
      <w:pgMar w:top="1440" w:right="1916" w:bottom="1440" w:left="1803" w:header="851" w:footer="992" w:gutter="0"/>
      <w:cols w:space="72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6337F">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D070AE">
                          <w:pPr>
                            <w:pStyle w:val="6"/>
                            <w:jc w:val="center"/>
                          </w:pPr>
                          <w:r>
                            <w:fldChar w:fldCharType="begin"/>
                          </w:r>
                          <w:r>
                            <w:instrText xml:space="preserve"> PAGE   \* MERGEFORMAT </w:instrText>
                          </w:r>
                          <w:r>
                            <w:fldChar w:fldCharType="separate"/>
                          </w:r>
                          <w:r>
                            <w:rPr>
                              <w:lang w:val="zh-CN"/>
                            </w:rPr>
                            <w:t>14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5BD070AE">
                    <w:pPr>
                      <w:pStyle w:val="6"/>
                      <w:jc w:val="center"/>
                    </w:pPr>
                    <w:r>
                      <w:fldChar w:fldCharType="begin"/>
                    </w:r>
                    <w:r>
                      <w:instrText xml:space="preserve"> PAGE   \* MERGEFORMAT </w:instrText>
                    </w:r>
                    <w:r>
                      <w:fldChar w:fldCharType="separate"/>
                    </w:r>
                    <w:r>
                      <w:rPr>
                        <w:lang w:val="zh-CN"/>
                      </w:rPr>
                      <w:t>14</w:t>
                    </w:r>
                    <w:r>
                      <w:rPr>
                        <w:lang w:val="zh-CN"/>
                      </w:rPr>
                      <w:fldChar w:fldCharType="end"/>
                    </w:r>
                  </w:p>
                </w:txbxContent>
              </v:textbox>
            </v:shape>
          </w:pict>
        </mc:Fallback>
      </mc:AlternateContent>
    </w:r>
  </w:p>
  <w:p w14:paraId="374D101E">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C2987">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BB70E">
    <w:pPr>
      <w:pStyle w:val="7"/>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9AB2F2"/>
    <w:multiLevelType w:val="singleLevel"/>
    <w:tmpl w:val="879AB2F2"/>
    <w:lvl w:ilvl="0" w:tentative="0">
      <w:start w:val="1"/>
      <w:numFmt w:val="decimal"/>
      <w:suff w:val="nothing"/>
      <w:lvlText w:val="%1、"/>
      <w:lvlJc w:val="left"/>
    </w:lvl>
  </w:abstractNum>
  <w:abstractNum w:abstractNumId="1">
    <w:nsid w:val="8CA551DA"/>
    <w:multiLevelType w:val="singleLevel"/>
    <w:tmpl w:val="8CA551DA"/>
    <w:lvl w:ilvl="0" w:tentative="0">
      <w:start w:val="4"/>
      <w:numFmt w:val="chineseCounting"/>
      <w:suff w:val="nothing"/>
      <w:lvlText w:val="%1、"/>
      <w:lvlJc w:val="left"/>
      <w:rPr>
        <w:rFonts w:hint="eastAsia"/>
      </w:rPr>
    </w:lvl>
  </w:abstractNum>
  <w:abstractNum w:abstractNumId="2">
    <w:nsid w:val="1DEE5C2C"/>
    <w:multiLevelType w:val="multilevel"/>
    <w:tmpl w:val="1DEE5C2C"/>
    <w:lvl w:ilvl="0" w:tentative="0">
      <w:start w:val="1"/>
      <w:numFmt w:val="decimal"/>
      <w:lvlText w:val="%1"/>
      <w:lvlJc w:val="left"/>
      <w:pPr>
        <w:ind w:left="425" w:hanging="425"/>
      </w:pPr>
    </w:lvl>
    <w:lvl w:ilvl="1" w:tentative="0">
      <w:start w:val="1"/>
      <w:numFmt w:val="decimal"/>
      <w:lvlText w:val="%1.%2"/>
      <w:lvlJc w:val="left"/>
      <w:pPr>
        <w:ind w:left="992" w:hanging="567"/>
      </w:pPr>
      <w:rPr>
        <w:rFonts w:hint="default" w:ascii="Times New Roman" w:hAnsi="Times New Roman" w:cs="Times New Roman"/>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5A7F7424"/>
    <w:multiLevelType w:val="multilevel"/>
    <w:tmpl w:val="5A7F7424"/>
    <w:lvl w:ilvl="0" w:tentative="0">
      <w:start w:val="1"/>
      <w:numFmt w:val="decimal"/>
      <w:lvlText w:val="%1"/>
      <w:lvlJc w:val="left"/>
      <w:pPr>
        <w:ind w:left="425" w:hanging="425"/>
      </w:pPr>
    </w:lvl>
    <w:lvl w:ilvl="1" w:tentative="0">
      <w:start w:val="1"/>
      <w:numFmt w:val="decimal"/>
      <w:lvlText w:val="%1.%2"/>
      <w:lvlJc w:val="left"/>
      <w:pPr>
        <w:ind w:left="992" w:hanging="567"/>
      </w:pPr>
      <w:rPr>
        <w:rFonts w:hint="default" w:ascii="Times New Roman" w:hAnsi="Times New Roman" w:cs="Times New Roman"/>
        <w:color w:val="auto"/>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
    <w:nsid w:val="5B30473B"/>
    <w:multiLevelType w:val="multilevel"/>
    <w:tmpl w:val="5B30473B"/>
    <w:lvl w:ilvl="0" w:tentative="0">
      <w:start w:val="1"/>
      <w:numFmt w:val="decimal"/>
      <w:lvlText w:val="%1"/>
      <w:lvlJc w:val="left"/>
      <w:pPr>
        <w:tabs>
          <w:tab w:val="left" w:pos="420"/>
        </w:tabs>
        <w:ind w:left="0" w:firstLine="0"/>
      </w:pPr>
      <w:rPr>
        <w:rFonts w:hint="default" w:ascii="宋体" w:hAnsi="宋体" w:eastAsia="宋体" w:cs="宋体"/>
        <w:sz w:val="24"/>
        <w:szCs w:val="24"/>
      </w:rPr>
    </w:lvl>
    <w:lvl w:ilvl="1" w:tentative="0">
      <w:start w:val="1"/>
      <w:numFmt w:val="decimal"/>
      <w:pStyle w:val="5"/>
      <w:lvlText w:val="%1.%2"/>
      <w:lvlJc w:val="left"/>
      <w:pPr>
        <w:tabs>
          <w:tab w:val="left" w:pos="0"/>
        </w:tabs>
        <w:ind w:left="0" w:firstLine="0"/>
      </w:pPr>
      <w:rPr>
        <w:rFonts w:hint="default" w:ascii="宋体" w:hAnsi="宋体" w:eastAsia="宋体" w:cs="宋体"/>
        <w:sz w:val="24"/>
        <w:szCs w:val="24"/>
      </w:rPr>
    </w:lvl>
    <w:lvl w:ilvl="2" w:tentative="0">
      <w:start w:val="1"/>
      <w:numFmt w:val="decimal"/>
      <w:lvlText w:val="%1.%2.%3"/>
      <w:lvlJc w:val="left"/>
      <w:pPr>
        <w:tabs>
          <w:tab w:val="left" w:pos="0"/>
        </w:tabs>
        <w:ind w:left="0" w:firstLine="0"/>
      </w:pPr>
      <w:rPr>
        <w:rFonts w:hint="default" w:ascii="Arial" w:hAnsi="Arial" w:eastAsia="宋体" w:cs="Arial"/>
        <w:sz w:val="21"/>
        <w:szCs w:val="21"/>
      </w:r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5">
    <w:nsid w:val="76933334"/>
    <w:multiLevelType w:val="multilevel"/>
    <w:tmpl w:val="76933334"/>
    <w:lvl w:ilvl="0" w:tentative="0">
      <w:start w:val="1"/>
      <w:numFmt w:val="upperLetter"/>
      <w:pStyle w:val="20"/>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500"/>
  <w:hyphenationZone w:val="360"/>
  <w:drawingGridVerticalSpacing w:val="159"/>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zNGZkOTUwZWQ2YzAxMjAxYWRmN2M3YTgzMjk3M2EifQ=="/>
  </w:docVars>
  <w:rsids>
    <w:rsidRoot w:val="00000000"/>
    <w:rsid w:val="00B7156E"/>
    <w:rsid w:val="06886BEF"/>
    <w:rsid w:val="10032AF7"/>
    <w:rsid w:val="11BC6DA5"/>
    <w:rsid w:val="13730FB2"/>
    <w:rsid w:val="172D7B7A"/>
    <w:rsid w:val="1C744C31"/>
    <w:rsid w:val="220B18C2"/>
    <w:rsid w:val="2367163B"/>
    <w:rsid w:val="29B76C2B"/>
    <w:rsid w:val="31C81CC4"/>
    <w:rsid w:val="35E82082"/>
    <w:rsid w:val="39CD0F7B"/>
    <w:rsid w:val="3B0B742E"/>
    <w:rsid w:val="3FA870BB"/>
    <w:rsid w:val="40442DB2"/>
    <w:rsid w:val="40E44A60"/>
    <w:rsid w:val="42021762"/>
    <w:rsid w:val="427767FB"/>
    <w:rsid w:val="502A4FCF"/>
    <w:rsid w:val="59115DEE"/>
    <w:rsid w:val="5AE83531"/>
    <w:rsid w:val="5BA5390A"/>
    <w:rsid w:val="60E50004"/>
    <w:rsid w:val="70CD0346"/>
    <w:rsid w:val="740D11FE"/>
    <w:rsid w:val="783B0F50"/>
    <w:rsid w:val="7A4A0C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numPr>
        <w:ilvl w:val="1"/>
        <w:numId w:val="1"/>
      </w:numPr>
      <w:tabs>
        <w:tab w:val="left" w:pos="420"/>
      </w:tabs>
      <w:spacing w:line="360" w:lineRule="auto"/>
      <w:jc w:val="center"/>
      <w:outlineLvl w:val="1"/>
    </w:pPr>
    <w:rPr>
      <w:rFonts w:ascii="Arial" w:hAnsi="Arial" w:eastAsiaTheme="minorEastAsia"/>
      <w:bCs/>
      <w:sz w:val="24"/>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宋体" w:hAnsi="宋体" w:eastAsia="宋体" w:cs="宋体"/>
      <w:sz w:val="43"/>
      <w:szCs w:val="43"/>
      <w:lang w:val="en-US" w:eastAsia="en-US" w:bidi="ar-SA"/>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next w:val="1"/>
    <w:qFormat/>
    <w:uiPriority w:val="0"/>
    <w:pPr>
      <w:tabs>
        <w:tab w:val="left" w:pos="368"/>
        <w:tab w:val="right" w:leader="dot" w:pos="9345"/>
      </w:tabs>
      <w:spacing w:line="360" w:lineRule="auto"/>
      <w:jc w:val="both"/>
    </w:pPr>
    <w:rPr>
      <w:rFonts w:ascii="宋体" w:hAnsi="Times New Roman" w:eastAsia="宋体" w:cs="Times New Roman"/>
      <w:sz w:val="21"/>
      <w:lang w:val="en-US" w:eastAsia="zh-CN" w:bidi="ar-SA"/>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4"/>
      <w:szCs w:val="24"/>
      <w:lang w:val="en-US" w:eastAsia="en-US" w:bidi="ar-SA"/>
    </w:rPr>
  </w:style>
  <w:style w:type="paragraph" w:customStyle="1" w:styleId="15">
    <w:name w:val="_Style 3"/>
    <w:basedOn w:val="1"/>
    <w:qFormat/>
    <w:uiPriority w:val="34"/>
    <w:pPr>
      <w:spacing w:line="360" w:lineRule="auto"/>
      <w:ind w:firstLine="420" w:firstLineChars="200"/>
    </w:pPr>
    <w:rPr>
      <w:rFonts w:ascii="Calibri" w:hAnsi="Calibri"/>
      <w:szCs w:val="22"/>
    </w:rPr>
  </w:style>
  <w:style w:type="paragraph" w:customStyle="1" w:styleId="16">
    <w:name w:val="表格"/>
    <w:basedOn w:val="1"/>
    <w:qFormat/>
    <w:uiPriority w:val="0"/>
    <w:pPr>
      <w:wordWrap w:val="0"/>
      <w:ind w:firstLine="0" w:firstLineChars="0"/>
      <w:jc w:val="center"/>
    </w:pPr>
    <w:rPr>
      <w:rFonts w:ascii="Times New Roman" w:hAnsi="Times New Roman"/>
      <w:sz w:val="21"/>
      <w:szCs w:val="21"/>
    </w:rPr>
  </w:style>
  <w:style w:type="paragraph" w:customStyle="1" w:styleId="17">
    <w:name w:val="段"/>
    <w:qFormat/>
    <w:uiPriority w:val="0"/>
    <w:pPr>
      <w:autoSpaceDE w:val="0"/>
      <w:autoSpaceDN w:val="0"/>
      <w:ind w:firstLine="420" w:firstLineChars="200"/>
      <w:jc w:val="both"/>
    </w:pPr>
    <w:rPr>
      <w:rFonts w:ascii="宋体" w:hAnsi="Times New Roman" w:eastAsia="宋体" w:cs="宋体"/>
      <w:sz w:val="21"/>
      <w:szCs w:val="21"/>
      <w:lang w:val="en-US" w:eastAsia="zh-CN" w:bidi="ar-SA"/>
    </w:rPr>
  </w:style>
  <w:style w:type="paragraph" w:customStyle="1" w:styleId="18">
    <w:name w:val="图表目录1"/>
    <w:basedOn w:val="19"/>
    <w:next w:val="19"/>
    <w:qFormat/>
    <w:uiPriority w:val="0"/>
    <w:pPr>
      <w:ind w:left="200" w:leftChars="200" w:hanging="200" w:hangingChars="200"/>
    </w:pPr>
    <w:rPr>
      <w:rFonts w:ascii="Calibri" w:hAnsi="Calibri" w:eastAsia="宋体" w:cs="Times New Roman"/>
    </w:rPr>
  </w:style>
  <w:style w:type="paragraph" w:customStyle="1" w:styleId="1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附录标识"/>
    <w:basedOn w:val="21"/>
    <w:qFormat/>
    <w:uiPriority w:val="0"/>
    <w:pPr>
      <w:numPr>
        <w:ilvl w:val="0"/>
        <w:numId w:val="2"/>
      </w:numPr>
      <w:tabs>
        <w:tab w:val="left" w:pos="6405"/>
      </w:tabs>
      <w:spacing w:after="200"/>
    </w:pPr>
    <w:rPr>
      <w:sz w:val="21"/>
    </w:rPr>
  </w:style>
  <w:style w:type="paragraph" w:customStyle="1" w:styleId="21">
    <w:name w:val="前言、引言标题"/>
    <w:next w:val="1"/>
    <w:qFormat/>
    <w:uiPriority w:val="99"/>
    <w:pPr>
      <w:shd w:val="clear" w:color="FFFFFF" w:fill="FFFFFF"/>
      <w:spacing w:before="640" w:after="560"/>
      <w:jc w:val="center"/>
      <w:outlineLvl w:val="0"/>
    </w:pPr>
    <w:rPr>
      <w:rFonts w:ascii="黑体" w:hAnsi="Times New Roman" w:eastAsia="黑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1018</Words>
  <Characters>1311</Characters>
  <TotalTime>51</TotalTime>
  <ScaleCrop>false</ScaleCrop>
  <LinksUpToDate>false</LinksUpToDate>
  <CharactersWithSpaces>1347</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2024-10-25T11:53:00Z</dcterms:created>
  <dc:creator>时过境迁</dc:creator>
  <cp:lastModifiedBy>周炅</cp:lastModifiedBy>
  <dcterms:modified xsi:type="dcterms:W3CDTF">2026-03-24T09:18:38Z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2024-11-02T09:22:33Z</vt:filetime>
  </property>
  <property fmtid="{D5CDD505-2E9C-101B-9397-08002B2CF9AE}" pid="4" name="KSOProductBuildVer">
    <vt:lpwstr>2052-12.1.0.25225</vt:lpwstr>
  </property>
  <property fmtid="{D5CDD505-2E9C-101B-9397-08002B2CF9AE}" pid="5" name="ICV">
    <vt:lpwstr>2565C086387347D59805B89115065312_13</vt:lpwstr>
  </property>
  <property fmtid="{D5CDD505-2E9C-101B-9397-08002B2CF9AE}" pid="6" name="KSOTemplateDocerSaveRecord">
    <vt:lpwstr>eyJoZGlkIjoiMzEwNTM5NzYwMDRjMzkwZTVkZjY2ODkwMGIxNGU0OTUiLCJ1c2VySWQiOiIyNzE3Njk1MjEifQ==</vt:lpwstr>
  </property>
</Properties>
</file>