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hd w:val="clear" w:color="auto" w:fill="FFFFFF"/>
        <w:spacing w:line="360" w:lineRule="auto"/>
        <w:jc w:val="center"/>
        <w:outlineLvl w:val="0"/>
        <w:rPr>
          <w:rFonts w:hint="eastAsia" w:eastAsia="仿宋"/>
          <w:b/>
          <w:color w:val="auto"/>
          <w:sz w:val="32"/>
          <w:szCs w:val="32"/>
          <w:highlight w:val="none"/>
        </w:rPr>
      </w:pPr>
      <w:bookmarkStart w:id="0" w:name="_Toc250988913"/>
      <w:bookmarkStart w:id="1" w:name="_Toc446509936"/>
      <w:r>
        <w:rPr>
          <w:rFonts w:eastAsia="仿宋"/>
          <w:b/>
          <w:color w:val="auto"/>
          <w:sz w:val="32"/>
          <w:szCs w:val="32"/>
          <w:highlight w:val="none"/>
        </w:rPr>
        <w:t xml:space="preserve"> 技术</w:t>
      </w:r>
      <w:bookmarkEnd w:id="0"/>
      <w:r>
        <w:rPr>
          <w:rFonts w:eastAsia="仿宋"/>
          <w:b/>
          <w:color w:val="auto"/>
          <w:sz w:val="32"/>
          <w:szCs w:val="32"/>
          <w:highlight w:val="none"/>
        </w:rPr>
        <w:t>文件</w:t>
      </w:r>
      <w:bookmarkEnd w:id="1"/>
    </w:p>
    <w:p>
      <w:pPr>
        <w:pStyle w:val="8"/>
        <w:numPr>
          <w:ilvl w:val="0"/>
          <w:numId w:val="1"/>
        </w:numPr>
        <w:snapToGrid w:val="0"/>
        <w:spacing w:line="360" w:lineRule="auto"/>
        <w:ind w:firstLineChars="0"/>
        <w:rPr>
          <w:rFonts w:ascii="仿宋" w:hAnsi="仿宋" w:eastAsia="仿宋"/>
          <w:color w:val="auto"/>
          <w:sz w:val="24"/>
          <w:highlight w:val="none"/>
        </w:rPr>
      </w:pPr>
      <w:r>
        <w:rPr>
          <w:rFonts w:hint="eastAsia" w:ascii="仿宋" w:hAnsi="仿宋" w:eastAsia="仿宋"/>
          <w:color w:val="auto"/>
          <w:sz w:val="24"/>
          <w:highlight w:val="none"/>
        </w:rPr>
        <w:t>服务范围</w:t>
      </w:r>
    </w:p>
    <w:tbl>
      <w:tblPr>
        <w:tblStyle w:val="5"/>
        <w:tblW w:w="4998" w:type="pct"/>
        <w:tblInd w:w="0" w:type="dxa"/>
        <w:tblLayout w:type="autofit"/>
        <w:tblCellMar>
          <w:top w:w="0" w:type="dxa"/>
          <w:left w:w="108" w:type="dxa"/>
          <w:bottom w:w="0" w:type="dxa"/>
          <w:right w:w="108" w:type="dxa"/>
        </w:tblCellMar>
      </w:tblPr>
      <w:tblGrid>
        <w:gridCol w:w="671"/>
        <w:gridCol w:w="2317"/>
        <w:gridCol w:w="2303"/>
        <w:gridCol w:w="1932"/>
        <w:gridCol w:w="1296"/>
      </w:tblGrid>
      <w:tr>
        <w:tblPrEx>
          <w:tblCellMar>
            <w:top w:w="0" w:type="dxa"/>
            <w:left w:w="108" w:type="dxa"/>
            <w:bottom w:w="0" w:type="dxa"/>
            <w:right w:w="108" w:type="dxa"/>
          </w:tblCellMar>
        </w:tblPrEx>
        <w:trPr>
          <w:trHeight w:val="540" w:hRule="atLeast"/>
        </w:trPr>
        <w:tc>
          <w:tcPr>
            <w:tcW w:w="394"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仿宋" w:hAnsi="仿宋" w:eastAsia="仿宋"/>
                <w:color w:val="auto"/>
                <w:sz w:val="24"/>
                <w:szCs w:val="28"/>
                <w:highlight w:val="none"/>
              </w:rPr>
            </w:pPr>
            <w:r>
              <w:rPr>
                <w:rFonts w:hint="eastAsia" w:ascii="仿宋" w:hAnsi="仿宋" w:eastAsia="仿宋"/>
                <w:color w:val="auto"/>
                <w:sz w:val="24"/>
                <w:szCs w:val="28"/>
                <w:highlight w:val="none"/>
              </w:rPr>
              <w:t>序号</w:t>
            </w:r>
          </w:p>
        </w:tc>
        <w:tc>
          <w:tcPr>
            <w:tcW w:w="1359" w:type="pct"/>
            <w:tcBorders>
              <w:top w:val="single" w:color="auto" w:sz="4" w:space="0"/>
              <w:left w:val="nil"/>
              <w:bottom w:val="single" w:color="auto" w:sz="4" w:space="0"/>
              <w:right w:val="single" w:color="auto" w:sz="4" w:space="0"/>
            </w:tcBorders>
            <w:shd w:val="clear" w:color="auto" w:fill="auto"/>
            <w:vAlign w:val="center"/>
          </w:tcPr>
          <w:p>
            <w:pPr>
              <w:jc w:val="center"/>
              <w:rPr>
                <w:rFonts w:ascii="仿宋" w:hAnsi="仿宋" w:eastAsia="仿宋"/>
                <w:color w:val="auto"/>
                <w:sz w:val="24"/>
                <w:szCs w:val="28"/>
                <w:highlight w:val="none"/>
              </w:rPr>
            </w:pPr>
            <w:r>
              <w:rPr>
                <w:rFonts w:hint="eastAsia" w:ascii="仿宋" w:hAnsi="仿宋" w:eastAsia="仿宋"/>
                <w:color w:val="auto"/>
                <w:sz w:val="24"/>
                <w:szCs w:val="28"/>
                <w:highlight w:val="none"/>
              </w:rPr>
              <w:t>项目名称</w:t>
            </w:r>
          </w:p>
        </w:tc>
        <w:tc>
          <w:tcPr>
            <w:tcW w:w="1351" w:type="pct"/>
            <w:tcBorders>
              <w:top w:val="single" w:color="auto" w:sz="4" w:space="0"/>
              <w:left w:val="nil"/>
              <w:bottom w:val="single" w:color="auto" w:sz="4" w:space="0"/>
              <w:right w:val="single" w:color="auto" w:sz="4" w:space="0"/>
            </w:tcBorders>
            <w:shd w:val="clear" w:color="000000" w:fill="FFFFFF"/>
            <w:vAlign w:val="center"/>
          </w:tcPr>
          <w:p>
            <w:pPr>
              <w:jc w:val="center"/>
              <w:rPr>
                <w:rFonts w:ascii="仿宋" w:hAnsi="仿宋" w:eastAsia="仿宋"/>
                <w:color w:val="auto"/>
                <w:sz w:val="24"/>
                <w:szCs w:val="28"/>
                <w:highlight w:val="none"/>
              </w:rPr>
            </w:pPr>
            <w:r>
              <w:rPr>
                <w:rFonts w:hint="eastAsia" w:ascii="仿宋" w:hAnsi="仿宋" w:eastAsia="仿宋"/>
                <w:color w:val="auto"/>
                <w:sz w:val="24"/>
                <w:szCs w:val="28"/>
                <w:highlight w:val="none"/>
              </w:rPr>
              <w:t>服务范围</w:t>
            </w:r>
          </w:p>
        </w:tc>
        <w:tc>
          <w:tcPr>
            <w:tcW w:w="1133" w:type="pct"/>
            <w:tcBorders>
              <w:top w:val="single" w:color="auto" w:sz="4" w:space="0"/>
              <w:left w:val="nil"/>
              <w:bottom w:val="single" w:color="auto" w:sz="4" w:space="0"/>
              <w:right w:val="single" w:color="auto" w:sz="4" w:space="0"/>
            </w:tcBorders>
            <w:shd w:val="clear" w:color="000000" w:fill="FFFFFF"/>
            <w:vAlign w:val="center"/>
          </w:tcPr>
          <w:p>
            <w:pPr>
              <w:jc w:val="center"/>
              <w:rPr>
                <w:rFonts w:ascii="仿宋" w:hAnsi="仿宋" w:eastAsia="仿宋"/>
                <w:color w:val="auto"/>
                <w:sz w:val="24"/>
                <w:szCs w:val="28"/>
                <w:highlight w:val="none"/>
              </w:rPr>
            </w:pPr>
            <w:r>
              <w:rPr>
                <w:rFonts w:hint="eastAsia" w:ascii="仿宋" w:hAnsi="仿宋" w:eastAsia="仿宋"/>
                <w:color w:val="auto"/>
                <w:sz w:val="24"/>
                <w:szCs w:val="28"/>
                <w:highlight w:val="none"/>
              </w:rPr>
              <w:t>预期目标和交付成果</w:t>
            </w:r>
          </w:p>
        </w:tc>
        <w:tc>
          <w:tcPr>
            <w:tcW w:w="760" w:type="pct"/>
            <w:tcBorders>
              <w:top w:val="single" w:color="auto" w:sz="4" w:space="0"/>
              <w:left w:val="single" w:color="auto" w:sz="4" w:space="0"/>
              <w:bottom w:val="single" w:color="auto" w:sz="4" w:space="0"/>
              <w:right w:val="single" w:color="auto" w:sz="4" w:space="0"/>
            </w:tcBorders>
            <w:shd w:val="clear" w:color="000000" w:fill="FFFFFF"/>
            <w:vAlign w:val="center"/>
          </w:tcPr>
          <w:p>
            <w:pPr>
              <w:jc w:val="center"/>
              <w:rPr>
                <w:rFonts w:ascii="仿宋" w:hAnsi="仿宋" w:eastAsia="仿宋"/>
                <w:color w:val="auto"/>
                <w:sz w:val="24"/>
                <w:szCs w:val="28"/>
                <w:highlight w:val="none"/>
              </w:rPr>
            </w:pPr>
            <w:r>
              <w:rPr>
                <w:rFonts w:hint="eastAsia" w:ascii="仿宋" w:hAnsi="仿宋" w:eastAsia="仿宋"/>
                <w:color w:val="auto"/>
                <w:sz w:val="24"/>
                <w:szCs w:val="28"/>
                <w:highlight w:val="none"/>
              </w:rPr>
              <w:t>备注</w:t>
            </w:r>
          </w:p>
        </w:tc>
      </w:tr>
      <w:tr>
        <w:tblPrEx>
          <w:tblCellMar>
            <w:top w:w="0" w:type="dxa"/>
            <w:left w:w="108" w:type="dxa"/>
            <w:bottom w:w="0" w:type="dxa"/>
            <w:right w:w="108" w:type="dxa"/>
          </w:tblCellMar>
        </w:tblPrEx>
        <w:trPr>
          <w:trHeight w:val="510" w:hRule="atLeast"/>
        </w:trPr>
        <w:tc>
          <w:tcPr>
            <w:tcW w:w="394" w:type="pct"/>
            <w:tcBorders>
              <w:top w:val="nil"/>
              <w:left w:val="single" w:color="auto" w:sz="4" w:space="0"/>
              <w:bottom w:val="single" w:color="auto" w:sz="4" w:space="0"/>
              <w:right w:val="single" w:color="auto" w:sz="4" w:space="0"/>
            </w:tcBorders>
            <w:shd w:val="clear" w:color="000000" w:fill="FFFFFF"/>
            <w:vAlign w:val="center"/>
          </w:tcPr>
          <w:p>
            <w:pPr>
              <w:jc w:val="center"/>
              <w:rPr>
                <w:rFonts w:ascii="仿宋" w:hAnsi="仿宋" w:eastAsia="仿宋"/>
                <w:color w:val="auto"/>
                <w:szCs w:val="21"/>
                <w:highlight w:val="none"/>
              </w:rPr>
            </w:pPr>
            <w:r>
              <w:rPr>
                <w:rFonts w:ascii="仿宋" w:hAnsi="仿宋" w:eastAsia="仿宋"/>
                <w:color w:val="auto"/>
                <w:szCs w:val="21"/>
                <w:highlight w:val="none"/>
              </w:rPr>
              <w:t>1</w:t>
            </w:r>
          </w:p>
        </w:tc>
        <w:tc>
          <w:tcPr>
            <w:tcW w:w="1359" w:type="pct"/>
            <w:tcBorders>
              <w:top w:val="nil"/>
              <w:left w:val="nil"/>
              <w:bottom w:val="single" w:color="auto" w:sz="4" w:space="0"/>
              <w:right w:val="single" w:color="auto" w:sz="4" w:space="0"/>
            </w:tcBorders>
            <w:shd w:val="clear" w:color="000000" w:fill="FFFFFF"/>
            <w:vAlign w:val="center"/>
          </w:tcPr>
          <w:p>
            <w:pPr>
              <w:pStyle w:val="8"/>
              <w:numPr>
                <w:ilvl w:val="0"/>
                <w:numId w:val="0"/>
              </w:numPr>
              <w:snapToGrid w:val="0"/>
              <w:spacing w:line="360" w:lineRule="auto"/>
              <w:ind w:right="26" w:rightChars="0"/>
              <w:rPr>
                <w:rFonts w:hint="eastAsia" w:ascii="仿宋" w:hAnsi="仿宋" w:eastAsia="仿宋"/>
                <w:color w:val="auto"/>
                <w:szCs w:val="21"/>
                <w:highlight w:val="none"/>
                <w:lang w:eastAsia="zh-CN"/>
              </w:rPr>
            </w:pPr>
            <w:r>
              <w:rPr>
                <w:rFonts w:hint="eastAsia" w:ascii="仿宋" w:hAnsi="仿宋" w:eastAsia="仿宋"/>
                <w:color w:val="auto"/>
                <w:kern w:val="0"/>
                <w:sz w:val="24"/>
                <w:highlight w:val="none"/>
                <w:lang w:val="en-US" w:eastAsia="zh-CN"/>
              </w:rPr>
              <w:t>智能高效直流充电数据监视研究服务</w:t>
            </w:r>
          </w:p>
        </w:tc>
        <w:tc>
          <w:tcPr>
            <w:tcW w:w="1351" w:type="pct"/>
            <w:tcBorders>
              <w:top w:val="nil"/>
              <w:left w:val="nil"/>
              <w:bottom w:val="single" w:color="auto" w:sz="4" w:space="0"/>
              <w:right w:val="single" w:color="auto" w:sz="4" w:space="0"/>
            </w:tcBorders>
            <w:shd w:val="clear" w:color="000000" w:fill="FFFFFF"/>
            <w:vAlign w:val="center"/>
          </w:tcPr>
          <w:p>
            <w:pPr>
              <w:jc w:val="center"/>
              <w:rPr>
                <w:rFonts w:ascii="仿宋" w:hAnsi="仿宋" w:eastAsia="仿宋"/>
                <w:color w:val="auto"/>
                <w:szCs w:val="21"/>
                <w:highlight w:val="none"/>
              </w:rPr>
            </w:pPr>
            <w:r>
              <w:rPr>
                <w:rFonts w:hint="eastAsia" w:ascii="仿宋" w:hAnsi="仿宋" w:eastAsia="仿宋"/>
                <w:color w:val="auto"/>
                <w:szCs w:val="21"/>
                <w:highlight w:val="none"/>
              </w:rPr>
              <w:t>见第2节</w:t>
            </w:r>
          </w:p>
        </w:tc>
        <w:tc>
          <w:tcPr>
            <w:tcW w:w="1133" w:type="pct"/>
            <w:tcBorders>
              <w:top w:val="nil"/>
              <w:left w:val="nil"/>
              <w:bottom w:val="single" w:color="auto" w:sz="4" w:space="0"/>
              <w:right w:val="single" w:color="auto" w:sz="4" w:space="0"/>
            </w:tcBorders>
            <w:shd w:val="clear" w:color="000000" w:fill="FFFFFF"/>
            <w:vAlign w:val="center"/>
          </w:tcPr>
          <w:p>
            <w:pPr>
              <w:jc w:val="center"/>
              <w:rPr>
                <w:rFonts w:ascii="仿宋" w:hAnsi="仿宋" w:eastAsia="仿宋"/>
                <w:color w:val="auto"/>
                <w:szCs w:val="21"/>
                <w:highlight w:val="none"/>
              </w:rPr>
            </w:pPr>
            <w:r>
              <w:rPr>
                <w:rFonts w:hint="eastAsia" w:ascii="仿宋" w:hAnsi="仿宋" w:eastAsia="仿宋"/>
                <w:color w:val="auto"/>
                <w:szCs w:val="21"/>
                <w:highlight w:val="none"/>
              </w:rPr>
              <w:t>见第2节</w:t>
            </w:r>
          </w:p>
        </w:tc>
        <w:tc>
          <w:tcPr>
            <w:tcW w:w="760" w:type="pct"/>
            <w:tcBorders>
              <w:top w:val="single" w:color="auto" w:sz="4" w:space="0"/>
              <w:left w:val="single" w:color="auto" w:sz="4" w:space="0"/>
              <w:bottom w:val="single" w:color="auto" w:sz="4" w:space="0"/>
              <w:right w:val="single" w:color="auto" w:sz="4" w:space="0"/>
            </w:tcBorders>
            <w:shd w:val="clear" w:color="000000" w:fill="FFFFFF"/>
            <w:vAlign w:val="center"/>
          </w:tcPr>
          <w:p>
            <w:pPr>
              <w:jc w:val="center"/>
              <w:rPr>
                <w:rFonts w:ascii="仿宋" w:hAnsi="仿宋" w:eastAsia="仿宋"/>
                <w:color w:val="auto"/>
                <w:szCs w:val="21"/>
                <w:highlight w:val="none"/>
              </w:rPr>
            </w:pPr>
            <w:r>
              <w:rPr>
                <w:rFonts w:ascii="仿宋" w:hAnsi="仿宋" w:eastAsia="仿宋"/>
                <w:color w:val="auto"/>
                <w:szCs w:val="21"/>
                <w:highlight w:val="none"/>
              </w:rPr>
              <w:t>—</w:t>
            </w:r>
          </w:p>
        </w:tc>
      </w:tr>
    </w:tbl>
    <w:p>
      <w:pPr>
        <w:pStyle w:val="8"/>
        <w:snapToGrid w:val="0"/>
        <w:spacing w:line="360" w:lineRule="auto"/>
        <w:ind w:left="425" w:firstLine="0" w:firstLineChars="0"/>
        <w:rPr>
          <w:rFonts w:ascii="仿宋" w:hAnsi="仿宋" w:eastAsia="仿宋"/>
          <w:color w:val="auto"/>
          <w:sz w:val="24"/>
          <w:highlight w:val="none"/>
        </w:rPr>
      </w:pPr>
    </w:p>
    <w:p>
      <w:pPr>
        <w:pStyle w:val="8"/>
        <w:numPr>
          <w:ilvl w:val="0"/>
          <w:numId w:val="1"/>
        </w:numPr>
        <w:snapToGrid w:val="0"/>
        <w:spacing w:line="360" w:lineRule="auto"/>
        <w:ind w:firstLineChars="0"/>
        <w:rPr>
          <w:rFonts w:ascii="仿宋" w:hAnsi="仿宋" w:eastAsia="仿宋"/>
          <w:color w:val="auto"/>
          <w:sz w:val="24"/>
          <w:highlight w:val="none"/>
        </w:rPr>
      </w:pPr>
      <w:r>
        <w:rPr>
          <w:rFonts w:hint="eastAsia" w:ascii="仿宋" w:hAnsi="仿宋" w:eastAsia="仿宋"/>
          <w:color w:val="auto"/>
          <w:sz w:val="24"/>
          <w:highlight w:val="none"/>
        </w:rPr>
        <w:t>委托内容和要求</w:t>
      </w:r>
    </w:p>
    <w:p>
      <w:pPr>
        <w:pStyle w:val="8"/>
        <w:numPr>
          <w:ilvl w:val="1"/>
          <w:numId w:val="1"/>
        </w:numPr>
        <w:snapToGrid w:val="0"/>
        <w:spacing w:line="360" w:lineRule="auto"/>
        <w:ind w:firstLineChars="0"/>
        <w:rPr>
          <w:rFonts w:ascii="仿宋" w:hAnsi="仿宋" w:eastAsia="仿宋"/>
          <w:color w:val="auto"/>
          <w:sz w:val="24"/>
          <w:highlight w:val="none"/>
        </w:rPr>
      </w:pPr>
      <w:r>
        <w:rPr>
          <w:rFonts w:hint="eastAsia" w:ascii="仿宋" w:hAnsi="仿宋" w:eastAsia="仿宋"/>
          <w:color w:val="auto"/>
          <w:kern w:val="0"/>
          <w:sz w:val="24"/>
          <w:highlight w:val="none"/>
        </w:rPr>
        <w:t>项目说明：</w:t>
      </w:r>
    </w:p>
    <w:p>
      <w:pPr>
        <w:pStyle w:val="8"/>
        <w:numPr>
          <w:ilvl w:val="0"/>
          <w:numId w:val="0"/>
        </w:numPr>
        <w:snapToGrid w:val="0"/>
        <w:spacing w:line="360" w:lineRule="auto"/>
        <w:ind w:right="26" w:rightChars="0" w:firstLine="480" w:firstLineChars="200"/>
        <w:rPr>
          <w:rFonts w:hint="eastAsia" w:ascii="仿宋" w:hAnsi="仿宋" w:eastAsia="仿宋"/>
          <w:color w:val="auto"/>
          <w:kern w:val="0"/>
          <w:sz w:val="24"/>
          <w:highlight w:val="none"/>
          <w:lang w:val="en-US" w:eastAsia="zh-CN"/>
        </w:rPr>
      </w:pPr>
      <w:r>
        <w:rPr>
          <w:rFonts w:hint="eastAsia" w:ascii="仿宋" w:hAnsi="仿宋" w:eastAsia="仿宋"/>
          <w:color w:val="auto"/>
          <w:kern w:val="0"/>
          <w:sz w:val="24"/>
          <w:highlight w:val="none"/>
          <w:lang w:val="en-US" w:eastAsia="zh-CN"/>
        </w:rPr>
        <w:t>本项目围绕直流充电桩与电网互动需求，针对直流光储充场站产业推广，开展智能高效直流充放电数据监视与车网协同智能控制关键技术研究，通过构建全链路数据监测体系与多因素智能调度策略，实现实时数据监控与动态功率分配，推动直流光储充场站高效运维、电网柔性互动与电力市场深度融合，助力新能源消纳与产业降本增效，为直流光储充场站规模化应用提供技术支撑与产业示范。</w:t>
      </w:r>
    </w:p>
    <w:p>
      <w:pPr>
        <w:pStyle w:val="8"/>
        <w:numPr>
          <w:ilvl w:val="1"/>
          <w:numId w:val="1"/>
        </w:numPr>
        <w:snapToGrid w:val="0"/>
        <w:spacing w:line="360" w:lineRule="auto"/>
        <w:ind w:firstLineChars="0"/>
        <w:rPr>
          <w:rFonts w:ascii="仿宋" w:hAnsi="仿宋" w:eastAsia="仿宋"/>
          <w:color w:val="auto"/>
          <w:kern w:val="0"/>
          <w:sz w:val="24"/>
          <w:highlight w:val="none"/>
        </w:rPr>
      </w:pPr>
      <w:r>
        <w:rPr>
          <w:rFonts w:hint="eastAsia" w:ascii="仿宋" w:hAnsi="仿宋" w:eastAsia="仿宋"/>
          <w:color w:val="auto"/>
          <w:kern w:val="0"/>
          <w:sz w:val="24"/>
          <w:highlight w:val="none"/>
        </w:rPr>
        <w:t>委托内容：</w:t>
      </w:r>
    </w:p>
    <w:p>
      <w:pPr>
        <w:pStyle w:val="8"/>
        <w:numPr>
          <w:ilvl w:val="0"/>
          <w:numId w:val="0"/>
        </w:numPr>
        <w:snapToGrid w:val="0"/>
        <w:spacing w:line="360" w:lineRule="auto"/>
        <w:ind w:right="26" w:rightChars="0"/>
        <w:rPr>
          <w:rFonts w:hint="default" w:ascii="仿宋" w:hAnsi="仿宋" w:eastAsia="仿宋"/>
          <w:color w:val="auto"/>
          <w:kern w:val="0"/>
          <w:sz w:val="24"/>
          <w:highlight w:val="none"/>
          <w:lang w:val="en-US" w:eastAsia="zh-CN"/>
        </w:rPr>
      </w:pPr>
      <w:r>
        <w:rPr>
          <w:rFonts w:hint="eastAsia" w:ascii="仿宋" w:hAnsi="仿宋" w:eastAsia="仿宋"/>
          <w:color w:val="auto"/>
          <w:kern w:val="0"/>
          <w:sz w:val="24"/>
          <w:highlight w:val="none"/>
          <w:lang w:val="en-US" w:eastAsia="zh-CN"/>
        </w:rPr>
        <w:t>研究内容一：智能高效直流充电数据监视方案</w:t>
      </w:r>
    </w:p>
    <w:p>
      <w:pPr>
        <w:pStyle w:val="8"/>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right="0" w:rightChars="0" w:firstLine="480" w:firstLineChars="200"/>
        <w:textAlignment w:val="auto"/>
        <w:rPr>
          <w:rFonts w:hint="eastAsia" w:ascii="仿宋" w:hAnsi="仿宋" w:eastAsia="仿宋"/>
          <w:color w:val="auto"/>
          <w:kern w:val="0"/>
          <w:sz w:val="24"/>
          <w:highlight w:val="none"/>
          <w:lang w:val="en-US" w:eastAsia="zh-CN"/>
        </w:rPr>
      </w:pPr>
      <w:r>
        <w:rPr>
          <w:rFonts w:hint="eastAsia" w:ascii="仿宋" w:hAnsi="仿宋" w:eastAsia="仿宋"/>
          <w:color w:val="auto"/>
          <w:kern w:val="0"/>
          <w:sz w:val="24"/>
          <w:highlight w:val="none"/>
          <w:lang w:val="en-US" w:eastAsia="zh-CN"/>
        </w:rPr>
        <w:t>针对直流充电站的安全运行需求，构建全链路数据监视体系。通过多元数据采集、边缘计算与通信技术，实时监测充电桩电压电流、电池状态等参数；研究直流充放电数据可视化方法与风险预警机制，实现数据透明化与故障感知。为充电功率控制策略提供精准数据基座，支撑场站实现高效运维与风险防控。</w:t>
      </w:r>
    </w:p>
    <w:p>
      <w:pPr>
        <w:pStyle w:val="8"/>
        <w:numPr>
          <w:ilvl w:val="0"/>
          <w:numId w:val="0"/>
        </w:numPr>
        <w:snapToGrid w:val="0"/>
        <w:spacing w:line="360" w:lineRule="auto"/>
        <w:ind w:right="26" w:rightChars="0"/>
        <w:rPr>
          <w:rFonts w:hint="default" w:ascii="仿宋" w:hAnsi="仿宋" w:eastAsia="仿宋"/>
          <w:color w:val="auto"/>
          <w:kern w:val="0"/>
          <w:sz w:val="24"/>
          <w:highlight w:val="none"/>
          <w:lang w:val="en-US" w:eastAsia="zh-CN"/>
        </w:rPr>
      </w:pPr>
      <w:r>
        <w:rPr>
          <w:rFonts w:hint="eastAsia" w:ascii="仿宋" w:hAnsi="仿宋" w:eastAsia="仿宋"/>
          <w:color w:val="auto"/>
          <w:kern w:val="0"/>
          <w:sz w:val="24"/>
          <w:highlight w:val="none"/>
          <w:lang w:val="en-US" w:eastAsia="zh-CN"/>
        </w:rPr>
        <w:t>研究内容二：车网协同智能控制方案</w:t>
      </w:r>
    </w:p>
    <w:p>
      <w:pPr>
        <w:pStyle w:val="8"/>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right="0" w:rightChars="0" w:firstLine="480" w:firstLineChars="200"/>
        <w:textAlignment w:val="auto"/>
        <w:rPr>
          <w:rFonts w:hint="eastAsia" w:ascii="仿宋" w:hAnsi="仿宋" w:eastAsia="仿宋"/>
          <w:color w:val="auto"/>
          <w:kern w:val="0"/>
          <w:sz w:val="24"/>
          <w:highlight w:val="none"/>
          <w:lang w:val="en-US" w:eastAsia="zh-CN"/>
        </w:rPr>
      </w:pPr>
      <w:r>
        <w:rPr>
          <w:rFonts w:hint="eastAsia" w:ascii="仿宋" w:hAnsi="仿宋" w:eastAsia="仿宋"/>
          <w:color w:val="auto"/>
          <w:kern w:val="0"/>
          <w:sz w:val="24"/>
          <w:highlight w:val="none"/>
          <w:lang w:val="en-US" w:eastAsia="zh-CN"/>
        </w:rPr>
        <w:t>聚焦车网协同的智能控制路径，围绕车网互动能力设计动态充放电控制算法，构建电网负荷及车辆状态等多因素影响的智能调度策略。研究协同控制技术，实时响应控制指令，精准调控车辆集群的充放电时序与功率，动态分配充放电功率，综合平衡电动汽车用户充电需求、电网调峰。</w:t>
      </w:r>
    </w:p>
    <w:p>
      <w:pPr>
        <w:pStyle w:val="8"/>
        <w:numPr>
          <w:ilvl w:val="1"/>
          <w:numId w:val="1"/>
        </w:numPr>
        <w:snapToGrid w:val="0"/>
        <w:spacing w:line="360" w:lineRule="auto"/>
        <w:ind w:firstLineChars="0"/>
        <w:rPr>
          <w:rFonts w:ascii="仿宋" w:hAnsi="仿宋" w:eastAsia="仿宋"/>
          <w:color w:val="auto"/>
          <w:kern w:val="0"/>
          <w:sz w:val="24"/>
          <w:highlight w:val="none"/>
        </w:rPr>
      </w:pPr>
      <w:r>
        <w:rPr>
          <w:rFonts w:hint="eastAsia" w:ascii="仿宋" w:hAnsi="仿宋" w:eastAsia="仿宋"/>
          <w:color w:val="auto"/>
          <w:kern w:val="0"/>
          <w:sz w:val="24"/>
          <w:highlight w:val="none"/>
        </w:rPr>
        <w:t>预期目标和交付成果：</w:t>
      </w:r>
    </w:p>
    <w:p>
      <w:pPr>
        <w:pStyle w:val="8"/>
        <w:numPr>
          <w:ilvl w:val="0"/>
          <w:numId w:val="2"/>
        </w:numPr>
        <w:snapToGrid w:val="0"/>
        <w:spacing w:line="360" w:lineRule="auto"/>
        <w:ind w:right="26" w:firstLineChars="0"/>
        <w:rPr>
          <w:rFonts w:ascii="仿宋" w:hAnsi="仿宋" w:eastAsia="仿宋"/>
          <w:color w:val="auto"/>
          <w:kern w:val="0"/>
          <w:sz w:val="24"/>
          <w:highlight w:val="none"/>
        </w:rPr>
      </w:pPr>
      <w:r>
        <w:rPr>
          <w:rFonts w:hint="eastAsia" w:ascii="仿宋" w:hAnsi="仿宋" w:eastAsia="仿宋"/>
          <w:color w:val="auto"/>
          <w:kern w:val="0"/>
          <w:sz w:val="24"/>
          <w:highlight w:val="none"/>
          <w:lang w:val="en-US" w:eastAsia="zh-CN"/>
        </w:rPr>
        <w:t>完成研究内容一和研究内容二；</w:t>
      </w:r>
    </w:p>
    <w:p>
      <w:pPr>
        <w:pStyle w:val="8"/>
        <w:numPr>
          <w:ilvl w:val="0"/>
          <w:numId w:val="2"/>
        </w:numPr>
        <w:snapToGrid w:val="0"/>
        <w:spacing w:line="360" w:lineRule="auto"/>
        <w:ind w:right="26" w:firstLineChars="0"/>
        <w:rPr>
          <w:rFonts w:ascii="仿宋" w:hAnsi="仿宋" w:eastAsia="仿宋"/>
          <w:color w:val="auto"/>
          <w:kern w:val="0"/>
          <w:sz w:val="24"/>
          <w:highlight w:val="none"/>
        </w:rPr>
      </w:pPr>
      <w:r>
        <w:rPr>
          <w:rFonts w:hint="eastAsia" w:ascii="仿宋" w:hAnsi="仿宋" w:eastAsia="仿宋"/>
          <w:color w:val="auto"/>
          <w:kern w:val="0"/>
          <w:sz w:val="24"/>
          <w:highlight w:val="none"/>
          <w:lang w:val="en-US" w:eastAsia="zh-CN"/>
        </w:rPr>
        <w:t>交付《智能高效直流充电数据监视方案》技术报告；</w:t>
      </w:r>
    </w:p>
    <w:p>
      <w:pPr>
        <w:pStyle w:val="8"/>
        <w:numPr>
          <w:ilvl w:val="0"/>
          <w:numId w:val="2"/>
        </w:numPr>
        <w:snapToGrid w:val="0"/>
        <w:spacing w:line="360" w:lineRule="auto"/>
        <w:ind w:right="26" w:firstLineChars="0"/>
        <w:rPr>
          <w:rFonts w:ascii="仿宋" w:hAnsi="仿宋" w:eastAsia="仿宋"/>
          <w:color w:val="auto"/>
          <w:kern w:val="0"/>
          <w:sz w:val="24"/>
          <w:highlight w:val="none"/>
        </w:rPr>
      </w:pPr>
      <w:r>
        <w:rPr>
          <w:rFonts w:hint="eastAsia" w:ascii="仿宋" w:hAnsi="仿宋" w:eastAsia="仿宋"/>
          <w:color w:val="auto"/>
          <w:kern w:val="0"/>
          <w:sz w:val="24"/>
          <w:highlight w:val="none"/>
          <w:lang w:val="en-US" w:eastAsia="zh-CN"/>
        </w:rPr>
        <w:t>交付《车网协同智能控制方案》技术报告</w:t>
      </w:r>
    </w:p>
    <w:p>
      <w:pPr>
        <w:pStyle w:val="8"/>
        <w:numPr>
          <w:ilvl w:val="1"/>
          <w:numId w:val="1"/>
        </w:numPr>
        <w:snapToGrid w:val="0"/>
        <w:spacing w:line="360" w:lineRule="auto"/>
        <w:ind w:firstLineChars="0"/>
        <w:rPr>
          <w:rFonts w:ascii="仿宋" w:hAnsi="仿宋" w:eastAsia="仿宋"/>
          <w:color w:val="auto"/>
          <w:kern w:val="0"/>
          <w:sz w:val="24"/>
          <w:highlight w:val="none"/>
        </w:rPr>
      </w:pPr>
      <w:r>
        <w:rPr>
          <w:rFonts w:hint="eastAsia" w:ascii="仿宋" w:hAnsi="仿宋" w:eastAsia="仿宋"/>
          <w:color w:val="auto"/>
          <w:kern w:val="0"/>
          <w:sz w:val="24"/>
          <w:highlight w:val="none"/>
        </w:rPr>
        <w:t>服务期限：</w:t>
      </w:r>
      <w:bookmarkStart w:id="2" w:name="_GoBack"/>
      <w:bookmarkEnd w:id="2"/>
    </w:p>
    <w:p>
      <w:pPr>
        <w:snapToGrid w:val="0"/>
        <w:spacing w:line="360" w:lineRule="auto"/>
        <w:ind w:firstLine="480" w:firstLineChars="200"/>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val="en-US" w:eastAsia="zh-CN"/>
        </w:rPr>
        <w:t>完成采购</w:t>
      </w:r>
      <w:r>
        <w:rPr>
          <w:rFonts w:ascii="仿宋" w:hAnsi="仿宋" w:eastAsia="仿宋"/>
          <w:color w:val="auto"/>
          <w:sz w:val="24"/>
          <w:szCs w:val="24"/>
          <w:highlight w:val="none"/>
        </w:rPr>
        <w:t>之日起</w:t>
      </w:r>
      <w:r>
        <w:rPr>
          <w:rFonts w:hint="eastAsia" w:ascii="仿宋" w:hAnsi="仿宋" w:eastAsia="仿宋"/>
          <w:color w:val="auto"/>
          <w:sz w:val="24"/>
          <w:szCs w:val="24"/>
          <w:highlight w:val="none"/>
        </w:rPr>
        <w:t>至</w:t>
      </w:r>
      <w:r>
        <w:rPr>
          <w:rFonts w:hint="eastAsia" w:ascii="仿宋" w:hAnsi="仿宋" w:eastAsia="仿宋"/>
          <w:color w:val="auto"/>
          <w:sz w:val="24"/>
          <w:szCs w:val="24"/>
          <w:highlight w:val="none"/>
          <w:lang w:val="en-US" w:eastAsia="zh-CN"/>
        </w:rPr>
        <w:t>2026</w:t>
      </w:r>
      <w:r>
        <w:rPr>
          <w:rFonts w:hint="eastAsia" w:ascii="仿宋" w:hAnsi="仿宋" w:eastAsia="仿宋"/>
          <w:color w:val="auto"/>
          <w:sz w:val="24"/>
          <w:szCs w:val="24"/>
          <w:highlight w:val="none"/>
        </w:rPr>
        <w:t>年</w:t>
      </w:r>
      <w:r>
        <w:rPr>
          <w:rFonts w:hint="eastAsia" w:ascii="仿宋" w:hAnsi="仿宋" w:eastAsia="仿宋"/>
          <w:color w:val="auto"/>
          <w:sz w:val="24"/>
          <w:szCs w:val="24"/>
          <w:highlight w:val="none"/>
          <w:lang w:val="en-US" w:eastAsia="zh-CN"/>
        </w:rPr>
        <w:t>07</w:t>
      </w:r>
      <w:r>
        <w:rPr>
          <w:rFonts w:hint="eastAsia" w:ascii="仿宋" w:hAnsi="仿宋" w:eastAsia="仿宋"/>
          <w:color w:val="auto"/>
          <w:sz w:val="24"/>
          <w:szCs w:val="24"/>
          <w:highlight w:val="none"/>
        </w:rPr>
        <w:t>月</w:t>
      </w:r>
      <w:r>
        <w:rPr>
          <w:rFonts w:hint="eastAsia" w:ascii="仿宋" w:hAnsi="仿宋" w:eastAsia="仿宋"/>
          <w:color w:val="auto"/>
          <w:sz w:val="24"/>
          <w:szCs w:val="24"/>
          <w:highlight w:val="none"/>
          <w:lang w:val="en-US" w:eastAsia="zh-CN"/>
        </w:rPr>
        <w:t>30日</w:t>
      </w:r>
      <w:r>
        <w:rPr>
          <w:rFonts w:hint="eastAsia" w:ascii="仿宋" w:hAnsi="仿宋" w:eastAsia="仿宋"/>
          <w:color w:val="auto"/>
          <w:sz w:val="24"/>
          <w:szCs w:val="24"/>
          <w:highlight w:val="none"/>
        </w:rPr>
        <w:t>验收</w:t>
      </w:r>
      <w:r>
        <w:rPr>
          <w:rFonts w:ascii="仿宋" w:hAnsi="仿宋" w:eastAsia="仿宋"/>
          <w:color w:val="auto"/>
          <w:sz w:val="24"/>
          <w:szCs w:val="24"/>
          <w:highlight w:val="none"/>
        </w:rPr>
        <w:t>完成</w:t>
      </w:r>
      <w:r>
        <w:rPr>
          <w:rFonts w:hint="eastAsia" w:ascii="仿宋" w:hAnsi="仿宋" w:eastAsia="仿宋"/>
          <w:color w:val="auto"/>
          <w:sz w:val="24"/>
          <w:szCs w:val="24"/>
          <w:highlight w:val="none"/>
        </w:rPr>
        <w:t>止</w:t>
      </w:r>
      <w:r>
        <w:rPr>
          <w:rFonts w:hint="eastAsia" w:ascii="仿宋" w:hAnsi="仿宋" w:eastAsia="仿宋"/>
          <w:color w:val="auto"/>
          <w:sz w:val="24"/>
          <w:szCs w:val="24"/>
          <w:highlight w:val="none"/>
          <w:lang w:eastAsia="zh-CN"/>
        </w:rPr>
        <w:t>。</w:t>
      </w:r>
    </w:p>
    <w:p>
      <w:pPr>
        <w:pStyle w:val="8"/>
        <w:numPr>
          <w:ilvl w:val="1"/>
          <w:numId w:val="1"/>
        </w:numPr>
        <w:snapToGrid w:val="0"/>
        <w:spacing w:line="360" w:lineRule="auto"/>
        <w:ind w:firstLineChars="0"/>
        <w:rPr>
          <w:rFonts w:ascii="仿宋" w:hAnsi="仿宋" w:eastAsia="仿宋"/>
          <w:color w:val="auto"/>
          <w:kern w:val="0"/>
          <w:sz w:val="24"/>
          <w:highlight w:val="none"/>
        </w:rPr>
      </w:pPr>
      <w:r>
        <w:rPr>
          <w:rFonts w:hint="eastAsia" w:ascii="仿宋" w:hAnsi="仿宋" w:eastAsia="仿宋"/>
          <w:color w:val="auto"/>
          <w:kern w:val="0"/>
          <w:sz w:val="24"/>
          <w:highlight w:val="none"/>
        </w:rPr>
        <w:t xml:space="preserve"> 工作进度安排：</w:t>
      </w:r>
    </w:p>
    <w:p>
      <w:pPr>
        <w:pStyle w:val="8"/>
        <w:snapToGrid w:val="0"/>
        <w:spacing w:line="360" w:lineRule="auto"/>
        <w:ind w:left="425" w:firstLine="480" w:firstLineChars="200"/>
        <w:rPr>
          <w:rFonts w:hint="eastAsia" w:ascii="仿宋" w:hAnsi="仿宋" w:eastAsia="仿宋"/>
          <w:color w:val="auto"/>
          <w:kern w:val="0"/>
          <w:sz w:val="24"/>
          <w:highlight w:val="none"/>
          <w:lang w:val="en-US" w:eastAsia="zh-CN"/>
        </w:rPr>
      </w:pPr>
      <w:r>
        <w:rPr>
          <w:rFonts w:hint="eastAsia" w:ascii="仿宋" w:hAnsi="仿宋" w:eastAsia="仿宋"/>
          <w:color w:val="auto"/>
          <w:kern w:val="0"/>
          <w:sz w:val="24"/>
          <w:highlight w:val="none"/>
          <w:lang w:val="en-US" w:eastAsia="zh-CN"/>
        </w:rPr>
        <w:t>2026</w:t>
      </w:r>
      <w:r>
        <w:rPr>
          <w:rFonts w:ascii="仿宋" w:hAnsi="仿宋" w:eastAsia="仿宋"/>
          <w:color w:val="auto"/>
          <w:kern w:val="0"/>
          <w:sz w:val="24"/>
          <w:highlight w:val="none"/>
        </w:rPr>
        <w:t>年</w:t>
      </w:r>
      <w:r>
        <w:rPr>
          <w:rFonts w:hint="eastAsia" w:ascii="仿宋" w:hAnsi="仿宋" w:eastAsia="仿宋"/>
          <w:color w:val="auto"/>
          <w:kern w:val="0"/>
          <w:sz w:val="24"/>
          <w:highlight w:val="none"/>
          <w:lang w:val="en-US" w:eastAsia="zh-CN"/>
        </w:rPr>
        <w:t>07</w:t>
      </w:r>
      <w:r>
        <w:rPr>
          <w:rFonts w:ascii="仿宋" w:hAnsi="仿宋" w:eastAsia="仿宋"/>
          <w:color w:val="auto"/>
          <w:kern w:val="0"/>
          <w:sz w:val="24"/>
          <w:highlight w:val="none"/>
        </w:rPr>
        <w:t>月</w:t>
      </w:r>
      <w:r>
        <w:rPr>
          <w:rFonts w:hint="eastAsia" w:ascii="仿宋" w:hAnsi="仿宋" w:eastAsia="仿宋"/>
          <w:color w:val="auto"/>
          <w:kern w:val="0"/>
          <w:sz w:val="24"/>
          <w:highlight w:val="none"/>
          <w:lang w:val="en-US" w:eastAsia="zh-CN"/>
        </w:rPr>
        <w:t>15</w:t>
      </w:r>
      <w:r>
        <w:rPr>
          <w:rFonts w:hint="eastAsia" w:ascii="仿宋" w:hAnsi="仿宋" w:eastAsia="仿宋"/>
          <w:color w:val="auto"/>
          <w:kern w:val="0"/>
          <w:sz w:val="24"/>
          <w:highlight w:val="none"/>
        </w:rPr>
        <w:t>日</w:t>
      </w:r>
      <w:r>
        <w:rPr>
          <w:rFonts w:ascii="仿宋" w:hAnsi="仿宋" w:eastAsia="仿宋"/>
          <w:color w:val="auto"/>
          <w:kern w:val="0"/>
          <w:sz w:val="24"/>
          <w:highlight w:val="none"/>
        </w:rPr>
        <w:t>前完成</w:t>
      </w:r>
      <w:r>
        <w:rPr>
          <w:rFonts w:hint="eastAsia" w:ascii="仿宋" w:hAnsi="仿宋" w:eastAsia="仿宋"/>
          <w:color w:val="auto"/>
          <w:kern w:val="0"/>
          <w:sz w:val="24"/>
          <w:highlight w:val="none"/>
          <w:lang w:val="en-US" w:eastAsia="zh-CN"/>
        </w:rPr>
        <w:t>研究内容一：基于V2G的智能高效直流充放电数据监视方法研究，并交付《智能高效直流充电数据监视方案》技术报告；</w:t>
      </w:r>
    </w:p>
    <w:p>
      <w:pPr>
        <w:pStyle w:val="8"/>
        <w:snapToGrid w:val="0"/>
        <w:spacing w:line="360" w:lineRule="auto"/>
        <w:ind w:left="425" w:firstLine="480" w:firstLineChars="200"/>
        <w:rPr>
          <w:rFonts w:ascii="仿宋" w:hAnsi="仿宋" w:eastAsia="仿宋"/>
          <w:color w:val="auto"/>
          <w:kern w:val="0"/>
          <w:sz w:val="24"/>
          <w:highlight w:val="none"/>
        </w:rPr>
      </w:pPr>
      <w:r>
        <w:rPr>
          <w:rFonts w:hint="eastAsia" w:ascii="仿宋" w:hAnsi="仿宋" w:eastAsia="仿宋"/>
          <w:color w:val="auto"/>
          <w:kern w:val="0"/>
          <w:sz w:val="24"/>
          <w:highlight w:val="none"/>
          <w:lang w:val="en-US" w:eastAsia="zh-CN"/>
        </w:rPr>
        <w:t>2026年07月15日前完成研究内容二：车网协同V2G双向充放智能控制的应用研究，并交付《车网协同智能控制方案》技术报告</w:t>
      </w:r>
      <w:r>
        <w:rPr>
          <w:rFonts w:ascii="仿宋" w:hAnsi="仿宋" w:eastAsia="仿宋"/>
          <w:color w:val="auto"/>
          <w:kern w:val="0"/>
          <w:sz w:val="24"/>
          <w:highlight w:val="none"/>
        </w:rPr>
        <w:t>。</w:t>
      </w:r>
    </w:p>
    <w:p>
      <w:pPr>
        <w:pStyle w:val="8"/>
        <w:numPr>
          <w:ilvl w:val="1"/>
          <w:numId w:val="1"/>
        </w:numPr>
        <w:snapToGrid w:val="0"/>
        <w:spacing w:line="360" w:lineRule="auto"/>
        <w:ind w:firstLineChars="0"/>
        <w:rPr>
          <w:rFonts w:ascii="仿宋" w:hAnsi="仿宋" w:eastAsia="仿宋"/>
          <w:color w:val="auto"/>
          <w:kern w:val="0"/>
          <w:sz w:val="24"/>
          <w:highlight w:val="none"/>
        </w:rPr>
      </w:pPr>
      <w:r>
        <w:rPr>
          <w:rFonts w:hint="eastAsia" w:ascii="仿宋" w:hAnsi="仿宋" w:eastAsia="仿宋"/>
          <w:color w:val="auto"/>
          <w:kern w:val="0"/>
          <w:sz w:val="24"/>
          <w:highlight w:val="none"/>
        </w:rPr>
        <w:t>安装和调试：</w:t>
      </w:r>
    </w:p>
    <w:p>
      <w:pPr>
        <w:spacing w:line="360" w:lineRule="auto"/>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无</w:t>
      </w:r>
    </w:p>
    <w:p>
      <w:pPr>
        <w:pStyle w:val="8"/>
        <w:numPr>
          <w:ilvl w:val="1"/>
          <w:numId w:val="1"/>
        </w:numPr>
        <w:snapToGrid w:val="0"/>
        <w:spacing w:line="360" w:lineRule="auto"/>
        <w:ind w:firstLineChars="0"/>
        <w:rPr>
          <w:rFonts w:ascii="仿宋" w:hAnsi="仿宋" w:eastAsia="仿宋"/>
          <w:color w:val="auto"/>
          <w:sz w:val="24"/>
          <w:highlight w:val="none"/>
        </w:rPr>
      </w:pPr>
      <w:r>
        <w:rPr>
          <w:rFonts w:hint="eastAsia" w:ascii="仿宋" w:hAnsi="仿宋" w:eastAsia="仿宋"/>
          <w:color w:val="auto"/>
          <w:kern w:val="0"/>
          <w:sz w:val="24"/>
          <w:highlight w:val="none"/>
        </w:rPr>
        <w:t>验收：</w:t>
      </w:r>
    </w:p>
    <w:p>
      <w:pPr>
        <w:snapToGrid w:val="0"/>
        <w:spacing w:line="360" w:lineRule="auto"/>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lang w:val="en-US" w:eastAsia="zh-CN"/>
        </w:rPr>
        <w:t>提交两份技术报告</w:t>
      </w:r>
      <w:r>
        <w:rPr>
          <w:rFonts w:hint="eastAsia" w:ascii="仿宋" w:hAnsi="仿宋" w:eastAsia="仿宋"/>
          <w:color w:val="auto"/>
          <w:sz w:val="24"/>
          <w:szCs w:val="24"/>
          <w:highlight w:val="none"/>
        </w:rPr>
        <w:t>。</w:t>
      </w:r>
    </w:p>
    <w:p>
      <w:pPr>
        <w:pStyle w:val="8"/>
        <w:numPr>
          <w:ilvl w:val="1"/>
          <w:numId w:val="1"/>
        </w:numPr>
        <w:snapToGrid w:val="0"/>
        <w:spacing w:line="360" w:lineRule="auto"/>
        <w:ind w:firstLineChars="0"/>
        <w:rPr>
          <w:rFonts w:ascii="仿宋" w:hAnsi="仿宋" w:eastAsia="仿宋"/>
          <w:color w:val="auto"/>
          <w:kern w:val="0"/>
          <w:sz w:val="24"/>
          <w:highlight w:val="none"/>
        </w:rPr>
      </w:pPr>
      <w:r>
        <w:rPr>
          <w:rFonts w:hint="eastAsia" w:ascii="仿宋" w:hAnsi="仿宋" w:eastAsia="仿宋"/>
          <w:color w:val="auto"/>
          <w:kern w:val="0"/>
          <w:sz w:val="24"/>
          <w:highlight w:val="none"/>
        </w:rPr>
        <w:t>质保期：</w:t>
      </w:r>
    </w:p>
    <w:p>
      <w:pPr>
        <w:snapToGrid w:val="0"/>
        <w:spacing w:line="360" w:lineRule="auto"/>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无</w:t>
      </w:r>
    </w:p>
    <w:p>
      <w:pPr>
        <w:pStyle w:val="8"/>
        <w:numPr>
          <w:ilvl w:val="1"/>
          <w:numId w:val="1"/>
        </w:numPr>
        <w:snapToGrid w:val="0"/>
        <w:spacing w:line="360" w:lineRule="auto"/>
        <w:ind w:firstLineChars="0"/>
        <w:rPr>
          <w:rFonts w:ascii="仿宋" w:hAnsi="仿宋" w:eastAsia="仿宋"/>
          <w:color w:val="auto"/>
          <w:sz w:val="24"/>
          <w:highlight w:val="none"/>
        </w:rPr>
      </w:pPr>
      <w:r>
        <w:rPr>
          <w:rFonts w:hint="eastAsia" w:ascii="仿宋" w:hAnsi="仿宋" w:eastAsia="仿宋"/>
          <w:color w:val="auto"/>
          <w:kern w:val="0"/>
          <w:sz w:val="24"/>
          <w:highlight w:val="none"/>
        </w:rPr>
        <w:t xml:space="preserve"> 培训：</w:t>
      </w:r>
    </w:p>
    <w:p>
      <w:pPr>
        <w:snapToGrid w:val="0"/>
        <w:spacing w:line="360" w:lineRule="auto"/>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无</w:t>
      </w:r>
    </w:p>
    <w:p>
      <w:pPr>
        <w:pStyle w:val="8"/>
        <w:numPr>
          <w:ilvl w:val="1"/>
          <w:numId w:val="1"/>
        </w:numPr>
        <w:snapToGrid w:val="0"/>
        <w:spacing w:line="360" w:lineRule="auto"/>
        <w:ind w:firstLineChars="0"/>
        <w:rPr>
          <w:rFonts w:ascii="仿宋" w:hAnsi="仿宋" w:eastAsia="仿宋"/>
          <w:color w:val="auto"/>
          <w:kern w:val="0"/>
          <w:sz w:val="24"/>
          <w:highlight w:val="none"/>
        </w:rPr>
      </w:pPr>
      <w:r>
        <w:rPr>
          <w:rFonts w:hint="eastAsia" w:ascii="仿宋" w:hAnsi="仿宋" w:eastAsia="仿宋"/>
          <w:color w:val="auto"/>
          <w:kern w:val="0"/>
          <w:sz w:val="24"/>
          <w:highlight w:val="none"/>
        </w:rPr>
        <w:t xml:space="preserve"> 质量保证及售后服务：</w:t>
      </w:r>
    </w:p>
    <w:p>
      <w:pPr>
        <w:snapToGrid w:val="0"/>
        <w:spacing w:line="360" w:lineRule="auto"/>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报告提交后</w:t>
      </w:r>
      <w:r>
        <w:rPr>
          <w:rFonts w:ascii="仿宋" w:hAnsi="仿宋" w:eastAsia="仿宋"/>
          <w:color w:val="auto"/>
          <w:sz w:val="24"/>
          <w:szCs w:val="24"/>
          <w:highlight w:val="none"/>
        </w:rPr>
        <w:t>，</w:t>
      </w:r>
      <w:r>
        <w:rPr>
          <w:rFonts w:hint="eastAsia" w:ascii="仿宋" w:hAnsi="仿宋" w:eastAsia="仿宋"/>
          <w:color w:val="auto"/>
          <w:sz w:val="24"/>
          <w:szCs w:val="24"/>
          <w:highlight w:val="none"/>
        </w:rPr>
        <w:t>投标人应对委托方关于合同内容的咨询需求提供相应免费咨询服务。</w:t>
      </w:r>
    </w:p>
    <w:p>
      <w:pPr>
        <w:pStyle w:val="8"/>
        <w:numPr>
          <w:ilvl w:val="1"/>
          <w:numId w:val="1"/>
        </w:numPr>
        <w:snapToGrid w:val="0"/>
        <w:spacing w:line="360" w:lineRule="auto"/>
        <w:ind w:firstLineChars="0"/>
        <w:rPr>
          <w:rFonts w:ascii="仿宋" w:hAnsi="仿宋" w:eastAsia="仿宋"/>
          <w:color w:val="auto"/>
          <w:kern w:val="0"/>
          <w:sz w:val="24"/>
          <w:highlight w:val="none"/>
        </w:rPr>
      </w:pPr>
      <w:r>
        <w:rPr>
          <w:rFonts w:hint="eastAsia" w:ascii="仿宋" w:hAnsi="仿宋" w:eastAsia="仿宋"/>
          <w:color w:val="auto"/>
          <w:kern w:val="0"/>
          <w:sz w:val="24"/>
          <w:highlight w:val="none"/>
        </w:rPr>
        <w:t xml:space="preserve"> 其它：</w:t>
      </w:r>
    </w:p>
    <w:p>
      <w:pPr>
        <w:snapToGrid w:val="0"/>
        <w:spacing w:line="360" w:lineRule="auto"/>
        <w:ind w:firstLine="480" w:firstLineChars="200"/>
        <w:rPr>
          <w:rFonts w:hint="default"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完成服务成果的交付并验收通过后，一次性支付总费用。</w:t>
      </w:r>
    </w:p>
    <w:sectPr>
      <w:headerReference r:id="rId3" w:type="default"/>
      <w:footerReference r:id="rId4" w:type="default"/>
      <w:footerReference r:id="rId5" w:type="even"/>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moder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page" w:x="5880" w:y="-14"/>
      <w:rPr>
        <w:rStyle w:val="7"/>
      </w:rPr>
    </w:pPr>
    <w:r>
      <w:fldChar w:fldCharType="begin"/>
    </w:r>
    <w:r>
      <w:rPr>
        <w:rStyle w:val="7"/>
      </w:rPr>
      <w:instrText xml:space="preserve">PAGE  </w:instrText>
    </w:r>
    <w:r>
      <w:fldChar w:fldCharType="separate"/>
    </w:r>
    <w:r>
      <w:rPr>
        <w:rStyle w:val="7"/>
      </w:rPr>
      <w:t>12</w:t>
    </w:r>
    <w:r>
      <w:fldChar w:fldCharType="end"/>
    </w:r>
  </w:p>
  <w:p>
    <w:pPr>
      <w:pStyle w:val="3"/>
      <w:spacing w:line="360" w:lineRule="auto"/>
      <w:ind w:right="360"/>
      <w:jc w:val="both"/>
      <w:rPr>
        <w:rFonts w:hint="eastAsia" w:ascii="宋体"/>
        <w:b/>
        <w:bCs/>
      </w:rPr>
    </w:pPr>
    <w:r>
      <w:rPr>
        <w:rFonts w:hint="eastAsia" w:ascii="宋体"/>
        <w:bCs/>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right" w:y="1"/>
      <w:rPr>
        <w:rStyle w:val="7"/>
      </w:rPr>
    </w:pPr>
    <w:r>
      <w:fldChar w:fldCharType="begin"/>
    </w:r>
    <w:r>
      <w:rPr>
        <w:rStyle w:val="7"/>
      </w:rPr>
      <w:instrText xml:space="preserve">PAGE  </w:instrText>
    </w:r>
    <w:r>
      <w:fldChar w:fldCharType="separate"/>
    </w:r>
    <w:r>
      <w:fldChar w:fldCharType="end"/>
    </w:r>
  </w:p>
  <w:p>
    <w:pPr>
      <w:pStyle w:val="3"/>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left="-2" w:leftChars="-71" w:hanging="140" w:hangingChars="78"/>
      <w:jc w:val="left"/>
      <w:rPr>
        <w:rFonts w:hint="eastAsia" w:ascii="楷体_GB2312" w:hAnsi="宋体" w:eastAsia="楷体_GB2312"/>
      </w:rPr>
    </w:pPr>
    <w:r>
      <w:rPr>
        <w:rFonts w:hint="eastAsia" w:ascii="楷体_GB2312" w:hAnsi="宋体" w:eastAsia="楷体_GB2312"/>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8F853E3"/>
    <w:multiLevelType w:val="multilevel"/>
    <w:tmpl w:val="08F853E3"/>
    <w:lvl w:ilvl="0" w:tentative="0">
      <w:start w:val="1"/>
      <w:numFmt w:val="decimal"/>
      <w:lvlText w:val="（%1）"/>
      <w:lvlJc w:val="left"/>
      <w:pPr>
        <w:ind w:left="1145" w:hanging="720"/>
      </w:pPr>
      <w:rPr>
        <w:rFonts w:hint="default"/>
      </w:rPr>
    </w:lvl>
    <w:lvl w:ilvl="1" w:tentative="0">
      <w:start w:val="1"/>
      <w:numFmt w:val="lowerLetter"/>
      <w:lvlText w:val="%2)"/>
      <w:lvlJc w:val="left"/>
      <w:pPr>
        <w:ind w:left="1265" w:hanging="420"/>
      </w:pPr>
    </w:lvl>
    <w:lvl w:ilvl="2" w:tentative="0">
      <w:start w:val="1"/>
      <w:numFmt w:val="lowerRoman"/>
      <w:lvlText w:val="%3."/>
      <w:lvlJc w:val="right"/>
      <w:pPr>
        <w:ind w:left="1685" w:hanging="420"/>
      </w:pPr>
    </w:lvl>
    <w:lvl w:ilvl="3" w:tentative="0">
      <w:start w:val="1"/>
      <w:numFmt w:val="decimal"/>
      <w:lvlText w:val="%4."/>
      <w:lvlJc w:val="left"/>
      <w:pPr>
        <w:ind w:left="2105" w:hanging="420"/>
      </w:pPr>
    </w:lvl>
    <w:lvl w:ilvl="4" w:tentative="0">
      <w:start w:val="1"/>
      <w:numFmt w:val="lowerLetter"/>
      <w:lvlText w:val="%5)"/>
      <w:lvlJc w:val="left"/>
      <w:pPr>
        <w:ind w:left="2525" w:hanging="420"/>
      </w:pPr>
    </w:lvl>
    <w:lvl w:ilvl="5" w:tentative="0">
      <w:start w:val="1"/>
      <w:numFmt w:val="lowerRoman"/>
      <w:lvlText w:val="%6."/>
      <w:lvlJc w:val="right"/>
      <w:pPr>
        <w:ind w:left="2945" w:hanging="420"/>
      </w:pPr>
    </w:lvl>
    <w:lvl w:ilvl="6" w:tentative="0">
      <w:start w:val="1"/>
      <w:numFmt w:val="decimal"/>
      <w:lvlText w:val="%7."/>
      <w:lvlJc w:val="left"/>
      <w:pPr>
        <w:ind w:left="3365" w:hanging="420"/>
      </w:pPr>
    </w:lvl>
    <w:lvl w:ilvl="7" w:tentative="0">
      <w:start w:val="1"/>
      <w:numFmt w:val="lowerLetter"/>
      <w:lvlText w:val="%8)"/>
      <w:lvlJc w:val="left"/>
      <w:pPr>
        <w:ind w:left="3785" w:hanging="420"/>
      </w:pPr>
    </w:lvl>
    <w:lvl w:ilvl="8" w:tentative="0">
      <w:start w:val="1"/>
      <w:numFmt w:val="lowerRoman"/>
      <w:lvlText w:val="%9."/>
      <w:lvlJc w:val="right"/>
      <w:pPr>
        <w:ind w:left="4205" w:hanging="420"/>
      </w:pPr>
    </w:lvl>
  </w:abstractNum>
  <w:abstractNum w:abstractNumId="1">
    <w:nsid w:val="35843CB9"/>
    <w:multiLevelType w:val="multilevel"/>
    <w:tmpl w:val="35843CB9"/>
    <w:lvl w:ilvl="0" w:tentative="0">
      <w:start w:val="1"/>
      <w:numFmt w:val="decimal"/>
      <w:lvlText w:val="%1"/>
      <w:lvlJc w:val="left"/>
      <w:pPr>
        <w:ind w:left="425" w:hanging="425"/>
      </w:p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7"/>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C437F13"/>
    <w:rsid w:val="00FF6DD9"/>
    <w:rsid w:val="026104DB"/>
    <w:rsid w:val="0AAA2B3A"/>
    <w:rsid w:val="0C437F13"/>
    <w:rsid w:val="30A37812"/>
    <w:rsid w:val="32C1314B"/>
    <w:rsid w:val="35F42508"/>
    <w:rsid w:val="3DA74285"/>
    <w:rsid w:val="3EDE414C"/>
    <w:rsid w:val="411B0543"/>
    <w:rsid w:val="42FB64AA"/>
    <w:rsid w:val="438C2802"/>
    <w:rsid w:val="48CC40EF"/>
    <w:rsid w:val="49862264"/>
    <w:rsid w:val="500E086A"/>
    <w:rsid w:val="52740577"/>
    <w:rsid w:val="55B56451"/>
    <w:rsid w:val="58907460"/>
    <w:rsid w:val="58DF747E"/>
    <w:rsid w:val="59B07E1D"/>
    <w:rsid w:val="5B281A4F"/>
    <w:rsid w:val="62975ADA"/>
    <w:rsid w:val="664168E1"/>
    <w:rsid w:val="6947095A"/>
    <w:rsid w:val="6E1C37E3"/>
    <w:rsid w:val="6ED92F86"/>
    <w:rsid w:val="72D92D8B"/>
    <w:rsid w:val="7B1121F9"/>
    <w:rsid w:val="7FE664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styleId="7">
    <w:name w:val="page number"/>
    <w:basedOn w:val="6"/>
    <w:qFormat/>
    <w:uiPriority w:val="0"/>
  </w:style>
  <w:style w:type="paragraph" w:customStyle="1" w:styleId="8">
    <w:name w:val="列出段落1"/>
    <w:basedOn w:val="1"/>
    <w:qFormat/>
    <w:uiPriority w:val="34"/>
    <w:pPr>
      <w:widowControl w:val="0"/>
      <w:ind w:firstLine="420" w:firstLineChars="200"/>
      <w:jc w:val="both"/>
    </w:pPr>
    <w:rPr>
      <w:kern w:val="2"/>
      <w:sz w:val="21"/>
      <w:szCs w:val="24"/>
    </w:rPr>
  </w:style>
  <w:style w:type="paragraph" w:customStyle="1" w:styleId="9">
    <w:name w:val="_Style 4"/>
    <w:basedOn w:val="1"/>
    <w:qFormat/>
    <w:uiPriority w:val="99"/>
    <w:pPr>
      <w:widowControl w:val="0"/>
      <w:adjustRightInd w:val="0"/>
      <w:snapToGrid w:val="0"/>
      <w:spacing w:line="360" w:lineRule="auto"/>
      <w:ind w:firstLine="420" w:firstLineChars="200"/>
      <w:jc w:val="both"/>
    </w:pPr>
    <w:rPr>
      <w:kern w:val="2"/>
      <w:sz w:val="2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电科院</Company>
  <Pages>2</Pages>
  <Words>550</Words>
  <Characters>581</Characters>
  <Lines>0</Lines>
  <Paragraphs>0</Paragraphs>
  <TotalTime>23</TotalTime>
  <ScaleCrop>false</ScaleCrop>
  <LinksUpToDate>false</LinksUpToDate>
  <CharactersWithSpaces>592</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2018-03-01T13:52:00Z</dcterms:created>
  <dc:creator>杨俊坤(兼职)</dc:creator>
  <cp:lastModifiedBy>yanyt</cp:lastModifiedBy>
  <dcterms:modified xsi:type="dcterms:W3CDTF">2026-04-09T06:24:49Z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D0D3BAB891CF6A3456BBD4692C4EB51B_43</vt:lpwstr>
  </property>
  <property fmtid="{D5CDD505-2E9C-101B-9397-08002B2CF9AE}" pid="4" name="KSOTemplateDocerSaveRecord">
    <vt:lpwstr>eyJoZGlkIjoiNTIyYmNmNDFiNGEyZDFmODY4MDUyNzFiZjNmMmEwNDciLCJ1c2VySWQiOiI1MDU4MDQzMjMifQ==</vt:lpwstr>
  </property>
</Properties>
</file>