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966CF8">
      <w:pPr>
        <w:spacing w:line="360" w:lineRule="auto"/>
        <w:jc w:val="center"/>
        <w:rPr>
          <w:rFonts w:hint="eastAsia" w:ascii="宋体" w:hAnsi="宋体" w:eastAsia="宋体"/>
          <w:b/>
          <w:sz w:val="24"/>
          <w:lang w:val="en-US" w:eastAsia="zh-CN"/>
        </w:rPr>
      </w:pPr>
      <w:r>
        <w:rPr>
          <w:rFonts w:hint="eastAsia" w:ascii="宋体" w:hAnsi="宋体"/>
          <w:b/>
          <w:sz w:val="32"/>
          <w:szCs w:val="32"/>
          <w:lang w:val="en-US" w:eastAsia="zh-CN"/>
        </w:rPr>
        <w:t>第一部分   报价文件</w:t>
      </w:r>
    </w:p>
    <w:p w14:paraId="7F8289D7">
      <w:pPr>
        <w:spacing w:line="360" w:lineRule="auto"/>
        <w:jc w:val="center"/>
        <w:rPr>
          <w:rFonts w:hint="eastAsia" w:ascii="宋体" w:hAnsi="宋体"/>
          <w:b/>
          <w:sz w:val="24"/>
        </w:rPr>
      </w:pPr>
      <w:r>
        <w:rPr>
          <w:rFonts w:hint="eastAsia" w:ascii="宋体" w:hAnsi="宋体"/>
          <w:b/>
          <w:sz w:val="24"/>
        </w:rPr>
        <w:t>表</w:t>
      </w:r>
      <w:r>
        <w:rPr>
          <w:rFonts w:hint="eastAsia" w:ascii="宋体" w:hAnsi="宋体"/>
          <w:b/>
          <w:sz w:val="24"/>
          <w:lang w:val="en-US" w:eastAsia="zh-CN"/>
        </w:rPr>
        <w:t>一</w:t>
      </w:r>
      <w:r>
        <w:rPr>
          <w:rFonts w:hint="eastAsia" w:ascii="宋体" w:hAnsi="宋体"/>
          <w:b/>
          <w:sz w:val="24"/>
        </w:rPr>
        <w:t>：报价一览表</w:t>
      </w:r>
    </w:p>
    <w:p w14:paraId="573896EC">
      <w:pPr>
        <w:spacing w:line="360" w:lineRule="auto"/>
        <w:jc w:val="center"/>
        <w:rPr>
          <w:rFonts w:hint="eastAsia" w:ascii="宋体" w:hAnsi="宋体"/>
          <w:b/>
          <w:sz w:val="24"/>
        </w:rPr>
      </w:pPr>
    </w:p>
    <w:p w14:paraId="7E186DDB">
      <w:pPr>
        <w:spacing w:line="360" w:lineRule="auto"/>
        <w:rPr>
          <w:rFonts w:hint="eastAsia" w:ascii="宋体" w:hAnsi="宋体"/>
          <w:sz w:val="24"/>
        </w:rPr>
      </w:pPr>
      <w:r>
        <w:rPr>
          <w:rFonts w:hint="eastAsia" w:ascii="宋体" w:hAnsi="宋体"/>
          <w:sz w:val="24"/>
        </w:rPr>
        <w:t>报价人名称：</w:t>
      </w:r>
      <w:r>
        <w:rPr>
          <w:rFonts w:hint="eastAsia" w:ascii="宋体" w:hAnsi="宋体"/>
          <w:sz w:val="24"/>
          <w:u w:val="single"/>
        </w:rPr>
        <w:t xml:space="preserve">                             </w:t>
      </w:r>
    </w:p>
    <w:tbl>
      <w:tblPr>
        <w:tblStyle w:val="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2420"/>
        <w:gridCol w:w="5289"/>
      </w:tblGrid>
      <w:tr w14:paraId="06E1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475" w:type="pct"/>
            <w:noWrap w:val="0"/>
            <w:vAlign w:val="center"/>
          </w:tcPr>
          <w:p w14:paraId="134D0CED">
            <w:pPr>
              <w:spacing w:line="440" w:lineRule="exact"/>
              <w:rPr>
                <w:rFonts w:hint="eastAsia" w:ascii="宋体" w:hAnsi="宋体"/>
                <w:sz w:val="24"/>
              </w:rPr>
            </w:pPr>
            <w:r>
              <w:rPr>
                <w:rFonts w:hint="eastAsia" w:ascii="宋体" w:hAnsi="宋体"/>
                <w:sz w:val="24"/>
              </w:rPr>
              <w:t>序号</w:t>
            </w:r>
          </w:p>
        </w:tc>
        <w:tc>
          <w:tcPr>
            <w:tcW w:w="1420" w:type="pct"/>
            <w:noWrap w:val="0"/>
            <w:vAlign w:val="center"/>
          </w:tcPr>
          <w:p w14:paraId="50BC6B12">
            <w:pPr>
              <w:spacing w:line="440" w:lineRule="exact"/>
              <w:jc w:val="center"/>
              <w:rPr>
                <w:rFonts w:hint="eastAsia" w:ascii="宋体" w:hAnsi="宋体"/>
                <w:sz w:val="24"/>
              </w:rPr>
            </w:pPr>
            <w:r>
              <w:rPr>
                <w:rFonts w:hint="eastAsia" w:ascii="宋体" w:hAnsi="宋体"/>
                <w:sz w:val="24"/>
              </w:rPr>
              <w:t>项目名称</w:t>
            </w:r>
          </w:p>
        </w:tc>
        <w:tc>
          <w:tcPr>
            <w:tcW w:w="3103" w:type="pct"/>
            <w:noWrap w:val="0"/>
            <w:vAlign w:val="center"/>
          </w:tcPr>
          <w:p w14:paraId="598B64EA">
            <w:pPr>
              <w:spacing w:line="440" w:lineRule="exact"/>
              <w:jc w:val="left"/>
              <w:rPr>
                <w:rFonts w:hint="default" w:ascii="宋体" w:hAnsi="宋体" w:eastAsia="宋体"/>
                <w:sz w:val="24"/>
                <w:lang w:eastAsia="zh-CN"/>
                <w:woUserID w:val="1"/>
              </w:rPr>
            </w:pPr>
            <w:r>
              <w:rPr>
                <w:rFonts w:hint="eastAsia" w:ascii="宋体" w:hAnsi="宋体"/>
                <w:sz w:val="24"/>
                <w:lang w:val="en-US" w:eastAsia="zh-CN"/>
              </w:rPr>
              <w:t>天二公司2026年大坝下游至黄角树区域河道标识牌制作安装</w:t>
            </w:r>
          </w:p>
        </w:tc>
      </w:tr>
      <w:tr w14:paraId="3FE95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75" w:type="pct"/>
            <w:noWrap w:val="0"/>
            <w:vAlign w:val="center"/>
          </w:tcPr>
          <w:p w14:paraId="668294CA">
            <w:pPr>
              <w:spacing w:line="440" w:lineRule="exact"/>
              <w:jc w:val="center"/>
              <w:rPr>
                <w:rFonts w:hint="eastAsia" w:ascii="宋体" w:hAnsi="宋体"/>
                <w:sz w:val="24"/>
              </w:rPr>
            </w:pPr>
            <w:r>
              <w:rPr>
                <w:rFonts w:hint="eastAsia" w:ascii="宋体" w:hAnsi="宋体"/>
                <w:sz w:val="24"/>
              </w:rPr>
              <w:t>一</w:t>
            </w:r>
          </w:p>
        </w:tc>
        <w:tc>
          <w:tcPr>
            <w:tcW w:w="1420" w:type="pct"/>
            <w:noWrap w:val="0"/>
            <w:vAlign w:val="center"/>
          </w:tcPr>
          <w:p w14:paraId="316EF62B">
            <w:pPr>
              <w:spacing w:line="440" w:lineRule="exact"/>
              <w:jc w:val="center"/>
              <w:rPr>
                <w:rFonts w:hint="eastAsia" w:ascii="宋体" w:hAnsi="宋体"/>
                <w:sz w:val="24"/>
              </w:rPr>
            </w:pPr>
            <w:r>
              <w:rPr>
                <w:rFonts w:hint="eastAsia" w:ascii="宋体" w:hAnsi="宋体"/>
                <w:sz w:val="24"/>
              </w:rPr>
              <w:t>项目总报价（元）</w:t>
            </w:r>
          </w:p>
        </w:tc>
        <w:tc>
          <w:tcPr>
            <w:tcW w:w="3103" w:type="pct"/>
            <w:noWrap w:val="0"/>
            <w:vAlign w:val="center"/>
          </w:tcPr>
          <w:p w14:paraId="3E75DEDE">
            <w:pPr>
              <w:spacing w:line="440" w:lineRule="exact"/>
              <w:ind w:firstLine="482"/>
              <w:jc w:val="center"/>
              <w:rPr>
                <w:rFonts w:hint="eastAsia" w:ascii="宋体" w:hAnsi="宋体"/>
                <w:sz w:val="24"/>
              </w:rPr>
            </w:pPr>
          </w:p>
        </w:tc>
      </w:tr>
      <w:tr w14:paraId="03A32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75" w:type="pct"/>
            <w:noWrap w:val="0"/>
            <w:vAlign w:val="center"/>
          </w:tcPr>
          <w:p w14:paraId="0D101C3D">
            <w:pPr>
              <w:spacing w:line="440" w:lineRule="exact"/>
              <w:jc w:val="center"/>
              <w:rPr>
                <w:rFonts w:hint="eastAsia" w:ascii="宋体" w:hAnsi="宋体"/>
                <w:sz w:val="24"/>
              </w:rPr>
            </w:pPr>
            <w:r>
              <w:rPr>
                <w:rFonts w:hint="eastAsia" w:ascii="宋体" w:hAnsi="宋体"/>
                <w:sz w:val="24"/>
              </w:rPr>
              <w:t>二</w:t>
            </w:r>
          </w:p>
        </w:tc>
        <w:tc>
          <w:tcPr>
            <w:tcW w:w="1420" w:type="pct"/>
            <w:noWrap w:val="0"/>
            <w:vAlign w:val="center"/>
          </w:tcPr>
          <w:p w14:paraId="05BBA0CB">
            <w:pPr>
              <w:spacing w:line="440" w:lineRule="exact"/>
              <w:rPr>
                <w:rFonts w:hint="eastAsia" w:ascii="宋体" w:hAnsi="宋体"/>
                <w:sz w:val="24"/>
              </w:rPr>
            </w:pPr>
            <w:r>
              <w:rPr>
                <w:rFonts w:hint="eastAsia" w:ascii="宋体" w:hAnsi="宋体"/>
                <w:sz w:val="24"/>
              </w:rPr>
              <w:t>分项报价（元）</w:t>
            </w:r>
          </w:p>
        </w:tc>
        <w:tc>
          <w:tcPr>
            <w:tcW w:w="3103" w:type="pct"/>
            <w:noWrap w:val="0"/>
            <w:vAlign w:val="center"/>
          </w:tcPr>
          <w:p w14:paraId="51A4A781">
            <w:pPr>
              <w:spacing w:line="440" w:lineRule="exact"/>
              <w:rPr>
                <w:rFonts w:hint="eastAsia" w:ascii="宋体" w:hAnsi="宋体"/>
                <w:sz w:val="24"/>
              </w:rPr>
            </w:pPr>
            <w:r>
              <w:rPr>
                <w:rFonts w:hint="eastAsia" w:ascii="宋体" w:hAnsi="宋体"/>
                <w:sz w:val="24"/>
              </w:rPr>
              <w:t>详见《表</w:t>
            </w:r>
            <w:r>
              <w:rPr>
                <w:rFonts w:hint="eastAsia" w:ascii="宋体" w:hAnsi="宋体"/>
                <w:sz w:val="24"/>
                <w:lang w:val="en-US" w:eastAsia="zh-CN"/>
              </w:rPr>
              <w:t>二</w:t>
            </w:r>
            <w:r>
              <w:rPr>
                <w:rFonts w:hint="eastAsia" w:ascii="宋体" w:hAnsi="宋体"/>
                <w:sz w:val="24"/>
              </w:rPr>
              <w:t>：分项</w:t>
            </w:r>
            <w:r>
              <w:rPr>
                <w:rFonts w:hint="eastAsia" w:ascii="宋体" w:hAnsi="宋体"/>
                <w:sz w:val="24"/>
                <w:lang w:val="en-US" w:eastAsia="zh-CN"/>
              </w:rPr>
              <w:t>报价</w:t>
            </w:r>
            <w:r>
              <w:rPr>
                <w:rFonts w:hint="eastAsia" w:ascii="宋体" w:hAnsi="宋体"/>
                <w:sz w:val="24"/>
              </w:rPr>
              <w:t>表》</w:t>
            </w:r>
          </w:p>
        </w:tc>
      </w:tr>
      <w:tr w14:paraId="3C86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75" w:type="pct"/>
            <w:noWrap w:val="0"/>
            <w:vAlign w:val="center"/>
          </w:tcPr>
          <w:p w14:paraId="3E9236EB">
            <w:pPr>
              <w:spacing w:line="440" w:lineRule="exact"/>
              <w:jc w:val="center"/>
              <w:rPr>
                <w:rFonts w:hint="eastAsia" w:ascii="宋体" w:hAnsi="宋体"/>
                <w:sz w:val="24"/>
              </w:rPr>
            </w:pPr>
            <w:r>
              <w:rPr>
                <w:rFonts w:hint="eastAsia" w:ascii="宋体" w:hAnsi="宋体"/>
                <w:sz w:val="24"/>
              </w:rPr>
              <w:t>三</w:t>
            </w:r>
          </w:p>
        </w:tc>
        <w:tc>
          <w:tcPr>
            <w:tcW w:w="1420" w:type="pct"/>
            <w:noWrap w:val="0"/>
            <w:vAlign w:val="center"/>
          </w:tcPr>
          <w:p w14:paraId="58702AF2">
            <w:pPr>
              <w:spacing w:line="440" w:lineRule="exact"/>
              <w:jc w:val="left"/>
              <w:rPr>
                <w:rFonts w:ascii="宋体" w:hAnsi="宋体"/>
                <w:sz w:val="24"/>
              </w:rPr>
            </w:pPr>
            <w:r>
              <w:rPr>
                <w:rFonts w:hint="eastAsia" w:ascii="宋体" w:hAnsi="宋体"/>
                <w:sz w:val="24"/>
                <w:lang w:val="en-US" w:eastAsia="zh-CN"/>
              </w:rPr>
              <w:t>工</w:t>
            </w:r>
            <w:r>
              <w:rPr>
                <w:rFonts w:hint="eastAsia" w:ascii="宋体" w:hAnsi="宋体"/>
                <w:sz w:val="24"/>
              </w:rPr>
              <w:t>期（天）</w:t>
            </w:r>
          </w:p>
        </w:tc>
        <w:tc>
          <w:tcPr>
            <w:tcW w:w="3103" w:type="pct"/>
            <w:noWrap w:val="0"/>
            <w:vAlign w:val="center"/>
          </w:tcPr>
          <w:p w14:paraId="32454A85">
            <w:pPr>
              <w:spacing w:line="440" w:lineRule="exact"/>
              <w:ind w:firstLine="482"/>
              <w:jc w:val="center"/>
              <w:rPr>
                <w:rFonts w:hint="default" w:ascii="宋体" w:hAnsi="宋体" w:eastAsia="宋体"/>
                <w:sz w:val="24"/>
                <w:lang w:val="en-US" w:eastAsia="zh-CN"/>
              </w:rPr>
            </w:pPr>
            <w:r>
              <w:rPr>
                <w:rFonts w:hint="eastAsia" w:ascii="宋体" w:hAnsi="宋体"/>
                <w:sz w:val="24"/>
                <w:lang w:val="en-US" w:eastAsia="zh-CN"/>
              </w:rPr>
              <w:t>10天</w:t>
            </w:r>
          </w:p>
        </w:tc>
      </w:tr>
      <w:tr w14:paraId="08DD2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475" w:type="pct"/>
            <w:noWrap w:val="0"/>
            <w:vAlign w:val="center"/>
          </w:tcPr>
          <w:p w14:paraId="7698E8E0">
            <w:pPr>
              <w:spacing w:line="440" w:lineRule="exact"/>
              <w:jc w:val="center"/>
              <w:rPr>
                <w:rFonts w:hint="eastAsia" w:ascii="宋体" w:hAnsi="宋体"/>
                <w:sz w:val="24"/>
              </w:rPr>
            </w:pPr>
            <w:r>
              <w:rPr>
                <w:rFonts w:hint="eastAsia" w:ascii="宋体" w:hAnsi="宋体"/>
                <w:sz w:val="24"/>
              </w:rPr>
              <w:t>四</w:t>
            </w:r>
          </w:p>
        </w:tc>
        <w:tc>
          <w:tcPr>
            <w:tcW w:w="1420" w:type="pct"/>
            <w:noWrap w:val="0"/>
            <w:vAlign w:val="center"/>
          </w:tcPr>
          <w:p w14:paraId="252242A8">
            <w:pPr>
              <w:spacing w:line="440" w:lineRule="exact"/>
              <w:rPr>
                <w:rFonts w:ascii="宋体" w:hAnsi="宋体"/>
                <w:sz w:val="24"/>
              </w:rPr>
            </w:pPr>
            <w:r>
              <w:rPr>
                <w:rFonts w:hint="eastAsia" w:ascii="宋体" w:hAnsi="宋体"/>
                <w:sz w:val="24"/>
              </w:rPr>
              <w:t>付款方式</w:t>
            </w:r>
          </w:p>
        </w:tc>
        <w:tc>
          <w:tcPr>
            <w:tcW w:w="3103" w:type="pct"/>
            <w:noWrap w:val="0"/>
            <w:vAlign w:val="center"/>
          </w:tcPr>
          <w:p w14:paraId="2B930280">
            <w:pPr>
              <w:spacing w:line="440" w:lineRule="exact"/>
              <w:jc w:val="both"/>
              <w:rPr>
                <w:rFonts w:hint="default" w:ascii="宋体" w:hAnsi="宋体" w:eastAsia="宋体"/>
                <w:sz w:val="24"/>
                <w:lang w:val="en-US" w:eastAsia="zh-CN"/>
              </w:rPr>
            </w:pPr>
            <w:r>
              <w:rPr>
                <w:rFonts w:hint="eastAsia" w:ascii="宋体" w:hAnsi="宋体"/>
                <w:sz w:val="24"/>
                <w:lang w:val="en-US" w:eastAsia="zh-CN"/>
              </w:rPr>
              <w:t>完成标识牌制作并完成安装，经甲方验收合格后，开具全额增值税发票，</w:t>
            </w:r>
            <w:r>
              <w:rPr>
                <w:rFonts w:hint="default" w:ascii="宋体" w:hAnsi="宋体"/>
                <w:sz w:val="24"/>
                <w:lang w:eastAsia="zh-CN"/>
                <w:woUserID w:val="1"/>
              </w:rPr>
              <w:t>60日内</w:t>
            </w:r>
            <w:r>
              <w:rPr>
                <w:rFonts w:hint="eastAsia" w:ascii="宋体" w:hAnsi="宋体"/>
                <w:sz w:val="24"/>
                <w:lang w:val="en-US" w:eastAsia="zh-CN"/>
              </w:rPr>
              <w:t>一次性支付。</w:t>
            </w:r>
          </w:p>
        </w:tc>
      </w:tr>
      <w:tr w14:paraId="250B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75" w:type="pct"/>
            <w:noWrap w:val="0"/>
            <w:vAlign w:val="center"/>
          </w:tcPr>
          <w:p w14:paraId="21D2829F">
            <w:pPr>
              <w:spacing w:line="440" w:lineRule="exact"/>
              <w:jc w:val="center"/>
              <w:rPr>
                <w:rFonts w:hint="eastAsia" w:ascii="宋体" w:hAnsi="宋体"/>
                <w:sz w:val="24"/>
              </w:rPr>
            </w:pPr>
            <w:r>
              <w:rPr>
                <w:rFonts w:hint="eastAsia" w:ascii="宋体" w:hAnsi="宋体"/>
                <w:sz w:val="24"/>
              </w:rPr>
              <w:t>五</w:t>
            </w:r>
          </w:p>
        </w:tc>
        <w:tc>
          <w:tcPr>
            <w:tcW w:w="1420" w:type="pct"/>
            <w:noWrap w:val="0"/>
            <w:vAlign w:val="center"/>
          </w:tcPr>
          <w:p w14:paraId="1D33EE2F">
            <w:pPr>
              <w:spacing w:line="440" w:lineRule="exact"/>
              <w:rPr>
                <w:rFonts w:ascii="宋体" w:hAnsi="宋体"/>
                <w:sz w:val="24"/>
              </w:rPr>
            </w:pPr>
            <w:r>
              <w:rPr>
                <w:rFonts w:hint="eastAsia" w:ascii="宋体" w:hAnsi="宋体"/>
                <w:sz w:val="24"/>
              </w:rPr>
              <w:t>发票类型</w:t>
            </w:r>
          </w:p>
        </w:tc>
        <w:tc>
          <w:tcPr>
            <w:tcW w:w="3103" w:type="pct"/>
            <w:noWrap w:val="0"/>
            <w:vAlign w:val="center"/>
          </w:tcPr>
          <w:p w14:paraId="6D7C6F45">
            <w:pPr>
              <w:keepNext w:val="0"/>
              <w:keepLines w:val="0"/>
              <w:widowControl w:val="0"/>
              <w:suppressLineNumbers w:val="0"/>
              <w:spacing w:before="0" w:beforeAutospacing="0" w:after="0" w:afterAutospacing="0" w:line="440" w:lineRule="exact"/>
              <w:ind w:left="0" w:right="0" w:firstLine="482"/>
              <w:jc w:val="both"/>
              <w:rPr>
                <w:rFonts w:hint="default" w:ascii="宋体" w:hAnsi="宋体" w:eastAsia="宋体"/>
                <w:sz w:val="24"/>
                <w:lang w:val="en-US" w:eastAsia="zh-CN"/>
              </w:rPr>
            </w:pPr>
            <w:r>
              <w:rPr>
                <w:rFonts w:hint="eastAsia" w:ascii="宋体" w:hAnsi="宋体"/>
                <w:sz w:val="24"/>
              </w:rPr>
              <w:t>增值税专用发票税率</w:t>
            </w:r>
            <w:r>
              <w:rPr>
                <w:rFonts w:hint="eastAsia" w:ascii="宋体" w:hAnsi="宋体"/>
                <w:sz w:val="24"/>
                <w:lang w:val="en-US" w:eastAsia="zh-CN"/>
              </w:rPr>
              <w:t>暂定</w:t>
            </w:r>
            <w:r>
              <w:rPr>
                <w:rFonts w:hint="eastAsia" w:ascii="宋体" w:hAnsi="宋体"/>
                <w:sz w:val="24"/>
                <w:lang w:eastAsia="zh-CN"/>
              </w:rPr>
              <w:t>（</w:t>
            </w:r>
            <w:r>
              <w:rPr>
                <w:rFonts w:hint="eastAsia" w:ascii="宋体" w:hAnsi="宋体"/>
                <w:sz w:val="24"/>
                <w:lang w:val="en-US" w:eastAsia="zh-CN"/>
              </w:rPr>
              <w:t xml:space="preserve"> </w:t>
            </w:r>
            <w:r>
              <w:rPr>
                <w:rFonts w:hint="default" w:ascii="宋体" w:hAnsi="宋体"/>
                <w:sz w:val="24"/>
                <w:lang w:eastAsia="zh-CN"/>
                <w:woUserID w:val="1"/>
              </w:rPr>
              <w:t>13</w:t>
            </w:r>
            <w:r>
              <w:rPr>
                <w:rFonts w:hint="eastAsia" w:ascii="宋体" w:hAnsi="宋体"/>
                <w:sz w:val="24"/>
                <w:lang w:val="en-US" w:eastAsia="zh-CN"/>
              </w:rPr>
              <w:t xml:space="preserve"> </w:t>
            </w:r>
            <w:r>
              <w:rPr>
                <w:rFonts w:hint="eastAsia" w:ascii="宋体" w:hAnsi="宋体"/>
                <w:sz w:val="24"/>
              </w:rPr>
              <w:t>%</w:t>
            </w:r>
            <w:r>
              <w:rPr>
                <w:rFonts w:hint="eastAsia" w:ascii="宋体" w:hAnsi="宋体"/>
                <w:sz w:val="24"/>
                <w:lang w:eastAsia="zh-CN"/>
              </w:rPr>
              <w:t>），</w:t>
            </w:r>
            <w:r>
              <w:rPr>
                <w:rFonts w:hint="eastAsia" w:ascii="宋体" w:hAnsi="宋体" w:eastAsia="宋体" w:cs="宋体"/>
                <w:b/>
                <w:bCs/>
                <w:kern w:val="2"/>
                <w:sz w:val="24"/>
                <w:szCs w:val="24"/>
                <w:lang w:val="en-US" w:eastAsia="zh-CN" w:bidi="ar"/>
              </w:rPr>
              <w:t>所有投标人均按此税率报价</w:t>
            </w:r>
            <w:r>
              <w:rPr>
                <w:rFonts w:hint="eastAsia" w:ascii="宋体" w:hAnsi="宋体" w:eastAsia="宋体" w:cs="宋体"/>
                <w:kern w:val="2"/>
                <w:sz w:val="24"/>
                <w:szCs w:val="24"/>
                <w:lang w:val="en-US" w:eastAsia="zh-CN" w:bidi="ar"/>
              </w:rPr>
              <w:t>。投标人若为小规模纳税人，需提交相关证明资料，实际结算</w:t>
            </w:r>
            <w:r>
              <w:rPr>
                <w:rFonts w:hint="eastAsia" w:ascii="宋体" w:hAnsi="宋体" w:cs="宋体"/>
                <w:kern w:val="2"/>
                <w:sz w:val="24"/>
                <w:szCs w:val="24"/>
                <w:lang w:val="en-US" w:eastAsia="zh-CN" w:bidi="ar"/>
              </w:rPr>
              <w:t>总</w:t>
            </w:r>
            <w:r>
              <w:rPr>
                <w:rFonts w:hint="eastAsia" w:ascii="宋体" w:hAnsi="宋体" w:eastAsia="宋体" w:cs="宋体"/>
                <w:kern w:val="2"/>
                <w:sz w:val="24"/>
                <w:szCs w:val="24"/>
                <w:lang w:val="en-US" w:eastAsia="zh-CN" w:bidi="ar"/>
              </w:rPr>
              <w:t>价以</w:t>
            </w:r>
            <w:r>
              <w:rPr>
                <w:rFonts w:hint="eastAsia" w:ascii="宋体" w:hAnsi="宋体" w:cs="宋体"/>
                <w:kern w:val="2"/>
                <w:sz w:val="24"/>
                <w:szCs w:val="24"/>
                <w:lang w:val="en-US" w:eastAsia="zh-CN" w:bidi="ar"/>
              </w:rPr>
              <w:t>据实结算</w:t>
            </w:r>
            <w:r>
              <w:rPr>
                <w:rFonts w:hint="eastAsia" w:ascii="宋体" w:hAnsi="宋体" w:eastAsia="宋体" w:cs="宋体"/>
                <w:kern w:val="2"/>
                <w:sz w:val="24"/>
                <w:szCs w:val="24"/>
                <w:lang w:val="en-US" w:eastAsia="zh-CN" w:bidi="ar"/>
              </w:rPr>
              <w:t>不含税</w:t>
            </w:r>
            <w:r>
              <w:rPr>
                <w:rFonts w:hint="eastAsia" w:ascii="宋体" w:hAnsi="宋体" w:cs="宋体"/>
                <w:kern w:val="2"/>
                <w:sz w:val="24"/>
                <w:szCs w:val="24"/>
                <w:lang w:val="en-US" w:eastAsia="zh-CN" w:bidi="ar"/>
              </w:rPr>
              <w:t>总</w:t>
            </w:r>
            <w:r>
              <w:rPr>
                <w:rFonts w:hint="eastAsia" w:ascii="宋体" w:hAnsi="宋体" w:eastAsia="宋体" w:cs="宋体"/>
                <w:kern w:val="2"/>
                <w:sz w:val="24"/>
                <w:szCs w:val="24"/>
                <w:lang w:val="en-US" w:eastAsia="zh-CN" w:bidi="ar"/>
              </w:rPr>
              <w:t>价</w:t>
            </w:r>
            <w:r>
              <w:rPr>
                <w:rFonts w:hint="eastAsia" w:ascii="宋体" w:hAnsi="宋体" w:cs="宋体"/>
                <w:kern w:val="2"/>
                <w:sz w:val="24"/>
                <w:szCs w:val="24"/>
                <w:lang w:val="en-US" w:eastAsia="zh-CN" w:bidi="ar"/>
              </w:rPr>
              <w:t>乘以</w:t>
            </w:r>
            <w:r>
              <w:rPr>
                <w:rFonts w:hint="eastAsia" w:ascii="宋体" w:hAnsi="宋体" w:eastAsia="宋体" w:cs="宋体"/>
                <w:kern w:val="2"/>
                <w:sz w:val="24"/>
                <w:szCs w:val="24"/>
                <w:lang w:val="en-US" w:eastAsia="zh-CN" w:bidi="ar"/>
              </w:rPr>
              <w:t>实际税率计算支付</w:t>
            </w:r>
            <w:r>
              <w:rPr>
                <w:rFonts w:hint="eastAsia" w:ascii="宋体" w:hAnsi="宋体"/>
                <w:sz w:val="24"/>
                <w:lang w:val="en-US" w:eastAsia="zh-CN"/>
              </w:rPr>
              <w:t>。</w:t>
            </w:r>
          </w:p>
        </w:tc>
      </w:tr>
      <w:tr w14:paraId="3914E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75" w:type="pct"/>
            <w:noWrap w:val="0"/>
            <w:vAlign w:val="center"/>
          </w:tcPr>
          <w:p w14:paraId="7A6BBE33">
            <w:pPr>
              <w:spacing w:line="440" w:lineRule="exact"/>
              <w:jc w:val="center"/>
              <w:rPr>
                <w:rFonts w:hint="default" w:ascii="宋体" w:hAnsi="宋体" w:eastAsia="宋体"/>
                <w:sz w:val="24"/>
                <w:lang w:val="en-US" w:eastAsia="zh-CN"/>
              </w:rPr>
            </w:pPr>
            <w:r>
              <w:rPr>
                <w:rFonts w:hint="eastAsia" w:ascii="宋体" w:hAnsi="宋体"/>
                <w:sz w:val="24"/>
                <w:lang w:val="en-US" w:eastAsia="zh-CN"/>
              </w:rPr>
              <w:t>六</w:t>
            </w:r>
          </w:p>
        </w:tc>
        <w:tc>
          <w:tcPr>
            <w:tcW w:w="1420" w:type="pct"/>
            <w:noWrap w:val="0"/>
            <w:vAlign w:val="center"/>
          </w:tcPr>
          <w:p w14:paraId="5BDE0DD9">
            <w:pPr>
              <w:spacing w:line="440" w:lineRule="exact"/>
              <w:rPr>
                <w:rFonts w:hint="eastAsia" w:ascii="宋体" w:hAnsi="宋体" w:eastAsia="宋体"/>
                <w:sz w:val="24"/>
                <w:lang w:val="en-US" w:eastAsia="zh-CN"/>
              </w:rPr>
            </w:pPr>
            <w:r>
              <w:rPr>
                <w:rFonts w:hint="eastAsia" w:ascii="宋体" w:hAnsi="宋体"/>
                <w:sz w:val="24"/>
                <w:lang w:val="en-US" w:eastAsia="zh-CN"/>
              </w:rPr>
              <w:t>质保期</w:t>
            </w:r>
          </w:p>
        </w:tc>
        <w:tc>
          <w:tcPr>
            <w:tcW w:w="3103" w:type="pct"/>
            <w:noWrap w:val="0"/>
            <w:vAlign w:val="center"/>
          </w:tcPr>
          <w:p w14:paraId="6E0F686E">
            <w:pPr>
              <w:spacing w:line="440" w:lineRule="exact"/>
              <w:ind w:firstLine="482"/>
              <w:jc w:val="center"/>
              <w:rPr>
                <w:rFonts w:hint="default" w:ascii="宋体" w:hAnsi="宋体" w:eastAsia="宋体"/>
                <w:sz w:val="24"/>
                <w:lang w:val="en-US" w:eastAsia="zh-CN"/>
              </w:rPr>
            </w:pPr>
            <w:r>
              <w:rPr>
                <w:rFonts w:hint="eastAsia" w:ascii="宋体" w:hAnsi="宋体"/>
                <w:sz w:val="24"/>
                <w:lang w:val="en-US" w:eastAsia="zh-CN"/>
              </w:rPr>
              <w:t>1年</w:t>
            </w:r>
          </w:p>
        </w:tc>
      </w:tr>
    </w:tbl>
    <w:p w14:paraId="08E71048">
      <w:pPr>
        <w:rPr>
          <w:rFonts w:hint="eastAsia" w:ascii="宋体" w:hAnsi="宋体"/>
          <w:sz w:val="24"/>
        </w:rPr>
      </w:pPr>
    </w:p>
    <w:p w14:paraId="15E9C517">
      <w:pPr>
        <w:rPr>
          <w:rFonts w:hint="eastAsia" w:ascii="宋体" w:hAnsi="宋体"/>
          <w:sz w:val="24"/>
        </w:rPr>
      </w:pPr>
    </w:p>
    <w:p w14:paraId="521566D6">
      <w:pPr>
        <w:rPr>
          <w:rFonts w:hint="eastAsia" w:ascii="宋体" w:hAnsi="宋体"/>
          <w:sz w:val="24"/>
        </w:rPr>
      </w:pPr>
    </w:p>
    <w:p w14:paraId="37BB904F">
      <w:pPr>
        <w:rPr>
          <w:rFonts w:hint="eastAsia" w:ascii="宋体" w:hAnsi="宋体"/>
          <w:sz w:val="24"/>
        </w:rPr>
      </w:pPr>
    </w:p>
    <w:p w14:paraId="00688D66">
      <w:pPr>
        <w:rPr>
          <w:rFonts w:hint="eastAsia" w:ascii="宋体" w:hAnsi="宋体"/>
          <w:sz w:val="24"/>
        </w:rPr>
      </w:pPr>
    </w:p>
    <w:p w14:paraId="2A0B20BE">
      <w:pPr>
        <w:rPr>
          <w:rFonts w:hint="eastAsia" w:ascii="宋体" w:hAnsi="宋体"/>
          <w:sz w:val="24"/>
          <w:u w:val="single"/>
        </w:rPr>
      </w:pPr>
      <w:r>
        <w:rPr>
          <w:rFonts w:hint="eastAsia" w:ascii="宋体" w:hAnsi="宋体"/>
          <w:sz w:val="24"/>
        </w:rPr>
        <w:t>投标单位（公章）</w:t>
      </w:r>
      <w:r>
        <w:rPr>
          <w:rFonts w:hint="eastAsia" w:ascii="宋体" w:hAnsi="宋体"/>
          <w:sz w:val="24"/>
          <w:u w:val="single"/>
        </w:rPr>
        <w:t xml:space="preserve">                         </w:t>
      </w:r>
    </w:p>
    <w:p w14:paraId="58DA1E03">
      <w:pPr>
        <w:rPr>
          <w:rFonts w:hint="eastAsia" w:ascii="宋体" w:hAnsi="宋体"/>
          <w:sz w:val="24"/>
        </w:rPr>
      </w:pPr>
    </w:p>
    <w:p w14:paraId="58406F47">
      <w:pPr>
        <w:rPr>
          <w:rFonts w:hint="eastAsia" w:ascii="宋体" w:hAnsi="宋体"/>
          <w:sz w:val="24"/>
        </w:rPr>
      </w:pPr>
    </w:p>
    <w:p w14:paraId="3B4F21B7">
      <w:pPr>
        <w:rPr>
          <w:rFonts w:hint="eastAsia" w:ascii="宋体" w:hAnsi="宋体"/>
          <w:sz w:val="24"/>
        </w:rPr>
      </w:pPr>
    </w:p>
    <w:p w14:paraId="69599305">
      <w:pPr>
        <w:rPr>
          <w:rFonts w:hint="eastAsia" w:ascii="宋体" w:hAnsi="宋体"/>
          <w:sz w:val="24"/>
        </w:rPr>
      </w:pPr>
    </w:p>
    <w:p w14:paraId="0C0337AE">
      <w:pPr>
        <w:rPr>
          <w:rFonts w:hint="eastAsia" w:ascii="宋体" w:hAnsi="宋体"/>
          <w:sz w:val="24"/>
        </w:rPr>
      </w:pPr>
    </w:p>
    <w:p w14:paraId="7CAC6000">
      <w:pPr>
        <w:rPr>
          <w:rFonts w:hint="eastAsia" w:ascii="宋体" w:hAnsi="宋体"/>
          <w:sz w:val="24"/>
          <w:u w:val="single"/>
        </w:rPr>
      </w:pPr>
      <w:r>
        <w:rPr>
          <w:rFonts w:hint="eastAsia" w:ascii="宋体" w:hAnsi="宋体"/>
          <w:sz w:val="24"/>
        </w:rPr>
        <w:t>投标单位法人代表或法人代表的委托人（签字）</w:t>
      </w:r>
      <w:r>
        <w:rPr>
          <w:rFonts w:hint="eastAsia" w:ascii="宋体" w:hAnsi="宋体"/>
          <w:sz w:val="24"/>
          <w:u w:val="single"/>
        </w:rPr>
        <w:t xml:space="preserve">            </w:t>
      </w:r>
    </w:p>
    <w:p w14:paraId="26DDCFBF">
      <w:pPr>
        <w:rPr>
          <w:rFonts w:hint="eastAsia" w:ascii="宋体" w:hAnsi="宋体"/>
          <w:sz w:val="24"/>
        </w:rPr>
      </w:pPr>
    </w:p>
    <w:p w14:paraId="174AC6BF">
      <w:pPr>
        <w:rPr>
          <w:rFonts w:hint="eastAsia" w:ascii="宋体" w:hAnsi="宋体"/>
          <w:sz w:val="24"/>
        </w:rPr>
      </w:pPr>
    </w:p>
    <w:p w14:paraId="64666491">
      <w:pPr>
        <w:rPr>
          <w:rFonts w:hint="eastAsia" w:ascii="宋体" w:hAnsi="宋体"/>
          <w:sz w:val="24"/>
        </w:rPr>
      </w:pPr>
    </w:p>
    <w:p w14:paraId="16A7EA43">
      <w:pPr>
        <w:rPr>
          <w:rFonts w:hint="eastAsia" w:ascii="宋体" w:hAnsi="宋体"/>
          <w:sz w:val="24"/>
        </w:rPr>
      </w:pPr>
    </w:p>
    <w:p w14:paraId="48E809B2">
      <w:pPr>
        <w:rPr>
          <w:rFonts w:hint="eastAsia" w:ascii="宋体" w:hAnsi="宋体"/>
          <w:sz w:val="24"/>
        </w:rPr>
      </w:pPr>
    </w:p>
    <w:p w14:paraId="2DA53971">
      <w:pPr>
        <w:rPr>
          <w:rFonts w:hint="eastAsia" w:ascii="宋体" w:hAnsi="宋体"/>
          <w:sz w:val="24"/>
        </w:rPr>
      </w:pPr>
    </w:p>
    <w:p w14:paraId="3B518FCC">
      <w:pPr>
        <w:rPr>
          <w:rFonts w:hint="eastAsia" w:ascii="宋体" w:hAnsi="宋体"/>
          <w:sz w:val="24"/>
        </w:rPr>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60622FB3">
      <w:pPr>
        <w:rPr>
          <w:rFonts w:hint="eastAsia" w:ascii="宋体" w:hAnsi="宋体"/>
          <w:sz w:val="24"/>
        </w:rPr>
      </w:pPr>
    </w:p>
    <w:p w14:paraId="7304647F">
      <w:pPr>
        <w:rPr>
          <w:rFonts w:hint="eastAsia" w:ascii="宋体" w:hAnsi="宋体"/>
          <w:sz w:val="24"/>
        </w:rPr>
        <w:sectPr>
          <w:pgSz w:w="11906" w:h="16838"/>
          <w:pgMar w:top="1440" w:right="1800" w:bottom="1440" w:left="1800" w:header="851" w:footer="992" w:gutter="0"/>
          <w:cols w:space="425" w:num="1"/>
          <w:docGrid w:type="lines" w:linePitch="312" w:charSpace="0"/>
        </w:sectPr>
      </w:pPr>
    </w:p>
    <w:p w14:paraId="41FC277C">
      <w:pPr>
        <w:spacing w:line="0" w:lineRule="atLeast"/>
        <w:outlineLvl w:val="0"/>
        <w:rPr>
          <w:rFonts w:hint="eastAsia" w:ascii="宋体" w:hAnsi="宋体"/>
          <w:b/>
          <w:sz w:val="24"/>
        </w:rPr>
      </w:pPr>
    </w:p>
    <w:p w14:paraId="0BBEC02E">
      <w:pPr>
        <w:spacing w:line="0" w:lineRule="atLeast"/>
        <w:jc w:val="center"/>
        <w:outlineLvl w:val="0"/>
        <w:rPr>
          <w:rFonts w:hint="eastAsia" w:ascii="宋体" w:hAnsi="宋体"/>
          <w:sz w:val="24"/>
        </w:rPr>
      </w:pPr>
      <w:r>
        <w:rPr>
          <w:rFonts w:hint="eastAsia" w:ascii="宋体" w:hAnsi="宋体"/>
          <w:b/>
          <w:sz w:val="24"/>
        </w:rPr>
        <w:t>表</w:t>
      </w:r>
      <w:r>
        <w:rPr>
          <w:rFonts w:hint="eastAsia" w:ascii="宋体" w:hAnsi="宋体"/>
          <w:b/>
          <w:sz w:val="24"/>
          <w:lang w:val="en-US" w:eastAsia="zh-CN"/>
        </w:rPr>
        <w:t>二</w:t>
      </w:r>
      <w:r>
        <w:rPr>
          <w:rFonts w:hint="eastAsia" w:ascii="宋体" w:hAnsi="宋体"/>
          <w:b/>
          <w:sz w:val="24"/>
        </w:rPr>
        <w:t>：</w:t>
      </w:r>
      <w:r>
        <w:rPr>
          <w:rFonts w:hint="eastAsia" w:ascii="宋体" w:hAnsi="宋体"/>
          <w:b/>
          <w:bCs/>
          <w:sz w:val="24"/>
        </w:rPr>
        <w:t>分项</w:t>
      </w:r>
      <w:r>
        <w:rPr>
          <w:rFonts w:hint="eastAsia" w:ascii="宋体" w:hAnsi="宋体"/>
          <w:b/>
          <w:bCs/>
          <w:sz w:val="24"/>
          <w:lang w:val="en-US" w:eastAsia="zh-CN"/>
        </w:rPr>
        <w:t>报价</w:t>
      </w:r>
      <w:r>
        <w:rPr>
          <w:rFonts w:hint="eastAsia" w:ascii="宋体" w:hAnsi="宋体"/>
          <w:b/>
          <w:bCs/>
          <w:sz w:val="24"/>
        </w:rPr>
        <w:t>表</w:t>
      </w:r>
    </w:p>
    <w:p w14:paraId="08F34DDA">
      <w:pPr>
        <w:spacing w:line="0" w:lineRule="atLeast"/>
        <w:ind w:firstLine="480"/>
        <w:jc w:val="center"/>
        <w:rPr>
          <w:rFonts w:hint="eastAsia"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单位：</w:t>
      </w:r>
      <w:r>
        <w:rPr>
          <w:rFonts w:hint="eastAsia" w:ascii="宋体" w:hAnsi="宋体"/>
          <w:sz w:val="24"/>
          <w:lang w:val="en-US" w:eastAsia="zh-CN"/>
        </w:rPr>
        <w:t xml:space="preserve">   </w:t>
      </w:r>
      <w:r>
        <w:rPr>
          <w:rFonts w:hint="eastAsia" w:ascii="宋体" w:hAnsi="宋体"/>
          <w:sz w:val="24"/>
        </w:rPr>
        <w:t>元</w:t>
      </w:r>
    </w:p>
    <w:tbl>
      <w:tblPr>
        <w:tblStyle w:val="2"/>
        <w:tblW w:w="13950" w:type="dxa"/>
        <w:tblInd w:w="-318" w:type="dxa"/>
        <w:tblLayout w:type="fixed"/>
        <w:tblCellMar>
          <w:top w:w="0" w:type="dxa"/>
          <w:left w:w="108" w:type="dxa"/>
          <w:bottom w:w="0" w:type="dxa"/>
          <w:right w:w="108" w:type="dxa"/>
        </w:tblCellMar>
      </w:tblPr>
      <w:tblGrid>
        <w:gridCol w:w="340"/>
        <w:gridCol w:w="1230"/>
        <w:gridCol w:w="5660"/>
        <w:gridCol w:w="853"/>
        <w:gridCol w:w="1061"/>
        <w:gridCol w:w="976"/>
        <w:gridCol w:w="1090"/>
        <w:gridCol w:w="1150"/>
        <w:gridCol w:w="1590"/>
      </w:tblGrid>
      <w:tr w14:paraId="1CE99E71">
        <w:tblPrEx>
          <w:tblCellMar>
            <w:top w:w="0" w:type="dxa"/>
            <w:left w:w="108" w:type="dxa"/>
            <w:bottom w:w="0" w:type="dxa"/>
            <w:right w:w="108" w:type="dxa"/>
          </w:tblCellMar>
        </w:tblPrEx>
        <w:trPr>
          <w:trHeight w:val="450" w:hRule="atLeast"/>
        </w:trPr>
        <w:tc>
          <w:tcPr>
            <w:tcW w:w="7230" w:type="dxa"/>
            <w:gridSpan w:val="3"/>
            <w:tcBorders>
              <w:top w:val="single" w:color="auto" w:sz="4" w:space="0"/>
              <w:left w:val="single" w:color="auto" w:sz="4" w:space="0"/>
              <w:bottom w:val="single" w:color="auto" w:sz="4" w:space="0"/>
              <w:right w:val="single" w:color="auto" w:sz="4" w:space="0"/>
            </w:tcBorders>
            <w:noWrap w:val="0"/>
            <w:vAlign w:val="center"/>
          </w:tcPr>
          <w:p w14:paraId="301DA1DE">
            <w:pPr>
              <w:widowControl/>
              <w:ind w:left="0" w:leftChars="0" w:firstLine="0" w:firstLineChars="0"/>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pPr>
          </w:p>
        </w:tc>
        <w:tc>
          <w:tcPr>
            <w:tcW w:w="6720" w:type="dxa"/>
            <w:gridSpan w:val="6"/>
            <w:tcBorders>
              <w:top w:val="single" w:color="auto" w:sz="4" w:space="0"/>
              <w:left w:val="single" w:color="auto" w:sz="4" w:space="0"/>
              <w:bottom w:val="single" w:color="auto" w:sz="4" w:space="0"/>
              <w:right w:val="single" w:color="auto" w:sz="4" w:space="0"/>
            </w:tcBorders>
            <w:noWrap w:val="0"/>
            <w:vAlign w:val="center"/>
          </w:tcPr>
          <w:p w14:paraId="68F76530">
            <w:pPr>
              <w:widowControl/>
              <w:rPr>
                <w:rFonts w:hint="eastAsia" w:ascii="宋体" w:hAnsi="宋体" w:cs="宋体"/>
                <w:color w:val="FF0000"/>
                <w:kern w:val="0"/>
                <w:sz w:val="18"/>
                <w:szCs w:val="18"/>
              </w:rPr>
            </w:pPr>
            <w:r>
              <w:rPr>
                <w:rFonts w:hint="eastAsia" w:ascii="宋体" w:hAnsi="宋体" w:cs="宋体"/>
                <w:color w:val="000000"/>
                <w:kern w:val="0"/>
                <w:sz w:val="18"/>
                <w:szCs w:val="18"/>
                <w:lang w:val="en-US" w:eastAsia="zh-CN"/>
                <w:woUserID w:val="1"/>
              </w:rPr>
              <w:t>天二公司2026年大坝下游至黄角树区域河道标识牌制作安装</w:t>
            </w:r>
          </w:p>
        </w:tc>
      </w:tr>
      <w:tr w14:paraId="00E37FF2">
        <w:tblPrEx>
          <w:tblCellMar>
            <w:top w:w="0" w:type="dxa"/>
            <w:left w:w="108" w:type="dxa"/>
            <w:bottom w:w="0" w:type="dxa"/>
            <w:right w:w="108" w:type="dxa"/>
          </w:tblCellMar>
        </w:tblPrEx>
        <w:trPr>
          <w:trHeight w:val="450" w:hRule="atLeast"/>
        </w:trPr>
        <w:tc>
          <w:tcPr>
            <w:tcW w:w="340" w:type="dxa"/>
            <w:tcBorders>
              <w:top w:val="single" w:color="auto" w:sz="4" w:space="0"/>
              <w:left w:val="single" w:color="auto" w:sz="4" w:space="0"/>
              <w:bottom w:val="single" w:color="auto" w:sz="4" w:space="0"/>
              <w:right w:val="single" w:color="auto" w:sz="4" w:space="0"/>
            </w:tcBorders>
            <w:noWrap w:val="0"/>
            <w:vAlign w:val="center"/>
          </w:tcPr>
          <w:p w14:paraId="2F9717E0">
            <w:pPr>
              <w:keepNext w:val="0"/>
              <w:keepLines w:val="0"/>
              <w:widowControl/>
              <w:suppressLineNumbers w:val="0"/>
              <w:jc w:val="center"/>
              <w:textAlignment w:val="cente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t>序号</w:t>
            </w:r>
          </w:p>
        </w:tc>
        <w:tc>
          <w:tcPr>
            <w:tcW w:w="1230" w:type="dxa"/>
            <w:tcBorders>
              <w:top w:val="single" w:color="auto" w:sz="4" w:space="0"/>
              <w:left w:val="nil"/>
              <w:bottom w:val="single" w:color="auto" w:sz="4" w:space="0"/>
              <w:right w:val="single" w:color="auto" w:sz="4" w:space="0"/>
            </w:tcBorders>
            <w:noWrap w:val="0"/>
            <w:vAlign w:val="center"/>
          </w:tcPr>
          <w:p w14:paraId="52CF25B8">
            <w:pPr>
              <w:keepNext w:val="0"/>
              <w:keepLines w:val="0"/>
              <w:widowControl/>
              <w:suppressLineNumbers w:val="0"/>
              <w:jc w:val="center"/>
              <w:textAlignment w:val="cente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t>名称</w:t>
            </w:r>
          </w:p>
        </w:tc>
        <w:tc>
          <w:tcPr>
            <w:tcW w:w="5660" w:type="dxa"/>
            <w:tcBorders>
              <w:top w:val="single" w:color="auto" w:sz="4" w:space="0"/>
              <w:left w:val="nil"/>
              <w:bottom w:val="single" w:color="auto" w:sz="4" w:space="0"/>
              <w:right w:val="single" w:color="auto" w:sz="4" w:space="0"/>
            </w:tcBorders>
            <w:noWrap w:val="0"/>
            <w:vAlign w:val="center"/>
          </w:tcPr>
          <w:p w14:paraId="30D24E71">
            <w:pPr>
              <w:keepNext w:val="0"/>
              <w:keepLines w:val="0"/>
              <w:widowControl/>
              <w:suppressLineNumbers w:val="0"/>
              <w:jc w:val="center"/>
              <w:textAlignment w:val="cente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t>规格型号</w:t>
            </w:r>
          </w:p>
        </w:tc>
        <w:tc>
          <w:tcPr>
            <w:tcW w:w="853" w:type="dxa"/>
            <w:tcBorders>
              <w:top w:val="single" w:color="auto" w:sz="4" w:space="0"/>
              <w:left w:val="nil"/>
              <w:bottom w:val="single" w:color="auto" w:sz="4" w:space="0"/>
              <w:right w:val="single" w:color="auto" w:sz="4" w:space="0"/>
            </w:tcBorders>
            <w:noWrap w:val="0"/>
            <w:vAlign w:val="center"/>
          </w:tcPr>
          <w:p w14:paraId="7CF73F1E">
            <w:pPr>
              <w:keepNext w:val="0"/>
              <w:keepLines w:val="0"/>
              <w:widowControl/>
              <w:suppressLineNumbers w:val="0"/>
              <w:jc w:val="center"/>
              <w:textAlignment w:val="cente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t>单位</w:t>
            </w:r>
          </w:p>
        </w:tc>
        <w:tc>
          <w:tcPr>
            <w:tcW w:w="1061" w:type="dxa"/>
            <w:tcBorders>
              <w:top w:val="single" w:color="auto" w:sz="4" w:space="0"/>
              <w:left w:val="nil"/>
              <w:bottom w:val="single" w:color="auto" w:sz="4" w:space="0"/>
              <w:right w:val="single" w:color="auto" w:sz="4" w:space="0"/>
            </w:tcBorders>
            <w:noWrap w:val="0"/>
            <w:vAlign w:val="center"/>
          </w:tcPr>
          <w:p w14:paraId="5945C812">
            <w:pPr>
              <w:keepNext w:val="0"/>
              <w:keepLines w:val="0"/>
              <w:widowControl/>
              <w:suppressLineNumbers w:val="0"/>
              <w:jc w:val="center"/>
              <w:textAlignment w:val="cente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t>数量</w:t>
            </w:r>
          </w:p>
        </w:tc>
        <w:tc>
          <w:tcPr>
            <w:tcW w:w="976" w:type="dxa"/>
            <w:tcBorders>
              <w:top w:val="single" w:color="auto" w:sz="4" w:space="0"/>
              <w:left w:val="nil"/>
              <w:bottom w:val="single" w:color="auto" w:sz="4" w:space="0"/>
              <w:right w:val="single" w:color="auto" w:sz="4" w:space="0"/>
            </w:tcBorders>
            <w:noWrap w:val="0"/>
            <w:vAlign w:val="center"/>
          </w:tcPr>
          <w:p w14:paraId="5BD47540">
            <w:pPr>
              <w:keepNext w:val="0"/>
              <w:keepLines w:val="0"/>
              <w:widowControl/>
              <w:suppressLineNumbers w:val="0"/>
              <w:jc w:val="center"/>
              <w:textAlignment w:val="cente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t>单价</w:t>
            </w:r>
          </w:p>
        </w:tc>
        <w:tc>
          <w:tcPr>
            <w:tcW w:w="1090" w:type="dxa"/>
            <w:tcBorders>
              <w:top w:val="single" w:color="auto" w:sz="4" w:space="0"/>
              <w:left w:val="nil"/>
              <w:bottom w:val="single" w:color="auto" w:sz="4" w:space="0"/>
              <w:right w:val="single" w:color="auto" w:sz="4" w:space="0"/>
            </w:tcBorders>
            <w:noWrap w:val="0"/>
            <w:vAlign w:val="center"/>
          </w:tcPr>
          <w:p w14:paraId="263E85B4">
            <w:pPr>
              <w:keepNext w:val="0"/>
              <w:keepLines w:val="0"/>
              <w:widowControl/>
              <w:suppressLineNumbers w:val="0"/>
              <w:ind w:left="0" w:leftChars="0" w:firstLine="0" w:firstLineChars="0"/>
              <w:jc w:val="center"/>
              <w:textAlignment w:val="center"/>
              <w:rPr>
                <w:rFonts w:hint="default" w:ascii="宋体" w:hAnsi="宋体" w:cs="宋体"/>
                <w:i w:val="0"/>
                <w:color w:val="000000" w:themeColor="text1"/>
                <w:kern w:val="0"/>
                <w:sz w:val="18"/>
                <w:szCs w:val="18"/>
                <w:u w:val="none"/>
                <w:lang w:eastAsia="zh-CN" w:bidi="ar"/>
                <w14:textFill>
                  <w14:solidFill>
                    <w14:schemeClr w14:val="tx1"/>
                  </w14:solidFill>
                </w14:textFill>
              </w:rPr>
            </w:pPr>
            <w:r>
              <w:rPr>
                <w:rFonts w:hint="default" w:ascii="宋体" w:hAnsi="宋体" w:cs="宋体"/>
                <w:i w:val="0"/>
                <w:color w:val="000000" w:themeColor="text1"/>
                <w:kern w:val="0"/>
                <w:sz w:val="18"/>
                <w:szCs w:val="18"/>
                <w:u w:val="none"/>
                <w:lang w:eastAsia="zh-CN" w:bidi="ar"/>
                <w14:textFill>
                  <w14:solidFill>
                    <w14:schemeClr w14:val="tx1"/>
                  </w14:solidFill>
                </w14:textFill>
              </w:rPr>
              <w:t>总价</w:t>
            </w:r>
          </w:p>
          <w:p w14:paraId="5E9323C2">
            <w:pPr>
              <w:keepNext w:val="0"/>
              <w:keepLines w:val="0"/>
              <w:widowControl/>
              <w:suppressLineNumbers w:val="0"/>
              <w:ind w:left="0" w:leftChars="0" w:firstLine="0" w:firstLineChars="0"/>
              <w:jc w:val="center"/>
              <w:textAlignment w:val="center"/>
              <w:rPr>
                <w:rFonts w:hint="default" w:ascii="宋体" w:hAnsi="宋体" w:cs="宋体"/>
                <w:i w:val="0"/>
                <w:color w:val="000000" w:themeColor="text1"/>
                <w:kern w:val="0"/>
                <w:sz w:val="18"/>
                <w:szCs w:val="18"/>
                <w:u w:val="none"/>
                <w:lang w:eastAsia="zh-CN" w:bidi="ar"/>
                <w14:textFill>
                  <w14:solidFill>
                    <w14:schemeClr w14:val="tx1"/>
                  </w14:solidFill>
                </w14:textFill>
              </w:rPr>
            </w:pPr>
            <w:r>
              <w:rPr>
                <w:rFonts w:hint="default" w:ascii="宋体" w:hAnsi="宋体" w:cs="宋体"/>
                <w:i w:val="0"/>
                <w:color w:val="000000" w:themeColor="text1"/>
                <w:kern w:val="0"/>
                <w:sz w:val="18"/>
                <w:szCs w:val="18"/>
                <w:u w:val="none"/>
                <w:lang w:eastAsia="zh-CN" w:bidi="ar"/>
                <w14:textFill>
                  <w14:solidFill>
                    <w14:schemeClr w14:val="tx1"/>
                  </w14:solidFill>
                </w14:textFill>
              </w:rPr>
              <w:t>（不含税）</w:t>
            </w:r>
          </w:p>
        </w:tc>
        <w:tc>
          <w:tcPr>
            <w:tcW w:w="1150" w:type="dxa"/>
            <w:tcBorders>
              <w:top w:val="single" w:color="auto" w:sz="4" w:space="0"/>
              <w:left w:val="nil"/>
              <w:bottom w:val="single" w:color="auto" w:sz="4" w:space="0"/>
              <w:right w:val="single" w:color="auto" w:sz="4" w:space="0"/>
            </w:tcBorders>
            <w:noWrap w:val="0"/>
            <w:vAlign w:val="center"/>
          </w:tcPr>
          <w:p w14:paraId="234AECB4">
            <w:pPr>
              <w:keepNext w:val="0"/>
              <w:keepLines w:val="0"/>
              <w:widowControl/>
              <w:suppressLineNumbers w:val="0"/>
              <w:jc w:val="center"/>
              <w:textAlignment w:val="cente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t>总价</w:t>
            </w:r>
          </w:p>
          <w:p w14:paraId="6E1EA4A7">
            <w:pPr>
              <w:keepNext w:val="0"/>
              <w:keepLines w:val="0"/>
              <w:widowControl/>
              <w:suppressLineNumbers w:val="0"/>
              <w:jc w:val="center"/>
              <w:textAlignment w:val="center"/>
              <w:rPr>
                <w:rFonts w:hint="default" w:ascii="宋体" w:hAnsi="宋体" w:eastAsia="宋体" w:cs="宋体"/>
                <w:i w:val="0"/>
                <w:color w:val="000000" w:themeColor="text1"/>
                <w:kern w:val="0"/>
                <w:sz w:val="18"/>
                <w:szCs w:val="18"/>
                <w:u w:val="none"/>
                <w:lang w:eastAsia="zh-CN" w:bidi="ar"/>
                <w14:textFill>
                  <w14:solidFill>
                    <w14:schemeClr w14:val="tx1"/>
                  </w14:solidFill>
                </w14:textFill>
              </w:rPr>
            </w:pPr>
            <w:r>
              <w:rPr>
                <w:rFonts w:hint="default" w:ascii="宋体" w:hAnsi="宋体" w:cs="宋体"/>
                <w:i w:val="0"/>
                <w:color w:val="000000" w:themeColor="text1"/>
                <w:kern w:val="0"/>
                <w:sz w:val="18"/>
                <w:szCs w:val="18"/>
                <w:u w:val="none"/>
                <w:lang w:eastAsia="zh-CN" w:bidi="ar"/>
                <w14:textFill>
                  <w14:solidFill>
                    <w14:schemeClr w14:val="tx1"/>
                  </w14:solidFill>
                </w14:textFill>
              </w:rPr>
              <w:t>（含税）</w:t>
            </w:r>
          </w:p>
        </w:tc>
        <w:tc>
          <w:tcPr>
            <w:tcW w:w="1590" w:type="dxa"/>
            <w:tcBorders>
              <w:top w:val="single" w:color="auto" w:sz="4" w:space="0"/>
              <w:left w:val="nil"/>
              <w:bottom w:val="single" w:color="auto" w:sz="4" w:space="0"/>
              <w:right w:val="single" w:color="auto" w:sz="4" w:space="0"/>
            </w:tcBorders>
            <w:noWrap w:val="0"/>
            <w:vAlign w:val="center"/>
          </w:tcPr>
          <w:p w14:paraId="505BB2E4">
            <w:pPr>
              <w:keepNext w:val="0"/>
              <w:keepLines w:val="0"/>
              <w:widowControl/>
              <w:suppressLineNumbers w:val="0"/>
              <w:jc w:val="center"/>
              <w:textAlignment w:val="cente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color w:val="000000" w:themeColor="text1"/>
                <w:kern w:val="0"/>
                <w:sz w:val="18"/>
                <w:szCs w:val="18"/>
                <w:u w:val="none"/>
                <w:lang w:val="en-US" w:eastAsia="zh-CN" w:bidi="ar"/>
                <w14:textFill>
                  <w14:solidFill>
                    <w14:schemeClr w14:val="tx1"/>
                  </w14:solidFill>
                </w14:textFill>
              </w:rPr>
              <w:t>备注</w:t>
            </w:r>
          </w:p>
        </w:tc>
      </w:tr>
      <w:tr w14:paraId="03B9A9EB">
        <w:tblPrEx>
          <w:tblCellMar>
            <w:top w:w="0" w:type="dxa"/>
            <w:left w:w="108" w:type="dxa"/>
            <w:bottom w:w="0" w:type="dxa"/>
            <w:right w:w="108" w:type="dxa"/>
          </w:tblCellMar>
        </w:tblPrEx>
        <w:trPr>
          <w:trHeight w:val="787" w:hRule="atLeast"/>
        </w:trPr>
        <w:tc>
          <w:tcPr>
            <w:tcW w:w="340" w:type="dxa"/>
            <w:tcBorders>
              <w:top w:val="nil"/>
              <w:left w:val="single" w:color="auto" w:sz="4" w:space="0"/>
              <w:bottom w:val="single" w:color="auto" w:sz="4" w:space="0"/>
              <w:right w:val="single" w:color="auto" w:sz="4" w:space="0"/>
            </w:tcBorders>
            <w:noWrap w:val="0"/>
            <w:vAlign w:val="center"/>
          </w:tcPr>
          <w:p w14:paraId="6D9BE28E">
            <w:pPr>
              <w:widowControl/>
              <w:jc w:val="center"/>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w:t>
            </w:r>
          </w:p>
        </w:tc>
        <w:tc>
          <w:tcPr>
            <w:tcW w:w="1230" w:type="dxa"/>
            <w:tcBorders>
              <w:top w:val="nil"/>
              <w:left w:val="nil"/>
              <w:bottom w:val="single" w:color="auto" w:sz="4" w:space="0"/>
              <w:right w:val="single" w:color="auto" w:sz="4" w:space="0"/>
            </w:tcBorders>
            <w:noWrap w:val="0"/>
            <w:vAlign w:val="center"/>
          </w:tcPr>
          <w:p w14:paraId="6AFE3C14">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center"/>
              <w:rPr>
                <w:rFonts w:hint="default" w:ascii="宋体" w:hAnsi="宋体" w:cs="Arial"/>
                <w:color w:val="000000" w:themeColor="text1"/>
                <w:sz w:val="18"/>
                <w:szCs w:val="18"/>
                <w:lang w:val="en-US"/>
                <w14:textFill>
                  <w14:solidFill>
                    <w14:schemeClr w14:val="tx1"/>
                  </w14:solidFill>
                </w14:textFill>
              </w:rPr>
            </w:pPr>
            <w:r>
              <w:rPr>
                <w:rFonts w:hint="eastAsia" w:ascii="宋体" w:hAnsi="宋体"/>
                <w:color w:val="000000" w:themeColor="text1"/>
                <w:sz w:val="18"/>
                <w:szCs w:val="18"/>
                <w:lang w:val="en-US" w:eastAsia="zh-CN"/>
                <w14:textFill>
                  <w14:solidFill>
                    <w14:schemeClr w14:val="tx1"/>
                  </w14:solidFill>
                </w14:textFill>
              </w:rPr>
              <w:t>不锈钢立式标牌</w:t>
            </w:r>
          </w:p>
        </w:tc>
        <w:tc>
          <w:tcPr>
            <w:tcW w:w="5660" w:type="dxa"/>
            <w:tcBorders>
              <w:top w:val="nil"/>
              <w:left w:val="nil"/>
              <w:bottom w:val="single" w:color="auto" w:sz="4" w:space="0"/>
              <w:right w:val="single" w:color="auto" w:sz="4" w:space="0"/>
            </w:tcBorders>
            <w:noWrap w:val="0"/>
            <w:vAlign w:val="center"/>
          </w:tcPr>
          <w:p w14:paraId="0DDAA0B7">
            <w:pPr>
              <w:rPr>
                <w:rFonts w:hint="eastAsia"/>
                <w:sz w:val="18"/>
                <w:szCs w:val="18"/>
              </w:rPr>
            </w:pPr>
            <w:r>
              <w:rPr>
                <w:rFonts w:hint="eastAsia"/>
                <w:sz w:val="18"/>
                <w:szCs w:val="18"/>
              </w:rPr>
              <w:t>采用不锈钢立式支架，</w:t>
            </w:r>
            <w:r>
              <w:rPr>
                <w:rFonts w:hint="eastAsia"/>
                <w:sz w:val="18"/>
                <w:szCs w:val="18"/>
                <w:lang w:val="en-US" w:eastAsia="zh-CN"/>
              </w:rPr>
              <w:t>规格大小为1600*1200mm，</w:t>
            </w:r>
            <w:r>
              <w:rPr>
                <w:rFonts w:hint="eastAsia"/>
                <w:sz w:val="18"/>
                <w:szCs w:val="18"/>
              </w:rPr>
              <w:t>支架高度约为2700mm，内容采用</w:t>
            </w:r>
            <w:r>
              <w:rPr>
                <w:rFonts w:hint="eastAsia"/>
                <w:sz w:val="18"/>
                <w:szCs w:val="18"/>
                <w:lang w:val="en-US" w:eastAsia="zh-CN"/>
              </w:rPr>
              <w:t>1.5厚铝板裱</w:t>
            </w:r>
            <w:r>
              <w:rPr>
                <w:rFonts w:hint="eastAsia"/>
                <w:sz w:val="18"/>
                <w:szCs w:val="18"/>
              </w:rPr>
              <w:t>3M反光膜</w:t>
            </w:r>
            <w:r>
              <w:rPr>
                <w:rFonts w:hint="eastAsia"/>
                <w:sz w:val="18"/>
                <w:szCs w:val="18"/>
                <w:lang w:eastAsia="zh-CN"/>
              </w:rPr>
              <w:t>，</w:t>
            </w:r>
            <w:r>
              <w:rPr>
                <w:rFonts w:hint="eastAsia"/>
                <w:sz w:val="18"/>
                <w:szCs w:val="18"/>
              </w:rPr>
              <w:t>膜贴</w:t>
            </w:r>
            <w:r>
              <w:rPr>
                <w:rFonts w:hint="eastAsia"/>
                <w:sz w:val="18"/>
                <w:szCs w:val="18"/>
                <w:lang w:val="en-US" w:eastAsia="zh-CN"/>
              </w:rPr>
              <w:t>凹</w:t>
            </w:r>
            <w:r>
              <w:rPr>
                <w:rFonts w:hint="eastAsia"/>
                <w:sz w:val="18"/>
                <w:szCs w:val="18"/>
              </w:rPr>
              <w:t>凸字，双面</w:t>
            </w:r>
            <w:r>
              <w:rPr>
                <w:rFonts w:hint="eastAsia"/>
                <w:sz w:val="18"/>
                <w:szCs w:val="18"/>
                <w:lang w:val="en-US" w:eastAsia="zh-CN"/>
              </w:rPr>
              <w:t>(正面为内容，背侧为版）</w:t>
            </w:r>
            <w:bookmarkStart w:id="0" w:name="_GoBack"/>
            <w:bookmarkEnd w:id="0"/>
            <w:r>
              <w:rPr>
                <w:rFonts w:hint="eastAsia"/>
                <w:sz w:val="18"/>
                <w:szCs w:val="18"/>
              </w:rPr>
              <w:t>内容。安装：采用混泥土埋桩方式。</w:t>
            </w:r>
          </w:p>
          <w:p w14:paraId="0DACFFE6">
            <w:pPr>
              <w:jc w:val="center"/>
              <w:rPr>
                <w:rFonts w:hint="default"/>
                <w:sz w:val="18"/>
                <w:szCs w:val="18"/>
                <w:lang w:val="en-US" w:eastAsia="zh-CN"/>
              </w:rPr>
            </w:pPr>
            <w:r>
              <w:drawing>
                <wp:inline distT="0" distB="0" distL="114300" distR="114300">
                  <wp:extent cx="2479675" cy="1002030"/>
                  <wp:effectExtent l="0" t="0" r="4445" b="3810"/>
                  <wp:docPr id="3" name="图片 2" descr="dd4e59e201198af8179d3d519a03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dd4e59e201198af8179d3d519a031700"/>
                          <pic:cNvPicPr>
                            <a:picLocks noChangeAspect="1"/>
                          </pic:cNvPicPr>
                        </pic:nvPicPr>
                        <pic:blipFill>
                          <a:blip r:embed="rId4"/>
                          <a:stretch>
                            <a:fillRect/>
                          </a:stretch>
                        </pic:blipFill>
                        <pic:spPr>
                          <a:xfrm>
                            <a:off x="0" y="0"/>
                            <a:ext cx="2479675" cy="1002030"/>
                          </a:xfrm>
                          <a:prstGeom prst="rect">
                            <a:avLst/>
                          </a:prstGeom>
                        </pic:spPr>
                      </pic:pic>
                    </a:graphicData>
                  </a:graphic>
                </wp:inline>
              </w:drawing>
            </w:r>
            <w:r>
              <w:drawing>
                <wp:inline distT="0" distB="0" distL="114300" distR="114300">
                  <wp:extent cx="2216150" cy="1080135"/>
                  <wp:effectExtent l="9525" t="9525" r="14605" b="22860"/>
                  <wp:docPr id="9" name="图片 8" descr="a56525c4df5d69766af7864c1630d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a56525c4df5d69766af7864c1630d690"/>
                          <pic:cNvPicPr>
                            <a:picLocks noChangeAspect="1"/>
                          </pic:cNvPicPr>
                        </pic:nvPicPr>
                        <pic:blipFill>
                          <a:blip r:embed="rId5"/>
                          <a:stretch>
                            <a:fillRect/>
                          </a:stretch>
                        </pic:blipFill>
                        <pic:spPr>
                          <a:xfrm>
                            <a:off x="0" y="0"/>
                            <a:ext cx="2216150" cy="1080135"/>
                          </a:xfrm>
                          <a:prstGeom prst="rect">
                            <a:avLst/>
                          </a:prstGeom>
                          <a:ln>
                            <a:solidFill>
                              <a:srgbClr val="0000FF"/>
                            </a:solidFill>
                          </a:ln>
                        </pic:spPr>
                      </pic:pic>
                    </a:graphicData>
                  </a:graphic>
                </wp:inline>
              </w:drawing>
            </w:r>
          </w:p>
        </w:tc>
        <w:tc>
          <w:tcPr>
            <w:tcW w:w="853" w:type="dxa"/>
            <w:tcBorders>
              <w:top w:val="nil"/>
              <w:left w:val="nil"/>
              <w:bottom w:val="single" w:color="auto" w:sz="4" w:space="0"/>
              <w:right w:val="single" w:color="auto" w:sz="4" w:space="0"/>
            </w:tcBorders>
            <w:noWrap w:val="0"/>
            <w:vAlign w:val="center"/>
          </w:tcPr>
          <w:p w14:paraId="58B895DA">
            <w:pPr>
              <w:jc w:val="center"/>
              <w:rPr>
                <w:rFonts w:hint="default" w:ascii="宋体" w:hAnsi="宋体" w:eastAsia="宋体" w:cs="Arial"/>
                <w:color w:val="000000" w:themeColor="text1"/>
                <w:sz w:val="18"/>
                <w:szCs w:val="18"/>
                <w:lang w:val="en-US" w:eastAsia="zh-CN"/>
                <w14:textFill>
                  <w14:solidFill>
                    <w14:schemeClr w14:val="tx1"/>
                  </w14:solidFill>
                </w14:textFill>
              </w:rPr>
            </w:pPr>
            <w:r>
              <w:rPr>
                <w:rFonts w:hint="eastAsia" w:ascii="宋体" w:hAnsi="宋体" w:cs="Arial"/>
                <w:color w:val="000000" w:themeColor="text1"/>
                <w:sz w:val="18"/>
                <w:szCs w:val="18"/>
                <w:lang w:val="en-US" w:eastAsia="zh-CN"/>
                <w14:textFill>
                  <w14:solidFill>
                    <w14:schemeClr w14:val="tx1"/>
                  </w14:solidFill>
                </w14:textFill>
              </w:rPr>
              <w:t>套</w:t>
            </w:r>
          </w:p>
        </w:tc>
        <w:tc>
          <w:tcPr>
            <w:tcW w:w="1061" w:type="dxa"/>
            <w:tcBorders>
              <w:top w:val="nil"/>
              <w:left w:val="nil"/>
              <w:bottom w:val="single" w:color="auto" w:sz="4" w:space="0"/>
              <w:right w:val="single" w:color="auto" w:sz="4" w:space="0"/>
            </w:tcBorders>
            <w:noWrap w:val="0"/>
            <w:vAlign w:val="center"/>
          </w:tcPr>
          <w:p w14:paraId="47A315F6">
            <w:pPr>
              <w:keepNext w:val="0"/>
              <w:keepLines w:val="0"/>
              <w:widowControl/>
              <w:suppressLineNumbers w:val="0"/>
              <w:jc w:val="center"/>
              <w:textAlignment w:val="center"/>
              <w:rPr>
                <w:rFonts w:hint="default" w:ascii="宋体" w:hAnsi="宋体" w:eastAsia="宋体" w:cs="Arial"/>
                <w:color w:val="000000" w:themeColor="text1"/>
                <w:sz w:val="18"/>
                <w:szCs w:val="18"/>
                <w:lang w:val="en-US" w:eastAsia="zh-CN"/>
                <w14:textFill>
                  <w14:solidFill>
                    <w14:schemeClr w14:val="tx1"/>
                  </w14:solidFill>
                </w14:textFill>
              </w:rPr>
            </w:pPr>
            <w:r>
              <w:rPr>
                <w:rFonts w:hint="eastAsia" w:ascii="宋体" w:hAnsi="宋体" w:cs="宋体"/>
                <w:i w:val="0"/>
                <w:iCs w:val="0"/>
                <w:color w:val="000000"/>
                <w:kern w:val="0"/>
                <w:sz w:val="18"/>
                <w:szCs w:val="18"/>
                <w:u w:val="none"/>
                <w:lang w:val="en-US" w:eastAsia="zh-CN" w:bidi="ar"/>
              </w:rPr>
              <w:t>9</w:t>
            </w:r>
          </w:p>
        </w:tc>
        <w:tc>
          <w:tcPr>
            <w:tcW w:w="976" w:type="dxa"/>
            <w:tcBorders>
              <w:top w:val="nil"/>
              <w:left w:val="nil"/>
              <w:bottom w:val="single" w:color="auto" w:sz="4" w:space="0"/>
              <w:right w:val="single" w:color="auto" w:sz="4" w:space="0"/>
            </w:tcBorders>
            <w:noWrap w:val="0"/>
            <w:vAlign w:val="center"/>
          </w:tcPr>
          <w:p w14:paraId="105A735E">
            <w:pPr>
              <w:widowControl/>
              <w:jc w:val="center"/>
              <w:rPr>
                <w:rFonts w:hint="eastAsia" w:ascii="宋体" w:hAnsi="宋体" w:cs="宋体"/>
                <w:color w:val="000000" w:themeColor="text1"/>
                <w:kern w:val="0"/>
                <w:sz w:val="18"/>
                <w:szCs w:val="18"/>
                <w14:textFill>
                  <w14:solidFill>
                    <w14:schemeClr w14:val="tx1"/>
                  </w14:solidFill>
                </w14:textFill>
              </w:rPr>
            </w:pPr>
          </w:p>
        </w:tc>
        <w:tc>
          <w:tcPr>
            <w:tcW w:w="1090" w:type="dxa"/>
            <w:tcBorders>
              <w:top w:val="nil"/>
              <w:left w:val="nil"/>
              <w:bottom w:val="single" w:color="auto" w:sz="4" w:space="0"/>
              <w:right w:val="single" w:color="auto" w:sz="4" w:space="0"/>
            </w:tcBorders>
            <w:noWrap w:val="0"/>
            <w:vAlign w:val="center"/>
          </w:tcPr>
          <w:p w14:paraId="3F83C455">
            <w:pPr>
              <w:widowControl/>
              <w:ind w:left="0" w:leftChars="0" w:firstLine="0" w:firstLineChars="0"/>
              <w:jc w:val="center"/>
              <w:rPr>
                <w:rFonts w:hint="eastAsia" w:ascii="宋体" w:hAnsi="宋体" w:cs="宋体"/>
                <w:color w:val="000000" w:themeColor="text1"/>
                <w:kern w:val="0"/>
                <w:sz w:val="18"/>
                <w:szCs w:val="18"/>
                <w14:textFill>
                  <w14:solidFill>
                    <w14:schemeClr w14:val="tx1"/>
                  </w14:solidFill>
                </w14:textFill>
              </w:rPr>
            </w:pPr>
          </w:p>
        </w:tc>
        <w:tc>
          <w:tcPr>
            <w:tcW w:w="1150" w:type="dxa"/>
            <w:tcBorders>
              <w:top w:val="nil"/>
              <w:left w:val="nil"/>
              <w:bottom w:val="single" w:color="auto" w:sz="4" w:space="0"/>
              <w:right w:val="single" w:color="auto" w:sz="4" w:space="0"/>
            </w:tcBorders>
            <w:noWrap w:val="0"/>
            <w:vAlign w:val="center"/>
          </w:tcPr>
          <w:p w14:paraId="00210F67">
            <w:pPr>
              <w:widowControl/>
              <w:jc w:val="center"/>
              <w:rPr>
                <w:rFonts w:hint="eastAsia" w:ascii="宋体" w:hAnsi="宋体" w:cs="宋体"/>
                <w:color w:val="000000" w:themeColor="text1"/>
                <w:kern w:val="0"/>
                <w:sz w:val="18"/>
                <w:szCs w:val="18"/>
                <w14:textFill>
                  <w14:solidFill>
                    <w14:schemeClr w14:val="tx1"/>
                  </w14:solidFill>
                </w14:textFill>
              </w:rPr>
            </w:pPr>
          </w:p>
        </w:tc>
        <w:tc>
          <w:tcPr>
            <w:tcW w:w="1590" w:type="dxa"/>
            <w:tcBorders>
              <w:top w:val="nil"/>
              <w:left w:val="single" w:color="auto" w:sz="4" w:space="0"/>
              <w:bottom w:val="single" w:color="auto" w:sz="4" w:space="0"/>
              <w:right w:val="single" w:color="auto" w:sz="4" w:space="0"/>
            </w:tcBorders>
            <w:noWrap w:val="0"/>
            <w:vAlign w:val="center"/>
          </w:tcPr>
          <w:p w14:paraId="586B5177">
            <w:pPr>
              <w:keepNext w:val="0"/>
              <w:keepLines w:val="0"/>
              <w:widowControl/>
              <w:suppressLineNumbers w:val="0"/>
              <w:jc w:val="left"/>
              <w:textAlignment w:val="center"/>
              <w:rPr>
                <w:rFonts w:hint="default" w:ascii="宋体" w:hAnsi="宋体" w:eastAsia="宋体" w:cs="宋体"/>
                <w:color w:val="000000" w:themeColor="text1"/>
                <w:kern w:val="0"/>
                <w:sz w:val="18"/>
                <w:szCs w:val="18"/>
                <w:lang w:val="en-US" w:eastAsia="zh-CN"/>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此项目为隆林各族自治县安全生产和应急管理委员会办公室对天生桥二级水力发电有限公司的工作提醒函，要求2026年4月30日前完成相关整改。针对报价单位，要求2026年4月29日前完成整改。</w:t>
            </w:r>
          </w:p>
        </w:tc>
      </w:tr>
      <w:tr w14:paraId="2883735D">
        <w:tblPrEx>
          <w:tblCellMar>
            <w:top w:w="0" w:type="dxa"/>
            <w:left w:w="108" w:type="dxa"/>
            <w:bottom w:w="0" w:type="dxa"/>
            <w:right w:w="108" w:type="dxa"/>
          </w:tblCellMar>
        </w:tblPrEx>
        <w:trPr>
          <w:trHeight w:val="455" w:hRule="atLeast"/>
        </w:trPr>
        <w:tc>
          <w:tcPr>
            <w:tcW w:w="340" w:type="dxa"/>
            <w:tcBorders>
              <w:top w:val="nil"/>
              <w:left w:val="single" w:color="auto" w:sz="4" w:space="0"/>
              <w:bottom w:val="single" w:color="auto" w:sz="4" w:space="0"/>
              <w:right w:val="single" w:color="auto" w:sz="4" w:space="0"/>
            </w:tcBorders>
            <w:noWrap w:val="0"/>
            <w:vAlign w:val="center"/>
          </w:tcPr>
          <w:p w14:paraId="50EC9E7C">
            <w:pPr>
              <w:widowControl/>
              <w:jc w:val="center"/>
              <w:rPr>
                <w:rFonts w:hint="eastAsia" w:ascii="宋体" w:hAnsi="宋体" w:eastAsia="宋体" w:cs="宋体"/>
                <w:color w:val="000000" w:themeColor="text1"/>
                <w:kern w:val="0"/>
                <w:sz w:val="18"/>
                <w:szCs w:val="18"/>
                <w:lang w:val="en-US" w:eastAsia="zh-CN"/>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2</w:t>
            </w:r>
          </w:p>
        </w:tc>
        <w:tc>
          <w:tcPr>
            <w:tcW w:w="1230" w:type="dxa"/>
            <w:tcBorders>
              <w:top w:val="nil"/>
              <w:left w:val="nil"/>
              <w:bottom w:val="single" w:color="auto" w:sz="4" w:space="0"/>
              <w:right w:val="single" w:color="auto" w:sz="4" w:space="0"/>
            </w:tcBorders>
            <w:noWrap w:val="0"/>
            <w:vAlign w:val="center"/>
          </w:tcPr>
          <w:p w14:paraId="33274052">
            <w:pPr>
              <w:keepNext w:val="0"/>
              <w:keepLines w:val="0"/>
              <w:pageBreakBefore w:val="0"/>
              <w:widowControl/>
              <w:suppressLineNumbers w:val="0"/>
              <w:kinsoku/>
              <w:wordWrap/>
              <w:overflowPunct/>
              <w:topLinePunct w:val="0"/>
              <w:autoSpaceDE/>
              <w:autoSpaceDN/>
              <w:bidi w:val="0"/>
              <w:adjustRightInd/>
              <w:snapToGrid/>
              <w:spacing w:line="120" w:lineRule="auto"/>
              <w:jc w:val="center"/>
              <w:textAlignment w:val="center"/>
              <w:rPr>
                <w:rFonts w:hint="eastAsia" w:ascii="宋体" w:hAnsi="宋体" w:cs="Arial"/>
                <w:color w:val="000000" w:themeColor="text1"/>
                <w:kern w:val="2"/>
                <w:sz w:val="18"/>
                <w:szCs w:val="18"/>
                <w:lang w:val="en-US" w:eastAsia="zh-CN" w:bidi="ar-SA"/>
                <w14:textFill>
                  <w14:solidFill>
                    <w14:schemeClr w14:val="tx1"/>
                  </w14:solidFill>
                </w14:textFill>
              </w:rPr>
            </w:pPr>
            <w:r>
              <w:rPr>
                <w:rFonts w:hint="eastAsia" w:ascii="宋体" w:hAnsi="宋体"/>
                <w:color w:val="000000" w:themeColor="text1"/>
                <w:sz w:val="18"/>
                <w:szCs w:val="18"/>
                <w:lang w:val="en-US" w:eastAsia="zh-CN"/>
                <w14:textFill>
                  <w14:solidFill>
                    <w14:schemeClr w14:val="tx1"/>
                  </w14:solidFill>
                </w14:textFill>
              </w:rPr>
              <w:t>标示牌更换</w:t>
            </w:r>
          </w:p>
        </w:tc>
        <w:tc>
          <w:tcPr>
            <w:tcW w:w="5660" w:type="dxa"/>
            <w:tcBorders>
              <w:top w:val="nil"/>
              <w:left w:val="nil"/>
              <w:bottom w:val="single" w:color="auto" w:sz="4" w:space="0"/>
              <w:right w:val="single" w:color="auto" w:sz="4" w:space="0"/>
            </w:tcBorders>
            <w:noWrap w:val="0"/>
            <w:vAlign w:val="center"/>
          </w:tcPr>
          <w:p w14:paraId="078E513D">
            <w:pPr>
              <w:rPr>
                <w:rFonts w:hint="eastAsia"/>
                <w:sz w:val="18"/>
                <w:szCs w:val="18"/>
              </w:rPr>
            </w:pPr>
            <w:r>
              <w:rPr>
                <w:rFonts w:hint="eastAsia"/>
                <w:sz w:val="18"/>
                <w:szCs w:val="18"/>
              </w:rPr>
              <w:t>原砖砌墙河道标示牌更换</w:t>
            </w:r>
            <w:r>
              <w:rPr>
                <w:rFonts w:hint="eastAsia"/>
                <w:sz w:val="18"/>
                <w:szCs w:val="18"/>
                <w:lang w:eastAsia="zh-CN"/>
              </w:rPr>
              <w:t>，</w:t>
            </w:r>
            <w:r>
              <w:rPr>
                <w:rFonts w:hint="eastAsia"/>
                <w:sz w:val="18"/>
                <w:szCs w:val="18"/>
              </w:rPr>
              <w:t>尺寸2</w:t>
            </w:r>
            <w:r>
              <w:rPr>
                <w:rFonts w:hint="eastAsia"/>
                <w:sz w:val="18"/>
                <w:szCs w:val="18"/>
                <w:lang w:val="en-US" w:eastAsia="zh-CN"/>
              </w:rPr>
              <w:t>000mm</w:t>
            </w:r>
            <w:r>
              <w:rPr>
                <w:rFonts w:hint="eastAsia"/>
                <w:sz w:val="18"/>
                <w:szCs w:val="18"/>
              </w:rPr>
              <w:t>*3</w:t>
            </w:r>
            <w:r>
              <w:rPr>
                <w:rFonts w:hint="eastAsia"/>
                <w:sz w:val="18"/>
                <w:szCs w:val="18"/>
                <w:lang w:val="en-US" w:eastAsia="zh-CN"/>
              </w:rPr>
              <w:t>000m</w:t>
            </w:r>
            <w:r>
              <w:rPr>
                <w:rFonts w:hint="eastAsia"/>
                <w:sz w:val="18"/>
                <w:szCs w:val="18"/>
              </w:rPr>
              <w:t>m，需拆除原表面基层板，重新进行黏贴1.5厚</w:t>
            </w:r>
            <w:r>
              <w:rPr>
                <w:rFonts w:hint="eastAsia"/>
                <w:sz w:val="18"/>
                <w:szCs w:val="18"/>
                <w:lang w:val="en-US" w:eastAsia="zh-CN"/>
              </w:rPr>
              <w:t>铝板裱</w:t>
            </w:r>
            <w:r>
              <w:rPr>
                <w:rFonts w:hint="eastAsia"/>
                <w:sz w:val="18"/>
                <w:szCs w:val="18"/>
              </w:rPr>
              <w:t>3M反光膜，凹凸字反光膜工艺。</w:t>
            </w:r>
          </w:p>
          <w:p w14:paraId="79046E00">
            <w:pPr>
              <w:jc w:val="center"/>
              <w:rPr>
                <w:rFonts w:hint="eastAsia"/>
                <w:sz w:val="18"/>
                <w:szCs w:val="18"/>
                <w:lang w:val="en-US" w:eastAsia="zh-CN"/>
              </w:rPr>
            </w:pPr>
            <w:r>
              <w:rPr>
                <w:rFonts w:hint="eastAsia" w:ascii="宋体" w:hAnsi="宋体" w:eastAsia="宋体" w:cs="宋体"/>
                <w:sz w:val="21"/>
                <w:szCs w:val="21"/>
                <w:highlight w:val="yellow"/>
              </w:rPr>
              <w:drawing>
                <wp:inline distT="0" distB="0" distL="114300" distR="114300">
                  <wp:extent cx="2037080" cy="1080135"/>
                  <wp:effectExtent l="0" t="0" r="5080" b="1905"/>
                  <wp:docPr id="27" name="图片 27" descr="大哄豹路口到红岩电站公路2000m处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大哄豹路口到红岩电站公路2000m处1"/>
                          <pic:cNvPicPr>
                            <a:picLocks noChangeAspect="1"/>
                          </pic:cNvPicPr>
                        </pic:nvPicPr>
                        <pic:blipFill>
                          <a:blip r:embed="rId6"/>
                          <a:stretch>
                            <a:fillRect/>
                          </a:stretch>
                        </pic:blipFill>
                        <pic:spPr>
                          <a:xfrm>
                            <a:off x="0" y="0"/>
                            <a:ext cx="2037080" cy="1080135"/>
                          </a:xfrm>
                          <a:prstGeom prst="rect">
                            <a:avLst/>
                          </a:prstGeom>
                        </pic:spPr>
                      </pic:pic>
                    </a:graphicData>
                  </a:graphic>
                </wp:inline>
              </w:drawing>
            </w:r>
          </w:p>
        </w:tc>
        <w:tc>
          <w:tcPr>
            <w:tcW w:w="853" w:type="dxa"/>
            <w:tcBorders>
              <w:top w:val="nil"/>
              <w:left w:val="nil"/>
              <w:bottom w:val="single" w:color="auto" w:sz="4" w:space="0"/>
              <w:right w:val="single" w:color="auto" w:sz="4" w:space="0"/>
            </w:tcBorders>
            <w:noWrap w:val="0"/>
            <w:vAlign w:val="center"/>
          </w:tcPr>
          <w:p w14:paraId="150E03EB">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2"/>
                <w:sz w:val="18"/>
                <w:szCs w:val="18"/>
                <w:u w:val="none"/>
                <w:lang w:val="en-US" w:eastAsia="zh-CN" w:bidi="ar-SA"/>
              </w:rPr>
              <w:t>处</w:t>
            </w:r>
          </w:p>
        </w:tc>
        <w:tc>
          <w:tcPr>
            <w:tcW w:w="1061" w:type="dxa"/>
            <w:tcBorders>
              <w:top w:val="nil"/>
              <w:left w:val="nil"/>
              <w:bottom w:val="single" w:color="auto" w:sz="4" w:space="0"/>
              <w:right w:val="single" w:color="auto" w:sz="4" w:space="0"/>
            </w:tcBorders>
            <w:noWrap w:val="0"/>
            <w:vAlign w:val="center"/>
          </w:tcPr>
          <w:p w14:paraId="351F648E">
            <w:pPr>
              <w:keepNext w:val="0"/>
              <w:keepLines w:val="0"/>
              <w:widowControl/>
              <w:suppressLineNumbers w:val="0"/>
              <w:jc w:val="center"/>
              <w:textAlignment w:val="center"/>
              <w:rPr>
                <w:rFonts w:hint="default" w:ascii="宋体" w:hAnsi="宋体" w:eastAsia="宋体" w:cs="Arial"/>
                <w:color w:val="000000" w:themeColor="text1"/>
                <w:kern w:val="2"/>
                <w:sz w:val="18"/>
                <w:szCs w:val="18"/>
                <w:lang w:val="en-US" w:eastAsia="zh-CN" w:bidi="ar-SA"/>
                <w14:textFill>
                  <w14:solidFill>
                    <w14:schemeClr w14:val="tx1"/>
                  </w14:solidFill>
                </w14:textFill>
              </w:rPr>
            </w:pPr>
            <w:r>
              <w:rPr>
                <w:rFonts w:hint="eastAsia" w:ascii="宋体" w:hAnsi="宋体" w:cs="宋体"/>
                <w:i w:val="0"/>
                <w:iCs w:val="0"/>
                <w:color w:val="000000"/>
                <w:kern w:val="0"/>
                <w:sz w:val="18"/>
                <w:szCs w:val="18"/>
                <w:u w:val="none"/>
                <w:lang w:val="en-US" w:eastAsia="zh-CN" w:bidi="ar"/>
              </w:rPr>
              <w:t>9</w:t>
            </w:r>
          </w:p>
        </w:tc>
        <w:tc>
          <w:tcPr>
            <w:tcW w:w="976" w:type="dxa"/>
            <w:tcBorders>
              <w:top w:val="nil"/>
              <w:left w:val="nil"/>
              <w:bottom w:val="single" w:color="auto" w:sz="4" w:space="0"/>
              <w:right w:val="single" w:color="auto" w:sz="4" w:space="0"/>
            </w:tcBorders>
            <w:noWrap w:val="0"/>
            <w:vAlign w:val="center"/>
          </w:tcPr>
          <w:p w14:paraId="2E0FD128">
            <w:pPr>
              <w:widowControl/>
              <w:jc w:val="center"/>
              <w:rPr>
                <w:rFonts w:hint="eastAsia" w:ascii="宋体" w:hAnsi="宋体" w:cs="宋体"/>
                <w:color w:val="000000" w:themeColor="text1"/>
                <w:kern w:val="0"/>
                <w:sz w:val="18"/>
                <w:szCs w:val="18"/>
                <w14:textFill>
                  <w14:solidFill>
                    <w14:schemeClr w14:val="tx1"/>
                  </w14:solidFill>
                </w14:textFill>
              </w:rPr>
            </w:pPr>
          </w:p>
        </w:tc>
        <w:tc>
          <w:tcPr>
            <w:tcW w:w="1090" w:type="dxa"/>
            <w:tcBorders>
              <w:top w:val="nil"/>
              <w:left w:val="nil"/>
              <w:bottom w:val="single" w:color="auto" w:sz="4" w:space="0"/>
              <w:right w:val="single" w:color="auto" w:sz="4" w:space="0"/>
            </w:tcBorders>
            <w:noWrap w:val="0"/>
            <w:vAlign w:val="center"/>
          </w:tcPr>
          <w:p w14:paraId="30FAA294">
            <w:pPr>
              <w:widowControl/>
              <w:ind w:left="0" w:leftChars="0" w:firstLine="0" w:firstLineChars="0"/>
              <w:jc w:val="center"/>
              <w:rPr>
                <w:rFonts w:hint="eastAsia" w:ascii="宋体" w:hAnsi="宋体" w:cs="宋体"/>
                <w:color w:val="000000" w:themeColor="text1"/>
                <w:kern w:val="0"/>
                <w:sz w:val="18"/>
                <w:szCs w:val="18"/>
                <w14:textFill>
                  <w14:solidFill>
                    <w14:schemeClr w14:val="tx1"/>
                  </w14:solidFill>
                </w14:textFill>
              </w:rPr>
            </w:pPr>
          </w:p>
        </w:tc>
        <w:tc>
          <w:tcPr>
            <w:tcW w:w="1150" w:type="dxa"/>
            <w:tcBorders>
              <w:top w:val="nil"/>
              <w:left w:val="nil"/>
              <w:bottom w:val="single" w:color="auto" w:sz="4" w:space="0"/>
              <w:right w:val="single" w:color="auto" w:sz="4" w:space="0"/>
            </w:tcBorders>
            <w:noWrap w:val="0"/>
            <w:vAlign w:val="center"/>
          </w:tcPr>
          <w:p w14:paraId="272C41A6">
            <w:pPr>
              <w:widowControl/>
              <w:jc w:val="center"/>
              <w:rPr>
                <w:rFonts w:hint="eastAsia" w:ascii="宋体" w:hAnsi="宋体" w:cs="宋体"/>
                <w:color w:val="000000" w:themeColor="text1"/>
                <w:kern w:val="0"/>
                <w:sz w:val="18"/>
                <w:szCs w:val="18"/>
                <w14:textFill>
                  <w14:solidFill>
                    <w14:schemeClr w14:val="tx1"/>
                  </w14:solidFill>
                </w14:textFill>
              </w:rPr>
            </w:pPr>
          </w:p>
        </w:tc>
        <w:tc>
          <w:tcPr>
            <w:tcW w:w="1590" w:type="dxa"/>
            <w:tcBorders>
              <w:top w:val="nil"/>
              <w:left w:val="single" w:color="auto" w:sz="4" w:space="0"/>
              <w:bottom w:val="single" w:color="auto" w:sz="4" w:space="0"/>
              <w:right w:val="single" w:color="auto" w:sz="4" w:space="0"/>
            </w:tcBorders>
            <w:noWrap w:val="0"/>
            <w:vAlign w:val="center"/>
          </w:tcPr>
          <w:p w14:paraId="20FA050A">
            <w:pPr>
              <w:keepNext w:val="0"/>
              <w:keepLines w:val="0"/>
              <w:widowControl/>
              <w:suppressLineNumbers w:val="0"/>
              <w:jc w:val="left"/>
              <w:textAlignment w:val="center"/>
              <w:rPr>
                <w:rFonts w:hint="eastAsia"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lang w:val="en-US" w:eastAsia="zh-CN"/>
                <w14:textFill>
                  <w14:solidFill>
                    <w14:schemeClr w14:val="tx1"/>
                  </w14:solidFill>
                </w14:textFill>
              </w:rPr>
              <w:t>此项目为隆林各族自治县安全生产和应急管理委员会办公室对天生桥二级水力发电有限公司的工作提醒函，要求2026年4月30日前完成相关整改。针对报价单位，要求2026年4月29日前完成整改。</w:t>
            </w:r>
          </w:p>
        </w:tc>
      </w:tr>
      <w:tr w14:paraId="5001B688">
        <w:tblPrEx>
          <w:tblCellMar>
            <w:top w:w="0" w:type="dxa"/>
            <w:left w:w="108" w:type="dxa"/>
            <w:bottom w:w="0" w:type="dxa"/>
            <w:right w:w="108" w:type="dxa"/>
          </w:tblCellMar>
        </w:tblPrEx>
        <w:trPr>
          <w:trHeight w:val="575" w:hRule="atLeast"/>
        </w:trPr>
        <w:tc>
          <w:tcPr>
            <w:tcW w:w="10120" w:type="dxa"/>
            <w:gridSpan w:val="6"/>
            <w:tcBorders>
              <w:top w:val="nil"/>
              <w:left w:val="single" w:color="auto" w:sz="4" w:space="0"/>
              <w:bottom w:val="single" w:color="auto" w:sz="4" w:space="0"/>
              <w:right w:val="single" w:color="auto" w:sz="4" w:space="0"/>
            </w:tcBorders>
            <w:noWrap w:val="0"/>
            <w:vAlign w:val="center"/>
          </w:tcPr>
          <w:p w14:paraId="38935539">
            <w:pPr>
              <w:widowControl/>
              <w:ind w:left="0" w:leftChars="0" w:firstLine="0" w:firstLineChars="0"/>
              <w:jc w:val="center"/>
              <w:rPr>
                <w:rFonts w:hint="eastAsia" w:ascii="宋体" w:hAnsi="宋体" w:cs="宋体"/>
                <w:kern w:val="0"/>
                <w:sz w:val="18"/>
                <w:szCs w:val="18"/>
                <w:lang w:val="en-US" w:eastAsia="zh-CN"/>
              </w:rPr>
            </w:pPr>
            <w:r>
              <w:rPr>
                <w:rFonts w:hint="eastAsia" w:ascii="宋体" w:hAnsi="宋体" w:cs="Arial"/>
                <w:color w:val="000000"/>
                <w:sz w:val="18"/>
                <w:szCs w:val="18"/>
                <w:lang w:val="en-US" w:eastAsia="zh-CN"/>
              </w:rPr>
              <w:t>税率</w:t>
            </w:r>
          </w:p>
        </w:tc>
        <w:tc>
          <w:tcPr>
            <w:tcW w:w="3830" w:type="dxa"/>
            <w:gridSpan w:val="3"/>
            <w:tcBorders>
              <w:top w:val="nil"/>
              <w:left w:val="nil"/>
              <w:bottom w:val="single" w:color="auto" w:sz="4" w:space="0"/>
              <w:right w:val="single" w:color="auto" w:sz="4" w:space="0"/>
            </w:tcBorders>
            <w:noWrap w:val="0"/>
            <w:vAlign w:val="center"/>
          </w:tcPr>
          <w:p w14:paraId="4D6BF453">
            <w:pPr>
              <w:widowControl/>
              <w:jc w:val="center"/>
              <w:rPr>
                <w:rFonts w:hint="eastAsia" w:ascii="宋体" w:hAnsi="宋体" w:eastAsia="宋体" w:cs="宋体"/>
                <w:kern w:val="0"/>
                <w:sz w:val="18"/>
                <w:szCs w:val="18"/>
                <w:lang w:val="en-US" w:eastAsia="zh-CN"/>
              </w:rPr>
            </w:pPr>
            <w:r>
              <w:rPr>
                <w:rFonts w:hint="default" w:ascii="宋体" w:hAnsi="宋体" w:cs="宋体"/>
                <w:kern w:val="0"/>
                <w:sz w:val="18"/>
                <w:szCs w:val="18"/>
                <w:lang w:eastAsia="zh-CN"/>
                <w:woUserID w:val="1"/>
              </w:rPr>
              <w:t>13</w:t>
            </w:r>
            <w:r>
              <w:rPr>
                <w:rFonts w:hint="eastAsia" w:ascii="宋体" w:hAnsi="宋体" w:cs="宋体"/>
                <w:kern w:val="0"/>
                <w:sz w:val="18"/>
                <w:szCs w:val="18"/>
                <w:lang w:val="en-US" w:eastAsia="zh-CN"/>
              </w:rPr>
              <w:t>%</w:t>
            </w:r>
          </w:p>
        </w:tc>
      </w:tr>
      <w:tr w14:paraId="446052DC">
        <w:tblPrEx>
          <w:tblCellMar>
            <w:top w:w="0" w:type="dxa"/>
            <w:left w:w="108" w:type="dxa"/>
            <w:bottom w:w="0" w:type="dxa"/>
            <w:right w:w="108" w:type="dxa"/>
          </w:tblCellMar>
        </w:tblPrEx>
        <w:trPr>
          <w:trHeight w:val="585" w:hRule="atLeast"/>
        </w:trPr>
        <w:tc>
          <w:tcPr>
            <w:tcW w:w="10120" w:type="dxa"/>
            <w:gridSpan w:val="6"/>
            <w:tcBorders>
              <w:top w:val="nil"/>
              <w:left w:val="single" w:color="auto" w:sz="4" w:space="0"/>
              <w:bottom w:val="single" w:color="auto" w:sz="4" w:space="0"/>
              <w:right w:val="single" w:color="auto" w:sz="4" w:space="0"/>
            </w:tcBorders>
            <w:noWrap w:val="0"/>
            <w:vAlign w:val="center"/>
          </w:tcPr>
          <w:p w14:paraId="4577B139">
            <w:pPr>
              <w:widowControl/>
              <w:ind w:left="0" w:leftChars="0" w:firstLine="0" w:firstLineChars="0"/>
              <w:jc w:val="center"/>
              <w:rPr>
                <w:rFonts w:hint="eastAsia" w:ascii="宋体" w:hAnsi="宋体" w:cs="宋体"/>
                <w:kern w:val="0"/>
                <w:sz w:val="18"/>
                <w:szCs w:val="18"/>
              </w:rPr>
            </w:pPr>
            <w:r>
              <w:rPr>
                <w:rFonts w:hint="eastAsia" w:ascii="宋体" w:hAnsi="宋体" w:cs="宋体"/>
                <w:sz w:val="18"/>
                <w:szCs w:val="18"/>
              </w:rPr>
              <w:t>总</w:t>
            </w:r>
            <w:r>
              <w:rPr>
                <w:rFonts w:hint="eastAsia" w:ascii="宋体" w:hAnsi="宋体" w:cs="宋体"/>
                <w:sz w:val="18"/>
                <w:szCs w:val="18"/>
                <w:lang w:val="en-US" w:eastAsia="zh-CN"/>
              </w:rPr>
              <w:t>价</w:t>
            </w:r>
          </w:p>
        </w:tc>
        <w:tc>
          <w:tcPr>
            <w:tcW w:w="1090" w:type="dxa"/>
            <w:tcBorders>
              <w:top w:val="nil"/>
              <w:left w:val="nil"/>
              <w:bottom w:val="single" w:color="auto" w:sz="4" w:space="0"/>
              <w:right w:val="single" w:color="auto" w:sz="4" w:space="0"/>
            </w:tcBorders>
            <w:noWrap w:val="0"/>
            <w:vAlign w:val="center"/>
          </w:tcPr>
          <w:p w14:paraId="11411EE2">
            <w:pPr>
              <w:widowControl/>
              <w:jc w:val="center"/>
              <w:rPr>
                <w:rFonts w:hint="eastAsia" w:ascii="宋体" w:hAnsi="宋体" w:cs="宋体"/>
                <w:kern w:val="0"/>
                <w:sz w:val="18"/>
                <w:szCs w:val="18"/>
              </w:rPr>
            </w:pPr>
          </w:p>
        </w:tc>
        <w:tc>
          <w:tcPr>
            <w:tcW w:w="1150" w:type="dxa"/>
            <w:tcBorders>
              <w:top w:val="nil"/>
              <w:left w:val="nil"/>
              <w:bottom w:val="single" w:color="auto" w:sz="4" w:space="0"/>
              <w:right w:val="single" w:color="auto" w:sz="4" w:space="0"/>
            </w:tcBorders>
            <w:noWrap w:val="0"/>
            <w:vAlign w:val="center"/>
          </w:tcPr>
          <w:p w14:paraId="60E21546">
            <w:pPr>
              <w:widowControl/>
              <w:jc w:val="center"/>
              <w:rPr>
                <w:rFonts w:hint="eastAsia" w:ascii="宋体" w:hAnsi="宋体" w:cs="宋体"/>
                <w:kern w:val="0"/>
                <w:sz w:val="18"/>
                <w:szCs w:val="18"/>
              </w:rPr>
            </w:pPr>
          </w:p>
        </w:tc>
        <w:tc>
          <w:tcPr>
            <w:tcW w:w="1590" w:type="dxa"/>
            <w:tcBorders>
              <w:top w:val="nil"/>
              <w:left w:val="nil"/>
              <w:bottom w:val="single" w:color="auto" w:sz="4" w:space="0"/>
              <w:right w:val="single" w:color="auto" w:sz="4" w:space="0"/>
            </w:tcBorders>
            <w:noWrap w:val="0"/>
            <w:vAlign w:val="center"/>
          </w:tcPr>
          <w:p w14:paraId="67DFE60A">
            <w:pPr>
              <w:widowControl/>
              <w:jc w:val="center"/>
              <w:rPr>
                <w:rFonts w:hint="eastAsia" w:ascii="宋体" w:hAnsi="宋体" w:cs="宋体"/>
                <w:kern w:val="0"/>
                <w:sz w:val="18"/>
                <w:szCs w:val="18"/>
              </w:rPr>
            </w:pPr>
          </w:p>
        </w:tc>
      </w:tr>
    </w:tbl>
    <w:p w14:paraId="4B79FA59">
      <w:pPr>
        <w:spacing w:line="0" w:lineRule="atLeast"/>
        <w:jc w:val="both"/>
        <w:outlineLvl w:val="0"/>
        <w:rPr>
          <w:rFonts w:hint="eastAsia" w:ascii="宋体" w:hAnsi="宋体"/>
          <w:b/>
          <w:sz w:val="24"/>
        </w:rPr>
      </w:pPr>
    </w:p>
    <w:p w14:paraId="3C2DC1F5">
      <w:pPr>
        <w:spacing w:line="0" w:lineRule="atLeast"/>
        <w:jc w:val="center"/>
        <w:outlineLvl w:val="0"/>
        <w:rPr>
          <w:rFonts w:hint="eastAsia" w:ascii="宋体" w:hAnsi="宋体"/>
          <w:sz w:val="24"/>
        </w:rPr>
      </w:pPr>
      <w:r>
        <w:rPr>
          <w:rFonts w:hint="eastAsia" w:ascii="宋体" w:hAnsi="宋体"/>
          <w:b/>
          <w:sz w:val="24"/>
        </w:rPr>
        <w:t>表</w:t>
      </w:r>
      <w:r>
        <w:rPr>
          <w:rFonts w:hint="eastAsia" w:ascii="宋体" w:hAnsi="宋体"/>
          <w:b/>
          <w:sz w:val="24"/>
          <w:lang w:val="en-US" w:eastAsia="zh-CN"/>
        </w:rPr>
        <w:t>二</w:t>
      </w:r>
      <w:r>
        <w:rPr>
          <w:rFonts w:hint="eastAsia" w:ascii="宋体" w:hAnsi="宋体"/>
          <w:b/>
          <w:sz w:val="24"/>
        </w:rPr>
        <w:t>：</w:t>
      </w:r>
      <w:r>
        <w:rPr>
          <w:rFonts w:hint="eastAsia" w:ascii="宋体" w:hAnsi="宋体"/>
          <w:b/>
          <w:bCs/>
          <w:sz w:val="24"/>
        </w:rPr>
        <w:t>分项</w:t>
      </w:r>
      <w:r>
        <w:rPr>
          <w:rFonts w:hint="eastAsia" w:ascii="宋体" w:hAnsi="宋体"/>
          <w:b/>
          <w:bCs/>
          <w:sz w:val="24"/>
          <w:lang w:val="en-US" w:eastAsia="zh-CN"/>
        </w:rPr>
        <w:t>报价</w:t>
      </w:r>
      <w:r>
        <w:rPr>
          <w:rFonts w:hint="eastAsia" w:ascii="宋体" w:hAnsi="宋体"/>
          <w:b/>
          <w:bCs/>
          <w:sz w:val="24"/>
        </w:rPr>
        <w:t>表</w:t>
      </w:r>
    </w:p>
    <w:p w14:paraId="50AC7B69">
      <w:pPr>
        <w:rPr>
          <w:rFonts w:hint="eastAsia" w:ascii="宋体" w:hAnsi="宋体"/>
          <w:sz w:val="24"/>
        </w:rPr>
      </w:pPr>
    </w:p>
    <w:p w14:paraId="36253BC6">
      <w:pPr>
        <w:rPr>
          <w:rFonts w:hint="eastAsia" w:ascii="宋体" w:hAnsi="宋体"/>
          <w:sz w:val="24"/>
        </w:rPr>
      </w:pPr>
    </w:p>
    <w:p w14:paraId="4F0F067F">
      <w:pPr>
        <w:rPr>
          <w:rFonts w:hint="eastAsia" w:ascii="宋体" w:hAnsi="宋体"/>
          <w:sz w:val="24"/>
          <w:u w:val="single"/>
        </w:rPr>
      </w:pPr>
      <w:r>
        <w:rPr>
          <w:rFonts w:hint="eastAsia" w:ascii="宋体" w:hAnsi="宋体"/>
          <w:sz w:val="24"/>
        </w:rPr>
        <w:t>投标单位（公章）</w:t>
      </w:r>
      <w:r>
        <w:rPr>
          <w:rFonts w:hint="eastAsia" w:ascii="宋体" w:hAnsi="宋体"/>
          <w:sz w:val="24"/>
          <w:u w:val="single"/>
        </w:rPr>
        <w:t xml:space="preserve">                         </w:t>
      </w:r>
    </w:p>
    <w:p w14:paraId="3E4029D6">
      <w:pPr>
        <w:rPr>
          <w:rFonts w:hint="eastAsia" w:ascii="宋体" w:hAnsi="宋体"/>
          <w:sz w:val="24"/>
        </w:rPr>
      </w:pPr>
    </w:p>
    <w:p w14:paraId="156BFA3B">
      <w:pPr>
        <w:rPr>
          <w:rFonts w:hint="eastAsia" w:ascii="宋体" w:hAnsi="宋体"/>
          <w:sz w:val="24"/>
        </w:rPr>
      </w:pPr>
    </w:p>
    <w:p w14:paraId="3336AF10">
      <w:pPr>
        <w:rPr>
          <w:rFonts w:hint="eastAsia" w:ascii="宋体" w:hAnsi="宋体"/>
          <w:sz w:val="24"/>
        </w:rPr>
      </w:pPr>
    </w:p>
    <w:p w14:paraId="7324BA5E">
      <w:pPr>
        <w:rPr>
          <w:rFonts w:hint="eastAsia" w:ascii="宋体" w:hAnsi="宋体"/>
          <w:sz w:val="24"/>
          <w:u w:val="single"/>
        </w:rPr>
      </w:pPr>
      <w:r>
        <w:rPr>
          <w:rFonts w:hint="eastAsia" w:ascii="宋体" w:hAnsi="宋体"/>
          <w:sz w:val="24"/>
        </w:rPr>
        <w:t>投标单位法人代表或法人代表的委托人（签字）</w:t>
      </w:r>
      <w:r>
        <w:rPr>
          <w:rFonts w:hint="eastAsia" w:ascii="宋体" w:hAnsi="宋体"/>
          <w:sz w:val="24"/>
          <w:u w:val="single"/>
        </w:rPr>
        <w:t xml:space="preserve">            </w:t>
      </w:r>
    </w:p>
    <w:p w14:paraId="7049B3F8">
      <w:pPr>
        <w:rPr>
          <w:rFonts w:hint="eastAsia" w:ascii="宋体" w:hAnsi="宋体"/>
          <w:sz w:val="24"/>
        </w:rPr>
      </w:pPr>
    </w:p>
    <w:p w14:paraId="1B249066">
      <w:pPr>
        <w:rPr>
          <w:rFonts w:hint="eastAsia" w:ascii="宋体" w:hAnsi="宋体"/>
          <w:sz w:val="24"/>
        </w:rPr>
      </w:pPr>
    </w:p>
    <w:p w14:paraId="5DE969AE">
      <w:pPr>
        <w:rPr>
          <w:rFonts w:hint="eastAsia" w:ascii="宋体" w:hAnsi="宋体"/>
          <w:sz w:val="24"/>
        </w:rPr>
      </w:pPr>
    </w:p>
    <w:p w14:paraId="1C3C6812">
      <w:pPr>
        <w:rPr>
          <w:rFonts w:hint="eastAsia" w:ascii="宋体" w:hAnsi="宋体"/>
          <w:sz w:val="24"/>
        </w:rPr>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05D9708F"/>
    <w:sectPr>
      <w:pgSz w:w="16838" w:h="11906" w:orient="landscape"/>
      <w:pgMar w:top="1803" w:right="1440" w:bottom="12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C94749"/>
    <w:rsid w:val="00430F7F"/>
    <w:rsid w:val="005258C7"/>
    <w:rsid w:val="00925658"/>
    <w:rsid w:val="01004831"/>
    <w:rsid w:val="01011E88"/>
    <w:rsid w:val="01641414"/>
    <w:rsid w:val="01D45BDD"/>
    <w:rsid w:val="01D735BD"/>
    <w:rsid w:val="01E40F98"/>
    <w:rsid w:val="026105E2"/>
    <w:rsid w:val="02BE400F"/>
    <w:rsid w:val="02C92370"/>
    <w:rsid w:val="02D95FC1"/>
    <w:rsid w:val="0368252D"/>
    <w:rsid w:val="0384643A"/>
    <w:rsid w:val="038E1B82"/>
    <w:rsid w:val="04130F4B"/>
    <w:rsid w:val="04517D02"/>
    <w:rsid w:val="04750D0F"/>
    <w:rsid w:val="04794079"/>
    <w:rsid w:val="04AD00D8"/>
    <w:rsid w:val="04E6482A"/>
    <w:rsid w:val="05013022"/>
    <w:rsid w:val="05596233"/>
    <w:rsid w:val="05B054AC"/>
    <w:rsid w:val="05DC5B5B"/>
    <w:rsid w:val="05EC2899"/>
    <w:rsid w:val="0601318C"/>
    <w:rsid w:val="066679AB"/>
    <w:rsid w:val="06DE6822"/>
    <w:rsid w:val="06E35485"/>
    <w:rsid w:val="06EF2C20"/>
    <w:rsid w:val="07223AB6"/>
    <w:rsid w:val="078F5B20"/>
    <w:rsid w:val="07C57705"/>
    <w:rsid w:val="085A044D"/>
    <w:rsid w:val="088C1126"/>
    <w:rsid w:val="08CD2F3C"/>
    <w:rsid w:val="08E52626"/>
    <w:rsid w:val="08F63BBF"/>
    <w:rsid w:val="093B7A3C"/>
    <w:rsid w:val="09421C3D"/>
    <w:rsid w:val="094A79D4"/>
    <w:rsid w:val="094B46C9"/>
    <w:rsid w:val="094F10EC"/>
    <w:rsid w:val="09825594"/>
    <w:rsid w:val="0A0B12D6"/>
    <w:rsid w:val="0AEC1256"/>
    <w:rsid w:val="0B4C3391"/>
    <w:rsid w:val="0B83226E"/>
    <w:rsid w:val="0BFA3B1C"/>
    <w:rsid w:val="0C4A133D"/>
    <w:rsid w:val="0C5F09F9"/>
    <w:rsid w:val="0CFA47DD"/>
    <w:rsid w:val="0D4A354D"/>
    <w:rsid w:val="0D6601DA"/>
    <w:rsid w:val="0DEE3534"/>
    <w:rsid w:val="0DFD1D79"/>
    <w:rsid w:val="0E540088"/>
    <w:rsid w:val="0E842570"/>
    <w:rsid w:val="0EB44E1B"/>
    <w:rsid w:val="0F0C0BE1"/>
    <w:rsid w:val="0FA17C79"/>
    <w:rsid w:val="0FAD7856"/>
    <w:rsid w:val="0FB04014"/>
    <w:rsid w:val="0FD17368"/>
    <w:rsid w:val="0FE54807"/>
    <w:rsid w:val="101621D3"/>
    <w:rsid w:val="10401CB9"/>
    <w:rsid w:val="104F1977"/>
    <w:rsid w:val="1062745F"/>
    <w:rsid w:val="108E3EE6"/>
    <w:rsid w:val="10B8611C"/>
    <w:rsid w:val="10CB36C4"/>
    <w:rsid w:val="11001DAF"/>
    <w:rsid w:val="11504242"/>
    <w:rsid w:val="1163204A"/>
    <w:rsid w:val="11E357AE"/>
    <w:rsid w:val="11E62F15"/>
    <w:rsid w:val="1232350F"/>
    <w:rsid w:val="125721AA"/>
    <w:rsid w:val="12DD6257"/>
    <w:rsid w:val="12F572A6"/>
    <w:rsid w:val="12F7618D"/>
    <w:rsid w:val="13577B3E"/>
    <w:rsid w:val="135E4C43"/>
    <w:rsid w:val="136268AD"/>
    <w:rsid w:val="13DA68F1"/>
    <w:rsid w:val="1416383B"/>
    <w:rsid w:val="14250DB3"/>
    <w:rsid w:val="1497045D"/>
    <w:rsid w:val="149C1D24"/>
    <w:rsid w:val="15D6565A"/>
    <w:rsid w:val="15F2372C"/>
    <w:rsid w:val="15FB0370"/>
    <w:rsid w:val="16C21AE0"/>
    <w:rsid w:val="1723450B"/>
    <w:rsid w:val="1786400C"/>
    <w:rsid w:val="178C3EB9"/>
    <w:rsid w:val="17D80EB8"/>
    <w:rsid w:val="17EB266C"/>
    <w:rsid w:val="18202E6A"/>
    <w:rsid w:val="18384E6A"/>
    <w:rsid w:val="186378D4"/>
    <w:rsid w:val="18A3205B"/>
    <w:rsid w:val="18AE0271"/>
    <w:rsid w:val="18E00510"/>
    <w:rsid w:val="19021875"/>
    <w:rsid w:val="19291F81"/>
    <w:rsid w:val="19580840"/>
    <w:rsid w:val="19724B2F"/>
    <w:rsid w:val="198D6738"/>
    <w:rsid w:val="1A4A0866"/>
    <w:rsid w:val="1A8C57AC"/>
    <w:rsid w:val="1ABE1795"/>
    <w:rsid w:val="1AF7076B"/>
    <w:rsid w:val="1B590AB9"/>
    <w:rsid w:val="1B844985"/>
    <w:rsid w:val="1BFF5385"/>
    <w:rsid w:val="1C3C75CA"/>
    <w:rsid w:val="1C3D2A36"/>
    <w:rsid w:val="1C651896"/>
    <w:rsid w:val="1C7330AF"/>
    <w:rsid w:val="1CC856C4"/>
    <w:rsid w:val="1CDD4BE5"/>
    <w:rsid w:val="1D5D4D45"/>
    <w:rsid w:val="1D627AD8"/>
    <w:rsid w:val="1D90018B"/>
    <w:rsid w:val="1D9C78C4"/>
    <w:rsid w:val="1DAE60CC"/>
    <w:rsid w:val="1DC5187B"/>
    <w:rsid w:val="1DC7676B"/>
    <w:rsid w:val="1E55156F"/>
    <w:rsid w:val="1E7706CD"/>
    <w:rsid w:val="1E983347"/>
    <w:rsid w:val="1E9C7F97"/>
    <w:rsid w:val="1EF2066F"/>
    <w:rsid w:val="1F5A5CEC"/>
    <w:rsid w:val="1F647774"/>
    <w:rsid w:val="1F67247E"/>
    <w:rsid w:val="1F79683E"/>
    <w:rsid w:val="1FC00A88"/>
    <w:rsid w:val="20595B8B"/>
    <w:rsid w:val="20872F31"/>
    <w:rsid w:val="20E024CC"/>
    <w:rsid w:val="21565851"/>
    <w:rsid w:val="21594AA0"/>
    <w:rsid w:val="21EA31DE"/>
    <w:rsid w:val="21F12374"/>
    <w:rsid w:val="22265F78"/>
    <w:rsid w:val="22333F3D"/>
    <w:rsid w:val="224E1D27"/>
    <w:rsid w:val="228B2BC9"/>
    <w:rsid w:val="22925384"/>
    <w:rsid w:val="22B86D1D"/>
    <w:rsid w:val="22FE08F0"/>
    <w:rsid w:val="231F3591"/>
    <w:rsid w:val="233E38F9"/>
    <w:rsid w:val="23723A63"/>
    <w:rsid w:val="237F7E29"/>
    <w:rsid w:val="24155DA3"/>
    <w:rsid w:val="24480C4D"/>
    <w:rsid w:val="24716EA8"/>
    <w:rsid w:val="24E4722F"/>
    <w:rsid w:val="25177085"/>
    <w:rsid w:val="25245E21"/>
    <w:rsid w:val="2529546A"/>
    <w:rsid w:val="2542151D"/>
    <w:rsid w:val="254D5DA1"/>
    <w:rsid w:val="2586683E"/>
    <w:rsid w:val="265C528D"/>
    <w:rsid w:val="267357F9"/>
    <w:rsid w:val="267E1F89"/>
    <w:rsid w:val="26EC3EDD"/>
    <w:rsid w:val="270C4358"/>
    <w:rsid w:val="273B0315"/>
    <w:rsid w:val="27AF39D2"/>
    <w:rsid w:val="27C5412B"/>
    <w:rsid w:val="289245FC"/>
    <w:rsid w:val="28E46C75"/>
    <w:rsid w:val="290F775C"/>
    <w:rsid w:val="2933042C"/>
    <w:rsid w:val="29E51649"/>
    <w:rsid w:val="29F41B4A"/>
    <w:rsid w:val="2A060978"/>
    <w:rsid w:val="2A311609"/>
    <w:rsid w:val="2A485CBF"/>
    <w:rsid w:val="2A674C85"/>
    <w:rsid w:val="2A8F194E"/>
    <w:rsid w:val="2AC30384"/>
    <w:rsid w:val="2AC9113A"/>
    <w:rsid w:val="2ACE3965"/>
    <w:rsid w:val="2B1C0B9C"/>
    <w:rsid w:val="2B260796"/>
    <w:rsid w:val="2B4B2C09"/>
    <w:rsid w:val="2B8E2B50"/>
    <w:rsid w:val="2BC00916"/>
    <w:rsid w:val="2BE03D05"/>
    <w:rsid w:val="2BFD7447"/>
    <w:rsid w:val="2C00406C"/>
    <w:rsid w:val="2C764991"/>
    <w:rsid w:val="2E5525FF"/>
    <w:rsid w:val="2E7F44C0"/>
    <w:rsid w:val="2E807E77"/>
    <w:rsid w:val="2F191059"/>
    <w:rsid w:val="2FA4391C"/>
    <w:rsid w:val="2FE2621C"/>
    <w:rsid w:val="30294CFD"/>
    <w:rsid w:val="304C6692"/>
    <w:rsid w:val="305C7032"/>
    <w:rsid w:val="307D1BFB"/>
    <w:rsid w:val="308570A5"/>
    <w:rsid w:val="30B01424"/>
    <w:rsid w:val="311F16D1"/>
    <w:rsid w:val="313C3BD8"/>
    <w:rsid w:val="314D1BFF"/>
    <w:rsid w:val="316820CD"/>
    <w:rsid w:val="316C4450"/>
    <w:rsid w:val="31782AAC"/>
    <w:rsid w:val="318A750C"/>
    <w:rsid w:val="31BC3769"/>
    <w:rsid w:val="3219064F"/>
    <w:rsid w:val="328771BD"/>
    <w:rsid w:val="3321059F"/>
    <w:rsid w:val="336666CF"/>
    <w:rsid w:val="33AA163F"/>
    <w:rsid w:val="33B23921"/>
    <w:rsid w:val="33D033C8"/>
    <w:rsid w:val="33EE37D6"/>
    <w:rsid w:val="33F92637"/>
    <w:rsid w:val="340E4BDC"/>
    <w:rsid w:val="3415411E"/>
    <w:rsid w:val="343D64AD"/>
    <w:rsid w:val="34AE3B19"/>
    <w:rsid w:val="353955F8"/>
    <w:rsid w:val="357D4BCF"/>
    <w:rsid w:val="35A764CB"/>
    <w:rsid w:val="35B444F9"/>
    <w:rsid w:val="35C77096"/>
    <w:rsid w:val="35F01BBC"/>
    <w:rsid w:val="363F7300"/>
    <w:rsid w:val="36A66197"/>
    <w:rsid w:val="378727CE"/>
    <w:rsid w:val="37EB4AAE"/>
    <w:rsid w:val="3841225E"/>
    <w:rsid w:val="38646D0C"/>
    <w:rsid w:val="387736D7"/>
    <w:rsid w:val="38B912B4"/>
    <w:rsid w:val="38CB35CB"/>
    <w:rsid w:val="391263CF"/>
    <w:rsid w:val="391F7478"/>
    <w:rsid w:val="396456B7"/>
    <w:rsid w:val="396B48FC"/>
    <w:rsid w:val="3A2211F1"/>
    <w:rsid w:val="3A976469"/>
    <w:rsid w:val="3BA16C7F"/>
    <w:rsid w:val="3C146CFF"/>
    <w:rsid w:val="3C371640"/>
    <w:rsid w:val="3CB8622C"/>
    <w:rsid w:val="3CBF7C0C"/>
    <w:rsid w:val="3CC779DA"/>
    <w:rsid w:val="3D0468A9"/>
    <w:rsid w:val="3D58717E"/>
    <w:rsid w:val="3D701D52"/>
    <w:rsid w:val="3D765A8C"/>
    <w:rsid w:val="3D8F2448"/>
    <w:rsid w:val="3DC804A9"/>
    <w:rsid w:val="3E150E37"/>
    <w:rsid w:val="3E5C7E9A"/>
    <w:rsid w:val="3E682CD1"/>
    <w:rsid w:val="3E6D7227"/>
    <w:rsid w:val="3E8649BA"/>
    <w:rsid w:val="3EA57BCB"/>
    <w:rsid w:val="3F6E0803"/>
    <w:rsid w:val="3F6F3ABA"/>
    <w:rsid w:val="3FA34C29"/>
    <w:rsid w:val="3FAE5685"/>
    <w:rsid w:val="3FE979E1"/>
    <w:rsid w:val="40003726"/>
    <w:rsid w:val="40115BDD"/>
    <w:rsid w:val="40210082"/>
    <w:rsid w:val="4087788D"/>
    <w:rsid w:val="410B104F"/>
    <w:rsid w:val="41267873"/>
    <w:rsid w:val="415A689C"/>
    <w:rsid w:val="41606A98"/>
    <w:rsid w:val="41D73F7D"/>
    <w:rsid w:val="41FB7939"/>
    <w:rsid w:val="420573EC"/>
    <w:rsid w:val="42252604"/>
    <w:rsid w:val="42AB77E0"/>
    <w:rsid w:val="42BA4771"/>
    <w:rsid w:val="42BD45BE"/>
    <w:rsid w:val="43531480"/>
    <w:rsid w:val="43C76D97"/>
    <w:rsid w:val="43CA0513"/>
    <w:rsid w:val="43E20246"/>
    <w:rsid w:val="44902FC6"/>
    <w:rsid w:val="44EC6A47"/>
    <w:rsid w:val="453E52D4"/>
    <w:rsid w:val="45684B79"/>
    <w:rsid w:val="458C1A14"/>
    <w:rsid w:val="45A87F23"/>
    <w:rsid w:val="45DD4661"/>
    <w:rsid w:val="45E02276"/>
    <w:rsid w:val="46065942"/>
    <w:rsid w:val="461A2D21"/>
    <w:rsid w:val="462E097F"/>
    <w:rsid w:val="469245C4"/>
    <w:rsid w:val="47341E4B"/>
    <w:rsid w:val="4774443A"/>
    <w:rsid w:val="478C3FB0"/>
    <w:rsid w:val="47965401"/>
    <w:rsid w:val="47C51195"/>
    <w:rsid w:val="47D847BF"/>
    <w:rsid w:val="48134739"/>
    <w:rsid w:val="48261B47"/>
    <w:rsid w:val="48713157"/>
    <w:rsid w:val="48764A1B"/>
    <w:rsid w:val="4892419C"/>
    <w:rsid w:val="48A127F6"/>
    <w:rsid w:val="48B02BD9"/>
    <w:rsid w:val="48C60144"/>
    <w:rsid w:val="48F02000"/>
    <w:rsid w:val="494A03A3"/>
    <w:rsid w:val="494E40CA"/>
    <w:rsid w:val="498968A1"/>
    <w:rsid w:val="49937631"/>
    <w:rsid w:val="49A6536F"/>
    <w:rsid w:val="49B852E4"/>
    <w:rsid w:val="49EB246F"/>
    <w:rsid w:val="49EE0EA0"/>
    <w:rsid w:val="4AB150DB"/>
    <w:rsid w:val="4AD248BE"/>
    <w:rsid w:val="4B170136"/>
    <w:rsid w:val="4B2C7D42"/>
    <w:rsid w:val="4B51629A"/>
    <w:rsid w:val="4BD12174"/>
    <w:rsid w:val="4BFB6936"/>
    <w:rsid w:val="4C4D0ABF"/>
    <w:rsid w:val="4C6350C3"/>
    <w:rsid w:val="4D034CE3"/>
    <w:rsid w:val="4D0A3EC5"/>
    <w:rsid w:val="4D104C62"/>
    <w:rsid w:val="4D6832F6"/>
    <w:rsid w:val="4D8779D2"/>
    <w:rsid w:val="4DBC102D"/>
    <w:rsid w:val="4E7C68B8"/>
    <w:rsid w:val="4EBD67A7"/>
    <w:rsid w:val="4EC94749"/>
    <w:rsid w:val="4EE419FD"/>
    <w:rsid w:val="4F4B12A2"/>
    <w:rsid w:val="4FE11A6D"/>
    <w:rsid w:val="503F32E4"/>
    <w:rsid w:val="507514F4"/>
    <w:rsid w:val="507612C0"/>
    <w:rsid w:val="510C6A50"/>
    <w:rsid w:val="51583680"/>
    <w:rsid w:val="520149FE"/>
    <w:rsid w:val="523A428A"/>
    <w:rsid w:val="52851C96"/>
    <w:rsid w:val="52D52D12"/>
    <w:rsid w:val="531F33E0"/>
    <w:rsid w:val="53344FBF"/>
    <w:rsid w:val="534B50D1"/>
    <w:rsid w:val="53605F12"/>
    <w:rsid w:val="53704288"/>
    <w:rsid w:val="53714D91"/>
    <w:rsid w:val="53806DE0"/>
    <w:rsid w:val="53A25089"/>
    <w:rsid w:val="53B8754E"/>
    <w:rsid w:val="54574E2F"/>
    <w:rsid w:val="55A6484F"/>
    <w:rsid w:val="55E13A16"/>
    <w:rsid w:val="55FF1331"/>
    <w:rsid w:val="561A668C"/>
    <w:rsid w:val="562E4A65"/>
    <w:rsid w:val="56852CD2"/>
    <w:rsid w:val="56EB2834"/>
    <w:rsid w:val="56F213D1"/>
    <w:rsid w:val="57290D8A"/>
    <w:rsid w:val="5756109A"/>
    <w:rsid w:val="57EE5E1F"/>
    <w:rsid w:val="581A2E81"/>
    <w:rsid w:val="58292573"/>
    <w:rsid w:val="586613D0"/>
    <w:rsid w:val="589B3F0F"/>
    <w:rsid w:val="590671A6"/>
    <w:rsid w:val="59237335"/>
    <w:rsid w:val="59822BF4"/>
    <w:rsid w:val="598A47D1"/>
    <w:rsid w:val="59E56E2C"/>
    <w:rsid w:val="5A084C49"/>
    <w:rsid w:val="5A130E5D"/>
    <w:rsid w:val="5A316A04"/>
    <w:rsid w:val="5A6F7B38"/>
    <w:rsid w:val="5A847338"/>
    <w:rsid w:val="5A8F0ADA"/>
    <w:rsid w:val="5AD90B28"/>
    <w:rsid w:val="5AF5238D"/>
    <w:rsid w:val="5B500914"/>
    <w:rsid w:val="5B6926D5"/>
    <w:rsid w:val="5C2655F2"/>
    <w:rsid w:val="5C444E6F"/>
    <w:rsid w:val="5C801C1F"/>
    <w:rsid w:val="5CB12DBE"/>
    <w:rsid w:val="5CED577E"/>
    <w:rsid w:val="5DD41C48"/>
    <w:rsid w:val="5DEA4688"/>
    <w:rsid w:val="5E026A5D"/>
    <w:rsid w:val="5E472D50"/>
    <w:rsid w:val="5E4A43ED"/>
    <w:rsid w:val="5E530978"/>
    <w:rsid w:val="5E8F06B9"/>
    <w:rsid w:val="5EB75073"/>
    <w:rsid w:val="5EBB1002"/>
    <w:rsid w:val="5F104CE7"/>
    <w:rsid w:val="5F8C575B"/>
    <w:rsid w:val="5FB345FC"/>
    <w:rsid w:val="5FBD45E2"/>
    <w:rsid w:val="5FD376EE"/>
    <w:rsid w:val="5FD47388"/>
    <w:rsid w:val="5FE57C38"/>
    <w:rsid w:val="60374E51"/>
    <w:rsid w:val="605A0321"/>
    <w:rsid w:val="60683F90"/>
    <w:rsid w:val="60750033"/>
    <w:rsid w:val="60B96794"/>
    <w:rsid w:val="613D2341"/>
    <w:rsid w:val="61B57C43"/>
    <w:rsid w:val="62106B6C"/>
    <w:rsid w:val="621F7FDA"/>
    <w:rsid w:val="62B67F31"/>
    <w:rsid w:val="62BA4B3D"/>
    <w:rsid w:val="62CE74B4"/>
    <w:rsid w:val="62FC3E43"/>
    <w:rsid w:val="63652DB8"/>
    <w:rsid w:val="64120A66"/>
    <w:rsid w:val="641B4966"/>
    <w:rsid w:val="641D3475"/>
    <w:rsid w:val="64E04F28"/>
    <w:rsid w:val="65457FE6"/>
    <w:rsid w:val="65A57C6B"/>
    <w:rsid w:val="65DA0373"/>
    <w:rsid w:val="662B1CDB"/>
    <w:rsid w:val="669A1B04"/>
    <w:rsid w:val="671D77CA"/>
    <w:rsid w:val="67382F9D"/>
    <w:rsid w:val="681B670E"/>
    <w:rsid w:val="68BD7FD2"/>
    <w:rsid w:val="68DF0C05"/>
    <w:rsid w:val="68E47C78"/>
    <w:rsid w:val="69846567"/>
    <w:rsid w:val="698C1A0F"/>
    <w:rsid w:val="69A32286"/>
    <w:rsid w:val="6AA46C7F"/>
    <w:rsid w:val="6AD801B4"/>
    <w:rsid w:val="6B1D74E7"/>
    <w:rsid w:val="6B2153CA"/>
    <w:rsid w:val="6B4B3714"/>
    <w:rsid w:val="6B937140"/>
    <w:rsid w:val="6B982088"/>
    <w:rsid w:val="6BF859C7"/>
    <w:rsid w:val="6C786D4F"/>
    <w:rsid w:val="6C823DAD"/>
    <w:rsid w:val="6C9E7921"/>
    <w:rsid w:val="6CF36112"/>
    <w:rsid w:val="6D1C2A8F"/>
    <w:rsid w:val="6D8B3544"/>
    <w:rsid w:val="6E165740"/>
    <w:rsid w:val="6E6E3B2A"/>
    <w:rsid w:val="6E831A96"/>
    <w:rsid w:val="6F147A07"/>
    <w:rsid w:val="6F520323"/>
    <w:rsid w:val="6FA1185D"/>
    <w:rsid w:val="6FB90919"/>
    <w:rsid w:val="6FE8612E"/>
    <w:rsid w:val="7021645D"/>
    <w:rsid w:val="7027280D"/>
    <w:rsid w:val="706C5C76"/>
    <w:rsid w:val="70760943"/>
    <w:rsid w:val="70BB4531"/>
    <w:rsid w:val="70EA42CE"/>
    <w:rsid w:val="70F1107B"/>
    <w:rsid w:val="710B78BD"/>
    <w:rsid w:val="712174DF"/>
    <w:rsid w:val="71273027"/>
    <w:rsid w:val="71CE2526"/>
    <w:rsid w:val="71F3164A"/>
    <w:rsid w:val="72294DC5"/>
    <w:rsid w:val="725502D6"/>
    <w:rsid w:val="726A0BB9"/>
    <w:rsid w:val="728A3094"/>
    <w:rsid w:val="72D82B8F"/>
    <w:rsid w:val="72FC1739"/>
    <w:rsid w:val="73467625"/>
    <w:rsid w:val="735E227F"/>
    <w:rsid w:val="73807B0E"/>
    <w:rsid w:val="73AE70EC"/>
    <w:rsid w:val="73B34FD6"/>
    <w:rsid w:val="73C27CBC"/>
    <w:rsid w:val="74075949"/>
    <w:rsid w:val="742C163B"/>
    <w:rsid w:val="7433745E"/>
    <w:rsid w:val="74E03B40"/>
    <w:rsid w:val="74F47DC0"/>
    <w:rsid w:val="75242AD2"/>
    <w:rsid w:val="75BF3AC1"/>
    <w:rsid w:val="76062C5B"/>
    <w:rsid w:val="762624A8"/>
    <w:rsid w:val="766F72FC"/>
    <w:rsid w:val="768C670D"/>
    <w:rsid w:val="76F113E9"/>
    <w:rsid w:val="771F4999"/>
    <w:rsid w:val="777F3E9D"/>
    <w:rsid w:val="778148B0"/>
    <w:rsid w:val="77BE3C1E"/>
    <w:rsid w:val="77D046A5"/>
    <w:rsid w:val="789E3F25"/>
    <w:rsid w:val="78D61AE2"/>
    <w:rsid w:val="793D6B19"/>
    <w:rsid w:val="795B5ADD"/>
    <w:rsid w:val="797A41CD"/>
    <w:rsid w:val="7986049D"/>
    <w:rsid w:val="79D1695D"/>
    <w:rsid w:val="7A3F11F1"/>
    <w:rsid w:val="7A865ABA"/>
    <w:rsid w:val="7B490FD1"/>
    <w:rsid w:val="7B71117C"/>
    <w:rsid w:val="7B7F4F79"/>
    <w:rsid w:val="7BA065E1"/>
    <w:rsid w:val="7BF50D72"/>
    <w:rsid w:val="7C060B2A"/>
    <w:rsid w:val="7C521299"/>
    <w:rsid w:val="7C5F5C7C"/>
    <w:rsid w:val="7C6023CF"/>
    <w:rsid w:val="7C815EF0"/>
    <w:rsid w:val="7D0C6503"/>
    <w:rsid w:val="7D43760E"/>
    <w:rsid w:val="7D583954"/>
    <w:rsid w:val="7D874CFC"/>
    <w:rsid w:val="7E0B377A"/>
    <w:rsid w:val="7E0E1BD2"/>
    <w:rsid w:val="7E77729D"/>
    <w:rsid w:val="7EF60BF0"/>
    <w:rsid w:val="7F1E1CB2"/>
    <w:rsid w:val="7F5B124A"/>
    <w:rsid w:val="7FA5189A"/>
    <w:rsid w:val="7FAF4117"/>
    <w:rsid w:val="A7B3E5C5"/>
    <w:rsid w:val="EEF440F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0</Words>
  <Characters>0</Characters>
  <Lines>1</Lines>
  <Paragraphs>1</Paragraphs>
  <TotalTime>59</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2025-02-19T01:27:00Z</dcterms:created>
  <dc:creator>tsq</dc:creator>
  <cp:lastModifiedBy>黄恩扬</cp:lastModifiedBy>
  <dcterms:modified xsi:type="dcterms:W3CDTF">2026-04-10T08:31:57Z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E820BCA79E1449B28EB54FBADE69689B_13</vt:lpwstr>
  </property>
</Properties>
</file>