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firstLineChars="0"/>
        <w:jc w:val="center"/>
        <w:rPr>
          <w:rFonts w:hint="eastAsia" w:ascii="宋体" w:hAnsi="宋体" w:eastAsia="宋体"/>
          <w:b/>
          <w:bCs/>
        </w:rPr>
      </w:pPr>
      <w:r>
        <w:rPr>
          <w:rFonts w:hint="eastAsia" w:ascii="宋体" w:hAnsi="宋体" w:eastAsia="宋体"/>
          <w:b/>
          <w:bCs/>
        </w:rPr>
        <w:t>报价表</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019"/>
        <w:gridCol w:w="2567"/>
        <w:gridCol w:w="1439"/>
        <w:gridCol w:w="1387"/>
        <w:gridCol w:w="1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trPr>
        <w:tc>
          <w:tcPr>
            <w:tcW w:w="424" w:type="pct"/>
            <w:vAlign w:val="center"/>
          </w:tcPr>
          <w:p>
            <w:pPr>
              <w:ind w:firstLine="0" w:firstLineChars="0"/>
              <w:jc w:val="center"/>
              <w:rPr>
                <w:rFonts w:cs="Times New Roman" w:eastAsiaTheme="minorEastAsia"/>
                <w:sz w:val="24"/>
              </w:rPr>
            </w:pPr>
            <w:r>
              <w:rPr>
                <w:rFonts w:cs="Times New Roman" w:eastAsiaTheme="minorEastAsia"/>
                <w:sz w:val="24"/>
              </w:rPr>
              <w:t>序号</w:t>
            </w:r>
          </w:p>
        </w:tc>
        <w:tc>
          <w:tcPr>
            <w:tcW w:w="598" w:type="pct"/>
            <w:vAlign w:val="center"/>
          </w:tcPr>
          <w:p>
            <w:pPr>
              <w:ind w:firstLine="0" w:firstLineChars="0"/>
              <w:jc w:val="center"/>
              <w:rPr>
                <w:rFonts w:cs="Times New Roman" w:eastAsiaTheme="minorEastAsia"/>
                <w:sz w:val="24"/>
              </w:rPr>
            </w:pPr>
            <w:r>
              <w:rPr>
                <w:rFonts w:hint="eastAsia" w:cs="Times New Roman" w:eastAsiaTheme="minorEastAsia"/>
                <w:sz w:val="24"/>
              </w:rPr>
              <w:t>采购项目名称</w:t>
            </w:r>
          </w:p>
        </w:tc>
        <w:tc>
          <w:tcPr>
            <w:tcW w:w="1506" w:type="pct"/>
            <w:vAlign w:val="center"/>
          </w:tcPr>
          <w:p>
            <w:pPr>
              <w:ind w:firstLine="0" w:firstLineChars="0"/>
              <w:jc w:val="center"/>
              <w:rPr>
                <w:rFonts w:cs="Times New Roman" w:eastAsiaTheme="minorEastAsia"/>
                <w:sz w:val="24"/>
              </w:rPr>
            </w:pPr>
            <w:r>
              <w:rPr>
                <w:rFonts w:hint="eastAsia" w:cs="Times New Roman" w:eastAsiaTheme="minorEastAsia"/>
                <w:sz w:val="24"/>
              </w:rPr>
              <w:t>服务名称</w:t>
            </w:r>
          </w:p>
        </w:tc>
        <w:tc>
          <w:tcPr>
            <w:tcW w:w="844" w:type="pct"/>
            <w:tcBorders>
              <w:bottom w:val="single" w:color="auto" w:sz="4" w:space="0"/>
            </w:tcBorders>
            <w:vAlign w:val="center"/>
          </w:tcPr>
          <w:p>
            <w:pPr>
              <w:ind w:firstLine="0" w:firstLineChars="0"/>
              <w:jc w:val="center"/>
              <w:rPr>
                <w:rFonts w:cs="Times New Roman" w:eastAsiaTheme="minorEastAsia"/>
                <w:sz w:val="24"/>
              </w:rPr>
            </w:pPr>
            <w:r>
              <w:rPr>
                <w:rFonts w:cs="Times New Roman" w:eastAsiaTheme="minorEastAsia"/>
                <w:sz w:val="24"/>
              </w:rPr>
              <w:t>最高限价</w:t>
            </w:r>
          </w:p>
          <w:p>
            <w:pPr>
              <w:ind w:firstLine="0" w:firstLineChars="0"/>
              <w:jc w:val="center"/>
              <w:rPr>
                <w:rFonts w:cs="Times New Roman" w:eastAsiaTheme="minorEastAsia"/>
                <w:sz w:val="24"/>
              </w:rPr>
            </w:pPr>
            <w:r>
              <w:rPr>
                <w:rFonts w:cs="Times New Roman" w:eastAsiaTheme="minorEastAsia"/>
                <w:sz w:val="24"/>
              </w:rPr>
              <w:t>（含税）/万元</w:t>
            </w:r>
          </w:p>
        </w:tc>
        <w:tc>
          <w:tcPr>
            <w:tcW w:w="814" w:type="pct"/>
            <w:tcBorders>
              <w:bottom w:val="single" w:color="auto" w:sz="4" w:space="0"/>
            </w:tcBorders>
            <w:vAlign w:val="center"/>
          </w:tcPr>
          <w:p>
            <w:pPr>
              <w:ind w:firstLine="0" w:firstLineChars="0"/>
              <w:jc w:val="center"/>
              <w:rPr>
                <w:rFonts w:cs="Times New Roman" w:eastAsiaTheme="minorEastAsia"/>
                <w:sz w:val="24"/>
              </w:rPr>
            </w:pPr>
            <w:r>
              <w:rPr>
                <w:rFonts w:hint="eastAsia" w:cs="Times New Roman" w:eastAsiaTheme="minorEastAsia"/>
                <w:sz w:val="24"/>
              </w:rPr>
              <w:t>分项</w:t>
            </w:r>
            <w:r>
              <w:rPr>
                <w:rFonts w:cs="Times New Roman" w:eastAsiaTheme="minorEastAsia"/>
                <w:sz w:val="24"/>
              </w:rPr>
              <w:t>报价</w:t>
            </w:r>
          </w:p>
          <w:p>
            <w:pPr>
              <w:ind w:firstLine="0" w:firstLineChars="0"/>
              <w:jc w:val="center"/>
              <w:rPr>
                <w:rFonts w:cs="Times New Roman" w:eastAsiaTheme="minorEastAsia"/>
                <w:sz w:val="24"/>
              </w:rPr>
            </w:pPr>
            <w:r>
              <w:rPr>
                <w:rFonts w:cs="Times New Roman" w:eastAsiaTheme="minorEastAsia"/>
                <w:sz w:val="24"/>
              </w:rPr>
              <w:t>（含税）/万元</w:t>
            </w:r>
          </w:p>
        </w:tc>
        <w:tc>
          <w:tcPr>
            <w:tcW w:w="814" w:type="pct"/>
            <w:tcBorders>
              <w:bottom w:val="single" w:color="auto" w:sz="4" w:space="0"/>
            </w:tcBorders>
          </w:tcPr>
          <w:p>
            <w:pPr>
              <w:ind w:firstLine="0" w:firstLineChars="0"/>
              <w:jc w:val="center"/>
              <w:rPr>
                <w:rFonts w:hint="eastAsia" w:cs="Times New Roman" w:eastAsiaTheme="minorEastAsia"/>
                <w:sz w:val="24"/>
              </w:rPr>
            </w:pPr>
            <w:r>
              <w:rPr>
                <w:rFonts w:hint="eastAsia" w:cs="Times New Roman" w:eastAsiaTheme="minorEastAsia"/>
                <w:sz w:val="24"/>
              </w:rPr>
              <w:t>合并总</w:t>
            </w:r>
            <w:r>
              <w:rPr>
                <w:rFonts w:cs="Times New Roman" w:eastAsiaTheme="minorEastAsia"/>
                <w:sz w:val="24"/>
              </w:rPr>
              <w:t>报价</w:t>
            </w:r>
            <w:r>
              <w:rPr>
                <w:rFonts w:hint="eastAsia" w:cs="Times New Roman" w:eastAsiaTheme="minorEastAsia"/>
                <w:sz w:val="24"/>
              </w:rPr>
              <w:t>=分项</w:t>
            </w:r>
            <w:r>
              <w:rPr>
                <w:rFonts w:cs="Times New Roman" w:eastAsiaTheme="minorEastAsia"/>
                <w:sz w:val="24"/>
              </w:rPr>
              <w:t>报价</w:t>
            </w:r>
            <w:r>
              <w:rPr>
                <w:rFonts w:hint="eastAsia" w:cs="Times New Roman" w:eastAsiaTheme="minorEastAsia"/>
                <w:sz w:val="24"/>
              </w:rPr>
              <w:t>之和</w:t>
            </w:r>
          </w:p>
          <w:p>
            <w:pPr>
              <w:ind w:firstLine="0" w:firstLineChars="0"/>
              <w:jc w:val="center"/>
              <w:rPr>
                <w:rFonts w:cs="Times New Roman" w:eastAsiaTheme="minorEastAsia"/>
                <w:sz w:val="24"/>
              </w:rPr>
            </w:pPr>
            <w:r>
              <w:rPr>
                <w:rFonts w:cs="Times New Roman" w:eastAsiaTheme="minorEastAsia"/>
                <w:sz w:val="24"/>
              </w:rPr>
              <w:t>（含税）/万元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trPr>
        <w:tc>
          <w:tcPr>
            <w:tcW w:w="424" w:type="pct"/>
            <w:vMerge w:val="restart"/>
            <w:vAlign w:val="center"/>
          </w:tcPr>
          <w:p>
            <w:pPr>
              <w:ind w:firstLine="0" w:firstLineChars="0"/>
              <w:jc w:val="center"/>
              <w:rPr>
                <w:rFonts w:cs="Times New Roman" w:eastAsiaTheme="minorEastAsia"/>
                <w:sz w:val="24"/>
              </w:rPr>
            </w:pPr>
            <w:r>
              <w:rPr>
                <w:rFonts w:hint="eastAsia" w:cs="Times New Roman" w:eastAsiaTheme="minorEastAsia"/>
                <w:sz w:val="24"/>
              </w:rPr>
              <w:t>1</w:t>
            </w:r>
          </w:p>
        </w:tc>
        <w:tc>
          <w:tcPr>
            <w:tcW w:w="598" w:type="pct"/>
            <w:vMerge w:val="restart"/>
            <w:vAlign w:val="center"/>
          </w:tcPr>
          <w:p>
            <w:pPr>
              <w:ind w:firstLine="0" w:firstLineChars="0"/>
              <w:jc w:val="center"/>
              <w:rPr>
                <w:rFonts w:cs="Times New Roman" w:eastAsiaTheme="minorEastAsia"/>
                <w:sz w:val="24"/>
              </w:rPr>
            </w:pPr>
            <w:r>
              <w:rPr>
                <w:rFonts w:hint="eastAsia" w:cs="Times New Roman" w:eastAsiaTheme="minorEastAsia"/>
                <w:sz w:val="24"/>
              </w:rPr>
              <w:t>数字电网公司2026年硬件研发6个科技项目经费审查服务</w:t>
            </w:r>
          </w:p>
        </w:tc>
        <w:tc>
          <w:tcPr>
            <w:tcW w:w="1506" w:type="pct"/>
            <w:tcBorders>
              <w:right w:val="single" w:color="auto" w:sz="4" w:space="0"/>
            </w:tcBorders>
            <w:vAlign w:val="center"/>
          </w:tcPr>
          <w:p>
            <w:pPr>
              <w:ind w:firstLine="0" w:firstLineChars="0"/>
              <w:jc w:val="center"/>
              <w:rPr>
                <w:rFonts w:hint="eastAsia" w:cs="Times New Roman" w:eastAsiaTheme="minorEastAsia"/>
                <w:sz w:val="24"/>
              </w:rPr>
            </w:pPr>
            <w:r>
              <w:rPr>
                <w:rFonts w:hint="eastAsia" w:cs="Times New Roman" w:eastAsiaTheme="minorEastAsia"/>
                <w:sz w:val="24"/>
              </w:rPr>
              <w:t>面向统一物联操作系统的快应用及容器化关键技术研究项目经费审查服务</w:t>
            </w:r>
          </w:p>
        </w:tc>
        <w:tc>
          <w:tcPr>
            <w:tcW w:w="844"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Times New Roman" w:eastAsiaTheme="minorEastAsia"/>
                <w:sz w:val="24"/>
              </w:rPr>
            </w:pPr>
            <w:r>
              <w:rPr>
                <w:rFonts w:hint="eastAsia" w:cs="Times New Roman" w:eastAsiaTheme="minorEastAsia"/>
                <w:sz w:val="24"/>
              </w:rPr>
              <w:t>0.7</w:t>
            </w:r>
          </w:p>
        </w:tc>
        <w:tc>
          <w:tcPr>
            <w:tcW w:w="814"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Times New Roman" w:eastAsiaTheme="minorEastAsia"/>
                <w:sz w:val="24"/>
              </w:rPr>
            </w:pPr>
            <w:bookmarkStart w:id="2" w:name="_GoBack"/>
            <w:bookmarkEnd w:id="2"/>
          </w:p>
        </w:tc>
        <w:tc>
          <w:tcPr>
            <w:tcW w:w="814" w:type="pct"/>
            <w:vMerge w:val="restart"/>
            <w:tcBorders>
              <w:top w:val="single" w:color="auto" w:sz="4" w:space="0"/>
              <w:left w:val="single" w:color="auto" w:sz="4" w:space="0"/>
              <w:right w:val="single" w:color="auto" w:sz="4" w:space="0"/>
            </w:tcBorders>
            <w:vAlign w:val="center"/>
          </w:tcPr>
          <w:p>
            <w:pPr>
              <w:ind w:firstLine="0" w:firstLineChars="0"/>
              <w:jc w:val="center"/>
              <w:rPr>
                <w:rFonts w:eastAsia="宋体"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424" w:type="pct"/>
            <w:vMerge w:val="continue"/>
            <w:vAlign w:val="center"/>
          </w:tcPr>
          <w:p>
            <w:pPr>
              <w:ind w:firstLine="0" w:firstLineChars="0"/>
              <w:jc w:val="center"/>
              <w:rPr>
                <w:rFonts w:cs="Times New Roman" w:eastAsiaTheme="minorEastAsia"/>
                <w:sz w:val="24"/>
              </w:rPr>
            </w:pPr>
          </w:p>
        </w:tc>
        <w:tc>
          <w:tcPr>
            <w:tcW w:w="598" w:type="pct"/>
            <w:vMerge w:val="continue"/>
            <w:vAlign w:val="center"/>
          </w:tcPr>
          <w:p>
            <w:pPr>
              <w:ind w:firstLine="0" w:firstLineChars="0"/>
              <w:jc w:val="center"/>
              <w:rPr>
                <w:rFonts w:hint="eastAsia" w:cs="Times New Roman" w:eastAsiaTheme="minorEastAsia"/>
                <w:sz w:val="24"/>
              </w:rPr>
            </w:pPr>
          </w:p>
        </w:tc>
        <w:tc>
          <w:tcPr>
            <w:tcW w:w="1506" w:type="pct"/>
            <w:tcBorders>
              <w:right w:val="single" w:color="auto" w:sz="4" w:space="0"/>
            </w:tcBorders>
            <w:vAlign w:val="center"/>
          </w:tcPr>
          <w:p>
            <w:pPr>
              <w:ind w:firstLine="0" w:firstLineChars="0"/>
              <w:jc w:val="center"/>
              <w:rPr>
                <w:rFonts w:hint="eastAsia" w:cs="Times New Roman" w:eastAsiaTheme="minorEastAsia"/>
                <w:sz w:val="24"/>
              </w:rPr>
            </w:pPr>
            <w:r>
              <w:rPr>
                <w:rFonts w:cs="Times New Roman" w:eastAsiaTheme="minorEastAsia"/>
                <w:sz w:val="24"/>
              </w:rPr>
              <w:t>嵌入式操作系统多内核融合技术研究</w:t>
            </w:r>
            <w:r>
              <w:rPr>
                <w:rFonts w:hint="eastAsia" w:cs="Times New Roman" w:eastAsiaTheme="minorEastAsia"/>
                <w:sz w:val="24"/>
              </w:rPr>
              <w:t>项目经费审查服务</w:t>
            </w:r>
          </w:p>
        </w:tc>
        <w:tc>
          <w:tcPr>
            <w:tcW w:w="844"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Times New Roman" w:eastAsiaTheme="minorEastAsia"/>
                <w:sz w:val="24"/>
              </w:rPr>
            </w:pPr>
            <w:r>
              <w:rPr>
                <w:rFonts w:hint="eastAsia" w:cs="Times New Roman" w:eastAsiaTheme="minorEastAsia"/>
                <w:sz w:val="24"/>
              </w:rPr>
              <w:t>0.7</w:t>
            </w:r>
          </w:p>
        </w:tc>
        <w:tc>
          <w:tcPr>
            <w:tcW w:w="814"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Times New Roman" w:eastAsiaTheme="minorEastAsia"/>
                <w:sz w:val="24"/>
              </w:rPr>
            </w:pPr>
          </w:p>
        </w:tc>
        <w:tc>
          <w:tcPr>
            <w:tcW w:w="814" w:type="pct"/>
            <w:vMerge w:val="continue"/>
            <w:tcBorders>
              <w:left w:val="single" w:color="auto" w:sz="4" w:space="0"/>
              <w:right w:val="single" w:color="auto" w:sz="4" w:space="0"/>
            </w:tcBorders>
            <w:vAlign w:val="center"/>
          </w:tcPr>
          <w:p>
            <w:pPr>
              <w:ind w:firstLine="0" w:firstLineChars="0"/>
              <w:jc w:val="center"/>
              <w:rPr>
                <w:rFonts w:eastAsia="宋体"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424" w:type="pct"/>
            <w:vMerge w:val="continue"/>
            <w:vAlign w:val="center"/>
          </w:tcPr>
          <w:p>
            <w:pPr>
              <w:ind w:firstLine="0" w:firstLineChars="0"/>
              <w:jc w:val="center"/>
              <w:rPr>
                <w:rFonts w:cs="Times New Roman" w:eastAsiaTheme="minorEastAsia"/>
                <w:sz w:val="24"/>
              </w:rPr>
            </w:pPr>
          </w:p>
        </w:tc>
        <w:tc>
          <w:tcPr>
            <w:tcW w:w="598" w:type="pct"/>
            <w:vMerge w:val="continue"/>
            <w:vAlign w:val="center"/>
          </w:tcPr>
          <w:p>
            <w:pPr>
              <w:ind w:firstLine="0" w:firstLineChars="0"/>
              <w:jc w:val="center"/>
              <w:rPr>
                <w:rFonts w:hint="eastAsia" w:cs="Times New Roman" w:eastAsiaTheme="minorEastAsia"/>
                <w:sz w:val="24"/>
              </w:rPr>
            </w:pPr>
          </w:p>
        </w:tc>
        <w:tc>
          <w:tcPr>
            <w:tcW w:w="1506" w:type="pct"/>
            <w:tcBorders>
              <w:right w:val="single" w:color="auto" w:sz="4" w:space="0"/>
            </w:tcBorders>
            <w:vAlign w:val="center"/>
          </w:tcPr>
          <w:p>
            <w:pPr>
              <w:ind w:firstLine="0" w:firstLineChars="0"/>
              <w:jc w:val="center"/>
              <w:rPr>
                <w:rFonts w:hint="eastAsia" w:cs="Times New Roman" w:eastAsiaTheme="minorEastAsia"/>
                <w:sz w:val="24"/>
              </w:rPr>
            </w:pPr>
            <w:r>
              <w:rPr>
                <w:rFonts w:cs="Times New Roman" w:eastAsiaTheme="minorEastAsia"/>
                <w:sz w:val="24"/>
              </w:rPr>
              <w:t>嵌入式操作系统分布式软总线及安全可信云修复技术</w:t>
            </w:r>
            <w:r>
              <w:rPr>
                <w:rFonts w:hint="eastAsia" w:cs="Times New Roman" w:eastAsiaTheme="minorEastAsia"/>
                <w:sz w:val="24"/>
              </w:rPr>
              <w:t>项目经费审查服务</w:t>
            </w:r>
          </w:p>
        </w:tc>
        <w:tc>
          <w:tcPr>
            <w:tcW w:w="844"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Times New Roman" w:eastAsiaTheme="minorEastAsia"/>
                <w:sz w:val="24"/>
              </w:rPr>
            </w:pPr>
            <w:r>
              <w:rPr>
                <w:rFonts w:hint="eastAsia" w:cs="Times New Roman" w:eastAsiaTheme="minorEastAsia"/>
                <w:sz w:val="24"/>
              </w:rPr>
              <w:t>0.8</w:t>
            </w:r>
          </w:p>
        </w:tc>
        <w:tc>
          <w:tcPr>
            <w:tcW w:w="814"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Times New Roman" w:eastAsiaTheme="minorEastAsia"/>
                <w:sz w:val="24"/>
              </w:rPr>
            </w:pPr>
          </w:p>
        </w:tc>
        <w:tc>
          <w:tcPr>
            <w:tcW w:w="814" w:type="pct"/>
            <w:vMerge w:val="continue"/>
            <w:tcBorders>
              <w:left w:val="single" w:color="auto" w:sz="4" w:space="0"/>
              <w:right w:val="single" w:color="auto" w:sz="4" w:space="0"/>
            </w:tcBorders>
            <w:vAlign w:val="center"/>
          </w:tcPr>
          <w:p>
            <w:pPr>
              <w:ind w:firstLine="0" w:firstLineChars="0"/>
              <w:jc w:val="center"/>
              <w:rPr>
                <w:rFonts w:eastAsia="宋体"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424" w:type="pct"/>
            <w:vMerge w:val="continue"/>
            <w:vAlign w:val="center"/>
          </w:tcPr>
          <w:p>
            <w:pPr>
              <w:ind w:firstLine="0" w:firstLineChars="0"/>
              <w:jc w:val="center"/>
              <w:rPr>
                <w:rFonts w:cs="Times New Roman" w:eastAsiaTheme="minorEastAsia"/>
                <w:sz w:val="24"/>
              </w:rPr>
            </w:pPr>
          </w:p>
        </w:tc>
        <w:tc>
          <w:tcPr>
            <w:tcW w:w="598" w:type="pct"/>
            <w:vMerge w:val="continue"/>
            <w:vAlign w:val="center"/>
          </w:tcPr>
          <w:p>
            <w:pPr>
              <w:ind w:firstLine="0" w:firstLineChars="0"/>
              <w:jc w:val="center"/>
              <w:rPr>
                <w:rFonts w:hint="eastAsia" w:cs="Times New Roman" w:eastAsiaTheme="minorEastAsia"/>
                <w:sz w:val="24"/>
              </w:rPr>
            </w:pPr>
          </w:p>
        </w:tc>
        <w:tc>
          <w:tcPr>
            <w:tcW w:w="1506" w:type="pct"/>
            <w:tcBorders>
              <w:right w:val="single" w:color="auto" w:sz="4" w:space="0"/>
            </w:tcBorders>
            <w:vAlign w:val="center"/>
          </w:tcPr>
          <w:p>
            <w:pPr>
              <w:ind w:firstLine="0" w:firstLineChars="0"/>
              <w:jc w:val="center"/>
              <w:rPr>
                <w:rFonts w:hint="eastAsia" w:cs="Times New Roman" w:eastAsiaTheme="minorEastAsia"/>
                <w:sz w:val="24"/>
              </w:rPr>
            </w:pPr>
            <w:r>
              <w:rPr>
                <w:rFonts w:cs="Times New Roman" w:eastAsiaTheme="minorEastAsia"/>
                <w:sz w:val="24"/>
              </w:rPr>
              <w:t>面向本地通信的多类型终端混合组网统一路由关键技术研究</w:t>
            </w:r>
            <w:r>
              <w:rPr>
                <w:rFonts w:hint="eastAsia" w:cs="Times New Roman" w:eastAsiaTheme="minorEastAsia"/>
                <w:sz w:val="24"/>
              </w:rPr>
              <w:t>项目经费审查服务</w:t>
            </w:r>
          </w:p>
        </w:tc>
        <w:tc>
          <w:tcPr>
            <w:tcW w:w="844"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Times New Roman" w:eastAsiaTheme="minorEastAsia"/>
                <w:sz w:val="24"/>
              </w:rPr>
            </w:pPr>
            <w:r>
              <w:rPr>
                <w:rFonts w:hint="eastAsia" w:cs="Times New Roman" w:eastAsiaTheme="minorEastAsia"/>
                <w:sz w:val="24"/>
              </w:rPr>
              <w:t>0.7</w:t>
            </w:r>
          </w:p>
        </w:tc>
        <w:tc>
          <w:tcPr>
            <w:tcW w:w="814"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Times New Roman" w:eastAsiaTheme="minorEastAsia"/>
                <w:sz w:val="24"/>
              </w:rPr>
            </w:pPr>
          </w:p>
        </w:tc>
        <w:tc>
          <w:tcPr>
            <w:tcW w:w="814" w:type="pct"/>
            <w:vMerge w:val="continue"/>
            <w:tcBorders>
              <w:left w:val="single" w:color="auto" w:sz="4" w:space="0"/>
              <w:right w:val="single" w:color="auto" w:sz="4" w:space="0"/>
            </w:tcBorders>
            <w:vAlign w:val="center"/>
          </w:tcPr>
          <w:p>
            <w:pPr>
              <w:ind w:firstLine="0" w:firstLineChars="0"/>
              <w:jc w:val="center"/>
              <w:rPr>
                <w:rFonts w:eastAsia="宋体"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24" w:type="pct"/>
            <w:vMerge w:val="continue"/>
            <w:vAlign w:val="center"/>
          </w:tcPr>
          <w:p>
            <w:pPr>
              <w:ind w:firstLine="0" w:firstLineChars="0"/>
              <w:jc w:val="center"/>
              <w:rPr>
                <w:rFonts w:cs="Times New Roman" w:eastAsiaTheme="minorEastAsia"/>
                <w:sz w:val="24"/>
              </w:rPr>
            </w:pPr>
          </w:p>
        </w:tc>
        <w:tc>
          <w:tcPr>
            <w:tcW w:w="598" w:type="pct"/>
            <w:vMerge w:val="continue"/>
            <w:vAlign w:val="center"/>
          </w:tcPr>
          <w:p>
            <w:pPr>
              <w:ind w:firstLine="0" w:firstLineChars="0"/>
              <w:jc w:val="center"/>
              <w:rPr>
                <w:rFonts w:hint="eastAsia" w:cs="Times New Roman" w:eastAsiaTheme="minorEastAsia"/>
                <w:sz w:val="24"/>
              </w:rPr>
            </w:pPr>
          </w:p>
        </w:tc>
        <w:tc>
          <w:tcPr>
            <w:tcW w:w="1506" w:type="pct"/>
            <w:tcBorders>
              <w:right w:val="single" w:color="auto" w:sz="4" w:space="0"/>
            </w:tcBorders>
            <w:vAlign w:val="center"/>
          </w:tcPr>
          <w:p>
            <w:pPr>
              <w:ind w:firstLine="0" w:firstLineChars="0"/>
              <w:jc w:val="center"/>
              <w:rPr>
                <w:rFonts w:hint="eastAsia" w:cs="Times New Roman" w:eastAsiaTheme="minorEastAsia"/>
                <w:sz w:val="24"/>
              </w:rPr>
            </w:pPr>
            <w:r>
              <w:rPr>
                <w:rFonts w:cs="Times New Roman" w:eastAsiaTheme="minorEastAsia"/>
                <w:sz w:val="24"/>
              </w:rPr>
              <w:t>通感算控一体化新一代低压高速通信物理层设计关键技术研究</w:t>
            </w:r>
            <w:r>
              <w:rPr>
                <w:rFonts w:hint="eastAsia" w:cs="Times New Roman" w:eastAsiaTheme="minorEastAsia"/>
                <w:sz w:val="24"/>
              </w:rPr>
              <w:t>项目经费审查服务</w:t>
            </w:r>
          </w:p>
        </w:tc>
        <w:tc>
          <w:tcPr>
            <w:tcW w:w="844"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Times New Roman" w:eastAsiaTheme="minorEastAsia"/>
                <w:sz w:val="24"/>
              </w:rPr>
            </w:pPr>
            <w:r>
              <w:rPr>
                <w:rFonts w:hint="eastAsia" w:cs="Times New Roman" w:eastAsiaTheme="minorEastAsia"/>
                <w:sz w:val="24"/>
              </w:rPr>
              <w:t>0.7</w:t>
            </w:r>
          </w:p>
        </w:tc>
        <w:tc>
          <w:tcPr>
            <w:tcW w:w="814" w:type="pct"/>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cs="Times New Roman" w:eastAsiaTheme="minorEastAsia"/>
                <w:sz w:val="24"/>
              </w:rPr>
            </w:pPr>
          </w:p>
        </w:tc>
        <w:tc>
          <w:tcPr>
            <w:tcW w:w="814" w:type="pct"/>
            <w:vMerge w:val="continue"/>
            <w:tcBorders>
              <w:left w:val="single" w:color="auto" w:sz="4" w:space="0"/>
              <w:right w:val="single" w:color="auto" w:sz="4" w:space="0"/>
            </w:tcBorders>
            <w:vAlign w:val="center"/>
          </w:tcPr>
          <w:p>
            <w:pPr>
              <w:ind w:firstLine="0" w:firstLineChars="0"/>
              <w:jc w:val="center"/>
              <w:rPr>
                <w:rFonts w:eastAsia="宋体"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424" w:type="pct"/>
            <w:vMerge w:val="continue"/>
            <w:vAlign w:val="center"/>
          </w:tcPr>
          <w:p>
            <w:pPr>
              <w:ind w:firstLine="0" w:firstLineChars="0"/>
              <w:jc w:val="center"/>
              <w:rPr>
                <w:rFonts w:cs="Times New Roman" w:eastAsiaTheme="minorEastAsia"/>
                <w:sz w:val="24"/>
              </w:rPr>
            </w:pPr>
          </w:p>
        </w:tc>
        <w:tc>
          <w:tcPr>
            <w:tcW w:w="598" w:type="pct"/>
            <w:vMerge w:val="continue"/>
            <w:vAlign w:val="center"/>
          </w:tcPr>
          <w:p>
            <w:pPr>
              <w:ind w:firstLine="0" w:firstLineChars="0"/>
              <w:jc w:val="center"/>
              <w:rPr>
                <w:rFonts w:hint="eastAsia" w:cs="Times New Roman" w:eastAsiaTheme="minorEastAsia"/>
                <w:sz w:val="24"/>
              </w:rPr>
            </w:pPr>
          </w:p>
        </w:tc>
        <w:tc>
          <w:tcPr>
            <w:tcW w:w="1506" w:type="pct"/>
            <w:tcBorders>
              <w:right w:val="single" w:color="auto" w:sz="4" w:space="0"/>
            </w:tcBorders>
            <w:vAlign w:val="center"/>
          </w:tcPr>
          <w:p>
            <w:pPr>
              <w:ind w:firstLine="0" w:firstLineChars="0"/>
              <w:jc w:val="center"/>
              <w:rPr>
                <w:rFonts w:hint="eastAsia" w:cs="Times New Roman" w:eastAsiaTheme="minorEastAsia"/>
                <w:sz w:val="24"/>
              </w:rPr>
            </w:pPr>
            <w:bookmarkStart w:id="0" w:name="_Hlk175583030"/>
            <w:r>
              <w:rPr>
                <w:rFonts w:hint="eastAsia" w:cs="Times New Roman" w:eastAsiaTheme="minorEastAsia"/>
                <w:sz w:val="24"/>
              </w:rPr>
              <w:t>支撑海量供需资源敏捷互动的通用硬件平台及软件组态技术</w:t>
            </w:r>
            <w:bookmarkEnd w:id="0"/>
            <w:r>
              <w:rPr>
                <w:rFonts w:hint="eastAsia" w:cs="Times New Roman" w:eastAsiaTheme="minorEastAsia"/>
                <w:sz w:val="24"/>
              </w:rPr>
              <w:t>研究项目经费审查服务</w:t>
            </w:r>
          </w:p>
        </w:tc>
        <w:tc>
          <w:tcPr>
            <w:tcW w:w="844" w:type="pct"/>
            <w:tcBorders>
              <w:top w:val="single" w:color="auto" w:sz="4" w:space="0"/>
              <w:left w:val="single" w:color="auto" w:sz="4" w:space="0"/>
              <w:right w:val="single" w:color="auto" w:sz="4" w:space="0"/>
            </w:tcBorders>
            <w:vAlign w:val="center"/>
          </w:tcPr>
          <w:p>
            <w:pPr>
              <w:ind w:firstLine="0" w:firstLineChars="0"/>
              <w:jc w:val="center"/>
              <w:rPr>
                <w:rFonts w:cs="Times New Roman" w:eastAsiaTheme="minorEastAsia"/>
                <w:sz w:val="24"/>
              </w:rPr>
            </w:pPr>
            <w:r>
              <w:rPr>
                <w:rFonts w:hint="eastAsia" w:cs="Times New Roman" w:eastAsiaTheme="minorEastAsia"/>
                <w:sz w:val="24"/>
              </w:rPr>
              <w:t>0.7</w:t>
            </w:r>
          </w:p>
        </w:tc>
        <w:tc>
          <w:tcPr>
            <w:tcW w:w="814" w:type="pct"/>
            <w:tcBorders>
              <w:top w:val="single" w:color="auto" w:sz="4" w:space="0"/>
              <w:left w:val="single" w:color="auto" w:sz="4" w:space="0"/>
              <w:right w:val="single" w:color="auto" w:sz="4" w:space="0"/>
            </w:tcBorders>
            <w:vAlign w:val="center"/>
          </w:tcPr>
          <w:p>
            <w:pPr>
              <w:ind w:firstLine="0" w:firstLineChars="0"/>
              <w:jc w:val="center"/>
              <w:rPr>
                <w:rFonts w:cs="Times New Roman" w:eastAsiaTheme="minorEastAsia"/>
                <w:sz w:val="24"/>
              </w:rPr>
            </w:pPr>
          </w:p>
        </w:tc>
        <w:tc>
          <w:tcPr>
            <w:tcW w:w="814" w:type="pct"/>
            <w:vMerge w:val="continue"/>
            <w:tcBorders>
              <w:left w:val="single" w:color="auto" w:sz="4" w:space="0"/>
              <w:right w:val="single" w:color="auto" w:sz="4" w:space="0"/>
            </w:tcBorders>
            <w:vAlign w:val="center"/>
          </w:tcPr>
          <w:p>
            <w:pPr>
              <w:ind w:firstLine="0" w:firstLineChars="0"/>
              <w:jc w:val="center"/>
              <w:rPr>
                <w:rFonts w:eastAsia="宋体" w:cs="Times New Roman"/>
                <w:sz w:val="24"/>
              </w:rPr>
            </w:pPr>
          </w:p>
        </w:tc>
      </w:tr>
    </w:tbl>
    <w:p>
      <w:pPr>
        <w:ind w:firstLine="560"/>
      </w:pPr>
    </w:p>
    <w:p>
      <w:pPr>
        <w:ind w:firstLine="480"/>
        <w:rPr>
          <w:rFonts w:cs="Times New Roman" w:eastAsiaTheme="minorEastAsia"/>
          <w:sz w:val="24"/>
        </w:rPr>
      </w:pPr>
    </w:p>
    <w:p>
      <w:pPr>
        <w:ind w:firstLine="560"/>
        <w:jc w:val="right"/>
        <w:rPr>
          <w:rFonts w:cs="Times New Roman" w:eastAsiaTheme="minorEastAsia"/>
          <w:szCs w:val="28"/>
        </w:rPr>
      </w:pPr>
      <w:r>
        <w:rPr>
          <w:rFonts w:hint="eastAsia" w:cs="Times New Roman" w:eastAsiaTheme="minorEastAsia"/>
          <w:szCs w:val="28"/>
        </w:rPr>
        <w:t>报价人：xx公司</w:t>
      </w:r>
    </w:p>
    <w:p>
      <w:pPr>
        <w:ind w:firstLine="1120" w:firstLineChars="400"/>
        <w:jc w:val="right"/>
        <w:rPr>
          <w:rFonts w:hint="eastAsia" w:cs="Times New Roman" w:eastAsiaTheme="minorEastAsia"/>
          <w:szCs w:val="28"/>
        </w:rPr>
      </w:pPr>
      <w:r>
        <w:rPr>
          <w:rFonts w:hint="eastAsia" w:cs="Times New Roman" w:eastAsiaTheme="minorEastAsia"/>
          <w:szCs w:val="28"/>
        </w:rPr>
        <w:t>年  月  日</w:t>
      </w:r>
    </w:p>
    <w:p>
      <w:pPr>
        <w:ind w:firstLine="480"/>
        <w:rPr>
          <w:rFonts w:cs="Times New Roman" w:eastAsiaTheme="minorEastAsia"/>
          <w:sz w:val="24"/>
        </w:rPr>
      </w:pPr>
    </w:p>
    <w:p>
      <w:pPr>
        <w:ind w:firstLine="480"/>
        <w:rPr>
          <w:rFonts w:cs="Times New Roman" w:eastAsiaTheme="minorEastAsia"/>
          <w:sz w:val="24"/>
        </w:rPr>
      </w:pPr>
      <w:r>
        <w:rPr>
          <w:rFonts w:cs="Times New Roman" w:eastAsiaTheme="minorEastAsia"/>
          <w:sz w:val="24"/>
        </w:rPr>
        <w:t>报价说明：</w:t>
      </w:r>
    </w:p>
    <w:p>
      <w:pPr>
        <w:ind w:firstLine="480"/>
        <w:rPr>
          <w:rFonts w:cs="Times New Roman" w:eastAsiaTheme="minorEastAsia"/>
          <w:sz w:val="24"/>
        </w:rPr>
      </w:pPr>
      <w:bookmarkStart w:id="1" w:name="_Hlk206616531"/>
      <w:r>
        <w:rPr>
          <w:rFonts w:hint="eastAsia" w:cs="Times New Roman" w:eastAsiaTheme="minorEastAsia"/>
          <w:sz w:val="24"/>
        </w:rPr>
        <w:t>1</w:t>
      </w:r>
      <w:r>
        <w:rPr>
          <w:rFonts w:cs="Times New Roman" w:eastAsiaTheme="minorEastAsia"/>
          <w:sz w:val="24"/>
        </w:rPr>
        <w:t>、</w:t>
      </w:r>
      <w:r>
        <w:rPr>
          <w:rFonts w:hint="eastAsia" w:cs="Times New Roman" w:eastAsiaTheme="minorEastAsia"/>
          <w:sz w:val="24"/>
        </w:rPr>
        <w:t>固定总价报价，投标报价金额不得高于最高限价；</w:t>
      </w:r>
    </w:p>
    <w:p>
      <w:pPr>
        <w:ind w:firstLine="480"/>
        <w:rPr>
          <w:rFonts w:cs="Times New Roman" w:eastAsiaTheme="minorEastAsia"/>
          <w:sz w:val="24"/>
        </w:rPr>
      </w:pPr>
      <w:r>
        <w:rPr>
          <w:rFonts w:hint="eastAsia" w:cs="Times New Roman" w:eastAsiaTheme="minorEastAsia"/>
          <w:sz w:val="24"/>
        </w:rPr>
        <w:t>2、</w:t>
      </w:r>
      <w:r>
        <w:rPr>
          <w:rFonts w:cs="Times New Roman" w:eastAsiaTheme="minorEastAsia"/>
          <w:sz w:val="24"/>
        </w:rPr>
        <w:t>报价以人民币为准</w:t>
      </w:r>
      <w:r>
        <w:rPr>
          <w:rFonts w:hint="eastAsia" w:cs="Times New Roman" w:eastAsiaTheme="minorEastAsia"/>
          <w:sz w:val="24"/>
        </w:rPr>
        <w:t>；</w:t>
      </w:r>
    </w:p>
    <w:p>
      <w:pPr>
        <w:ind w:firstLine="480"/>
        <w:rPr>
          <w:rFonts w:cs="Times New Roman" w:eastAsiaTheme="minorEastAsia"/>
          <w:sz w:val="24"/>
        </w:rPr>
      </w:pPr>
      <w:r>
        <w:rPr>
          <w:rFonts w:hint="eastAsia" w:cs="Times New Roman" w:eastAsiaTheme="minorEastAsia"/>
          <w:sz w:val="24"/>
        </w:rPr>
        <w:t>3、增值税税率为6%；</w:t>
      </w:r>
    </w:p>
    <w:p>
      <w:pPr>
        <w:ind w:firstLine="480"/>
        <w:rPr>
          <w:rFonts w:hint="eastAsia" w:cs="Times New Roman" w:eastAsiaTheme="minorEastAsia"/>
          <w:sz w:val="24"/>
        </w:rPr>
      </w:pPr>
      <w:r>
        <w:rPr>
          <w:rFonts w:hint="eastAsia" w:cs="Times New Roman" w:eastAsiaTheme="minorEastAsia"/>
          <w:sz w:val="24"/>
        </w:rPr>
        <w:t>4、结算方式：总价包干</w:t>
      </w:r>
      <w:r>
        <w:rPr>
          <w:rFonts w:cs="Times New Roman" w:eastAsiaTheme="minorEastAsia"/>
          <w:sz w:val="24"/>
        </w:rPr>
        <w:t>。</w:t>
      </w:r>
      <w:bookmarkEnd w:id="1"/>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560"/>
      </w:pPr>
      <w:r>
        <w:separator/>
      </w:r>
    </w:p>
  </w:endnote>
  <w:endnote w:type="continuationSeparator" w:id="1">
    <w:p>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560"/>
      </w:pPr>
      <w:r>
        <w:separator/>
      </w:r>
    </w:p>
  </w:footnote>
  <w:footnote w:type="continuationSeparator" w:id="1">
    <w:p>
      <w:pPr>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662D1D"/>
    <w:multiLevelType w:val="multilevel"/>
    <w:tmpl w:val="54662D1D"/>
    <w:lvl w:ilvl="0" w:tentative="0">
      <w:start w:val="1"/>
      <w:numFmt w:val="decimal"/>
      <w:lvlText w:val="%1."/>
      <w:lvlJc w:val="left"/>
      <w:pPr>
        <w:ind w:left="432" w:hanging="432"/>
      </w:pPr>
      <w:rPr>
        <w:rFonts w:hint="default"/>
      </w:rPr>
    </w:lvl>
    <w:lvl w:ilvl="1" w:tentative="0">
      <w:start w:val="1"/>
      <w:numFmt w:val="decimal"/>
      <w:pStyle w:val="4"/>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3ZjM5NjE4NDVjNDkxNTJmNzc1YmRmZDdmMDBmOGUifQ=="/>
  </w:docVars>
  <w:rsids>
    <w:rsidRoot w:val="002244B7"/>
    <w:rsid w:val="000076A2"/>
    <w:rsid w:val="00016E49"/>
    <w:rsid w:val="00025058"/>
    <w:rsid w:val="00031E50"/>
    <w:rsid w:val="00056CAC"/>
    <w:rsid w:val="00074DB7"/>
    <w:rsid w:val="000B0CA1"/>
    <w:rsid w:val="000F5CBC"/>
    <w:rsid w:val="001334AF"/>
    <w:rsid w:val="00166437"/>
    <w:rsid w:val="001A77AC"/>
    <w:rsid w:val="002065E2"/>
    <w:rsid w:val="00223393"/>
    <w:rsid w:val="002244B7"/>
    <w:rsid w:val="00271B20"/>
    <w:rsid w:val="002973DD"/>
    <w:rsid w:val="002A6E8A"/>
    <w:rsid w:val="002C752F"/>
    <w:rsid w:val="002E2D7F"/>
    <w:rsid w:val="002F4F17"/>
    <w:rsid w:val="00313458"/>
    <w:rsid w:val="003240D7"/>
    <w:rsid w:val="00336B63"/>
    <w:rsid w:val="00342657"/>
    <w:rsid w:val="00363CB7"/>
    <w:rsid w:val="00382CF6"/>
    <w:rsid w:val="003B24A9"/>
    <w:rsid w:val="003C2F3E"/>
    <w:rsid w:val="00400E77"/>
    <w:rsid w:val="00401DB1"/>
    <w:rsid w:val="004435EA"/>
    <w:rsid w:val="00490F6D"/>
    <w:rsid w:val="004D50C2"/>
    <w:rsid w:val="004D55B9"/>
    <w:rsid w:val="004F31E1"/>
    <w:rsid w:val="005266A8"/>
    <w:rsid w:val="00536410"/>
    <w:rsid w:val="00537550"/>
    <w:rsid w:val="00543EBA"/>
    <w:rsid w:val="0056523A"/>
    <w:rsid w:val="00570C8D"/>
    <w:rsid w:val="00592FE9"/>
    <w:rsid w:val="005A3269"/>
    <w:rsid w:val="005B02AF"/>
    <w:rsid w:val="005C347F"/>
    <w:rsid w:val="006008EF"/>
    <w:rsid w:val="006014E9"/>
    <w:rsid w:val="00626A5D"/>
    <w:rsid w:val="006514CA"/>
    <w:rsid w:val="006545AB"/>
    <w:rsid w:val="006635DE"/>
    <w:rsid w:val="006A4ECD"/>
    <w:rsid w:val="006E0C8C"/>
    <w:rsid w:val="006E2502"/>
    <w:rsid w:val="006F5A7E"/>
    <w:rsid w:val="0070657C"/>
    <w:rsid w:val="00721C49"/>
    <w:rsid w:val="007A76C4"/>
    <w:rsid w:val="007B0ACB"/>
    <w:rsid w:val="007C245C"/>
    <w:rsid w:val="007C51DA"/>
    <w:rsid w:val="007D08DC"/>
    <w:rsid w:val="007E0178"/>
    <w:rsid w:val="007E1751"/>
    <w:rsid w:val="0081408C"/>
    <w:rsid w:val="00847457"/>
    <w:rsid w:val="00863010"/>
    <w:rsid w:val="008832DF"/>
    <w:rsid w:val="00892F15"/>
    <w:rsid w:val="008D6B3B"/>
    <w:rsid w:val="009038C2"/>
    <w:rsid w:val="009277AB"/>
    <w:rsid w:val="009375ED"/>
    <w:rsid w:val="009B2F79"/>
    <w:rsid w:val="009D4012"/>
    <w:rsid w:val="009F001F"/>
    <w:rsid w:val="00A000A3"/>
    <w:rsid w:val="00A31FE3"/>
    <w:rsid w:val="00AC0DA7"/>
    <w:rsid w:val="00B500C5"/>
    <w:rsid w:val="00B7603B"/>
    <w:rsid w:val="00BA6DE0"/>
    <w:rsid w:val="00BF5912"/>
    <w:rsid w:val="00C3493E"/>
    <w:rsid w:val="00C46124"/>
    <w:rsid w:val="00C54236"/>
    <w:rsid w:val="00C613ED"/>
    <w:rsid w:val="00C61F76"/>
    <w:rsid w:val="00C62561"/>
    <w:rsid w:val="00C71BB4"/>
    <w:rsid w:val="00C7506A"/>
    <w:rsid w:val="00C87E45"/>
    <w:rsid w:val="00C90182"/>
    <w:rsid w:val="00CA3FE4"/>
    <w:rsid w:val="00CE10C6"/>
    <w:rsid w:val="00CF37A4"/>
    <w:rsid w:val="00CF4BE7"/>
    <w:rsid w:val="00CF5B82"/>
    <w:rsid w:val="00D2251B"/>
    <w:rsid w:val="00D843C9"/>
    <w:rsid w:val="00DA1EBC"/>
    <w:rsid w:val="00E26C35"/>
    <w:rsid w:val="00E60A98"/>
    <w:rsid w:val="00EA0BFD"/>
    <w:rsid w:val="00EB35A4"/>
    <w:rsid w:val="00EC173E"/>
    <w:rsid w:val="00F042DA"/>
    <w:rsid w:val="00F11656"/>
    <w:rsid w:val="00F43304"/>
    <w:rsid w:val="00F50AA9"/>
    <w:rsid w:val="00F74CB4"/>
    <w:rsid w:val="00F80B49"/>
    <w:rsid w:val="00F85E19"/>
    <w:rsid w:val="00F9019E"/>
    <w:rsid w:val="00FD4549"/>
    <w:rsid w:val="01B36734"/>
    <w:rsid w:val="02E55D09"/>
    <w:rsid w:val="048B6BD0"/>
    <w:rsid w:val="05546E07"/>
    <w:rsid w:val="05DB0C92"/>
    <w:rsid w:val="068E3F91"/>
    <w:rsid w:val="08837E02"/>
    <w:rsid w:val="0A26087A"/>
    <w:rsid w:val="0A7F01BD"/>
    <w:rsid w:val="0D375F39"/>
    <w:rsid w:val="0F414D4F"/>
    <w:rsid w:val="0FA934F7"/>
    <w:rsid w:val="0FB663CB"/>
    <w:rsid w:val="10383C7E"/>
    <w:rsid w:val="137D3738"/>
    <w:rsid w:val="13C227C4"/>
    <w:rsid w:val="141753BE"/>
    <w:rsid w:val="142F6BD5"/>
    <w:rsid w:val="1568250F"/>
    <w:rsid w:val="1647702D"/>
    <w:rsid w:val="173567EF"/>
    <w:rsid w:val="18F42705"/>
    <w:rsid w:val="1A5971F8"/>
    <w:rsid w:val="1CA22B1F"/>
    <w:rsid w:val="1CB352B2"/>
    <w:rsid w:val="1D9804B9"/>
    <w:rsid w:val="1FC4513D"/>
    <w:rsid w:val="207C6B1F"/>
    <w:rsid w:val="266D5E03"/>
    <w:rsid w:val="2A374F4D"/>
    <w:rsid w:val="2D901963"/>
    <w:rsid w:val="303E77B8"/>
    <w:rsid w:val="318B0728"/>
    <w:rsid w:val="325B74CE"/>
    <w:rsid w:val="32A152CF"/>
    <w:rsid w:val="33AC5B43"/>
    <w:rsid w:val="35B86EAA"/>
    <w:rsid w:val="35CD4C7B"/>
    <w:rsid w:val="384738DD"/>
    <w:rsid w:val="38844D40"/>
    <w:rsid w:val="39200B26"/>
    <w:rsid w:val="3A6A2085"/>
    <w:rsid w:val="3ABD68A9"/>
    <w:rsid w:val="3AD61170"/>
    <w:rsid w:val="3B346B6E"/>
    <w:rsid w:val="3B8A1F83"/>
    <w:rsid w:val="3CCD1AFB"/>
    <w:rsid w:val="3E1E1423"/>
    <w:rsid w:val="3E5C4D14"/>
    <w:rsid w:val="429A22A2"/>
    <w:rsid w:val="441722E3"/>
    <w:rsid w:val="4A4C1CE2"/>
    <w:rsid w:val="4B827E67"/>
    <w:rsid w:val="4CA65764"/>
    <w:rsid w:val="4DEE3688"/>
    <w:rsid w:val="4F51161B"/>
    <w:rsid w:val="55726D80"/>
    <w:rsid w:val="55892B92"/>
    <w:rsid w:val="55FB04D7"/>
    <w:rsid w:val="59CD172A"/>
    <w:rsid w:val="5FE710F6"/>
    <w:rsid w:val="60652A22"/>
    <w:rsid w:val="626312EB"/>
    <w:rsid w:val="65133847"/>
    <w:rsid w:val="667773CE"/>
    <w:rsid w:val="675639C4"/>
    <w:rsid w:val="685C431D"/>
    <w:rsid w:val="688E2EF4"/>
    <w:rsid w:val="6AF63A10"/>
    <w:rsid w:val="6B220038"/>
    <w:rsid w:val="6BDC6045"/>
    <w:rsid w:val="6D306528"/>
    <w:rsid w:val="6DEC76B0"/>
    <w:rsid w:val="6E4819BD"/>
    <w:rsid w:val="6FBE0EA0"/>
    <w:rsid w:val="70C40B49"/>
    <w:rsid w:val="74F71649"/>
    <w:rsid w:val="772C1F56"/>
    <w:rsid w:val="77946EFA"/>
    <w:rsid w:val="77A7468F"/>
    <w:rsid w:val="781942C5"/>
    <w:rsid w:val="7E790CD1"/>
    <w:rsid w:val="7E876A7F"/>
    <w:rsid w:val="7F487BBF"/>
    <w:rsid w:val="7FE244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Times New Roman" w:hAnsi="Times New Roman" w:eastAsia="仿宋_GB2312" w:cstheme="minorBidi"/>
      <w:kern w:val="2"/>
      <w:sz w:val="28"/>
      <w:szCs w:val="24"/>
      <w:lang w:val="en-US" w:eastAsia="zh-CN" w:bidi="ar-SA"/>
    </w:rPr>
  </w:style>
  <w:style w:type="paragraph" w:styleId="3">
    <w:name w:val="heading 1"/>
    <w:basedOn w:val="1"/>
    <w:next w:val="1"/>
    <w:link w:val="16"/>
    <w:qFormat/>
    <w:uiPriority w:val="0"/>
    <w:pPr>
      <w:keepNext/>
      <w:keepLines/>
      <w:snapToGrid w:val="0"/>
      <w:spacing w:before="50" w:beforeLines="50"/>
      <w:jc w:val="left"/>
      <w:outlineLvl w:val="0"/>
    </w:pPr>
    <w:rPr>
      <w:rFonts w:ascii="宋体" w:hAnsi="宋体" w:eastAsia="宋体" w:cs="Times New Roman"/>
      <w:b/>
      <w:bCs/>
      <w:kern w:val="44"/>
      <w:sz w:val="32"/>
      <w:szCs w:val="21"/>
    </w:rPr>
  </w:style>
  <w:style w:type="paragraph" w:styleId="4">
    <w:name w:val="heading 2"/>
    <w:basedOn w:val="1"/>
    <w:next w:val="1"/>
    <w:link w:val="19"/>
    <w:semiHidden/>
    <w:unhideWhenUsed/>
    <w:qFormat/>
    <w:uiPriority w:val="0"/>
    <w:pPr>
      <w:keepLines/>
      <w:numPr>
        <w:ilvl w:val="1"/>
        <w:numId w:val="1"/>
      </w:numPr>
      <w:adjustRightInd w:val="0"/>
      <w:snapToGrid w:val="0"/>
      <w:spacing w:before="50" w:beforeLines="50"/>
      <w:ind w:left="573" w:hanging="573"/>
      <w:jc w:val="left"/>
      <w:outlineLvl w:val="1"/>
    </w:pPr>
    <w:rPr>
      <w:rFonts w:ascii="宋体" w:hAnsi="宋体" w:eastAsia="宋体"/>
      <w:b/>
      <w:bCs/>
      <w:szCs w:val="21"/>
    </w:rPr>
  </w:style>
  <w:style w:type="paragraph" w:styleId="5">
    <w:name w:val="heading 3"/>
    <w:basedOn w:val="1"/>
    <w:next w:val="1"/>
    <w:link w:val="17"/>
    <w:semiHidden/>
    <w:unhideWhenUsed/>
    <w:qFormat/>
    <w:uiPriority w:val="0"/>
    <w:pPr>
      <w:tabs>
        <w:tab w:val="left" w:pos="1560"/>
      </w:tabs>
      <w:snapToGrid w:val="0"/>
      <w:spacing w:before="50" w:beforeLines="50" w:line="360" w:lineRule="auto"/>
      <w:outlineLvl w:val="2"/>
    </w:pPr>
    <w:rPr>
      <w:rFonts w:ascii="宋体" w:hAnsi="宋体" w:eastAsia="宋体" w:cs="Times New Roman"/>
      <w:b/>
      <w:bCs/>
      <w:sz w:val="21"/>
    </w:rPr>
  </w:style>
  <w:style w:type="paragraph" w:styleId="6">
    <w:name w:val="heading 4"/>
    <w:basedOn w:val="1"/>
    <w:next w:val="1"/>
    <w:link w:val="18"/>
    <w:semiHidden/>
    <w:unhideWhenUsed/>
    <w:qFormat/>
    <w:uiPriority w:val="0"/>
    <w:pPr>
      <w:spacing w:line="360" w:lineRule="auto"/>
      <w:outlineLvl w:val="3"/>
    </w:pPr>
    <w:rPr>
      <w:rFonts w:ascii="宋体" w:hAnsi="宋体" w:eastAsia="宋体" w:cs="Times New Roman"/>
      <w:b/>
      <w:bCs/>
      <w:sz w:val="21"/>
      <w:szCs w:val="21"/>
    </w:rPr>
  </w:style>
  <w:style w:type="paragraph" w:styleId="7">
    <w:name w:val="heading 5"/>
    <w:basedOn w:val="1"/>
    <w:next w:val="1"/>
    <w:semiHidden/>
    <w:unhideWhenUsed/>
    <w:qFormat/>
    <w:uiPriority w:val="0"/>
    <w:pPr>
      <w:keepNext/>
      <w:keepLines/>
      <w:spacing w:before="280" w:after="290" w:line="372" w:lineRule="auto"/>
      <w:outlineLvl w:val="4"/>
    </w:pPr>
    <w:rPr>
      <w:rFonts w:eastAsiaTheme="majorEastAsia"/>
      <w:b/>
      <w:sz w:val="24"/>
    </w:rPr>
  </w:style>
  <w:style w:type="character" w:default="1" w:styleId="14">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rPr>
      <w:rFonts w:ascii="Calibri" w:hAnsi="Calibri" w:eastAsia="宋体" w:cs="Times New Roman"/>
      <w:szCs w:val="22"/>
    </w:rPr>
  </w:style>
  <w:style w:type="paragraph" w:styleId="8">
    <w:name w:val="annotation text"/>
    <w:basedOn w:val="1"/>
    <w:link w:val="22"/>
    <w:qFormat/>
    <w:uiPriority w:val="0"/>
    <w:pPr>
      <w:jc w:val="left"/>
    </w:pPr>
  </w:style>
  <w:style w:type="paragraph" w:styleId="9">
    <w:name w:val="footer"/>
    <w:basedOn w:val="1"/>
    <w:link w:val="21"/>
    <w:qFormat/>
    <w:uiPriority w:val="0"/>
    <w:pPr>
      <w:tabs>
        <w:tab w:val="center" w:pos="4153"/>
        <w:tab w:val="right" w:pos="8306"/>
      </w:tabs>
      <w:snapToGrid w:val="0"/>
      <w:jc w:val="left"/>
    </w:pPr>
    <w:rPr>
      <w:sz w:val="18"/>
      <w:szCs w:val="18"/>
    </w:rPr>
  </w:style>
  <w:style w:type="paragraph" w:styleId="10">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11">
    <w:name w:val="annotation subject"/>
    <w:basedOn w:val="8"/>
    <w:next w:val="8"/>
    <w:link w:val="23"/>
    <w:qFormat/>
    <w:uiPriority w:val="0"/>
    <w:rPr>
      <w:b/>
      <w:bCs/>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annotation reference"/>
    <w:basedOn w:val="14"/>
    <w:qFormat/>
    <w:uiPriority w:val="0"/>
    <w:rPr>
      <w:sz w:val="21"/>
      <w:szCs w:val="21"/>
    </w:rPr>
  </w:style>
  <w:style w:type="character" w:customStyle="1" w:styleId="16">
    <w:name w:val="标题 1 字符"/>
    <w:link w:val="3"/>
    <w:qFormat/>
    <w:uiPriority w:val="0"/>
    <w:rPr>
      <w:rFonts w:ascii="宋体" w:hAnsi="宋体" w:eastAsia="宋体" w:cs="Times New Roman"/>
      <w:b/>
      <w:bCs/>
      <w:kern w:val="44"/>
      <w:sz w:val="21"/>
      <w:szCs w:val="21"/>
    </w:rPr>
  </w:style>
  <w:style w:type="character" w:customStyle="1" w:styleId="17">
    <w:name w:val="标题 3 字符"/>
    <w:link w:val="5"/>
    <w:qFormat/>
    <w:locked/>
    <w:uiPriority w:val="9"/>
    <w:rPr>
      <w:rFonts w:ascii="宋体" w:hAnsi="宋体" w:eastAsia="宋体" w:cs="Times New Roman"/>
      <w:b/>
      <w:bCs/>
      <w:kern w:val="2"/>
      <w:sz w:val="21"/>
      <w:szCs w:val="24"/>
    </w:rPr>
  </w:style>
  <w:style w:type="character" w:customStyle="1" w:styleId="18">
    <w:name w:val="标题 4 字符"/>
    <w:link w:val="6"/>
    <w:qFormat/>
    <w:uiPriority w:val="0"/>
    <w:rPr>
      <w:rFonts w:ascii="宋体" w:hAnsi="宋体" w:eastAsia="宋体" w:cs="Times New Roman"/>
      <w:b/>
      <w:bCs/>
      <w:kern w:val="2"/>
      <w:sz w:val="21"/>
      <w:szCs w:val="21"/>
      <w:lang w:val="en-US" w:eastAsia="zh-CN" w:bidi="ar-SA"/>
    </w:rPr>
  </w:style>
  <w:style w:type="character" w:customStyle="1" w:styleId="19">
    <w:name w:val="标题 2 字符"/>
    <w:link w:val="4"/>
    <w:qFormat/>
    <w:uiPriority w:val="0"/>
    <w:rPr>
      <w:rFonts w:ascii="Arial" w:hAnsi="Arial" w:eastAsia="宋体" w:cs="Times New Roman"/>
      <w:b/>
      <w:sz w:val="32"/>
    </w:rPr>
  </w:style>
  <w:style w:type="character" w:customStyle="1" w:styleId="20">
    <w:name w:val="页眉 字符"/>
    <w:basedOn w:val="14"/>
    <w:link w:val="10"/>
    <w:qFormat/>
    <w:uiPriority w:val="0"/>
    <w:rPr>
      <w:rFonts w:ascii="Times New Roman" w:hAnsi="Times New Roman" w:eastAsia="仿宋_GB2312" w:cstheme="minorBidi"/>
      <w:kern w:val="2"/>
      <w:sz w:val="18"/>
      <w:szCs w:val="18"/>
    </w:rPr>
  </w:style>
  <w:style w:type="character" w:customStyle="1" w:styleId="21">
    <w:name w:val="页脚 字符"/>
    <w:basedOn w:val="14"/>
    <w:link w:val="9"/>
    <w:qFormat/>
    <w:uiPriority w:val="0"/>
    <w:rPr>
      <w:rFonts w:ascii="Times New Roman" w:hAnsi="Times New Roman" w:eastAsia="仿宋_GB2312" w:cstheme="minorBidi"/>
      <w:kern w:val="2"/>
      <w:sz w:val="18"/>
      <w:szCs w:val="18"/>
    </w:rPr>
  </w:style>
  <w:style w:type="character" w:customStyle="1" w:styleId="22">
    <w:name w:val="批注文字 字符"/>
    <w:basedOn w:val="14"/>
    <w:link w:val="8"/>
    <w:qFormat/>
    <w:uiPriority w:val="0"/>
    <w:rPr>
      <w:rFonts w:ascii="Times New Roman" w:hAnsi="Times New Roman" w:eastAsia="仿宋_GB2312" w:cstheme="minorBidi"/>
      <w:kern w:val="2"/>
      <w:sz w:val="28"/>
      <w:szCs w:val="24"/>
    </w:rPr>
  </w:style>
  <w:style w:type="character" w:customStyle="1" w:styleId="23">
    <w:name w:val="批注主题 字符"/>
    <w:basedOn w:val="22"/>
    <w:link w:val="11"/>
    <w:qFormat/>
    <w:uiPriority w:val="0"/>
    <w:rPr>
      <w:rFonts w:ascii="Times New Roman" w:hAnsi="Times New Roman" w:eastAsia="仿宋_GB2312" w:cstheme="minorBidi"/>
      <w:b/>
      <w:bCs/>
      <w:kern w:val="2"/>
      <w:sz w:val="28"/>
      <w:szCs w:val="24"/>
    </w:rPr>
  </w:style>
  <w:style w:type="paragraph" w:customStyle="1" w:styleId="24">
    <w:name w:val="首页项目名称"/>
    <w:qFormat/>
    <w:uiPriority w:val="0"/>
    <w:pPr>
      <w:jc w:val="center"/>
    </w:pPr>
    <w:rPr>
      <w:rFonts w:ascii="Times New Roman" w:hAnsi="Times New Roman" w:eastAsia="隶书" w:cs="Times New Roman"/>
      <w:sz w:val="5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58</Words>
  <Characters>335</Characters>
  <Lines>2</Lines>
  <Paragraphs>1</Paragraphs>
  <TotalTime>0</TotalTime>
  <ScaleCrop>false</ScaleCrop>
  <LinksUpToDate>false</LinksUpToDate>
  <CharactersWithSpaces>392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2026-04-09T08:29:00Z</dcterms:created>
  <dc:creator>linli</dc:creator>
  <cp:lastModifiedBy>E4299387985D136AE053064310AC0894</cp:lastModifiedBy>
  <dcterms:modified xsi:type="dcterms:W3CDTF">2026-04-10T07:35:09Z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D504483904AF43CBB97941EB90C29C7F</vt:lpwstr>
  </property>
  <property fmtid="{D5CDD505-2E9C-101B-9397-08002B2CF9AE}" pid="4" name="WondersoftTag">
    <vt:lpwstr>6CC2E3BF-B5EC-4FD0-A1FE-422048D818D4#2#5BBBF027-50CA403E-B4773DCD-11690B16##0</vt:lpwstr>
  </property>
</Properties>
</file>