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adjustRightInd w:val="0"/>
        <w:snapToGrid w:val="0"/>
        <w:spacing w:before="0" w:after="0" w:line="560" w:lineRule="exact"/>
        <w:jc w:val="center"/>
      </w:pPr>
      <w:r>
        <w:rPr>
          <w:rFonts w:hint="eastAsia" w:ascii="方正小标宋_GBK" w:hAnsi="方正小标宋_GBK" w:eastAsia="方正小标宋_GBK" w:cs="方正小标宋_GBK"/>
          <w:b w:val="0"/>
          <w:bCs/>
          <w:snapToGrid w:val="0"/>
          <w:kern w:val="0"/>
          <w:szCs w:val="44"/>
        </w:rPr>
        <w:t>第三方经费审查服务委托单</w:t>
      </w:r>
    </w:p>
    <w:tbl>
      <w:tblPr>
        <w:tblStyle w:val="10"/>
        <w:tblW w:w="89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908"/>
        <w:gridCol w:w="3136"/>
        <w:gridCol w:w="1230"/>
        <w:gridCol w:w="265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925" w:type="dxa"/>
            <w:gridSpan w:val="4"/>
            <w:tcBorders>
              <w:tl2br w:val="nil"/>
              <w:tr2bl w:val="nil"/>
            </w:tcBorders>
            <w:shd w:val="clear" w:color="000000" w:fill="E0E0E0"/>
            <w:vAlign w:val="center"/>
          </w:tcPr>
          <w:p>
            <w:pPr>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w:t>
            </w:r>
          </w:p>
        </w:tc>
        <w:tc>
          <w:tcPr>
            <w:tcW w:w="3136" w:type="dxa"/>
            <w:tcBorders>
              <w:top w:val="single" w:color="auto" w:sz="8" w:space="0"/>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cs="仿宋_GB2312"/>
                <w:bCs/>
                <w:i/>
                <w:color w:val="000000"/>
                <w:kern w:val="0"/>
                <w:sz w:val="24"/>
              </w:rPr>
            </w:pPr>
            <w:r>
              <w:rPr>
                <w:rFonts w:hint="eastAsia" w:ascii="宋体" w:hAnsi="宋体" w:cs="宋体"/>
                <w:bCs/>
                <w:color w:val="000000"/>
                <w:kern w:val="0"/>
                <w:sz w:val="24"/>
              </w:rPr>
              <w:t>数字电网科技（广东）有限公司先进硬件研发中心</w:t>
            </w:r>
          </w:p>
        </w:tc>
        <w:tc>
          <w:tcPr>
            <w:tcW w:w="1230" w:type="dxa"/>
            <w:tcBorders>
              <w:top w:val="nil"/>
              <w:left w:val="nil"/>
              <w:bottom w:val="single" w:color="auto" w:sz="8"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委托日期</w:t>
            </w:r>
          </w:p>
        </w:tc>
        <w:tc>
          <w:tcPr>
            <w:tcW w:w="2651" w:type="dxa"/>
            <w:tcBorders>
              <w:top w:val="nil"/>
              <w:left w:val="nil"/>
              <w:bottom w:val="single" w:color="auto" w:sz="8" w:space="0"/>
              <w:right w:val="single" w:color="auto" w:sz="8" w:space="0"/>
              <w:tl2br w:val="nil"/>
              <w:tr2bl w:val="nil"/>
            </w:tcBorders>
            <w:vAlign w:val="center"/>
          </w:tcPr>
          <w:p>
            <w:pPr>
              <w:widowControl/>
              <w:spacing w:line="360" w:lineRule="auto"/>
              <w:jc w:val="center"/>
              <w:rPr>
                <w:rFonts w:hint="eastAsia" w:ascii="宋体" w:hAnsi="宋体" w:cs="宋体"/>
                <w:bCs/>
                <w:color w:val="000000"/>
                <w:kern w:val="0"/>
                <w:sz w:val="24"/>
              </w:rPr>
            </w:pPr>
            <w:r>
              <w:rPr>
                <w:rFonts w:hint="eastAsia" w:ascii="宋体" w:hAnsi="宋体" w:cs="宋体"/>
                <w:bCs/>
                <w:color w:val="000000"/>
                <w:kern w:val="0"/>
                <w:sz w:val="24"/>
              </w:rPr>
              <w:t>2026/4</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审查项目名称</w:t>
            </w:r>
          </w:p>
        </w:tc>
        <w:tc>
          <w:tcPr>
            <w:tcW w:w="7017" w:type="dxa"/>
            <w:gridSpan w:val="3"/>
            <w:tcBorders>
              <w:top w:val="single" w:color="auto" w:sz="8" w:space="0"/>
              <w:left w:val="nil"/>
              <w:bottom w:val="single" w:color="auto" w:sz="8" w:space="0"/>
              <w:right w:val="single" w:color="auto" w:sz="8" w:space="0"/>
              <w:tl2br w:val="nil"/>
              <w:tr2bl w:val="nil"/>
            </w:tcBorders>
            <w:vAlign w:val="center"/>
          </w:tcPr>
          <w:p>
            <w:pPr>
              <w:widowControl/>
              <w:spacing w:line="360" w:lineRule="auto"/>
              <w:jc w:val="center"/>
              <w:rPr>
                <w:rFonts w:hint="eastAsia" w:ascii="宋体" w:hAnsi="宋体" w:cs="宋体"/>
                <w:color w:val="000000"/>
                <w:kern w:val="0"/>
                <w:szCs w:val="21"/>
              </w:rPr>
            </w:pPr>
            <w:r>
              <w:rPr>
                <w:rFonts w:hint="eastAsia" w:ascii="宋体" w:hAnsi="宋体" w:cs="宋体"/>
                <w:bCs/>
                <w:color w:val="000000"/>
                <w:kern w:val="0"/>
                <w:sz w:val="24"/>
              </w:rPr>
              <w:t>数字电网公司2026年硬件研发6个科技项目经费审查服务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项目基本情况</w:t>
            </w:r>
          </w:p>
        </w:tc>
        <w:tc>
          <w:tcPr>
            <w:tcW w:w="7017" w:type="dxa"/>
            <w:gridSpan w:val="3"/>
            <w:tcBorders>
              <w:top w:val="nil"/>
              <w:left w:val="nil"/>
              <w:bottom w:val="single" w:color="auto" w:sz="8"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本项目包括6个科技项目：</w:t>
            </w:r>
          </w:p>
          <w:p>
            <w:pPr>
              <w:widowControl/>
              <w:numPr>
                <w:ilvl w:val="0"/>
                <w:numId w:val="1"/>
              </w:numPr>
              <w:spacing w:line="360" w:lineRule="auto"/>
              <w:rPr>
                <w:rFonts w:hint="eastAsia" w:ascii="宋体" w:hAnsi="宋体" w:cs="宋体"/>
                <w:bCs/>
                <w:color w:val="000000"/>
                <w:kern w:val="0"/>
                <w:sz w:val="24"/>
              </w:rPr>
            </w:pPr>
            <w:r>
              <w:rPr>
                <w:rFonts w:hint="eastAsia" w:ascii="宋体" w:hAnsi="宋体" w:cs="宋体"/>
                <w:bCs/>
                <w:color w:val="000000"/>
                <w:kern w:val="0"/>
                <w:sz w:val="24"/>
              </w:rPr>
              <w:t>面向统一物联操作系统的快应用及容器化关键技术研究项目，项目主要研究</w:t>
            </w:r>
            <w:r>
              <w:rPr>
                <w:rFonts w:ascii="宋体" w:hAnsi="宋体" w:cs="宋体"/>
                <w:bCs/>
                <w:color w:val="000000"/>
                <w:kern w:val="0"/>
                <w:sz w:val="24"/>
              </w:rPr>
              <w:t>容器技术为程序提供了一种便利的打包机制，这种机制将应用及其依赖项打包和隔离为单个对象，具有快速、高效、易迁移等优点。与虚拟机不同，容器环境无需安装操作系统，可以直接运行于宿主机操作系统上，通过共享底层资源来节省开销，容器对系统资源的额外需求远低于虚拟机，从而能够快速、可靠、一致地部署应用</w:t>
            </w:r>
            <w:r>
              <w:rPr>
                <w:rFonts w:hint="eastAsia" w:ascii="宋体" w:hAnsi="宋体" w:cs="宋体"/>
                <w:bCs/>
                <w:color w:val="000000"/>
                <w:kern w:val="0"/>
                <w:sz w:val="24"/>
              </w:rPr>
              <w:t>；(项目金额：3000万以下）</w:t>
            </w:r>
          </w:p>
          <w:p>
            <w:pPr>
              <w:widowControl/>
              <w:numPr>
                <w:ilvl w:val="0"/>
                <w:numId w:val="1"/>
              </w:numPr>
              <w:spacing w:line="360" w:lineRule="auto"/>
              <w:rPr>
                <w:rFonts w:hint="eastAsia" w:ascii="宋体" w:hAnsi="宋体" w:cs="宋体"/>
                <w:bCs/>
                <w:color w:val="000000"/>
                <w:kern w:val="0"/>
                <w:sz w:val="24"/>
              </w:rPr>
            </w:pPr>
            <w:r>
              <w:rPr>
                <w:rFonts w:ascii="宋体" w:hAnsi="宋体" w:cs="宋体"/>
                <w:bCs/>
                <w:color w:val="000000"/>
                <w:kern w:val="0"/>
                <w:sz w:val="24"/>
              </w:rPr>
              <w:t>嵌入式操作系统多内核融合技术研究</w:t>
            </w:r>
            <w:r>
              <w:rPr>
                <w:rFonts w:hint="eastAsia" w:ascii="宋体" w:hAnsi="宋体" w:cs="宋体"/>
                <w:bCs/>
                <w:color w:val="000000"/>
                <w:kern w:val="0"/>
                <w:sz w:val="24"/>
              </w:rPr>
              <w:t>项目，项目主要研究</w:t>
            </w:r>
            <w:r>
              <w:rPr>
                <w:rFonts w:ascii="宋体" w:hAnsi="宋体" w:cs="宋体"/>
                <w:bCs/>
                <w:color w:val="000000"/>
                <w:kern w:val="0"/>
                <w:sz w:val="24"/>
              </w:rPr>
              <w:t>源工业互联网的实现需要将能源生产、输配、存储、交易、消费等环节通过现代信息技术连接起来，实现能源要素自由有序流动、高效配置和优化利用</w:t>
            </w:r>
            <w:r>
              <w:rPr>
                <w:rFonts w:hint="eastAsia" w:ascii="宋体" w:hAnsi="宋体" w:cs="宋体"/>
                <w:bCs/>
                <w:color w:val="000000"/>
                <w:kern w:val="0"/>
                <w:sz w:val="24"/>
              </w:rPr>
              <w:t>；（项目金额：3000万以下）</w:t>
            </w:r>
          </w:p>
          <w:p>
            <w:pPr>
              <w:numPr>
                <w:ilvl w:val="0"/>
                <w:numId w:val="1"/>
              </w:numPr>
              <w:adjustRightInd w:val="0"/>
              <w:snapToGrid w:val="0"/>
              <w:spacing w:line="360" w:lineRule="auto"/>
              <w:textAlignment w:val="baseline"/>
              <w:rPr>
                <w:rFonts w:hint="eastAsia" w:ascii="宋体" w:hAnsi="宋体" w:cs="宋体"/>
                <w:bCs/>
                <w:color w:val="000000"/>
                <w:kern w:val="0"/>
                <w:sz w:val="24"/>
              </w:rPr>
            </w:pPr>
            <w:r>
              <w:rPr>
                <w:rFonts w:ascii="宋体" w:hAnsi="宋体" w:cs="宋体"/>
                <w:bCs/>
                <w:color w:val="000000"/>
                <w:kern w:val="0"/>
                <w:sz w:val="24"/>
              </w:rPr>
              <w:t>嵌入式操作系统分布式软总线及安全可信云修复技术</w:t>
            </w:r>
            <w:r>
              <w:rPr>
                <w:rFonts w:hint="eastAsia" w:ascii="宋体" w:hAnsi="宋体" w:cs="宋体"/>
                <w:bCs/>
                <w:color w:val="000000"/>
                <w:kern w:val="0"/>
                <w:sz w:val="24"/>
              </w:rPr>
              <w:t>，项目主要研究</w:t>
            </w:r>
            <w:r>
              <w:rPr>
                <w:rFonts w:ascii="宋体" w:hAnsi="宋体" w:cs="宋体"/>
                <w:bCs/>
                <w:color w:val="000000"/>
                <w:kern w:val="0"/>
                <w:sz w:val="24"/>
              </w:rPr>
              <w:t>新型分布式软总线通信技术，支持多种数据格式转换、自动组网、安全认证等功能，实现设备间高效可靠的互联通信。通过分布式软总线架构统一管理海量异构设备，简化网络部署，完成边缘网关对终端设备的空中升级（Over-the-Air，OTA）等远程操作，从而解决当前物联网大规模互联和远程升级修复面临的技术难题</w:t>
            </w:r>
            <w:r>
              <w:rPr>
                <w:rFonts w:hint="eastAsia" w:ascii="宋体" w:hAnsi="宋体" w:cs="宋体"/>
                <w:bCs/>
                <w:color w:val="000000"/>
                <w:kern w:val="0"/>
                <w:sz w:val="24"/>
              </w:rPr>
              <w:t>；（项目金额：3000万以上）</w:t>
            </w:r>
          </w:p>
          <w:p>
            <w:pPr>
              <w:numPr>
                <w:ilvl w:val="0"/>
                <w:numId w:val="1"/>
              </w:numPr>
              <w:adjustRightInd w:val="0"/>
              <w:snapToGrid w:val="0"/>
              <w:spacing w:line="360" w:lineRule="auto"/>
              <w:textAlignment w:val="baseline"/>
              <w:rPr>
                <w:rFonts w:hint="eastAsia" w:ascii="宋体" w:hAnsi="宋体" w:cs="宋体"/>
                <w:bCs/>
                <w:color w:val="000000"/>
                <w:kern w:val="0"/>
                <w:sz w:val="24"/>
              </w:rPr>
            </w:pPr>
            <w:r>
              <w:rPr>
                <w:rFonts w:ascii="宋体" w:hAnsi="宋体" w:cs="宋体"/>
                <w:bCs/>
                <w:color w:val="000000"/>
                <w:kern w:val="0"/>
                <w:sz w:val="24"/>
              </w:rPr>
              <w:t>面向本地通信的多类型终端混合组网统一路由关键技术研究</w:t>
            </w:r>
            <w:r>
              <w:rPr>
                <w:rFonts w:hint="eastAsia" w:ascii="宋体" w:hAnsi="宋体" w:cs="宋体"/>
                <w:bCs/>
                <w:color w:val="000000"/>
                <w:kern w:val="0"/>
                <w:sz w:val="24"/>
              </w:rPr>
              <w:t>，项目主要研究</w:t>
            </w:r>
            <w:r>
              <w:rPr>
                <w:rFonts w:ascii="宋体" w:hAnsi="宋体" w:cs="宋体"/>
                <w:bCs/>
                <w:color w:val="000000"/>
                <w:kern w:val="0"/>
                <w:sz w:val="24"/>
              </w:rPr>
              <w:t>当前，传统电网电源结构开始了影响深远的变化。根据预测，全国电网（含国家电网与南方电网）覆盖范围内，到2030年，接入车联网充电桩超过28万个，接入分布式光伏300万台（套）。大量分布式新能源和大负荷充电桩接入，构成低压台区“源网荷”新型电力系统，带来核心的业务挑战：在低压台区中存在大量的电力终端设备，当前大多为哑设备。只有电表终端采用类MAC的L2寻址方式，通过查找主站电表档案方式进行电表寻址，实时性差；适应性差，其他业务难以共享采集的数据资源；用途单一，难以满足多业务并发实时协同的需要；并存在安全隐患，根据寻址可实时定位到设备。同时配网数字化导致千万级的分支断路器接入到网络，表箱/分支传感器、无功补偿装置等海量的配网台区设备接入，难以有效管理，需要高效的网络模式，即插即用，高效互通协同，并支撑海量设备的资产有序管理</w:t>
            </w:r>
            <w:r>
              <w:rPr>
                <w:rFonts w:hint="eastAsia" w:ascii="宋体" w:hAnsi="宋体" w:cs="宋体"/>
                <w:bCs/>
                <w:color w:val="000000"/>
                <w:kern w:val="0"/>
                <w:sz w:val="24"/>
              </w:rPr>
              <w:t>；（项目金额：3000万元以下）</w:t>
            </w:r>
          </w:p>
          <w:p>
            <w:pPr>
              <w:numPr>
                <w:ilvl w:val="0"/>
                <w:numId w:val="1"/>
              </w:numPr>
              <w:adjustRightInd w:val="0"/>
              <w:snapToGrid w:val="0"/>
              <w:spacing w:line="360" w:lineRule="auto"/>
              <w:textAlignment w:val="baseline"/>
              <w:rPr>
                <w:rFonts w:hint="eastAsia" w:ascii="宋体" w:hAnsi="宋体" w:cs="宋体"/>
                <w:bCs/>
                <w:color w:val="000000"/>
                <w:kern w:val="0"/>
                <w:sz w:val="24"/>
              </w:rPr>
            </w:pPr>
            <w:r>
              <w:rPr>
                <w:rFonts w:ascii="宋体" w:hAnsi="宋体" w:cs="宋体"/>
                <w:bCs/>
                <w:color w:val="000000"/>
                <w:kern w:val="0"/>
                <w:sz w:val="24"/>
              </w:rPr>
              <w:t>通感算控一体化新一代低压高速通信物理层设计关键技术研究</w:t>
            </w:r>
            <w:r>
              <w:rPr>
                <w:rFonts w:hint="eastAsia" w:ascii="宋体" w:hAnsi="宋体" w:cs="宋体"/>
                <w:bCs/>
                <w:color w:val="000000"/>
                <w:kern w:val="0"/>
                <w:sz w:val="24"/>
              </w:rPr>
              <w:t>，项目主要研究</w:t>
            </w:r>
            <w:r>
              <w:rPr>
                <w:rFonts w:ascii="宋体" w:hAnsi="宋体" w:cs="宋体"/>
                <w:bCs/>
                <w:color w:val="000000"/>
                <w:kern w:val="0"/>
                <w:sz w:val="24"/>
              </w:rPr>
              <w:t>随着建设新型电力系统概念的提出，在“双碳”及构建以新能源为主体的新型电力系统的目标下，低压台区“源网荷储”多类型、强互动业务高速发展，对低压台区通信性能提出更高要求，推动通信向高速率、低时延、高可靠方向发展。过往电表、充电桩、光伏等海量分布式多元主体采用私有化传输方式，无法实现统一管理，另外现有的HPLC在通信带宽，时延，多业务承载等能力方面不能满足新业务场景的需求，因此，开展感算控一体化新一代低压高速通信物理层设计关键技术研究，通过研究新型电力系统低压台区信道特征分析与信道建模技术、多相通信干扰抑制与多用户复用信道干扰抑制技术、电力线载波发射/接受分集增益技术与空间复用技术、Bitloading适配电力线载波通信与系统编解码精准调制策略、OFDMA信道多用户复用技术等关键技术，打造新型低压高品质通信网络，有效支撑营销、配电、新能源、车联网等多业务实现网络互连、数据同步并发处理及传输，推动中低压配电网全面感知，为“双碳“目标下低压台区的可靠通信提供关键技术支撑</w:t>
            </w:r>
            <w:r>
              <w:rPr>
                <w:rFonts w:hint="eastAsia" w:ascii="宋体" w:hAnsi="宋体" w:cs="宋体"/>
                <w:bCs/>
                <w:color w:val="000000"/>
                <w:kern w:val="0"/>
                <w:sz w:val="24"/>
              </w:rPr>
              <w:t>；（项目金额：3000万以下）</w:t>
            </w:r>
          </w:p>
          <w:p>
            <w:pPr>
              <w:numPr>
                <w:ilvl w:val="0"/>
                <w:numId w:val="1"/>
              </w:numPr>
              <w:adjustRightInd w:val="0"/>
              <w:snapToGrid w:val="0"/>
              <w:spacing w:line="360" w:lineRule="auto"/>
              <w:textAlignment w:val="baseline"/>
              <w:rPr>
                <w:rFonts w:hint="eastAsia" w:ascii="宋体" w:hAnsi="宋体" w:cs="宋体"/>
                <w:bCs/>
                <w:color w:val="000000"/>
                <w:kern w:val="0"/>
                <w:sz w:val="24"/>
              </w:rPr>
            </w:pPr>
            <w:bookmarkStart w:id="0" w:name="_Hlk175583030"/>
            <w:r>
              <w:rPr>
                <w:rFonts w:hint="eastAsia" w:ascii="宋体" w:hAnsi="宋体" w:cs="宋体"/>
                <w:bCs/>
                <w:color w:val="000000"/>
                <w:kern w:val="0"/>
                <w:sz w:val="24"/>
              </w:rPr>
              <w:t>支撑海量供需资源敏捷互动的通用硬件平台及软件组态技术</w:t>
            </w:r>
            <w:bookmarkEnd w:id="0"/>
            <w:r>
              <w:rPr>
                <w:rFonts w:hint="eastAsia" w:ascii="宋体" w:hAnsi="宋体" w:cs="宋体"/>
                <w:bCs/>
                <w:color w:val="000000"/>
                <w:kern w:val="0"/>
                <w:sz w:val="24"/>
              </w:rPr>
              <w:t>研究项目，项目主要</w:t>
            </w:r>
            <w:r>
              <w:rPr>
                <w:rFonts w:hint="eastAsia" w:ascii="Times New Roman" w:hAnsi="Times New Roman"/>
                <w:color w:val="000000"/>
                <w:sz w:val="24"/>
              </w:rPr>
              <w:t>针对现有通用性软硬件平台和工具研制样式不一、通信协议不通、使用规范不同、建设成本过高等实际问题需要，研究支撑海量供需资源敏捷互动的通用硬件平台及软件组态技术，为行业的终端研发提供基础性规范和工具。（项目金额：3000万以下）</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6" w:hRule="atLeast"/>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审查服务限价</w:t>
            </w:r>
          </w:p>
        </w:tc>
        <w:tc>
          <w:tcPr>
            <w:tcW w:w="7017" w:type="dxa"/>
            <w:gridSpan w:val="3"/>
            <w:tcBorders>
              <w:top w:val="nil"/>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cs="仿宋_GB2312"/>
                <w:color w:val="000000"/>
                <w:kern w:val="0"/>
                <w:sz w:val="24"/>
              </w:rPr>
            </w:pPr>
            <w:r>
              <w:rPr>
                <w:rFonts w:hint="eastAsia" w:ascii="宋体" w:hAnsi="宋体" w:cs="宋体"/>
                <w:bCs/>
                <w:color w:val="000000"/>
                <w:kern w:val="0"/>
                <w:sz w:val="24"/>
              </w:rPr>
              <w:t xml:space="preserve">小写：43000元 </w:t>
            </w:r>
            <w:r>
              <w:rPr>
                <w:rFonts w:hint="eastAsia" w:ascii="宋体" w:hAnsi="宋体" w:cs="宋体"/>
                <w:bCs/>
                <w:color w:val="000000"/>
                <w:kern w:val="0"/>
                <w:sz w:val="24"/>
                <w:lang w:eastAsia="zh-CN"/>
              </w:rPr>
              <w:t>（</w:t>
            </w:r>
            <w:r>
              <w:rPr>
                <w:rFonts w:hint="eastAsia" w:ascii="宋体" w:hAnsi="宋体" w:cs="宋体"/>
                <w:bCs/>
                <w:color w:val="000000"/>
                <w:kern w:val="0"/>
                <w:sz w:val="24"/>
                <w:lang w:val="en-US" w:eastAsia="zh-CN"/>
              </w:rPr>
              <w:t>详见报价表）</w:t>
            </w:r>
            <w:r>
              <w:rPr>
                <w:rFonts w:hint="eastAsia" w:ascii="宋体" w:hAnsi="宋体" w:cs="宋体"/>
                <w:bCs/>
                <w:color w:val="000000"/>
                <w:kern w:val="0"/>
                <w:sz w:val="24"/>
              </w:rPr>
              <w:t xml:space="preserve">     大写：:肆万叁仟元整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8925" w:type="dxa"/>
            <w:gridSpan w:val="4"/>
            <w:tcBorders>
              <w:top w:val="single" w:color="auto" w:sz="8" w:space="0"/>
              <w:left w:val="single" w:color="auto" w:sz="8" w:space="0"/>
              <w:bottom w:val="single" w:color="auto" w:sz="8" w:space="0"/>
              <w:right w:val="single" w:color="auto" w:sz="8" w:space="0"/>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受托方要求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资质要求</w:t>
            </w:r>
          </w:p>
        </w:tc>
        <w:tc>
          <w:tcPr>
            <w:tcW w:w="7017" w:type="dxa"/>
            <w:gridSpan w:val="3"/>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1、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2、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组、接管和冻结。（事业单位应提供2023-2025年经批准的财务报表，如2025年报表未发布，则提供相关原因声明及2022-2024年报表；成立时间不足的按实际成立时间提供）</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3、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4、不接受联合体参与。</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5、需提供加盖公司公章的会计师事务所执业证书、营业执照。</w:t>
            </w:r>
          </w:p>
          <w:p>
            <w:pPr>
              <w:widowControl/>
              <w:spacing w:line="360" w:lineRule="auto"/>
              <w:rPr>
                <w:rFonts w:hint="eastAsia" w:ascii="宋体" w:hAnsi="宋体" w:cs="宋体"/>
                <w:bCs/>
                <w:color w:val="000000"/>
              </w:rPr>
            </w:pPr>
            <w:r>
              <w:rPr>
                <w:rFonts w:hint="eastAsia" w:ascii="宋体" w:hAnsi="宋体" w:cs="宋体"/>
                <w:bCs/>
                <w:color w:val="000000"/>
                <w:kern w:val="0"/>
                <w:sz w:val="24"/>
              </w:rPr>
              <w:t>6、需提供本单位至少两个注册会计师证。</w:t>
            </w:r>
          </w:p>
          <w:p>
            <w:pPr>
              <w:widowControl/>
              <w:spacing w:line="360" w:lineRule="auto"/>
              <w:rPr>
                <w:rFonts w:hint="eastAsia" w:ascii="宋体" w:hAnsi="宋体" w:cs="宋体"/>
                <w:bCs/>
                <w:color w:val="000000"/>
                <w:kern w:val="0"/>
                <w:sz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交付要求</w:t>
            </w:r>
          </w:p>
        </w:tc>
        <w:tc>
          <w:tcPr>
            <w:tcW w:w="7017" w:type="dxa"/>
            <w:gridSpan w:val="3"/>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开展南方电网公司科技项目第三方经费审查（包含本委托函项目基本情况所列的6个项目，每个项目独立审查，单独提供第三方经费审查报告），并提交加盖公章的第三方经费审查报告6份。</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经费审查报告内容应至少包括：</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1）项目实施单位基本情况；</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2）项目立项基本情况，包括项目基本情况、主要研究内容等；</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3）项目经费使用情况，包括项目预算及经费执行情况、固定资产购置及使用情况、应付未付情况、后续支出情况、合同履行情况等；</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4）项目产出成果情况；</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5）内部控制制度建设及执行情况；</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6）审计意见。</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进度要求</w:t>
            </w:r>
          </w:p>
        </w:tc>
        <w:tc>
          <w:tcPr>
            <w:tcW w:w="7017" w:type="dxa"/>
            <w:gridSpan w:val="3"/>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采购合同签订后30个工作日内，交付第三方经费审查报告5份（针对本委托单项目基本情况所列的项目1-项目5）；2026年</w:t>
            </w:r>
            <w:r>
              <w:rPr>
                <w:rFonts w:hint="eastAsia" w:ascii="宋体" w:hAnsi="宋体" w:cs="宋体"/>
                <w:bCs/>
                <w:color w:val="000000"/>
                <w:kern w:val="0"/>
                <w:sz w:val="24"/>
                <w:lang w:val="en-US" w:eastAsia="zh-CN"/>
              </w:rPr>
              <w:t>9</w:t>
            </w:r>
            <w:r>
              <w:rPr>
                <w:rFonts w:hint="eastAsia" w:ascii="宋体" w:hAnsi="宋体" w:cs="宋体"/>
                <w:bCs/>
                <w:color w:val="000000"/>
                <w:kern w:val="0"/>
                <w:sz w:val="24"/>
              </w:rPr>
              <w:t>月</w:t>
            </w:r>
            <w:r>
              <w:rPr>
                <w:rFonts w:hint="eastAsia" w:ascii="宋体" w:hAnsi="宋体" w:cs="宋体"/>
                <w:bCs/>
                <w:color w:val="000000"/>
                <w:kern w:val="0"/>
                <w:sz w:val="24"/>
                <w:lang w:val="en-US" w:eastAsia="zh-CN"/>
              </w:rPr>
              <w:t>30</w:t>
            </w:r>
            <w:bookmarkStart w:id="1" w:name="_GoBack"/>
            <w:bookmarkEnd w:id="1"/>
            <w:r>
              <w:rPr>
                <w:rFonts w:hint="eastAsia" w:ascii="宋体" w:hAnsi="宋体" w:cs="宋体"/>
                <w:bCs/>
                <w:color w:val="000000"/>
                <w:kern w:val="0"/>
                <w:sz w:val="24"/>
              </w:rPr>
              <w:t>日前提交第三方经费审查报告1份（针对本委托单项目基本情况所列的项目6）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信息保密</w:t>
            </w:r>
          </w:p>
        </w:tc>
        <w:tc>
          <w:tcPr>
            <w:tcW w:w="7017" w:type="dxa"/>
            <w:gridSpan w:val="3"/>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受委托方需严格遵守委托方有关信息安全的相关要求，需积极采取相关措施防止保密信息的复制、泄漏或遗失。</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其他要求</w:t>
            </w:r>
          </w:p>
        </w:tc>
        <w:tc>
          <w:tcPr>
            <w:tcW w:w="7017" w:type="dxa"/>
            <w:gridSpan w:val="3"/>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如在项目实施过程中需要调整内容、进度等，需经委托方与受委托方双方共同确认，按合同变更程序办理</w:t>
            </w:r>
          </w:p>
        </w:tc>
      </w:tr>
    </w:tbl>
    <w:p>
      <w:pPr>
        <w:spacing w:line="560" w:lineRule="exact"/>
        <w:rPr>
          <w:rFonts w:hint="eastAsia" w:ascii="仿宋_GB2312" w:hAnsi="仿宋_GB2312" w:eastAsia="仿宋_GB2312" w:cs="仿宋_GB2312"/>
          <w:b/>
          <w:bCs/>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1" w:fontKey="{FB31117C-DD24-4ACD-8737-85ADBB412876}"/>
  </w:font>
  <w:font w:name="Arial Unicode MS">
    <w:altName w:val="Arial"/>
    <w:panose1 w:val="020B0604020202020204"/>
    <w:charset w:val="80"/>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小标宋_GBK">
    <w:panose1 w:val="03000509000000000000"/>
    <w:charset w:val="86"/>
    <w:family w:val="script"/>
    <w:pitch w:val="default"/>
    <w:sig w:usb0="00000001" w:usb1="080E0000" w:usb2="00000000" w:usb3="00000000" w:csb0="00040000" w:csb1="00000000"/>
    <w:embedRegular r:id="rId2" w:fontKey="{EAFAC681-4613-4DF9-9565-9602E7D1F67D}"/>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EC7B15"/>
    <w:multiLevelType w:val="singleLevel"/>
    <w:tmpl w:val="5FEC7B1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kyZmNhZmMwYTRkMzdjNDc0ZDBiODA4ZTNmNjg2YzYifQ=="/>
  </w:docVars>
  <w:rsids>
    <w:rsidRoot w:val="24F9706B"/>
    <w:rsid w:val="00121DBE"/>
    <w:rsid w:val="00131AE6"/>
    <w:rsid w:val="001A0C31"/>
    <w:rsid w:val="002019A2"/>
    <w:rsid w:val="00304E89"/>
    <w:rsid w:val="003720FC"/>
    <w:rsid w:val="0037283C"/>
    <w:rsid w:val="004702AF"/>
    <w:rsid w:val="00497A3F"/>
    <w:rsid w:val="004F351D"/>
    <w:rsid w:val="004F6A96"/>
    <w:rsid w:val="00527E7C"/>
    <w:rsid w:val="00590307"/>
    <w:rsid w:val="00622E00"/>
    <w:rsid w:val="006E2502"/>
    <w:rsid w:val="00706189"/>
    <w:rsid w:val="007C117C"/>
    <w:rsid w:val="008E0C8E"/>
    <w:rsid w:val="00A3323D"/>
    <w:rsid w:val="00B26DC3"/>
    <w:rsid w:val="00BA6C5A"/>
    <w:rsid w:val="00C31468"/>
    <w:rsid w:val="00C7386E"/>
    <w:rsid w:val="00D93863"/>
    <w:rsid w:val="00DD6FC1"/>
    <w:rsid w:val="00F77F14"/>
    <w:rsid w:val="00F9340C"/>
    <w:rsid w:val="00FA19FA"/>
    <w:rsid w:val="00FB2C20"/>
    <w:rsid w:val="00FF2572"/>
    <w:rsid w:val="01786972"/>
    <w:rsid w:val="02F77A54"/>
    <w:rsid w:val="039629FA"/>
    <w:rsid w:val="03D31D81"/>
    <w:rsid w:val="03D773FF"/>
    <w:rsid w:val="03E41F47"/>
    <w:rsid w:val="04275B00"/>
    <w:rsid w:val="044668E8"/>
    <w:rsid w:val="05716D2E"/>
    <w:rsid w:val="09E064D9"/>
    <w:rsid w:val="09F771B4"/>
    <w:rsid w:val="0B2C01C1"/>
    <w:rsid w:val="0C79714F"/>
    <w:rsid w:val="0FF34501"/>
    <w:rsid w:val="121865DB"/>
    <w:rsid w:val="122D7651"/>
    <w:rsid w:val="1230056E"/>
    <w:rsid w:val="12C4249A"/>
    <w:rsid w:val="14760BCF"/>
    <w:rsid w:val="152516E2"/>
    <w:rsid w:val="17587843"/>
    <w:rsid w:val="183B1EFF"/>
    <w:rsid w:val="18544E0A"/>
    <w:rsid w:val="192D7FB2"/>
    <w:rsid w:val="19E7079D"/>
    <w:rsid w:val="1B3904C6"/>
    <w:rsid w:val="1D755A40"/>
    <w:rsid w:val="1D9B6E73"/>
    <w:rsid w:val="20383E44"/>
    <w:rsid w:val="20C80BEE"/>
    <w:rsid w:val="23A54CBD"/>
    <w:rsid w:val="24F9706B"/>
    <w:rsid w:val="25DE362C"/>
    <w:rsid w:val="29264597"/>
    <w:rsid w:val="294A647B"/>
    <w:rsid w:val="2B2039A8"/>
    <w:rsid w:val="2D780364"/>
    <w:rsid w:val="2D9C7555"/>
    <w:rsid w:val="2DC53B5B"/>
    <w:rsid w:val="2E02784C"/>
    <w:rsid w:val="2EAA73D1"/>
    <w:rsid w:val="2F4D1608"/>
    <w:rsid w:val="2F8512FC"/>
    <w:rsid w:val="319A0963"/>
    <w:rsid w:val="31D2210F"/>
    <w:rsid w:val="323C6630"/>
    <w:rsid w:val="34025142"/>
    <w:rsid w:val="343206CD"/>
    <w:rsid w:val="34E00513"/>
    <w:rsid w:val="368E6DC4"/>
    <w:rsid w:val="37BF107B"/>
    <w:rsid w:val="387233BC"/>
    <w:rsid w:val="39E14BE9"/>
    <w:rsid w:val="3A37677D"/>
    <w:rsid w:val="3ABF6520"/>
    <w:rsid w:val="3D664A6E"/>
    <w:rsid w:val="3EC01071"/>
    <w:rsid w:val="3F1274D4"/>
    <w:rsid w:val="3F2C205E"/>
    <w:rsid w:val="3FDB2310"/>
    <w:rsid w:val="407D603A"/>
    <w:rsid w:val="4209139F"/>
    <w:rsid w:val="42895730"/>
    <w:rsid w:val="448859A8"/>
    <w:rsid w:val="44FF7D2B"/>
    <w:rsid w:val="457F13D0"/>
    <w:rsid w:val="45BC2471"/>
    <w:rsid w:val="464B047B"/>
    <w:rsid w:val="465678CD"/>
    <w:rsid w:val="468D4044"/>
    <w:rsid w:val="48520195"/>
    <w:rsid w:val="4866151D"/>
    <w:rsid w:val="4B5764E3"/>
    <w:rsid w:val="4B6575A8"/>
    <w:rsid w:val="4DAC5AD3"/>
    <w:rsid w:val="4E1B68CB"/>
    <w:rsid w:val="4FB9739D"/>
    <w:rsid w:val="52AE1B6F"/>
    <w:rsid w:val="54AB2E5B"/>
    <w:rsid w:val="54C14975"/>
    <w:rsid w:val="55563938"/>
    <w:rsid w:val="559E4683"/>
    <w:rsid w:val="55F9510E"/>
    <w:rsid w:val="5695511C"/>
    <w:rsid w:val="56C3025D"/>
    <w:rsid w:val="57CD685E"/>
    <w:rsid w:val="588A5CAA"/>
    <w:rsid w:val="58A22133"/>
    <w:rsid w:val="58D465D2"/>
    <w:rsid w:val="592C3B84"/>
    <w:rsid w:val="59FE40EB"/>
    <w:rsid w:val="5B473456"/>
    <w:rsid w:val="5D0016A0"/>
    <w:rsid w:val="5E2F3ED8"/>
    <w:rsid w:val="5E6A4565"/>
    <w:rsid w:val="5EC52081"/>
    <w:rsid w:val="5EE31B38"/>
    <w:rsid w:val="5EEA1EDB"/>
    <w:rsid w:val="60C63177"/>
    <w:rsid w:val="60DF4872"/>
    <w:rsid w:val="62B0589E"/>
    <w:rsid w:val="63B86D89"/>
    <w:rsid w:val="63C94418"/>
    <w:rsid w:val="6425349F"/>
    <w:rsid w:val="64291E80"/>
    <w:rsid w:val="65036F2E"/>
    <w:rsid w:val="65473841"/>
    <w:rsid w:val="656A59FE"/>
    <w:rsid w:val="666C4584"/>
    <w:rsid w:val="675C2DDE"/>
    <w:rsid w:val="67AF190E"/>
    <w:rsid w:val="690516AC"/>
    <w:rsid w:val="698F5C56"/>
    <w:rsid w:val="6A963457"/>
    <w:rsid w:val="6B573EC0"/>
    <w:rsid w:val="6C3F37FE"/>
    <w:rsid w:val="6D3F73E7"/>
    <w:rsid w:val="6E601250"/>
    <w:rsid w:val="6F5A6783"/>
    <w:rsid w:val="71DB24B1"/>
    <w:rsid w:val="723D5B6F"/>
    <w:rsid w:val="74A7141D"/>
    <w:rsid w:val="74D32FFF"/>
    <w:rsid w:val="756B7FA8"/>
    <w:rsid w:val="76C02894"/>
    <w:rsid w:val="78BB10DB"/>
    <w:rsid w:val="7AF4019D"/>
    <w:rsid w:val="7B9826D1"/>
    <w:rsid w:val="7BFC1E52"/>
    <w:rsid w:val="7C2C2423"/>
    <w:rsid w:val="7D774D6B"/>
    <w:rsid w:val="7E1D1746"/>
    <w:rsid w:val="7FA801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3"/>
    <w:basedOn w:val="1"/>
    <w:next w:val="5"/>
    <w:unhideWhenUsed/>
    <w:qFormat/>
    <w:uiPriority w:val="0"/>
    <w:pPr>
      <w:keepNext/>
      <w:keepLines/>
      <w:spacing w:before="260" w:after="260" w:line="413" w:lineRule="auto"/>
      <w:outlineLvl w:val="2"/>
    </w:pPr>
    <w:rPr>
      <w:b/>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rPr>
      <w:sz w:val="21"/>
    </w:rPr>
  </w:style>
  <w:style w:type="paragraph" w:styleId="5">
    <w:name w:val="Normal Indent"/>
    <w:basedOn w:val="1"/>
    <w:qFormat/>
    <w:uiPriority w:val="99"/>
    <w:pPr>
      <w:spacing w:line="360" w:lineRule="auto"/>
      <w:ind w:firstLine="420" w:firstLineChars="200"/>
    </w:pPr>
    <w:rPr>
      <w:rFonts w:ascii="仿宋_GB2312" w:hAnsi="Times New Roman"/>
      <w:kern w:val="0"/>
      <w:sz w:val="24"/>
      <w:szCs w:val="20"/>
      <w:lang w:val="zh-CN"/>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iPriority w:val="0"/>
    <w:pPr>
      <w:spacing w:beforeAutospacing="1" w:afterAutospacing="1"/>
      <w:jc w:val="left"/>
    </w:pPr>
    <w:rPr>
      <w:kern w:val="0"/>
      <w:sz w:val="24"/>
    </w:rPr>
  </w:style>
  <w:style w:type="paragraph" w:styleId="9">
    <w:name w:val="Title"/>
    <w:basedOn w:val="1"/>
    <w:next w:val="1"/>
    <w:qFormat/>
    <w:uiPriority w:val="0"/>
    <w:pPr>
      <w:spacing w:before="240" w:after="60"/>
      <w:jc w:val="center"/>
      <w:outlineLvl w:val="0"/>
    </w:pPr>
    <w:rPr>
      <w:rFonts w:ascii="Arial" w:hAnsi="Arial" w:cs="Arial"/>
      <w:b/>
      <w:bCs/>
      <w:szCs w:val="32"/>
    </w:rPr>
  </w:style>
  <w:style w:type="character" w:styleId="12">
    <w:name w:val="Strong"/>
    <w:basedOn w:val="11"/>
    <w:qFormat/>
    <w:uiPriority w:val="0"/>
    <w:rPr>
      <w:b/>
    </w:rPr>
  </w:style>
  <w:style w:type="character" w:customStyle="1" w:styleId="13">
    <w:name w:val="页眉 字符"/>
    <w:basedOn w:val="11"/>
    <w:link w:val="7"/>
    <w:qFormat/>
    <w:uiPriority w:val="0"/>
    <w:rPr>
      <w:rFonts w:ascii="Calibri" w:hAnsi="Calibri" w:eastAsia="仿宋" w:cs="Times New Roman"/>
      <w:kern w:val="2"/>
      <w:sz w:val="18"/>
      <w:szCs w:val="18"/>
    </w:rPr>
  </w:style>
  <w:style w:type="character" w:customStyle="1" w:styleId="14">
    <w:name w:val="页脚 字符"/>
    <w:basedOn w:val="11"/>
    <w:link w:val="6"/>
    <w:qFormat/>
    <w:uiPriority w:val="0"/>
    <w:rPr>
      <w:rFonts w:ascii="Calibri" w:hAnsi="Calibri" w:eastAsia="仿宋" w:cs="Times New Roman"/>
      <w:kern w:val="2"/>
      <w:sz w:val="18"/>
      <w:szCs w:val="18"/>
    </w:rPr>
  </w:style>
  <w:style w:type="paragraph" w:customStyle="1" w:styleId="15">
    <w:name w:val="Char Char"/>
    <w:qFormat/>
    <w:uiPriority w:val="0"/>
    <w:pPr>
      <w:widowControl w:val="0"/>
      <w:jc w:val="both"/>
    </w:pPr>
    <w:rPr>
      <w:rFonts w:hint="eastAsia" w:ascii="Arial Unicode MS" w:hAnsi="Arial Unicode MS" w:eastAsia="Tahoma" w:cs="Arial Unicode MS"/>
      <w:color w:val="000000"/>
      <w:kern w:val="2"/>
      <w:sz w:val="24"/>
      <w:szCs w:val="24"/>
      <w:lang w:val="en-US" w:eastAsia="zh-CN" w:bidi="ar-SA"/>
    </w:rPr>
  </w:style>
  <w:style w:type="paragraph" w:customStyle="1" w:styleId="16">
    <w:name w:val="Revision"/>
    <w:hidden/>
    <w:unhideWhenUsed/>
    <w:uiPriority w:val="99"/>
    <w:rPr>
      <w:rFonts w:ascii="Calibri" w:hAnsi="Calibri" w:eastAsia="仿宋"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425</Words>
  <Characters>2424</Characters>
  <Lines>20</Lines>
  <Paragraphs>5</Paragraphs>
  <TotalTime>24</TotalTime>
  <ScaleCrop>false</ScaleCrop>
  <LinksUpToDate>false</LinksUpToDate>
  <CharactersWithSpaces>2844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2026-04-09T08:13:00Z</dcterms:created>
  <dc:creator>吴丽蓉</dc:creator>
  <cp:lastModifiedBy>1F231C93F1574C759D17DF0E5BE17EA0</cp:lastModifiedBy>
  <dcterms:modified xsi:type="dcterms:W3CDTF">2026-04-15T00:58:01Z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90189A4C2AC24F36A66DF2FE5BB550D4</vt:lpwstr>
  </property>
  <property fmtid="{D5CDD505-2E9C-101B-9397-08002B2CF9AE}" pid="4" name="WondersoftTag">
    <vt:lpwstr>523409A2-C132-4B0F-A54C-EA48C3D8ABC0#2#5BBBF027-50CA403E-B4773DCD-11690B16##0</vt:lpwstr>
  </property>
</Properties>
</file>