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1EFC8">
      <w:pPr>
        <w:jc w:val="center"/>
        <w:rPr>
          <w:rFonts w:hint="eastAsia" w:hAnsi="宋体"/>
          <w:b/>
          <w:sz w:val="30"/>
          <w:szCs w:val="30"/>
        </w:rPr>
      </w:pPr>
      <w:bookmarkStart w:id="0" w:name="_Toc8548_WPSOffice_Level1"/>
      <w:r>
        <w:rPr>
          <w:position w:val="-91"/>
        </w:rPr>
        <w:drawing>
          <wp:anchor distT="0" distB="0" distL="114300" distR="114300" simplePos="0" relativeHeight="251659264" behindDoc="1" locked="0" layoutInCell="1" allowOverlap="1">
            <wp:simplePos x="0" y="0"/>
            <wp:positionH relativeFrom="column">
              <wp:posOffset>-1143000</wp:posOffset>
            </wp:positionH>
            <wp:positionV relativeFrom="paragraph">
              <wp:posOffset>-902970</wp:posOffset>
            </wp:positionV>
            <wp:extent cx="7559675" cy="2893060"/>
            <wp:effectExtent l="0" t="0" r="3175" b="2540"/>
            <wp:wrapNone/>
            <wp:docPr id="1" name="IM 2"/>
            <wp:cNvGraphicFramePr/>
            <a:graphic xmlns:a="http://schemas.openxmlformats.org/drawingml/2006/main">
              <a:graphicData uri="http://schemas.openxmlformats.org/drawingml/2006/picture">
                <pic:pic xmlns:pic="http://schemas.openxmlformats.org/drawingml/2006/picture">
                  <pic:nvPicPr>
                    <pic:cNvPr id="1" name="IM 2"/>
                    <pic:cNvPicPr/>
                  </pic:nvPicPr>
                  <pic:blipFill>
                    <a:blip r:embed="rId4"/>
                    <a:stretch>
                      <a:fillRect/>
                    </a:stretch>
                  </pic:blipFill>
                  <pic:spPr>
                    <a:xfrm>
                      <a:off x="0" y="0"/>
                      <a:ext cx="7559675" cy="2893060"/>
                    </a:xfrm>
                    <a:prstGeom prst="rect">
                      <a:avLst/>
                    </a:prstGeom>
                    <a:noFill/>
                    <a:ln>
                      <a:noFill/>
                    </a:ln>
                  </pic:spPr>
                </pic:pic>
              </a:graphicData>
            </a:graphic>
          </wp:anchor>
        </w:drawing>
      </w:r>
    </w:p>
    <w:p w14:paraId="64561DED">
      <w:pPr>
        <w:jc w:val="center"/>
        <w:rPr>
          <w:rFonts w:hint="eastAsia" w:hAnsi="宋体"/>
          <w:b/>
          <w:sz w:val="30"/>
          <w:szCs w:val="30"/>
        </w:rPr>
      </w:pPr>
    </w:p>
    <w:p w14:paraId="154C403E">
      <w:pPr>
        <w:jc w:val="center"/>
        <w:rPr>
          <w:rFonts w:hint="eastAsia" w:hAnsi="宋体"/>
          <w:b/>
          <w:sz w:val="30"/>
          <w:szCs w:val="30"/>
        </w:rPr>
      </w:pPr>
    </w:p>
    <w:p w14:paraId="1A456C65">
      <w:pPr>
        <w:jc w:val="center"/>
        <w:rPr>
          <w:rFonts w:hint="eastAsia" w:hAnsi="宋体"/>
          <w:b/>
          <w:sz w:val="30"/>
          <w:szCs w:val="30"/>
        </w:rPr>
      </w:pPr>
    </w:p>
    <w:p w14:paraId="47921C28">
      <w:pPr>
        <w:jc w:val="center"/>
        <w:rPr>
          <w:rFonts w:hint="eastAsia" w:hAnsi="宋体"/>
          <w:b/>
          <w:sz w:val="30"/>
          <w:szCs w:val="30"/>
        </w:rPr>
      </w:pPr>
    </w:p>
    <w:p w14:paraId="59BD3CFB">
      <w:pPr>
        <w:jc w:val="center"/>
        <w:rPr>
          <w:rFonts w:hint="eastAsia" w:hAnsi="宋体"/>
          <w:b/>
          <w:sz w:val="30"/>
          <w:szCs w:val="30"/>
        </w:rPr>
      </w:pPr>
    </w:p>
    <w:p w14:paraId="06EF4523">
      <w:pPr>
        <w:pStyle w:val="2"/>
        <w:keepNext w:val="0"/>
        <w:keepLines w:val="0"/>
        <w:pageBreakBefore w:val="0"/>
        <w:widowControl w:val="0"/>
        <w:kinsoku/>
        <w:wordWrap/>
        <w:overflowPunct/>
        <w:topLinePunct w:val="0"/>
        <w:autoSpaceDE/>
        <w:autoSpaceDN/>
        <w:bidi w:val="0"/>
        <w:adjustRightInd/>
        <w:snapToGrid/>
        <w:spacing w:after="0" w:line="360" w:lineRule="auto"/>
        <w:ind w:left="51" w:right="0" w:hanging="51"/>
        <w:jc w:val="center"/>
        <w:textAlignment w:val="auto"/>
        <w:outlineLvl w:val="0"/>
        <w:rPr>
          <w:rFonts w:hint="eastAsia" w:hAnsi="宋体"/>
          <w:b/>
          <w:sz w:val="72"/>
          <w:szCs w:val="72"/>
        </w:rPr>
      </w:pPr>
    </w:p>
    <w:p w14:paraId="228086B1">
      <w:pPr>
        <w:pStyle w:val="2"/>
        <w:keepNext w:val="0"/>
        <w:keepLines w:val="0"/>
        <w:pageBreakBefore w:val="0"/>
        <w:widowControl w:val="0"/>
        <w:kinsoku/>
        <w:wordWrap/>
        <w:overflowPunct/>
        <w:topLinePunct w:val="0"/>
        <w:autoSpaceDE/>
        <w:autoSpaceDN/>
        <w:bidi w:val="0"/>
        <w:adjustRightInd/>
        <w:snapToGrid/>
        <w:spacing w:after="0" w:line="360" w:lineRule="auto"/>
        <w:ind w:left="51" w:right="0" w:hanging="51"/>
        <w:jc w:val="center"/>
        <w:textAlignment w:val="auto"/>
        <w:outlineLvl w:val="0"/>
        <w:rPr>
          <w:rFonts w:hint="eastAsia" w:hAnsi="宋体"/>
          <w:b/>
          <w:sz w:val="72"/>
          <w:szCs w:val="72"/>
        </w:rPr>
      </w:pPr>
    </w:p>
    <w:p w14:paraId="56C04BCE">
      <w:pPr>
        <w:pStyle w:val="2"/>
        <w:keepNext w:val="0"/>
        <w:keepLines w:val="0"/>
        <w:pageBreakBefore w:val="0"/>
        <w:widowControl w:val="0"/>
        <w:kinsoku/>
        <w:wordWrap/>
        <w:overflowPunct/>
        <w:topLinePunct w:val="0"/>
        <w:autoSpaceDE/>
        <w:autoSpaceDN/>
        <w:bidi w:val="0"/>
        <w:adjustRightInd/>
        <w:snapToGrid/>
        <w:spacing w:after="0" w:line="360" w:lineRule="auto"/>
        <w:ind w:left="51" w:right="0" w:hanging="51"/>
        <w:jc w:val="center"/>
        <w:textAlignment w:val="auto"/>
        <w:outlineLvl w:val="0"/>
        <w:rPr>
          <w:sz w:val="72"/>
          <w:szCs w:val="72"/>
        </w:rPr>
      </w:pPr>
      <w:r>
        <w:rPr>
          <w:rFonts w:hint="eastAsia" w:hAnsi="宋体"/>
          <w:b/>
          <w:sz w:val="72"/>
          <w:szCs w:val="72"/>
          <w:lang w:val="en-US" w:eastAsia="zh-CN"/>
        </w:rPr>
        <w:t>储能科技公司2026年度科技成果专有技术认定服务</w:t>
      </w:r>
      <w:r>
        <w:rPr>
          <w:rFonts w:hint="eastAsia" w:hAnsi="宋体"/>
          <w:b/>
          <w:sz w:val="72"/>
          <w:szCs w:val="72"/>
        </w:rPr>
        <w:t>技术方案</w:t>
      </w:r>
    </w:p>
    <w:p w14:paraId="274D56FC">
      <w:pPr>
        <w:spacing w:line="268" w:lineRule="auto"/>
        <w:rPr>
          <w:rFonts w:ascii="Arial"/>
          <w:sz w:val="21"/>
        </w:rPr>
      </w:pPr>
    </w:p>
    <w:p w14:paraId="5269A8EA">
      <w:pPr>
        <w:spacing w:line="269" w:lineRule="auto"/>
        <w:rPr>
          <w:rFonts w:ascii="Arial"/>
          <w:sz w:val="21"/>
        </w:rPr>
      </w:pPr>
    </w:p>
    <w:p w14:paraId="1DDB9CAA">
      <w:pPr>
        <w:jc w:val="center"/>
        <w:rPr>
          <w:rFonts w:hint="eastAsia" w:hAnsi="宋体"/>
          <w:b/>
          <w:sz w:val="30"/>
          <w:szCs w:val="30"/>
        </w:rPr>
      </w:pPr>
    </w:p>
    <w:p w14:paraId="1EB7B804">
      <w:pPr>
        <w:jc w:val="center"/>
        <w:rPr>
          <w:rFonts w:hint="eastAsia" w:hAnsi="宋体"/>
          <w:b/>
          <w:sz w:val="30"/>
          <w:szCs w:val="30"/>
        </w:rPr>
      </w:pPr>
    </w:p>
    <w:p w14:paraId="4A87D706">
      <w:pPr>
        <w:jc w:val="center"/>
        <w:rPr>
          <w:rFonts w:hint="eastAsia" w:hAnsi="宋体"/>
          <w:b/>
          <w:sz w:val="30"/>
          <w:szCs w:val="30"/>
        </w:rPr>
      </w:pPr>
    </w:p>
    <w:p w14:paraId="667887CE">
      <w:pPr>
        <w:jc w:val="center"/>
        <w:rPr>
          <w:rFonts w:hint="eastAsia" w:hAnsi="宋体"/>
          <w:b/>
          <w:sz w:val="30"/>
          <w:szCs w:val="30"/>
        </w:rPr>
      </w:pPr>
    </w:p>
    <w:p w14:paraId="0A034865">
      <w:pPr>
        <w:rPr>
          <w:rFonts w:hint="eastAsia" w:hAnsi="宋体"/>
          <w:b/>
          <w:sz w:val="30"/>
          <w:szCs w:val="30"/>
          <w:lang w:val="en-US" w:eastAsia="zh-CN"/>
        </w:rPr>
      </w:pPr>
      <w:r>
        <w:rPr>
          <w:rFonts w:hint="eastAsia" w:hAnsi="宋体"/>
          <w:b/>
          <w:sz w:val="30"/>
          <w:szCs w:val="30"/>
          <w:lang w:val="en-US" w:eastAsia="zh-CN"/>
        </w:rPr>
        <w:br w:type="page"/>
      </w:r>
    </w:p>
    <w:bookmarkEnd w:id="0"/>
    <w:p w14:paraId="51ACD018">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leftChars="0"/>
        <w:jc w:val="center"/>
        <w:outlineLvl w:val="0"/>
        <w:rPr>
          <w:rFonts w:hint="eastAsia" w:ascii="宋体" w:cs="宋体"/>
          <w:b/>
          <w:bCs/>
          <w:kern w:val="0"/>
          <w:sz w:val="28"/>
          <w:szCs w:val="28"/>
          <w:lang w:val="en-US" w:eastAsia="zh-CN"/>
        </w:rPr>
      </w:pPr>
      <w:bookmarkStart w:id="1" w:name="_Toc7128_WPSOffice_Level1"/>
      <w:r>
        <w:rPr>
          <w:rFonts w:hint="eastAsia" w:ascii="宋体" w:cs="宋体"/>
          <w:b/>
          <w:bCs/>
          <w:kern w:val="0"/>
          <w:sz w:val="28"/>
          <w:szCs w:val="28"/>
          <w:lang w:val="en-US" w:eastAsia="zh-CN"/>
        </w:rPr>
        <w:t>储能科技公司2026年度科技成果专有技术认定工作技术方案</w:t>
      </w:r>
    </w:p>
    <w:p w14:paraId="7BFEB89A">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leftChars="0"/>
        <w:jc w:val="left"/>
        <w:outlineLvl w:val="0"/>
        <w:rPr>
          <w:rFonts w:ascii="宋体" w:cs="宋体"/>
          <w:b/>
          <w:bCs/>
          <w:kern w:val="0"/>
          <w:sz w:val="28"/>
          <w:szCs w:val="28"/>
        </w:rPr>
      </w:pPr>
      <w:r>
        <w:rPr>
          <w:rFonts w:hint="eastAsia" w:ascii="宋体" w:cs="宋体"/>
          <w:b/>
          <w:bCs/>
          <w:kern w:val="0"/>
          <w:sz w:val="28"/>
          <w:szCs w:val="28"/>
          <w:lang w:val="en-US" w:eastAsia="zh-CN"/>
        </w:rPr>
        <w:t>1.</w:t>
      </w:r>
      <w:r>
        <w:rPr>
          <w:rFonts w:ascii="宋体" w:cs="宋体"/>
          <w:b/>
          <w:bCs/>
          <w:kern w:val="0"/>
          <w:sz w:val="28"/>
          <w:szCs w:val="28"/>
        </w:rPr>
        <w:t>项目概况</w:t>
      </w:r>
      <w:bookmarkEnd w:id="1"/>
    </w:p>
    <w:p w14:paraId="311B5466">
      <w:pPr>
        <w:spacing w:before="156" w:beforeLines="50" w:line="50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lang w:eastAsia="zh-CN"/>
        </w:rPr>
        <w:t>为有效保护、评价和管理“基于自主可控大模型的多市场耦合交易智能决策虚拟电厂关键技术研究与示范应用”</w:t>
      </w:r>
      <w:r>
        <w:rPr>
          <w:rFonts w:hint="eastAsia" w:ascii="宋体" w:hAnsi="宋体" w:cs="宋体"/>
          <w:b w:val="0"/>
          <w:bCs w:val="0"/>
          <w:sz w:val="28"/>
          <w:szCs w:val="28"/>
          <w:lang w:eastAsia="zh-CN"/>
        </w:rPr>
        <w:t>“快接型移动储能装置及标准的研究与应用”“基于智能无源融合技术的电化学储能站防误操作系统研究及应用”“基于人工智能新型储能大数据状态监测系统研发”“基于数字孪生电化学储能电站无人值守及AI监盘标准化研究”“装配式储能电站工程设计及工法研究”“适用于全天候作业的电化学储能预制舱智能检修平台装置研发”</w:t>
      </w:r>
      <w:r>
        <w:rPr>
          <w:rFonts w:hint="eastAsia" w:ascii="宋体" w:hAnsi="宋体" w:cs="宋体"/>
          <w:b w:val="0"/>
          <w:bCs w:val="0"/>
          <w:sz w:val="28"/>
          <w:szCs w:val="28"/>
          <w:lang w:val="en-US" w:eastAsia="zh-CN"/>
        </w:rPr>
        <w:t>等</w:t>
      </w:r>
      <w:r>
        <w:rPr>
          <w:rFonts w:hint="eastAsia" w:ascii="宋体" w:hAnsi="宋体" w:eastAsia="宋体" w:cs="宋体"/>
          <w:b w:val="0"/>
          <w:bCs w:val="0"/>
          <w:sz w:val="28"/>
          <w:szCs w:val="28"/>
          <w:lang w:eastAsia="zh-CN"/>
        </w:rPr>
        <w:t>科技项目的核心技术创新成果，挖掘并固化项目中形成的具有自主知识产权的关键技术，特制定本专有技术认定方案。本方案旨在对项目研发过程中形成的不为公众所知悉、具有先进性、独创性和实用性，能为权利人带来经济价值，并采取保密措施的非专利技术进行系统梳理、材料准备和组织申报，以推动公司技术创新成果的保护、转化与应用，提升技术竞争力和市场价值。</w:t>
      </w:r>
    </w:p>
    <w:p w14:paraId="3112A6DA">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leftChars="0"/>
        <w:jc w:val="left"/>
        <w:outlineLvl w:val="0"/>
        <w:rPr>
          <w:rFonts w:ascii="宋体" w:cs="宋体"/>
          <w:b/>
          <w:bCs/>
          <w:kern w:val="0"/>
          <w:sz w:val="28"/>
          <w:szCs w:val="28"/>
        </w:rPr>
      </w:pPr>
      <w:r>
        <w:rPr>
          <w:rFonts w:hint="eastAsia" w:ascii="宋体" w:cs="宋体"/>
          <w:b/>
          <w:bCs/>
          <w:kern w:val="0"/>
          <w:sz w:val="28"/>
          <w:szCs w:val="28"/>
          <w:lang w:val="en-US" w:eastAsia="zh-CN"/>
        </w:rPr>
        <w:t>2.</w:t>
      </w:r>
      <w:r>
        <w:rPr>
          <w:rFonts w:hint="eastAsia" w:ascii="宋体" w:cs="宋体"/>
          <w:b/>
          <w:bCs/>
          <w:kern w:val="0"/>
          <w:sz w:val="28"/>
          <w:szCs w:val="28"/>
        </w:rPr>
        <w:t>标准和规范</w:t>
      </w:r>
    </w:p>
    <w:p w14:paraId="112709C6">
      <w:pPr>
        <w:spacing w:before="156" w:beforeLines="50" w:line="500" w:lineRule="exact"/>
        <w:ind w:firstLine="560" w:firstLineChars="200"/>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《南方电网储能股份有限公司创新成果管理办法》</w:t>
      </w:r>
      <w:r>
        <w:rPr>
          <w:rFonts w:hint="eastAsia" w:ascii="宋体" w:hAnsi="宋体" w:eastAsia="宋体" w:cs="宋体"/>
          <w:b w:val="0"/>
          <w:bCs w:val="0"/>
          <w:sz w:val="28"/>
          <w:szCs w:val="28"/>
          <w:lang w:val="en-US" w:eastAsia="zh-CN"/>
        </w:rPr>
        <w:t xml:space="preserve"> </w:t>
      </w:r>
    </w:p>
    <w:p w14:paraId="4FDF8B71">
      <w:pPr>
        <w:spacing w:before="156" w:beforeLines="50" w:line="500" w:lineRule="exact"/>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《南网储能公司科技成果孵化工作指引》</w:t>
      </w:r>
    </w:p>
    <w:p w14:paraId="067B70F5">
      <w:pPr>
        <w:spacing w:before="156" w:beforeLines="50" w:line="500" w:lineRule="exact"/>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《南方电网储能股份有限公司创新与合规知识产权管理体系实施细则》</w:t>
      </w:r>
    </w:p>
    <w:p w14:paraId="7CFB4C3D">
      <w:pPr>
        <w:keepNext w:val="0"/>
        <w:keepLines w:val="0"/>
        <w:pageBreakBefore w:val="0"/>
        <w:numPr>
          <w:ilvl w:val="0"/>
          <w:numId w:val="1"/>
        </w:numPr>
        <w:kinsoku/>
        <w:wordWrap/>
        <w:overflowPunct/>
        <w:topLinePunct w:val="0"/>
        <w:autoSpaceDE w:val="0"/>
        <w:autoSpaceDN w:val="0"/>
        <w:bidi w:val="0"/>
        <w:adjustRightInd w:val="0"/>
        <w:snapToGrid/>
        <w:spacing w:line="360" w:lineRule="auto"/>
        <w:ind w:left="0" w:leftChars="0"/>
        <w:jc w:val="left"/>
        <w:outlineLvl w:val="0"/>
        <w:rPr>
          <w:rFonts w:hint="eastAsia" w:ascii="宋体" w:eastAsia="宋体" w:cs="宋体"/>
          <w:b/>
          <w:bCs/>
          <w:kern w:val="0"/>
          <w:sz w:val="28"/>
          <w:szCs w:val="28"/>
          <w:lang w:val="en-US" w:eastAsia="zh-CN"/>
        </w:rPr>
      </w:pPr>
      <w:r>
        <w:rPr>
          <w:rFonts w:hint="eastAsia" w:ascii="宋体" w:eastAsia="宋体" w:cs="宋体"/>
          <w:b/>
          <w:bCs/>
          <w:kern w:val="0"/>
          <w:sz w:val="28"/>
          <w:szCs w:val="28"/>
          <w:lang w:val="en-US" w:eastAsia="zh-CN"/>
        </w:rPr>
        <w:t>技术研发情况</w:t>
      </w:r>
    </w:p>
    <w:p w14:paraId="1705E8E0">
      <w:pPr>
        <w:pStyle w:val="2"/>
        <w:numPr>
          <w:ilvl w:val="0"/>
          <w:numId w:val="0"/>
        </w:numPr>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3.1 专有技术成果共性特征 </w:t>
      </w:r>
    </w:p>
    <w:p w14:paraId="4D18A8EB">
      <w:pPr>
        <w:pStyle w:val="2"/>
        <w:numPr>
          <w:ilvl w:val="0"/>
          <w:numId w:val="0"/>
        </w:numPr>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所有项目形成的潜在专有技术成果，均需符合以下核心特征，方可纳入本次认定工作的考虑范围：</w:t>
      </w:r>
    </w:p>
    <w:p w14:paraId="480A2996">
      <w:pPr>
        <w:pStyle w:val="2"/>
        <w:numPr>
          <w:ilvl w:val="0"/>
          <w:numId w:val="0"/>
        </w:numPr>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非公知性（秘密性）：技术内容未在公开出版物、公开报告、专利申请或其他公开渠道披露，不为所属领域相关人员普遍知悉或容易获得。</w:t>
      </w:r>
    </w:p>
    <w:p w14:paraId="0AAE0BDC">
      <w:pPr>
        <w:pStyle w:val="2"/>
        <w:numPr>
          <w:ilvl w:val="0"/>
          <w:numId w:val="0"/>
        </w:numPr>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实用性（价值性）：技术已应用于或明确计划应用于公司生产经营、工程建设或技术服务，能够产生实际经济效益、提升效率、保障安全或降低成本，能为公司带来竞争优势和商业价值。</w:t>
      </w:r>
    </w:p>
    <w:p w14:paraId="0E47905B">
      <w:pPr>
        <w:pStyle w:val="2"/>
        <w:numPr>
          <w:ilvl w:val="0"/>
          <w:numId w:val="0"/>
        </w:numPr>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创新性（先进性）：相较于公司现有技术或行业公开技术，具有实质性的技术改进、突破或集成创新，并非公知技术的简单组合或常规设计。</w:t>
      </w:r>
    </w:p>
    <w:p w14:paraId="2D707A31">
      <w:pPr>
        <w:pStyle w:val="2"/>
        <w:numPr>
          <w:ilvl w:val="0"/>
          <w:numId w:val="0"/>
        </w:numPr>
        <w:ind w:firstLine="560" w:firstLineChars="200"/>
        <w:rPr>
          <w:rFonts w:hint="eastAsia"/>
          <w:lang w:val="en-US" w:eastAsia="zh-CN"/>
        </w:rPr>
      </w:pPr>
      <w:r>
        <w:rPr>
          <w:rFonts w:hint="eastAsia" w:ascii="宋体" w:hAnsi="宋体" w:eastAsia="宋体" w:cs="宋体"/>
          <w:b w:val="0"/>
          <w:bCs w:val="0"/>
          <w:kern w:val="2"/>
          <w:sz w:val="28"/>
          <w:szCs w:val="28"/>
          <w:lang w:val="en-US" w:eastAsia="zh-CN" w:bidi="ar-SA"/>
        </w:rPr>
        <w:t>保密性：公司已对该技术信息采取了合理的保密措施，如限定知悉范围、签订保密协议、进行物理或逻辑隔离等。</w:t>
      </w:r>
    </w:p>
    <w:p w14:paraId="10A3FB01">
      <w:pPr>
        <w:pStyle w:val="2"/>
        <w:numPr>
          <w:ilvl w:val="0"/>
          <w:numId w:val="0"/>
        </w:numPr>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 xml:space="preserve">3.2 各项目潜在专有技术成果梳理清单 </w:t>
      </w:r>
    </w:p>
    <w:p w14:paraId="1CA2C3EF">
      <w:pPr>
        <w:pStyle w:val="2"/>
        <w:numPr>
          <w:ilvl w:val="0"/>
          <w:numId w:val="0"/>
        </w:numPr>
        <w:ind w:firstLine="560" w:firstLineChars="200"/>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为确保梳理的全面性和准确性，建议成立由各项目技术负责人、核心研发人员及知识产权管理人员组成的专项工作小组，共同对以下项目进行成果挖掘与初步评估：</w:t>
      </w:r>
    </w:p>
    <w:tbl>
      <w:tblPr>
        <w:tblStyle w:val="8"/>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22"/>
        <w:gridCol w:w="1576"/>
        <w:gridCol w:w="2450"/>
        <w:gridCol w:w="3948"/>
      </w:tblGrid>
      <w:tr w14:paraId="6A2E2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blCellSpacing w:w="15" w:type="dxa"/>
        </w:trPr>
        <w:tc>
          <w:tcPr>
            <w:tcW w:w="0" w:type="auto"/>
            <w:shd w:val="clear" w:color="auto" w:fill="auto"/>
            <w:vAlign w:val="center"/>
          </w:tcPr>
          <w:p w14:paraId="13663BF6">
            <w:pPr>
              <w:pStyle w:val="2"/>
              <w:numPr>
                <w:ilvl w:val="0"/>
                <w:numId w:val="0"/>
              </w:numPr>
              <w:rPr>
                <w:rFonts w:hint="eastAsia"/>
                <w:lang w:val="en-US" w:eastAsia="zh-CN"/>
              </w:rPr>
            </w:pPr>
            <w:r>
              <w:rPr>
                <w:rFonts w:hint="eastAsia"/>
                <w:lang w:val="en-US" w:eastAsia="zh-CN"/>
              </w:rPr>
              <w:t>序号</w:t>
            </w:r>
          </w:p>
        </w:tc>
        <w:tc>
          <w:tcPr>
            <w:tcW w:w="1546" w:type="dxa"/>
            <w:shd w:val="clear" w:color="auto" w:fill="auto"/>
            <w:vAlign w:val="center"/>
          </w:tcPr>
          <w:p w14:paraId="1D1012DD">
            <w:pPr>
              <w:pStyle w:val="2"/>
              <w:numPr>
                <w:ilvl w:val="0"/>
                <w:numId w:val="0"/>
              </w:numPr>
              <w:rPr>
                <w:rFonts w:hint="eastAsia"/>
                <w:lang w:val="en-US" w:eastAsia="zh-CN"/>
              </w:rPr>
            </w:pPr>
            <w:r>
              <w:rPr>
                <w:rFonts w:hint="eastAsia"/>
                <w:lang w:val="en-US" w:eastAsia="zh-CN"/>
              </w:rPr>
              <w:t>项目名称</w:t>
            </w:r>
          </w:p>
        </w:tc>
        <w:tc>
          <w:tcPr>
            <w:tcW w:w="2420" w:type="dxa"/>
            <w:shd w:val="clear" w:color="auto" w:fill="auto"/>
            <w:vAlign w:val="center"/>
          </w:tcPr>
          <w:p w14:paraId="1D548A83">
            <w:pPr>
              <w:pStyle w:val="2"/>
              <w:numPr>
                <w:ilvl w:val="0"/>
                <w:numId w:val="0"/>
              </w:numPr>
              <w:rPr>
                <w:rFonts w:hint="eastAsia"/>
                <w:lang w:val="en-US" w:eastAsia="zh-CN"/>
              </w:rPr>
            </w:pPr>
            <w:r>
              <w:rPr>
                <w:rFonts w:hint="eastAsia"/>
                <w:lang w:val="en-US" w:eastAsia="zh-CN"/>
              </w:rPr>
              <w:t>核心研发方向与内容（参考）</w:t>
            </w:r>
          </w:p>
        </w:tc>
        <w:tc>
          <w:tcPr>
            <w:tcW w:w="3903" w:type="dxa"/>
            <w:shd w:val="clear" w:color="auto" w:fill="auto"/>
            <w:vAlign w:val="center"/>
          </w:tcPr>
          <w:p w14:paraId="451AA699">
            <w:pPr>
              <w:pStyle w:val="2"/>
              <w:numPr>
                <w:ilvl w:val="0"/>
                <w:numId w:val="0"/>
              </w:numPr>
              <w:rPr>
                <w:rFonts w:hint="eastAsia"/>
                <w:lang w:val="en-US" w:eastAsia="zh-CN"/>
              </w:rPr>
            </w:pPr>
            <w:r>
              <w:rPr>
                <w:rFonts w:hint="eastAsia"/>
                <w:lang w:val="en-US" w:eastAsia="zh-CN"/>
              </w:rPr>
              <w:t>潜在专有技术成果领域</w:t>
            </w:r>
          </w:p>
        </w:tc>
      </w:tr>
      <w:tr w14:paraId="52A81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color="auto" w:fill="auto"/>
            <w:vAlign w:val="center"/>
          </w:tcPr>
          <w:p w14:paraId="0C15B4F5">
            <w:pPr>
              <w:pStyle w:val="2"/>
              <w:numPr>
                <w:ilvl w:val="0"/>
                <w:numId w:val="0"/>
              </w:numPr>
              <w:rPr>
                <w:rFonts w:hint="eastAsia"/>
                <w:lang w:val="en-US" w:eastAsia="zh-CN"/>
              </w:rPr>
            </w:pPr>
            <w:r>
              <w:rPr>
                <w:rFonts w:hint="eastAsia"/>
                <w:lang w:val="en-US" w:eastAsia="zh-CN"/>
              </w:rPr>
              <w:t>1​</w:t>
            </w:r>
          </w:p>
        </w:tc>
        <w:tc>
          <w:tcPr>
            <w:tcW w:w="1546" w:type="dxa"/>
            <w:shd w:val="clear" w:color="auto" w:fill="auto"/>
            <w:vAlign w:val="center"/>
          </w:tcPr>
          <w:p w14:paraId="499844DF">
            <w:pPr>
              <w:pStyle w:val="2"/>
              <w:numPr>
                <w:ilvl w:val="0"/>
                <w:numId w:val="0"/>
              </w:numPr>
              <w:rPr>
                <w:rFonts w:hint="eastAsia"/>
                <w:lang w:val="en-US" w:eastAsia="zh-CN"/>
              </w:rPr>
            </w:pPr>
            <w:r>
              <w:rPr>
                <w:rFonts w:hint="eastAsia"/>
                <w:lang w:val="en-US" w:eastAsia="zh-CN"/>
              </w:rPr>
              <w:t>基于自主可控大模型的多市场耦合交易智能决策虚拟电厂关键技术研究与示范应用​</w:t>
            </w:r>
          </w:p>
        </w:tc>
        <w:tc>
          <w:tcPr>
            <w:tcW w:w="2420" w:type="dxa"/>
            <w:shd w:val="clear" w:color="auto" w:fill="auto"/>
            <w:vAlign w:val="center"/>
          </w:tcPr>
          <w:p w14:paraId="3786528B">
            <w:pPr>
              <w:pStyle w:val="2"/>
              <w:numPr>
                <w:ilvl w:val="0"/>
                <w:numId w:val="0"/>
              </w:numPr>
              <w:rPr>
                <w:rFonts w:hint="eastAsia"/>
                <w:lang w:val="en-US" w:eastAsia="zh-CN"/>
              </w:rPr>
            </w:pPr>
            <w:r>
              <w:rPr>
                <w:rFonts w:hint="eastAsia"/>
                <w:lang w:val="en-US" w:eastAsia="zh-CN"/>
              </w:rPr>
              <w:t>1. 虚拟电厂领域大模型构建与微调技术</w:t>
            </w:r>
            <w:r>
              <w:rPr>
                <w:rFonts w:hint="eastAsia"/>
                <w:lang w:val="en-US" w:eastAsia="zh-CN"/>
              </w:rPr>
              <w:br w:type="textWrapping"/>
            </w:r>
            <w:r>
              <w:rPr>
                <w:rFonts w:hint="eastAsia"/>
                <w:lang w:val="en-US" w:eastAsia="zh-CN"/>
              </w:rPr>
              <w:t>2. 负荷预测、决策模型智能生成助手</w:t>
            </w:r>
            <w:r>
              <w:rPr>
                <w:rFonts w:hint="eastAsia"/>
                <w:lang w:val="en-US" w:eastAsia="zh-CN"/>
              </w:rPr>
              <w:br w:type="textWrapping"/>
            </w:r>
            <w:r>
              <w:rPr>
                <w:rFonts w:hint="eastAsia"/>
                <w:lang w:val="en-US" w:eastAsia="zh-CN"/>
              </w:rPr>
              <w:t>3. 多市场耦合下智能决策与收益优化算法</w:t>
            </w:r>
            <w:r>
              <w:rPr>
                <w:rFonts w:hint="eastAsia"/>
                <w:lang w:val="en-US" w:eastAsia="zh-CN"/>
              </w:rPr>
              <w:br w:type="textWrapping"/>
            </w:r>
            <w:r>
              <w:rPr>
                <w:rFonts w:hint="eastAsia"/>
                <w:lang w:val="en-US" w:eastAsia="zh-CN"/>
              </w:rPr>
              <w:t>4. 高可靠可扩展的虚拟电厂平台架构</w:t>
            </w:r>
          </w:p>
        </w:tc>
        <w:tc>
          <w:tcPr>
            <w:tcW w:w="3903" w:type="dxa"/>
            <w:shd w:val="clear" w:color="auto" w:fill="auto"/>
            <w:vAlign w:val="center"/>
          </w:tcPr>
          <w:p w14:paraId="3A65A2A2">
            <w:pPr>
              <w:pStyle w:val="2"/>
              <w:numPr>
                <w:ilvl w:val="0"/>
                <w:numId w:val="0"/>
              </w:numPr>
              <w:rPr>
                <w:rFonts w:hint="eastAsia"/>
                <w:lang w:val="en-US" w:eastAsia="zh-CN"/>
              </w:rPr>
            </w:pPr>
            <w:r>
              <w:rPr>
                <w:rFonts w:hint="eastAsia"/>
                <w:lang w:val="en-US" w:eastAsia="zh-CN"/>
              </w:rPr>
              <w:t>1. 算法智能生成框架技术：将业务语义自动转换为预测/决策模型的系统性方法、核心提示词工程与训练数据集构建方法。</w:t>
            </w:r>
            <w:r>
              <w:rPr>
                <w:rFonts w:hint="eastAsia"/>
                <w:lang w:val="en-US" w:eastAsia="zh-CN"/>
              </w:rPr>
              <w:br w:type="textWrapping"/>
            </w:r>
            <w:r>
              <w:rPr>
                <w:rFonts w:hint="eastAsia"/>
                <w:lang w:val="en-US" w:eastAsia="zh-CN"/>
              </w:rPr>
              <w:t>2. 多市场协同优化决策模型：计及风险收益的特定市场耦合交易策略模型与核心算法。</w:t>
            </w:r>
            <w:r>
              <w:rPr>
                <w:rFonts w:hint="eastAsia"/>
                <w:lang w:val="en-US" w:eastAsia="zh-CN"/>
              </w:rPr>
              <w:br w:type="textWrapping"/>
            </w:r>
            <w:r>
              <w:rPr>
                <w:rFonts w:hint="eastAsia"/>
                <w:lang w:val="en-US" w:eastAsia="zh-CN"/>
              </w:rPr>
              <w:t>3. 异质资源高精度聚合与等值建模技术：针对特定资源组合的聚合特性模型及可调能力动态挖掘算法。</w:t>
            </w:r>
          </w:p>
        </w:tc>
      </w:tr>
      <w:tr w14:paraId="65827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253BE1F3">
            <w:pPr>
              <w:pStyle w:val="2"/>
              <w:numPr>
                <w:ilvl w:val="0"/>
                <w:numId w:val="0"/>
              </w:numPr>
              <w:rPr>
                <w:rFonts w:hint="eastAsia"/>
                <w:lang w:val="en-US" w:eastAsia="zh-CN"/>
              </w:rPr>
            </w:pPr>
            <w:r>
              <w:rPr>
                <w:rFonts w:hint="eastAsia"/>
                <w:lang w:val="en-US" w:eastAsia="zh-CN"/>
              </w:rPr>
              <w:t>2​</w:t>
            </w:r>
          </w:p>
        </w:tc>
        <w:tc>
          <w:tcPr>
            <w:tcW w:w="1546" w:type="dxa"/>
            <w:shd w:val="clear" w:color="auto" w:fill="auto"/>
            <w:vAlign w:val="center"/>
          </w:tcPr>
          <w:p w14:paraId="35FD30FD">
            <w:pPr>
              <w:pStyle w:val="2"/>
              <w:numPr>
                <w:ilvl w:val="0"/>
                <w:numId w:val="0"/>
              </w:numPr>
              <w:rPr>
                <w:rFonts w:hint="eastAsia"/>
                <w:lang w:val="en-US" w:eastAsia="zh-CN"/>
              </w:rPr>
            </w:pPr>
            <w:r>
              <w:rPr>
                <w:rFonts w:hint="eastAsia"/>
                <w:lang w:val="en-US" w:eastAsia="zh-CN"/>
              </w:rPr>
              <w:t>快接型移动储能装置及标准的研究与应用​</w:t>
            </w:r>
          </w:p>
        </w:tc>
        <w:tc>
          <w:tcPr>
            <w:tcW w:w="2420" w:type="dxa"/>
            <w:shd w:val="clear" w:color="auto" w:fill="auto"/>
            <w:vAlign w:val="center"/>
          </w:tcPr>
          <w:p w14:paraId="747D8A49">
            <w:pPr>
              <w:pStyle w:val="2"/>
              <w:numPr>
                <w:ilvl w:val="0"/>
                <w:numId w:val="0"/>
              </w:numPr>
              <w:rPr>
                <w:rFonts w:hint="eastAsia"/>
                <w:lang w:val="en-US" w:eastAsia="zh-CN"/>
              </w:rPr>
            </w:pPr>
            <w:r>
              <w:rPr>
                <w:rFonts w:hint="eastAsia"/>
                <w:lang w:val="en-US" w:eastAsia="zh-CN"/>
              </w:rPr>
              <w:t>1. 快速接口与并网控制技术</w:t>
            </w:r>
            <w:r>
              <w:rPr>
                <w:rFonts w:hint="eastAsia"/>
                <w:lang w:val="en-US" w:eastAsia="zh-CN"/>
              </w:rPr>
              <w:br w:type="textWrapping"/>
            </w:r>
            <w:r>
              <w:rPr>
                <w:rFonts w:hint="eastAsia"/>
                <w:lang w:val="en-US" w:eastAsia="zh-CN"/>
              </w:rPr>
              <w:t>2. 模块化移动储能装置集成设计</w:t>
            </w:r>
            <w:r>
              <w:rPr>
                <w:rFonts w:hint="eastAsia"/>
                <w:lang w:val="en-US" w:eastAsia="zh-CN"/>
              </w:rPr>
              <w:br w:type="textWrapping"/>
            </w:r>
            <w:r>
              <w:rPr>
                <w:rFonts w:hint="eastAsia"/>
                <w:lang w:val="en-US" w:eastAsia="zh-CN"/>
              </w:rPr>
              <w:t>3. 装置测试、运维标准与工法研究</w:t>
            </w:r>
          </w:p>
        </w:tc>
        <w:tc>
          <w:tcPr>
            <w:tcW w:w="3903" w:type="dxa"/>
            <w:shd w:val="clear" w:color="auto" w:fill="auto"/>
            <w:vAlign w:val="center"/>
          </w:tcPr>
          <w:p w14:paraId="1B0912E9">
            <w:pPr>
              <w:pStyle w:val="2"/>
              <w:numPr>
                <w:ilvl w:val="0"/>
                <w:numId w:val="0"/>
              </w:numPr>
              <w:rPr>
                <w:rFonts w:hint="eastAsia"/>
                <w:lang w:val="en-US" w:eastAsia="zh-CN"/>
              </w:rPr>
            </w:pPr>
            <w:r>
              <w:rPr>
                <w:rFonts w:hint="eastAsia"/>
                <w:lang w:val="en-US" w:eastAsia="zh-CN"/>
              </w:rPr>
              <w:t>1. 专用快速电气与通信接口设计及控制逻辑：实现“即插即用”的核心硬件设计与控制软件。</w:t>
            </w:r>
            <w:r>
              <w:rPr>
                <w:rFonts w:hint="eastAsia"/>
                <w:lang w:val="en-US" w:eastAsia="zh-CN"/>
              </w:rPr>
              <w:br w:type="textWrapping"/>
            </w:r>
            <w:r>
              <w:rPr>
                <w:rFonts w:hint="eastAsia"/>
                <w:lang w:val="en-US" w:eastAsia="zh-CN"/>
              </w:rPr>
              <w:t>2. 模块化移动储能单元的热管理、结构强度及安全防护特定设计。</w:t>
            </w:r>
            <w:r>
              <w:rPr>
                <w:rFonts w:hint="eastAsia"/>
                <w:lang w:val="en-US" w:eastAsia="zh-CN"/>
              </w:rPr>
              <w:br w:type="textWrapping"/>
            </w:r>
            <w:r>
              <w:rPr>
                <w:rFonts w:hint="eastAsia"/>
                <w:lang w:val="en-US" w:eastAsia="zh-CN"/>
              </w:rPr>
              <w:t>3. “快接型”移动储能装置的现场测试、验收与运维作业标准（企业标准/内部规范）。</w:t>
            </w:r>
          </w:p>
        </w:tc>
      </w:tr>
      <w:tr w14:paraId="2B29A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color="auto" w:fill="auto"/>
            <w:vAlign w:val="center"/>
          </w:tcPr>
          <w:p w14:paraId="543C6083">
            <w:pPr>
              <w:pStyle w:val="2"/>
              <w:numPr>
                <w:ilvl w:val="0"/>
                <w:numId w:val="0"/>
              </w:numPr>
              <w:rPr>
                <w:rFonts w:hint="eastAsia"/>
                <w:lang w:val="en-US" w:eastAsia="zh-CN"/>
              </w:rPr>
            </w:pPr>
            <w:r>
              <w:rPr>
                <w:rFonts w:hint="eastAsia"/>
                <w:lang w:val="en-US" w:eastAsia="zh-CN"/>
              </w:rPr>
              <w:t>3​</w:t>
            </w:r>
          </w:p>
        </w:tc>
        <w:tc>
          <w:tcPr>
            <w:tcW w:w="1546" w:type="dxa"/>
            <w:shd w:val="clear" w:color="auto" w:fill="auto"/>
            <w:vAlign w:val="center"/>
          </w:tcPr>
          <w:p w14:paraId="4878C1FA">
            <w:pPr>
              <w:pStyle w:val="2"/>
              <w:numPr>
                <w:ilvl w:val="0"/>
                <w:numId w:val="0"/>
              </w:numPr>
              <w:rPr>
                <w:rFonts w:hint="eastAsia"/>
                <w:lang w:val="en-US" w:eastAsia="zh-CN"/>
              </w:rPr>
            </w:pPr>
            <w:r>
              <w:rPr>
                <w:rFonts w:hint="eastAsia"/>
                <w:lang w:val="en-US" w:eastAsia="zh-CN"/>
              </w:rPr>
              <w:t>基于智能无源融合技术的电化学储能站防误操作系统研究及应用​</w:t>
            </w:r>
          </w:p>
        </w:tc>
        <w:tc>
          <w:tcPr>
            <w:tcW w:w="2420" w:type="dxa"/>
            <w:shd w:val="clear" w:color="auto" w:fill="auto"/>
            <w:vAlign w:val="center"/>
          </w:tcPr>
          <w:p w14:paraId="3658D41C">
            <w:pPr>
              <w:pStyle w:val="2"/>
              <w:numPr>
                <w:ilvl w:val="0"/>
                <w:numId w:val="0"/>
              </w:numPr>
              <w:rPr>
                <w:rFonts w:hint="eastAsia"/>
                <w:lang w:val="en-US" w:eastAsia="zh-CN"/>
              </w:rPr>
            </w:pPr>
            <w:r>
              <w:rPr>
                <w:rFonts w:hint="eastAsia"/>
                <w:lang w:val="en-US" w:eastAsia="zh-CN"/>
              </w:rPr>
              <w:t>1. 无源传感与智能识别技术融合</w:t>
            </w:r>
            <w:r>
              <w:rPr>
                <w:rFonts w:hint="eastAsia"/>
                <w:lang w:val="en-US" w:eastAsia="zh-CN"/>
              </w:rPr>
              <w:br w:type="textWrapping"/>
            </w:r>
            <w:r>
              <w:rPr>
                <w:rFonts w:hint="eastAsia"/>
                <w:lang w:val="en-US" w:eastAsia="zh-CN"/>
              </w:rPr>
              <w:t>2. 防误操作逻辑模型与规则库</w:t>
            </w:r>
            <w:r>
              <w:rPr>
                <w:rFonts w:hint="eastAsia"/>
                <w:lang w:val="en-US" w:eastAsia="zh-CN"/>
              </w:rPr>
              <w:br w:type="textWrapping"/>
            </w:r>
            <w:r>
              <w:rPr>
                <w:rFonts w:hint="eastAsia"/>
                <w:lang w:val="en-US" w:eastAsia="zh-CN"/>
              </w:rPr>
              <w:t>3. 系统集成与工程应用方案</w:t>
            </w:r>
          </w:p>
        </w:tc>
        <w:tc>
          <w:tcPr>
            <w:tcW w:w="3903" w:type="dxa"/>
            <w:shd w:val="clear" w:color="auto" w:fill="auto"/>
            <w:vAlign w:val="center"/>
          </w:tcPr>
          <w:p w14:paraId="13E17FC1">
            <w:pPr>
              <w:pStyle w:val="2"/>
              <w:numPr>
                <w:ilvl w:val="0"/>
                <w:numId w:val="0"/>
              </w:numPr>
              <w:rPr>
                <w:rFonts w:hint="eastAsia"/>
                <w:lang w:val="en-US" w:eastAsia="zh-CN"/>
              </w:rPr>
            </w:pPr>
            <w:r>
              <w:rPr>
                <w:rFonts w:hint="eastAsia"/>
                <w:lang w:val="en-US" w:eastAsia="zh-CN"/>
              </w:rPr>
              <w:t>1. 特定无源传感器与储能设备状态智能诊断的融合算法。</w:t>
            </w:r>
            <w:r>
              <w:rPr>
                <w:rFonts w:hint="eastAsia"/>
                <w:lang w:val="en-US" w:eastAsia="zh-CN"/>
              </w:rPr>
              <w:br w:type="textWrapping"/>
            </w:r>
            <w:r>
              <w:rPr>
                <w:rFonts w:hint="eastAsia"/>
                <w:lang w:val="en-US" w:eastAsia="zh-CN"/>
              </w:rPr>
              <w:t>2. 适用于复杂储能站接线和操作流程的专用防误逻辑规则库与闭锁策略。</w:t>
            </w:r>
            <w:r>
              <w:rPr>
                <w:rFonts w:hint="eastAsia"/>
                <w:lang w:val="en-US" w:eastAsia="zh-CN"/>
              </w:rPr>
              <w:br w:type="textWrapping"/>
            </w:r>
            <w:r>
              <w:rPr>
                <w:rFonts w:hint="eastAsia"/>
                <w:lang w:val="en-US" w:eastAsia="zh-CN"/>
              </w:rPr>
              <w:t>3. 系统与现有监控、BMS等系统的深度集成与数据交互方法。</w:t>
            </w:r>
          </w:p>
        </w:tc>
      </w:tr>
      <w:tr w14:paraId="7B8B5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6F88F818">
            <w:pPr>
              <w:pStyle w:val="2"/>
              <w:numPr>
                <w:ilvl w:val="0"/>
                <w:numId w:val="0"/>
              </w:numPr>
              <w:rPr>
                <w:rFonts w:hint="eastAsia"/>
                <w:lang w:val="en-US" w:eastAsia="zh-CN"/>
              </w:rPr>
            </w:pPr>
            <w:r>
              <w:rPr>
                <w:rFonts w:hint="eastAsia"/>
                <w:lang w:val="en-US" w:eastAsia="zh-CN"/>
              </w:rPr>
              <w:t>4​</w:t>
            </w:r>
          </w:p>
        </w:tc>
        <w:tc>
          <w:tcPr>
            <w:tcW w:w="1546" w:type="dxa"/>
            <w:shd w:val="clear" w:color="auto" w:fill="auto"/>
            <w:vAlign w:val="center"/>
          </w:tcPr>
          <w:p w14:paraId="38931D8D">
            <w:pPr>
              <w:pStyle w:val="2"/>
              <w:numPr>
                <w:ilvl w:val="0"/>
                <w:numId w:val="0"/>
              </w:numPr>
              <w:rPr>
                <w:rFonts w:hint="eastAsia"/>
                <w:lang w:val="en-US" w:eastAsia="zh-CN"/>
              </w:rPr>
            </w:pPr>
            <w:r>
              <w:rPr>
                <w:rFonts w:hint="eastAsia"/>
                <w:lang w:val="en-US" w:eastAsia="zh-CN"/>
              </w:rPr>
              <w:t>基于人工智能的新型储能大数据状态监测系统研发​</w:t>
            </w:r>
          </w:p>
        </w:tc>
        <w:tc>
          <w:tcPr>
            <w:tcW w:w="2420" w:type="dxa"/>
            <w:shd w:val="clear" w:color="auto" w:fill="auto"/>
            <w:vAlign w:val="center"/>
          </w:tcPr>
          <w:p w14:paraId="6C036D5E">
            <w:pPr>
              <w:pStyle w:val="2"/>
              <w:numPr>
                <w:ilvl w:val="0"/>
                <w:numId w:val="0"/>
              </w:numPr>
              <w:rPr>
                <w:rFonts w:hint="eastAsia"/>
                <w:lang w:val="en-US" w:eastAsia="zh-CN"/>
              </w:rPr>
            </w:pPr>
            <w:r>
              <w:rPr>
                <w:rFonts w:hint="eastAsia"/>
                <w:lang w:val="en-US" w:eastAsia="zh-CN"/>
              </w:rPr>
              <w:t>1. 多源异构储能数据治理与特征工程</w:t>
            </w:r>
            <w:r>
              <w:rPr>
                <w:rFonts w:hint="eastAsia"/>
                <w:lang w:val="en-US" w:eastAsia="zh-CN"/>
              </w:rPr>
              <w:br w:type="textWrapping"/>
            </w:r>
            <w:r>
              <w:rPr>
                <w:rFonts w:hint="eastAsia"/>
                <w:lang w:val="en-US" w:eastAsia="zh-CN"/>
              </w:rPr>
              <w:t>2. AI预警与故障诊断模型</w:t>
            </w:r>
            <w:r>
              <w:rPr>
                <w:rFonts w:hint="eastAsia"/>
                <w:lang w:val="en-US" w:eastAsia="zh-CN"/>
              </w:rPr>
              <w:br w:type="textWrapping"/>
            </w:r>
            <w:r>
              <w:rPr>
                <w:rFonts w:hint="eastAsia"/>
                <w:lang w:val="en-US" w:eastAsia="zh-CN"/>
              </w:rPr>
              <w:t>3. 系统平台开发与算法部署</w:t>
            </w:r>
          </w:p>
        </w:tc>
        <w:tc>
          <w:tcPr>
            <w:tcW w:w="3903" w:type="dxa"/>
            <w:shd w:val="clear" w:color="auto" w:fill="auto"/>
            <w:vAlign w:val="center"/>
          </w:tcPr>
          <w:p w14:paraId="2F0F6188">
            <w:pPr>
              <w:pStyle w:val="2"/>
              <w:numPr>
                <w:ilvl w:val="0"/>
                <w:numId w:val="0"/>
              </w:numPr>
              <w:rPr>
                <w:rFonts w:hint="eastAsia"/>
                <w:lang w:val="en-US" w:eastAsia="zh-CN"/>
              </w:rPr>
            </w:pPr>
            <w:r>
              <w:rPr>
                <w:rFonts w:hint="eastAsia"/>
                <w:lang w:val="en-US" w:eastAsia="zh-CN"/>
              </w:rPr>
              <w:t>1. 针对电化学储能特性（如容量衰减、内阻增长）的专用AI预测性维护模型及其训练方法。</w:t>
            </w:r>
            <w:r>
              <w:rPr>
                <w:rFonts w:hint="eastAsia"/>
                <w:lang w:val="en-US" w:eastAsia="zh-CN"/>
              </w:rPr>
              <w:br w:type="textWrapping"/>
            </w:r>
            <w:r>
              <w:rPr>
                <w:rFonts w:hint="eastAsia"/>
                <w:lang w:val="en-US" w:eastAsia="zh-CN"/>
              </w:rPr>
              <w:t>2. 多维度储能大数据特征提取与融合分析的关键算法。</w:t>
            </w:r>
            <w:r>
              <w:rPr>
                <w:rFonts w:hint="eastAsia"/>
                <w:lang w:val="en-US" w:eastAsia="zh-CN"/>
              </w:rPr>
              <w:br w:type="textWrapping"/>
            </w:r>
            <w:r>
              <w:rPr>
                <w:rFonts w:hint="eastAsia"/>
                <w:lang w:val="en-US" w:eastAsia="zh-CN"/>
              </w:rPr>
              <w:t>3. 轻量化AI模型在边缘侧部署的优化方法与系统架构。</w:t>
            </w:r>
          </w:p>
        </w:tc>
      </w:tr>
      <w:tr w14:paraId="486E4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58A07DA4">
            <w:pPr>
              <w:pStyle w:val="2"/>
              <w:numPr>
                <w:ilvl w:val="0"/>
                <w:numId w:val="0"/>
              </w:numPr>
              <w:rPr>
                <w:rFonts w:hint="eastAsia"/>
                <w:lang w:val="en-US" w:eastAsia="zh-CN"/>
              </w:rPr>
            </w:pPr>
            <w:r>
              <w:rPr>
                <w:rFonts w:hint="eastAsia"/>
                <w:lang w:val="en-US" w:eastAsia="zh-CN"/>
              </w:rPr>
              <w:t>5​</w:t>
            </w:r>
          </w:p>
        </w:tc>
        <w:tc>
          <w:tcPr>
            <w:tcW w:w="1546" w:type="dxa"/>
            <w:shd w:val="clear" w:color="auto" w:fill="auto"/>
            <w:vAlign w:val="center"/>
          </w:tcPr>
          <w:p w14:paraId="0189F606">
            <w:pPr>
              <w:pStyle w:val="2"/>
              <w:numPr>
                <w:ilvl w:val="0"/>
                <w:numId w:val="0"/>
              </w:numPr>
              <w:rPr>
                <w:rFonts w:hint="eastAsia"/>
                <w:lang w:val="en-US" w:eastAsia="zh-CN"/>
              </w:rPr>
            </w:pPr>
            <w:r>
              <w:rPr>
                <w:rFonts w:hint="eastAsia"/>
                <w:lang w:val="en-US" w:eastAsia="zh-CN"/>
              </w:rPr>
              <w:t>基于数字孪生的电化学储能电站无人值守及AI监盘标准化研究​</w:t>
            </w:r>
          </w:p>
        </w:tc>
        <w:tc>
          <w:tcPr>
            <w:tcW w:w="2420" w:type="dxa"/>
            <w:shd w:val="clear" w:color="auto" w:fill="auto"/>
            <w:vAlign w:val="center"/>
          </w:tcPr>
          <w:p w14:paraId="5011C1E1">
            <w:pPr>
              <w:pStyle w:val="2"/>
              <w:numPr>
                <w:ilvl w:val="0"/>
                <w:numId w:val="0"/>
              </w:numPr>
              <w:rPr>
                <w:rFonts w:hint="eastAsia"/>
                <w:lang w:val="en-US" w:eastAsia="zh-CN"/>
              </w:rPr>
            </w:pPr>
            <w:r>
              <w:rPr>
                <w:rFonts w:hint="eastAsia"/>
                <w:lang w:val="en-US" w:eastAsia="zh-CN"/>
              </w:rPr>
              <w:t>1. 储能电站高保真数字孪生体构建</w:t>
            </w:r>
            <w:r>
              <w:rPr>
                <w:rFonts w:hint="eastAsia"/>
                <w:lang w:val="en-US" w:eastAsia="zh-CN"/>
              </w:rPr>
              <w:br w:type="textWrapping"/>
            </w:r>
            <w:r>
              <w:rPr>
                <w:rFonts w:hint="eastAsia"/>
                <w:lang w:val="en-US" w:eastAsia="zh-CN"/>
              </w:rPr>
              <w:t>2. AI监盘规则与异常处置知识库</w:t>
            </w:r>
            <w:r>
              <w:rPr>
                <w:rFonts w:hint="eastAsia"/>
                <w:lang w:val="en-US" w:eastAsia="zh-CN"/>
              </w:rPr>
              <w:br w:type="textWrapping"/>
            </w:r>
            <w:r>
              <w:rPr>
                <w:rFonts w:hint="eastAsia"/>
                <w:lang w:val="en-US" w:eastAsia="zh-CN"/>
              </w:rPr>
              <w:t>3. 无人值守运维流程与标准</w:t>
            </w:r>
          </w:p>
        </w:tc>
        <w:tc>
          <w:tcPr>
            <w:tcW w:w="3903" w:type="dxa"/>
            <w:shd w:val="clear" w:color="auto" w:fill="auto"/>
            <w:vAlign w:val="center"/>
          </w:tcPr>
          <w:p w14:paraId="015769B7">
            <w:pPr>
              <w:pStyle w:val="2"/>
              <w:numPr>
                <w:ilvl w:val="0"/>
                <w:numId w:val="0"/>
              </w:numPr>
              <w:rPr>
                <w:rFonts w:hint="eastAsia"/>
                <w:lang w:val="en-US" w:eastAsia="zh-CN"/>
              </w:rPr>
            </w:pPr>
            <w:r>
              <w:rPr>
                <w:rFonts w:hint="eastAsia"/>
                <w:lang w:val="en-US" w:eastAsia="zh-CN"/>
              </w:rPr>
              <w:t>1. 基于数字孪生体实时数据的AI监盘规则。</w:t>
            </w:r>
            <w:r>
              <w:rPr>
                <w:rFonts w:hint="eastAsia"/>
                <w:lang w:val="en-US" w:eastAsia="zh-CN"/>
              </w:rPr>
              <w:br w:type="textWrapping"/>
            </w:r>
            <w:r>
              <w:rPr>
                <w:rFonts w:hint="eastAsia"/>
                <w:lang w:val="en-US" w:eastAsia="zh-CN"/>
              </w:rPr>
              <w:t>3. “无人值守”模式下特定的巡检、预警、处置联动标准化作业程序（SOP）</w:t>
            </w:r>
          </w:p>
        </w:tc>
      </w:tr>
      <w:tr w14:paraId="7F64D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79" w:hRule="atLeast"/>
          <w:tblCellSpacing w:w="15" w:type="dxa"/>
        </w:trPr>
        <w:tc>
          <w:tcPr>
            <w:tcW w:w="0" w:type="auto"/>
            <w:shd w:val="clear" w:color="auto" w:fill="auto"/>
            <w:vAlign w:val="center"/>
          </w:tcPr>
          <w:p w14:paraId="05F3A70F">
            <w:pPr>
              <w:pStyle w:val="2"/>
              <w:numPr>
                <w:ilvl w:val="0"/>
                <w:numId w:val="0"/>
              </w:numPr>
              <w:rPr>
                <w:rFonts w:hint="eastAsia"/>
                <w:lang w:val="en-US" w:eastAsia="zh-CN"/>
              </w:rPr>
            </w:pPr>
            <w:r>
              <w:rPr>
                <w:rFonts w:hint="eastAsia"/>
                <w:lang w:val="en-US" w:eastAsia="zh-CN"/>
              </w:rPr>
              <w:t>6​</w:t>
            </w:r>
          </w:p>
        </w:tc>
        <w:tc>
          <w:tcPr>
            <w:tcW w:w="1546" w:type="dxa"/>
            <w:shd w:val="clear" w:color="auto" w:fill="auto"/>
            <w:vAlign w:val="center"/>
          </w:tcPr>
          <w:p w14:paraId="6D54AC5A">
            <w:pPr>
              <w:pStyle w:val="2"/>
              <w:numPr>
                <w:ilvl w:val="0"/>
                <w:numId w:val="0"/>
              </w:numPr>
              <w:rPr>
                <w:rFonts w:hint="eastAsia"/>
                <w:lang w:val="en-US" w:eastAsia="zh-CN"/>
              </w:rPr>
            </w:pPr>
            <w:r>
              <w:rPr>
                <w:rFonts w:hint="eastAsia"/>
                <w:lang w:val="en-US" w:eastAsia="zh-CN"/>
              </w:rPr>
              <w:t>装配式储能电站工程设计及工法研究​</w:t>
            </w:r>
          </w:p>
        </w:tc>
        <w:tc>
          <w:tcPr>
            <w:tcW w:w="2420" w:type="dxa"/>
            <w:shd w:val="clear" w:color="auto" w:fill="auto"/>
            <w:vAlign w:val="center"/>
          </w:tcPr>
          <w:p w14:paraId="0AC90D28">
            <w:pPr>
              <w:pStyle w:val="2"/>
              <w:numPr>
                <w:ilvl w:val="0"/>
                <w:numId w:val="0"/>
              </w:numPr>
              <w:rPr>
                <w:rFonts w:hint="eastAsia"/>
                <w:lang w:val="en-US" w:eastAsia="zh-CN"/>
              </w:rPr>
            </w:pPr>
            <w:r>
              <w:rPr>
                <w:rFonts w:hint="eastAsia"/>
                <w:lang w:val="en-US" w:eastAsia="zh-CN"/>
              </w:rPr>
              <w:t>1. 标准化、模块化工程设计</w:t>
            </w:r>
            <w:r>
              <w:rPr>
                <w:rFonts w:hint="eastAsia"/>
                <w:lang w:val="en-US" w:eastAsia="zh-CN"/>
              </w:rPr>
              <w:br w:type="textWrapping"/>
            </w:r>
            <w:r>
              <w:rPr>
                <w:rFonts w:hint="eastAsia"/>
                <w:lang w:val="en-US" w:eastAsia="zh-CN"/>
              </w:rPr>
              <w:t>2. 快速施工与安装工法</w:t>
            </w:r>
            <w:r>
              <w:rPr>
                <w:rFonts w:hint="eastAsia"/>
                <w:lang w:val="en-US" w:eastAsia="zh-CN"/>
              </w:rPr>
              <w:br w:type="textWrapping"/>
            </w:r>
            <w:r>
              <w:rPr>
                <w:rFonts w:hint="eastAsia"/>
                <w:lang w:val="en-US" w:eastAsia="zh-CN"/>
              </w:rPr>
              <w:t>3. 质量控制与验收标准</w:t>
            </w:r>
          </w:p>
        </w:tc>
        <w:tc>
          <w:tcPr>
            <w:tcW w:w="3903" w:type="dxa"/>
            <w:shd w:val="clear" w:color="auto" w:fill="auto"/>
            <w:vAlign w:val="center"/>
          </w:tcPr>
          <w:p w14:paraId="1DD72B36">
            <w:pPr>
              <w:pStyle w:val="2"/>
              <w:numPr>
                <w:ilvl w:val="0"/>
                <w:numId w:val="0"/>
              </w:numPr>
              <w:rPr>
                <w:rFonts w:hint="eastAsia"/>
                <w:lang w:val="en-US" w:eastAsia="zh-CN"/>
              </w:rPr>
            </w:pPr>
            <w:r>
              <w:rPr>
                <w:rFonts w:hint="eastAsia"/>
                <w:lang w:val="en-US" w:eastAsia="zh-CN"/>
              </w:rPr>
              <w:t>1、采用基础预制件和模块化设备现场组装连接的方式来实现储能电站的装配式建设</w:t>
            </w:r>
          </w:p>
          <w:p w14:paraId="7F9C5E59">
            <w:pPr>
              <w:pStyle w:val="2"/>
              <w:numPr>
                <w:ilvl w:val="0"/>
                <w:numId w:val="0"/>
              </w:numPr>
              <w:rPr>
                <w:rFonts w:hint="eastAsia"/>
                <w:lang w:val="en-US" w:eastAsia="zh-CN"/>
              </w:rPr>
            </w:pPr>
            <w:r>
              <w:rPr>
                <w:rFonts w:hint="eastAsia"/>
                <w:lang w:val="en-US" w:eastAsia="zh-CN"/>
              </w:rPr>
              <w:t>2、此基础上开展装配式储能电站成套标准化设计方案以及装配式储能电站施工工法研究</w:t>
            </w:r>
          </w:p>
        </w:tc>
      </w:tr>
      <w:tr w14:paraId="0B439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color="auto" w:fill="auto"/>
            <w:vAlign w:val="center"/>
          </w:tcPr>
          <w:p w14:paraId="3AE1FA0D">
            <w:pPr>
              <w:pStyle w:val="2"/>
              <w:numPr>
                <w:ilvl w:val="0"/>
                <w:numId w:val="0"/>
              </w:numPr>
              <w:rPr>
                <w:rFonts w:hint="default"/>
                <w:lang w:val="en-US" w:eastAsia="zh-CN"/>
              </w:rPr>
            </w:pPr>
            <w:r>
              <w:rPr>
                <w:rFonts w:hint="eastAsia"/>
                <w:lang w:val="en-US" w:eastAsia="zh-CN"/>
              </w:rPr>
              <w:t>7</w:t>
            </w:r>
          </w:p>
        </w:tc>
        <w:tc>
          <w:tcPr>
            <w:tcW w:w="1546" w:type="dxa"/>
            <w:shd w:val="clear" w:color="auto" w:fill="auto"/>
            <w:vAlign w:val="center"/>
          </w:tcPr>
          <w:p w14:paraId="472F5DDC">
            <w:pPr>
              <w:pStyle w:val="2"/>
              <w:numPr>
                <w:ilvl w:val="0"/>
                <w:numId w:val="0"/>
              </w:numPr>
              <w:rPr>
                <w:rFonts w:hint="eastAsia"/>
                <w:lang w:val="en-US" w:eastAsia="zh-CN"/>
              </w:rPr>
            </w:pPr>
            <w:r>
              <w:rPr>
                <w:rFonts w:hint="eastAsia"/>
                <w:lang w:val="en-US" w:eastAsia="zh-CN"/>
              </w:rPr>
              <w:t>适用于全天候作业的电化学储能预制舱智能检修平台装置研发</w:t>
            </w:r>
          </w:p>
        </w:tc>
        <w:tc>
          <w:tcPr>
            <w:tcW w:w="2420" w:type="dxa"/>
            <w:shd w:val="clear" w:color="auto" w:fill="auto"/>
            <w:vAlign w:val="center"/>
          </w:tcPr>
          <w:p w14:paraId="3B7CD531">
            <w:pPr>
              <w:rPr>
                <w:rFonts w:hint="default"/>
                <w:lang w:val="en-US" w:eastAsia="zh-CN"/>
              </w:rPr>
            </w:pPr>
            <w:r>
              <w:rPr>
                <w:rFonts w:hint="eastAsia"/>
                <w:lang w:val="en-US" w:eastAsia="zh-CN"/>
              </w:rPr>
              <w:t>针对户外新型储能设备的维护需求，研发一款适用于全天候作业的电化学储能预制舱智能检修平台装置</w:t>
            </w:r>
          </w:p>
        </w:tc>
        <w:tc>
          <w:tcPr>
            <w:tcW w:w="3903" w:type="dxa"/>
            <w:shd w:val="clear" w:color="auto" w:fill="auto"/>
            <w:vAlign w:val="center"/>
          </w:tcPr>
          <w:p w14:paraId="1312420D">
            <w:pPr>
              <w:pStyle w:val="2"/>
              <w:numPr>
                <w:ilvl w:val="0"/>
                <w:numId w:val="0"/>
              </w:numPr>
              <w:rPr>
                <w:rFonts w:hint="default"/>
                <w:lang w:val="en-US" w:eastAsia="zh-CN"/>
              </w:rPr>
            </w:pPr>
            <w:r>
              <w:rPr>
                <w:rFonts w:hint="eastAsia"/>
                <w:lang w:val="en-US" w:eastAsia="zh-CN"/>
              </w:rPr>
              <w:t>一套自主知识产权的适用于全天候作业的电化学储能预制舱智能检修平台装置</w:t>
            </w:r>
          </w:p>
        </w:tc>
      </w:tr>
    </w:tbl>
    <w:p w14:paraId="068DBA81">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leftChars="0"/>
        <w:jc w:val="left"/>
        <w:outlineLvl w:val="0"/>
        <w:rPr>
          <w:rFonts w:hint="eastAsia" w:ascii="宋体" w:eastAsia="宋体" w:cs="宋体"/>
          <w:b/>
          <w:bCs/>
          <w:kern w:val="0"/>
          <w:sz w:val="28"/>
          <w:szCs w:val="28"/>
          <w:lang w:val="en-US" w:eastAsia="zh-CN"/>
        </w:rPr>
      </w:pPr>
      <w:r>
        <w:rPr>
          <w:rFonts w:hint="eastAsia" w:ascii="宋体" w:eastAsia="宋体" w:cs="宋体"/>
          <w:b/>
          <w:bCs/>
          <w:kern w:val="0"/>
          <w:sz w:val="28"/>
          <w:szCs w:val="28"/>
          <w:lang w:val="en-US" w:eastAsia="zh-CN"/>
        </w:rPr>
        <w:t>4.参考资料</w:t>
      </w:r>
    </w:p>
    <w:p w14:paraId="7B399682">
      <w:pPr>
        <w:spacing w:before="156" w:beforeLines="50" w:line="50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1、《专有技术申报审批表及申报材料》；</w:t>
      </w:r>
    </w:p>
    <w:p w14:paraId="557A9F72">
      <w:pPr>
        <w:spacing w:before="156" w:beforeLines="50" w:line="50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2、技术应用评价证明；</w:t>
      </w:r>
    </w:p>
    <w:p w14:paraId="5EE8EF7A">
      <w:pPr>
        <w:spacing w:before="156" w:beforeLines="50" w:line="50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3、查新报告；</w:t>
      </w:r>
    </w:p>
    <w:p w14:paraId="796F07E1">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leftChars="0"/>
        <w:jc w:val="left"/>
        <w:outlineLvl w:val="0"/>
        <w:rPr>
          <w:rFonts w:hint="eastAsia" w:ascii="宋体" w:eastAsia="宋体" w:cs="宋体"/>
          <w:b/>
          <w:bCs/>
          <w:kern w:val="0"/>
          <w:sz w:val="28"/>
          <w:szCs w:val="28"/>
          <w:lang w:val="en-US" w:eastAsia="zh-CN"/>
        </w:rPr>
      </w:pPr>
      <w:r>
        <w:rPr>
          <w:rFonts w:hint="eastAsia" w:ascii="宋体" w:eastAsia="宋体" w:cs="宋体"/>
          <w:b/>
          <w:bCs/>
          <w:kern w:val="0"/>
          <w:sz w:val="28"/>
          <w:szCs w:val="28"/>
          <w:lang w:val="en-US" w:eastAsia="zh-CN"/>
        </w:rPr>
        <w:t>5.项目专有技术原则</w:t>
      </w:r>
    </w:p>
    <w:p w14:paraId="0E0A6D34">
      <w:pPr>
        <w:spacing w:before="156" w:beforeLines="50" w:line="500" w:lineRule="exact"/>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r>
        <w:rPr>
          <w:rFonts w:hint="eastAsia" w:ascii="宋体" w:hAnsi="宋体" w:cs="宋体"/>
          <w:b w:val="0"/>
          <w:bCs w:val="0"/>
          <w:sz w:val="28"/>
          <w:szCs w:val="28"/>
          <w:lang w:val="en-US" w:eastAsia="zh-CN"/>
        </w:rPr>
        <w:t>服务方</w:t>
      </w:r>
      <w:r>
        <w:rPr>
          <w:rFonts w:hint="eastAsia" w:ascii="宋体" w:hAnsi="宋体" w:eastAsia="宋体" w:cs="宋体"/>
          <w:b w:val="0"/>
          <w:bCs w:val="0"/>
          <w:sz w:val="28"/>
          <w:szCs w:val="28"/>
          <w:lang w:val="en-US" w:eastAsia="zh-CN"/>
        </w:rPr>
        <w:t>基于《南方电网储能股份有限公司创新与合规知识产权管理体系实施细则》对基于递交的查新报告、用户评价证明、承诺书、专有技术认定初审意见表的资料进行初步审核。</w:t>
      </w:r>
    </w:p>
    <w:p w14:paraId="51676068">
      <w:pPr>
        <w:spacing w:before="156" w:beforeLines="50" w:line="500" w:lineRule="exact"/>
        <w:ind w:firstLine="560" w:firstLineChars="20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rPr>
        <w:t>2、</w:t>
      </w:r>
      <w:r>
        <w:rPr>
          <w:rFonts w:hint="eastAsia" w:ascii="宋体" w:hAnsi="宋体" w:eastAsia="宋体" w:cs="宋体"/>
          <w:b w:val="0"/>
          <w:bCs w:val="0"/>
          <w:sz w:val="28"/>
          <w:szCs w:val="28"/>
          <w:lang w:val="en-US" w:eastAsia="zh-CN"/>
        </w:rPr>
        <w:t>初审通过，基于递交的查新报告、用户评价证明、承诺书、专有技术认定初审意见表的资料，项目负责人准备答辩PPT进行专家审核</w:t>
      </w:r>
      <w:r>
        <w:rPr>
          <w:rFonts w:hint="eastAsia" w:ascii="宋体" w:hAnsi="宋体" w:cs="宋体"/>
          <w:b w:val="0"/>
          <w:bCs w:val="0"/>
          <w:sz w:val="28"/>
          <w:szCs w:val="28"/>
          <w:lang w:val="en-US" w:eastAsia="zh-CN"/>
        </w:rPr>
        <w:t>，</w:t>
      </w:r>
      <w:r>
        <w:rPr>
          <w:rFonts w:hint="eastAsia" w:ascii="宋体" w:hAnsi="宋体" w:eastAsia="宋体" w:cs="宋体"/>
          <w:b w:val="0"/>
          <w:bCs w:val="0"/>
          <w:sz w:val="28"/>
          <w:szCs w:val="28"/>
          <w:lang w:val="en-US" w:eastAsia="zh-CN"/>
        </w:rPr>
        <w:t>专家审核确认无明显问题后通过专有技术认定，并颁发相关证件。</w:t>
      </w:r>
    </w:p>
    <w:p w14:paraId="2DC77A2E">
      <w:pPr>
        <w:spacing w:before="156" w:beforeLines="50" w:line="500" w:lineRule="exact"/>
        <w:ind w:firstLine="560" w:firstLineChars="200"/>
        <w:rPr>
          <w:rFonts w:hint="eastAsia"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3</w:t>
      </w:r>
      <w:r>
        <w:rPr>
          <w:rFonts w:hint="eastAsia" w:ascii="宋体" w:hAnsi="宋体" w:eastAsia="宋体" w:cs="宋体"/>
          <w:b w:val="0"/>
          <w:bCs w:val="0"/>
          <w:sz w:val="28"/>
          <w:szCs w:val="28"/>
          <w:lang w:val="en-US" w:eastAsia="zh-CN"/>
        </w:rPr>
        <w:t>、专有认定全流程，第三方及时反馈进展情况。</w:t>
      </w:r>
    </w:p>
    <w:p w14:paraId="5152FE45">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425" w:leftChars="0"/>
        <w:jc w:val="left"/>
        <w:outlineLvl w:val="0"/>
        <w:rPr>
          <w:rFonts w:ascii="宋体" w:cs="宋体"/>
          <w:b/>
          <w:bCs/>
          <w:kern w:val="0"/>
          <w:sz w:val="28"/>
          <w:szCs w:val="28"/>
        </w:rPr>
      </w:pPr>
      <w:bookmarkStart w:id="2" w:name="_Toc22648_WPSOffice_Level1"/>
      <w:r>
        <w:rPr>
          <w:rFonts w:hint="eastAsia" w:ascii="宋体" w:cs="宋体"/>
          <w:b/>
          <w:bCs/>
          <w:kern w:val="0"/>
          <w:sz w:val="28"/>
          <w:szCs w:val="28"/>
          <w:lang w:val="en-US" w:eastAsia="zh-CN"/>
        </w:rPr>
        <w:t>6.</w:t>
      </w:r>
      <w:r>
        <w:rPr>
          <w:rFonts w:hint="eastAsia" w:ascii="宋体" w:cs="宋体"/>
          <w:b/>
          <w:bCs/>
          <w:kern w:val="0"/>
          <w:sz w:val="28"/>
          <w:szCs w:val="28"/>
        </w:rPr>
        <w:t>服务人员</w:t>
      </w:r>
    </w:p>
    <w:tbl>
      <w:tblPr>
        <w:tblStyle w:val="8"/>
        <w:tblW w:w="8326" w:type="dxa"/>
        <w:tblInd w:w="0" w:type="dxa"/>
        <w:tblLayout w:type="fixed"/>
        <w:tblCellMar>
          <w:top w:w="0" w:type="dxa"/>
          <w:left w:w="0" w:type="dxa"/>
          <w:bottom w:w="0" w:type="dxa"/>
          <w:right w:w="0" w:type="dxa"/>
        </w:tblCellMar>
      </w:tblPr>
      <w:tblGrid>
        <w:gridCol w:w="1088"/>
        <w:gridCol w:w="2129"/>
        <w:gridCol w:w="3071"/>
        <w:gridCol w:w="2038"/>
      </w:tblGrid>
      <w:tr w14:paraId="0A63904C">
        <w:tblPrEx>
          <w:tblCellMar>
            <w:top w:w="0" w:type="dxa"/>
            <w:left w:w="0" w:type="dxa"/>
            <w:bottom w:w="0" w:type="dxa"/>
            <w:right w:w="0" w:type="dxa"/>
          </w:tblCellMar>
        </w:tblPrEx>
        <w:trPr>
          <w:trHeight w:val="300"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415401A">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序号</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7E27971">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姓名</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920DAFF">
            <w:pPr>
              <w:keepNext w:val="0"/>
              <w:keepLines w:val="0"/>
              <w:pageBreakBefore w:val="0"/>
              <w:widowControl/>
              <w:kinsoku/>
              <w:wordWrap/>
              <w:overflowPunct/>
              <w:topLinePunct w:val="0"/>
              <w:bidi w:val="0"/>
              <w:snapToGrid/>
              <w:spacing w:line="360" w:lineRule="auto"/>
              <w:ind w:left="0"/>
              <w:jc w:val="center"/>
              <w:textAlignment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职责</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EFFA946">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联系方式</w:t>
            </w:r>
          </w:p>
        </w:tc>
      </w:tr>
      <w:tr w14:paraId="313B4931">
        <w:tblPrEx>
          <w:tblCellMar>
            <w:top w:w="0" w:type="dxa"/>
            <w:left w:w="0" w:type="dxa"/>
            <w:bottom w:w="0" w:type="dxa"/>
            <w:right w:w="0" w:type="dxa"/>
          </w:tblCellMar>
        </w:tblPrEx>
        <w:trPr>
          <w:trHeight w:val="23"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5F9BED7">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44EC8A9">
            <w:pPr>
              <w:keepNext w:val="0"/>
              <w:keepLines w:val="0"/>
              <w:pageBreakBefore w:val="0"/>
              <w:widowControl/>
              <w:kinsoku/>
              <w:wordWrap/>
              <w:overflowPunct/>
              <w:topLinePunct w:val="0"/>
              <w:bidi w:val="0"/>
              <w:snapToGrid/>
              <w:spacing w:line="360" w:lineRule="auto"/>
              <w:ind w:left="0"/>
              <w:jc w:val="center"/>
              <w:textAlignment w:val="center"/>
              <w:rPr>
                <w:rFonts w:hint="eastAsia" w:ascii="宋体" w:hAnsi="宋体" w:eastAsia="宋体" w:cs="宋体"/>
                <w:color w:val="000000"/>
                <w:sz w:val="24"/>
                <w:szCs w:val="24"/>
                <w:lang w:eastAsia="zh-CN"/>
              </w:rPr>
            </w:pPr>
            <w:r>
              <w:rPr>
                <w:rFonts w:hint="eastAsia" w:ascii="宋体" w:hAnsi="宋体" w:cs="宋体"/>
                <w:color w:val="000000"/>
                <w:kern w:val="0"/>
                <w:sz w:val="24"/>
                <w:szCs w:val="24"/>
                <w:lang w:val="en-US" w:eastAsia="zh-CN" w:bidi="ar"/>
              </w:rPr>
              <w:t>XX</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B9881BD">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sz w:val="24"/>
                <w:szCs w:val="24"/>
              </w:rPr>
              <w:t>负责人</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B588B48">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p>
        </w:tc>
      </w:tr>
      <w:tr w14:paraId="57323040">
        <w:tblPrEx>
          <w:tblCellMar>
            <w:top w:w="0" w:type="dxa"/>
            <w:left w:w="0" w:type="dxa"/>
            <w:bottom w:w="0" w:type="dxa"/>
            <w:right w:w="0" w:type="dxa"/>
          </w:tblCellMar>
        </w:tblPrEx>
        <w:trPr>
          <w:trHeight w:val="23"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EF398B2">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2</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E7347EF">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val="en-US" w:eastAsia="zh-CN" w:bidi="ar"/>
              </w:rPr>
              <w:t>XX</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B9B2F59">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sz w:val="24"/>
                <w:szCs w:val="24"/>
              </w:rPr>
              <w:t>技术员</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92758C5">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p>
        </w:tc>
      </w:tr>
      <w:tr w14:paraId="479A4F35">
        <w:tblPrEx>
          <w:tblCellMar>
            <w:top w:w="0" w:type="dxa"/>
            <w:left w:w="0" w:type="dxa"/>
            <w:bottom w:w="0" w:type="dxa"/>
            <w:right w:w="0" w:type="dxa"/>
          </w:tblCellMar>
        </w:tblPrEx>
        <w:trPr>
          <w:trHeight w:val="23"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87D4C01">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3</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FDEFE32">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kern w:val="0"/>
                <w:sz w:val="24"/>
                <w:szCs w:val="24"/>
                <w:lang w:val="en-US" w:eastAsia="zh-CN" w:bidi="ar"/>
              </w:rPr>
              <w:t>XX</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51C1091">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r>
              <w:rPr>
                <w:rFonts w:hint="eastAsia" w:ascii="宋体" w:hAnsi="宋体" w:cs="宋体"/>
                <w:color w:val="000000"/>
                <w:sz w:val="24"/>
                <w:szCs w:val="24"/>
              </w:rPr>
              <w:t>技术员</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8157FB4">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4"/>
                <w:szCs w:val="24"/>
              </w:rPr>
            </w:pPr>
          </w:p>
        </w:tc>
      </w:tr>
      <w:bookmarkEnd w:id="2"/>
    </w:tbl>
    <w:p w14:paraId="10CFCBD8">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425" w:leftChars="0"/>
        <w:jc w:val="left"/>
        <w:outlineLvl w:val="0"/>
        <w:rPr>
          <w:rFonts w:ascii="宋体" w:cs="宋体"/>
          <w:b/>
          <w:bCs/>
          <w:kern w:val="0"/>
          <w:sz w:val="28"/>
          <w:szCs w:val="28"/>
        </w:rPr>
      </w:pPr>
      <w:r>
        <w:rPr>
          <w:rFonts w:hint="eastAsia" w:ascii="宋体" w:cs="宋体"/>
          <w:b/>
          <w:bCs/>
          <w:kern w:val="0"/>
          <w:sz w:val="28"/>
          <w:szCs w:val="28"/>
          <w:lang w:val="en-US" w:eastAsia="zh-CN"/>
        </w:rPr>
        <w:t>7.</w:t>
      </w:r>
      <w:r>
        <w:rPr>
          <w:rFonts w:hint="eastAsia" w:ascii="宋体" w:cs="宋体"/>
          <w:b/>
          <w:bCs/>
          <w:kern w:val="0"/>
          <w:sz w:val="28"/>
          <w:szCs w:val="28"/>
        </w:rPr>
        <w:t>服务清单</w:t>
      </w:r>
    </w:p>
    <w:p w14:paraId="116F602F">
      <w:pPr>
        <w:pStyle w:val="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left"/>
        <w:textAlignment w:val="auto"/>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为确保本项目专有技术认定工作规范、有序开展，并明确各阶段的费用支付节点与对应交付成果，特制定本服务清单。清单依据专有技术评价认定的通用流程，将每个科技项目的专有技术认定服务</w:t>
      </w:r>
      <w:bookmarkStart w:id="5" w:name="_GoBack"/>
      <w:bookmarkEnd w:id="5"/>
      <w:r>
        <w:rPr>
          <w:rFonts w:hint="eastAsia" w:ascii="宋体" w:hAnsi="宋体" w:cs="宋体"/>
          <w:b w:val="0"/>
          <w:bCs w:val="0"/>
          <w:kern w:val="0"/>
          <w:sz w:val="28"/>
          <w:szCs w:val="28"/>
          <w:lang w:val="en-US" w:eastAsia="zh-CN"/>
        </w:rPr>
        <w:t>流程分为以下阶段，最终以交付物完整提交作为一次性支付的依据：</w:t>
      </w:r>
    </w:p>
    <w:p w14:paraId="11256262">
      <w:pPr>
        <w:pStyle w:val="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left"/>
        <w:textAlignment w:val="auto"/>
        <w:rPr>
          <w:rFonts w:hint="default"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7</w:t>
      </w:r>
      <w:r>
        <w:rPr>
          <w:rFonts w:hint="eastAsia" w:ascii="宋体" w:hAnsi="宋体" w:eastAsia="宋体" w:cs="宋体"/>
          <w:b w:val="0"/>
          <w:bCs w:val="0"/>
          <w:kern w:val="0"/>
          <w:sz w:val="28"/>
          <w:szCs w:val="28"/>
          <w:lang w:val="en-US" w:eastAsia="zh-CN"/>
        </w:rPr>
        <w:t>.1</w:t>
      </w:r>
      <w:r>
        <w:rPr>
          <w:rFonts w:hint="eastAsia" w:ascii="宋体" w:hAnsi="宋体" w:eastAsia="宋体" w:cs="宋体"/>
          <w:b w:val="0"/>
          <w:bCs w:val="0"/>
          <w:kern w:val="2"/>
          <w:sz w:val="28"/>
          <w:szCs w:val="28"/>
          <w:lang w:val="en-US" w:eastAsia="zh-CN" w:bidi="ar-SA"/>
        </w:rPr>
        <w:t>“基于自主可控大模型的多市场耦合交易智能决策虚拟电厂关键技术研究与示范应用”</w:t>
      </w:r>
      <w:r>
        <w:rPr>
          <w:rFonts w:hint="eastAsia" w:ascii="宋体" w:hAnsi="宋体" w:cs="宋体"/>
          <w:b w:val="0"/>
          <w:bCs w:val="0"/>
          <w:kern w:val="2"/>
          <w:sz w:val="28"/>
          <w:szCs w:val="28"/>
          <w:lang w:val="en-US" w:eastAsia="zh-CN" w:bidi="ar-SA"/>
        </w:rPr>
        <w:t>等科技项目</w:t>
      </w:r>
      <w:r>
        <w:rPr>
          <w:rFonts w:hint="eastAsia" w:ascii="宋体" w:hAnsi="宋体" w:eastAsia="宋体" w:cs="宋体"/>
          <w:b w:val="0"/>
          <w:bCs w:val="0"/>
          <w:kern w:val="2"/>
          <w:sz w:val="28"/>
          <w:szCs w:val="28"/>
          <w:lang w:val="en-US" w:eastAsia="zh-CN" w:bidi="ar-SA"/>
        </w:rPr>
        <w:t>《专有技术申报审批表》及全套申报材料</w:t>
      </w:r>
      <w:r>
        <w:rPr>
          <w:rFonts w:hint="eastAsia" w:ascii="宋体" w:hAnsi="宋体" w:cs="宋体"/>
          <w:b w:val="0"/>
          <w:bCs w:val="0"/>
          <w:kern w:val="2"/>
          <w:sz w:val="28"/>
          <w:szCs w:val="28"/>
          <w:lang w:val="en-US" w:eastAsia="zh-CN" w:bidi="ar-SA"/>
        </w:rPr>
        <w:t>的</w:t>
      </w:r>
      <w:r>
        <w:rPr>
          <w:rFonts w:hint="eastAsia" w:ascii="宋体" w:hAnsi="宋体" w:eastAsia="宋体" w:cs="宋体"/>
          <w:b w:val="0"/>
          <w:bCs w:val="0"/>
          <w:kern w:val="2"/>
          <w:sz w:val="28"/>
          <w:szCs w:val="28"/>
          <w:lang w:val="en-US" w:eastAsia="zh-CN" w:bidi="ar-SA"/>
        </w:rPr>
        <w:t>形式审查</w:t>
      </w:r>
      <w:r>
        <w:rPr>
          <w:rFonts w:hint="eastAsia" w:ascii="宋体" w:hAnsi="宋体" w:cs="宋体"/>
          <w:b w:val="0"/>
          <w:bCs w:val="0"/>
          <w:kern w:val="2"/>
          <w:sz w:val="28"/>
          <w:szCs w:val="28"/>
          <w:lang w:val="en-US" w:eastAsia="zh-CN" w:bidi="ar-SA"/>
        </w:rPr>
        <w:t>，</w:t>
      </w:r>
      <w:r>
        <w:rPr>
          <w:rFonts w:hint="eastAsia" w:ascii="宋体" w:hAnsi="宋体" w:eastAsia="宋体" w:cs="宋体"/>
          <w:b w:val="0"/>
          <w:bCs w:val="0"/>
          <w:kern w:val="0"/>
          <w:sz w:val="28"/>
          <w:szCs w:val="28"/>
        </w:rPr>
        <w:t>出具</w:t>
      </w:r>
      <w:r>
        <w:rPr>
          <w:rFonts w:hint="eastAsia" w:ascii="宋体" w:hAnsi="宋体" w:cs="宋体"/>
          <w:b w:val="0"/>
          <w:bCs w:val="0"/>
          <w:kern w:val="2"/>
          <w:sz w:val="28"/>
          <w:szCs w:val="28"/>
          <w:lang w:val="en-US" w:eastAsia="zh-CN" w:bidi="ar-SA"/>
        </w:rPr>
        <w:t>申报材料受理回执或受理通知</w:t>
      </w:r>
      <w:r>
        <w:rPr>
          <w:rFonts w:hint="eastAsia" w:ascii="宋体" w:hAnsi="宋体" w:cs="宋体"/>
          <w:b w:val="0"/>
          <w:bCs w:val="0"/>
          <w:kern w:val="0"/>
          <w:sz w:val="28"/>
          <w:szCs w:val="28"/>
          <w:lang w:val="en-US" w:eastAsia="zh-CN"/>
        </w:rPr>
        <w:t>；</w:t>
      </w:r>
    </w:p>
    <w:p w14:paraId="72EBABBD">
      <w:pPr>
        <w:pStyle w:val="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left"/>
        <w:textAlignment w:val="auto"/>
        <w:rPr>
          <w:rFonts w:hint="eastAsia" w:ascii="宋体" w:hAnsi="宋体" w:cs="宋体"/>
          <w:b w:val="0"/>
          <w:bCs w:val="0"/>
          <w:kern w:val="0"/>
          <w:sz w:val="28"/>
          <w:szCs w:val="28"/>
          <w:lang w:eastAsia="zh-CN"/>
        </w:rPr>
      </w:pPr>
      <w:r>
        <w:rPr>
          <w:rFonts w:hint="eastAsia" w:ascii="宋体" w:hAnsi="宋体" w:eastAsia="宋体" w:cs="宋体"/>
          <w:b w:val="0"/>
          <w:bCs w:val="0"/>
          <w:kern w:val="0"/>
          <w:sz w:val="28"/>
          <w:szCs w:val="28"/>
          <w:lang w:val="en-US" w:eastAsia="zh-CN"/>
        </w:rPr>
        <w:t>7.2</w:t>
      </w:r>
      <w:r>
        <w:rPr>
          <w:rFonts w:hint="eastAsia" w:ascii="宋体" w:hAnsi="宋体" w:eastAsia="宋体" w:cs="宋体"/>
          <w:b w:val="0"/>
          <w:bCs w:val="0"/>
          <w:kern w:val="2"/>
          <w:sz w:val="28"/>
          <w:szCs w:val="28"/>
          <w:lang w:val="en-US" w:eastAsia="zh-CN" w:bidi="ar-SA"/>
        </w:rPr>
        <w:t>形式审查</w:t>
      </w:r>
      <w:r>
        <w:rPr>
          <w:rFonts w:hint="eastAsia" w:ascii="宋体" w:hAnsi="宋体" w:cs="宋体"/>
          <w:b w:val="0"/>
          <w:bCs w:val="0"/>
          <w:kern w:val="2"/>
          <w:sz w:val="28"/>
          <w:szCs w:val="28"/>
          <w:lang w:val="en-US" w:eastAsia="zh-CN" w:bidi="ar-SA"/>
        </w:rPr>
        <w:t>通过后，</w:t>
      </w:r>
      <w:r>
        <w:rPr>
          <w:rFonts w:hint="eastAsia" w:ascii="宋体" w:hAnsi="宋体" w:cs="宋体"/>
          <w:b w:val="0"/>
          <w:bCs w:val="0"/>
          <w:kern w:val="0"/>
          <w:sz w:val="28"/>
          <w:szCs w:val="28"/>
          <w:lang w:val="en-US" w:eastAsia="zh-CN"/>
        </w:rPr>
        <w:t>线上开展</w:t>
      </w:r>
      <w:r>
        <w:rPr>
          <w:rFonts w:hint="eastAsia" w:ascii="宋体" w:hAnsi="宋体" w:eastAsia="宋体" w:cs="宋体"/>
          <w:b w:val="0"/>
          <w:bCs w:val="0"/>
          <w:kern w:val="0"/>
          <w:sz w:val="28"/>
          <w:szCs w:val="28"/>
          <w:lang w:val="en-US" w:eastAsia="zh-CN"/>
        </w:rPr>
        <w:t>项目</w:t>
      </w:r>
      <w:r>
        <w:rPr>
          <w:rFonts w:hint="eastAsia" w:ascii="宋体" w:hAnsi="宋体" w:cs="宋体"/>
          <w:b w:val="0"/>
          <w:bCs w:val="0"/>
          <w:kern w:val="0"/>
          <w:sz w:val="28"/>
          <w:szCs w:val="28"/>
          <w:lang w:val="en-US" w:eastAsia="zh-CN"/>
        </w:rPr>
        <w:t>专家评审</w:t>
      </w:r>
      <w:r>
        <w:rPr>
          <w:rFonts w:hint="eastAsia" w:ascii="宋体" w:hAnsi="宋体" w:eastAsia="宋体" w:cs="宋体"/>
          <w:b w:val="0"/>
          <w:bCs w:val="0"/>
          <w:kern w:val="0"/>
          <w:sz w:val="28"/>
          <w:szCs w:val="28"/>
          <w:lang w:val="en-US" w:eastAsia="zh-CN"/>
        </w:rPr>
        <w:t>，根据本项目的已受理的专有技术项目进行评审。服务方负责评审会的会务组织、专家协调、评审意见汇总，</w:t>
      </w:r>
      <w:r>
        <w:rPr>
          <w:rFonts w:hint="eastAsia" w:ascii="宋体" w:hAnsi="宋体" w:eastAsia="宋体" w:cs="宋体"/>
          <w:b w:val="0"/>
          <w:bCs w:val="0"/>
          <w:kern w:val="0"/>
          <w:sz w:val="28"/>
          <w:szCs w:val="28"/>
        </w:rPr>
        <w:t>出具</w:t>
      </w:r>
      <w:r>
        <w:rPr>
          <w:rFonts w:hint="eastAsia" w:ascii="宋体" w:hAnsi="宋体" w:eastAsia="宋体" w:cs="宋体"/>
          <w:b w:val="0"/>
          <w:bCs w:val="0"/>
          <w:kern w:val="0"/>
          <w:sz w:val="28"/>
          <w:szCs w:val="28"/>
          <w:lang w:val="en-US" w:eastAsia="zh-CN"/>
        </w:rPr>
        <w:t>形成终审结论</w:t>
      </w:r>
      <w:r>
        <w:rPr>
          <w:rFonts w:hint="eastAsia" w:ascii="宋体" w:hAnsi="宋体" w:cs="宋体"/>
          <w:b w:val="0"/>
          <w:bCs w:val="0"/>
          <w:kern w:val="0"/>
          <w:sz w:val="28"/>
          <w:szCs w:val="28"/>
          <w:lang w:eastAsia="zh-CN"/>
        </w:rPr>
        <w:t>；</w:t>
      </w:r>
      <w:r>
        <w:rPr>
          <w:rFonts w:hint="eastAsia" w:ascii="宋体" w:hAnsi="宋体" w:cs="宋体"/>
          <w:b w:val="0"/>
          <w:bCs w:val="0"/>
          <w:kern w:val="0"/>
          <w:sz w:val="28"/>
          <w:szCs w:val="28"/>
          <w:lang w:val="en-US" w:eastAsia="zh-CN"/>
        </w:rPr>
        <w:t>对通过终审的项目进行公示，最终由认定机构批准并颁发专有技术证书。</w:t>
      </w:r>
    </w:p>
    <w:tbl>
      <w:tblPr>
        <w:tblStyle w:val="8"/>
        <w:tblW w:w="8326" w:type="dxa"/>
        <w:tblInd w:w="0" w:type="dxa"/>
        <w:tblLayout w:type="fixed"/>
        <w:tblCellMar>
          <w:top w:w="0" w:type="dxa"/>
          <w:left w:w="0" w:type="dxa"/>
          <w:bottom w:w="0" w:type="dxa"/>
          <w:right w:w="0" w:type="dxa"/>
        </w:tblCellMar>
      </w:tblPr>
      <w:tblGrid>
        <w:gridCol w:w="639"/>
        <w:gridCol w:w="2223"/>
        <w:gridCol w:w="3773"/>
        <w:gridCol w:w="772"/>
        <w:gridCol w:w="919"/>
      </w:tblGrid>
      <w:tr w14:paraId="458905A7">
        <w:tblPrEx>
          <w:tblCellMar>
            <w:top w:w="0" w:type="dxa"/>
            <w:left w:w="0" w:type="dxa"/>
            <w:bottom w:w="0" w:type="dxa"/>
            <w:right w:w="0" w:type="dxa"/>
          </w:tblCellMar>
        </w:tblPrEx>
        <w:trPr>
          <w:trHeight w:val="300" w:hRule="atLeast"/>
        </w:trPr>
        <w:tc>
          <w:tcPr>
            <w:tcW w:w="63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D2F42C8">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序号</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73A5988">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采购项目</w:t>
            </w:r>
          </w:p>
        </w:tc>
        <w:tc>
          <w:tcPr>
            <w:tcW w:w="377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759523D">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项目说明</w:t>
            </w:r>
          </w:p>
        </w:tc>
        <w:tc>
          <w:tcPr>
            <w:tcW w:w="77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9DECD59">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数量</w:t>
            </w:r>
          </w:p>
        </w:tc>
        <w:tc>
          <w:tcPr>
            <w:tcW w:w="91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AD8E6FD">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单位</w:t>
            </w:r>
          </w:p>
        </w:tc>
      </w:tr>
      <w:tr w14:paraId="5B51C619">
        <w:tblPrEx>
          <w:tblCellMar>
            <w:top w:w="0" w:type="dxa"/>
            <w:left w:w="0" w:type="dxa"/>
            <w:bottom w:w="0" w:type="dxa"/>
            <w:right w:w="0" w:type="dxa"/>
          </w:tblCellMar>
        </w:tblPrEx>
        <w:trPr>
          <w:trHeight w:val="725" w:hRule="atLeast"/>
        </w:trPr>
        <w:tc>
          <w:tcPr>
            <w:tcW w:w="63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73D316F">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lang w:bidi="ar"/>
              </w:rPr>
              <w:t>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A0494B4">
            <w:pPr>
              <w:widowControl/>
              <w:jc w:val="left"/>
              <w:textAlignment w:val="center"/>
              <w:rPr>
                <w:rFonts w:ascii="宋体" w:hAnsi="宋体" w:cs="宋体"/>
                <w:color w:val="000000"/>
                <w:sz w:val="24"/>
                <w:szCs w:val="24"/>
              </w:rPr>
            </w:pPr>
            <w:r>
              <w:rPr>
                <w:rFonts w:hint="eastAsia" w:ascii="宋体" w:hAnsi="宋体" w:cs="宋体"/>
                <w:color w:val="000000"/>
                <w:sz w:val="24"/>
                <w:szCs w:val="24"/>
              </w:rPr>
              <w:t>申报受理与形式审查</w:t>
            </w:r>
          </w:p>
        </w:tc>
        <w:tc>
          <w:tcPr>
            <w:tcW w:w="377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6CF6A25">
            <w:pPr>
              <w:widowControl/>
              <w:jc w:val="left"/>
              <w:textAlignment w:val="center"/>
              <w:rPr>
                <w:rFonts w:ascii="宋体" w:hAnsi="宋体" w:cs="宋体"/>
                <w:color w:val="000000"/>
                <w:sz w:val="24"/>
                <w:szCs w:val="24"/>
              </w:rPr>
            </w:pPr>
            <w:r>
              <w:rPr>
                <w:rFonts w:hint="eastAsia" w:ascii="宋体" w:hAnsi="宋体" w:cs="宋体"/>
                <w:b w:val="0"/>
                <w:bCs w:val="0"/>
                <w:kern w:val="2"/>
                <w:sz w:val="28"/>
                <w:szCs w:val="28"/>
                <w:lang w:val="en-US" w:eastAsia="zh-CN" w:bidi="ar-SA"/>
              </w:rPr>
              <w:t>科技项目</w:t>
            </w:r>
            <w:r>
              <w:rPr>
                <w:rFonts w:hint="eastAsia" w:ascii="宋体" w:hAnsi="宋体" w:eastAsia="宋体" w:cs="宋体"/>
                <w:b w:val="0"/>
                <w:bCs w:val="0"/>
                <w:kern w:val="2"/>
                <w:sz w:val="28"/>
                <w:szCs w:val="28"/>
                <w:lang w:val="en-US" w:eastAsia="zh-CN" w:bidi="ar-SA"/>
              </w:rPr>
              <w:t>《专有技术申报审批表》及全套申报材料</w:t>
            </w:r>
            <w:r>
              <w:rPr>
                <w:rFonts w:hint="eastAsia" w:ascii="宋体" w:hAnsi="宋体" w:cs="宋体"/>
                <w:b w:val="0"/>
                <w:bCs w:val="0"/>
                <w:kern w:val="2"/>
                <w:sz w:val="28"/>
                <w:szCs w:val="28"/>
                <w:lang w:val="en-US" w:eastAsia="zh-CN" w:bidi="ar-SA"/>
              </w:rPr>
              <w:t>的</w:t>
            </w:r>
            <w:r>
              <w:rPr>
                <w:rFonts w:hint="eastAsia" w:ascii="宋体" w:hAnsi="宋体" w:eastAsia="宋体" w:cs="宋体"/>
                <w:b w:val="0"/>
                <w:bCs w:val="0"/>
                <w:kern w:val="2"/>
                <w:sz w:val="28"/>
                <w:szCs w:val="28"/>
                <w:lang w:val="en-US" w:eastAsia="zh-CN" w:bidi="ar-SA"/>
              </w:rPr>
              <w:t>形式审查</w:t>
            </w:r>
            <w:r>
              <w:rPr>
                <w:rFonts w:hint="eastAsia" w:ascii="宋体" w:hAnsi="宋体" w:cs="宋体"/>
                <w:b w:val="0"/>
                <w:bCs w:val="0"/>
                <w:kern w:val="2"/>
                <w:sz w:val="28"/>
                <w:szCs w:val="28"/>
                <w:lang w:val="en-US" w:eastAsia="zh-CN" w:bidi="ar-SA"/>
              </w:rPr>
              <w:t>，</w:t>
            </w:r>
            <w:r>
              <w:rPr>
                <w:rFonts w:hint="eastAsia" w:ascii="宋体" w:hAnsi="宋体" w:eastAsia="宋体" w:cs="宋体"/>
                <w:b w:val="0"/>
                <w:bCs w:val="0"/>
                <w:kern w:val="0"/>
                <w:sz w:val="28"/>
                <w:szCs w:val="28"/>
              </w:rPr>
              <w:t>出具《专有技术申报材料形式审查意见》</w:t>
            </w:r>
          </w:p>
        </w:tc>
        <w:tc>
          <w:tcPr>
            <w:tcW w:w="77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88EFBCA">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E2BDB2E">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项</w:t>
            </w:r>
          </w:p>
        </w:tc>
      </w:tr>
      <w:tr w14:paraId="04CF641A">
        <w:tblPrEx>
          <w:tblCellMar>
            <w:top w:w="0" w:type="dxa"/>
            <w:left w:w="0" w:type="dxa"/>
            <w:bottom w:w="0" w:type="dxa"/>
            <w:right w:w="0" w:type="dxa"/>
          </w:tblCellMar>
        </w:tblPrEx>
        <w:trPr>
          <w:trHeight w:val="1500" w:hRule="atLeast"/>
        </w:trPr>
        <w:tc>
          <w:tcPr>
            <w:tcW w:w="63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BEF2B21">
            <w:pPr>
              <w:widowControl/>
              <w:jc w:val="center"/>
              <w:textAlignment w:val="center"/>
              <w:rPr>
                <w:rFonts w:hint="eastAsia" w:ascii="宋体" w:hAnsi="宋体" w:eastAsia="宋体" w:cs="宋体"/>
                <w:color w:val="000000"/>
                <w:kern w:val="0"/>
                <w:sz w:val="24"/>
                <w:szCs w:val="24"/>
                <w:lang w:val="en-US" w:eastAsia="zh-CN" w:bidi="ar"/>
              </w:rPr>
            </w:pPr>
            <w:bookmarkStart w:id="3" w:name="_Toc29603_WPSOffice_Level1"/>
            <w:r>
              <w:rPr>
                <w:rFonts w:hint="eastAsia" w:ascii="宋体" w:hAnsi="宋体" w:cs="宋体"/>
                <w:color w:val="000000"/>
                <w:kern w:val="0"/>
                <w:sz w:val="24"/>
                <w:szCs w:val="24"/>
                <w:lang w:val="en-US" w:eastAsia="zh-CN" w:bidi="ar"/>
              </w:rPr>
              <w:t>2</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C226620">
            <w:pPr>
              <w:keepNext w:val="0"/>
              <w:keepLines w:val="0"/>
              <w:widowControl/>
              <w:suppressLineNumbers w:val="0"/>
              <w:jc w:val="left"/>
              <w:rPr>
                <w:rFonts w:hint="default" w:ascii="宋体" w:hAnsi="宋体" w:cs="宋体"/>
                <w:color w:val="000000"/>
                <w:sz w:val="24"/>
                <w:szCs w:val="24"/>
                <w:lang w:val="en-US"/>
              </w:rPr>
            </w:pPr>
            <w:r>
              <w:rPr>
                <w:rFonts w:ascii="宋体" w:hAnsi="宋体" w:eastAsia="宋体" w:cs="宋体"/>
                <w:kern w:val="0"/>
                <w:sz w:val="24"/>
                <w:szCs w:val="24"/>
                <w:lang w:val="en-US" w:eastAsia="zh-CN" w:bidi="ar"/>
              </w:rPr>
              <w:t>专家评审</w:t>
            </w:r>
            <w:r>
              <w:rPr>
                <w:rFonts w:hint="eastAsia" w:ascii="宋体" w:hAnsi="宋体" w:cs="宋体"/>
                <w:kern w:val="0"/>
                <w:sz w:val="24"/>
                <w:szCs w:val="24"/>
                <w:lang w:val="en-US" w:eastAsia="zh-CN" w:bidi="ar"/>
              </w:rPr>
              <w:t>及证书出具完成</w:t>
            </w:r>
          </w:p>
        </w:tc>
        <w:tc>
          <w:tcPr>
            <w:tcW w:w="377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6B08BD1">
            <w:pPr>
              <w:widowControl/>
              <w:jc w:val="left"/>
              <w:textAlignment w:val="center"/>
              <w:rPr>
                <w:rFonts w:ascii="宋体" w:hAnsi="宋体" w:cs="宋体"/>
                <w:color w:val="000000"/>
                <w:sz w:val="24"/>
                <w:szCs w:val="24"/>
              </w:rPr>
            </w:pPr>
            <w:r>
              <w:rPr>
                <w:rFonts w:hint="eastAsia" w:ascii="宋体" w:hAnsi="宋体" w:eastAsia="宋体" w:cs="宋体"/>
                <w:b w:val="0"/>
                <w:bCs w:val="0"/>
                <w:kern w:val="2"/>
                <w:sz w:val="28"/>
                <w:szCs w:val="28"/>
                <w:lang w:val="en-US" w:eastAsia="zh-CN" w:bidi="ar-SA"/>
              </w:rPr>
              <w:t>形式审查</w:t>
            </w:r>
            <w:r>
              <w:rPr>
                <w:rFonts w:hint="eastAsia" w:ascii="宋体" w:hAnsi="宋体" w:cs="宋体"/>
                <w:b w:val="0"/>
                <w:bCs w:val="0"/>
                <w:kern w:val="2"/>
                <w:sz w:val="28"/>
                <w:szCs w:val="28"/>
                <w:lang w:val="en-US" w:eastAsia="zh-CN" w:bidi="ar-SA"/>
              </w:rPr>
              <w:t>通过后，</w:t>
            </w:r>
            <w:r>
              <w:rPr>
                <w:rFonts w:hint="eastAsia" w:ascii="宋体" w:hAnsi="宋体" w:cs="宋体"/>
                <w:b w:val="0"/>
                <w:bCs w:val="0"/>
                <w:kern w:val="0"/>
                <w:sz w:val="28"/>
                <w:szCs w:val="28"/>
                <w:lang w:val="en-US" w:eastAsia="zh-CN"/>
              </w:rPr>
              <w:t>线上开展</w:t>
            </w:r>
            <w:r>
              <w:rPr>
                <w:rFonts w:hint="eastAsia" w:ascii="宋体" w:hAnsi="宋体" w:eastAsia="宋体" w:cs="宋体"/>
                <w:b w:val="0"/>
                <w:bCs w:val="0"/>
                <w:kern w:val="0"/>
                <w:sz w:val="28"/>
                <w:szCs w:val="28"/>
                <w:lang w:val="en-US" w:eastAsia="zh-CN"/>
              </w:rPr>
              <w:t>项目</w:t>
            </w:r>
            <w:r>
              <w:rPr>
                <w:rFonts w:hint="eastAsia" w:ascii="宋体" w:hAnsi="宋体" w:cs="宋体"/>
                <w:b w:val="0"/>
                <w:bCs w:val="0"/>
                <w:kern w:val="0"/>
                <w:sz w:val="28"/>
                <w:szCs w:val="28"/>
                <w:lang w:val="en-US" w:eastAsia="zh-CN"/>
              </w:rPr>
              <w:t>专家评审</w:t>
            </w:r>
            <w:r>
              <w:rPr>
                <w:rFonts w:hint="eastAsia" w:ascii="宋体" w:hAnsi="宋体" w:eastAsia="宋体" w:cs="宋体"/>
                <w:b w:val="0"/>
                <w:bCs w:val="0"/>
                <w:kern w:val="0"/>
                <w:sz w:val="28"/>
                <w:szCs w:val="28"/>
                <w:lang w:val="en-US" w:eastAsia="zh-CN"/>
              </w:rPr>
              <w:t>，根据</w:t>
            </w:r>
            <w:r>
              <w:rPr>
                <w:rFonts w:hint="eastAsia" w:ascii="宋体" w:hAnsi="宋体" w:cs="宋体"/>
                <w:b w:val="0"/>
                <w:bCs w:val="0"/>
                <w:kern w:val="0"/>
                <w:sz w:val="28"/>
                <w:szCs w:val="28"/>
                <w:lang w:val="en-US" w:eastAsia="zh-CN"/>
              </w:rPr>
              <w:t>科技</w:t>
            </w:r>
            <w:r>
              <w:rPr>
                <w:rFonts w:hint="eastAsia" w:ascii="宋体" w:hAnsi="宋体" w:eastAsia="宋体" w:cs="宋体"/>
                <w:b w:val="0"/>
                <w:bCs w:val="0"/>
                <w:kern w:val="0"/>
                <w:sz w:val="28"/>
                <w:szCs w:val="28"/>
                <w:lang w:val="en-US" w:eastAsia="zh-CN"/>
              </w:rPr>
              <w:t>项目的已受理的专有技术项目进行评审。服务方负责评审会的会务组织、专家协调、评审意见汇总，</w:t>
            </w:r>
            <w:r>
              <w:rPr>
                <w:rFonts w:hint="eastAsia" w:ascii="宋体" w:hAnsi="宋体" w:eastAsia="宋体" w:cs="宋体"/>
                <w:b w:val="0"/>
                <w:bCs w:val="0"/>
                <w:kern w:val="0"/>
                <w:sz w:val="28"/>
                <w:szCs w:val="28"/>
              </w:rPr>
              <w:t>出具</w:t>
            </w:r>
            <w:r>
              <w:rPr>
                <w:rFonts w:hint="eastAsia" w:ascii="宋体" w:hAnsi="宋体" w:eastAsia="宋体" w:cs="宋体"/>
                <w:b w:val="0"/>
                <w:bCs w:val="0"/>
                <w:kern w:val="0"/>
                <w:sz w:val="28"/>
                <w:szCs w:val="28"/>
                <w:lang w:val="en-US" w:eastAsia="zh-CN"/>
              </w:rPr>
              <w:t>形成</w:t>
            </w:r>
            <w:r>
              <w:rPr>
                <w:rFonts w:hint="eastAsia" w:ascii="宋体" w:hAnsi="宋体" w:cs="宋体"/>
                <w:b w:val="0"/>
                <w:bCs w:val="0"/>
                <w:kern w:val="0"/>
                <w:sz w:val="28"/>
                <w:szCs w:val="28"/>
                <w:lang w:val="en-US" w:eastAsia="zh-CN"/>
              </w:rPr>
              <w:t>评审</w:t>
            </w:r>
            <w:r>
              <w:rPr>
                <w:rFonts w:hint="eastAsia" w:ascii="宋体" w:hAnsi="宋体" w:eastAsia="宋体" w:cs="宋体"/>
                <w:b w:val="0"/>
                <w:bCs w:val="0"/>
                <w:kern w:val="0"/>
                <w:sz w:val="28"/>
                <w:szCs w:val="28"/>
                <w:lang w:val="en-US" w:eastAsia="zh-CN"/>
              </w:rPr>
              <w:t>结论</w:t>
            </w:r>
            <w:r>
              <w:rPr>
                <w:rFonts w:hint="eastAsia" w:ascii="宋体" w:hAnsi="宋体" w:cs="宋体"/>
                <w:b w:val="0"/>
                <w:bCs w:val="0"/>
                <w:kern w:val="0"/>
                <w:sz w:val="28"/>
                <w:szCs w:val="28"/>
                <w:lang w:val="en-US" w:eastAsia="zh-CN"/>
              </w:rPr>
              <w:t>；对通过终审的项目进行公示，最终由认定机构批准并颁发专有技术证书。</w:t>
            </w:r>
          </w:p>
        </w:tc>
        <w:tc>
          <w:tcPr>
            <w:tcW w:w="77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75F5AD5">
            <w:pPr>
              <w:widowControl/>
              <w:jc w:val="center"/>
              <w:textAlignment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ABC3124">
            <w:pPr>
              <w:widowControl/>
              <w:jc w:val="center"/>
              <w:textAlignment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项</w:t>
            </w:r>
          </w:p>
        </w:tc>
      </w:tr>
    </w:tbl>
    <w:p w14:paraId="76F1DE9E">
      <w:pPr>
        <w:autoSpaceDE w:val="0"/>
        <w:autoSpaceDN w:val="0"/>
        <w:adjustRightInd w:val="0"/>
        <w:spacing w:line="360" w:lineRule="auto"/>
        <w:jc w:val="left"/>
        <w:outlineLvl w:val="0"/>
        <w:rPr>
          <w:rFonts w:cs="宋体"/>
          <w:sz w:val="28"/>
          <w:szCs w:val="28"/>
        </w:rPr>
      </w:pPr>
      <w:r>
        <w:rPr>
          <w:rFonts w:hint="eastAsia" w:cs="宋体"/>
          <w:sz w:val="28"/>
          <w:szCs w:val="28"/>
          <w:lang w:val="en-US" w:eastAsia="zh-CN"/>
        </w:rPr>
        <w:t>8</w:t>
      </w:r>
      <w:r>
        <w:rPr>
          <w:rFonts w:hint="eastAsia" w:cs="宋体"/>
          <w:sz w:val="28"/>
          <w:szCs w:val="28"/>
        </w:rPr>
        <w:t>、</w:t>
      </w:r>
      <w:r>
        <w:rPr>
          <w:rFonts w:hint="eastAsia" w:ascii="宋体" w:cs="宋体"/>
          <w:b/>
          <w:bCs/>
          <w:kern w:val="0"/>
          <w:sz w:val="28"/>
          <w:szCs w:val="28"/>
        </w:rPr>
        <w:t>技术</w:t>
      </w:r>
      <w:r>
        <w:rPr>
          <w:rFonts w:hint="eastAsia" w:ascii="宋体" w:cs="宋体"/>
          <w:b/>
          <w:bCs/>
          <w:kern w:val="0"/>
          <w:sz w:val="28"/>
          <w:szCs w:val="28"/>
          <w:lang w:val="en-US" w:eastAsia="zh-CN"/>
        </w:rPr>
        <w:t>评价</w:t>
      </w:r>
      <w:r>
        <w:rPr>
          <w:rFonts w:hint="eastAsia" w:ascii="宋体" w:cs="宋体"/>
          <w:b/>
          <w:bCs/>
          <w:kern w:val="0"/>
          <w:sz w:val="28"/>
          <w:szCs w:val="28"/>
        </w:rPr>
        <w:t>计划</w:t>
      </w:r>
      <w:bookmarkEnd w:id="3"/>
    </w:p>
    <w:tbl>
      <w:tblPr>
        <w:tblStyle w:val="8"/>
        <w:tblW w:w="7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9"/>
        <w:gridCol w:w="6452"/>
      </w:tblGrid>
      <w:tr w14:paraId="18A67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jc w:val="center"/>
        </w:trPr>
        <w:tc>
          <w:tcPr>
            <w:tcW w:w="1499" w:type="dxa"/>
            <w:vAlign w:val="center"/>
          </w:tcPr>
          <w:p w14:paraId="1E0615D2">
            <w:pPr>
              <w:widowControl/>
              <w:jc w:val="left"/>
              <w:textAlignment w:val="center"/>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时间节点</w:t>
            </w:r>
          </w:p>
        </w:tc>
        <w:tc>
          <w:tcPr>
            <w:tcW w:w="6452" w:type="dxa"/>
            <w:vAlign w:val="center"/>
          </w:tcPr>
          <w:p w14:paraId="30C7C4F1">
            <w:pPr>
              <w:widowControl/>
              <w:jc w:val="left"/>
              <w:textAlignment w:val="center"/>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完成内容及交付项</w:t>
            </w:r>
          </w:p>
        </w:tc>
      </w:tr>
      <w:tr w14:paraId="01B4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5" w:hRule="atLeast"/>
          <w:jc w:val="center"/>
        </w:trPr>
        <w:tc>
          <w:tcPr>
            <w:tcW w:w="1499" w:type="dxa"/>
            <w:vAlign w:val="center"/>
          </w:tcPr>
          <w:p w14:paraId="558894A8">
            <w:pPr>
              <w:widowControl/>
              <w:jc w:val="left"/>
              <w:textAlignment w:val="center"/>
              <w:rPr>
                <w:rFonts w:hint="default"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从自合同签订之日起至 2026 年12月31日止</w:t>
            </w:r>
          </w:p>
        </w:tc>
        <w:tc>
          <w:tcPr>
            <w:tcW w:w="6452" w:type="dxa"/>
            <w:vAlign w:val="center"/>
          </w:tcPr>
          <w:p w14:paraId="1EB3DDD2">
            <w:pPr>
              <w:widowControl/>
              <w:jc w:val="left"/>
              <w:textAlignment w:val="center"/>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1. 组织完成形式审查：对申报材料的完整性、规范性进行审核，确保符合受理要求。</w:t>
            </w:r>
          </w:p>
          <w:p w14:paraId="5AE34A6A">
            <w:pPr>
              <w:widowControl/>
              <w:jc w:val="left"/>
              <w:textAlignment w:val="center"/>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2. 组织召开专家评审会议并出具</w:t>
            </w:r>
            <w:r>
              <w:rPr>
                <w:rFonts w:hint="eastAsia" w:ascii="宋体" w:hAnsi="宋体" w:eastAsia="宋体" w:cs="宋体"/>
                <w:b w:val="0"/>
                <w:bCs w:val="0"/>
                <w:kern w:val="0"/>
                <w:sz w:val="28"/>
                <w:szCs w:val="28"/>
                <w:lang w:val="en-US" w:eastAsia="zh-CN" w:bidi="ar-SA"/>
              </w:rPr>
              <w:t>专有技术证书</w:t>
            </w:r>
            <w:r>
              <w:rPr>
                <w:rFonts w:hint="eastAsia" w:ascii="宋体" w:hAnsi="宋体" w:cs="宋体"/>
                <w:b w:val="0"/>
                <w:bCs w:val="0"/>
                <w:kern w:val="0"/>
                <w:sz w:val="28"/>
                <w:szCs w:val="28"/>
                <w:lang w:val="en-US" w:eastAsia="zh-CN"/>
              </w:rPr>
              <w:t>：邀请相关领域专家，对通过形式审查的专有技术进行会议评审，重点评价其技术创新性、先进性和实用性；对通过评审的项目进行公示，最终由认定机构批准并颁发专有技术证书。</w:t>
            </w:r>
          </w:p>
          <w:p w14:paraId="4853EA02">
            <w:pPr>
              <w:widowControl/>
              <w:jc w:val="left"/>
              <w:textAlignment w:val="center"/>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交付项：</w:t>
            </w:r>
          </w:p>
          <w:p w14:paraId="4645307F">
            <w:pPr>
              <w:widowControl/>
              <w:jc w:val="left"/>
              <w:textAlignment w:val="center"/>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1. 《专有技术申报材料形式审查意见》</w:t>
            </w:r>
          </w:p>
          <w:p w14:paraId="06AB2AC2">
            <w:pPr>
              <w:widowControl/>
              <w:jc w:val="left"/>
              <w:textAlignment w:val="center"/>
              <w:rPr>
                <w:rFonts w:hint="eastAsia"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2. 《专有技术专家评审会议纪要》及《专有技术证书》</w:t>
            </w:r>
          </w:p>
        </w:tc>
      </w:tr>
    </w:tbl>
    <w:p w14:paraId="67243727">
      <w:pPr>
        <w:autoSpaceDE w:val="0"/>
        <w:autoSpaceDN w:val="0"/>
        <w:adjustRightInd w:val="0"/>
        <w:spacing w:line="360" w:lineRule="auto"/>
        <w:jc w:val="left"/>
        <w:outlineLvl w:val="0"/>
        <w:rPr>
          <w:rFonts w:cs="宋体"/>
          <w:sz w:val="28"/>
          <w:szCs w:val="28"/>
        </w:rPr>
      </w:pPr>
      <w:bookmarkStart w:id="4" w:name="_Toc3145_WPSOffice_Level1"/>
      <w:r>
        <w:rPr>
          <w:rFonts w:hint="eastAsia" w:cs="宋体"/>
          <w:sz w:val="28"/>
          <w:szCs w:val="28"/>
          <w:lang w:val="en-US" w:eastAsia="zh-CN"/>
        </w:rPr>
        <w:t>9</w:t>
      </w:r>
      <w:r>
        <w:rPr>
          <w:rFonts w:hint="eastAsia" w:cs="宋体"/>
          <w:sz w:val="28"/>
          <w:szCs w:val="28"/>
        </w:rPr>
        <w:t>、</w:t>
      </w:r>
      <w:r>
        <w:rPr>
          <w:rFonts w:hint="eastAsia" w:ascii="宋体" w:cs="宋体"/>
          <w:b/>
          <w:bCs/>
          <w:kern w:val="0"/>
          <w:sz w:val="28"/>
          <w:szCs w:val="28"/>
        </w:rPr>
        <w:t>项目交付物</w:t>
      </w:r>
      <w:bookmarkEnd w:id="4"/>
    </w:p>
    <w:p w14:paraId="5755F487">
      <w:pPr>
        <w:widowControl/>
        <w:ind w:firstLine="560" w:firstLineChars="200"/>
        <w:jc w:val="left"/>
        <w:rPr>
          <w:rFonts w:hint="eastAsia" w:ascii="宋体" w:hAnsi="宋体" w:eastAsia="宋体" w:cs="宋体"/>
          <w:b w:val="0"/>
          <w:bCs w:val="0"/>
          <w:kern w:val="0"/>
          <w:sz w:val="28"/>
          <w:szCs w:val="28"/>
          <w:lang w:val="en-US" w:eastAsia="zh-CN" w:bidi="ar-SA"/>
        </w:rPr>
      </w:pPr>
      <w:r>
        <w:rPr>
          <w:rFonts w:hint="eastAsia" w:ascii="宋体" w:hAnsi="宋体" w:eastAsia="宋体" w:cs="宋体"/>
          <w:b w:val="0"/>
          <w:bCs w:val="0"/>
          <w:kern w:val="0"/>
          <w:sz w:val="28"/>
          <w:szCs w:val="28"/>
          <w:lang w:val="en-US" w:eastAsia="zh-CN" w:bidi="ar-SA"/>
        </w:rPr>
        <w:t>本专有技术认定服务的最终交付物如下，将作为服务完成和</w:t>
      </w:r>
      <w:r>
        <w:rPr>
          <w:rFonts w:hint="eastAsia" w:ascii="宋体" w:hAnsi="宋体" w:cs="宋体"/>
          <w:b w:val="0"/>
          <w:bCs w:val="0"/>
          <w:kern w:val="0"/>
          <w:sz w:val="28"/>
          <w:szCs w:val="28"/>
          <w:lang w:val="en-US" w:eastAsia="zh-CN" w:bidi="ar-SA"/>
        </w:rPr>
        <w:t>最终</w:t>
      </w:r>
      <w:r>
        <w:rPr>
          <w:rFonts w:hint="eastAsia" w:ascii="宋体" w:hAnsi="宋体" w:eastAsia="宋体" w:cs="宋体"/>
          <w:b w:val="0"/>
          <w:bCs w:val="0"/>
          <w:kern w:val="0"/>
          <w:sz w:val="28"/>
          <w:szCs w:val="28"/>
          <w:lang w:val="en-US" w:eastAsia="zh-CN" w:bidi="ar-SA"/>
        </w:rPr>
        <w:t>付款的依据（以下文件齐全后一次性支付全款</w:t>
      </w:r>
      <w:r>
        <w:rPr>
          <w:rFonts w:hint="eastAsia" w:ascii="宋体" w:hAnsi="宋体" w:cs="宋体"/>
          <w:b w:val="0"/>
          <w:bCs w:val="0"/>
          <w:kern w:val="0"/>
          <w:sz w:val="28"/>
          <w:szCs w:val="28"/>
          <w:lang w:val="en-US" w:eastAsia="zh-CN" w:bidi="ar-SA"/>
        </w:rPr>
        <w:t>）</w:t>
      </w:r>
      <w:r>
        <w:rPr>
          <w:rFonts w:hint="eastAsia" w:ascii="宋体" w:hAnsi="宋体" w:eastAsia="宋体" w:cs="宋体"/>
          <w:b w:val="0"/>
          <w:bCs w:val="0"/>
          <w:kern w:val="0"/>
          <w:sz w:val="28"/>
          <w:szCs w:val="28"/>
          <w:lang w:val="en-US" w:eastAsia="zh-CN" w:bidi="ar-SA"/>
        </w:rPr>
        <w:t>：</w:t>
      </w:r>
    </w:p>
    <w:p w14:paraId="509DFDC7">
      <w:pPr>
        <w:widowControl/>
        <w:numPr>
          <w:ilvl w:val="0"/>
          <w:numId w:val="2"/>
        </w:numPr>
        <w:jc w:val="left"/>
        <w:rPr>
          <w:rFonts w:hint="eastAsia" w:ascii="宋体" w:hAnsi="宋体" w:eastAsia="宋体" w:cs="宋体"/>
          <w:b w:val="0"/>
          <w:bCs w:val="0"/>
          <w:kern w:val="0"/>
          <w:sz w:val="28"/>
          <w:szCs w:val="28"/>
          <w:lang w:val="en-US" w:eastAsia="zh-CN" w:bidi="ar-SA"/>
        </w:rPr>
      </w:pPr>
      <w:r>
        <w:rPr>
          <w:rFonts w:hint="eastAsia" w:ascii="宋体" w:hAnsi="宋体" w:eastAsia="宋体" w:cs="宋体"/>
          <w:b w:val="0"/>
          <w:bCs w:val="0"/>
          <w:kern w:val="0"/>
          <w:sz w:val="28"/>
          <w:szCs w:val="28"/>
          <w:lang w:val="en-US" w:eastAsia="zh-CN" w:bidi="ar-SA"/>
        </w:rPr>
        <w:t>《</w:t>
      </w:r>
      <w:r>
        <w:rPr>
          <w:rFonts w:hint="eastAsia" w:ascii="宋体" w:hAnsi="宋体" w:cs="宋体"/>
          <w:b w:val="0"/>
          <w:bCs w:val="0"/>
          <w:kern w:val="0"/>
          <w:sz w:val="28"/>
          <w:szCs w:val="28"/>
          <w:lang w:val="en-US" w:eastAsia="zh-CN" w:bidi="ar-SA"/>
        </w:rPr>
        <w:t>科技</w:t>
      </w:r>
      <w:r>
        <w:rPr>
          <w:rFonts w:hint="eastAsia" w:ascii="宋体" w:hAnsi="宋体" w:eastAsia="宋体" w:cs="宋体"/>
          <w:b w:val="0"/>
          <w:bCs w:val="0"/>
          <w:kern w:val="0"/>
          <w:sz w:val="28"/>
          <w:szCs w:val="28"/>
          <w:lang w:val="en-US" w:eastAsia="zh-CN" w:bidi="ar-SA"/>
        </w:rPr>
        <w:t>项目</w:t>
      </w:r>
      <w:r>
        <w:rPr>
          <w:rFonts w:hint="eastAsia" w:ascii="宋体" w:hAnsi="宋体" w:cs="宋体"/>
          <w:b w:val="0"/>
          <w:bCs w:val="0"/>
          <w:kern w:val="2"/>
          <w:sz w:val="28"/>
          <w:szCs w:val="28"/>
          <w:lang w:val="en-US" w:eastAsia="zh-CN" w:bidi="ar-SA"/>
        </w:rPr>
        <w:t>申报材料受理回执或受理通知</w:t>
      </w:r>
      <w:r>
        <w:rPr>
          <w:rFonts w:hint="eastAsia" w:ascii="宋体" w:hAnsi="宋体" w:eastAsia="宋体" w:cs="宋体"/>
          <w:b w:val="0"/>
          <w:bCs w:val="0"/>
          <w:kern w:val="0"/>
          <w:sz w:val="28"/>
          <w:szCs w:val="28"/>
          <w:lang w:val="en-US" w:eastAsia="zh-CN" w:bidi="ar-SA"/>
        </w:rPr>
        <w:t>》</w:t>
      </w:r>
    </w:p>
    <w:p w14:paraId="33BC5013">
      <w:pPr>
        <w:widowControl/>
        <w:jc w:val="left"/>
        <w:rPr>
          <w:rFonts w:hint="eastAsia" w:ascii="宋体" w:hAnsi="宋体" w:eastAsia="宋体" w:cs="宋体"/>
          <w:b w:val="0"/>
          <w:bCs w:val="0"/>
          <w:kern w:val="0"/>
          <w:sz w:val="28"/>
          <w:szCs w:val="28"/>
          <w:lang w:val="en-US" w:eastAsia="zh-CN" w:bidi="ar-SA"/>
        </w:rPr>
      </w:pPr>
      <w:r>
        <w:rPr>
          <w:rFonts w:hint="eastAsia" w:ascii="宋体" w:hAnsi="宋体" w:eastAsia="宋体" w:cs="宋体"/>
          <w:b w:val="0"/>
          <w:bCs w:val="0"/>
          <w:kern w:val="0"/>
          <w:sz w:val="28"/>
          <w:szCs w:val="28"/>
          <w:lang w:val="en-US" w:eastAsia="zh-CN" w:bidi="ar-SA"/>
        </w:rPr>
        <w:t>(说明：证明形式审查完成，材料已正式受理的依据)</w:t>
      </w:r>
    </w:p>
    <w:p w14:paraId="5A06B969">
      <w:pPr>
        <w:widowControl/>
        <w:jc w:val="left"/>
        <w:rPr>
          <w:rFonts w:hint="default" w:ascii="宋体" w:hAnsi="宋体" w:eastAsia="宋体" w:cs="宋体"/>
          <w:b w:val="0"/>
          <w:bCs w:val="0"/>
          <w:kern w:val="0"/>
          <w:sz w:val="28"/>
          <w:szCs w:val="28"/>
          <w:lang w:val="en-US" w:eastAsia="zh-CN" w:bidi="ar-SA"/>
        </w:rPr>
      </w:pPr>
      <w:r>
        <w:rPr>
          <w:rFonts w:hint="eastAsia" w:ascii="宋体" w:hAnsi="宋体" w:cs="宋体"/>
          <w:b w:val="0"/>
          <w:bCs w:val="0"/>
          <w:kern w:val="0"/>
          <w:sz w:val="28"/>
          <w:szCs w:val="28"/>
          <w:lang w:val="en-US" w:eastAsia="zh-CN" w:bidi="ar-SA"/>
        </w:rPr>
        <w:t>（2）</w:t>
      </w:r>
      <w:r>
        <w:rPr>
          <w:rFonts w:hint="eastAsia" w:ascii="宋体" w:hAnsi="宋体" w:eastAsia="宋体" w:cs="宋体"/>
          <w:b w:val="0"/>
          <w:bCs w:val="0"/>
          <w:kern w:val="0"/>
          <w:sz w:val="28"/>
          <w:szCs w:val="28"/>
          <w:lang w:val="en-US" w:eastAsia="zh-CN" w:bidi="ar-SA"/>
        </w:rPr>
        <w:t>《</w:t>
      </w:r>
      <w:r>
        <w:rPr>
          <w:rFonts w:hint="eastAsia" w:ascii="宋体" w:hAnsi="宋体" w:cs="宋体"/>
          <w:b w:val="0"/>
          <w:bCs w:val="0"/>
          <w:kern w:val="0"/>
          <w:sz w:val="28"/>
          <w:szCs w:val="28"/>
          <w:lang w:val="en-US" w:eastAsia="zh-CN" w:bidi="ar-SA"/>
        </w:rPr>
        <w:t>科技</w:t>
      </w:r>
      <w:r>
        <w:rPr>
          <w:rFonts w:hint="eastAsia" w:ascii="宋体" w:hAnsi="宋体" w:eastAsia="宋体" w:cs="宋体"/>
          <w:b w:val="0"/>
          <w:bCs w:val="0"/>
          <w:kern w:val="0"/>
          <w:sz w:val="28"/>
          <w:szCs w:val="28"/>
          <w:lang w:val="en-US" w:eastAsia="zh-CN" w:bidi="ar-SA"/>
        </w:rPr>
        <w:t>项目专有技术</w:t>
      </w:r>
      <w:r>
        <w:rPr>
          <w:rFonts w:hint="eastAsia" w:ascii="宋体" w:hAnsi="宋体" w:cs="宋体"/>
          <w:b w:val="0"/>
          <w:bCs w:val="0"/>
          <w:kern w:val="0"/>
          <w:sz w:val="28"/>
          <w:szCs w:val="28"/>
          <w:lang w:val="en-US" w:eastAsia="zh-CN" w:bidi="ar-SA"/>
        </w:rPr>
        <w:t>专家评审</w:t>
      </w:r>
      <w:r>
        <w:rPr>
          <w:rFonts w:hint="eastAsia" w:ascii="宋体" w:hAnsi="宋体" w:eastAsia="宋体" w:cs="宋体"/>
          <w:b w:val="0"/>
          <w:bCs w:val="0"/>
          <w:kern w:val="0"/>
          <w:sz w:val="28"/>
          <w:szCs w:val="28"/>
          <w:lang w:val="en-US" w:eastAsia="zh-CN" w:bidi="ar-SA"/>
        </w:rPr>
        <w:t>结论通知》</w:t>
      </w:r>
      <w:r>
        <w:rPr>
          <w:rFonts w:hint="eastAsia" w:ascii="宋体" w:hAnsi="宋体" w:cs="宋体"/>
          <w:b w:val="0"/>
          <w:bCs w:val="0"/>
          <w:kern w:val="0"/>
          <w:sz w:val="28"/>
          <w:szCs w:val="28"/>
          <w:lang w:val="en-US" w:eastAsia="zh-CN" w:bidi="ar-SA"/>
        </w:rPr>
        <w:t>及</w:t>
      </w:r>
      <w:r>
        <w:rPr>
          <w:rFonts w:hint="eastAsia" w:ascii="宋体" w:hAnsi="宋体" w:eastAsia="宋体" w:cs="宋体"/>
          <w:b w:val="0"/>
          <w:bCs w:val="0"/>
          <w:kern w:val="0"/>
          <w:sz w:val="28"/>
          <w:szCs w:val="28"/>
          <w:lang w:val="en-US" w:eastAsia="zh-CN" w:bidi="ar-SA"/>
        </w:rPr>
        <w:t>《专有技术证书》（或同等效力的批准文件）</w:t>
      </w:r>
    </w:p>
    <w:p w14:paraId="506A902D">
      <w:pPr>
        <w:autoSpaceDE w:val="0"/>
        <w:autoSpaceDN w:val="0"/>
        <w:adjustRightInd w:val="0"/>
        <w:spacing w:line="360" w:lineRule="auto"/>
        <w:jc w:val="left"/>
        <w:outlineLvl w:val="0"/>
        <w:rPr>
          <w:rFonts w:hint="eastAsia" w:cs="宋体"/>
          <w:sz w:val="28"/>
          <w:szCs w:val="28"/>
          <w:lang w:val="en-US" w:eastAsia="zh-CN"/>
        </w:rPr>
      </w:pPr>
      <w:r>
        <w:rPr>
          <w:rFonts w:hint="eastAsia" w:ascii="宋体" w:hAnsi="宋体" w:eastAsia="宋体" w:cs="宋体"/>
          <w:b w:val="0"/>
          <w:bCs w:val="0"/>
          <w:kern w:val="0"/>
          <w:sz w:val="28"/>
          <w:szCs w:val="28"/>
          <w:lang w:val="en-US" w:eastAsia="zh-CN" w:bidi="ar-SA"/>
        </w:rPr>
        <w:t>(说明：证明专家评审通过并完成最终认证的依据</w:t>
      </w:r>
      <w:r>
        <w:rPr>
          <w:rFonts w:hint="eastAsia" w:cs="宋体"/>
          <w:sz w:val="28"/>
          <w:szCs w:val="28"/>
          <w:lang w:val="en-US" w:eastAsia="zh-CN"/>
        </w:rPr>
        <w:t>)</w:t>
      </w:r>
      <w:r>
        <w:rPr>
          <w:rFonts w:hint="eastAsia" w:cs="宋体"/>
          <w:sz w:val="28"/>
          <w:szCs w:val="28"/>
          <w:lang w:val="en-US" w:eastAsia="zh-CN"/>
        </w:rPr>
        <w:br w:type="textWrapping"/>
      </w:r>
      <w:r>
        <w:rPr>
          <w:rFonts w:hint="eastAsia" w:cs="宋体"/>
          <w:sz w:val="28"/>
          <w:szCs w:val="28"/>
          <w:lang w:val="en-US" w:eastAsia="zh-CN"/>
        </w:rPr>
        <w:t>10、 投标人资格与服务要求</w:t>
      </w:r>
    </w:p>
    <w:p w14:paraId="1B23CDD7">
      <w:pPr>
        <w:autoSpaceDE w:val="0"/>
        <w:autoSpaceDN w:val="0"/>
        <w:adjustRightInd w:val="0"/>
        <w:spacing w:line="360" w:lineRule="auto"/>
        <w:jc w:val="left"/>
        <w:outlineLvl w:val="0"/>
        <w:rPr>
          <w:rFonts w:hint="eastAsia" w:cs="宋体"/>
          <w:sz w:val="28"/>
          <w:szCs w:val="28"/>
          <w:lang w:val="en-US" w:eastAsia="zh-CN"/>
        </w:rPr>
      </w:pPr>
      <w:r>
        <w:rPr>
          <w:rFonts w:hint="eastAsia" w:cs="宋体"/>
          <w:sz w:val="28"/>
          <w:szCs w:val="28"/>
          <w:lang w:val="en-US" w:eastAsia="zh-CN"/>
        </w:rPr>
        <w:t>10.1 投标人资格要求</w:t>
      </w:r>
    </w:p>
    <w:p w14:paraId="6408A7F4">
      <w:pPr>
        <w:autoSpaceDE w:val="0"/>
        <w:autoSpaceDN w:val="0"/>
        <w:adjustRightInd w:val="0"/>
        <w:spacing w:line="360" w:lineRule="auto"/>
        <w:jc w:val="left"/>
        <w:outlineLvl w:val="0"/>
        <w:rPr>
          <w:rFonts w:hint="eastAsia" w:cs="宋体"/>
          <w:sz w:val="28"/>
          <w:szCs w:val="28"/>
          <w:lang w:val="en-US" w:eastAsia="zh-CN"/>
        </w:rPr>
      </w:pPr>
      <w:r>
        <w:rPr>
          <w:rFonts w:hint="eastAsia" w:cs="宋体"/>
          <w:sz w:val="28"/>
          <w:szCs w:val="28"/>
          <w:lang w:val="en-US" w:eastAsia="zh-CN"/>
        </w:rPr>
        <w:t>（1）投标人必须是在中华人民共和国境内注册的独立法人或其他组织，持有合法有效的营业执照或事业单位法人证书等登记证明文件（提供清晰扫描件，且在投标截止日处于有效状态）。</w:t>
      </w:r>
    </w:p>
    <w:p w14:paraId="707E46EA">
      <w:pPr>
        <w:autoSpaceDE w:val="0"/>
        <w:autoSpaceDN w:val="0"/>
        <w:adjustRightInd w:val="0"/>
        <w:spacing w:line="360" w:lineRule="auto"/>
        <w:jc w:val="left"/>
        <w:outlineLvl w:val="0"/>
        <w:rPr>
          <w:rFonts w:hint="eastAsia" w:cs="宋体"/>
          <w:sz w:val="28"/>
          <w:szCs w:val="28"/>
          <w:lang w:val="en-US" w:eastAsia="zh-CN"/>
        </w:rPr>
      </w:pPr>
      <w:r>
        <w:rPr>
          <w:rFonts w:hint="eastAsia" w:cs="宋体"/>
          <w:sz w:val="28"/>
          <w:szCs w:val="28"/>
          <w:lang w:val="en-US" w:eastAsia="zh-CN"/>
        </w:rPr>
        <w:t>（2）投标人自2023年1月1日以来（以合同签订时间为准），须至少承担过1项电力能源领域（包括但不限于储能、虚拟电厂、新能源发电、智能电网等方向）的科技成果评价、专有技术认定、知识产权评议或技术秘密认定相关的项目业绩（须提供合同关键页扫描件，至少包含合同首页、能体现服务内容的相关页、双方签字盖章页，以及能证明合同已履行或正在履行的相关证明材料，如验收证明、用户报告、付款凭证等）。</w:t>
      </w:r>
    </w:p>
    <w:p w14:paraId="5BFFD394">
      <w:pPr>
        <w:autoSpaceDE w:val="0"/>
        <w:autoSpaceDN w:val="0"/>
        <w:adjustRightInd w:val="0"/>
        <w:spacing w:line="360" w:lineRule="auto"/>
        <w:jc w:val="left"/>
        <w:outlineLvl w:val="0"/>
        <w:rPr>
          <w:rFonts w:hint="eastAsia" w:cs="宋体"/>
          <w:sz w:val="28"/>
          <w:szCs w:val="28"/>
          <w:lang w:val="en-US" w:eastAsia="zh-CN"/>
        </w:rPr>
      </w:pPr>
      <w:r>
        <w:rPr>
          <w:rFonts w:hint="eastAsia" w:cs="宋体"/>
          <w:sz w:val="28"/>
          <w:szCs w:val="28"/>
          <w:lang w:val="en-US" w:eastAsia="zh-CN"/>
        </w:rPr>
        <w:t>10.2 评审专家团队要求（服务履约要求）</w:t>
      </w:r>
    </w:p>
    <w:p w14:paraId="5F32BBFE">
      <w:pPr>
        <w:widowControl/>
        <w:ind w:firstLine="560" w:firstLineChars="200"/>
        <w:jc w:val="left"/>
        <w:rPr>
          <w:rFonts w:hint="eastAsia" w:cs="宋体"/>
          <w:sz w:val="28"/>
          <w:szCs w:val="28"/>
          <w:lang w:val="en-US" w:eastAsia="zh-CN"/>
        </w:rPr>
      </w:pPr>
      <w:r>
        <w:rPr>
          <w:rFonts w:hint="eastAsia" w:ascii="宋体" w:hAnsi="宋体" w:eastAsia="宋体" w:cs="宋体"/>
          <w:b w:val="0"/>
          <w:bCs w:val="0"/>
          <w:kern w:val="0"/>
          <w:sz w:val="28"/>
          <w:szCs w:val="28"/>
          <w:lang w:val="en-US" w:eastAsia="zh-CN" w:bidi="ar-SA"/>
        </w:rPr>
        <w:t>为确保本次专有技术认定工作的专业性、权威性和评审质量，中标人（服务方）在组织专家评审会议时，必须满足以下专家构成要求。此要求将作为合同条款的重要组成部分，并在后续服务验收时进行核查。</w:t>
      </w:r>
    </w:p>
    <w:p w14:paraId="40D23901">
      <w:pPr>
        <w:widowControl/>
        <w:ind w:firstLine="560" w:firstLineChars="200"/>
        <w:jc w:val="left"/>
        <w:rPr>
          <w:rFonts w:hint="eastAsia" w:cs="宋体"/>
          <w:sz w:val="28"/>
          <w:szCs w:val="28"/>
          <w:lang w:val="en-US" w:eastAsia="zh-CN"/>
        </w:rPr>
      </w:pPr>
      <w:r>
        <w:rPr>
          <w:rFonts w:hint="eastAsia" w:ascii="宋体" w:hAnsi="宋体" w:eastAsia="宋体" w:cs="宋体"/>
          <w:b w:val="0"/>
          <w:bCs w:val="0"/>
          <w:kern w:val="0"/>
          <w:sz w:val="28"/>
          <w:szCs w:val="28"/>
          <w:lang w:val="en-US" w:eastAsia="zh-CN" w:bidi="ar-SA"/>
        </w:rPr>
        <w:t>专家组成：针对“基于自主可控大模型的多市场耦合交易智能决策虚拟电厂关键技术研究与示范应用”等7个科技项目（详见本方案第1、3.2条）的专有技术认定评审，每个项目的评审会议均应由不少于7名专家组成评审组。</w:t>
      </w:r>
    </w:p>
    <w:p w14:paraId="47D97C9F">
      <w:pPr>
        <w:autoSpaceDE w:val="0"/>
        <w:autoSpaceDN w:val="0"/>
        <w:adjustRightInd w:val="0"/>
        <w:spacing w:line="360" w:lineRule="auto"/>
        <w:ind w:firstLine="560" w:firstLineChars="200"/>
        <w:jc w:val="left"/>
        <w:outlineLvl w:val="0"/>
        <w:rPr>
          <w:rFonts w:hint="eastAsia" w:cs="宋体"/>
          <w:sz w:val="28"/>
          <w:szCs w:val="28"/>
          <w:lang w:val="en-US" w:eastAsia="zh-CN"/>
        </w:rPr>
      </w:pPr>
      <w:r>
        <w:rPr>
          <w:rFonts w:hint="eastAsia" w:cs="宋体"/>
          <w:sz w:val="28"/>
          <w:szCs w:val="28"/>
          <w:lang w:val="en-US" w:eastAsia="zh-CN"/>
        </w:rPr>
        <w:t>专家资质：评审组中应至少包含1名具备正高级技术职称的专家；</w:t>
      </w:r>
    </w:p>
    <w:p w14:paraId="1C5F8581">
      <w:pPr>
        <w:autoSpaceDE w:val="0"/>
        <w:autoSpaceDN w:val="0"/>
        <w:adjustRightInd w:val="0"/>
        <w:spacing w:line="360" w:lineRule="auto"/>
        <w:jc w:val="left"/>
        <w:outlineLvl w:val="0"/>
        <w:rPr>
          <w:rFonts w:hint="default" w:cs="宋体"/>
          <w:sz w:val="28"/>
          <w:szCs w:val="28"/>
          <w:lang w:val="en-US" w:eastAsia="zh-CN"/>
        </w:rPr>
      </w:pPr>
      <w:r>
        <w:rPr>
          <w:rFonts w:hint="eastAsia" w:cs="宋体"/>
          <w:sz w:val="28"/>
          <w:szCs w:val="28"/>
          <w:lang w:val="en-US" w:eastAsia="zh-CN"/>
        </w:rPr>
        <w:t>评审组中应至少包含3名具备副高级技术职称的专家。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AE0DD6"/>
    <w:multiLevelType w:val="singleLevel"/>
    <w:tmpl w:val="20AE0DD6"/>
    <w:lvl w:ilvl="0" w:tentative="0">
      <w:start w:val="3"/>
      <w:numFmt w:val="decimal"/>
      <w:lvlText w:val="%1."/>
      <w:lvlJc w:val="left"/>
      <w:pPr>
        <w:tabs>
          <w:tab w:val="left" w:pos="312"/>
        </w:tabs>
      </w:pPr>
    </w:lvl>
  </w:abstractNum>
  <w:abstractNum w:abstractNumId="1">
    <w:nsid w:val="20C0376F"/>
    <w:multiLevelType w:val="singleLevel"/>
    <w:tmpl w:val="20C0376F"/>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zNGZkOTUwZWQ2YzAxMjAxYWRmN2M3YTgzMjk3M2EifQ=="/>
  </w:docVars>
  <w:rsids>
    <w:rsidRoot w:val="00BF76D0"/>
    <w:rsid w:val="001A7196"/>
    <w:rsid w:val="001B2046"/>
    <w:rsid w:val="00225ABA"/>
    <w:rsid w:val="005B0DB1"/>
    <w:rsid w:val="006B51BA"/>
    <w:rsid w:val="007220DD"/>
    <w:rsid w:val="008A7303"/>
    <w:rsid w:val="00B374C3"/>
    <w:rsid w:val="00BF76D0"/>
    <w:rsid w:val="00CC5D10"/>
    <w:rsid w:val="00CF0831"/>
    <w:rsid w:val="00D55A27"/>
    <w:rsid w:val="00D85666"/>
    <w:rsid w:val="00EE4D26"/>
    <w:rsid w:val="015C162F"/>
    <w:rsid w:val="024456E0"/>
    <w:rsid w:val="05EA5E32"/>
    <w:rsid w:val="0881612C"/>
    <w:rsid w:val="09BE1C9B"/>
    <w:rsid w:val="0ABA2849"/>
    <w:rsid w:val="0DBA6115"/>
    <w:rsid w:val="12DF5DD2"/>
    <w:rsid w:val="17EE0A35"/>
    <w:rsid w:val="1B7A3BFE"/>
    <w:rsid w:val="24F57420"/>
    <w:rsid w:val="267E3B4D"/>
    <w:rsid w:val="28163FB6"/>
    <w:rsid w:val="355C036B"/>
    <w:rsid w:val="3BD14160"/>
    <w:rsid w:val="42642970"/>
    <w:rsid w:val="43B104BA"/>
    <w:rsid w:val="44B1142F"/>
    <w:rsid w:val="4B616E5E"/>
    <w:rsid w:val="4E4F745E"/>
    <w:rsid w:val="4E9857BD"/>
    <w:rsid w:val="4F654768"/>
    <w:rsid w:val="515F5822"/>
    <w:rsid w:val="52E446B2"/>
    <w:rsid w:val="54DF2C79"/>
    <w:rsid w:val="56955AC7"/>
    <w:rsid w:val="56AB6FEB"/>
    <w:rsid w:val="59786D1A"/>
    <w:rsid w:val="5C5115D2"/>
    <w:rsid w:val="66073993"/>
    <w:rsid w:val="67564630"/>
    <w:rsid w:val="6C93065A"/>
    <w:rsid w:val="70671669"/>
    <w:rsid w:val="71953028"/>
    <w:rsid w:val="73AE66A3"/>
    <w:rsid w:val="763E0E8A"/>
    <w:rsid w:val="783A6823"/>
    <w:rsid w:val="78F5264F"/>
    <w:rsid w:val="7C330E4A"/>
    <w:rsid w:val="FF9D18A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ascii="Times New Roman" w:hAnsi="Times New Roman"/>
      <w:b/>
      <w:bCs/>
      <w:kern w:val="44"/>
      <w:sz w:val="44"/>
      <w:szCs w:val="44"/>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11">
    <w:name w:val="Strong"/>
    <w:basedOn w:val="10"/>
    <w:qFormat/>
    <w:uiPriority w:val="0"/>
    <w:rPr>
      <w:b/>
    </w:rPr>
  </w:style>
  <w:style w:type="paragraph" w:customStyle="1" w:styleId="12">
    <w:name w:val="WPSOffice手动目录 1"/>
    <w:qFormat/>
    <w:uiPriority w:val="0"/>
    <w:rPr>
      <w:rFonts w:ascii="Times New Roman" w:hAnsi="Times New Roman" w:eastAsia="宋体" w:cs="Times New Roman"/>
      <w:lang w:val="en-US" w:eastAsia="zh-CN" w:bidi="ar-SA"/>
    </w:rPr>
  </w:style>
  <w:style w:type="paragraph" w:customStyle="1" w:styleId="13">
    <w:name w:val="WPSOffice手动目录 2"/>
    <w:qFormat/>
    <w:uiPriority w:val="0"/>
    <w:pPr>
      <w:ind w:left="200" w:leftChars="200"/>
    </w:pPr>
    <w:rPr>
      <w:rFonts w:ascii="Times New Roman" w:hAnsi="Times New Roman" w:eastAsia="宋体" w:cs="Times New Roman"/>
      <w:lang w:val="en-US" w:eastAsia="zh-CN" w:bidi="ar-SA"/>
    </w:rPr>
  </w:style>
  <w:style w:type="paragraph" w:styleId="14">
    <w:name w:val="List Paragraph"/>
    <w:basedOn w:val="1"/>
    <w:qFormat/>
    <w:uiPriority w:val="99"/>
    <w:pPr>
      <w:ind w:firstLine="420" w:firstLineChars="200"/>
    </w:pPr>
  </w:style>
  <w:style w:type="character" w:customStyle="1" w:styleId="15">
    <w:name w:val="页眉 字符"/>
    <w:basedOn w:val="10"/>
    <w:link w:val="6"/>
    <w:qFormat/>
    <w:uiPriority w:val="0"/>
    <w:rPr>
      <w:rFonts w:ascii="Calibri" w:hAnsi="Calibri" w:eastAsia="宋体" w:cs="Times New Roman"/>
      <w:kern w:val="2"/>
      <w:sz w:val="18"/>
      <w:szCs w:val="18"/>
    </w:rPr>
  </w:style>
  <w:style w:type="paragraph" w:customStyle="1" w:styleId="16">
    <w:name w:val="封面标准名称"/>
    <w:basedOn w:val="1"/>
    <w:qFormat/>
    <w:uiPriority w:val="0"/>
    <w:pPr>
      <w:keepNext w:val="0"/>
      <w:keepLines w:val="0"/>
      <w:widowControl w:val="0"/>
      <w:suppressLineNumbers w:val="0"/>
      <w:spacing w:before="0" w:beforeAutospacing="0" w:after="0" w:afterAutospacing="0" w:line="680" w:lineRule="exact"/>
      <w:ind w:left="0" w:right="0"/>
      <w:jc w:val="center"/>
    </w:pPr>
    <w:rPr>
      <w:rFonts w:hint="eastAsia" w:ascii="黑体" w:hAnsi="Times New Roman" w:eastAsia="黑体" w:cs="Times New Roman"/>
      <w:kern w:val="0"/>
      <w:sz w:val="52"/>
      <w:szCs w:val="20"/>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627</Words>
  <Characters>774</Characters>
  <Lines>33</Lines>
  <Paragraphs>9</Paragraphs>
  <TotalTime>14</TotalTime>
  <ScaleCrop>false</ScaleCrop>
  <LinksUpToDate>false</LinksUpToDate>
  <CharactersWithSpaces>786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huangzhen2</dc:creator>
  <cp:lastModifiedBy>田雨倩</cp:lastModifiedBy>
  <dcterms:modified xsi:type="dcterms:W3CDTF">2026-04-03T02:16:10Z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8234083CD8B6424D88641C3B43F5370B</vt:lpwstr>
  </property>
</Properties>
</file>