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imes New Roman" w:hAnsi="Times New Roman" w:eastAsia="宋体" w:cs="Times New Roman"/>
          <w:b/>
          <w:bCs/>
          <w:snapToGrid/>
          <w:kern w:val="2"/>
          <w:sz w:val="28"/>
          <w:szCs w:val="24"/>
          <w:lang w:val="en-US" w:eastAsia="zh-CN"/>
        </w:rPr>
      </w:pPr>
      <w:r>
        <w:rPr>
          <w:rFonts w:hint="eastAsia"/>
          <w:b/>
          <w:bCs/>
          <w:sz w:val="28"/>
          <w:szCs w:val="24"/>
          <w:lang w:val="en-US" w:eastAsia="zh-CN"/>
        </w:rPr>
        <w:t>南网技术公司2026年电能质量监测</w:t>
      </w:r>
      <w:r>
        <w:rPr>
          <w:rFonts w:hint="eastAsia" w:ascii="Times New Roman" w:hAnsi="Times New Roman" w:eastAsia="宋体" w:cs="Times New Roman"/>
          <w:b/>
          <w:bCs/>
          <w:snapToGrid/>
          <w:kern w:val="2"/>
          <w:sz w:val="28"/>
          <w:szCs w:val="24"/>
          <w:lang w:val="en-US" w:eastAsia="zh-CN"/>
        </w:rPr>
        <w:t>装置</w:t>
      </w:r>
      <w:r>
        <w:rPr>
          <w:rFonts w:hint="eastAsia"/>
          <w:b/>
          <w:bCs/>
          <w:sz w:val="28"/>
          <w:szCs w:val="24"/>
        </w:rPr>
        <w:t>外观结构</w:t>
      </w:r>
      <w:r>
        <w:rPr>
          <w:rFonts w:hint="eastAsia" w:eastAsia="宋体"/>
          <w:b/>
          <w:bCs/>
          <w:sz w:val="28"/>
          <w:szCs w:val="24"/>
          <w:lang w:eastAsia="zh-CN"/>
        </w:rPr>
        <w:t>、</w:t>
      </w:r>
      <w:r>
        <w:rPr>
          <w:rFonts w:hint="eastAsia"/>
          <w:b/>
          <w:bCs/>
          <w:sz w:val="28"/>
          <w:szCs w:val="24"/>
        </w:rPr>
        <w:t>基本性能</w:t>
      </w:r>
      <w:r>
        <w:rPr>
          <w:rFonts w:hint="eastAsia" w:eastAsia="宋体"/>
          <w:b/>
          <w:bCs/>
          <w:sz w:val="28"/>
          <w:szCs w:val="24"/>
          <w:lang w:eastAsia="zh-CN"/>
        </w:rPr>
        <w:t>、</w:t>
      </w:r>
      <w:r>
        <w:rPr>
          <w:rFonts w:hint="eastAsia" w:eastAsia="宋体"/>
          <w:b/>
          <w:bCs/>
          <w:sz w:val="28"/>
          <w:szCs w:val="24"/>
          <w:lang w:val="en-US" w:eastAsia="zh-CN"/>
        </w:rPr>
        <w:t>功能及操作系统</w:t>
      </w:r>
      <w:r>
        <w:rPr>
          <w:rFonts w:hint="eastAsia"/>
          <w:b/>
          <w:bCs/>
          <w:sz w:val="28"/>
          <w:szCs w:val="24"/>
        </w:rPr>
        <w:t>检测</w:t>
      </w:r>
      <w:r>
        <w:rPr>
          <w:rFonts w:hint="eastAsia" w:eastAsia="宋体"/>
          <w:b/>
          <w:bCs/>
          <w:sz w:val="28"/>
          <w:szCs w:val="24"/>
          <w:lang w:val="en-US" w:eastAsia="zh-CN"/>
        </w:rPr>
        <w:t>委托服务</w:t>
      </w:r>
      <w:r>
        <w:rPr>
          <w:rFonts w:hint="eastAsia" w:ascii="Times New Roman" w:hAnsi="Times New Roman" w:eastAsia="宋体" w:cs="Times New Roman"/>
          <w:b/>
          <w:bCs/>
          <w:snapToGrid/>
          <w:kern w:val="2"/>
          <w:sz w:val="28"/>
          <w:szCs w:val="24"/>
          <w:lang w:val="en-US" w:eastAsia="zh-CN"/>
        </w:rPr>
        <w:t>零星采购技术附件</w:t>
      </w:r>
    </w:p>
    <w:p>
      <w:pPr>
        <w:spacing w:beforeLines="0" w:afterLines="0"/>
        <w:jc w:val="left"/>
        <w:rPr>
          <w:rFonts w:hint="eastAsia" w:ascii="宋体" w:hAnsi="宋体" w:eastAsia="宋体"/>
          <w:b/>
          <w:bCs/>
          <w:color w:val="000000"/>
          <w:sz w:val="28"/>
          <w:szCs w:val="36"/>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sz w:val="32"/>
          <w:szCs w:val="32"/>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napToGrid/>
          <w:kern w:val="2"/>
          <w:sz w:val="24"/>
          <w:szCs w:val="32"/>
          <w:lang w:val="en-US" w:eastAsia="zh-CN"/>
        </w:rPr>
      </w:pPr>
      <w:r>
        <w:rPr>
          <w:rFonts w:hint="eastAsia" w:ascii="仿宋_GB2312" w:hAnsi="仿宋_GB2312" w:eastAsia="仿宋_GB2312" w:cs="仿宋_GB2312"/>
          <w:snapToGrid/>
          <w:kern w:val="2"/>
          <w:sz w:val="24"/>
          <w:szCs w:val="32"/>
          <w:lang w:val="en-US" w:eastAsia="zh-CN"/>
        </w:rPr>
        <w:t>为检测南网技术公司电能质量监测装置外观与结构、功能、性能与操作系统等产品关键参数，验证是否满足相关技术标准与技术规范，拟开展电能质量监测装置外观结构、基本性能、功能及操作系统检测，检测项目明细</w:t>
      </w:r>
      <w:r>
        <w:rPr>
          <w:rFonts w:hint="eastAsia" w:ascii="仿宋_GB2312" w:hAnsi="仿宋_GB2312" w:eastAsia="仿宋_GB2312" w:cs="仿宋_GB2312"/>
          <w:sz w:val="24"/>
          <w:szCs w:val="32"/>
          <w:lang w:val="en-US" w:eastAsia="zh-CN"/>
        </w:rPr>
        <w:t>详见表1</w:t>
      </w:r>
      <w:r>
        <w:rPr>
          <w:rFonts w:hint="eastAsia" w:ascii="仿宋_GB2312" w:hAnsi="仿宋_GB2312" w:eastAsia="仿宋_GB2312" w:cs="仿宋_GB2312"/>
          <w:snapToGrid/>
          <w:kern w:val="2"/>
          <w:sz w:val="24"/>
          <w:szCs w:val="32"/>
          <w:lang w:val="en-US" w:eastAsia="zh-CN"/>
        </w:rPr>
        <w:t>。</w:t>
      </w:r>
    </w:p>
    <w:p>
      <w:pPr>
        <w:kinsoku/>
        <w:autoSpaceDE/>
        <w:autoSpaceDN/>
        <w:adjustRightInd/>
        <w:snapToGrid/>
        <w:spacing w:line="240" w:lineRule="auto"/>
        <w:jc w:val="center"/>
        <w:textAlignment w:val="auto"/>
        <w:rPr>
          <w:rFonts w:hint="default" w:ascii="仿宋_GB2312" w:hAnsi="仿宋_GB2312" w:eastAsia="仿宋_GB2312" w:cs="仿宋_GB2312"/>
          <w:b/>
          <w:bCs/>
          <w:snapToGrid/>
          <w:kern w:val="2"/>
          <w:sz w:val="21"/>
          <w:szCs w:val="21"/>
          <w:lang w:val="en-US" w:eastAsia="zh-CN"/>
        </w:rPr>
      </w:pPr>
      <w:r>
        <w:rPr>
          <w:rFonts w:hint="eastAsia" w:ascii="仿宋_GB2312" w:hAnsi="仿宋_GB2312" w:eastAsia="仿宋_GB2312" w:cs="仿宋_GB2312"/>
          <w:b/>
          <w:bCs/>
          <w:snapToGrid/>
          <w:kern w:val="2"/>
          <w:sz w:val="21"/>
          <w:szCs w:val="21"/>
          <w:lang w:val="en-US" w:eastAsia="zh-CN"/>
        </w:rPr>
        <w:t>表1 检测项目明细表</w:t>
      </w:r>
    </w:p>
    <w:tbl>
      <w:tblPr>
        <w:tblStyle w:val="7"/>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925"/>
        <w:gridCol w:w="3983"/>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35" w:type="dxa"/>
            <w:noWrap w:val="0"/>
            <w:vAlign w:val="center"/>
          </w:tcPr>
          <w:p>
            <w:pPr>
              <w:pStyle w:val="13"/>
              <w:spacing w:line="360"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rPr>
              <w:t>序号</w:t>
            </w:r>
          </w:p>
        </w:tc>
        <w:tc>
          <w:tcPr>
            <w:tcW w:w="1925" w:type="dxa"/>
            <w:noWrap w:val="0"/>
            <w:vAlign w:val="center"/>
          </w:tcPr>
          <w:p>
            <w:pPr>
              <w:pStyle w:val="13"/>
              <w:spacing w:line="360" w:lineRule="auto"/>
              <w:jc w:val="center"/>
              <w:rPr>
                <w:rFonts w:hint="eastAsia" w:ascii="仿宋_GB2312" w:hAnsi="仿宋_GB2312" w:eastAsia="仿宋_GB2312" w:cs="仿宋_GB2312"/>
                <w:b/>
                <w:sz w:val="21"/>
                <w:szCs w:val="21"/>
                <w:lang w:val="en-US"/>
              </w:rPr>
            </w:pPr>
            <w:r>
              <w:rPr>
                <w:rFonts w:hint="eastAsia" w:ascii="仿宋_GB2312" w:hAnsi="仿宋_GB2312" w:eastAsia="仿宋_GB2312" w:cs="仿宋_GB2312"/>
                <w:b/>
                <w:sz w:val="21"/>
                <w:szCs w:val="21"/>
                <w:lang w:val="en-US" w:eastAsia="zh-CN"/>
              </w:rPr>
              <w:t>检测项目类别</w:t>
            </w:r>
          </w:p>
        </w:tc>
        <w:tc>
          <w:tcPr>
            <w:tcW w:w="3983" w:type="dxa"/>
            <w:noWrap w:val="0"/>
            <w:vAlign w:val="center"/>
          </w:tcPr>
          <w:p>
            <w:pPr>
              <w:pStyle w:val="13"/>
              <w:spacing w:line="360" w:lineRule="auto"/>
              <w:jc w:val="center"/>
              <w:rPr>
                <w:rFonts w:hint="eastAsia" w:ascii="仿宋_GB2312" w:hAnsi="仿宋_GB2312" w:eastAsia="仿宋_GB2312" w:cs="仿宋_GB2312"/>
                <w:b/>
                <w:sz w:val="21"/>
                <w:szCs w:val="21"/>
              </w:rPr>
            </w:pPr>
            <w:r>
              <w:rPr>
                <w:rFonts w:hint="eastAsia" w:ascii="仿宋_GB2312" w:hAnsi="仿宋_GB2312" w:eastAsia="仿宋_GB2312" w:cs="仿宋_GB2312"/>
                <w:b/>
                <w:sz w:val="21"/>
                <w:szCs w:val="21"/>
                <w:lang w:val="en-US" w:eastAsia="zh-CN"/>
              </w:rPr>
              <w:t>测试内容</w:t>
            </w:r>
            <w:r>
              <w:rPr>
                <w:rFonts w:hint="eastAsia" w:ascii="仿宋_GB2312" w:hAnsi="仿宋_GB2312" w:eastAsia="仿宋_GB2312" w:cs="仿宋_GB2312"/>
                <w:b/>
                <w:sz w:val="21"/>
                <w:szCs w:val="21"/>
              </w:rPr>
              <w:t>要求</w:t>
            </w:r>
          </w:p>
        </w:tc>
        <w:tc>
          <w:tcPr>
            <w:tcW w:w="2416" w:type="dxa"/>
            <w:noWrap w:val="0"/>
            <w:vAlign w:val="center"/>
          </w:tcPr>
          <w:p>
            <w:pPr>
              <w:pStyle w:val="13"/>
              <w:spacing w:line="360" w:lineRule="auto"/>
              <w:jc w:val="center"/>
              <w:rPr>
                <w:rFonts w:hint="eastAsia" w:ascii="仿宋_GB2312" w:hAnsi="仿宋_GB2312" w:eastAsia="仿宋_GB2312" w:cs="仿宋_GB2312"/>
                <w:b/>
                <w:sz w:val="21"/>
                <w:szCs w:val="21"/>
                <w:lang w:val="en-US"/>
              </w:rPr>
            </w:pPr>
            <w:r>
              <w:rPr>
                <w:rFonts w:hint="eastAsia" w:ascii="仿宋_GB2312" w:hAnsi="仿宋_GB2312" w:eastAsia="仿宋_GB2312" w:cs="仿宋_GB2312"/>
                <w:b/>
                <w:sz w:val="21"/>
                <w:szCs w:val="21"/>
                <w:lang w:val="en-US" w:eastAsia="zh-CN"/>
              </w:rPr>
              <w:t>样品规格及数量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735" w:type="dxa"/>
            <w:noWrap w:val="0"/>
            <w:vAlign w:val="center"/>
          </w:tcPr>
          <w:p>
            <w:pPr>
              <w:pStyle w:val="13"/>
              <w:spacing w:line="360" w:lineRule="auto"/>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w:t>
            </w:r>
          </w:p>
        </w:tc>
        <w:tc>
          <w:tcPr>
            <w:tcW w:w="1925" w:type="dxa"/>
            <w:noWrap w:val="0"/>
            <w:vAlign w:val="center"/>
          </w:tcPr>
          <w:p>
            <w:pPr>
              <w:widowControl/>
              <w:jc w:val="center"/>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性能</w:t>
            </w:r>
          </w:p>
        </w:tc>
        <w:tc>
          <w:tcPr>
            <w:tcW w:w="3983" w:type="dxa"/>
            <w:noWrap w:val="0"/>
            <w:vAlign w:val="center"/>
          </w:tcPr>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1.功率消耗试验（电压信号输入回路-功耗）</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2.短时过量输入（电压信号输入回路-过载能力）</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3.功率消耗试验（电流信号输入回路-功耗）</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4.短时过量输入（电流信号输入回路-过载能力）</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5.交流工频输入量基本误差（稳态电能质量指标测量误差-电压谐波）</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6.交流工频输入量基本误差（稳态电能质量指标测量误差-电流谐波）</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7.交流工频输入量基本误差（稳态电能质量指标测量误差-电压有效值）</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8.交流工频输入量基本误差（稳态电能质量指标测量误差-电流有效值）</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9.交流工频输入量基本误差（稳态电能质量指标测量误差-基波相位）</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10.交流工频输入量基本误差（稳态电能质量指标测量误差-功率）</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11.交流工频输入量基本误差（稳态电能质量指标测量误差-频率）</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12.交流工频输入量基本误差（稳态电能质量指标测量误差-三相电压不平衡度）</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13.交流工频输入量基本误差（稳态电能质量指标测量误差-三相电流不平衡度）</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14.闪变（稳态电能质量指标测量误差-闪变）</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15.暂态电能质量指标测量误差（电压暂降、电压暂升、电压短时中断）</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16.性能试验（监测装置宽频测量）</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17.时间同步性能试验（时间同步功能）</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18.对时守时功能试验（时钟精度）</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19.绝缘电阻试验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20.介质强度试验（工频电压）</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21.冲击电压试验（冲击（耐受）电压）</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22.静电放电抗扰度试验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23.射频电磁场辐射抗扰度试验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24.电快速瞬变脉冲群抗扰度试验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25.浪涌（冲击）抗扰度试验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26.工频磁场抗扰度试验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27.阻尼振荡磁场抗扰度试验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28.电压暂降和短时中断试验</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29.阻尼振荡波抗扰度试验</w:t>
            </w:r>
          </w:p>
          <w:p>
            <w:pPr>
              <w:widowControl/>
              <w:numPr>
                <w:ilvl w:val="0"/>
                <w:numId w:val="0"/>
              </w:numPr>
              <w:jc w:val="left"/>
              <w:rPr>
                <w:rFonts w:hint="default" w:ascii="仿宋_GB2312" w:hAnsi="仿宋_GB2312" w:eastAsia="仿宋_GB2312" w:cs="仿宋_GB2312"/>
                <w:color w:val="000000"/>
                <w:sz w:val="21"/>
                <w:szCs w:val="21"/>
                <w:lang w:val="en-US" w:eastAsia="zh-CN"/>
              </w:rPr>
            </w:pPr>
          </w:p>
        </w:tc>
        <w:tc>
          <w:tcPr>
            <w:tcW w:w="2416" w:type="dxa"/>
            <w:vMerge w:val="restart"/>
            <w:noWrap w:val="0"/>
            <w:vAlign w:val="center"/>
          </w:tcPr>
          <w:p>
            <w:pPr>
              <w:widowControl/>
              <w:jc w:val="left"/>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1、尺寸：电能质量监测装置的外形尺寸不大于150mm×120mm×80mm；</w:t>
            </w:r>
          </w:p>
          <w:p>
            <w:pPr>
              <w:widowControl/>
              <w:jc w:val="left"/>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2、数量：出具1份检测报告。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pPr>
              <w:pStyle w:val="13"/>
              <w:spacing w:line="360" w:lineRule="auto"/>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w:t>
            </w:r>
          </w:p>
        </w:tc>
        <w:tc>
          <w:tcPr>
            <w:tcW w:w="1925" w:type="dxa"/>
            <w:noWrap w:val="0"/>
            <w:vAlign w:val="center"/>
          </w:tcPr>
          <w:p>
            <w:pPr>
              <w:widowControl/>
              <w:jc w:val="center"/>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功能及外观结构</w:t>
            </w:r>
          </w:p>
        </w:tc>
        <w:tc>
          <w:tcPr>
            <w:tcW w:w="3983" w:type="dxa"/>
            <w:noWrap w:val="0"/>
            <w:vAlign w:val="center"/>
          </w:tcPr>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1.装置功能试验（电能质量边缘计算功能）</w:t>
            </w:r>
          </w:p>
          <w:p>
            <w:pPr>
              <w:widowControl/>
              <w:jc w:val="both"/>
              <w:rPr>
                <w:rFonts w:hint="eastAsia"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2.外壳防护等级</w:t>
            </w:r>
          </w:p>
          <w:p>
            <w:pPr>
              <w:widowControl/>
              <w:jc w:val="both"/>
              <w:rPr>
                <w:rFonts w:hint="default"/>
                <w:lang w:val="en-US" w:eastAsia="zh-CN"/>
              </w:rPr>
            </w:pPr>
            <w:r>
              <w:rPr>
                <w:rFonts w:hint="eastAsia" w:ascii="仿宋_GB2312" w:hAnsi="仿宋_GB2312" w:eastAsia="仿宋_GB2312" w:cs="仿宋_GB2312"/>
                <w:color w:val="000000"/>
                <w:kern w:val="0"/>
                <w:sz w:val="21"/>
                <w:szCs w:val="21"/>
                <w:lang w:val="en-US" w:eastAsia="zh-CN"/>
              </w:rPr>
              <w:t>3.装置尺寸</w:t>
            </w:r>
          </w:p>
        </w:tc>
        <w:tc>
          <w:tcPr>
            <w:tcW w:w="2416" w:type="dxa"/>
            <w:vMerge w:val="continue"/>
            <w:noWrap w:val="0"/>
            <w:vAlign w:val="center"/>
          </w:tcPr>
          <w:p>
            <w:pPr>
              <w:widowControl/>
              <w:jc w:val="center"/>
              <w:rPr>
                <w:rFonts w:hint="eastAsia" w:ascii="仿宋_GB2312" w:hAnsi="仿宋_GB2312" w:eastAsia="仿宋_GB2312" w:cs="仿宋_GB2312"/>
                <w:color w:val="000000"/>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35" w:type="dxa"/>
            <w:noWrap w:val="0"/>
            <w:vAlign w:val="center"/>
          </w:tcPr>
          <w:p>
            <w:pPr>
              <w:pStyle w:val="13"/>
              <w:spacing w:line="360" w:lineRule="auto"/>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w:t>
            </w:r>
          </w:p>
        </w:tc>
        <w:tc>
          <w:tcPr>
            <w:tcW w:w="1925" w:type="dxa"/>
            <w:noWrap w:val="0"/>
            <w:vAlign w:val="center"/>
          </w:tcPr>
          <w:p>
            <w:pPr>
              <w:widowControl/>
              <w:jc w:val="center"/>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操作系统</w:t>
            </w:r>
          </w:p>
        </w:tc>
        <w:tc>
          <w:tcPr>
            <w:tcW w:w="3983" w:type="dxa"/>
            <w:noWrap w:val="0"/>
            <w:vAlign w:val="center"/>
          </w:tcPr>
          <w:p>
            <w:pPr>
              <w:widowControl/>
              <w:jc w:val="both"/>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1.安全性能测试</w:t>
            </w:r>
          </w:p>
        </w:tc>
        <w:tc>
          <w:tcPr>
            <w:tcW w:w="2416" w:type="dxa"/>
            <w:noWrap w:val="0"/>
            <w:vAlign w:val="center"/>
          </w:tcPr>
          <w:p>
            <w:pPr>
              <w:widowControl/>
              <w:jc w:val="left"/>
              <w:rPr>
                <w:rFonts w:hint="default" w:ascii="仿宋_GB2312" w:hAnsi="仿宋_GB2312" w:eastAsia="仿宋_GB2312" w:cs="仿宋_GB2312"/>
                <w:color w:val="000000"/>
                <w:kern w:val="0"/>
                <w:sz w:val="21"/>
                <w:szCs w:val="21"/>
                <w:lang w:val="en-US" w:eastAsia="zh-CN"/>
              </w:rPr>
            </w:pPr>
            <w:r>
              <w:rPr>
                <w:rFonts w:hint="eastAsia" w:ascii="仿宋_GB2312" w:hAnsi="仿宋_GB2312" w:eastAsia="仿宋_GB2312" w:cs="仿宋_GB2312"/>
                <w:color w:val="000000"/>
                <w:kern w:val="0"/>
                <w:sz w:val="21"/>
                <w:szCs w:val="21"/>
                <w:lang w:val="en-US" w:eastAsia="zh-CN"/>
              </w:rPr>
              <w:t>1.出具1份安全测试报告</w:t>
            </w:r>
          </w:p>
        </w:tc>
      </w:tr>
    </w:tbl>
    <w:p>
      <w:pPr>
        <w:bidi w:val="0"/>
        <w:rPr>
          <w:rFonts w:hint="eastAsia"/>
        </w:rPr>
      </w:pPr>
    </w:p>
    <w:p>
      <w:pPr>
        <w:numPr>
          <w:ilvl w:val="0"/>
          <w:numId w:val="1"/>
        </w:numPr>
        <w:rPr>
          <w:rFonts w:hint="eastAsia" w:ascii="宋体" w:hAnsi="宋体" w:eastAsia="宋体"/>
          <w:b/>
          <w:bCs/>
          <w:color w:val="000000"/>
          <w:sz w:val="28"/>
          <w:szCs w:val="36"/>
        </w:rPr>
      </w:pPr>
      <w:r>
        <w:rPr>
          <w:rFonts w:hint="eastAsia" w:ascii="宋体" w:hAnsi="宋体" w:eastAsia="宋体"/>
          <w:b/>
          <w:bCs/>
          <w:color w:val="000000"/>
          <w:sz w:val="28"/>
          <w:szCs w:val="36"/>
        </w:rPr>
        <w:t>资格条件</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2"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2"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numPr>
          <w:ilvl w:val="0"/>
          <w:numId w:val="1"/>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rPr>
        <w:t>成交办法</w:t>
      </w:r>
    </w:p>
    <w:p>
      <w:pPr>
        <w:numPr>
          <w:ilvl w:val="0"/>
          <w:numId w:val="0"/>
        </w:numPr>
        <w:ind w:firstLine="480" w:firstLineChars="200"/>
        <w:jc w:val="both"/>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根据满足资格条件的各家单位有效报价，选择报价最低者为成交对象。</w:t>
      </w:r>
    </w:p>
    <w:p>
      <w:pPr>
        <w:bidi w:val="0"/>
        <w:rPr>
          <w:rFonts w:hint="eastAsia"/>
        </w:rPr>
      </w:pPr>
    </w:p>
    <w:p>
      <w:pPr>
        <w:numPr>
          <w:ilvl w:val="0"/>
          <w:numId w:val="1"/>
        </w:numPr>
        <w:rPr>
          <w:rFonts w:hint="eastAsia" w:ascii="宋体" w:hAnsi="宋体" w:eastAsia="宋体" w:cs="Times New Roman"/>
          <w:b/>
          <w:bCs/>
          <w:color w:val="000000"/>
          <w:sz w:val="28"/>
          <w:szCs w:val="36"/>
          <w:lang w:val="en-US" w:eastAsia="zh-CN"/>
        </w:rPr>
      </w:pPr>
      <w:r>
        <w:rPr>
          <w:rFonts w:hint="eastAsia" w:ascii="宋体" w:hAnsi="宋体" w:eastAsia="宋体" w:cs="Times New Roman"/>
          <w:b/>
          <w:bCs/>
          <w:color w:val="000000"/>
          <w:sz w:val="28"/>
          <w:szCs w:val="36"/>
          <w:lang w:val="en-US" w:eastAsia="zh-CN"/>
        </w:rPr>
        <w:t>报价表</w:t>
      </w:r>
    </w:p>
    <w:p>
      <w:pPr>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表2 报价明细表</w:t>
      </w:r>
    </w:p>
    <w:tbl>
      <w:tblPr>
        <w:tblStyle w:val="7"/>
        <w:tblW w:w="5278" w:type="pct"/>
        <w:jc w:val="center"/>
        <w:tblLayout w:type="autofit"/>
        <w:tblCellMar>
          <w:top w:w="0" w:type="dxa"/>
          <w:left w:w="0" w:type="dxa"/>
          <w:bottom w:w="0" w:type="dxa"/>
          <w:right w:w="0" w:type="dxa"/>
        </w:tblCellMar>
      </w:tblPr>
      <w:tblGrid>
        <w:gridCol w:w="629"/>
        <w:gridCol w:w="3145"/>
        <w:gridCol w:w="631"/>
        <w:gridCol w:w="1493"/>
        <w:gridCol w:w="1029"/>
        <w:gridCol w:w="1855"/>
      </w:tblGrid>
      <w:tr>
        <w:tblPrEx>
          <w:tblCellMar>
            <w:top w:w="0" w:type="dxa"/>
            <w:left w:w="0" w:type="dxa"/>
            <w:bottom w:w="0" w:type="dxa"/>
            <w:right w:w="0" w:type="dxa"/>
          </w:tblCellMar>
        </w:tblPrEx>
        <w:trPr>
          <w:trHeight w:val="511"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序号</w:t>
            </w:r>
          </w:p>
        </w:tc>
        <w:tc>
          <w:tcPr>
            <w:tcW w:w="1790"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b/>
                <w:bCs/>
                <w:color w:val="000000"/>
                <w:sz w:val="21"/>
                <w:szCs w:val="21"/>
              </w:rPr>
              <w:t>报价项目</w:t>
            </w:r>
          </w:p>
        </w:tc>
        <w:tc>
          <w:tcPr>
            <w:tcW w:w="359"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rPr>
              <w:t>数量</w:t>
            </w:r>
          </w:p>
        </w:tc>
        <w:tc>
          <w:tcPr>
            <w:tcW w:w="850"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color w:val="000000"/>
                <w:sz w:val="21"/>
                <w:szCs w:val="21"/>
                <w:lang w:val="en-US" w:eastAsia="zh-CN"/>
              </w:rPr>
              <w:t>含税</w:t>
            </w:r>
            <w:r>
              <w:rPr>
                <w:rFonts w:hint="eastAsia" w:ascii="仿宋_GB2312" w:hAnsi="仿宋_GB2312" w:eastAsia="仿宋_GB2312" w:cs="仿宋_GB2312"/>
                <w:b/>
                <w:color w:val="000000"/>
                <w:sz w:val="21"/>
                <w:szCs w:val="21"/>
              </w:rPr>
              <w:t>单价</w:t>
            </w:r>
            <w:r>
              <w:rPr>
                <w:rFonts w:hint="eastAsia" w:ascii="仿宋_GB2312" w:hAnsi="仿宋_GB2312" w:eastAsia="仿宋_GB2312" w:cs="仿宋_GB2312"/>
                <w:b/>
                <w:color w:val="000000"/>
                <w:sz w:val="21"/>
                <w:szCs w:val="21"/>
                <w:lang w:eastAsia="zh-CN"/>
              </w:rPr>
              <w:t>（元）</w:t>
            </w:r>
          </w:p>
        </w:tc>
        <w:tc>
          <w:tcPr>
            <w:tcW w:w="586"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bCs/>
                <w:color w:val="000000"/>
                <w:sz w:val="21"/>
                <w:szCs w:val="21"/>
                <w:lang w:val="en-US" w:eastAsia="zh-CN"/>
              </w:rPr>
            </w:pPr>
            <w:r>
              <w:rPr>
                <w:rFonts w:hint="eastAsia" w:ascii="仿宋_GB2312" w:hAnsi="仿宋_GB2312" w:eastAsia="仿宋_GB2312" w:cs="仿宋_GB2312"/>
                <w:b/>
                <w:bCs/>
                <w:color w:val="000000"/>
                <w:sz w:val="21"/>
                <w:szCs w:val="21"/>
                <w:lang w:val="en-US" w:eastAsia="zh-CN"/>
              </w:rPr>
              <w:t>税率</w:t>
            </w:r>
          </w:p>
        </w:tc>
        <w:tc>
          <w:tcPr>
            <w:tcW w:w="10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b/>
                <w:color w:val="000000"/>
                <w:sz w:val="21"/>
                <w:szCs w:val="21"/>
                <w:lang w:eastAsia="zh-CN"/>
              </w:rPr>
            </w:pPr>
            <w:r>
              <w:rPr>
                <w:rFonts w:hint="eastAsia" w:ascii="仿宋_GB2312" w:hAnsi="仿宋_GB2312" w:eastAsia="仿宋_GB2312" w:cs="仿宋_GB2312"/>
                <w:b/>
                <w:bCs/>
                <w:color w:val="000000"/>
                <w:sz w:val="21"/>
                <w:szCs w:val="21"/>
                <w:lang w:val="en-US" w:eastAsia="zh-CN"/>
              </w:rPr>
              <w:t>含税总</w:t>
            </w:r>
            <w:r>
              <w:rPr>
                <w:rFonts w:hint="eastAsia" w:ascii="仿宋_GB2312" w:hAnsi="仿宋_GB2312" w:eastAsia="仿宋_GB2312" w:cs="仿宋_GB2312"/>
                <w:b/>
                <w:bCs/>
                <w:color w:val="000000"/>
                <w:sz w:val="21"/>
                <w:szCs w:val="21"/>
              </w:rPr>
              <w:t>价</w:t>
            </w:r>
            <w:r>
              <w:rPr>
                <w:rFonts w:hint="eastAsia" w:ascii="仿宋_GB2312" w:hAnsi="仿宋_GB2312" w:eastAsia="仿宋_GB2312" w:cs="仿宋_GB2312"/>
                <w:b/>
                <w:bCs/>
                <w:color w:val="000000"/>
                <w:sz w:val="21"/>
                <w:szCs w:val="21"/>
                <w:lang w:eastAsia="zh-CN"/>
              </w:rPr>
              <w:t>（元）</w:t>
            </w:r>
          </w:p>
        </w:tc>
      </w:tr>
      <w:tr>
        <w:tblPrEx>
          <w:tblCellMar>
            <w:top w:w="0" w:type="dxa"/>
            <w:left w:w="0" w:type="dxa"/>
            <w:bottom w:w="0" w:type="dxa"/>
            <w:right w:w="0" w:type="dxa"/>
          </w:tblCellMar>
        </w:tblPrEx>
        <w:trPr>
          <w:trHeight w:val="1297"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w:t>
            </w:r>
          </w:p>
        </w:tc>
        <w:tc>
          <w:tcPr>
            <w:tcW w:w="1790" w:type="pct"/>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jc w:val="center"/>
              <w:rPr>
                <w:rFonts w:hint="default" w:ascii="仿宋_GB2312" w:hAnsi="仿宋_GB2312" w:eastAsia="仿宋_GB2312" w:cs="仿宋_GB2312"/>
                <w:sz w:val="21"/>
                <w:szCs w:val="21"/>
                <w:lang w:val="en-US"/>
              </w:rPr>
            </w:pPr>
            <w:r>
              <w:rPr>
                <w:rFonts w:hint="eastAsia" w:ascii="仿宋_GB2312" w:hAnsi="仿宋_GB2312" w:eastAsia="仿宋_GB2312" w:cs="仿宋_GB2312"/>
                <w:color w:val="000000"/>
                <w:sz w:val="21"/>
                <w:szCs w:val="21"/>
                <w:lang w:val="en-US" w:eastAsia="zh-CN"/>
              </w:rPr>
              <w:t>南网技术公司2026年电能质量监测装置装置外观结构、基本性能、功能及操作系统检测委托</w:t>
            </w:r>
            <w:bookmarkStart w:id="0" w:name="_GoBack"/>
            <w:bookmarkEnd w:id="0"/>
            <w:r>
              <w:rPr>
                <w:rFonts w:hint="eastAsia" w:ascii="仿宋_GB2312" w:hAnsi="仿宋_GB2312" w:eastAsia="仿宋_GB2312" w:cs="仿宋_GB2312"/>
                <w:color w:val="000000"/>
                <w:sz w:val="21"/>
                <w:szCs w:val="21"/>
                <w:lang w:val="en-US" w:eastAsia="zh-CN"/>
              </w:rPr>
              <w:t>服务零星采购</w:t>
            </w:r>
          </w:p>
        </w:tc>
        <w:tc>
          <w:tcPr>
            <w:tcW w:w="359"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w:t>
            </w:r>
          </w:p>
        </w:tc>
        <w:tc>
          <w:tcPr>
            <w:tcW w:w="850"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contextualSpacing/>
              <w:jc w:val="center"/>
              <w:rPr>
                <w:rFonts w:hint="eastAsia" w:ascii="仿宋_GB2312" w:hAnsi="仿宋_GB2312" w:eastAsia="仿宋_GB2312" w:cs="仿宋_GB2312"/>
                <w:color w:val="000000"/>
                <w:sz w:val="21"/>
                <w:szCs w:val="21"/>
              </w:rPr>
            </w:pPr>
          </w:p>
        </w:tc>
        <w:tc>
          <w:tcPr>
            <w:tcW w:w="586"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c>
          <w:tcPr>
            <w:tcW w:w="1054" w:type="pct"/>
            <w:tcBorders>
              <w:top w:val="single" w:color="000000" w:sz="6" w:space="0"/>
              <w:left w:val="single" w:color="auto" w:sz="4" w:space="0"/>
              <w:bottom w:val="single" w:color="000000" w:sz="6" w:space="0"/>
              <w:right w:val="single" w:color="auto" w:sz="4" w:space="0"/>
            </w:tcBorders>
            <w:shd w:val="clear" w:color="auto" w:fill="FFFFFF"/>
            <w:noWrap w:val="0"/>
            <w:vAlign w:val="center"/>
          </w:tcPr>
          <w:p>
            <w:pPr>
              <w:spacing w:line="360" w:lineRule="auto"/>
              <w:jc w:val="center"/>
              <w:rPr>
                <w:rFonts w:hint="eastAsia" w:ascii="仿宋_GB2312" w:hAnsi="仿宋_GB2312" w:eastAsia="仿宋_GB2312" w:cs="仿宋_GB2312"/>
                <w:color w:val="000000"/>
                <w:sz w:val="21"/>
                <w:szCs w:val="21"/>
              </w:rPr>
            </w:pPr>
          </w:p>
        </w:tc>
      </w:tr>
      <w:tr>
        <w:tblPrEx>
          <w:tblCellMar>
            <w:top w:w="0" w:type="dxa"/>
            <w:left w:w="0" w:type="dxa"/>
            <w:bottom w:w="0" w:type="dxa"/>
            <w:right w:w="0" w:type="dxa"/>
          </w:tblCellMar>
        </w:tblPrEx>
        <w:trPr>
          <w:trHeight w:val="511" w:hRule="atLeast"/>
          <w:jc w:val="center"/>
        </w:trPr>
        <w:tc>
          <w:tcPr>
            <w:tcW w:w="358" w:type="pct"/>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合计</w:t>
            </w:r>
          </w:p>
        </w:tc>
        <w:tc>
          <w:tcPr>
            <w:tcW w:w="4641" w:type="pct"/>
            <w:gridSpan w:val="5"/>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jc w:val="center"/>
              <w:rPr>
                <w:rFonts w:hint="eastAsia" w:ascii="仿宋_GB2312" w:hAnsi="仿宋_GB2312" w:eastAsia="仿宋_GB2312" w:cs="仿宋_GB2312"/>
                <w:sz w:val="21"/>
                <w:szCs w:val="21"/>
                <w:u w:val="single"/>
                <w:lang w:val="en-US" w:eastAsia="zh-CN"/>
              </w:rPr>
            </w:pPr>
            <w:r>
              <w:rPr>
                <w:rFonts w:hint="eastAsia" w:ascii="仿宋_GB2312" w:hAnsi="仿宋_GB2312" w:eastAsia="仿宋_GB2312" w:cs="仿宋_GB2312"/>
                <w:sz w:val="21"/>
                <w:szCs w:val="21"/>
                <w:lang w:eastAsia="zh-CN"/>
              </w:rPr>
              <w:t>小写：￥</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元，大写：人民币</w:t>
            </w:r>
            <w:r>
              <w:rPr>
                <w:rFonts w:hint="eastAsia" w:ascii="仿宋_GB2312" w:hAnsi="仿宋_GB2312" w:eastAsia="仿宋_GB2312" w:cs="仿宋_GB2312"/>
                <w:sz w:val="21"/>
                <w:szCs w:val="21"/>
                <w:u w:val="single"/>
                <w:lang w:val="en-US" w:eastAsia="zh-CN"/>
              </w:rPr>
              <w:t xml:space="preserve">             </w:t>
            </w:r>
            <w:r>
              <w:rPr>
                <w:rFonts w:hint="eastAsia" w:ascii="仿宋_GB2312" w:hAnsi="仿宋_GB2312" w:eastAsia="仿宋_GB2312" w:cs="仿宋_GB2312"/>
                <w:sz w:val="21"/>
                <w:szCs w:val="21"/>
                <w:u w:val="none"/>
                <w:lang w:val="en-US" w:eastAsia="zh-CN"/>
              </w:rPr>
              <w:t>元整</w:t>
            </w:r>
          </w:p>
        </w:tc>
      </w:tr>
    </w:tbl>
    <w:p>
      <w:pPr>
        <w:spacing w:line="360" w:lineRule="auto"/>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备注：本报价应包括采购范围内的全部费用。</w:t>
      </w:r>
    </w:p>
    <w:p>
      <w:pPr>
        <w:spacing w:line="360" w:lineRule="auto"/>
        <w:jc w:val="left"/>
        <w:rPr>
          <w:rFonts w:hint="eastAsia" w:ascii="仿宋_GB2312" w:hAnsi="仿宋_GB2312" w:eastAsia="仿宋_GB2312" w:cs="仿宋_GB2312"/>
          <w:sz w:val="21"/>
          <w:szCs w:val="21"/>
          <w:lang w:eastAsia="zh-CN"/>
        </w:rPr>
      </w:pPr>
    </w:p>
    <w:p>
      <w:pPr>
        <w:spacing w:line="360" w:lineRule="auto"/>
        <w:ind w:left="5950" w:firstLine="425"/>
        <w:rPr>
          <w:rFonts w:hint="eastAsia" w:ascii="仿宋_GB2312" w:hAnsi="仿宋_GB2312" w:eastAsia="仿宋_GB2312" w:cs="仿宋_GB2312"/>
          <w:snapToGrid w:val="0"/>
          <w:kern w:val="24"/>
          <w:sz w:val="28"/>
          <w:szCs w:val="28"/>
        </w:rPr>
      </w:pPr>
      <w:r>
        <w:rPr>
          <w:rFonts w:hint="eastAsia" w:ascii="仿宋_GB2312" w:hAnsi="仿宋_GB2312" w:eastAsia="仿宋_GB2312" w:cs="仿宋_GB2312"/>
          <w:sz w:val="28"/>
          <w:szCs w:val="28"/>
          <w:lang w:eastAsia="zh-CN"/>
        </w:rPr>
        <w:t>报价</w:t>
      </w:r>
      <w:r>
        <w:rPr>
          <w:rFonts w:hint="eastAsia" w:ascii="仿宋_GB2312" w:hAnsi="仿宋_GB2312" w:eastAsia="仿宋_GB2312" w:cs="仿宋_GB2312"/>
          <w:sz w:val="28"/>
          <w:szCs w:val="28"/>
        </w:rPr>
        <w:t>人（盖章)</w:t>
      </w:r>
    </w:p>
    <w:p>
      <w:pPr>
        <w:numPr>
          <w:ilvl w:val="0"/>
          <w:numId w:val="0"/>
        </w:numPr>
        <w:ind w:leftChars="0"/>
        <w:jc w:val="right"/>
      </w:pPr>
      <w:r>
        <w:rPr>
          <w:rFonts w:hint="eastAsia" w:ascii="仿宋_GB2312" w:hAnsi="仿宋_GB2312" w:eastAsia="仿宋_GB2312" w:cs="仿宋_GB2312"/>
          <w:snapToGrid w:val="0"/>
          <w:kern w:val="24"/>
          <w:sz w:val="28"/>
          <w:szCs w:val="28"/>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0C58C2"/>
    <w:multiLevelType w:val="singleLevel"/>
    <w:tmpl w:val="DA0C58C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16F31"/>
    <w:rsid w:val="00BC2D44"/>
    <w:rsid w:val="00E91852"/>
    <w:rsid w:val="01C81549"/>
    <w:rsid w:val="02554FB2"/>
    <w:rsid w:val="02C84B2C"/>
    <w:rsid w:val="02D752EC"/>
    <w:rsid w:val="03D25C9B"/>
    <w:rsid w:val="05400BB0"/>
    <w:rsid w:val="055B3B66"/>
    <w:rsid w:val="06780FAB"/>
    <w:rsid w:val="06D41534"/>
    <w:rsid w:val="07195D48"/>
    <w:rsid w:val="071C7E5F"/>
    <w:rsid w:val="075F67D5"/>
    <w:rsid w:val="07905320"/>
    <w:rsid w:val="08433DC1"/>
    <w:rsid w:val="088074B9"/>
    <w:rsid w:val="08890B54"/>
    <w:rsid w:val="08D71D8F"/>
    <w:rsid w:val="09012BD3"/>
    <w:rsid w:val="09436EC0"/>
    <w:rsid w:val="0955751E"/>
    <w:rsid w:val="095E1B17"/>
    <w:rsid w:val="09BA4874"/>
    <w:rsid w:val="09C67EDE"/>
    <w:rsid w:val="0A3D6784"/>
    <w:rsid w:val="0B3E28FE"/>
    <w:rsid w:val="0C8B7A9C"/>
    <w:rsid w:val="0CDE5C52"/>
    <w:rsid w:val="0DC66D88"/>
    <w:rsid w:val="0DDB0848"/>
    <w:rsid w:val="0DEA2720"/>
    <w:rsid w:val="0F2F153E"/>
    <w:rsid w:val="108E4749"/>
    <w:rsid w:val="11136FDC"/>
    <w:rsid w:val="11F62C07"/>
    <w:rsid w:val="130E23CF"/>
    <w:rsid w:val="135375C3"/>
    <w:rsid w:val="137978B4"/>
    <w:rsid w:val="13814968"/>
    <w:rsid w:val="142E5E58"/>
    <w:rsid w:val="14830684"/>
    <w:rsid w:val="158156D6"/>
    <w:rsid w:val="15996E27"/>
    <w:rsid w:val="15F45D6C"/>
    <w:rsid w:val="16482398"/>
    <w:rsid w:val="176F4492"/>
    <w:rsid w:val="185E4599"/>
    <w:rsid w:val="18636A0E"/>
    <w:rsid w:val="1911682C"/>
    <w:rsid w:val="195A1F6E"/>
    <w:rsid w:val="19686453"/>
    <w:rsid w:val="19FC1357"/>
    <w:rsid w:val="1A087F78"/>
    <w:rsid w:val="1A186D43"/>
    <w:rsid w:val="1A240213"/>
    <w:rsid w:val="1B352F61"/>
    <w:rsid w:val="1B5473DD"/>
    <w:rsid w:val="1B762CF0"/>
    <w:rsid w:val="1B8B61A9"/>
    <w:rsid w:val="1C403981"/>
    <w:rsid w:val="1CD97047"/>
    <w:rsid w:val="1D1A496A"/>
    <w:rsid w:val="1D2A0BDE"/>
    <w:rsid w:val="1DA72513"/>
    <w:rsid w:val="1DDF07A3"/>
    <w:rsid w:val="1E1B6A69"/>
    <w:rsid w:val="1EA71815"/>
    <w:rsid w:val="1F3211FE"/>
    <w:rsid w:val="1FC475AA"/>
    <w:rsid w:val="201D2B69"/>
    <w:rsid w:val="213A0410"/>
    <w:rsid w:val="21505E37"/>
    <w:rsid w:val="228F6A51"/>
    <w:rsid w:val="22BA24C0"/>
    <w:rsid w:val="22D1722D"/>
    <w:rsid w:val="22F94B6E"/>
    <w:rsid w:val="2385386C"/>
    <w:rsid w:val="24215C55"/>
    <w:rsid w:val="24D2144A"/>
    <w:rsid w:val="24FB4266"/>
    <w:rsid w:val="25CC0A1E"/>
    <w:rsid w:val="25D72B4E"/>
    <w:rsid w:val="262C11AD"/>
    <w:rsid w:val="26F4001C"/>
    <w:rsid w:val="273D00F1"/>
    <w:rsid w:val="286C74DE"/>
    <w:rsid w:val="29B53FFD"/>
    <w:rsid w:val="2A15789A"/>
    <w:rsid w:val="2A19049E"/>
    <w:rsid w:val="2A230DAE"/>
    <w:rsid w:val="2AAC548F"/>
    <w:rsid w:val="2AF66B88"/>
    <w:rsid w:val="2B1A1346"/>
    <w:rsid w:val="2BC37160"/>
    <w:rsid w:val="2BD72DB1"/>
    <w:rsid w:val="2C5E380E"/>
    <w:rsid w:val="2D2E11B0"/>
    <w:rsid w:val="2D3C47AB"/>
    <w:rsid w:val="2D7F37CF"/>
    <w:rsid w:val="2E034121"/>
    <w:rsid w:val="2E97127C"/>
    <w:rsid w:val="2ECC04AD"/>
    <w:rsid w:val="2F0F5A43"/>
    <w:rsid w:val="2F712264"/>
    <w:rsid w:val="2F8463E4"/>
    <w:rsid w:val="30832044"/>
    <w:rsid w:val="310D1C85"/>
    <w:rsid w:val="31603C8E"/>
    <w:rsid w:val="318232C0"/>
    <w:rsid w:val="32DF1F4B"/>
    <w:rsid w:val="33521EC0"/>
    <w:rsid w:val="336E7B25"/>
    <w:rsid w:val="33A8380B"/>
    <w:rsid w:val="33D00590"/>
    <w:rsid w:val="3448372B"/>
    <w:rsid w:val="34F160E8"/>
    <w:rsid w:val="35410CCD"/>
    <w:rsid w:val="355E0C9B"/>
    <w:rsid w:val="35840EDB"/>
    <w:rsid w:val="35D74E22"/>
    <w:rsid w:val="367A5F70"/>
    <w:rsid w:val="36844301"/>
    <w:rsid w:val="36E175BE"/>
    <w:rsid w:val="378A05E2"/>
    <w:rsid w:val="37C13D08"/>
    <w:rsid w:val="39DE6BFE"/>
    <w:rsid w:val="3A323F34"/>
    <w:rsid w:val="3A717D6E"/>
    <w:rsid w:val="3B457E59"/>
    <w:rsid w:val="3BC57B8F"/>
    <w:rsid w:val="3BDE6B90"/>
    <w:rsid w:val="3BE802E5"/>
    <w:rsid w:val="3D080CA7"/>
    <w:rsid w:val="3D232B5B"/>
    <w:rsid w:val="3D690EA2"/>
    <w:rsid w:val="3E3816FC"/>
    <w:rsid w:val="3EE65CBF"/>
    <w:rsid w:val="3F251027"/>
    <w:rsid w:val="3F310B59"/>
    <w:rsid w:val="41566D3D"/>
    <w:rsid w:val="4269303F"/>
    <w:rsid w:val="42826579"/>
    <w:rsid w:val="431D1F2C"/>
    <w:rsid w:val="443E41B9"/>
    <w:rsid w:val="445960B0"/>
    <w:rsid w:val="4510752D"/>
    <w:rsid w:val="459D126B"/>
    <w:rsid w:val="462F2461"/>
    <w:rsid w:val="46BA0199"/>
    <w:rsid w:val="46F91E7C"/>
    <w:rsid w:val="475D6E1D"/>
    <w:rsid w:val="48553B9B"/>
    <w:rsid w:val="48690DD9"/>
    <w:rsid w:val="486C55E1"/>
    <w:rsid w:val="491633B3"/>
    <w:rsid w:val="49746212"/>
    <w:rsid w:val="4AD551CD"/>
    <w:rsid w:val="4C741464"/>
    <w:rsid w:val="4CDF47AB"/>
    <w:rsid w:val="4D1625A3"/>
    <w:rsid w:val="4D1976C6"/>
    <w:rsid w:val="4D235FA3"/>
    <w:rsid w:val="4D583DE0"/>
    <w:rsid w:val="4EB64BD7"/>
    <w:rsid w:val="4EEF5810"/>
    <w:rsid w:val="4F586138"/>
    <w:rsid w:val="50116BEC"/>
    <w:rsid w:val="50641EBB"/>
    <w:rsid w:val="50780C10"/>
    <w:rsid w:val="50D5692A"/>
    <w:rsid w:val="50EE1A52"/>
    <w:rsid w:val="51935A63"/>
    <w:rsid w:val="527135D1"/>
    <w:rsid w:val="52C40EB5"/>
    <w:rsid w:val="53E772B7"/>
    <w:rsid w:val="55955967"/>
    <w:rsid w:val="56412C14"/>
    <w:rsid w:val="570A74B7"/>
    <w:rsid w:val="573726C7"/>
    <w:rsid w:val="57DC0F61"/>
    <w:rsid w:val="58620690"/>
    <w:rsid w:val="587D0EF4"/>
    <w:rsid w:val="592C0284"/>
    <w:rsid w:val="597B335B"/>
    <w:rsid w:val="597F0492"/>
    <w:rsid w:val="59FF13B5"/>
    <w:rsid w:val="5A0A4A18"/>
    <w:rsid w:val="5A0D4AE8"/>
    <w:rsid w:val="5A866D10"/>
    <w:rsid w:val="5ABE39D6"/>
    <w:rsid w:val="5B8075D9"/>
    <w:rsid w:val="5C1B076F"/>
    <w:rsid w:val="5CF4010E"/>
    <w:rsid w:val="5D6606C6"/>
    <w:rsid w:val="5E303744"/>
    <w:rsid w:val="5F40000A"/>
    <w:rsid w:val="5F5F2786"/>
    <w:rsid w:val="5F8B593B"/>
    <w:rsid w:val="5FD421CC"/>
    <w:rsid w:val="60864543"/>
    <w:rsid w:val="6105633A"/>
    <w:rsid w:val="610750C1"/>
    <w:rsid w:val="6143039D"/>
    <w:rsid w:val="61965C29"/>
    <w:rsid w:val="621A0401"/>
    <w:rsid w:val="62DF4795"/>
    <w:rsid w:val="62E87900"/>
    <w:rsid w:val="62F60B8B"/>
    <w:rsid w:val="630E25EC"/>
    <w:rsid w:val="63D964A6"/>
    <w:rsid w:val="649C269E"/>
    <w:rsid w:val="64D96C80"/>
    <w:rsid w:val="674528FE"/>
    <w:rsid w:val="677123B9"/>
    <w:rsid w:val="680A2557"/>
    <w:rsid w:val="68326D82"/>
    <w:rsid w:val="68525C1F"/>
    <w:rsid w:val="6861624C"/>
    <w:rsid w:val="68616311"/>
    <w:rsid w:val="69112B6D"/>
    <w:rsid w:val="693D362B"/>
    <w:rsid w:val="695C60D3"/>
    <w:rsid w:val="697B2CD9"/>
    <w:rsid w:val="69FB056C"/>
    <w:rsid w:val="6A5E6092"/>
    <w:rsid w:val="6A7875F5"/>
    <w:rsid w:val="6AB054A9"/>
    <w:rsid w:val="6B134F68"/>
    <w:rsid w:val="6B3A730C"/>
    <w:rsid w:val="6B697849"/>
    <w:rsid w:val="6BD33AB5"/>
    <w:rsid w:val="6C1E27F0"/>
    <w:rsid w:val="6CB3719E"/>
    <w:rsid w:val="6D463172"/>
    <w:rsid w:val="6D743A98"/>
    <w:rsid w:val="6D7F36B1"/>
    <w:rsid w:val="6DDD14CC"/>
    <w:rsid w:val="6E136122"/>
    <w:rsid w:val="6EAC4123"/>
    <w:rsid w:val="6F705600"/>
    <w:rsid w:val="6FEE6A5B"/>
    <w:rsid w:val="706C5454"/>
    <w:rsid w:val="70C87ECB"/>
    <w:rsid w:val="71170D19"/>
    <w:rsid w:val="715D5C0A"/>
    <w:rsid w:val="71F75E09"/>
    <w:rsid w:val="72414668"/>
    <w:rsid w:val="733F18F2"/>
    <w:rsid w:val="733F7E37"/>
    <w:rsid w:val="73804137"/>
    <w:rsid w:val="73B33B60"/>
    <w:rsid w:val="74EB70E0"/>
    <w:rsid w:val="756979AE"/>
    <w:rsid w:val="768F7791"/>
    <w:rsid w:val="772B3963"/>
    <w:rsid w:val="779A0F48"/>
    <w:rsid w:val="77CE4501"/>
    <w:rsid w:val="78283CF7"/>
    <w:rsid w:val="784142F4"/>
    <w:rsid w:val="794D2989"/>
    <w:rsid w:val="797152CB"/>
    <w:rsid w:val="79784C56"/>
    <w:rsid w:val="79804657"/>
    <w:rsid w:val="7A525252"/>
    <w:rsid w:val="7A57526B"/>
    <w:rsid w:val="7B203D0C"/>
    <w:rsid w:val="7BA7127F"/>
    <w:rsid w:val="7C1742A4"/>
    <w:rsid w:val="7C2B6B06"/>
    <w:rsid w:val="7C6D342B"/>
    <w:rsid w:val="7C7742F7"/>
    <w:rsid w:val="7D0A7D18"/>
    <w:rsid w:val="7DCE69B8"/>
    <w:rsid w:val="7DFF25D6"/>
    <w:rsid w:val="7EA448D3"/>
    <w:rsid w:val="7EC31904"/>
    <w:rsid w:val="7EE70AFA"/>
    <w:rsid w:val="7F6D2FF3"/>
    <w:rsid w:val="7F9D5CFB"/>
    <w:rsid w:val="7FB4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qFormat/>
    <w:uiPriority w:val="0"/>
    <w:pPr>
      <w:tabs>
        <w:tab w:val="left" w:pos="800"/>
      </w:tabs>
      <w:outlineLvl w:val="4"/>
    </w:p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annotation text"/>
    <w:basedOn w:val="1"/>
    <w:qFormat/>
    <w:uiPriority w:val="0"/>
    <w:pPr>
      <w:jc w:val="left"/>
    </w:pPr>
  </w:style>
  <w:style w:type="paragraph" w:styleId="5">
    <w:name w:val="Body Text"/>
    <w:basedOn w:val="1"/>
    <w:next w:val="6"/>
    <w:semiHidden/>
    <w:qFormat/>
    <w:uiPriority w:val="0"/>
    <w:rPr>
      <w:rFonts w:ascii="仿宋" w:hAnsi="仿宋" w:eastAsia="仿宋" w:cs="仿宋"/>
      <w:sz w:val="28"/>
      <w:szCs w:val="28"/>
      <w:lang w:val="en-US" w:eastAsia="en-US" w:bidi="ar-SA"/>
    </w:r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21"/>
    <w:basedOn w:val="9"/>
    <w:qFormat/>
    <w:uiPriority w:val="0"/>
    <w:rPr>
      <w:rFonts w:hint="eastAsia" w:ascii="宋体" w:hAnsi="宋体" w:eastAsia="宋体" w:cs="宋体"/>
      <w:color w:val="000000"/>
      <w:sz w:val="21"/>
      <w:szCs w:val="21"/>
      <w:u w:val="none"/>
    </w:rPr>
  </w:style>
  <w:style w:type="character" w:customStyle="1" w:styleId="11">
    <w:name w:val="font31"/>
    <w:basedOn w:val="9"/>
    <w:qFormat/>
    <w:uiPriority w:val="0"/>
    <w:rPr>
      <w:rFonts w:hint="default" w:ascii="Arial" w:hAnsi="Arial" w:cs="Arial"/>
      <w:color w:val="000000"/>
      <w:sz w:val="21"/>
      <w:szCs w:val="21"/>
      <w:u w:val="none"/>
    </w:rPr>
  </w:style>
  <w:style w:type="character" w:customStyle="1" w:styleId="12">
    <w:name w:val="font61"/>
    <w:basedOn w:val="9"/>
    <w:qFormat/>
    <w:uiPriority w:val="0"/>
    <w:rPr>
      <w:rFonts w:ascii="Arial" w:hAnsi="Arial" w:cs="Arial"/>
      <w:color w:val="000000"/>
      <w:sz w:val="21"/>
      <w:szCs w:val="21"/>
      <w:u w:val="none"/>
    </w:rPr>
  </w:style>
  <w:style w:type="paragraph" w:customStyle="1" w:styleId="13">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
    <w:name w:val="font01"/>
    <w:basedOn w:val="9"/>
    <w:qFormat/>
    <w:uiPriority w:val="0"/>
    <w:rPr>
      <w:rFonts w:hint="eastAsia" w:ascii="宋体" w:hAnsi="宋体" w:eastAsia="宋体" w:cs="宋体"/>
      <w:color w:val="000000"/>
      <w:sz w:val="20"/>
      <w:szCs w:val="20"/>
      <w:u w:val="none"/>
    </w:rPr>
  </w:style>
  <w:style w:type="character" w:customStyle="1" w:styleId="15">
    <w:name w:val="font101"/>
    <w:basedOn w:val="9"/>
    <w:qFormat/>
    <w:uiPriority w:val="0"/>
    <w:rPr>
      <w:rFonts w:ascii="仿宋" w:hAnsi="仿宋" w:eastAsia="仿宋" w:cs="仿宋"/>
      <w:color w:val="000000"/>
      <w:sz w:val="20"/>
      <w:szCs w:val="20"/>
      <w:u w:val="none"/>
    </w:rPr>
  </w:style>
  <w:style w:type="character" w:customStyle="1" w:styleId="16">
    <w:name w:val="font71"/>
    <w:basedOn w:val="9"/>
    <w:qFormat/>
    <w:uiPriority w:val="0"/>
    <w:rPr>
      <w:rFonts w:hint="default" w:ascii="Times New Roman" w:hAnsi="Times New Roman" w:cs="Times New Roman"/>
      <w:color w:val="000000"/>
      <w:sz w:val="20"/>
      <w:szCs w:val="20"/>
      <w:u w:val="none"/>
    </w:rPr>
  </w:style>
  <w:style w:type="character" w:customStyle="1" w:styleId="17">
    <w:name w:val="font51"/>
    <w:basedOn w:val="9"/>
    <w:qFormat/>
    <w:uiPriority w:val="0"/>
    <w:rPr>
      <w:rFonts w:hint="eastAsia" w:ascii="宋体" w:hAnsi="宋体" w:eastAsia="宋体" w:cs="宋体"/>
      <w:color w:val="FF0000"/>
      <w:sz w:val="20"/>
      <w:szCs w:val="20"/>
      <w:u w:val="none"/>
    </w:rPr>
  </w:style>
  <w:style w:type="character" w:customStyle="1" w:styleId="18">
    <w:name w:val="font112"/>
    <w:basedOn w:val="9"/>
    <w:qFormat/>
    <w:uiPriority w:val="0"/>
    <w:rPr>
      <w:rFonts w:ascii="Calibri" w:hAnsi="Calibri" w:cs="Calibri"/>
      <w:color w:val="000000"/>
      <w:sz w:val="20"/>
      <w:szCs w:val="20"/>
      <w:u w:val="none"/>
    </w:rPr>
  </w:style>
  <w:style w:type="character" w:customStyle="1" w:styleId="19">
    <w:name w:val="font121"/>
    <w:basedOn w:val="9"/>
    <w:qFormat/>
    <w:uiPriority w:val="0"/>
    <w:rPr>
      <w:rFonts w:hint="default" w:ascii="Calibri" w:hAnsi="Calibri" w:cs="Calibri"/>
      <w:color w:val="FF0000"/>
      <w:sz w:val="20"/>
      <w:szCs w:val="20"/>
      <w:u w:val="none"/>
    </w:rPr>
  </w:style>
  <w:style w:type="character" w:customStyle="1" w:styleId="20">
    <w:name w:val="font131"/>
    <w:basedOn w:val="9"/>
    <w:qFormat/>
    <w:uiPriority w:val="0"/>
    <w:rPr>
      <w:rFonts w:hint="default" w:ascii="Calibri" w:hAnsi="Calibri" w:cs="Calibri"/>
      <w:color w:val="000000"/>
      <w:sz w:val="20"/>
      <w:szCs w:val="20"/>
      <w:u w:val="none"/>
    </w:rPr>
  </w:style>
  <w:style w:type="character" w:customStyle="1" w:styleId="21">
    <w:name w:val="font1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1</cp:lastModifiedBy>
  <cp:lastPrinted>2026-04-16T01:57:58Z</cp:lastPrinted>
  <dcterms:modified xsi:type="dcterms:W3CDTF">2026-04-16T02:37:57Z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3E82B4BC322E485993F731E1439EAC86</vt:lpwstr>
  </property>
</Properties>
</file>