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/>
          <w:szCs w:val="32"/>
        </w:rPr>
      </w:pPr>
      <w:bookmarkStart w:id="3" w:name="_GoBack"/>
      <w:bookmarkEnd w:id="3"/>
      <w:r>
        <w:rPr>
          <w:rFonts w:hint="eastAsia"/>
          <w:sz w:val="36"/>
          <w:szCs w:val="36"/>
        </w:rPr>
        <w:t>澄迈供电局2026年第一批急救药品采购项目</w:t>
      </w:r>
    </w:p>
    <w:p>
      <w:pPr>
        <w:pStyle w:val="4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szCs w:val="32"/>
        </w:rPr>
      </w:pPr>
      <w:r>
        <w:rPr>
          <w:rFonts w:hint="eastAsia"/>
          <w:szCs w:val="32"/>
        </w:rPr>
        <w:t>一、总则</w:t>
      </w:r>
    </w:p>
    <w:p>
      <w:pPr>
        <w:pStyle w:val="5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sz w:val="32"/>
        </w:rPr>
      </w:pPr>
      <w:r>
        <w:rPr>
          <w:rFonts w:hint="eastAsia"/>
          <w:sz w:val="32"/>
        </w:rPr>
        <w:t>1.1项目概况</w:t>
      </w:r>
    </w:p>
    <w:p>
      <w:pPr>
        <w:pStyle w:val="2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28"/>
          <w:szCs w:val="28"/>
        </w:rPr>
        <w:t>本次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采购</w:t>
      </w:r>
      <w:r>
        <w:rPr>
          <w:rFonts w:hint="eastAsia" w:ascii="宋体" w:hAnsi="宋体" w:eastAsia="宋体" w:cs="宋体"/>
          <w:sz w:val="28"/>
          <w:szCs w:val="28"/>
        </w:rPr>
        <w:t>项目为“澄迈供电局2026年第一批急救药品采购项目”，切实筑牢员工健康安全防线，为全体员工营造安全、健康、舒心的工作环境，为各办公室配齐配足合格、有效的健康防护与急救物资，把对员工的关爱落到实处。</w:t>
      </w:r>
    </w:p>
    <w:p>
      <w:pPr>
        <w:pStyle w:val="5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sz w:val="32"/>
        </w:rPr>
      </w:pPr>
      <w:r>
        <w:rPr>
          <w:rFonts w:hint="eastAsia"/>
          <w:sz w:val="32"/>
        </w:rPr>
        <w:t>1.2适用范围</w:t>
      </w:r>
    </w:p>
    <w:p>
      <w:pPr>
        <w:pStyle w:val="2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28"/>
          <w:szCs w:val="28"/>
        </w:rPr>
        <w:t>本</w:t>
      </w:r>
      <w:r>
        <w:rPr>
          <w:rFonts w:hint="default" w:ascii="宋体" w:hAnsi="宋体" w:eastAsia="宋体" w:cs="宋体"/>
          <w:sz w:val="28"/>
          <w:szCs w:val="28"/>
          <w:lang w:val="en-US"/>
        </w:rPr>
        <w:t>技术规范书</w:t>
      </w:r>
      <w:r>
        <w:rPr>
          <w:rFonts w:hint="eastAsia" w:ascii="宋体" w:hAnsi="宋体" w:eastAsia="宋体" w:cs="宋体"/>
          <w:sz w:val="28"/>
          <w:szCs w:val="28"/>
        </w:rPr>
        <w:t>适用于2026年年度应急物资（药品）的零星采购服务，涵盖采购技术要求、质量标准、验收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标准</w:t>
      </w:r>
      <w:r>
        <w:rPr>
          <w:rFonts w:hint="eastAsia" w:ascii="宋体" w:hAnsi="宋体" w:eastAsia="宋体" w:cs="宋体"/>
          <w:sz w:val="28"/>
          <w:szCs w:val="28"/>
        </w:rPr>
        <w:t>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运输注意事项</w:t>
      </w:r>
      <w:r>
        <w:rPr>
          <w:rFonts w:hint="eastAsia" w:ascii="宋体" w:hAnsi="宋体" w:eastAsia="宋体" w:cs="宋体"/>
          <w:sz w:val="28"/>
          <w:szCs w:val="28"/>
        </w:rPr>
        <w:t>等全流程管理，采购方、供应商及相关执行部门均需遵守本规范。</w:t>
      </w:r>
      <w:r>
        <w:rPr>
          <w:rFonts w:hint="eastAsia" w:ascii="宋体" w:hAnsi="宋体" w:eastAsia="宋体" w:cs="宋体"/>
          <w:sz w:val="32"/>
          <w:szCs w:val="32"/>
        </w:rPr>
        <w:t xml:space="preserve"> </w:t>
      </w:r>
    </w:p>
    <w:p>
      <w:pPr>
        <w:pStyle w:val="5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sz w:val="32"/>
        </w:rPr>
      </w:pPr>
      <w:bookmarkStart w:id="0" w:name="OLE_LINK3"/>
      <w:r>
        <w:rPr>
          <w:rFonts w:hint="eastAsia"/>
          <w:sz w:val="32"/>
        </w:rPr>
        <w:t>1.3</w:t>
      </w:r>
      <w:bookmarkEnd w:id="0"/>
      <w:r>
        <w:rPr>
          <w:rFonts w:hint="eastAsia"/>
          <w:sz w:val="32"/>
        </w:rPr>
        <w:t>采购方式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  <w:sz w:val="32"/>
          <w:szCs w:val="32"/>
        </w:rPr>
      </w:pPr>
      <w:r>
        <w:rPr>
          <w:rFonts w:hint="eastAsia"/>
          <w:sz w:val="28"/>
          <w:szCs w:val="28"/>
        </w:rPr>
        <w:t>根据公司采购管理制度，本次采购采用零星采购方式实施。</w:t>
      </w:r>
    </w:p>
    <w:p>
      <w:pPr>
        <w:pStyle w:val="5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sz w:val="32"/>
        </w:rPr>
      </w:pPr>
      <w:r>
        <w:rPr>
          <w:rFonts w:hint="eastAsia"/>
          <w:sz w:val="32"/>
        </w:rPr>
        <w:t>1.4应用标准</w:t>
      </w:r>
    </w:p>
    <w:p>
      <w:pPr>
        <w:pStyle w:val="2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本项目应严格遵循《药品经营质量管理规范》（GSP，现行版）、《中华人民共和国药典》（2020版）、《药品管理法》（2019年修订版）等现行的国家及地方相关标准规范。</w:t>
      </w:r>
    </w:p>
    <w:p>
      <w:pPr>
        <w:pStyle w:val="4"/>
        <w:numPr>
          <w:ilvl w:val="0"/>
          <w:numId w:val="0"/>
        </w:numPr>
        <w:spacing w:line="500" w:lineRule="exact"/>
        <w:rPr>
          <w:rFonts w:hint="eastAsia"/>
        </w:rPr>
      </w:pPr>
      <w:r>
        <w:rPr>
          <w:rFonts w:hint="eastAsia"/>
        </w:rPr>
        <w:t>二、项目概述</w:t>
      </w:r>
    </w:p>
    <w:p>
      <w:pPr>
        <w:pStyle w:val="5"/>
        <w:numPr>
          <w:ilvl w:val="1"/>
          <w:numId w:val="0"/>
        </w:numPr>
        <w:spacing w:line="500" w:lineRule="exact"/>
        <w:rPr>
          <w:rFonts w:hint="eastAsia"/>
          <w:sz w:val="32"/>
        </w:rPr>
      </w:pPr>
      <w:r>
        <w:rPr>
          <w:rFonts w:hint="eastAsia"/>
          <w:sz w:val="32"/>
        </w:rPr>
        <w:t>2.1采购清单</w:t>
      </w:r>
    </w:p>
    <w:tbl>
      <w:tblPr>
        <w:tblStyle w:val="21"/>
        <w:tblW w:w="9990" w:type="dxa"/>
        <w:tblInd w:w="-95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5"/>
        <w:gridCol w:w="1080"/>
        <w:gridCol w:w="1470"/>
        <w:gridCol w:w="766"/>
        <w:gridCol w:w="764"/>
        <w:gridCol w:w="3361"/>
        <w:gridCol w:w="1214"/>
        <w:gridCol w:w="5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825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序号</w:t>
            </w:r>
          </w:p>
        </w:tc>
        <w:tc>
          <w:tcPr>
            <w:tcW w:w="108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品名</w:t>
            </w:r>
          </w:p>
        </w:tc>
        <w:tc>
          <w:tcPr>
            <w:tcW w:w="147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规格型号</w:t>
            </w:r>
          </w:p>
        </w:tc>
        <w:tc>
          <w:tcPr>
            <w:tcW w:w="76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单位</w:t>
            </w:r>
          </w:p>
        </w:tc>
        <w:tc>
          <w:tcPr>
            <w:tcW w:w="764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  <w:lang w:val="en-US" w:eastAsia="zh-CN"/>
              </w:rPr>
              <w:t>数量</w:t>
            </w:r>
          </w:p>
        </w:tc>
        <w:tc>
          <w:tcPr>
            <w:tcW w:w="3361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  <w:lang w:val="en-US" w:eastAsia="zh-CN"/>
              </w:rPr>
              <w:t>参数要求</w:t>
            </w:r>
          </w:p>
        </w:tc>
        <w:tc>
          <w:tcPr>
            <w:tcW w:w="1214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b/>
                <w:bCs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  <w:lang w:val="en-US" w:eastAsia="zh-CN"/>
              </w:rPr>
              <w:t>制造厂家</w:t>
            </w:r>
          </w:p>
        </w:tc>
        <w:tc>
          <w:tcPr>
            <w:tcW w:w="51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速效救心丸</w:t>
            </w:r>
          </w:p>
        </w:tc>
        <w:tc>
          <w:tcPr>
            <w:tcW w:w="1470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40mg*60丸</w:t>
            </w:r>
          </w:p>
        </w:tc>
        <w:tc>
          <w:tcPr>
            <w:tcW w:w="76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瓶</w:t>
            </w:r>
          </w:p>
        </w:tc>
        <w:tc>
          <w:tcPr>
            <w:tcW w:w="764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325</w:t>
            </w:r>
          </w:p>
        </w:tc>
        <w:tc>
          <w:tcPr>
            <w:tcW w:w="3361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距有效期到期时间1年以上。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有效成分含量偏差≤±8%                                                            </w:t>
            </w:r>
          </w:p>
        </w:tc>
        <w:tc>
          <w:tcPr>
            <w:tcW w:w="121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10" w:type="dxa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8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硝酸甘油</w:t>
            </w:r>
          </w:p>
        </w:tc>
        <w:tc>
          <w:tcPr>
            <w:tcW w:w="1470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0.5mg*20</w:t>
            </w:r>
          </w:p>
        </w:tc>
        <w:tc>
          <w:tcPr>
            <w:tcW w:w="76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瓶</w:t>
            </w:r>
          </w:p>
        </w:tc>
        <w:tc>
          <w:tcPr>
            <w:tcW w:w="764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325</w:t>
            </w:r>
          </w:p>
        </w:tc>
        <w:tc>
          <w:tcPr>
            <w:tcW w:w="3361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距有效期到期时间1年以上。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有效成分含量偏差≤±5%                                                        </w:t>
            </w:r>
          </w:p>
        </w:tc>
        <w:tc>
          <w:tcPr>
            <w:tcW w:w="121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10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08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硝苯地平</w:t>
            </w:r>
          </w:p>
        </w:tc>
        <w:tc>
          <w:tcPr>
            <w:tcW w:w="1470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mg/10片</w:t>
            </w:r>
          </w:p>
        </w:tc>
        <w:tc>
          <w:tcPr>
            <w:tcW w:w="76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764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325</w:t>
            </w:r>
          </w:p>
        </w:tc>
        <w:tc>
          <w:tcPr>
            <w:tcW w:w="3361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距有效期到期时间1年以上。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有效成分含量偏差≤±8%                                                    </w:t>
            </w:r>
          </w:p>
        </w:tc>
        <w:tc>
          <w:tcPr>
            <w:tcW w:w="121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10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08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阿司匹林肠溶片</w:t>
            </w:r>
          </w:p>
        </w:tc>
        <w:tc>
          <w:tcPr>
            <w:tcW w:w="1470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100mg*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片</w:t>
            </w:r>
          </w:p>
        </w:tc>
        <w:tc>
          <w:tcPr>
            <w:tcW w:w="76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764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325</w:t>
            </w:r>
          </w:p>
        </w:tc>
        <w:tc>
          <w:tcPr>
            <w:tcW w:w="3361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距有效期到期时间1年以上。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有效成分含量偏差≤±8%                                                             </w:t>
            </w:r>
          </w:p>
        </w:tc>
        <w:tc>
          <w:tcPr>
            <w:tcW w:w="121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10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08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倍他乐克（琥珀酸美托洛尔缓释片）</w:t>
            </w:r>
          </w:p>
        </w:tc>
        <w:tc>
          <w:tcPr>
            <w:tcW w:w="1470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25mg*10片</w:t>
            </w:r>
          </w:p>
        </w:tc>
        <w:tc>
          <w:tcPr>
            <w:tcW w:w="76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764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325</w:t>
            </w:r>
          </w:p>
        </w:tc>
        <w:tc>
          <w:tcPr>
            <w:tcW w:w="3361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距有效期到期时间1年以上。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有效成分含量偏差≤±10%                                 </w:t>
            </w:r>
          </w:p>
        </w:tc>
        <w:tc>
          <w:tcPr>
            <w:tcW w:w="121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10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080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急救药盒</w:t>
            </w:r>
          </w:p>
        </w:tc>
        <w:tc>
          <w:tcPr>
            <w:tcW w:w="1470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长10cm        宽6cm        高2cm</w:t>
            </w:r>
          </w:p>
        </w:tc>
        <w:tc>
          <w:tcPr>
            <w:tcW w:w="76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个</w:t>
            </w:r>
          </w:p>
        </w:tc>
        <w:tc>
          <w:tcPr>
            <w:tcW w:w="764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325</w:t>
            </w:r>
          </w:p>
        </w:tc>
        <w:tc>
          <w:tcPr>
            <w:tcW w:w="3361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铝合金盒子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引印有南方电网LOGO                      </w:t>
            </w:r>
          </w:p>
        </w:tc>
        <w:tc>
          <w:tcPr>
            <w:tcW w:w="121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10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</w:p>
        </w:tc>
      </w:tr>
    </w:tbl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pStyle w:val="4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</w:rPr>
      </w:pPr>
      <w:bookmarkStart w:id="1" w:name="OLE_LINK6"/>
      <w:r>
        <w:rPr>
          <w:rFonts w:hint="eastAsia"/>
        </w:rPr>
        <w:t>三、</w:t>
      </w:r>
      <w:r>
        <w:rPr>
          <w:rFonts w:hint="eastAsia"/>
          <w:lang w:val="en-US" w:eastAsia="zh-CN"/>
        </w:rPr>
        <w:t>包装</w:t>
      </w:r>
      <w:r>
        <w:rPr>
          <w:rFonts w:hint="eastAsia"/>
        </w:rPr>
        <w:t>要求</w:t>
      </w:r>
    </w:p>
    <w:bookmarkEnd w:id="1"/>
    <w:p>
      <w:pPr>
        <w:pStyle w:val="5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sz w:val="32"/>
        </w:rPr>
      </w:pPr>
      <w:r>
        <w:rPr>
          <w:rFonts w:hint="eastAsia"/>
          <w:sz w:val="32"/>
          <w:lang w:val="en-US" w:eastAsia="zh-CN"/>
        </w:rPr>
        <w:t>3.1</w:t>
      </w:r>
      <w:r>
        <w:rPr>
          <w:rFonts w:hint="eastAsia"/>
          <w:sz w:val="32"/>
        </w:rPr>
        <w:t>包装与标识要求</w:t>
      </w:r>
    </w:p>
    <w:p>
      <w:pPr>
        <w:pageBreakBefore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药品需符合国家药品质量标准，按分装瓶规格分类打包，依据药品实际情况标注有效期，完成后装入急救药盒，包装完整、标识清晰，无过期（距有效期到期时间1年以上）、变质、破损等情况。</w:t>
      </w:r>
    </w:p>
    <w:p>
      <w:pPr>
        <w:pStyle w:val="4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</w:rPr>
      </w:pPr>
      <w:r>
        <w:rPr>
          <w:rStyle w:val="25"/>
          <w:rFonts w:hint="eastAsia"/>
        </w:rPr>
        <w:t>四、质量标准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4.1</w:t>
      </w:r>
      <w:r>
        <w:rPr>
          <w:rFonts w:hint="eastAsia"/>
          <w:b/>
          <w:bCs/>
          <w:sz w:val="28"/>
          <w:szCs w:val="28"/>
        </w:rPr>
        <w:t>.标识与追溯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（1）所有物资需具备唯一可追溯标识，药品可通过电子监管码追溯生产、流通全流程，耗材及工具需标注生产批号、生产日期以及合格证。</w:t>
      </w:r>
    </w:p>
    <w:p>
      <w:pPr>
        <w:pStyle w:val="4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五</w:t>
      </w:r>
      <w:r>
        <w:rPr>
          <w:rFonts w:hint="eastAsia"/>
        </w:rPr>
        <w:t>、验收标准</w:t>
      </w:r>
    </w:p>
    <w:p>
      <w:pPr>
        <w:pStyle w:val="5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0"/>
        <w:textAlignment w:val="auto"/>
        <w:rPr>
          <w:rFonts w:hint="eastAsia"/>
          <w:sz w:val="32"/>
        </w:rPr>
      </w:pPr>
      <w:r>
        <w:rPr>
          <w:rFonts w:hint="eastAsia"/>
          <w:sz w:val="32"/>
          <w:lang w:val="en-US" w:eastAsia="zh-CN"/>
        </w:rPr>
        <w:t>5.1</w:t>
      </w:r>
      <w:r>
        <w:rPr>
          <w:rFonts w:hint="eastAsia"/>
          <w:sz w:val="32"/>
        </w:rPr>
        <w:t>验收方法</w:t>
      </w:r>
    </w:p>
    <w:p>
      <w:pPr>
        <w:pStyle w:val="32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0" w:firstLineChars="200"/>
        <w:textAlignment w:val="auto"/>
        <w:rPr>
          <w:rFonts w:ascii="宋体" w:hAnsi="宋体" w:eastAsia="宋体" w:cs="宋体"/>
          <w:sz w:val="28"/>
          <w:szCs w:val="28"/>
        </w:rPr>
      </w:pPr>
      <w:bookmarkStart w:id="2" w:name="OLE_LINK12"/>
      <w:r>
        <w:rPr>
          <w:rFonts w:hint="eastAsia" w:ascii="宋体" w:hAnsi="宋体" w:eastAsia="宋体" w:cs="宋体"/>
          <w:sz w:val="28"/>
          <w:szCs w:val="28"/>
        </w:rPr>
        <w:t>（1）</w:t>
      </w:r>
      <w:bookmarkEnd w:id="2"/>
      <w:r>
        <w:rPr>
          <w:rFonts w:hint="eastAsia" w:ascii="宋体" w:hAnsi="宋体" w:eastAsia="宋体" w:cs="宋体"/>
          <w:sz w:val="28"/>
          <w:szCs w:val="28"/>
        </w:rPr>
        <w:t>外观验收：</w:t>
      </w:r>
      <w:r>
        <w:rPr>
          <w:rFonts w:ascii="宋体" w:hAnsi="宋体" w:eastAsia="宋体" w:cs="宋体"/>
          <w:sz w:val="28"/>
          <w:szCs w:val="28"/>
        </w:rPr>
        <w:t>到货后3个工作日内，采购方组织人员核对物资名称、规格、数量与采购清单是否一致，检查包装是否完好、标识是否清晰、有无破损渗漏、变形霉变等问题。</w:t>
      </w:r>
    </w:p>
    <w:p>
      <w:pPr>
        <w:pStyle w:val="5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sz w:val="32"/>
        </w:rPr>
      </w:pPr>
      <w:r>
        <w:rPr>
          <w:rFonts w:hint="eastAsia"/>
          <w:sz w:val="32"/>
          <w:lang w:val="en-US" w:eastAsia="zh-CN"/>
        </w:rPr>
        <w:t>5</w:t>
      </w:r>
      <w:r>
        <w:rPr>
          <w:rFonts w:hint="eastAsia"/>
          <w:sz w:val="32"/>
        </w:rPr>
        <w:t>.2 验收标准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sz w:val="28"/>
          <w:szCs w:val="28"/>
        </w:rPr>
        <w:t>外观无破损、数量无短缺、质量证明文件齐全、产品符合本规范书技术要求及质量标准的，判定为验收合格；若发现不合格产品，供应商需在5个工作日内无条件更换，</w:t>
      </w:r>
      <w:r>
        <w:rPr>
          <w:rFonts w:hint="eastAsia"/>
          <w:sz w:val="28"/>
          <w:szCs w:val="28"/>
          <w:lang w:val="en-US" w:eastAsia="zh-CN"/>
        </w:rPr>
        <w:t>退换中间产生的费用由中标单位承担。</w:t>
      </w:r>
      <w:r>
        <w:rPr>
          <w:sz w:val="28"/>
          <w:szCs w:val="28"/>
        </w:rPr>
        <w:t>更换后仍不合格的，采购方有权追究违约责任。</w:t>
      </w:r>
    </w:p>
    <w:p>
      <w:pPr>
        <w:pStyle w:val="4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eastAsia="宋体"/>
          <w:b w:val="0"/>
          <w:bCs/>
          <w:highlight w:val="yellow"/>
          <w:lang w:val="en-US" w:eastAsia="zh-CN"/>
        </w:rPr>
      </w:pPr>
      <w:r>
        <w:rPr>
          <w:rFonts w:hint="eastAsia"/>
          <w:b w:val="0"/>
          <w:bCs/>
          <w:highlight w:val="yellow"/>
          <w:lang w:val="en-US" w:eastAsia="zh-CN"/>
        </w:rPr>
        <w:t>六</w:t>
      </w:r>
      <w:r>
        <w:rPr>
          <w:rFonts w:hint="eastAsia"/>
          <w:b w:val="0"/>
          <w:bCs/>
          <w:highlight w:val="yellow"/>
        </w:rPr>
        <w:t>、</w:t>
      </w:r>
      <w:r>
        <w:rPr>
          <w:rFonts w:hint="eastAsia"/>
          <w:b w:val="0"/>
          <w:bCs/>
          <w:highlight w:val="yellow"/>
          <w:lang w:val="en-US" w:eastAsia="zh-CN"/>
        </w:rPr>
        <w:t>中标原则</w:t>
      </w:r>
    </w:p>
    <w:p>
      <w:pPr>
        <w:pStyle w:val="2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="0" w:leftChars="0" w:firstLine="562" w:firstLineChars="200"/>
        <w:textAlignment w:val="auto"/>
        <w:rPr>
          <w:rFonts w:hint="eastAsia" w:ascii="宋体" w:hAnsi="宋体" w:eastAsia="宋体" w:cs="宋体"/>
          <w:b/>
          <w:bCs w:val="0"/>
          <w:color w:val="000000"/>
          <w:kern w:val="0"/>
          <w:sz w:val="28"/>
          <w:szCs w:val="28"/>
          <w:highlight w:val="yellow"/>
          <w:u w:val="singl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000000"/>
          <w:kern w:val="0"/>
          <w:sz w:val="28"/>
          <w:szCs w:val="28"/>
          <w:highlight w:val="yellow"/>
          <w:u w:val="single"/>
          <w:lang w:val="en-US" w:eastAsia="zh-CN"/>
        </w:rPr>
        <w:t>1.★系统报价：采购系统上按照32000元报价，未按照32000元报价的，一律否决。</w:t>
      </w:r>
    </w:p>
    <w:p>
      <w:pPr>
        <w:pStyle w:val="2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="0" w:leftChars="0" w:firstLine="562" w:firstLineChars="200"/>
        <w:textAlignment w:val="auto"/>
        <w:rPr>
          <w:rFonts w:hint="eastAsia" w:ascii="宋体" w:hAnsi="宋体" w:eastAsia="宋体" w:cs="宋体"/>
          <w:b/>
          <w:bCs w:val="0"/>
          <w:color w:val="000000"/>
          <w:kern w:val="0"/>
          <w:sz w:val="28"/>
          <w:szCs w:val="28"/>
          <w:highlight w:val="yellow"/>
          <w:u w:val="singl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000000"/>
          <w:kern w:val="0"/>
          <w:sz w:val="28"/>
          <w:szCs w:val="28"/>
          <w:highlight w:val="yellow"/>
          <w:u w:val="single"/>
          <w:lang w:val="en-US" w:eastAsia="zh-CN"/>
        </w:rPr>
        <w:t>2.★在满足资格、报价、技术参数等条件下，根据单价总报价（含税），报价低者中标。</w:t>
      </w:r>
    </w:p>
    <w:p>
      <w:pPr>
        <w:pStyle w:val="4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七、运输注意事项</w:t>
      </w:r>
    </w:p>
    <w:p>
      <w:pPr>
        <w:pStyle w:val="2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="0" w:leftChars="0" w:firstLine="560" w:firstLineChars="200"/>
        <w:textAlignment w:val="auto"/>
        <w:rPr>
          <w:rFonts w:hint="default" w:ascii="宋体" w:hAnsi="宋体" w:eastAsia="宋体" w:cs="宋体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u w:val="none"/>
          <w:lang w:val="en-US" w:eastAsia="zh-CN"/>
        </w:rPr>
        <w:t>1</w:t>
      </w:r>
      <w:r>
        <w:rPr>
          <w:rFonts w:hint="default" w:ascii="宋体" w:hAnsi="宋体" w:eastAsia="宋体" w:cs="宋体"/>
          <w:sz w:val="28"/>
          <w:szCs w:val="28"/>
          <w:lang w:val="en-US" w:eastAsia="zh-CN" w:bidi="ar-SA"/>
        </w:rPr>
        <w:t>.省内外中标单位在长途运输时需注意运输温控在10摄氏度--25摄氏度、药品需严格遮光避光，防止高温导致药品水解失效，省外中标单位运输工具</w:t>
      </w:r>
      <w:r>
        <w:rPr>
          <w:rFonts w:hint="default" w:ascii="宋体" w:hAnsi="宋体" w:eastAsia="宋体" w:cs="宋体"/>
          <w:b/>
          <w:bCs w:val="0"/>
          <w:color w:val="000000"/>
          <w:kern w:val="0"/>
          <w:sz w:val="28"/>
          <w:szCs w:val="28"/>
          <w:highlight w:val="yellow"/>
          <w:u w:val="single"/>
          <w:lang w:val="en-US" w:eastAsia="zh-CN"/>
        </w:rPr>
        <w:t>建议选择空运</w:t>
      </w:r>
      <w:r>
        <w:rPr>
          <w:rFonts w:hint="default" w:ascii="宋体" w:hAnsi="宋体" w:eastAsia="宋体" w:cs="宋体"/>
          <w:sz w:val="28"/>
          <w:szCs w:val="28"/>
          <w:lang w:val="en-US" w:eastAsia="zh-CN" w:bidi="ar-SA"/>
        </w:rPr>
        <w:t>。到达海南机场后24小时内送达澄迈供电局。省内中标单位在收到中标通知书5天内交货，运输工具</w:t>
      </w:r>
      <w:r>
        <w:rPr>
          <w:rFonts w:hint="default" w:ascii="宋体" w:hAnsi="宋体" w:eastAsia="宋体" w:cs="宋体"/>
          <w:b/>
          <w:bCs w:val="0"/>
          <w:color w:val="000000"/>
          <w:kern w:val="0"/>
          <w:sz w:val="28"/>
          <w:szCs w:val="28"/>
          <w:highlight w:val="yellow"/>
          <w:u w:val="single"/>
          <w:lang w:val="en-US" w:eastAsia="zh-CN"/>
        </w:rPr>
        <w:t>建议选择带有空调或者有温控的货车</w:t>
      </w:r>
      <w:r>
        <w:rPr>
          <w:rFonts w:hint="default" w:ascii="宋体" w:hAnsi="宋体" w:eastAsia="宋体" w:cs="宋体"/>
          <w:sz w:val="28"/>
          <w:szCs w:val="28"/>
          <w:lang w:val="en-US" w:eastAsia="zh-CN" w:bidi="ar-SA"/>
        </w:rPr>
        <w:t>。</w:t>
      </w:r>
    </w:p>
    <w:p>
      <w:pPr>
        <w:pStyle w:val="2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="0" w:leftChars="0" w:firstLine="643" w:firstLineChars="200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kern w:val="44"/>
          <w:sz w:val="32"/>
          <w:szCs w:val="24"/>
          <w:lang w:val="en-US" w:eastAsia="zh-CN" w:bidi="ar-SA"/>
        </w:rPr>
        <w:t>八、报价注意事项</w:t>
      </w:r>
    </w:p>
    <w:p>
      <w:pPr>
        <w:pStyle w:val="2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u w:val="none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  <w:lang w:val="en-US" w:eastAsia="zh-CN" w:bidi="ar-SA"/>
        </w:rPr>
        <w:t>. 报价低于最高限价 85% 的须附成本分析报告。成本分析报告需充分说明单价和费用的组成、降低成本的合理措施，未提供成本分析报告的，视为无效报价。</w:t>
      </w:r>
    </w:p>
    <w:p>
      <w:pPr>
        <w:pStyle w:val="2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 w:bidi="ar-SA"/>
        </w:rPr>
        <w:t>2.供应商需提供以下资质文件： 1.《药品生产许可证》或《药品经营许可证》复印件（加盖公章） 2.营业执照、法定代表人身份证明等复印件（均须加盖公章）3.急救药品费用明细表（加盖公章）。</w:t>
      </w:r>
    </w:p>
    <w:p>
      <w:pPr>
        <w:pStyle w:val="2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="0" w:leftChars="0" w:firstLine="560" w:firstLineChars="200"/>
        <w:textAlignment w:val="auto"/>
        <w:rPr>
          <w:rFonts w:hint="default" w:ascii="宋体" w:hAnsi="宋体" w:eastAsia="宋体" w:cs="宋体"/>
          <w:sz w:val="28"/>
          <w:szCs w:val="28"/>
          <w:lang w:val="en-US" w:eastAsia="zh-CN" w:bidi="ar-SA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7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7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030A68"/>
    <w:multiLevelType w:val="singleLevel"/>
    <w:tmpl w:val="B0030A68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32B6869"/>
    <w:multiLevelType w:val="multilevel"/>
    <w:tmpl w:val="D32B6869"/>
    <w:lvl w:ilvl="0" w:tentative="0">
      <w:start w:val="1"/>
      <w:numFmt w:val="decimal"/>
      <w:pStyle w:val="4"/>
      <w:lvlText w:val="%1."/>
      <w:lvlJc w:val="left"/>
      <w:pPr>
        <w:ind w:left="432" w:hanging="432"/>
      </w:pPr>
      <w:rPr>
        <w:rFonts w:hint="default" w:ascii="宋体" w:hAnsi="宋体" w:eastAsia="宋体" w:cs="宋体"/>
        <w:sz w:val="44"/>
        <w:szCs w:val="44"/>
      </w:rPr>
    </w:lvl>
    <w:lvl w:ilvl="1" w:tentative="0">
      <w:start w:val="1"/>
      <w:numFmt w:val="decimal"/>
      <w:pStyle w:val="5"/>
      <w:lvlText w:val="%1.%2."/>
      <w:lvlJc w:val="left"/>
      <w:pPr>
        <w:ind w:left="815" w:hanging="575"/>
      </w:pPr>
      <w:rPr>
        <w:rFonts w:hint="default" w:ascii="宋体" w:hAnsi="宋体" w:eastAsia="宋体" w:cs="宋体"/>
        <w:sz w:val="32"/>
        <w:szCs w:val="32"/>
      </w:rPr>
    </w:lvl>
    <w:lvl w:ilvl="2" w:tentative="0">
      <w:start w:val="1"/>
      <w:numFmt w:val="decimal"/>
      <w:pStyle w:val="6"/>
      <w:lvlText w:val="%1.%2.%3."/>
      <w:lvlJc w:val="left"/>
      <w:pPr>
        <w:ind w:left="720" w:hanging="720"/>
      </w:pPr>
      <w:rPr>
        <w:rFonts w:hint="default" w:ascii="宋体" w:hAnsi="宋体" w:eastAsia="宋体" w:cs="宋体"/>
        <w:sz w:val="30"/>
        <w:szCs w:val="30"/>
      </w:rPr>
    </w:lvl>
    <w:lvl w:ilvl="3" w:tentative="0">
      <w:start w:val="1"/>
      <w:numFmt w:val="decimal"/>
      <w:pStyle w:val="7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8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11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12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13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4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2">
    <w:nsid w:val="EE7FA33D"/>
    <w:multiLevelType w:val="multilevel"/>
    <w:tmpl w:val="EE7FA33D"/>
    <w:lvl w:ilvl="0" w:tentative="0">
      <w:start w:val="1"/>
      <w:numFmt w:val="chineseCounting"/>
      <w:pStyle w:val="28"/>
      <w:lvlText w:val="%1、"/>
      <w:lvlJc w:val="left"/>
      <w:pPr>
        <w:tabs>
          <w:tab w:val="left" w:pos="420"/>
        </w:tabs>
        <w:ind w:left="420" w:hanging="420"/>
      </w:pPr>
      <w:rPr>
        <w:rFonts w:hint="eastAsia" w:ascii="宋体" w:hAnsi="宋体"/>
        <w:b w:val="0"/>
        <w:i w:val="0"/>
        <w:sz w:val="28"/>
        <w:szCs w:val="28"/>
      </w:rPr>
    </w:lvl>
    <w:lvl w:ilvl="1" w:tentative="0">
      <w:start w:val="1"/>
      <w:numFmt w:val="decimal"/>
      <w:suff w:val="space"/>
      <w:lvlText w:val="%2.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  <w:b/>
        <w:i w:val="0"/>
        <w:sz w:val="28"/>
        <w:szCs w:val="24"/>
      </w:rPr>
    </w:lvl>
    <w:lvl w:ilvl="2" w:tentative="0">
      <w:start w:val="1"/>
      <w:numFmt w:val="decimal"/>
      <w:suff w:val="space"/>
      <w:lvlText w:val="%2.%3."/>
      <w:lvlJc w:val="left"/>
      <w:pPr>
        <w:tabs>
          <w:tab w:val="left" w:pos="0"/>
        </w:tabs>
        <w:ind w:left="0" w:firstLine="200"/>
      </w:pPr>
      <w:rPr>
        <w:rFonts w:hint="eastAsia" w:ascii="Times New Roman" w:hAnsi="Times New Roman" w:eastAsia="宋体"/>
        <w:color w:val="auto"/>
        <w:sz w:val="28"/>
        <w:szCs w:val="24"/>
      </w:rPr>
    </w:lvl>
    <w:lvl w:ilvl="3" w:tentative="0">
      <w:start w:val="1"/>
      <w:numFmt w:val="decimal"/>
      <w:suff w:val="space"/>
      <w:lvlText w:val="%2.%3.%4."/>
      <w:lvlJc w:val="left"/>
      <w:pPr>
        <w:ind w:left="0" w:firstLine="200"/>
      </w:pPr>
      <w:rPr>
        <w:rFonts w:hint="eastAsia" w:ascii="Times New Roman" w:hAnsi="Times New Roman" w:eastAsia="黑体"/>
        <w:sz w:val="24"/>
        <w:szCs w:val="24"/>
      </w:rPr>
    </w:lvl>
    <w:lvl w:ilvl="4" w:tentative="0">
      <w:start w:val="1"/>
      <w:numFmt w:val="decimal"/>
      <w:lvlText w:val="%1.%2.%3.%4.%5"/>
      <w:lvlJc w:val="left"/>
      <w:pPr>
        <w:tabs>
          <w:tab w:val="left" w:pos="314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92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35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13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922"/>
        </w:tabs>
        <w:ind w:left="5102" w:hanging="1700"/>
      </w:pPr>
      <w:rPr>
        <w:rFonts w:hint="eastAsia"/>
      </w:rPr>
    </w:lvl>
  </w:abstractNum>
  <w:abstractNum w:abstractNumId="3">
    <w:nsid w:val="F9D9A35B"/>
    <w:multiLevelType w:val="multilevel"/>
    <w:tmpl w:val="F9D9A35B"/>
    <w:lvl w:ilvl="0" w:tentative="0">
      <w:start w:val="1"/>
      <w:numFmt w:val="chineseCounting"/>
      <w:lvlText w:val="%1、"/>
      <w:lvlJc w:val="left"/>
      <w:pPr>
        <w:tabs>
          <w:tab w:val="left" w:pos="420"/>
        </w:tabs>
        <w:ind w:left="420" w:hanging="420"/>
      </w:pPr>
      <w:rPr>
        <w:rFonts w:hint="eastAsia" w:ascii="宋体" w:hAnsi="宋体"/>
        <w:b w:val="0"/>
        <w:i w:val="0"/>
        <w:sz w:val="28"/>
        <w:szCs w:val="28"/>
      </w:rPr>
    </w:lvl>
    <w:lvl w:ilvl="1" w:tentative="0">
      <w:start w:val="1"/>
      <w:numFmt w:val="decimal"/>
      <w:suff w:val="space"/>
      <w:lvlText w:val="%2."/>
      <w:lvlJc w:val="left"/>
      <w:pPr>
        <w:tabs>
          <w:tab w:val="left" w:pos="0"/>
        </w:tabs>
        <w:ind w:left="0" w:firstLine="0"/>
      </w:pPr>
      <w:rPr>
        <w:rFonts w:hint="eastAsia" w:ascii="宋体" w:hAnsi="宋体" w:eastAsia="宋体" w:cs="Times New Roman"/>
        <w:b w:val="0"/>
        <w:i w:val="0"/>
        <w:sz w:val="28"/>
        <w:szCs w:val="24"/>
      </w:rPr>
    </w:lvl>
    <w:lvl w:ilvl="2" w:tentative="0">
      <w:start w:val="1"/>
      <w:numFmt w:val="decimal"/>
      <w:suff w:val="space"/>
      <w:lvlText w:val="%2.%3."/>
      <w:lvlJc w:val="left"/>
      <w:pPr>
        <w:tabs>
          <w:tab w:val="left" w:pos="0"/>
        </w:tabs>
        <w:ind w:left="0" w:firstLine="200"/>
      </w:pPr>
      <w:rPr>
        <w:rFonts w:hint="eastAsia" w:ascii="宋体" w:hAnsi="宋体" w:eastAsia="宋体"/>
        <w:color w:val="auto"/>
        <w:sz w:val="28"/>
        <w:szCs w:val="24"/>
      </w:rPr>
    </w:lvl>
    <w:lvl w:ilvl="3" w:tentative="0">
      <w:start w:val="1"/>
      <w:numFmt w:val="decimal"/>
      <w:suff w:val="space"/>
      <w:lvlText w:val="%2.%3.%4."/>
      <w:lvlJc w:val="left"/>
      <w:pPr>
        <w:ind w:left="40" w:firstLine="200"/>
      </w:pPr>
      <w:rPr>
        <w:rFonts w:hint="eastAsia" w:ascii="Times New Roman" w:hAnsi="Times New Roman" w:eastAsia="黑体"/>
        <w:b w:val="0"/>
        <w:bCs w:val="0"/>
        <w:sz w:val="24"/>
        <w:szCs w:val="24"/>
      </w:rPr>
    </w:lvl>
    <w:lvl w:ilvl="4" w:tentative="0">
      <w:start w:val="1"/>
      <w:numFmt w:val="decimal"/>
      <w:lvlText w:val="%2.%3.%4.%5."/>
      <w:lvlJc w:val="left"/>
      <w:pPr>
        <w:tabs>
          <w:tab w:val="left" w:pos="3141"/>
        </w:tabs>
        <w:ind w:left="2551" w:hanging="850"/>
      </w:pPr>
      <w:rPr>
        <w:rFonts w:hint="eastAsia"/>
      </w:rPr>
    </w:lvl>
    <w:lvl w:ilvl="5" w:tentative="0">
      <w:start w:val="1"/>
      <w:numFmt w:val="decimal"/>
      <w:pStyle w:val="31"/>
      <w:lvlText w:val="%1.%2.%3.%4.%5.%6"/>
      <w:lvlJc w:val="left"/>
      <w:pPr>
        <w:tabs>
          <w:tab w:val="left" w:pos="392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35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13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922"/>
        </w:tabs>
        <w:ind w:left="5102" w:hanging="1700"/>
      </w:pPr>
      <w:rPr>
        <w:rFonts w:hint="eastAsia"/>
      </w:rPr>
    </w:lvl>
  </w:abstractNum>
  <w:abstractNum w:abstractNumId="4">
    <w:nsid w:val="2BEBDAF3"/>
    <w:multiLevelType w:val="multilevel"/>
    <w:tmpl w:val="2BEBDAF3"/>
    <w:lvl w:ilvl="0" w:tentative="0">
      <w:start w:val="1"/>
      <w:numFmt w:val="chineseCounting"/>
      <w:lvlText w:val="%1、"/>
      <w:lvlJc w:val="left"/>
      <w:pPr>
        <w:tabs>
          <w:tab w:val="left" w:pos="420"/>
        </w:tabs>
        <w:ind w:left="420" w:hanging="420"/>
      </w:pPr>
      <w:rPr>
        <w:rFonts w:hint="eastAsia" w:ascii="宋体" w:hAnsi="宋体"/>
        <w:b w:val="0"/>
        <w:i w:val="0"/>
        <w:sz w:val="28"/>
        <w:szCs w:val="28"/>
      </w:rPr>
    </w:lvl>
    <w:lvl w:ilvl="1" w:tentative="0">
      <w:start w:val="1"/>
      <w:numFmt w:val="decimal"/>
      <w:suff w:val="space"/>
      <w:lvlText w:val="%2."/>
      <w:lvlJc w:val="left"/>
      <w:pPr>
        <w:tabs>
          <w:tab w:val="left" w:pos="0"/>
        </w:tabs>
        <w:ind w:left="0" w:firstLine="0"/>
      </w:pPr>
      <w:rPr>
        <w:rFonts w:hint="eastAsia" w:ascii="宋体" w:hAnsi="宋体" w:eastAsia="宋体" w:cs="宋体"/>
        <w:b w:val="0"/>
        <w:i w:val="0"/>
        <w:sz w:val="28"/>
        <w:szCs w:val="24"/>
      </w:rPr>
    </w:lvl>
    <w:lvl w:ilvl="2" w:tentative="0">
      <w:start w:val="1"/>
      <w:numFmt w:val="decimal"/>
      <w:suff w:val="space"/>
      <w:lvlText w:val="%2.%3."/>
      <w:lvlJc w:val="left"/>
      <w:pPr>
        <w:tabs>
          <w:tab w:val="left" w:pos="0"/>
        </w:tabs>
        <w:ind w:left="0" w:firstLine="200"/>
      </w:pPr>
      <w:rPr>
        <w:rFonts w:hint="eastAsia" w:ascii="Times New Roman" w:hAnsi="Times New Roman" w:eastAsia="宋体"/>
        <w:color w:val="auto"/>
        <w:sz w:val="28"/>
        <w:szCs w:val="24"/>
      </w:rPr>
    </w:lvl>
    <w:lvl w:ilvl="3" w:tentative="0">
      <w:start w:val="1"/>
      <w:numFmt w:val="decimal"/>
      <w:suff w:val="space"/>
      <w:lvlText w:val="%2.%3.%4."/>
      <w:lvlJc w:val="left"/>
      <w:pPr>
        <w:ind w:left="0" w:firstLine="200"/>
      </w:pPr>
      <w:rPr>
        <w:rFonts w:hint="eastAsia" w:ascii="Times New Roman" w:hAnsi="Times New Roman" w:eastAsia="黑体"/>
        <w:sz w:val="24"/>
        <w:szCs w:val="24"/>
      </w:rPr>
    </w:lvl>
    <w:lvl w:ilvl="4" w:tentative="0">
      <w:start w:val="1"/>
      <w:numFmt w:val="decimal"/>
      <w:pStyle w:val="30"/>
      <w:lvlText w:val="%1.%2.%3.%4.%5"/>
      <w:lvlJc w:val="left"/>
      <w:pPr>
        <w:tabs>
          <w:tab w:val="left" w:pos="314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92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35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13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922"/>
        </w:tabs>
        <w:ind w:left="5102" w:hanging="1700"/>
      </w:pPr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F007D2"/>
    <w:rsid w:val="00203E77"/>
    <w:rsid w:val="002B2CF7"/>
    <w:rsid w:val="00380794"/>
    <w:rsid w:val="003A08D4"/>
    <w:rsid w:val="003B6A3B"/>
    <w:rsid w:val="003C58E1"/>
    <w:rsid w:val="003F7B94"/>
    <w:rsid w:val="00433444"/>
    <w:rsid w:val="00487243"/>
    <w:rsid w:val="004A6393"/>
    <w:rsid w:val="005567B8"/>
    <w:rsid w:val="0060704F"/>
    <w:rsid w:val="009538B2"/>
    <w:rsid w:val="0099027C"/>
    <w:rsid w:val="00E0616A"/>
    <w:rsid w:val="00EC19A3"/>
    <w:rsid w:val="00EE70CF"/>
    <w:rsid w:val="00F34333"/>
    <w:rsid w:val="00F9691E"/>
    <w:rsid w:val="00FB31E8"/>
    <w:rsid w:val="00FC24AE"/>
    <w:rsid w:val="012E08D1"/>
    <w:rsid w:val="014317BA"/>
    <w:rsid w:val="02230FE3"/>
    <w:rsid w:val="025A654F"/>
    <w:rsid w:val="027C3D3C"/>
    <w:rsid w:val="02AF107E"/>
    <w:rsid w:val="045D1A17"/>
    <w:rsid w:val="055B0E7D"/>
    <w:rsid w:val="05C37FC0"/>
    <w:rsid w:val="06DA4BFF"/>
    <w:rsid w:val="07204C3C"/>
    <w:rsid w:val="081906D7"/>
    <w:rsid w:val="08C93FAC"/>
    <w:rsid w:val="09A45050"/>
    <w:rsid w:val="09B819CE"/>
    <w:rsid w:val="0A631954"/>
    <w:rsid w:val="0A895F02"/>
    <w:rsid w:val="0B8213C1"/>
    <w:rsid w:val="0C5E53E9"/>
    <w:rsid w:val="0CDD2D53"/>
    <w:rsid w:val="0E032C8D"/>
    <w:rsid w:val="0F55688E"/>
    <w:rsid w:val="0FAB0EE6"/>
    <w:rsid w:val="104E3681"/>
    <w:rsid w:val="105E699F"/>
    <w:rsid w:val="112E6C86"/>
    <w:rsid w:val="129E211B"/>
    <w:rsid w:val="12C926AE"/>
    <w:rsid w:val="13AC7923"/>
    <w:rsid w:val="13F206FC"/>
    <w:rsid w:val="14CF72EE"/>
    <w:rsid w:val="14DE5A8F"/>
    <w:rsid w:val="150E726E"/>
    <w:rsid w:val="16870F53"/>
    <w:rsid w:val="16C56C6D"/>
    <w:rsid w:val="16E704A1"/>
    <w:rsid w:val="174775C1"/>
    <w:rsid w:val="17E017CB"/>
    <w:rsid w:val="18B96E89"/>
    <w:rsid w:val="19C86B39"/>
    <w:rsid w:val="1A9A031B"/>
    <w:rsid w:val="1BEB6903"/>
    <w:rsid w:val="1C3F6CF1"/>
    <w:rsid w:val="1E9F430C"/>
    <w:rsid w:val="1FBA133E"/>
    <w:rsid w:val="1FC62AAD"/>
    <w:rsid w:val="1FF007D2"/>
    <w:rsid w:val="20843A4F"/>
    <w:rsid w:val="20AA6799"/>
    <w:rsid w:val="214C7431"/>
    <w:rsid w:val="21652B1A"/>
    <w:rsid w:val="221E3041"/>
    <w:rsid w:val="22420C43"/>
    <w:rsid w:val="22B433F0"/>
    <w:rsid w:val="23544D7C"/>
    <w:rsid w:val="23C87DB4"/>
    <w:rsid w:val="24220F66"/>
    <w:rsid w:val="24E34195"/>
    <w:rsid w:val="25101CDA"/>
    <w:rsid w:val="25BC7115"/>
    <w:rsid w:val="25F24FEF"/>
    <w:rsid w:val="26F9736C"/>
    <w:rsid w:val="27002C2C"/>
    <w:rsid w:val="27B87DC9"/>
    <w:rsid w:val="27D7173A"/>
    <w:rsid w:val="287F3F80"/>
    <w:rsid w:val="2989320E"/>
    <w:rsid w:val="2A650ECF"/>
    <w:rsid w:val="2A98537E"/>
    <w:rsid w:val="2AFC4314"/>
    <w:rsid w:val="2B7D3EBC"/>
    <w:rsid w:val="2BFE6DA0"/>
    <w:rsid w:val="2C3E5929"/>
    <w:rsid w:val="2D964C0B"/>
    <w:rsid w:val="2DD97BC5"/>
    <w:rsid w:val="2E071E0D"/>
    <w:rsid w:val="2E0C2AFF"/>
    <w:rsid w:val="2F3A0CBD"/>
    <w:rsid w:val="2FDF7C9E"/>
    <w:rsid w:val="30727709"/>
    <w:rsid w:val="308C4F21"/>
    <w:rsid w:val="31E51AE5"/>
    <w:rsid w:val="322F5849"/>
    <w:rsid w:val="325B6344"/>
    <w:rsid w:val="32974F8E"/>
    <w:rsid w:val="32B256CB"/>
    <w:rsid w:val="32C5226D"/>
    <w:rsid w:val="32DD3F85"/>
    <w:rsid w:val="3304474F"/>
    <w:rsid w:val="332108B6"/>
    <w:rsid w:val="34044EE1"/>
    <w:rsid w:val="34B02528"/>
    <w:rsid w:val="34F87B65"/>
    <w:rsid w:val="35893D1D"/>
    <w:rsid w:val="35AC681C"/>
    <w:rsid w:val="365B572E"/>
    <w:rsid w:val="37D42971"/>
    <w:rsid w:val="38C44830"/>
    <w:rsid w:val="38E87BC0"/>
    <w:rsid w:val="38F00B77"/>
    <w:rsid w:val="3941547E"/>
    <w:rsid w:val="3AEA69BC"/>
    <w:rsid w:val="3AFB1E6B"/>
    <w:rsid w:val="3DD53A7C"/>
    <w:rsid w:val="3E88682A"/>
    <w:rsid w:val="40281B4E"/>
    <w:rsid w:val="40297D67"/>
    <w:rsid w:val="404A3387"/>
    <w:rsid w:val="41117EE2"/>
    <w:rsid w:val="417E204F"/>
    <w:rsid w:val="41A24945"/>
    <w:rsid w:val="41EB1B9B"/>
    <w:rsid w:val="43261AA6"/>
    <w:rsid w:val="43806BB3"/>
    <w:rsid w:val="43FF030B"/>
    <w:rsid w:val="44044A8E"/>
    <w:rsid w:val="440A6183"/>
    <w:rsid w:val="4420307B"/>
    <w:rsid w:val="4441545B"/>
    <w:rsid w:val="44CD1324"/>
    <w:rsid w:val="45B33B9B"/>
    <w:rsid w:val="45BE6A33"/>
    <w:rsid w:val="463D7C0A"/>
    <w:rsid w:val="46B4085D"/>
    <w:rsid w:val="46FF29EC"/>
    <w:rsid w:val="472E3BD0"/>
    <w:rsid w:val="482C5C3F"/>
    <w:rsid w:val="488B2612"/>
    <w:rsid w:val="49753D38"/>
    <w:rsid w:val="49BE6CD7"/>
    <w:rsid w:val="49E25A88"/>
    <w:rsid w:val="49F7280F"/>
    <w:rsid w:val="4A60168E"/>
    <w:rsid w:val="4A901A63"/>
    <w:rsid w:val="4B182FAA"/>
    <w:rsid w:val="4B4613C6"/>
    <w:rsid w:val="4B840EE1"/>
    <w:rsid w:val="4C9F3E44"/>
    <w:rsid w:val="4D6735E9"/>
    <w:rsid w:val="4E5D69B5"/>
    <w:rsid w:val="4E7B202B"/>
    <w:rsid w:val="4EDA402D"/>
    <w:rsid w:val="4FF02E34"/>
    <w:rsid w:val="50450421"/>
    <w:rsid w:val="50705341"/>
    <w:rsid w:val="512621EA"/>
    <w:rsid w:val="52307851"/>
    <w:rsid w:val="53921BCE"/>
    <w:rsid w:val="54D278C6"/>
    <w:rsid w:val="54EC7CBF"/>
    <w:rsid w:val="55264684"/>
    <w:rsid w:val="55B45CED"/>
    <w:rsid w:val="57A231F4"/>
    <w:rsid w:val="58310120"/>
    <w:rsid w:val="58497569"/>
    <w:rsid w:val="5868001A"/>
    <w:rsid w:val="589D3C92"/>
    <w:rsid w:val="598900F2"/>
    <w:rsid w:val="599B2B89"/>
    <w:rsid w:val="59D52770"/>
    <w:rsid w:val="59F04431"/>
    <w:rsid w:val="5A2139A6"/>
    <w:rsid w:val="5A8061DE"/>
    <w:rsid w:val="5AA7634B"/>
    <w:rsid w:val="5AC70DFE"/>
    <w:rsid w:val="5B2C61AB"/>
    <w:rsid w:val="5B654180"/>
    <w:rsid w:val="5BEF65F5"/>
    <w:rsid w:val="5C360BC5"/>
    <w:rsid w:val="5C530585"/>
    <w:rsid w:val="5CA56722"/>
    <w:rsid w:val="5D1C3851"/>
    <w:rsid w:val="5E0A5FA3"/>
    <w:rsid w:val="5E161249"/>
    <w:rsid w:val="5E1A6610"/>
    <w:rsid w:val="601A4282"/>
    <w:rsid w:val="60466F59"/>
    <w:rsid w:val="60D26DE5"/>
    <w:rsid w:val="627246E0"/>
    <w:rsid w:val="62771CE9"/>
    <w:rsid w:val="639B17F6"/>
    <w:rsid w:val="64F5490A"/>
    <w:rsid w:val="650155BA"/>
    <w:rsid w:val="65164566"/>
    <w:rsid w:val="66357D0E"/>
    <w:rsid w:val="665E22FF"/>
    <w:rsid w:val="699D0A15"/>
    <w:rsid w:val="6A4A3B6E"/>
    <w:rsid w:val="6A892865"/>
    <w:rsid w:val="6BD70D51"/>
    <w:rsid w:val="6BDA1CC5"/>
    <w:rsid w:val="6CA72DDC"/>
    <w:rsid w:val="6CF17210"/>
    <w:rsid w:val="6D153134"/>
    <w:rsid w:val="6D3775DF"/>
    <w:rsid w:val="6D71439B"/>
    <w:rsid w:val="6D8E6720"/>
    <w:rsid w:val="6DA15718"/>
    <w:rsid w:val="6E174F53"/>
    <w:rsid w:val="6F084887"/>
    <w:rsid w:val="6F255C0E"/>
    <w:rsid w:val="6F7D3FF8"/>
    <w:rsid w:val="71CF616F"/>
    <w:rsid w:val="71DD6787"/>
    <w:rsid w:val="71EC1FF6"/>
    <w:rsid w:val="720E6F61"/>
    <w:rsid w:val="725C4FE4"/>
    <w:rsid w:val="726C7FC4"/>
    <w:rsid w:val="72F67F2A"/>
    <w:rsid w:val="742C2AA0"/>
    <w:rsid w:val="75400D68"/>
    <w:rsid w:val="75DF37AD"/>
    <w:rsid w:val="76B71B6A"/>
    <w:rsid w:val="779202B8"/>
    <w:rsid w:val="77B77146"/>
    <w:rsid w:val="79ED0708"/>
    <w:rsid w:val="7A7517BF"/>
    <w:rsid w:val="7AB102CB"/>
    <w:rsid w:val="7B220EC7"/>
    <w:rsid w:val="7B445527"/>
    <w:rsid w:val="7C057ABB"/>
    <w:rsid w:val="7CC0084B"/>
    <w:rsid w:val="7D484B2E"/>
    <w:rsid w:val="7D861BBB"/>
    <w:rsid w:val="7EE37BD8"/>
    <w:rsid w:val="7F153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styleId="4">
    <w:name w:val="heading 1"/>
    <w:basedOn w:val="1"/>
    <w:next w:val="1"/>
    <w:link w:val="25"/>
    <w:qFormat/>
    <w:uiPriority w:val="0"/>
    <w:pPr>
      <w:keepNext/>
      <w:keepLines/>
      <w:numPr>
        <w:ilvl w:val="0"/>
        <w:numId w:val="1"/>
      </w:numPr>
      <w:ind w:left="0" w:firstLine="0"/>
      <w:outlineLvl w:val="0"/>
    </w:pPr>
    <w:rPr>
      <w:rFonts w:ascii="宋体" w:hAnsi="宋体" w:cs="宋体"/>
      <w:b/>
      <w:kern w:val="44"/>
      <w:sz w:val="32"/>
      <w:szCs w:val="24"/>
    </w:rPr>
  </w:style>
  <w:style w:type="paragraph" w:styleId="5">
    <w:name w:val="heading 2"/>
    <w:basedOn w:val="1"/>
    <w:next w:val="1"/>
    <w:link w:val="27"/>
    <w:unhideWhenUsed/>
    <w:qFormat/>
    <w:uiPriority w:val="0"/>
    <w:pPr>
      <w:keepNext/>
      <w:keepLines/>
      <w:numPr>
        <w:ilvl w:val="1"/>
        <w:numId w:val="1"/>
      </w:numPr>
      <w:ind w:left="575"/>
      <w:outlineLvl w:val="1"/>
    </w:pPr>
    <w:rPr>
      <w:rFonts w:ascii="宋体" w:hAnsi="宋体"/>
      <w:b/>
      <w:bCs/>
      <w:sz w:val="28"/>
      <w:szCs w:val="32"/>
    </w:rPr>
  </w:style>
  <w:style w:type="paragraph" w:styleId="6">
    <w:name w:val="heading 3"/>
    <w:basedOn w:val="1"/>
    <w:next w:val="1"/>
    <w:link w:val="24"/>
    <w:semiHidden/>
    <w:unhideWhenUsed/>
    <w:qFormat/>
    <w:uiPriority w:val="0"/>
    <w:pPr>
      <w:numPr>
        <w:ilvl w:val="2"/>
        <w:numId w:val="1"/>
      </w:numPr>
      <w:outlineLvl w:val="2"/>
    </w:pPr>
    <w:rPr>
      <w:rFonts w:ascii="宋体" w:hAnsi="宋体"/>
      <w:b/>
    </w:rPr>
  </w:style>
  <w:style w:type="paragraph" w:styleId="7">
    <w:name w:val="heading 4"/>
    <w:basedOn w:val="1"/>
    <w:next w:val="1"/>
    <w:link w:val="26"/>
    <w:semiHidden/>
    <w:unhideWhenUsed/>
    <w:qFormat/>
    <w:uiPriority w:val="0"/>
    <w:pPr>
      <w:keepNext/>
      <w:keepLines/>
      <w:numPr>
        <w:ilvl w:val="3"/>
        <w:numId w:val="1"/>
      </w:numPr>
      <w:outlineLvl w:val="3"/>
    </w:pPr>
    <w:rPr>
      <w:rFonts w:ascii="Arial" w:hAnsi="Arial" w:eastAsia="黑体"/>
      <w:b/>
      <w:bCs/>
      <w:szCs w:val="28"/>
    </w:rPr>
  </w:style>
  <w:style w:type="paragraph" w:styleId="8">
    <w:name w:val="heading 5"/>
    <w:basedOn w:val="7"/>
    <w:next w:val="9"/>
    <w:semiHidden/>
    <w:unhideWhenUsed/>
    <w:qFormat/>
    <w:uiPriority w:val="0"/>
    <w:pPr>
      <w:numPr>
        <w:ilvl w:val="4"/>
      </w:numPr>
      <w:tabs>
        <w:tab w:val="left" w:pos="3141"/>
      </w:tabs>
      <w:outlineLvl w:val="4"/>
    </w:pPr>
    <w:rPr>
      <w:rFonts w:ascii="宋体" w:hAnsi="宋体" w:eastAsia="宋体"/>
    </w:rPr>
  </w:style>
  <w:style w:type="paragraph" w:styleId="11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outlineLvl w:val="5"/>
    </w:pPr>
    <w:rPr>
      <w:rFonts w:ascii="宋体" w:hAnsi="宋体"/>
    </w:rPr>
  </w:style>
  <w:style w:type="paragraph" w:styleId="12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outlineLvl w:val="6"/>
    </w:pPr>
    <w:rPr>
      <w:rFonts w:ascii="仿宋" w:hAnsi="仿宋" w:eastAsia="仿宋"/>
      <w:sz w:val="28"/>
    </w:rPr>
  </w:style>
  <w:style w:type="paragraph" w:styleId="13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hAnsi="Arial" w:eastAsia="黑体"/>
    </w:rPr>
  </w:style>
  <w:style w:type="paragraph" w:styleId="14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hAnsi="Arial" w:eastAsia="黑体"/>
      <w:sz w:val="21"/>
    </w:rPr>
  </w:style>
  <w:style w:type="character" w:default="1" w:styleId="22">
    <w:name w:val="Default Paragraph Font"/>
    <w:unhideWhenUsed/>
    <w:qFormat/>
    <w:uiPriority w:val="1"/>
  </w:style>
  <w:style w:type="table" w:default="1" w:styleId="2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9">
    <w:name w:val="Normal Indent"/>
    <w:basedOn w:val="1"/>
    <w:next w:val="10"/>
    <w:qFormat/>
    <w:uiPriority w:val="0"/>
    <w:pPr>
      <w:ind w:firstLine="420" w:firstLineChars="200"/>
    </w:pPr>
  </w:style>
  <w:style w:type="paragraph" w:customStyle="1" w:styleId="10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Cs w:val="21"/>
      <w:lang w:val="en-US" w:eastAsia="zh-CN" w:bidi="ar-SA"/>
    </w:rPr>
  </w:style>
  <w:style w:type="paragraph" w:styleId="15">
    <w:name w:val="annotation text"/>
    <w:basedOn w:val="1"/>
    <w:qFormat/>
    <w:uiPriority w:val="0"/>
    <w:pPr>
      <w:jc w:val="left"/>
    </w:pPr>
  </w:style>
  <w:style w:type="paragraph" w:styleId="16">
    <w:name w:val="Body Text Indent"/>
    <w:basedOn w:val="1"/>
    <w:qFormat/>
    <w:uiPriority w:val="0"/>
    <w:pPr>
      <w:spacing w:after="120" w:line="240" w:lineRule="auto"/>
      <w:ind w:left="420" w:leftChars="200"/>
    </w:pPr>
    <w:rPr>
      <w:rFonts w:asciiTheme="minorHAnsi" w:hAnsiTheme="minorHAnsi" w:eastAsiaTheme="minorEastAsia" w:cstheme="minorBidi"/>
      <w:sz w:val="21"/>
    </w:rPr>
  </w:style>
  <w:style w:type="paragraph" w:styleId="17">
    <w:name w:val="footer"/>
    <w:basedOn w:val="1"/>
    <w:link w:val="34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18">
    <w:name w:val="header"/>
    <w:basedOn w:val="1"/>
    <w:link w:val="33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9">
    <w:name w:val="Normal (Web)"/>
    <w:basedOn w:val="1"/>
    <w:qFormat/>
    <w:uiPriority w:val="0"/>
    <w:pPr>
      <w:spacing w:beforeAutospacing="1" w:afterAutospacing="1"/>
      <w:jc w:val="left"/>
    </w:pPr>
    <w:rPr>
      <w:kern w:val="0"/>
    </w:rPr>
  </w:style>
  <w:style w:type="paragraph" w:styleId="20">
    <w:name w:val="Body Text First Indent 2"/>
    <w:basedOn w:val="16"/>
    <w:qFormat/>
    <w:uiPriority w:val="0"/>
    <w:pPr>
      <w:ind w:firstLine="420"/>
    </w:pPr>
  </w:style>
  <w:style w:type="character" w:styleId="23">
    <w:name w:val="Hyperlink"/>
    <w:basedOn w:val="22"/>
    <w:qFormat/>
    <w:uiPriority w:val="0"/>
    <w:rPr>
      <w:color w:val="0000FF"/>
      <w:u w:val="single"/>
    </w:rPr>
  </w:style>
  <w:style w:type="character" w:customStyle="1" w:styleId="24">
    <w:name w:val="标题 3 字符"/>
    <w:link w:val="6"/>
    <w:qFormat/>
    <w:uiPriority w:val="0"/>
    <w:rPr>
      <w:rFonts w:ascii="宋体" w:hAnsi="宋体" w:eastAsia="宋体" w:cs="Times New Roman"/>
      <w:b/>
      <w:sz w:val="32"/>
      <w:szCs w:val="24"/>
    </w:rPr>
  </w:style>
  <w:style w:type="character" w:customStyle="1" w:styleId="25">
    <w:name w:val="标题 1 字符"/>
    <w:link w:val="4"/>
    <w:qFormat/>
    <w:uiPriority w:val="9"/>
    <w:rPr>
      <w:rFonts w:ascii="宋体" w:hAnsi="宋体" w:eastAsia="宋体" w:cs="宋体"/>
      <w:bCs/>
      <w:kern w:val="44"/>
      <w:sz w:val="32"/>
      <w:szCs w:val="24"/>
    </w:rPr>
  </w:style>
  <w:style w:type="character" w:customStyle="1" w:styleId="26">
    <w:name w:val="标题 4 字符"/>
    <w:link w:val="7"/>
    <w:qFormat/>
    <w:uiPriority w:val="0"/>
    <w:rPr>
      <w:rFonts w:ascii="Arial" w:hAnsi="Arial" w:eastAsia="黑体" w:cs="Times New Roman"/>
      <w:b/>
      <w:sz w:val="28"/>
      <w:szCs w:val="24"/>
    </w:rPr>
  </w:style>
  <w:style w:type="character" w:customStyle="1" w:styleId="27">
    <w:name w:val="标题 2 字符"/>
    <w:link w:val="5"/>
    <w:qFormat/>
    <w:uiPriority w:val="1"/>
    <w:rPr>
      <w:rFonts w:ascii="宋体" w:hAnsi="宋体" w:eastAsia="宋体" w:cs="Times New Roman"/>
      <w:b/>
      <w:sz w:val="28"/>
      <w:szCs w:val="24"/>
    </w:rPr>
  </w:style>
  <w:style w:type="paragraph" w:customStyle="1" w:styleId="28">
    <w:name w:val="DX标题2"/>
    <w:basedOn w:val="5"/>
    <w:link w:val="29"/>
    <w:qFormat/>
    <w:uiPriority w:val="0"/>
    <w:pPr>
      <w:numPr>
        <w:ilvl w:val="0"/>
        <w:numId w:val="2"/>
      </w:numPr>
      <w:tabs>
        <w:tab w:val="left" w:pos="0"/>
      </w:tabs>
      <w:spacing w:before="120"/>
    </w:pPr>
  </w:style>
  <w:style w:type="character" w:customStyle="1" w:styleId="29">
    <w:name w:val="DX标题2 字符"/>
    <w:link w:val="28"/>
    <w:qFormat/>
    <w:uiPriority w:val="0"/>
    <w:rPr>
      <w:rFonts w:eastAsia="宋体"/>
    </w:rPr>
  </w:style>
  <w:style w:type="paragraph" w:customStyle="1" w:styleId="30">
    <w:name w:val="T 标题 5"/>
    <w:basedOn w:val="1"/>
    <w:qFormat/>
    <w:uiPriority w:val="0"/>
    <w:pPr>
      <w:numPr>
        <w:ilvl w:val="4"/>
        <w:numId w:val="3"/>
      </w:numPr>
    </w:pPr>
  </w:style>
  <w:style w:type="paragraph" w:customStyle="1" w:styleId="31">
    <w:name w:val="T 标题 6"/>
    <w:basedOn w:val="1"/>
    <w:qFormat/>
    <w:uiPriority w:val="0"/>
    <w:pPr>
      <w:numPr>
        <w:ilvl w:val="5"/>
        <w:numId w:val="4"/>
      </w:numPr>
    </w:pPr>
  </w:style>
  <w:style w:type="paragraph" w:customStyle="1" w:styleId="32">
    <w:name w:val="_Style 13"/>
    <w:qFormat/>
    <w:uiPriority w:val="0"/>
    <w:pPr>
      <w:spacing w:before="120" w:after="120" w:line="288" w:lineRule="auto"/>
    </w:pPr>
    <w:rPr>
      <w:rFonts w:ascii="Arial" w:hAnsi="Arial" w:eastAsia="等线" w:cs="Arial"/>
      <w:sz w:val="22"/>
      <w:szCs w:val="22"/>
      <w:lang w:val="en-US" w:eastAsia="zh-CN" w:bidi="ar-SA"/>
    </w:rPr>
  </w:style>
  <w:style w:type="character" w:customStyle="1" w:styleId="33">
    <w:name w:val="页眉 字符"/>
    <w:basedOn w:val="22"/>
    <w:link w:val="18"/>
    <w:qFormat/>
    <w:uiPriority w:val="0"/>
    <w:rPr>
      <w:kern w:val="2"/>
      <w:sz w:val="18"/>
      <w:szCs w:val="18"/>
    </w:rPr>
  </w:style>
  <w:style w:type="character" w:customStyle="1" w:styleId="34">
    <w:name w:val="页脚 字符"/>
    <w:basedOn w:val="22"/>
    <w:link w:val="17"/>
    <w:qFormat/>
    <w:uiPriority w:val="0"/>
    <w:rPr>
      <w:kern w:val="2"/>
      <w:sz w:val="18"/>
      <w:szCs w:val="18"/>
    </w:rPr>
  </w:style>
  <w:style w:type="paragraph" w:styleId="35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Words>4938</Words>
  <Characters>5397</Characters>
  <Lines>31</Lines>
  <Paragraphs>8</Paragraphs>
  <TotalTime>11</TotalTime>
  <ScaleCrop>false</ScaleCrop>
  <LinksUpToDate>false</LinksUpToDate>
  <CharactersWithSpaces>5407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2026-01-14T13:04:00Z</dcterms:created>
  <dc:creator>程志坤</dc:creator>
  <cp:lastModifiedBy>00187879_hn</cp:lastModifiedBy>
  <cp:lastPrinted>2026-04-15T07:55:36Z</cp:lastPrinted>
  <dcterms:modified xsi:type="dcterms:W3CDTF">2026-04-15T07:57:15Z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9B5965F7AEA640B7933D920A916843E0</vt:lpwstr>
  </property>
  <property fmtid="{D5CDD505-2E9C-101B-9397-08002B2CF9AE}" pid="4" name="KSOTemplateDocerSaveRecord">
    <vt:lpwstr>eyJoZGlkIjoiNGExYWE1ZTg1ZDI5OWMyYjExNDJmMGFmN2Y0N2UwMGUiLCJ1c2VySWQiOiI3NTA1OTQyNzIifQ==</vt:lpwstr>
  </property>
</Properties>
</file>