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技术要求说明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送货系统应具备IOT物联、送达呼叫、闸机联动功能。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送货实体需具备立体视觉和激光雷达功能。</w:t>
      </w:r>
      <w:bookmarkStart w:id="0" w:name="_GoBack"/>
      <w:bookmarkEnd w:id="0"/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送货系统材料需符合国际标准，包括CE认证、FCC认证。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95356F"/>
    <w:multiLevelType w:val="singleLevel"/>
    <w:tmpl w:val="0295356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22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2026-04-20T06:31:46Z</dcterms:created>
  <dc:creator>admin</dc:creator>
  <cp:lastModifiedBy>admin</cp:lastModifiedBy>
  <dcterms:modified xsi:type="dcterms:W3CDTF">2026-04-20T06:35:12Z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0C650E05A103490E827CEB89F51CE154</vt:lpwstr>
  </property>
</Properties>
</file>