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ADD055C">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u w:val="single"/>
          <w:shd w:val="clear" w:color="auto" w:fill="auto"/>
          <w:lang w:val="en-US" w:eastAsia="zh-CN"/>
        </w:rPr>
      </w:pPr>
      <w:bookmarkStart w:id="0" w:name="_Toc16603"/>
      <w:r>
        <w:rPr>
          <w:rFonts w:hint="eastAsia" w:ascii="宋体" w:hAnsi="宋体" w:eastAsia="宋体" w:cs="宋体"/>
          <w:color w:val="auto"/>
          <w:sz w:val="28"/>
          <w:szCs w:val="28"/>
          <w:highlight w:val="none"/>
          <w:shd w:val="clear" w:color="auto" w:fill="auto"/>
        </w:rPr>
        <w:t>甲方</w:t>
      </w:r>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shd w:val="clear" w:color="auto" w:fill="auto"/>
          <w:lang w:val="en-US" w:eastAsia="zh-CN"/>
        </w:rPr>
        <w:t>委托人</w:t>
      </w:r>
      <w:r>
        <w:rPr>
          <w:rFonts w:hint="eastAsia" w:ascii="宋体" w:hAnsi="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w:t>
      </w:r>
      <w:sdt>
        <w:sdtPr>
          <w:rPr>
            <w:rFonts w:hint="eastAsia" w:ascii="宋体" w:hAnsi="宋体" w:eastAsia="宋体" w:cs="宋体"/>
            <w:color w:val="auto"/>
            <w:kern w:val="2"/>
            <w:sz w:val="28"/>
            <w:szCs w:val="28"/>
            <w:highlight w:val="none"/>
            <w:u w:val="single"/>
            <w:shd w:val="clear" w:color="auto" w:fill="auto"/>
            <w:lang w:val="en-US" w:eastAsia="zh-CN" w:bidi="ar-SA"/>
          </w:rPr>
          <w:alias w:val="甲方当事人全称"/>
          <w:tag w:val="甲方当事人全称"/>
          <w:id w:val="147474913"/>
          <w:placeholder>
            <w:docPart w:val="{6f8468de-a7cd-4890-8d4c-ca38c6f7ea7b}"/>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0"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0"/>
        </w:sdtContent>
      </w:sdt>
    </w:p>
    <w:p w14:paraId="3F8950A9">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住 所 地：</w:t>
      </w:r>
      <w:sdt>
        <w:sdtPr>
          <w:rPr>
            <w:rFonts w:hint="eastAsia" w:ascii="宋体" w:hAnsi="宋体" w:eastAsia="宋体" w:cs="宋体"/>
            <w:color w:val="auto"/>
            <w:kern w:val="2"/>
            <w:sz w:val="28"/>
            <w:szCs w:val="28"/>
            <w:highlight w:val="none"/>
            <w:shd w:val="clear" w:color="auto" w:fill="auto"/>
            <w:lang w:val="en-US" w:eastAsia="zh-CN" w:bidi="ar-SA"/>
          </w:rPr>
          <w:alias w:val="甲方注册地址"/>
          <w:tag w:val="甲方注册地址"/>
          <w:id w:val="147474805"/>
          <w:placeholder>
            <w:docPart w:val="{38313ada-e7fc-45ff-8b83-635da07c8132}"/>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1"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
        </w:sdtContent>
      </w:sdt>
    </w:p>
    <w:p w14:paraId="61EF777A">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法定代表人（负责人）：</w:t>
      </w:r>
      <w:sdt>
        <w:sdtPr>
          <w:rPr>
            <w:rFonts w:hint="eastAsia" w:ascii="宋体" w:hAnsi="宋体" w:eastAsia="宋体" w:cs="宋体"/>
            <w:color w:val="auto"/>
            <w:kern w:val="2"/>
            <w:sz w:val="28"/>
            <w:szCs w:val="28"/>
            <w:highlight w:val="none"/>
            <w:shd w:val="clear" w:color="auto" w:fill="auto"/>
            <w:lang w:val="en-US" w:eastAsia="zh-CN" w:bidi="ar-SA"/>
          </w:rPr>
          <w:alias w:val="甲方法定代表人或负责人"/>
          <w:tag w:val="甲方法定代表人或负责人"/>
          <w:id w:val="147474704"/>
          <w:placeholder>
            <w:docPart w:val="{8d58870b-617f-4119-933d-0284d8f4d59e}"/>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2"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2"/>
        </w:sdtContent>
      </w:sdt>
    </w:p>
    <w:p w14:paraId="279E98AD">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项目联系人：</w:t>
      </w:r>
      <w:sdt>
        <w:sdtPr>
          <w:rPr>
            <w:rFonts w:hint="eastAsia" w:ascii="宋体" w:hAnsi="宋体" w:eastAsia="宋体" w:cs="宋体"/>
            <w:color w:val="auto"/>
            <w:kern w:val="2"/>
            <w:sz w:val="28"/>
            <w:szCs w:val="28"/>
            <w:highlight w:val="none"/>
            <w:shd w:val="clear" w:color="auto" w:fill="auto"/>
            <w:lang w:val="en-US" w:eastAsia="zh-CN" w:bidi="ar-SA"/>
          </w:rPr>
          <w:alias w:val="甲方联系人姓名"/>
          <w:tag w:val="甲方联系人姓名"/>
          <w:id w:val="147473636"/>
          <w:placeholder>
            <w:docPart w:val="{e894ff84-3940-4f9f-a601-7cd44153abe2}"/>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3"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3"/>
        </w:sdtContent>
      </w:sdt>
    </w:p>
    <w:p w14:paraId="3FC3A0DD">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u w:val="single"/>
          <w:shd w:val="clear" w:color="auto" w:fill="auto"/>
        </w:rPr>
      </w:pPr>
      <w:r>
        <w:rPr>
          <w:rFonts w:hint="eastAsia" w:ascii="宋体" w:hAnsi="宋体" w:eastAsia="宋体" w:cs="宋体"/>
          <w:color w:val="auto"/>
          <w:sz w:val="28"/>
          <w:szCs w:val="28"/>
          <w:highlight w:val="none"/>
          <w:shd w:val="clear" w:color="auto" w:fill="auto"/>
        </w:rPr>
        <w:t>通讯地址：</w:t>
      </w:r>
      <w:sdt>
        <w:sdtPr>
          <w:rPr>
            <w:rFonts w:hint="eastAsia" w:ascii="宋体" w:hAnsi="宋体" w:eastAsia="宋体" w:cs="宋体"/>
            <w:color w:val="auto"/>
            <w:kern w:val="2"/>
            <w:sz w:val="28"/>
            <w:szCs w:val="28"/>
            <w:highlight w:val="none"/>
            <w:shd w:val="clear" w:color="auto" w:fill="auto"/>
            <w:lang w:val="en-US" w:eastAsia="zh-CN" w:bidi="ar-SA"/>
          </w:rPr>
          <w:alias w:val="甲方办公通讯地址"/>
          <w:tag w:val="甲方办公通讯地址"/>
          <w:id w:val="147473545"/>
          <w:placeholder>
            <w:docPart w:val="{beb577b3-4147-4933-8362-4fdcbfc29b10}"/>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4"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4"/>
        </w:sdtContent>
      </w:sdt>
    </w:p>
    <w:p w14:paraId="79B535D0">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u w:val="none"/>
          <w:shd w:val="clear" w:color="auto" w:fill="auto"/>
          <w:lang w:val="en-US" w:eastAsia="zh-CN"/>
        </w:rPr>
      </w:pPr>
      <w:r>
        <w:rPr>
          <w:rFonts w:hint="eastAsia" w:ascii="宋体" w:hAnsi="宋体" w:eastAsia="宋体" w:cs="宋体"/>
          <w:color w:val="auto"/>
          <w:sz w:val="28"/>
          <w:szCs w:val="28"/>
          <w:highlight w:val="none"/>
          <w:u w:val="none"/>
          <w:shd w:val="clear" w:color="auto" w:fill="auto"/>
          <w:lang w:val="en-US" w:eastAsia="zh-CN"/>
        </w:rPr>
        <w:t>手    机：</w:t>
      </w:r>
      <w:sdt>
        <w:sdtPr>
          <w:rPr>
            <w:rFonts w:hint="eastAsia" w:ascii="宋体" w:hAnsi="宋体" w:eastAsia="宋体" w:cs="宋体"/>
            <w:color w:val="auto"/>
            <w:kern w:val="2"/>
            <w:sz w:val="28"/>
            <w:szCs w:val="28"/>
            <w:highlight w:val="none"/>
            <w:u w:val="none"/>
            <w:shd w:val="clear" w:color="auto" w:fill="auto"/>
            <w:lang w:val="en-US" w:eastAsia="zh-CN" w:bidi="ar-SA"/>
          </w:rPr>
          <w:alias w:val="甲方联系人手机"/>
          <w:tag w:val="甲方联系人手机"/>
          <w:id w:val="147473434"/>
          <w:placeholder>
            <w:docPart w:val="{99ecdf11-2d9f-44a7-be03-79864d69fa45}"/>
          </w:placeholder>
          <w:text/>
        </w:sdtPr>
        <w:sdtEndPr>
          <w:rPr>
            <w:rFonts w:hint="eastAsia" w:ascii="宋体" w:hAnsi="宋体" w:eastAsia="宋体" w:cs="宋体"/>
            <w:color w:val="auto"/>
            <w:kern w:val="2"/>
            <w:sz w:val="28"/>
            <w:szCs w:val="28"/>
            <w:highlight w:val="none"/>
            <w:u w:val="none"/>
            <w:shd w:val="clear" w:color="auto" w:fill="auto"/>
            <w:lang w:val="en-US" w:eastAsia="zh-CN" w:bidi="ar-SA"/>
          </w:rPr>
        </w:sdtEndPr>
        <w:sdtContent>
          <w:permStart w:id="5"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5"/>
        </w:sdtContent>
      </w:sdt>
    </w:p>
    <w:p w14:paraId="6EBF0002">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电    话：</w:t>
      </w:r>
      <w:sdt>
        <w:sdtPr>
          <w:rPr>
            <w:rFonts w:hint="eastAsia" w:ascii="宋体" w:hAnsi="宋体" w:eastAsia="宋体" w:cs="宋体"/>
            <w:color w:val="auto"/>
            <w:kern w:val="2"/>
            <w:sz w:val="28"/>
            <w:szCs w:val="28"/>
            <w:highlight w:val="none"/>
            <w:shd w:val="clear" w:color="auto" w:fill="auto"/>
            <w:lang w:val="en-US" w:eastAsia="zh-CN" w:bidi="ar-SA"/>
          </w:rPr>
          <w:alias w:val="甲方联系人固定电话"/>
          <w:tag w:val="甲方联系人固定电话"/>
          <w:id w:val="147473290"/>
          <w:placeholder>
            <w:docPart w:val="{d459e11c-a76e-4950-8ab0-f5d4f4a8772e}"/>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6"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6"/>
        </w:sdtContent>
      </w:sdt>
    </w:p>
    <w:p w14:paraId="2C572BDA">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u w:val="single"/>
          <w:shd w:val="clear" w:color="auto" w:fill="auto"/>
        </w:rPr>
      </w:pPr>
      <w:r>
        <w:rPr>
          <w:rFonts w:hint="eastAsia" w:ascii="宋体" w:hAnsi="宋体" w:eastAsia="宋体" w:cs="宋体"/>
          <w:color w:val="auto"/>
          <w:sz w:val="28"/>
          <w:szCs w:val="28"/>
          <w:highlight w:val="none"/>
          <w:shd w:val="clear" w:color="auto" w:fill="auto"/>
        </w:rPr>
        <w:t>电子信箱：</w:t>
      </w:r>
      <w:sdt>
        <w:sdtPr>
          <w:rPr>
            <w:rFonts w:hint="eastAsia" w:ascii="宋体" w:hAnsi="宋体" w:eastAsia="宋体" w:cs="宋体"/>
            <w:color w:val="auto"/>
            <w:kern w:val="2"/>
            <w:sz w:val="28"/>
            <w:szCs w:val="28"/>
            <w:highlight w:val="none"/>
            <w:shd w:val="clear" w:color="auto" w:fill="auto"/>
            <w:lang w:val="en-US" w:eastAsia="zh-CN" w:bidi="ar-SA"/>
          </w:rPr>
          <w:alias w:val="甲方联系人电子邮箱"/>
          <w:tag w:val="甲方联系人电子邮箱"/>
          <w:id w:val="147473169"/>
          <w:placeholder>
            <w:docPart w:val="{9c13321e-2644-403b-9868-b6f365c36eee}"/>
          </w:placeholder>
          <w:text/>
        </w:sdtPr>
        <w:sdtEndPr>
          <w:rPr>
            <w:rFonts w:hint="eastAsia" w:ascii="宋体" w:hAnsi="宋体" w:eastAsia="宋体" w:cs="宋体"/>
            <w:color w:val="auto"/>
            <w:kern w:val="2"/>
            <w:sz w:val="28"/>
            <w:szCs w:val="28"/>
            <w:highlight w:val="none"/>
            <w:shd w:val="clear" w:color="auto" w:fill="auto"/>
            <w:lang w:val="en-US" w:eastAsia="zh-CN" w:bidi="ar-SA"/>
          </w:rPr>
        </w:sdtEndPr>
        <w:sdtContent>
          <w:permStart w:id="7"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7"/>
        </w:sdtContent>
      </w:sdt>
    </w:p>
    <w:p w14:paraId="778C9688">
      <w:pPr>
        <w:keepNext w:val="0"/>
        <w:keepLines w:val="0"/>
        <w:pageBreakBefore w:val="0"/>
        <w:widowControl w:val="0"/>
        <w:kinsoku/>
        <w:wordWrap/>
        <w:overflowPunct/>
        <w:topLinePunct w:val="0"/>
        <w:autoSpaceDE/>
        <w:autoSpaceDN/>
        <w:bidi w:val="0"/>
        <w:adjustRightInd/>
        <w:snapToGrid/>
        <w:spacing w:line="540" w:lineRule="exact"/>
        <w:ind w:right="0" w:rightChars="0"/>
        <w:jc w:val="left"/>
        <w:textAlignment w:val="auto"/>
        <w:outlineLvl w:val="9"/>
        <w:rPr>
          <w:rFonts w:hint="eastAsia" w:ascii="宋体" w:hAnsi="宋体" w:eastAsia="宋体" w:cs="宋体"/>
          <w:color w:val="auto"/>
          <w:sz w:val="28"/>
          <w:szCs w:val="28"/>
          <w:highlight w:val="none"/>
          <w:shd w:val="clear" w:color="auto" w:fill="auto"/>
          <w:lang w:val="en-US" w:eastAsia="zh-CN"/>
        </w:rPr>
      </w:pPr>
    </w:p>
    <w:p w14:paraId="729A5C3E">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u w:val="single"/>
          <w:shd w:val="clear" w:color="auto" w:fill="auto"/>
          <w:lang w:val="en-US" w:eastAsia="zh-CN"/>
        </w:rPr>
      </w:pPr>
      <w:r>
        <w:rPr>
          <w:rFonts w:hint="eastAsia" w:ascii="宋体" w:hAnsi="宋体" w:eastAsia="宋体" w:cs="宋体"/>
          <w:color w:val="auto"/>
          <w:sz w:val="28"/>
          <w:szCs w:val="28"/>
          <w:highlight w:val="none"/>
          <w:shd w:val="clear" w:color="auto" w:fill="auto"/>
          <w:lang w:val="en-US" w:eastAsia="zh-CN"/>
        </w:rPr>
        <w:t>乙</w:t>
      </w:r>
      <w:r>
        <w:rPr>
          <w:rFonts w:hint="eastAsia" w:ascii="宋体" w:hAnsi="宋体" w:eastAsia="宋体" w:cs="宋体"/>
          <w:color w:val="auto"/>
          <w:sz w:val="28"/>
          <w:szCs w:val="28"/>
          <w:highlight w:val="none"/>
          <w:shd w:val="clear" w:color="auto" w:fill="auto"/>
        </w:rPr>
        <w:t>方</w:t>
      </w:r>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shd w:val="clear" w:color="auto" w:fill="auto"/>
          <w:lang w:val="en-US" w:eastAsia="zh-CN"/>
        </w:rPr>
        <w:t>监理人</w:t>
      </w:r>
      <w:r>
        <w:rPr>
          <w:rFonts w:hint="eastAsia" w:ascii="宋体" w:hAnsi="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w:t>
      </w:r>
      <w:sdt>
        <w:sdtPr>
          <w:rPr>
            <w:rFonts w:hint="eastAsia" w:ascii="宋体" w:hAnsi="宋体" w:eastAsia="宋体" w:cs="宋体"/>
            <w:color w:val="auto"/>
            <w:kern w:val="2"/>
            <w:sz w:val="28"/>
            <w:szCs w:val="28"/>
            <w:highlight w:val="none"/>
            <w:shd w:val="clear" w:color="auto" w:fill="auto"/>
            <w:lang w:val="en-US" w:eastAsia="zh-CN" w:bidi="ar-SA"/>
          </w:rPr>
          <w:alias w:val="乙方当事人全称"/>
          <w:tag w:val="乙方当事人全称"/>
          <w:id w:val="147472829"/>
          <w:placeholder>
            <w:docPart w:val="{14cac6ef-6dec-4cfb-8c4e-abb30a85d9fb}"/>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8"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8"/>
        </w:sdtContent>
      </w:sdt>
    </w:p>
    <w:p w14:paraId="50ACAFFE">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住 所 地：</w:t>
      </w:r>
      <w:sdt>
        <w:sdtPr>
          <w:rPr>
            <w:rFonts w:hint="eastAsia" w:ascii="宋体" w:hAnsi="宋体" w:eastAsia="宋体" w:cs="宋体"/>
            <w:color w:val="auto"/>
            <w:kern w:val="2"/>
            <w:sz w:val="28"/>
            <w:szCs w:val="28"/>
            <w:highlight w:val="none"/>
            <w:shd w:val="clear" w:color="auto" w:fill="auto"/>
            <w:lang w:val="en-US" w:eastAsia="zh-CN" w:bidi="ar-SA"/>
          </w:rPr>
          <w:alias w:val="乙方注册地址"/>
          <w:tag w:val="乙方注册地址"/>
          <w:id w:val="147472663"/>
          <w:placeholder>
            <w:docPart w:val="{ebb4246d-f9c3-4979-89ee-b77af87e2879}"/>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9"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9"/>
        </w:sdtContent>
      </w:sdt>
    </w:p>
    <w:p w14:paraId="4983ABAC">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shd w:val="clear" w:color="auto" w:fill="auto"/>
          <w:lang w:val="en-US"/>
        </w:rPr>
      </w:pPr>
      <w:r>
        <w:rPr>
          <w:rFonts w:hint="eastAsia" w:ascii="宋体" w:hAnsi="宋体" w:eastAsia="宋体" w:cs="宋体"/>
          <w:color w:val="auto"/>
          <w:sz w:val="28"/>
          <w:szCs w:val="28"/>
          <w:highlight w:val="none"/>
          <w:shd w:val="clear" w:color="auto" w:fill="auto"/>
        </w:rPr>
        <w:t>法定代表人（负责人）：</w:t>
      </w:r>
      <w:sdt>
        <w:sdtPr>
          <w:rPr>
            <w:rFonts w:hint="eastAsia" w:ascii="宋体" w:hAnsi="宋体" w:eastAsia="宋体" w:cs="宋体"/>
            <w:color w:val="auto"/>
            <w:kern w:val="2"/>
            <w:sz w:val="28"/>
            <w:szCs w:val="28"/>
            <w:highlight w:val="none"/>
            <w:shd w:val="clear" w:color="auto" w:fill="auto"/>
            <w:lang w:val="en-US" w:eastAsia="zh-CN" w:bidi="ar-SA"/>
          </w:rPr>
          <w:alias w:val="乙方法定代表人或负责人"/>
          <w:tag w:val="乙方法定代表人或负责人"/>
          <w:id w:val="147472581"/>
          <w:placeholder>
            <w:docPart w:val="{d6881cf6-5308-4bfe-ad03-169682258b57}"/>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10"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0"/>
        </w:sdtContent>
      </w:sdt>
    </w:p>
    <w:p w14:paraId="0F32EB65">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shd w:val="clear" w:color="auto" w:fill="auto"/>
          <w:lang w:val="en-US"/>
        </w:rPr>
      </w:pPr>
      <w:r>
        <w:rPr>
          <w:rFonts w:hint="eastAsia" w:ascii="宋体" w:hAnsi="宋体" w:eastAsia="宋体" w:cs="宋体"/>
          <w:color w:val="auto"/>
          <w:sz w:val="28"/>
          <w:szCs w:val="28"/>
          <w:highlight w:val="none"/>
          <w:shd w:val="clear" w:color="auto" w:fill="auto"/>
        </w:rPr>
        <w:t>项目联系人：</w:t>
      </w:r>
      <w:sdt>
        <w:sdtPr>
          <w:rPr>
            <w:rFonts w:hint="eastAsia" w:ascii="宋体" w:hAnsi="宋体" w:eastAsia="宋体" w:cs="宋体"/>
            <w:color w:val="auto"/>
            <w:kern w:val="2"/>
            <w:sz w:val="28"/>
            <w:szCs w:val="28"/>
            <w:highlight w:val="none"/>
            <w:shd w:val="clear" w:color="auto" w:fill="auto"/>
            <w:lang w:val="en-US" w:eastAsia="zh-CN" w:bidi="ar-SA"/>
          </w:rPr>
          <w:alias w:val="乙方联系人姓名"/>
          <w:tag w:val="乙方联系人姓名"/>
          <w:id w:val="147472052"/>
          <w:placeholder>
            <w:docPart w:val="{3cdf4675-e6fb-42df-b7af-696fef01bb21}"/>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11"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1"/>
        </w:sdtContent>
      </w:sdt>
    </w:p>
    <w:p w14:paraId="7237AF01">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u w:val="single"/>
          <w:shd w:val="clear" w:color="auto" w:fill="auto"/>
          <w:lang w:val="en-US"/>
        </w:rPr>
      </w:pPr>
      <w:r>
        <w:rPr>
          <w:rFonts w:hint="eastAsia" w:ascii="宋体" w:hAnsi="宋体" w:eastAsia="宋体" w:cs="宋体"/>
          <w:color w:val="auto"/>
          <w:sz w:val="28"/>
          <w:szCs w:val="28"/>
          <w:highlight w:val="none"/>
          <w:shd w:val="clear" w:color="auto" w:fill="auto"/>
        </w:rPr>
        <w:t>通讯地址：</w:t>
      </w:r>
      <w:sdt>
        <w:sdtPr>
          <w:rPr>
            <w:rFonts w:hint="eastAsia" w:ascii="宋体" w:hAnsi="宋体" w:eastAsia="宋体" w:cs="宋体"/>
            <w:color w:val="auto"/>
            <w:kern w:val="2"/>
            <w:sz w:val="28"/>
            <w:szCs w:val="28"/>
            <w:highlight w:val="none"/>
            <w:shd w:val="clear" w:color="auto" w:fill="auto"/>
            <w:lang w:val="en-US" w:eastAsia="zh-CN" w:bidi="ar-SA"/>
          </w:rPr>
          <w:alias w:val="乙方办公通讯地址"/>
          <w:tag w:val="乙方办公通讯地址"/>
          <w:id w:val="147471941"/>
          <w:placeholder>
            <w:docPart w:val="{315f282d-1972-4217-bc8f-703ed18e9640}"/>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12"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2"/>
        </w:sdtContent>
      </w:sdt>
    </w:p>
    <w:p w14:paraId="2AFE1314">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u w:val="none"/>
          <w:shd w:val="clear" w:color="auto" w:fill="auto"/>
          <w:lang w:val="en-US" w:eastAsia="zh-CN"/>
        </w:rPr>
      </w:pPr>
      <w:r>
        <w:rPr>
          <w:rFonts w:hint="eastAsia" w:ascii="宋体" w:hAnsi="宋体" w:eastAsia="宋体" w:cs="宋体"/>
          <w:color w:val="auto"/>
          <w:sz w:val="28"/>
          <w:szCs w:val="28"/>
          <w:highlight w:val="none"/>
          <w:u w:val="none"/>
          <w:shd w:val="clear" w:color="auto" w:fill="auto"/>
          <w:lang w:val="en-US" w:eastAsia="zh-CN"/>
        </w:rPr>
        <w:t>手    机：</w:t>
      </w:r>
      <w:sdt>
        <w:sdtPr>
          <w:rPr>
            <w:rFonts w:hint="eastAsia" w:ascii="宋体" w:hAnsi="宋体" w:eastAsia="宋体" w:cs="宋体"/>
            <w:color w:val="auto"/>
            <w:kern w:val="2"/>
            <w:sz w:val="28"/>
            <w:szCs w:val="28"/>
            <w:highlight w:val="none"/>
            <w:u w:val="none"/>
            <w:shd w:val="clear" w:color="auto" w:fill="auto"/>
            <w:lang w:val="en-US" w:eastAsia="zh-CN" w:bidi="ar-SA"/>
          </w:rPr>
          <w:alias w:val="乙方联系人手机"/>
          <w:tag w:val="乙方联系人手机"/>
          <w:id w:val="147471784"/>
          <w:placeholder>
            <w:docPart w:val="{dbb9a799-819f-44f1-a639-ac0b85571c4f}"/>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13"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3"/>
        </w:sdtContent>
      </w:sdt>
    </w:p>
    <w:p w14:paraId="776137B9">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shd w:val="clear" w:color="auto" w:fill="auto"/>
          <w:lang w:val="en-US"/>
        </w:rPr>
      </w:pPr>
      <w:r>
        <w:rPr>
          <w:rFonts w:hint="eastAsia" w:ascii="宋体" w:hAnsi="宋体" w:eastAsia="宋体" w:cs="宋体"/>
          <w:color w:val="auto"/>
          <w:sz w:val="28"/>
          <w:szCs w:val="28"/>
          <w:highlight w:val="none"/>
          <w:shd w:val="clear" w:color="auto" w:fill="auto"/>
        </w:rPr>
        <w:t>电    话：</w:t>
      </w:r>
      <w:sdt>
        <w:sdtPr>
          <w:rPr>
            <w:rFonts w:hint="eastAsia" w:ascii="宋体" w:hAnsi="宋体" w:eastAsia="宋体" w:cs="宋体"/>
            <w:color w:val="auto"/>
            <w:kern w:val="2"/>
            <w:sz w:val="28"/>
            <w:szCs w:val="28"/>
            <w:highlight w:val="none"/>
            <w:shd w:val="clear" w:color="auto" w:fill="auto"/>
            <w:lang w:val="en-US" w:eastAsia="zh-CN" w:bidi="ar-SA"/>
          </w:rPr>
          <w:alias w:val="乙方联系人固定电话"/>
          <w:tag w:val="乙方联系人固定电话"/>
          <w:id w:val="147471722"/>
          <w:placeholder>
            <w:docPart w:val="{30c48746-53da-4016-9503-815616df9d64}"/>
          </w:placeholder>
          <w:text/>
        </w:sdtPr>
        <w:sdtEndPr>
          <w:rPr>
            <w:rFonts w:hint="eastAsia" w:ascii="宋体" w:hAnsi="宋体" w:eastAsia="宋体" w:cs="宋体"/>
            <w:color w:val="auto"/>
            <w:kern w:val="2"/>
            <w:sz w:val="28"/>
            <w:szCs w:val="28"/>
            <w:highlight w:val="none"/>
            <w:shd w:val="clear" w:color="auto" w:fill="auto"/>
            <w:lang w:val="en-US" w:eastAsia="zh-CN" w:bidi="ar-SA"/>
          </w:rPr>
        </w:sdtEndPr>
        <w:sdtContent>
          <w:permStart w:id="14"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4"/>
        </w:sdtContent>
      </w:sdt>
    </w:p>
    <w:p w14:paraId="123D761E">
      <w:pPr>
        <w:spacing w:line="540" w:lineRule="exact"/>
        <w:ind w:firstLine="560" w:firstLineChars="200"/>
        <w:rPr>
          <w:rFonts w:hint="eastAsia" w:asciiTheme="majorEastAsia" w:hAnsiTheme="majorEastAsia" w:eastAsiaTheme="majorEastAsia" w:cstheme="majorEastAsia"/>
          <w:b/>
          <w:bCs/>
          <w:color w:val="auto"/>
          <w:sz w:val="36"/>
          <w:szCs w:val="36"/>
          <w:highlight w:val="none"/>
          <w:shd w:val="clear" w:color="auto" w:fill="auto"/>
        </w:rPr>
      </w:pPr>
      <w:r>
        <w:rPr>
          <w:rFonts w:hint="eastAsia" w:ascii="宋体" w:hAnsi="宋体" w:eastAsia="宋体" w:cs="宋体"/>
          <w:color w:val="auto"/>
          <w:sz w:val="28"/>
          <w:szCs w:val="28"/>
          <w:highlight w:val="none"/>
          <w:shd w:val="clear" w:color="auto" w:fill="auto"/>
        </w:rPr>
        <w:t>电子信箱：</w:t>
      </w:r>
      <w:sdt>
        <w:sdtPr>
          <w:rPr>
            <w:rFonts w:hint="eastAsia" w:ascii="宋体" w:hAnsi="宋体" w:eastAsia="宋体" w:cs="宋体"/>
            <w:color w:val="auto"/>
            <w:kern w:val="2"/>
            <w:sz w:val="28"/>
            <w:szCs w:val="28"/>
            <w:highlight w:val="none"/>
            <w:shd w:val="clear" w:color="auto" w:fill="auto"/>
            <w:lang w:val="en-US" w:eastAsia="zh-CN" w:bidi="ar-SA"/>
          </w:rPr>
          <w:alias w:val="乙方联系人电子邮箱"/>
          <w:tag w:val="乙方联系人电子邮箱"/>
          <w:id w:val="147471651"/>
          <w:placeholder>
            <w:docPart w:val="{65009f5d-7251-43a1-b26e-6cafbe56c07f}"/>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15"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5"/>
        </w:sdtContent>
      </w:sdt>
      <w:r>
        <w:rPr>
          <w:rFonts w:hint="eastAsia" w:asciiTheme="majorEastAsia" w:hAnsiTheme="majorEastAsia" w:eastAsiaTheme="majorEastAsia" w:cstheme="majorEastAsia"/>
          <w:b/>
          <w:bCs/>
          <w:color w:val="auto"/>
          <w:sz w:val="36"/>
          <w:szCs w:val="36"/>
          <w:highlight w:val="none"/>
          <w:shd w:val="clear" w:color="auto" w:fill="auto"/>
        </w:rPr>
        <w:br w:type="page"/>
      </w:r>
    </w:p>
    <w:p w14:paraId="69E91856">
      <w:pPr>
        <w:spacing w:line="540" w:lineRule="exact"/>
        <w:jc w:val="center"/>
        <w:rPr>
          <w:rFonts w:hint="eastAsia" w:asciiTheme="majorEastAsia" w:hAnsiTheme="majorEastAsia" w:eastAsiaTheme="majorEastAsia" w:cstheme="majorEastAsia"/>
          <w:b/>
          <w:bCs/>
          <w:color w:val="auto"/>
          <w:sz w:val="36"/>
          <w:szCs w:val="36"/>
          <w:highlight w:val="none"/>
          <w:shd w:val="clear" w:color="auto" w:fill="auto"/>
        </w:rPr>
      </w:pPr>
      <w:r>
        <w:rPr>
          <w:rFonts w:hint="eastAsia" w:asciiTheme="majorEastAsia" w:hAnsiTheme="majorEastAsia" w:eastAsiaTheme="majorEastAsia" w:cstheme="majorEastAsia"/>
          <w:b/>
          <w:bCs/>
          <w:color w:val="auto"/>
          <w:sz w:val="36"/>
          <w:szCs w:val="36"/>
          <w:highlight w:val="none"/>
          <w:shd w:val="clear" w:color="auto" w:fill="auto"/>
        </w:rPr>
        <w:t>第一节</w:t>
      </w:r>
      <w:r>
        <w:rPr>
          <w:rFonts w:hint="eastAsia" w:asciiTheme="majorEastAsia" w:hAnsiTheme="majorEastAsia" w:eastAsiaTheme="majorEastAsia" w:cstheme="majorEastAsia"/>
          <w:b/>
          <w:bCs/>
          <w:color w:val="auto"/>
          <w:sz w:val="36"/>
          <w:szCs w:val="36"/>
          <w:highlight w:val="none"/>
          <w:shd w:val="clear" w:color="auto" w:fill="auto"/>
          <w:lang w:val="en-US" w:eastAsia="zh-CN"/>
        </w:rPr>
        <w:t xml:space="preserve"> </w:t>
      </w:r>
      <w:r>
        <w:rPr>
          <w:rFonts w:hint="eastAsia" w:asciiTheme="majorEastAsia" w:hAnsiTheme="majorEastAsia" w:eastAsiaTheme="majorEastAsia" w:cstheme="majorEastAsia"/>
          <w:b/>
          <w:bCs/>
          <w:color w:val="auto"/>
          <w:sz w:val="36"/>
          <w:szCs w:val="36"/>
          <w:highlight w:val="none"/>
          <w:shd w:val="clear" w:color="auto" w:fill="auto"/>
        </w:rPr>
        <w:t>合同协议书</w:t>
      </w:r>
    </w:p>
    <w:p w14:paraId="079C89F0">
      <w:pPr>
        <w:spacing w:line="540" w:lineRule="exact"/>
        <w:rPr>
          <w:color w:val="auto"/>
          <w:highlight w:val="none"/>
          <w:shd w:val="clear" w:color="auto" w:fill="auto"/>
        </w:rPr>
      </w:pPr>
    </w:p>
    <w:p w14:paraId="4F267B68">
      <w:pPr>
        <w:spacing w:line="540" w:lineRule="exact"/>
        <w:ind w:firstLine="359" w:firstLineChars="171"/>
        <w:rPr>
          <w:color w:val="auto"/>
          <w:szCs w:val="21"/>
          <w:highlight w:val="none"/>
          <w:shd w:val="clear" w:color="auto" w:fill="auto"/>
        </w:rPr>
      </w:pPr>
      <w:r>
        <w:rPr>
          <w:rFonts w:hint="eastAsia"/>
          <w:color w:val="auto"/>
          <w:szCs w:val="21"/>
          <w:highlight w:val="none"/>
          <w:shd w:val="clear" w:color="auto" w:fill="auto"/>
        </w:rPr>
        <w:t>根据《中华人民共和国民法典》《中华人民共和国建筑法》及其他有关法律、法规，遵循平等、自愿、公平和诚信的原则，双方就下述工程委托监理与相关服务事项协商一致，订立本合同。</w:t>
      </w:r>
    </w:p>
    <w:p w14:paraId="79EB04BA">
      <w:pPr>
        <w:spacing w:line="540" w:lineRule="exact"/>
        <w:ind w:firstLine="420" w:firstLineChars="200"/>
        <w:rPr>
          <w:color w:val="auto"/>
          <w:szCs w:val="21"/>
          <w:highlight w:val="none"/>
          <w:shd w:val="clear" w:color="auto" w:fill="auto"/>
        </w:rPr>
      </w:pPr>
      <w:r>
        <w:rPr>
          <w:color w:val="auto"/>
          <w:szCs w:val="21"/>
          <w:highlight w:val="none"/>
          <w:shd w:val="clear" w:color="auto" w:fill="auto"/>
        </w:rPr>
        <w:t>1. 下列文件一起构成合同文件：</w:t>
      </w:r>
    </w:p>
    <w:p w14:paraId="34234703">
      <w:pPr>
        <w:spacing w:line="540" w:lineRule="exact"/>
        <w:ind w:firstLine="420"/>
        <w:rPr>
          <w:color w:val="auto"/>
          <w:highlight w:val="none"/>
          <w:shd w:val="clear" w:color="auto" w:fill="auto"/>
        </w:rPr>
      </w:pPr>
      <w:permStart w:id="16" w:edGrp="everyone"/>
      <w:r>
        <w:rPr>
          <w:color w:val="auto"/>
          <w:highlight w:val="none"/>
          <w:shd w:val="clear" w:color="auto" w:fill="auto"/>
        </w:rPr>
        <w:t>（1）合同协议书；</w:t>
      </w:r>
    </w:p>
    <w:p w14:paraId="256E7214">
      <w:pPr>
        <w:spacing w:line="540" w:lineRule="exact"/>
        <w:ind w:firstLine="420"/>
        <w:rPr>
          <w:color w:val="auto"/>
          <w:highlight w:val="none"/>
          <w:shd w:val="clear" w:color="auto" w:fill="auto"/>
        </w:rPr>
      </w:pPr>
      <w:r>
        <w:rPr>
          <w:color w:val="auto"/>
          <w:highlight w:val="none"/>
          <w:shd w:val="clear" w:color="auto" w:fill="auto"/>
        </w:rPr>
        <w:t>（2）中标通知书；</w:t>
      </w:r>
    </w:p>
    <w:p w14:paraId="0BB62DE6">
      <w:pPr>
        <w:spacing w:line="540" w:lineRule="exact"/>
        <w:ind w:firstLine="420"/>
        <w:rPr>
          <w:color w:val="auto"/>
          <w:highlight w:val="none"/>
          <w:shd w:val="clear" w:color="auto" w:fill="auto"/>
        </w:rPr>
      </w:pPr>
      <w:r>
        <w:rPr>
          <w:color w:val="auto"/>
          <w:highlight w:val="none"/>
          <w:shd w:val="clear" w:color="auto" w:fill="auto"/>
        </w:rPr>
        <w:t>（3）专用合同条款</w:t>
      </w:r>
      <w:r>
        <w:rPr>
          <w:rFonts w:hint="eastAsia"/>
          <w:color w:val="auto"/>
          <w:highlight w:val="none"/>
          <w:shd w:val="clear" w:color="auto" w:fill="auto"/>
        </w:rPr>
        <w:t>及合同附件</w:t>
      </w:r>
      <w:r>
        <w:rPr>
          <w:color w:val="auto"/>
          <w:highlight w:val="none"/>
          <w:shd w:val="clear" w:color="auto" w:fill="auto"/>
        </w:rPr>
        <w:t>；</w:t>
      </w:r>
    </w:p>
    <w:p w14:paraId="7F8565C6">
      <w:pPr>
        <w:spacing w:line="540" w:lineRule="exact"/>
        <w:ind w:firstLine="420"/>
        <w:rPr>
          <w:color w:val="auto"/>
          <w:highlight w:val="none"/>
          <w:shd w:val="clear" w:color="auto" w:fill="auto"/>
        </w:rPr>
      </w:pPr>
      <w:r>
        <w:rPr>
          <w:color w:val="auto"/>
          <w:highlight w:val="none"/>
          <w:shd w:val="clear" w:color="auto" w:fill="auto"/>
        </w:rPr>
        <w:t>（4）通用合同条款；</w:t>
      </w:r>
    </w:p>
    <w:p w14:paraId="00CE066E">
      <w:pPr>
        <w:spacing w:line="540" w:lineRule="exact"/>
        <w:ind w:firstLine="420"/>
        <w:rPr>
          <w:color w:val="auto"/>
          <w:highlight w:val="none"/>
          <w:shd w:val="clear" w:color="auto" w:fill="auto"/>
        </w:rPr>
      </w:pPr>
      <w:r>
        <w:rPr>
          <w:color w:val="auto"/>
          <w:highlight w:val="none"/>
          <w:shd w:val="clear" w:color="auto" w:fill="auto"/>
        </w:rPr>
        <w:t>（5）</w:t>
      </w:r>
      <w:r>
        <w:rPr>
          <w:rFonts w:hint="eastAsia"/>
          <w:color w:val="auto"/>
          <w:highlight w:val="none"/>
          <w:shd w:val="clear" w:color="auto" w:fill="auto"/>
        </w:rPr>
        <w:t>招标文件（含答疑及澄清）；</w:t>
      </w:r>
    </w:p>
    <w:p w14:paraId="7CC680B9">
      <w:pPr>
        <w:spacing w:line="540" w:lineRule="exact"/>
        <w:ind w:firstLine="420"/>
        <w:rPr>
          <w:color w:val="auto"/>
          <w:highlight w:val="none"/>
          <w:shd w:val="clear" w:color="auto" w:fill="auto"/>
        </w:rPr>
      </w:pPr>
      <w:r>
        <w:rPr>
          <w:color w:val="auto"/>
          <w:highlight w:val="none"/>
          <w:shd w:val="clear" w:color="auto" w:fill="auto"/>
        </w:rPr>
        <w:t>（6）投标函及</w:t>
      </w:r>
      <w:r>
        <w:rPr>
          <w:rFonts w:hint="eastAsia"/>
          <w:color w:val="auto"/>
          <w:highlight w:val="none"/>
          <w:shd w:val="clear" w:color="auto" w:fill="auto"/>
        </w:rPr>
        <w:t>投标函附录、监理大纲（含澄清）</w:t>
      </w:r>
      <w:r>
        <w:rPr>
          <w:color w:val="auto"/>
          <w:highlight w:val="none"/>
          <w:shd w:val="clear" w:color="auto" w:fill="auto"/>
        </w:rPr>
        <w:t>；</w:t>
      </w:r>
    </w:p>
    <w:p w14:paraId="35BB6541">
      <w:pPr>
        <w:spacing w:line="540" w:lineRule="exact"/>
        <w:ind w:firstLine="420"/>
        <w:rPr>
          <w:color w:val="auto"/>
          <w:highlight w:val="none"/>
          <w:shd w:val="clear" w:color="auto" w:fill="auto"/>
        </w:rPr>
      </w:pPr>
      <w:r>
        <w:rPr>
          <w:rFonts w:hint="eastAsia"/>
          <w:color w:val="auto"/>
          <w:highlight w:val="none"/>
          <w:shd w:val="clear" w:color="auto" w:fill="auto"/>
        </w:rPr>
        <w:t>（7）</w:t>
      </w:r>
      <w:r>
        <w:rPr>
          <w:color w:val="auto"/>
          <w:highlight w:val="none"/>
          <w:shd w:val="clear" w:color="auto" w:fill="auto"/>
        </w:rPr>
        <w:t>委托人要求；</w:t>
      </w:r>
    </w:p>
    <w:p w14:paraId="08C2740E">
      <w:pPr>
        <w:spacing w:line="540" w:lineRule="exact"/>
        <w:ind w:firstLine="420"/>
        <w:rPr>
          <w:color w:val="auto"/>
          <w:highlight w:val="none"/>
          <w:shd w:val="clear" w:color="auto" w:fill="auto"/>
        </w:rPr>
      </w:pPr>
      <w:r>
        <w:rPr>
          <w:color w:val="auto"/>
          <w:highlight w:val="none"/>
          <w:shd w:val="clear" w:color="auto" w:fill="auto"/>
        </w:rPr>
        <w:t>（</w:t>
      </w:r>
      <w:r>
        <w:rPr>
          <w:rFonts w:hint="eastAsia"/>
          <w:color w:val="auto"/>
          <w:highlight w:val="none"/>
          <w:shd w:val="clear" w:color="auto" w:fill="auto"/>
        </w:rPr>
        <w:t>8</w:t>
      </w:r>
      <w:r>
        <w:rPr>
          <w:color w:val="auto"/>
          <w:highlight w:val="none"/>
          <w:shd w:val="clear" w:color="auto" w:fill="auto"/>
        </w:rPr>
        <w:t>）</w:t>
      </w:r>
      <w:r>
        <w:rPr>
          <w:rFonts w:hint="eastAsia"/>
          <w:color w:val="auto"/>
          <w:highlight w:val="none"/>
          <w:shd w:val="clear" w:color="auto" w:fill="auto"/>
        </w:rPr>
        <w:t>图纸；</w:t>
      </w:r>
    </w:p>
    <w:p w14:paraId="327D69A1">
      <w:pPr>
        <w:spacing w:line="540" w:lineRule="exact"/>
        <w:ind w:firstLine="420"/>
        <w:rPr>
          <w:color w:val="auto"/>
          <w:highlight w:val="none"/>
          <w:shd w:val="clear" w:color="auto" w:fill="auto"/>
        </w:rPr>
      </w:pPr>
      <w:r>
        <w:rPr>
          <w:rFonts w:hint="eastAsia"/>
          <w:color w:val="auto"/>
          <w:highlight w:val="none"/>
          <w:shd w:val="clear" w:color="auto" w:fill="auto"/>
        </w:rPr>
        <w:t>（9）监理报酬清单</w:t>
      </w:r>
      <w:r>
        <w:rPr>
          <w:color w:val="auto"/>
          <w:highlight w:val="none"/>
          <w:shd w:val="clear" w:color="auto" w:fill="auto"/>
        </w:rPr>
        <w:t>；</w:t>
      </w:r>
    </w:p>
    <w:p w14:paraId="743001FF">
      <w:pPr>
        <w:spacing w:line="540" w:lineRule="exact"/>
        <w:ind w:firstLine="420"/>
        <w:rPr>
          <w:color w:val="auto"/>
          <w:szCs w:val="21"/>
          <w:highlight w:val="none"/>
          <w:shd w:val="clear" w:color="auto" w:fill="auto"/>
        </w:rPr>
      </w:pPr>
      <w:r>
        <w:rPr>
          <w:color w:val="auto"/>
          <w:highlight w:val="none"/>
          <w:shd w:val="clear" w:color="auto" w:fill="auto"/>
        </w:rPr>
        <w:t>（</w:t>
      </w:r>
      <w:r>
        <w:rPr>
          <w:rFonts w:hint="eastAsia"/>
          <w:color w:val="auto"/>
          <w:highlight w:val="none"/>
          <w:shd w:val="clear" w:color="auto" w:fill="auto"/>
        </w:rPr>
        <w:t>10</w:t>
      </w:r>
      <w:r>
        <w:rPr>
          <w:color w:val="auto"/>
          <w:highlight w:val="none"/>
          <w:shd w:val="clear" w:color="auto" w:fill="auto"/>
        </w:rPr>
        <w:t>）其他合同</w:t>
      </w:r>
      <w:r>
        <w:rPr>
          <w:color w:val="auto"/>
          <w:szCs w:val="21"/>
          <w:highlight w:val="none"/>
          <w:shd w:val="clear" w:color="auto" w:fill="auto"/>
        </w:rPr>
        <w:t>文件。</w:t>
      </w:r>
    </w:p>
    <w:permEnd w:id="16"/>
    <w:p w14:paraId="67D9D56B">
      <w:pPr>
        <w:spacing w:line="540" w:lineRule="exact"/>
        <w:ind w:firstLine="420" w:firstLineChars="200"/>
        <w:rPr>
          <w:color w:val="auto"/>
          <w:szCs w:val="21"/>
          <w:highlight w:val="none"/>
          <w:shd w:val="clear" w:color="auto" w:fill="auto"/>
        </w:rPr>
      </w:pPr>
      <w:r>
        <w:rPr>
          <w:color w:val="auto"/>
          <w:szCs w:val="21"/>
          <w:highlight w:val="none"/>
          <w:shd w:val="clear" w:color="auto" w:fill="auto"/>
        </w:rPr>
        <w:t>2. 上述合同文件互相补充和解释。如果合同文件之间存在矛盾或不一致之处，以上述文件的排列顺序在先者为准。</w:t>
      </w:r>
    </w:p>
    <w:p w14:paraId="344FF777">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3. 工程概况：</w:t>
      </w:r>
      <w:permStart w:id="17" w:edGrp="everyone"/>
      <w:r>
        <w:rPr>
          <w:color w:val="auto"/>
          <w:szCs w:val="21"/>
          <w:highlight w:val="none"/>
          <w:u w:val="single"/>
          <w:shd w:val="clear" w:color="auto" w:fill="auto"/>
        </w:rPr>
        <w:t xml:space="preserve">          </w:t>
      </w:r>
      <w:permEnd w:id="17"/>
      <w:r>
        <w:rPr>
          <w:color w:val="auto"/>
          <w:szCs w:val="21"/>
          <w:highlight w:val="none"/>
          <w:shd w:val="clear" w:color="auto" w:fill="auto"/>
        </w:rPr>
        <w:t>。</w:t>
      </w:r>
    </w:p>
    <w:p w14:paraId="0225D2C0">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4. 监理服务范围：</w:t>
      </w:r>
      <w:permStart w:id="18" w:edGrp="everyone"/>
      <w:r>
        <w:rPr>
          <w:color w:val="auto"/>
          <w:szCs w:val="21"/>
          <w:highlight w:val="none"/>
          <w:u w:val="single"/>
          <w:shd w:val="clear" w:color="auto" w:fill="auto"/>
        </w:rPr>
        <w:t xml:space="preserve">          </w:t>
      </w:r>
      <w:r>
        <w:rPr>
          <w:color w:val="auto"/>
          <w:szCs w:val="21"/>
          <w:highlight w:val="none"/>
          <w:shd w:val="clear" w:color="auto" w:fill="auto"/>
        </w:rPr>
        <w:t>。</w:t>
      </w:r>
      <w:permEnd w:id="18"/>
    </w:p>
    <w:p w14:paraId="04CA7F63">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5. 项目质量目标</w:t>
      </w:r>
      <w:r>
        <w:rPr>
          <w:color w:val="auto"/>
          <w:szCs w:val="21"/>
          <w:highlight w:val="none"/>
          <w:shd w:val="clear" w:color="auto" w:fill="auto"/>
        </w:rPr>
        <w:t>：</w:t>
      </w:r>
      <w:permStart w:id="19" w:edGrp="everyone"/>
      <w:r>
        <w:rPr>
          <w:color w:val="auto"/>
          <w:szCs w:val="21"/>
          <w:highlight w:val="none"/>
          <w:u w:val="single"/>
          <w:shd w:val="clear" w:color="auto" w:fill="auto"/>
        </w:rPr>
        <w:t xml:space="preserve">          </w:t>
      </w:r>
      <w:r>
        <w:rPr>
          <w:color w:val="auto"/>
          <w:szCs w:val="21"/>
          <w:highlight w:val="none"/>
          <w:shd w:val="clear" w:color="auto" w:fill="auto"/>
        </w:rPr>
        <w:t>。</w:t>
      </w:r>
      <w:permEnd w:id="19"/>
    </w:p>
    <w:p w14:paraId="08253494">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6. 安全目标：</w:t>
      </w:r>
      <w:permStart w:id="20" w:edGrp="everyone"/>
      <w:r>
        <w:rPr>
          <w:color w:val="auto"/>
          <w:szCs w:val="21"/>
          <w:highlight w:val="none"/>
          <w:u w:val="single"/>
          <w:shd w:val="clear" w:color="auto" w:fill="auto"/>
        </w:rPr>
        <w:t xml:space="preserve">          </w:t>
      </w:r>
      <w:r>
        <w:rPr>
          <w:color w:val="auto"/>
          <w:szCs w:val="21"/>
          <w:highlight w:val="none"/>
          <w:shd w:val="clear" w:color="auto" w:fill="auto"/>
        </w:rPr>
        <w:t>。</w:t>
      </w:r>
      <w:permEnd w:id="20"/>
    </w:p>
    <w:p w14:paraId="5A19635A">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7. 文明施工目标</w:t>
      </w:r>
      <w:permStart w:id="21" w:edGrp="everyone"/>
      <w:r>
        <w:rPr>
          <w:rFonts w:hint="eastAsia"/>
          <w:color w:val="auto"/>
          <w:szCs w:val="21"/>
          <w:highlight w:val="none"/>
          <w:shd w:val="clear" w:color="auto" w:fill="auto"/>
        </w:rPr>
        <w:t>：</w:t>
      </w:r>
      <w:r>
        <w:rPr>
          <w:color w:val="auto"/>
          <w:szCs w:val="21"/>
          <w:highlight w:val="none"/>
          <w:u w:val="single"/>
          <w:shd w:val="clear" w:color="auto" w:fill="auto"/>
        </w:rPr>
        <w:t xml:space="preserve">          </w:t>
      </w:r>
      <w:r>
        <w:rPr>
          <w:color w:val="auto"/>
          <w:szCs w:val="21"/>
          <w:highlight w:val="none"/>
          <w:shd w:val="clear" w:color="auto" w:fill="auto"/>
        </w:rPr>
        <w:t>。</w:t>
      </w:r>
      <w:permEnd w:id="21"/>
    </w:p>
    <w:p w14:paraId="061529E8">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8. 造价控制目标：</w:t>
      </w:r>
      <w:permStart w:id="22" w:edGrp="everyone"/>
      <w:r>
        <w:rPr>
          <w:color w:val="auto"/>
          <w:szCs w:val="21"/>
          <w:highlight w:val="none"/>
          <w:u w:val="single"/>
          <w:shd w:val="clear" w:color="auto" w:fill="auto"/>
        </w:rPr>
        <w:t xml:space="preserve">          </w:t>
      </w:r>
      <w:r>
        <w:rPr>
          <w:color w:val="auto"/>
          <w:szCs w:val="21"/>
          <w:highlight w:val="none"/>
          <w:shd w:val="clear" w:color="auto" w:fill="auto"/>
        </w:rPr>
        <w:t>。</w:t>
      </w:r>
      <w:permEnd w:id="22"/>
    </w:p>
    <w:p w14:paraId="69FC037E">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9. 项目监理服务期限：</w:t>
      </w:r>
      <w:permStart w:id="23" w:edGrp="everyone"/>
      <w:r>
        <w:rPr>
          <w:rFonts w:hint="eastAsia"/>
          <w:color w:val="auto"/>
          <w:szCs w:val="21"/>
          <w:highlight w:val="none"/>
          <w:u w:val="single"/>
          <w:shd w:val="clear" w:color="auto" w:fill="auto"/>
        </w:rPr>
        <w:t xml:space="preserve">     </w:t>
      </w:r>
      <w:permEnd w:id="23"/>
      <w:r>
        <w:rPr>
          <w:rFonts w:hint="eastAsia"/>
          <w:color w:val="auto"/>
          <w:szCs w:val="21"/>
          <w:highlight w:val="none"/>
          <w:shd w:val="clear" w:color="auto" w:fill="auto"/>
        </w:rPr>
        <w:t>天，计划开始监理日期：</w:t>
      </w:r>
      <w:sdt>
        <w:sdtP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alias w:val="履行开始时间不应早于合同签订之日"/>
          <w:tag w:val="履行开始时间"/>
          <w:id w:val="147458093"/>
          <w:placeholder>
            <w:docPart w:val="{53112d98-2ecf-466b-bb3a-841efacd2e31}"/>
          </w:placeholder>
          <w:date w:fullDate="2022-11-12T00:00:00Z">
            <w:dateFormat w:val="yyyy'年'M'月'd'日'"/>
            <w:lid w:val="zh-CN"/>
            <w:storeMappedDataAs w:val="datetime"/>
            <w:calendar w:val="gregorian"/>
          </w:date>
        </w:sdtPr>
        <w:sdtEndPr>
          <w:rPr>
            <w:rFonts w:hint="eastAsia" w:ascii="宋体" w:hAnsi="宋体" w:eastAsia="宋体" w:cs="宋体"/>
            <w:color w:val="auto"/>
            <w:kern w:val="2"/>
            <w:sz w:val="28"/>
            <w:szCs w:val="36"/>
            <w:highlight w:val="none"/>
            <w:u w:val="single"/>
            <w:shd w:val="clear" w:color="auto" w:fill="auto"/>
            <w:lang w:val="en-US" w:eastAsia="zh-CN" w:bidi="ar-SA"/>
          </w:rPr>
        </w:sdtEndPr>
        <w:sdtContent>
          <w:permStart w:id="24" w:edGrp="everyone"/>
          <w:r>
            <w:rPr>
              <w:rFonts w:hint="eastAsia" w:ascii="宋体" w:hAnsi="宋体" w:eastAsia="宋体" w:cs="宋体"/>
              <w:color w:val="auto"/>
              <w:kern w:val="2"/>
              <w:sz w:val="21"/>
              <w:szCs w:val="21"/>
              <w:highlight w:val="none"/>
              <w:u w:val="single"/>
              <w:shd w:val="clear" w:color="auto" w:fill="auto"/>
              <w:lang w:val="en-US" w:eastAsia="zh-CN" w:bidi="ar-SA"/>
            </w:rPr>
            <w:t xml:space="preserve">     </w:t>
          </w:r>
          <w:permEnd w:id="24"/>
        </w:sdtContent>
      </w:sdt>
      <w:r>
        <w:rPr>
          <w:rFonts w:hint="eastAsia"/>
          <w:color w:val="auto"/>
          <w:szCs w:val="21"/>
          <w:highlight w:val="none"/>
          <w:shd w:val="clear" w:color="auto" w:fill="auto"/>
        </w:rPr>
        <w:t>，计划完成监理日期：</w:t>
      </w:r>
      <w:sdt>
        <w:sdtP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tag w:val="履行结束时间"/>
          <w:id w:val="464410469"/>
          <w:placeholder>
            <w:docPart w:val="{dc911c23-2052-4f34-9d43-19ba0d623d4d}"/>
          </w:placeholder>
          <w:date w:fullDate="2022-11-26T00:00:00Z">
            <w:dateFormat w:val="yyyy'年'M'月'd'日'"/>
            <w:lid w:val="zh-CN"/>
            <w:storeMappedDataAs w:val="datetime"/>
            <w:calendar w:val="gregorian"/>
          </w:date>
        </w:sdtPr>
        <w:sdtEndPr>
          <w:rPr>
            <w:rFonts w:hint="eastAsia" w:ascii="宋体" w:hAnsi="宋体" w:eastAsia="宋体" w:cs="宋体"/>
            <w:color w:val="auto"/>
            <w:kern w:val="2"/>
            <w:sz w:val="21"/>
            <w:szCs w:val="21"/>
            <w:highlight w:val="none"/>
            <w:u w:val="single"/>
            <w:shd w:val="clear" w:color="auto" w:fill="auto"/>
            <w:lang w:val="en-US" w:eastAsia="zh-CN" w:bidi="ar-SA"/>
          </w:rPr>
        </w:sdtEndPr>
        <w:sdtContent>
          <w:permStart w:id="25" w:edGrp="everyone"/>
          <w:r>
            <w:rPr>
              <w:rFonts w:hint="eastAsia" w:ascii="宋体" w:hAnsi="宋体" w:eastAsia="宋体" w:cs="宋体"/>
              <w:color w:val="auto"/>
              <w:kern w:val="2"/>
              <w:sz w:val="21"/>
              <w:szCs w:val="21"/>
              <w:highlight w:val="none"/>
              <w:u w:val="single"/>
              <w:shd w:val="clear" w:color="auto" w:fill="auto"/>
              <w:lang w:val="en-US" w:eastAsia="zh-CN" w:bidi="ar-SA"/>
            </w:rPr>
            <w:t xml:space="preserve">     </w:t>
          </w:r>
          <w:permEnd w:id="25"/>
        </w:sdtContent>
      </w:sdt>
      <w:r>
        <w:rPr>
          <w:rFonts w:hint="eastAsia"/>
          <w:color w:val="auto"/>
          <w:szCs w:val="21"/>
          <w:highlight w:val="none"/>
          <w:shd w:val="clear" w:color="auto" w:fill="auto"/>
        </w:rPr>
        <w:t>（实际日期按照委托人在开始监理通知中载明的开始监理日期、竣工日期为准）。</w:t>
      </w:r>
    </w:p>
    <w:p w14:paraId="28119E77">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10</w:t>
      </w:r>
      <w:r>
        <w:rPr>
          <w:color w:val="auto"/>
          <w:szCs w:val="21"/>
          <w:highlight w:val="none"/>
          <w:shd w:val="clear" w:color="auto" w:fill="auto"/>
        </w:rPr>
        <w:t xml:space="preserve">. </w:t>
      </w:r>
      <w:r>
        <w:rPr>
          <w:rFonts w:hint="eastAsia"/>
          <w:color w:val="auto"/>
          <w:szCs w:val="21"/>
          <w:highlight w:val="none"/>
          <w:shd w:val="clear" w:color="auto" w:fill="auto"/>
        </w:rPr>
        <w:t>合同价格及支付条件</w:t>
      </w:r>
    </w:p>
    <w:p w14:paraId="5FBA5737">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10.1 合同总价为人民币</w:t>
      </w:r>
      <w:sdt>
        <w:sdtPr>
          <w:rPr>
            <w:rFonts w:hint="eastAsia"/>
            <w:color w:val="auto"/>
            <w:kern w:val="2"/>
            <w:sz w:val="21"/>
            <w:szCs w:val="21"/>
            <w:highlight w:val="none"/>
            <w:shd w:val="clear" w:color="auto" w:fill="auto"/>
            <w:lang w:val="en-US" w:eastAsia="zh-CN" w:bidi="ar-SA"/>
          </w:rPr>
          <w:alias w:val="合同金额"/>
          <w:tag w:val="合同金额"/>
          <w:id w:val="147471842"/>
          <w:placeholder>
            <w:docPart w:val="{af452ada-2e2a-4fa7-8976-5eda16cc2293}"/>
          </w:placeholder>
        </w:sdtPr>
        <w:sdtEndPr>
          <w:rPr>
            <w:rFonts w:hint="eastAsia"/>
            <w:color w:val="auto"/>
            <w:kern w:val="2"/>
            <w:sz w:val="21"/>
            <w:szCs w:val="21"/>
            <w:highlight w:val="none"/>
            <w:u w:val="single"/>
            <w:shd w:val="clear" w:color="auto" w:fill="auto"/>
            <w:lang w:val="en-US" w:eastAsia="zh-CN" w:bidi="ar-SA"/>
          </w:rPr>
        </w:sdtEndPr>
        <w:sdtContent>
          <w:permStart w:id="26" w:edGrp="everyone"/>
          <w:r>
            <w:rPr>
              <w:color w:val="auto"/>
              <w:szCs w:val="21"/>
              <w:highlight w:val="none"/>
              <w:u w:val="single"/>
              <w:shd w:val="clear" w:color="auto" w:fill="auto"/>
            </w:rPr>
            <w:t xml:space="preserve">       </w:t>
          </w:r>
          <w:permEnd w:id="26"/>
        </w:sdtContent>
      </w:sdt>
      <w:r>
        <w:rPr>
          <w:color w:val="auto"/>
          <w:szCs w:val="21"/>
          <w:highlight w:val="none"/>
          <w:u w:val="single"/>
          <w:shd w:val="clear" w:color="auto" w:fill="auto"/>
        </w:rPr>
        <w:t xml:space="preserve"> </w:t>
      </w:r>
      <w:r>
        <w:rPr>
          <w:rFonts w:hint="eastAsia"/>
          <w:color w:val="auto"/>
          <w:szCs w:val="21"/>
          <w:highlight w:val="none"/>
          <w:shd w:val="clear" w:color="auto" w:fill="auto"/>
        </w:rPr>
        <w:t>元（大写</w:t>
      </w:r>
      <w:r>
        <w:rPr>
          <w:color w:val="auto"/>
          <w:szCs w:val="21"/>
          <w:highlight w:val="none"/>
          <w:shd w:val="clear" w:color="auto" w:fill="auto"/>
        </w:rPr>
        <w:t>:人民币</w:t>
      </w:r>
      <w:sdt>
        <w:sdtPr>
          <w:rPr>
            <w:color w:val="auto"/>
            <w:kern w:val="2"/>
            <w:sz w:val="21"/>
            <w:szCs w:val="21"/>
            <w:highlight w:val="none"/>
            <w:shd w:val="clear" w:color="auto" w:fill="auto"/>
            <w:lang w:val="en-US" w:eastAsia="zh-CN" w:bidi="ar-SA"/>
          </w:rPr>
          <w:alias w:val="合同大写金额"/>
          <w:tag w:val="合同大写金额"/>
          <w:id w:val="147471777"/>
          <w:placeholder>
            <w:docPart w:val="{248b572f-7e15-48e9-b2df-86ad540521c3}"/>
          </w:placeholder>
        </w:sdtPr>
        <w:sdtEndPr>
          <w:rPr>
            <w:color w:val="auto"/>
            <w:kern w:val="2"/>
            <w:sz w:val="21"/>
            <w:szCs w:val="21"/>
            <w:highlight w:val="none"/>
            <w:u w:val="single"/>
            <w:shd w:val="clear" w:color="auto" w:fill="auto"/>
            <w:lang w:val="en-US" w:eastAsia="zh-CN" w:bidi="ar-SA"/>
          </w:rPr>
        </w:sdtEndPr>
        <w:sdtContent>
          <w:permStart w:id="27" w:edGrp="everyone"/>
          <w:r>
            <w:rPr>
              <w:color w:val="auto"/>
              <w:szCs w:val="21"/>
              <w:highlight w:val="none"/>
              <w:u w:val="single"/>
              <w:shd w:val="clear" w:color="auto" w:fill="auto"/>
            </w:rPr>
            <w:t xml:space="preserve">       </w:t>
          </w:r>
          <w:permEnd w:id="27"/>
        </w:sdtContent>
      </w:sdt>
      <w:r>
        <w:rPr>
          <w:rFonts w:hint="eastAsia"/>
          <w:color w:val="auto"/>
          <w:szCs w:val="21"/>
          <w:highlight w:val="none"/>
          <w:shd w:val="clear" w:color="auto" w:fill="auto"/>
        </w:rPr>
        <w:t>，投标下浮率</w:t>
      </w:r>
      <w:sdt>
        <w:sdtPr>
          <w:rPr>
            <w:rFonts w:hint="eastAsia" w:ascii="宋体" w:hAnsi="宋体" w:eastAsia="宋体" w:cs="宋体"/>
            <w:color w:val="auto"/>
            <w:kern w:val="2"/>
            <w:sz w:val="21"/>
            <w:szCs w:val="21"/>
            <w:highlight w:val="none"/>
            <w:u w:val="single"/>
            <w:shd w:val="clear" w:color="auto" w:fill="auto"/>
            <w:lang w:val="en-US" w:eastAsia="zh-CN" w:bidi="ar-SA"/>
          </w:rPr>
          <w:alias w:val="应与中标结果一致。"/>
          <w:tag w:val="中标下浮率"/>
          <w:id w:val="147480141"/>
          <w:placeholder>
            <w:docPart w:val="{90ded145-faf0-46e5-a62f-ae621dfc440b}"/>
          </w:placeholder>
          <w:text w:multiLine="1"/>
        </w:sdtPr>
        <w:sdtEndPr>
          <w:rPr>
            <w:rFonts w:hint="eastAsia" w:ascii="宋体" w:hAnsi="宋体" w:eastAsia="宋体" w:cs="宋体"/>
            <w:color w:val="auto"/>
            <w:kern w:val="2"/>
            <w:sz w:val="21"/>
            <w:szCs w:val="21"/>
            <w:highlight w:val="none"/>
            <w:u w:val="single"/>
            <w:shd w:val="clear" w:color="auto" w:fill="auto"/>
            <w:lang w:val="en-US" w:eastAsia="zh-CN" w:bidi="ar-SA"/>
          </w:rPr>
        </w:sdtEndPr>
        <w:sdtContent>
          <w:permStart w:id="28" w:edGrp="everyone"/>
          <w:r>
            <w:rPr>
              <w:rFonts w:hint="eastAsia" w:ascii="宋体" w:hAnsi="宋体" w:cs="宋体"/>
              <w:color w:val="auto"/>
              <w:kern w:val="2"/>
              <w:sz w:val="21"/>
              <w:szCs w:val="21"/>
              <w:highlight w:val="none"/>
              <w:u w:val="single"/>
              <w:shd w:val="clear" w:color="auto" w:fill="auto"/>
              <w:lang w:val="en-US" w:eastAsia="zh-CN" w:bidi="ar-SA"/>
            </w:rPr>
            <w:t xml:space="preserve">  </w:t>
          </w:r>
          <w:r>
            <w:rPr>
              <w:rFonts w:hint="eastAsia" w:ascii="宋体" w:hAnsi="宋体" w:eastAsia="宋体" w:cs="宋体"/>
              <w:color w:val="auto"/>
              <w:kern w:val="2"/>
              <w:sz w:val="21"/>
              <w:szCs w:val="21"/>
              <w:highlight w:val="none"/>
              <w:u w:val="single"/>
              <w:shd w:val="clear" w:color="auto" w:fill="auto"/>
              <w:lang w:val="en-US" w:eastAsia="zh-CN" w:bidi="ar-SA"/>
            </w:rPr>
            <w:t xml:space="preserve"> </w:t>
          </w:r>
          <w:permEnd w:id="28"/>
        </w:sdtContent>
      </w:sdt>
      <w:r>
        <w:rPr>
          <w:rFonts w:hint="eastAsia" w:ascii="宋体" w:hAnsi="宋体" w:eastAsia="宋体" w:cs="宋体"/>
          <w:color w:val="auto"/>
          <w:sz w:val="21"/>
          <w:szCs w:val="21"/>
          <w:highlight w:val="none"/>
          <w:shd w:val="clear" w:color="auto" w:fill="auto"/>
          <w:lang w:val="en-US" w:eastAsia="zh-CN"/>
        </w:rPr>
        <w:t>%</w:t>
      </w:r>
      <w:r>
        <w:rPr>
          <w:rFonts w:hint="eastAsia"/>
          <w:color w:val="auto"/>
          <w:szCs w:val="21"/>
          <w:highlight w:val="none"/>
          <w:shd w:val="clear" w:color="auto" w:fill="auto"/>
          <w:lang w:val="en-US" w:eastAsia="zh-CN"/>
        </w:rPr>
        <w:t>）</w:t>
      </w:r>
      <w:r>
        <w:rPr>
          <w:rFonts w:hint="eastAsia" w:ascii="宋体" w:hAnsi="宋体" w:cs="宋体-18030"/>
          <w:color w:val="auto"/>
          <w:szCs w:val="21"/>
          <w:highlight w:val="none"/>
          <w:shd w:val="clear" w:color="auto" w:fill="auto"/>
        </w:rPr>
        <w:t>,</w:t>
      </w:r>
      <w:r>
        <w:rPr>
          <w:rFonts w:hint="eastAsia" w:ascii="Times New Roman" w:hAnsi="Times New Roman"/>
          <w:color w:val="auto"/>
          <w:szCs w:val="21"/>
          <w:highlight w:val="none"/>
          <w:shd w:val="clear" w:color="auto" w:fill="auto"/>
          <w:lang w:val="en-US" w:eastAsia="zh-CN"/>
        </w:rPr>
        <w:t>税率为</w:t>
      </w:r>
      <w:sdt>
        <w:sdtPr>
          <w:rPr>
            <w:rFonts w:ascii="Times New Roman" w:hAnsi="Times New Roman" w:eastAsia="宋体" w:cs="Times New Roman"/>
            <w:color w:val="auto"/>
            <w:kern w:val="2"/>
            <w:sz w:val="21"/>
            <w:szCs w:val="21"/>
            <w:highlight w:val="none"/>
            <w:shd w:val="clear" w:color="auto" w:fill="auto"/>
            <w:lang w:val="en-US" w:eastAsia="zh-CN" w:bidi="ar-SA"/>
          </w:rPr>
          <w:alias w:val="合同金额"/>
          <w:tag w:val="合同金额"/>
          <w:id w:val="440832576"/>
          <w:placeholder>
            <w:docPart w:val="{0ecc454c-1bb9-4274-84cf-7fd37ad4ed0e}"/>
          </w:placeholder>
        </w:sdtPr>
        <w:sdtEndPr>
          <w:rPr>
            <w:rFonts w:ascii="Times New Roman" w:hAnsi="Times New Roman" w:eastAsia="宋体" w:cs="Times New Roman"/>
            <w:color w:val="auto"/>
            <w:kern w:val="2"/>
            <w:sz w:val="21"/>
            <w:szCs w:val="22"/>
            <w:highlight w:val="none"/>
            <w:u w:val="single"/>
            <w:shd w:val="clear" w:color="auto" w:fill="auto"/>
            <w:lang w:val="en-US" w:eastAsia="zh-CN" w:bidi="ar-SA"/>
          </w:rPr>
        </w:sdtEndPr>
        <w:sdtContent>
          <w:permStart w:id="29" w:edGrp="everyone"/>
          <w:r>
            <w:rPr>
              <w:rFonts w:ascii="Times New Roman" w:hAnsi="Times New Roman"/>
              <w:color w:val="auto"/>
              <w:highlight w:val="none"/>
              <w:u w:val="single"/>
              <w:shd w:val="clear" w:color="auto" w:fill="auto"/>
            </w:rPr>
            <w:t xml:space="preserve">             </w:t>
          </w:r>
          <w:permEnd w:id="29"/>
        </w:sdtContent>
      </w:sdt>
      <w:r>
        <w:rPr>
          <w:rFonts w:hint="eastAsia" w:ascii="Times New Roman" w:hAnsi="Times New Roman" w:eastAsia="宋体" w:cs="Times New Roman"/>
          <w:color w:val="auto"/>
          <w:kern w:val="2"/>
          <w:sz w:val="21"/>
          <w:szCs w:val="22"/>
          <w:highlight w:val="none"/>
          <w:u w:val="single"/>
          <w:shd w:val="clear" w:color="auto" w:fill="auto"/>
          <w:lang w:val="en-US" w:eastAsia="zh-CN" w:bidi="ar-SA"/>
        </w:rPr>
        <w:t>。</w:t>
      </w:r>
      <w:r>
        <w:rPr>
          <w:rFonts w:hint="default" w:ascii="Times New Roman" w:hAnsi="Times New Roman" w:eastAsia="宋体" w:cs="Times New Roman"/>
          <w:color w:val="auto"/>
          <w:sz w:val="21"/>
          <w:szCs w:val="21"/>
          <w:highlight w:val="none"/>
          <w:shd w:val="clear" w:color="auto" w:fill="auto"/>
          <w:lang w:val="en-US" w:eastAsia="zh-CN"/>
        </w:rPr>
        <w:t>其中，不含税价为</w:t>
      </w:r>
      <w:r>
        <w:rPr>
          <w:rFonts w:hint="eastAsia" w:ascii="Times New Roman" w:hAnsi="Times New Roman" w:eastAsia="宋体" w:cs="Times New Roman"/>
          <w:color w:val="auto"/>
          <w:sz w:val="21"/>
          <w:szCs w:val="21"/>
          <w:highlight w:val="none"/>
          <w:shd w:val="clear" w:color="auto" w:fill="auto"/>
          <w:lang w:val="en-US" w:eastAsia="zh-CN"/>
        </w:rPr>
        <w:t>人民币大</w:t>
      </w:r>
      <w:r>
        <w:rPr>
          <w:rFonts w:hint="default" w:ascii="Times New Roman" w:hAnsi="Times New Roman" w:eastAsia="宋体" w:cs="Times New Roman"/>
          <w:color w:val="auto"/>
          <w:sz w:val="21"/>
          <w:szCs w:val="21"/>
          <w:highlight w:val="none"/>
          <w:shd w:val="clear" w:color="auto" w:fill="auto"/>
          <w:lang w:val="en-US" w:eastAsia="zh-CN"/>
        </w:rPr>
        <w:t>写</w:t>
      </w:r>
      <w:sdt>
        <w:sdtPr>
          <w:rPr>
            <w:rFonts w:hint="default" w:ascii="Times New Roman" w:hAnsi="Times New Roman" w:eastAsia="宋体" w:cs="Times New Roman"/>
            <w:color w:val="auto"/>
            <w:kern w:val="2"/>
            <w:sz w:val="21"/>
            <w:szCs w:val="21"/>
            <w:highlight w:val="none"/>
            <w:shd w:val="clear" w:color="auto" w:fill="auto"/>
            <w:lang w:val="en-US" w:eastAsia="zh-CN" w:bidi="ar-SA"/>
          </w:rPr>
          <w:alias w:val="不含税价金额"/>
          <w:tag w:val="不含税价金额"/>
          <w:id w:val="336908368"/>
          <w:placeholder>
            <w:docPart w:val="{ed574759-d154-4972-8659-8b79c637aa8a}"/>
          </w:placeholder>
          <w:text/>
        </w:sdtPr>
        <w:sdtEndPr>
          <w:rPr>
            <w:rFonts w:hint="default" w:ascii="Times New Roman" w:hAnsi="Times New Roman" w:eastAsia="宋体" w:cs="Times New Roman"/>
            <w:color w:val="auto"/>
            <w:kern w:val="2"/>
            <w:sz w:val="21"/>
            <w:szCs w:val="21"/>
            <w:highlight w:val="none"/>
            <w:u w:val="none"/>
            <w:shd w:val="clear" w:color="auto" w:fill="auto"/>
            <w:lang w:val="en-US" w:eastAsia="zh-CN" w:bidi="ar-SA"/>
          </w:rPr>
        </w:sdtEndPr>
        <w:sdtContent>
          <w:sdt>
            <w:sdtPr>
              <w:rPr>
                <w:rFonts w:ascii="Times New Roman" w:hAnsi="Times New Roman" w:eastAsia="宋体" w:cs="Times New Roman"/>
                <w:color w:val="auto"/>
                <w:kern w:val="2"/>
                <w:sz w:val="21"/>
                <w:szCs w:val="21"/>
                <w:highlight w:val="none"/>
                <w:shd w:val="clear" w:color="auto" w:fill="auto"/>
                <w:lang w:val="en-US" w:eastAsia="zh-CN" w:bidi="ar-SA"/>
              </w:rPr>
              <w:alias w:val="合同大写金额"/>
              <w:tag w:val="合同大写金额"/>
              <w:id w:val="254522682"/>
              <w:placeholder>
                <w:docPart w:val="{d715db62-1401-46fa-ac64-a2baeb8d7562}"/>
              </w:placeholder>
            </w:sdtPr>
            <w:sdtEndPr>
              <w:rPr>
                <w:rFonts w:ascii="Times New Roman" w:hAnsi="Times New Roman" w:eastAsia="宋体" w:cs="Times New Roman"/>
                <w:color w:val="auto"/>
                <w:kern w:val="2"/>
                <w:sz w:val="21"/>
                <w:szCs w:val="22"/>
                <w:highlight w:val="none"/>
                <w:u w:val="single"/>
                <w:shd w:val="clear" w:color="auto" w:fill="auto"/>
                <w:lang w:val="en-US" w:eastAsia="zh-CN" w:bidi="ar-SA"/>
              </w:rPr>
            </w:sdtEndPr>
            <w:sdtContent>
              <w:permStart w:id="30" w:edGrp="everyone"/>
              <w:r>
                <w:rPr>
                  <w:rFonts w:ascii="Times New Roman" w:hAnsi="Times New Roman"/>
                  <w:color w:val="auto"/>
                  <w:highlight w:val="none"/>
                  <w:u w:val="single"/>
                  <w:shd w:val="clear" w:color="auto" w:fill="auto"/>
                </w:rPr>
                <w:t xml:space="preserve">              </w:t>
              </w:r>
              <w:permEnd w:id="30"/>
            </w:sdtContent>
          </w:sdt>
          <w:r>
            <w:rPr>
              <w:rFonts w:ascii="Times New Roman" w:hAnsi="Times New Roman"/>
              <w:color w:val="auto"/>
              <w:szCs w:val="21"/>
              <w:highlight w:val="none"/>
              <w:shd w:val="clear" w:color="auto" w:fill="auto"/>
            </w:rPr>
            <w:t>（¥</w:t>
          </w:r>
          <w:sdt>
            <w:sdtPr>
              <w:rPr>
                <w:rFonts w:ascii="Times New Roman" w:hAnsi="Times New Roman" w:eastAsia="宋体" w:cs="Times New Roman"/>
                <w:color w:val="auto"/>
                <w:kern w:val="2"/>
                <w:sz w:val="21"/>
                <w:szCs w:val="21"/>
                <w:highlight w:val="none"/>
                <w:shd w:val="clear" w:color="auto" w:fill="auto"/>
                <w:lang w:val="en-US" w:eastAsia="zh-CN" w:bidi="ar-SA"/>
              </w:rPr>
              <w:alias w:val="合同金额"/>
              <w:tag w:val="合同金额"/>
              <w:id w:val="122775197"/>
              <w:placeholder>
                <w:docPart w:val="{8b6937fa-2893-4e58-a114-f14b35332f48}"/>
              </w:placeholder>
            </w:sdtPr>
            <w:sdtEndPr>
              <w:rPr>
                <w:rFonts w:ascii="Times New Roman" w:hAnsi="Times New Roman" w:eastAsia="宋体" w:cs="Times New Roman"/>
                <w:color w:val="auto"/>
                <w:kern w:val="2"/>
                <w:sz w:val="21"/>
                <w:szCs w:val="22"/>
                <w:highlight w:val="none"/>
                <w:u w:val="single"/>
                <w:shd w:val="clear" w:color="auto" w:fill="auto"/>
                <w:lang w:val="en-US" w:eastAsia="zh-CN" w:bidi="ar-SA"/>
              </w:rPr>
            </w:sdtEndPr>
            <w:sdtContent>
              <w:permStart w:id="31" w:edGrp="everyone"/>
              <w:r>
                <w:rPr>
                  <w:rFonts w:ascii="Times New Roman" w:hAnsi="Times New Roman"/>
                  <w:color w:val="auto"/>
                  <w:highlight w:val="none"/>
                  <w:u w:val="single"/>
                  <w:shd w:val="clear" w:color="auto" w:fill="auto"/>
                </w:rPr>
                <w:t xml:space="preserve">             </w:t>
              </w:r>
              <w:permEnd w:id="31"/>
            </w:sdtContent>
          </w:sdt>
          <w:r>
            <w:rPr>
              <w:rFonts w:hint="default" w:ascii="Times New Roman" w:hAnsi="Times New Roman" w:eastAsia="宋体" w:cs="Times New Roman"/>
              <w:color w:val="auto"/>
              <w:sz w:val="21"/>
              <w:szCs w:val="21"/>
              <w:highlight w:val="none"/>
              <w:u w:val="none"/>
              <w:shd w:val="clear" w:color="auto" w:fill="auto"/>
              <w:lang w:val="en-US" w:eastAsia="zh-CN"/>
            </w:rPr>
            <w:t xml:space="preserve"> </w:t>
          </w:r>
        </w:sdtContent>
      </w:sdt>
      <w:r>
        <w:rPr>
          <w:rFonts w:hint="default" w:ascii="Times New Roman" w:hAnsi="Times New Roman" w:eastAsia="宋体" w:cs="Times New Roman"/>
          <w:color w:val="auto"/>
          <w:sz w:val="21"/>
          <w:szCs w:val="21"/>
          <w:highlight w:val="none"/>
          <w:shd w:val="clear" w:color="auto" w:fill="auto"/>
          <w:lang w:eastAsia="zh-CN"/>
        </w:rPr>
        <w:t>，</w:t>
      </w:r>
      <w:r>
        <w:rPr>
          <w:rFonts w:hint="default" w:ascii="Times New Roman" w:hAnsi="Times New Roman" w:eastAsia="宋体" w:cs="Times New Roman"/>
          <w:color w:val="auto"/>
          <w:sz w:val="21"/>
          <w:szCs w:val="21"/>
          <w:highlight w:val="none"/>
          <w:shd w:val="clear" w:color="auto" w:fill="auto"/>
          <w:lang w:val="en-US" w:eastAsia="zh-CN"/>
        </w:rPr>
        <w:t>增值税为</w:t>
      </w:r>
      <w:r>
        <w:rPr>
          <w:rFonts w:hint="eastAsia" w:ascii="Times New Roman" w:hAnsi="Times New Roman" w:eastAsia="宋体" w:cs="Times New Roman"/>
          <w:color w:val="auto"/>
          <w:sz w:val="21"/>
          <w:szCs w:val="21"/>
          <w:highlight w:val="none"/>
          <w:shd w:val="clear" w:color="auto" w:fill="auto"/>
          <w:lang w:val="en-US" w:eastAsia="zh-CN"/>
        </w:rPr>
        <w:t>人民币大</w:t>
      </w:r>
      <w:r>
        <w:rPr>
          <w:rFonts w:hint="default" w:ascii="Times New Roman" w:hAnsi="Times New Roman" w:eastAsia="宋体" w:cs="Times New Roman"/>
          <w:color w:val="auto"/>
          <w:sz w:val="21"/>
          <w:szCs w:val="21"/>
          <w:highlight w:val="none"/>
          <w:shd w:val="clear" w:color="auto" w:fill="auto"/>
          <w:lang w:val="en-US" w:eastAsia="zh-CN"/>
        </w:rPr>
        <w:t>写</w:t>
      </w:r>
      <w:permStart w:id="32" w:edGrp="everyone"/>
      <w:r>
        <w:rPr>
          <w:rFonts w:ascii="Times New Roman" w:hAnsi="Times New Roman"/>
          <w:color w:val="auto"/>
          <w:highlight w:val="none"/>
          <w:u w:val="single"/>
          <w:shd w:val="clear" w:color="auto" w:fill="auto"/>
        </w:rPr>
        <w:t xml:space="preserve">              </w:t>
      </w:r>
      <w:permEnd w:id="32"/>
      <w:r>
        <w:rPr>
          <w:rFonts w:ascii="Times New Roman" w:hAnsi="Times New Roman"/>
          <w:color w:val="auto"/>
          <w:szCs w:val="21"/>
          <w:highlight w:val="none"/>
          <w:shd w:val="clear" w:color="auto" w:fill="auto"/>
        </w:rPr>
        <w:t>（¥</w:t>
      </w:r>
      <w:permStart w:id="33" w:edGrp="everyone"/>
      <w:r>
        <w:rPr>
          <w:rFonts w:ascii="Times New Roman" w:hAnsi="Times New Roman"/>
          <w:color w:val="auto"/>
          <w:highlight w:val="none"/>
          <w:u w:val="single"/>
          <w:shd w:val="clear" w:color="auto" w:fill="auto"/>
        </w:rPr>
        <w:t xml:space="preserve">             </w:t>
      </w:r>
      <w:permEnd w:id="33"/>
      <w:r>
        <w:rPr>
          <w:rFonts w:hint="eastAsia" w:ascii="Times New Roman" w:hAnsi="Times New Roman" w:eastAsia="宋体" w:cs="Times New Roman"/>
          <w:color w:val="auto"/>
          <w:kern w:val="2"/>
          <w:sz w:val="21"/>
          <w:szCs w:val="22"/>
          <w:highlight w:val="none"/>
          <w:u w:val="single"/>
          <w:shd w:val="clear" w:color="auto" w:fill="auto"/>
          <w:lang w:val="en-US" w:eastAsia="zh-CN" w:bidi="ar-SA"/>
        </w:rPr>
        <w:t>。</w:t>
      </w:r>
    </w:p>
    <w:p w14:paraId="18385BF9">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cs="宋体-18030"/>
          <w:color w:val="auto"/>
          <w:szCs w:val="21"/>
          <w:highlight w:val="none"/>
          <w:shd w:val="clear" w:color="auto" w:fill="auto"/>
          <w:lang w:eastAsia="zh-CN"/>
        </w:rPr>
      </w:pPr>
      <w:r>
        <w:rPr>
          <w:rFonts w:hint="eastAsia" w:ascii="宋体" w:hAnsi="宋体" w:cs="宋体-18030"/>
          <w:color w:val="auto"/>
          <w:szCs w:val="21"/>
          <w:highlight w:val="none"/>
          <w:shd w:val="clear" w:color="auto" w:fill="auto"/>
          <w:lang w:val="en-US" w:eastAsia="zh-CN"/>
        </w:rPr>
        <w:t xml:space="preserve">10.2 </w:t>
      </w:r>
      <w:r>
        <w:rPr>
          <w:rFonts w:hint="eastAsia" w:ascii="宋体" w:hAnsi="宋体" w:cs="宋体-18030"/>
          <w:color w:val="auto"/>
          <w:szCs w:val="21"/>
          <w:highlight w:val="none"/>
          <w:shd w:val="clear" w:color="auto" w:fill="auto"/>
        </w:rPr>
        <w:t>合同价款</w:t>
      </w:r>
      <w:r>
        <w:rPr>
          <w:rFonts w:hint="eastAsia" w:ascii="宋体" w:hAnsi="宋体" w:cs="宋体-18030"/>
          <w:color w:val="auto"/>
          <w:szCs w:val="21"/>
          <w:highlight w:val="none"/>
          <w:shd w:val="clear" w:color="auto" w:fill="auto"/>
          <w:lang w:val="en-US" w:eastAsia="zh-CN"/>
        </w:rPr>
        <w:t>支付按</w:t>
      </w:r>
      <w:r>
        <w:rPr>
          <w:rFonts w:hint="eastAsia" w:ascii="宋体" w:hAnsi="宋体" w:eastAsia="宋体" w:cs="宋体"/>
          <w:color w:val="auto"/>
          <w:sz w:val="21"/>
          <w:szCs w:val="21"/>
          <w:highlight w:val="none"/>
          <w:shd w:val="clear" w:color="auto" w:fill="auto"/>
          <w:lang w:val="en-US" w:eastAsia="zh-CN"/>
        </w:rPr>
        <w:t>第</w:t>
      </w:r>
      <w:permStart w:id="34" w:edGrp="everyone"/>
      <w:r>
        <w:rPr>
          <w:rFonts w:hint="eastAsia" w:ascii="宋体" w:hAnsi="宋体" w:eastAsia="宋体" w:cs="宋体"/>
          <w:color w:val="auto"/>
          <w:sz w:val="21"/>
          <w:szCs w:val="21"/>
          <w:highlight w:val="none"/>
          <w:u w:val="single"/>
          <w:shd w:val="clear" w:color="auto" w:fill="auto"/>
          <w:lang w:val="en-US" w:eastAsia="zh-CN"/>
        </w:rPr>
        <w:t xml:space="preserve">     </w:t>
      </w:r>
      <w:permEnd w:id="34"/>
      <w:r>
        <w:rPr>
          <w:rFonts w:hint="eastAsia" w:ascii="宋体" w:hAnsi="宋体" w:eastAsia="宋体" w:cs="宋体"/>
          <w:color w:val="auto"/>
          <w:sz w:val="21"/>
          <w:szCs w:val="21"/>
          <w:highlight w:val="none"/>
          <w:shd w:val="clear" w:color="auto" w:fill="auto"/>
          <w:lang w:val="en-US" w:eastAsia="zh-CN"/>
        </w:rPr>
        <w:t>种</w:t>
      </w:r>
      <w:r>
        <w:rPr>
          <w:rFonts w:hint="eastAsia" w:ascii="宋体" w:hAnsi="宋体" w:cs="宋体-18030"/>
          <w:color w:val="auto"/>
          <w:szCs w:val="21"/>
          <w:highlight w:val="none"/>
          <w:shd w:val="clear" w:color="auto" w:fill="auto"/>
        </w:rPr>
        <w:t>方式</w:t>
      </w:r>
      <w:r>
        <w:rPr>
          <w:rFonts w:hint="eastAsia" w:ascii="宋体" w:hAnsi="宋体" w:cs="宋体-18030"/>
          <w:color w:val="auto"/>
          <w:szCs w:val="21"/>
          <w:highlight w:val="none"/>
          <w:shd w:val="clear" w:color="auto" w:fill="auto"/>
          <w:lang w:eastAsia="zh-CN"/>
        </w:rPr>
        <w:t>（</w:t>
      </w:r>
      <w:r>
        <w:rPr>
          <w:rFonts w:hint="eastAsia" w:ascii="宋体" w:hAnsi="宋体" w:cs="宋体-18030"/>
          <w:color w:val="auto"/>
          <w:szCs w:val="21"/>
          <w:highlight w:val="none"/>
          <w:shd w:val="clear" w:color="auto" w:fill="auto"/>
          <w:lang w:val="en-US" w:eastAsia="zh-CN"/>
        </w:rPr>
        <w:t>1.</w:t>
      </w:r>
      <w:r>
        <w:rPr>
          <w:rFonts w:hint="eastAsia" w:ascii="宋体" w:hAnsi="宋体" w:cs="宋体-18030"/>
          <w:color w:val="auto"/>
          <w:szCs w:val="21"/>
          <w:highlight w:val="none"/>
          <w:shd w:val="clear" w:color="auto" w:fill="auto"/>
        </w:rPr>
        <w:t>转账</w:t>
      </w:r>
      <w:r>
        <w:rPr>
          <w:rFonts w:hint="eastAsia" w:ascii="宋体" w:hAnsi="宋体" w:cs="宋体-18030"/>
          <w:color w:val="auto"/>
          <w:szCs w:val="21"/>
          <w:highlight w:val="none"/>
          <w:shd w:val="clear" w:color="auto" w:fill="auto"/>
          <w:lang w:val="en-US" w:eastAsia="zh-CN"/>
        </w:rPr>
        <w:t>/2.</w:t>
      </w:r>
      <w:r>
        <w:rPr>
          <w:rFonts w:hint="eastAsia" w:ascii="宋体" w:hAnsi="宋体" w:cs="宋体-18030"/>
          <w:color w:val="auto"/>
          <w:szCs w:val="21"/>
          <w:highlight w:val="none"/>
          <w:shd w:val="clear" w:color="auto" w:fill="auto"/>
        </w:rPr>
        <w:t>汇票</w:t>
      </w:r>
      <w:r>
        <w:rPr>
          <w:rFonts w:hint="eastAsia" w:ascii="宋体" w:hAnsi="宋体" w:cs="宋体-18030"/>
          <w:color w:val="auto"/>
          <w:szCs w:val="21"/>
          <w:highlight w:val="none"/>
          <w:shd w:val="clear" w:color="auto" w:fill="auto"/>
          <w:lang w:val="en-US" w:eastAsia="zh-CN"/>
        </w:rPr>
        <w:t>/3.支票/4.其他</w:t>
      </w:r>
      <w:permStart w:id="35" w:edGrp="everyone"/>
      <w:r>
        <w:rPr>
          <w:rFonts w:hint="eastAsia" w:ascii="宋体" w:hAnsi="宋体" w:eastAsia="宋体" w:cs="宋体"/>
          <w:color w:val="auto"/>
          <w:sz w:val="21"/>
          <w:szCs w:val="21"/>
          <w:highlight w:val="none"/>
          <w:u w:val="single"/>
          <w:shd w:val="clear" w:color="auto" w:fill="auto"/>
          <w:lang w:val="en-US" w:eastAsia="zh-CN"/>
        </w:rPr>
        <w:t xml:space="preserve">   </w:t>
      </w:r>
      <w:r>
        <w:rPr>
          <w:rFonts w:hint="eastAsia" w:ascii="宋体" w:hAnsi="宋体" w:cs="宋体"/>
          <w:color w:val="auto"/>
          <w:sz w:val="21"/>
          <w:szCs w:val="21"/>
          <w:highlight w:val="none"/>
          <w:u w:val="single"/>
          <w:shd w:val="clear" w:color="auto" w:fill="auto"/>
          <w:lang w:val="en-US" w:eastAsia="zh-CN"/>
        </w:rPr>
        <w:t xml:space="preserve">  </w:t>
      </w:r>
      <w:permEnd w:id="35"/>
      <w:r>
        <w:rPr>
          <w:rFonts w:hint="eastAsia" w:ascii="宋体" w:hAnsi="宋体" w:cs="宋体-18030"/>
          <w:color w:val="auto"/>
          <w:sz w:val="21"/>
          <w:szCs w:val="21"/>
          <w:highlight w:val="none"/>
          <w:shd w:val="clear" w:color="auto" w:fill="auto"/>
          <w:lang w:val="en-US" w:eastAsia="zh-CN"/>
        </w:rPr>
        <w:t>)</w:t>
      </w:r>
      <w:r>
        <w:rPr>
          <w:rFonts w:hint="eastAsia" w:ascii="宋体" w:hAnsi="宋体" w:cs="宋体-18030"/>
          <w:color w:val="auto"/>
          <w:sz w:val="21"/>
          <w:szCs w:val="21"/>
          <w:highlight w:val="none"/>
          <w:shd w:val="clear" w:color="auto" w:fill="auto"/>
          <w:lang w:eastAsia="zh-CN"/>
        </w:rPr>
        <w:t>。</w:t>
      </w:r>
      <w:r>
        <w:rPr>
          <w:rFonts w:hint="eastAsia" w:ascii="宋体" w:hAnsi="宋体" w:eastAsia="宋体" w:cs="宋体"/>
          <w:color w:val="auto"/>
          <w:sz w:val="21"/>
          <w:szCs w:val="21"/>
          <w:highlight w:val="none"/>
          <w:shd w:val="clear" w:color="auto" w:fill="auto"/>
          <w:lang w:val="en-US" w:eastAsia="zh-CN"/>
        </w:rPr>
        <w:t>如需使用商业汇票进行支付的，由款项支付方承担资金成本（买方付息贴现）。</w:t>
      </w:r>
    </w:p>
    <w:p w14:paraId="31D05275">
      <w:pPr>
        <w:spacing w:line="540" w:lineRule="exact"/>
        <w:ind w:firstLine="420" w:firstLineChars="200"/>
        <w:rPr>
          <w:rFonts w:hint="eastAsia" w:ascii="宋体" w:hAnsi="宋体" w:cs="宋体-18030"/>
          <w:color w:val="auto"/>
          <w:szCs w:val="21"/>
          <w:highlight w:val="none"/>
          <w:shd w:val="clear" w:color="auto" w:fill="auto"/>
          <w:lang w:eastAsia="zh-CN"/>
        </w:rPr>
      </w:pPr>
      <w:r>
        <w:rPr>
          <w:rFonts w:hint="eastAsia" w:ascii="宋体" w:hAnsi="宋体" w:cs="宋体-18030"/>
          <w:color w:val="auto"/>
          <w:szCs w:val="21"/>
          <w:highlight w:val="none"/>
          <w:shd w:val="clear" w:color="auto" w:fill="auto"/>
          <w:lang w:val="en-US" w:eastAsia="zh-CN"/>
        </w:rPr>
        <w:t>监理人</w:t>
      </w:r>
      <w:r>
        <w:rPr>
          <w:rFonts w:hint="eastAsia" w:ascii="宋体" w:hAnsi="宋体" w:cs="宋体-18030"/>
          <w:color w:val="auto"/>
          <w:szCs w:val="21"/>
          <w:highlight w:val="none"/>
          <w:shd w:val="clear" w:color="auto" w:fill="auto"/>
          <w:lang w:eastAsia="zh-CN"/>
        </w:rPr>
        <w:t>汇票开立信息如下：</w:t>
      </w:r>
    </w:p>
    <w:p w14:paraId="05AC6827">
      <w:pPr>
        <w:keepNext w:val="0"/>
        <w:keepLines w:val="0"/>
        <w:pageBreakBefore w:val="0"/>
        <w:kinsoku/>
        <w:wordWrap/>
        <w:overflowPunct/>
        <w:topLinePunct w:val="0"/>
        <w:bidi w:val="0"/>
        <w:adjustRightInd/>
        <w:snapToGrid/>
        <w:spacing w:line="540" w:lineRule="exact"/>
        <w:ind w:left="0" w:leftChars="0" w:right="0" w:rightChars="0" w:firstLine="420" w:firstLineChars="200"/>
        <w:jc w:val="left"/>
        <w:outlineLvl w:val="9"/>
        <w:rPr>
          <w:rFonts w:hint="eastAsia" w:ascii="宋体" w:hAnsi="宋体" w:eastAsia="宋体" w:cs="宋体-18030"/>
          <w:color w:val="auto"/>
          <w:sz w:val="21"/>
          <w:szCs w:val="21"/>
          <w:highlight w:val="none"/>
          <w:shd w:val="clear" w:color="auto" w:fill="auto"/>
          <w:lang w:val="en-US" w:eastAsia="zh-CN"/>
        </w:rPr>
      </w:pPr>
      <w:r>
        <w:rPr>
          <w:rFonts w:hint="eastAsia" w:ascii="宋体" w:hAnsi="宋体" w:eastAsia="宋体" w:cs="宋体-18030"/>
          <w:color w:val="auto"/>
          <w:sz w:val="21"/>
          <w:szCs w:val="21"/>
          <w:highlight w:val="none"/>
          <w:shd w:val="clear" w:color="auto" w:fill="auto"/>
          <w:lang w:val="en-US" w:eastAsia="zh-CN"/>
        </w:rPr>
        <w:t>汇票类型：</w:t>
      </w:r>
      <w:permStart w:id="36" w:edGrp="everyone"/>
      <w:r>
        <w:rPr>
          <w:rFonts w:hint="eastAsia" w:ascii="宋体" w:hAnsi="宋体" w:eastAsia="宋体" w:cs="宋体-18030"/>
          <w:color w:val="auto"/>
          <w:sz w:val="21"/>
          <w:szCs w:val="21"/>
          <w:highlight w:val="none"/>
          <w:shd w:val="clear" w:color="auto" w:fill="auto"/>
          <w:lang w:val="en-US" w:eastAsia="zh-CN"/>
        </w:rPr>
        <w:sym w:font="Wingdings" w:char="006F"/>
      </w:r>
      <w:r>
        <w:rPr>
          <w:rFonts w:hint="eastAsia" w:ascii="宋体" w:hAnsi="宋体" w:eastAsia="宋体" w:cs="宋体-18030"/>
          <w:color w:val="auto"/>
          <w:sz w:val="21"/>
          <w:szCs w:val="21"/>
          <w:highlight w:val="none"/>
          <w:shd w:val="clear" w:color="auto" w:fill="auto"/>
          <w:lang w:val="en-US" w:eastAsia="zh-CN"/>
        </w:rPr>
        <w:t xml:space="preserve">银行承兑汇票  </w:t>
      </w:r>
      <w:r>
        <w:rPr>
          <w:rFonts w:hint="eastAsia" w:ascii="宋体" w:hAnsi="宋体" w:eastAsia="宋体" w:cs="宋体-18030"/>
          <w:color w:val="auto"/>
          <w:sz w:val="21"/>
          <w:szCs w:val="21"/>
          <w:highlight w:val="none"/>
          <w:shd w:val="clear" w:color="auto" w:fill="auto"/>
          <w:lang w:val="en-US" w:eastAsia="zh-CN"/>
        </w:rPr>
        <w:sym w:font="Wingdings" w:char="006F"/>
      </w:r>
      <w:r>
        <w:rPr>
          <w:rFonts w:hint="eastAsia" w:ascii="宋体" w:hAnsi="宋体" w:eastAsia="宋体" w:cs="宋体-18030"/>
          <w:color w:val="auto"/>
          <w:sz w:val="21"/>
          <w:szCs w:val="21"/>
          <w:highlight w:val="none"/>
          <w:shd w:val="clear" w:color="auto" w:fill="auto"/>
          <w:lang w:val="en-US" w:eastAsia="zh-CN"/>
        </w:rPr>
        <w:t>商业承兑汇票</w:t>
      </w:r>
      <w:permEnd w:id="36"/>
    </w:p>
    <w:p w14:paraId="549BE728">
      <w:pPr>
        <w:keepNext w:val="0"/>
        <w:keepLines w:val="0"/>
        <w:pageBreakBefore w:val="0"/>
        <w:kinsoku/>
        <w:wordWrap/>
        <w:overflowPunct/>
        <w:topLinePunct w:val="0"/>
        <w:bidi w:val="0"/>
        <w:adjustRightInd/>
        <w:snapToGrid/>
        <w:spacing w:line="540" w:lineRule="exact"/>
        <w:ind w:left="0" w:leftChars="0" w:right="0" w:rightChars="0" w:firstLine="420" w:firstLineChars="200"/>
        <w:jc w:val="left"/>
        <w:outlineLvl w:val="9"/>
        <w:rPr>
          <w:rFonts w:hint="eastAsia" w:ascii="宋体" w:hAnsi="宋体" w:eastAsia="宋体" w:cs="宋体-18030"/>
          <w:color w:val="auto"/>
          <w:sz w:val="21"/>
          <w:szCs w:val="21"/>
          <w:highlight w:val="none"/>
          <w:shd w:val="clear" w:color="auto" w:fill="auto"/>
          <w:lang w:val="en-US" w:eastAsia="zh-CN"/>
        </w:rPr>
      </w:pPr>
      <w:r>
        <w:rPr>
          <w:rFonts w:hint="eastAsia" w:ascii="宋体" w:hAnsi="宋体" w:eastAsia="宋体" w:cs="宋体-18030"/>
          <w:color w:val="auto"/>
          <w:sz w:val="21"/>
          <w:szCs w:val="21"/>
          <w:highlight w:val="none"/>
          <w:shd w:val="clear" w:color="auto" w:fill="auto"/>
          <w:lang w:val="en-US" w:eastAsia="zh-CN"/>
        </w:rPr>
        <w:t>收款人全称：</w:t>
      </w:r>
      <w:permStart w:id="37" w:edGrp="everyone"/>
      <w:r>
        <w:rPr>
          <w:rFonts w:hint="eastAsia" w:ascii="宋体" w:hAnsi="宋体" w:eastAsia="宋体" w:cs="宋体-18030"/>
          <w:color w:val="auto"/>
          <w:sz w:val="21"/>
          <w:szCs w:val="21"/>
          <w:highlight w:val="none"/>
          <w:shd w:val="clear" w:color="auto" w:fill="auto"/>
          <w:lang w:val="en-US" w:eastAsia="zh-CN"/>
        </w:rPr>
        <w:t xml:space="preserve">              </w:t>
      </w:r>
      <w:permEnd w:id="37"/>
    </w:p>
    <w:p w14:paraId="3A968B62">
      <w:pPr>
        <w:keepNext w:val="0"/>
        <w:keepLines w:val="0"/>
        <w:pageBreakBefore w:val="0"/>
        <w:kinsoku/>
        <w:wordWrap/>
        <w:overflowPunct/>
        <w:topLinePunct w:val="0"/>
        <w:bidi w:val="0"/>
        <w:adjustRightInd/>
        <w:snapToGrid/>
        <w:spacing w:line="540" w:lineRule="exact"/>
        <w:ind w:left="0" w:leftChars="0" w:right="0" w:rightChars="0" w:firstLine="420" w:firstLineChars="200"/>
        <w:jc w:val="left"/>
        <w:outlineLvl w:val="9"/>
        <w:rPr>
          <w:rFonts w:hint="eastAsia" w:ascii="宋体" w:hAnsi="宋体" w:eastAsia="宋体" w:cs="宋体-18030"/>
          <w:color w:val="auto"/>
          <w:sz w:val="21"/>
          <w:szCs w:val="21"/>
          <w:highlight w:val="none"/>
          <w:shd w:val="clear" w:color="auto" w:fill="auto"/>
          <w:lang w:val="en-US" w:eastAsia="zh-CN"/>
        </w:rPr>
      </w:pPr>
      <w:r>
        <w:rPr>
          <w:rFonts w:hint="eastAsia" w:ascii="宋体" w:hAnsi="宋体" w:eastAsia="宋体" w:cs="宋体-18030"/>
          <w:color w:val="auto"/>
          <w:sz w:val="21"/>
          <w:szCs w:val="21"/>
          <w:highlight w:val="none"/>
          <w:shd w:val="clear" w:color="auto" w:fill="auto"/>
          <w:lang w:val="en-US" w:eastAsia="zh-CN"/>
        </w:rPr>
        <w:t>银行账户：</w:t>
      </w:r>
      <w:permStart w:id="38" w:edGrp="everyone"/>
      <w:r>
        <w:rPr>
          <w:rFonts w:hint="eastAsia" w:ascii="宋体" w:hAnsi="宋体" w:eastAsia="宋体" w:cs="宋体-18030"/>
          <w:color w:val="auto"/>
          <w:sz w:val="21"/>
          <w:szCs w:val="21"/>
          <w:highlight w:val="none"/>
          <w:shd w:val="clear" w:color="auto" w:fill="auto"/>
          <w:lang w:val="en-US" w:eastAsia="zh-CN"/>
        </w:rPr>
        <w:t xml:space="preserve">                </w:t>
      </w:r>
      <w:permEnd w:id="38"/>
    </w:p>
    <w:p w14:paraId="5F1560C5">
      <w:pPr>
        <w:keepNext w:val="0"/>
        <w:keepLines w:val="0"/>
        <w:pageBreakBefore w:val="0"/>
        <w:kinsoku/>
        <w:wordWrap/>
        <w:overflowPunct/>
        <w:topLinePunct w:val="0"/>
        <w:bidi w:val="0"/>
        <w:adjustRightInd/>
        <w:snapToGrid/>
        <w:spacing w:line="540" w:lineRule="exact"/>
        <w:ind w:left="0" w:leftChars="0" w:right="0" w:rightChars="0" w:firstLine="420" w:firstLineChars="200"/>
        <w:jc w:val="left"/>
        <w:outlineLvl w:val="9"/>
        <w:rPr>
          <w:rFonts w:hint="eastAsia" w:ascii="宋体" w:hAnsi="宋体" w:eastAsia="宋体" w:cs="宋体-18030"/>
          <w:color w:val="auto"/>
          <w:sz w:val="21"/>
          <w:szCs w:val="21"/>
          <w:highlight w:val="none"/>
          <w:shd w:val="clear" w:color="auto" w:fill="auto"/>
          <w:lang w:val="en-US" w:eastAsia="zh-CN"/>
        </w:rPr>
      </w:pPr>
      <w:r>
        <w:rPr>
          <w:rFonts w:hint="eastAsia" w:ascii="宋体" w:hAnsi="宋体" w:eastAsia="宋体" w:cs="宋体-18030"/>
          <w:color w:val="auto"/>
          <w:sz w:val="21"/>
          <w:szCs w:val="21"/>
          <w:highlight w:val="none"/>
          <w:shd w:val="clear" w:color="auto" w:fill="auto"/>
          <w:lang w:val="en-US" w:eastAsia="zh-CN"/>
        </w:rPr>
        <w:t>开户银行：</w:t>
      </w:r>
      <w:permStart w:id="39" w:edGrp="everyone"/>
      <w:r>
        <w:rPr>
          <w:rFonts w:hint="eastAsia" w:ascii="宋体" w:hAnsi="宋体" w:eastAsia="宋体" w:cs="宋体-18030"/>
          <w:color w:val="auto"/>
          <w:sz w:val="21"/>
          <w:szCs w:val="21"/>
          <w:highlight w:val="none"/>
          <w:shd w:val="clear" w:color="auto" w:fill="auto"/>
          <w:lang w:val="en-US" w:eastAsia="zh-CN"/>
        </w:rPr>
        <w:t xml:space="preserve">                </w:t>
      </w:r>
      <w:permEnd w:id="39"/>
    </w:p>
    <w:p w14:paraId="183E607F">
      <w:pPr>
        <w:keepNext w:val="0"/>
        <w:keepLines w:val="0"/>
        <w:pageBreakBefore w:val="0"/>
        <w:kinsoku/>
        <w:wordWrap/>
        <w:overflowPunct/>
        <w:topLinePunct w:val="0"/>
        <w:bidi w:val="0"/>
        <w:adjustRightInd/>
        <w:snapToGrid/>
        <w:spacing w:line="540" w:lineRule="exact"/>
        <w:ind w:left="0" w:leftChars="0" w:right="0" w:rightChars="0" w:firstLine="420" w:firstLineChars="200"/>
        <w:jc w:val="left"/>
        <w:outlineLvl w:val="9"/>
        <w:rPr>
          <w:rFonts w:hint="eastAsia" w:ascii="宋体" w:hAnsi="宋体" w:eastAsia="宋体" w:cs="宋体-18030"/>
          <w:color w:val="auto"/>
          <w:sz w:val="21"/>
          <w:szCs w:val="21"/>
          <w:highlight w:val="none"/>
          <w:shd w:val="clear" w:color="auto" w:fill="auto"/>
          <w:lang w:val="en-US" w:eastAsia="zh-CN"/>
        </w:rPr>
      </w:pPr>
      <w:r>
        <w:rPr>
          <w:rFonts w:hint="eastAsia" w:ascii="宋体" w:hAnsi="宋体" w:eastAsia="宋体" w:cs="宋体-18030"/>
          <w:color w:val="auto"/>
          <w:sz w:val="21"/>
          <w:szCs w:val="21"/>
          <w:highlight w:val="none"/>
          <w:shd w:val="clear" w:color="auto" w:fill="auto"/>
          <w:lang w:val="en-US" w:eastAsia="zh-CN"/>
        </w:rPr>
        <w:t>开户行行号：</w:t>
      </w:r>
      <w:permStart w:id="40" w:edGrp="everyone"/>
      <w:r>
        <w:rPr>
          <w:rFonts w:hint="eastAsia" w:ascii="宋体" w:hAnsi="宋体" w:eastAsia="宋体" w:cs="宋体-18030"/>
          <w:color w:val="auto"/>
          <w:sz w:val="21"/>
          <w:szCs w:val="21"/>
          <w:highlight w:val="none"/>
          <w:shd w:val="clear" w:color="auto" w:fill="auto"/>
          <w:lang w:val="en-US" w:eastAsia="zh-CN"/>
        </w:rPr>
        <w:t xml:space="preserve">              </w:t>
      </w:r>
      <w:permEnd w:id="40"/>
    </w:p>
    <w:p w14:paraId="7158189C">
      <w:pPr>
        <w:keepNext w:val="0"/>
        <w:keepLines w:val="0"/>
        <w:pageBreakBefore w:val="0"/>
        <w:kinsoku/>
        <w:wordWrap/>
        <w:overflowPunct/>
        <w:topLinePunct w:val="0"/>
        <w:bidi w:val="0"/>
        <w:adjustRightInd/>
        <w:snapToGrid/>
        <w:spacing w:line="540" w:lineRule="exact"/>
        <w:ind w:left="0" w:leftChars="0" w:right="0" w:rightChars="0" w:firstLine="420" w:firstLineChars="200"/>
        <w:jc w:val="left"/>
        <w:outlineLvl w:val="9"/>
        <w:rPr>
          <w:rFonts w:hint="eastAsia" w:ascii="宋体" w:hAnsi="宋体" w:eastAsia="宋体" w:cs="宋体-18030"/>
          <w:color w:val="auto"/>
          <w:sz w:val="21"/>
          <w:szCs w:val="21"/>
          <w:highlight w:val="none"/>
          <w:shd w:val="clear" w:color="auto" w:fill="auto"/>
          <w:lang w:val="en-US" w:eastAsia="zh-CN"/>
        </w:rPr>
      </w:pPr>
      <w:r>
        <w:rPr>
          <w:rFonts w:hint="eastAsia" w:ascii="宋体" w:hAnsi="宋体" w:eastAsia="宋体" w:cs="宋体-18030"/>
          <w:color w:val="auto"/>
          <w:sz w:val="21"/>
          <w:szCs w:val="21"/>
          <w:highlight w:val="none"/>
          <w:shd w:val="clear" w:color="auto" w:fill="auto"/>
          <w:lang w:val="en-US" w:eastAsia="zh-CN"/>
        </w:rPr>
        <w:t>联系人：</w:t>
      </w:r>
      <w:permStart w:id="41" w:edGrp="everyone"/>
      <w:r>
        <w:rPr>
          <w:rFonts w:hint="eastAsia" w:ascii="宋体" w:hAnsi="宋体" w:eastAsia="宋体" w:cs="宋体-18030"/>
          <w:color w:val="auto"/>
          <w:sz w:val="21"/>
          <w:szCs w:val="21"/>
          <w:highlight w:val="none"/>
          <w:shd w:val="clear" w:color="auto" w:fill="auto"/>
          <w:lang w:val="en-US" w:eastAsia="zh-CN"/>
        </w:rPr>
        <w:t xml:space="preserve">                  </w:t>
      </w:r>
      <w:permEnd w:id="41"/>
    </w:p>
    <w:p w14:paraId="50D7A06B">
      <w:pPr>
        <w:keepNext w:val="0"/>
        <w:keepLines w:val="0"/>
        <w:pageBreakBefore w:val="0"/>
        <w:kinsoku/>
        <w:wordWrap/>
        <w:overflowPunct/>
        <w:topLinePunct w:val="0"/>
        <w:bidi w:val="0"/>
        <w:adjustRightInd/>
        <w:snapToGrid/>
        <w:spacing w:line="540" w:lineRule="exact"/>
        <w:ind w:left="0" w:leftChars="0" w:right="0" w:rightChars="0" w:firstLine="420" w:firstLineChars="200"/>
        <w:jc w:val="left"/>
        <w:outlineLvl w:val="9"/>
        <w:rPr>
          <w:rFonts w:hint="eastAsia" w:ascii="宋体" w:hAnsi="宋体" w:eastAsia="宋体" w:cs="宋体-18030"/>
          <w:color w:val="auto"/>
          <w:sz w:val="21"/>
          <w:szCs w:val="21"/>
          <w:highlight w:val="none"/>
          <w:shd w:val="clear" w:color="auto" w:fill="auto"/>
          <w:lang w:val="en-US" w:eastAsia="zh-CN"/>
        </w:rPr>
      </w:pPr>
      <w:r>
        <w:rPr>
          <w:rFonts w:hint="eastAsia" w:ascii="宋体" w:hAnsi="宋体" w:eastAsia="宋体" w:cs="宋体-18030"/>
          <w:color w:val="auto"/>
          <w:sz w:val="21"/>
          <w:szCs w:val="21"/>
          <w:highlight w:val="none"/>
          <w:shd w:val="clear" w:color="auto" w:fill="auto"/>
          <w:lang w:val="en-US" w:eastAsia="zh-CN"/>
        </w:rPr>
        <w:t>联系电话：</w:t>
      </w:r>
      <w:permStart w:id="42" w:edGrp="everyone"/>
      <w:r>
        <w:rPr>
          <w:rFonts w:hint="eastAsia" w:ascii="宋体" w:hAnsi="宋体" w:eastAsia="宋体" w:cs="宋体-18030"/>
          <w:color w:val="auto"/>
          <w:sz w:val="21"/>
          <w:szCs w:val="21"/>
          <w:highlight w:val="none"/>
          <w:shd w:val="clear" w:color="auto" w:fill="auto"/>
          <w:lang w:val="en-US" w:eastAsia="zh-CN"/>
        </w:rPr>
        <w:t xml:space="preserve">                </w:t>
      </w:r>
      <w:permEnd w:id="42"/>
    </w:p>
    <w:p w14:paraId="2918E936">
      <w:pPr>
        <w:keepNext w:val="0"/>
        <w:keepLines w:val="0"/>
        <w:pageBreakBefore w:val="0"/>
        <w:kinsoku/>
        <w:wordWrap/>
        <w:overflowPunct/>
        <w:topLinePunct w:val="0"/>
        <w:bidi w:val="0"/>
        <w:adjustRightInd/>
        <w:snapToGrid/>
        <w:spacing w:line="540" w:lineRule="exact"/>
        <w:ind w:left="0" w:leftChars="0" w:right="0" w:rightChars="0" w:firstLine="420" w:firstLineChars="200"/>
        <w:jc w:val="left"/>
        <w:outlineLvl w:val="9"/>
        <w:rPr>
          <w:rFonts w:hint="eastAsia" w:ascii="宋体" w:hAnsi="宋体" w:eastAsia="宋体" w:cs="宋体-18030"/>
          <w:color w:val="auto"/>
          <w:sz w:val="21"/>
          <w:szCs w:val="21"/>
          <w:highlight w:val="none"/>
          <w:shd w:val="clear" w:color="auto" w:fill="auto"/>
        </w:rPr>
      </w:pPr>
      <w:r>
        <w:rPr>
          <w:rFonts w:hint="eastAsia" w:ascii="宋体" w:hAnsi="宋体" w:eastAsia="宋体" w:cs="宋体-18030"/>
          <w:color w:val="auto"/>
          <w:sz w:val="21"/>
          <w:szCs w:val="21"/>
          <w:highlight w:val="none"/>
          <w:shd w:val="clear" w:color="auto" w:fill="auto"/>
          <w:lang w:val="en-US" w:eastAsia="zh-CN"/>
        </w:rPr>
        <w:t>10.3</w:t>
      </w:r>
      <w:r>
        <w:rPr>
          <w:rFonts w:hint="eastAsia" w:ascii="宋体" w:hAnsi="宋体" w:eastAsia="宋体" w:cs="宋体-18030"/>
          <w:color w:val="auto"/>
          <w:sz w:val="21"/>
          <w:szCs w:val="21"/>
          <w:highlight w:val="none"/>
          <w:shd w:val="clear" w:color="auto" w:fill="auto"/>
        </w:rPr>
        <w:t>乙方应在甲方付预付款前</w:t>
      </w:r>
      <w:permStart w:id="43" w:edGrp="everyone"/>
      <w:r>
        <w:rPr>
          <w:rFonts w:hint="eastAsia" w:ascii="宋体" w:hAnsi="宋体" w:eastAsia="宋体" w:cs="宋体-18030"/>
          <w:color w:val="auto"/>
          <w:sz w:val="21"/>
          <w:szCs w:val="21"/>
          <w:highlight w:val="none"/>
          <w:u w:val="none"/>
          <w:shd w:val="clear" w:color="auto" w:fill="auto"/>
        </w:rPr>
        <w:t xml:space="preserve">  </w:t>
      </w:r>
      <w:r>
        <w:rPr>
          <w:rFonts w:hint="eastAsia" w:ascii="宋体" w:hAnsi="宋体" w:eastAsia="宋体" w:cs="宋体-18030"/>
          <w:color w:val="auto"/>
          <w:sz w:val="21"/>
          <w:szCs w:val="21"/>
          <w:highlight w:val="none"/>
          <w:u w:val="none"/>
          <w:shd w:val="clear" w:color="auto" w:fill="auto"/>
          <w:lang w:val="en-US" w:eastAsia="zh-CN"/>
        </w:rPr>
        <w:t xml:space="preserve">   </w:t>
      </w:r>
      <w:r>
        <w:rPr>
          <w:rFonts w:hint="eastAsia" w:ascii="宋体" w:hAnsi="宋体" w:eastAsia="宋体" w:cs="宋体-18030"/>
          <w:color w:val="auto"/>
          <w:sz w:val="21"/>
          <w:szCs w:val="21"/>
          <w:highlight w:val="none"/>
          <w:u w:val="none"/>
          <w:shd w:val="clear" w:color="auto" w:fill="auto"/>
        </w:rPr>
        <w:t xml:space="preserve"> </w:t>
      </w:r>
      <w:permEnd w:id="43"/>
      <w:r>
        <w:rPr>
          <w:rFonts w:hint="eastAsia" w:ascii="宋体" w:hAnsi="宋体" w:eastAsia="宋体" w:cs="宋体-18030"/>
          <w:color w:val="auto"/>
          <w:sz w:val="21"/>
          <w:szCs w:val="21"/>
          <w:highlight w:val="none"/>
          <w:shd w:val="clear" w:color="auto" w:fill="auto"/>
        </w:rPr>
        <w:t>日开具收据等带有法律</w:t>
      </w:r>
      <w:r>
        <w:rPr>
          <w:rFonts w:hint="eastAsia" w:ascii="宋体" w:hAnsi="宋体" w:eastAsia="宋体" w:cs="宋体-18030"/>
          <w:color w:val="auto"/>
          <w:sz w:val="21"/>
          <w:szCs w:val="21"/>
          <w:highlight w:val="none"/>
          <w:shd w:val="clear" w:color="auto" w:fill="auto"/>
          <w:lang w:val="en-US" w:eastAsia="zh-CN"/>
        </w:rPr>
        <w:t>效力</w:t>
      </w:r>
      <w:r>
        <w:rPr>
          <w:rFonts w:hint="eastAsia" w:ascii="宋体" w:hAnsi="宋体" w:eastAsia="宋体" w:cs="宋体-18030"/>
          <w:color w:val="auto"/>
          <w:sz w:val="21"/>
          <w:szCs w:val="21"/>
          <w:highlight w:val="none"/>
          <w:shd w:val="clear" w:color="auto" w:fill="auto"/>
        </w:rPr>
        <w:t>的原始凭据，否则甲方有权迟延支付相应价款，乙方因此造成的损失由其自行承担。</w:t>
      </w:r>
    </w:p>
    <w:p w14:paraId="198B2C98">
      <w:pPr>
        <w:keepNext w:val="0"/>
        <w:keepLines w:val="0"/>
        <w:pageBreakBefore w:val="0"/>
        <w:widowControl w:val="0"/>
        <w:kinsoku/>
        <w:wordWrap/>
        <w:overflowPunct/>
        <w:topLinePunct w:val="0"/>
        <w:autoSpaceDE/>
        <w:autoSpaceDN/>
        <w:bidi w:val="0"/>
        <w:adjustRightInd/>
        <w:snapToGrid/>
        <w:spacing w:line="540" w:lineRule="exact"/>
        <w:ind w:right="0" w:rightChars="0" w:firstLine="420" w:firstLineChars="200"/>
        <w:jc w:val="left"/>
        <w:textAlignment w:val="auto"/>
        <w:outlineLvl w:val="9"/>
        <w:rPr>
          <w:rFonts w:hint="eastAsia" w:ascii="宋体" w:hAnsi="宋体" w:eastAsia="宋体" w:cs="宋体-18030"/>
          <w:color w:val="auto"/>
          <w:sz w:val="21"/>
          <w:szCs w:val="21"/>
          <w:highlight w:val="none"/>
          <w:shd w:val="clear" w:color="auto" w:fill="auto"/>
        </w:rPr>
      </w:pPr>
      <w:r>
        <w:rPr>
          <w:rFonts w:hint="eastAsia" w:ascii="宋体" w:hAnsi="宋体" w:eastAsia="宋体" w:cs="宋体-18030"/>
          <w:color w:val="auto"/>
          <w:sz w:val="21"/>
          <w:szCs w:val="21"/>
          <w:highlight w:val="none"/>
          <w:shd w:val="clear" w:color="auto" w:fill="auto"/>
        </w:rPr>
        <w:t>乙方应在甲方</w:t>
      </w:r>
      <w:r>
        <w:rPr>
          <w:rFonts w:hint="eastAsia" w:ascii="宋体" w:hAnsi="宋体" w:eastAsia="宋体" w:cs="宋体-18030"/>
          <w:color w:val="auto"/>
          <w:sz w:val="21"/>
          <w:szCs w:val="21"/>
          <w:highlight w:val="none"/>
          <w:shd w:val="clear" w:color="auto" w:fill="auto"/>
          <w:lang w:val="en-US" w:eastAsia="zh-CN"/>
        </w:rPr>
        <w:t>支</w:t>
      </w:r>
      <w:r>
        <w:rPr>
          <w:rFonts w:hint="eastAsia" w:ascii="宋体" w:hAnsi="宋体" w:eastAsia="宋体" w:cs="宋体-18030"/>
          <w:color w:val="auto"/>
          <w:sz w:val="21"/>
          <w:szCs w:val="21"/>
          <w:highlight w:val="none"/>
          <w:shd w:val="clear" w:color="auto" w:fill="auto"/>
        </w:rPr>
        <w:t>付进度款及</w:t>
      </w:r>
      <w:r>
        <w:rPr>
          <w:rFonts w:hint="eastAsia" w:ascii="宋体" w:hAnsi="宋体" w:cs="宋体-18030"/>
          <w:color w:val="auto"/>
          <w:sz w:val="21"/>
          <w:szCs w:val="21"/>
          <w:highlight w:val="none"/>
          <w:shd w:val="clear" w:color="auto" w:fill="auto"/>
          <w:lang w:val="en-US" w:eastAsia="zh-CN"/>
        </w:rPr>
        <w:t>结算</w:t>
      </w:r>
      <w:r>
        <w:rPr>
          <w:rFonts w:hint="eastAsia" w:ascii="宋体" w:hAnsi="宋体" w:eastAsia="宋体" w:cs="宋体-18030"/>
          <w:color w:val="auto"/>
          <w:sz w:val="21"/>
          <w:szCs w:val="21"/>
          <w:highlight w:val="none"/>
          <w:shd w:val="clear" w:color="auto" w:fill="auto"/>
        </w:rPr>
        <w:t>款前</w:t>
      </w:r>
      <w:permStart w:id="44" w:edGrp="everyone"/>
      <w:r>
        <w:rPr>
          <w:rFonts w:hint="eastAsia" w:ascii="宋体" w:hAnsi="宋体" w:eastAsia="宋体" w:cs="宋体-18030"/>
          <w:color w:val="auto"/>
          <w:sz w:val="21"/>
          <w:szCs w:val="21"/>
          <w:highlight w:val="none"/>
          <w:u w:val="none"/>
          <w:shd w:val="clear" w:color="auto" w:fill="auto"/>
          <w:lang w:val="en-US" w:eastAsia="zh-CN"/>
        </w:rPr>
        <w:t xml:space="preserve">      </w:t>
      </w:r>
      <w:permEnd w:id="44"/>
      <w:r>
        <w:rPr>
          <w:rFonts w:hint="eastAsia" w:ascii="宋体" w:hAnsi="宋体" w:eastAsia="宋体" w:cs="宋体-18030"/>
          <w:color w:val="auto"/>
          <w:sz w:val="21"/>
          <w:szCs w:val="21"/>
          <w:highlight w:val="none"/>
          <w:shd w:val="clear" w:color="auto" w:fill="auto"/>
          <w:lang w:val="en-US" w:eastAsia="zh-CN"/>
        </w:rPr>
        <w:t>日</w:t>
      </w:r>
      <w:r>
        <w:rPr>
          <w:rFonts w:hint="eastAsia" w:ascii="宋体" w:hAnsi="宋体" w:eastAsia="宋体" w:cs="宋体-18030"/>
          <w:color w:val="auto"/>
          <w:sz w:val="21"/>
          <w:szCs w:val="21"/>
          <w:highlight w:val="none"/>
          <w:shd w:val="clear" w:color="auto" w:fill="auto"/>
        </w:rPr>
        <w:t>开具等额的增值税专用发票，</w:t>
      </w:r>
      <w:r>
        <w:rPr>
          <w:rFonts w:hint="eastAsia" w:ascii="宋体" w:hAnsi="宋体" w:eastAsia="宋体" w:cs="宋体-18030"/>
          <w:color w:val="auto"/>
          <w:sz w:val="21"/>
          <w:szCs w:val="21"/>
          <w:highlight w:val="none"/>
          <w:shd w:val="clear" w:color="auto" w:fill="auto"/>
          <w:lang w:val="en-US" w:eastAsia="zh-CN"/>
        </w:rPr>
        <w:t>增值税专用发票上注明的银行账户应与本合同提供的相同，</w:t>
      </w:r>
      <w:r>
        <w:rPr>
          <w:rFonts w:hint="eastAsia" w:ascii="宋体" w:hAnsi="宋体" w:eastAsia="宋体" w:cs="宋体-18030"/>
          <w:color w:val="auto"/>
          <w:sz w:val="21"/>
          <w:szCs w:val="21"/>
          <w:highlight w:val="none"/>
          <w:shd w:val="clear" w:color="auto" w:fill="auto"/>
        </w:rPr>
        <w:t>否则甲方有权迟延支付相应价款，乙方因此造成的损失由其自行承担。</w:t>
      </w:r>
    </w:p>
    <w:p w14:paraId="1073A644">
      <w:pPr>
        <w:keepNext w:val="0"/>
        <w:keepLines w:val="0"/>
        <w:pageBreakBefore w:val="0"/>
        <w:widowControl w:val="0"/>
        <w:kinsoku/>
        <w:wordWrap/>
        <w:overflowPunct/>
        <w:topLinePunct w:val="0"/>
        <w:bidi w:val="0"/>
        <w:adjustRightInd/>
        <w:snapToGrid/>
        <w:spacing w:line="540" w:lineRule="exact"/>
        <w:ind w:left="0" w:leftChars="0" w:right="0" w:rightChars="0" w:firstLine="420" w:firstLineChars="200"/>
        <w:jc w:val="left"/>
        <w:outlineLvl w:val="9"/>
        <w:rPr>
          <w:rFonts w:hint="eastAsia" w:ascii="宋体" w:hAnsi="宋体" w:eastAsia="宋体" w:cs="宋体-18030"/>
          <w:color w:val="auto"/>
          <w:sz w:val="21"/>
          <w:szCs w:val="21"/>
          <w:highlight w:val="none"/>
          <w:shd w:val="clear" w:color="auto" w:fill="auto"/>
        </w:rPr>
      </w:pPr>
      <w:r>
        <w:rPr>
          <w:rFonts w:hint="eastAsia" w:ascii="宋体" w:hAnsi="宋体" w:eastAsia="宋体" w:cs="宋体-18030"/>
          <w:color w:val="auto"/>
          <w:sz w:val="21"/>
          <w:szCs w:val="21"/>
          <w:highlight w:val="none"/>
          <w:shd w:val="clear" w:color="auto" w:fill="auto"/>
        </w:rPr>
        <w:t>如乙方不能开具增值税专用发票的，应向甲方提交相关证明材料并取得甲方</w:t>
      </w:r>
      <w:r>
        <w:rPr>
          <w:rFonts w:hint="eastAsia" w:ascii="宋体" w:hAnsi="宋体" w:eastAsia="宋体" w:cs="宋体-18030"/>
          <w:color w:val="auto"/>
          <w:sz w:val="21"/>
          <w:szCs w:val="21"/>
          <w:highlight w:val="none"/>
          <w:shd w:val="clear" w:color="auto" w:fill="auto"/>
          <w:lang w:val="en-US" w:eastAsia="zh-CN"/>
        </w:rPr>
        <w:t>书面</w:t>
      </w:r>
      <w:r>
        <w:rPr>
          <w:rFonts w:hint="eastAsia" w:ascii="宋体" w:hAnsi="宋体" w:eastAsia="宋体" w:cs="宋体-18030"/>
          <w:color w:val="auto"/>
          <w:sz w:val="21"/>
          <w:szCs w:val="21"/>
          <w:highlight w:val="none"/>
          <w:shd w:val="clear" w:color="auto" w:fill="auto"/>
        </w:rPr>
        <w:t>同意后，可开具符合甲方要求的其他发票。</w:t>
      </w:r>
    </w:p>
    <w:p w14:paraId="19A3541D">
      <w:pPr>
        <w:keepNext w:val="0"/>
        <w:keepLines w:val="0"/>
        <w:pageBreakBefore w:val="0"/>
        <w:widowControl w:val="0"/>
        <w:kinsoku/>
        <w:wordWrap/>
        <w:overflowPunct/>
        <w:topLinePunct w:val="0"/>
        <w:bidi w:val="0"/>
        <w:adjustRightInd/>
        <w:snapToGrid/>
        <w:spacing w:line="540" w:lineRule="exact"/>
        <w:ind w:left="0" w:leftChars="0" w:right="0" w:rightChars="0" w:firstLine="420" w:firstLineChars="200"/>
        <w:jc w:val="left"/>
        <w:outlineLvl w:val="9"/>
        <w:rPr>
          <w:rFonts w:hint="eastAsia" w:ascii="宋体" w:hAnsi="宋体" w:eastAsia="宋体" w:cs="宋体-18030"/>
          <w:color w:val="auto"/>
          <w:sz w:val="21"/>
          <w:szCs w:val="21"/>
          <w:highlight w:val="none"/>
          <w:shd w:val="clear" w:color="auto" w:fill="auto"/>
        </w:rPr>
      </w:pPr>
      <w:r>
        <w:rPr>
          <w:rFonts w:hint="eastAsia" w:ascii="宋体" w:hAnsi="宋体" w:eastAsia="宋体" w:cs="宋体-18030"/>
          <w:color w:val="auto"/>
          <w:sz w:val="21"/>
          <w:szCs w:val="21"/>
          <w:highlight w:val="none"/>
          <w:shd w:val="clear" w:color="auto" w:fill="auto"/>
          <w:lang w:val="en-US" w:eastAsia="zh-CN"/>
        </w:rPr>
        <w:t>10.4监理人</w:t>
      </w:r>
      <w:r>
        <w:rPr>
          <w:rFonts w:hint="eastAsia" w:ascii="宋体" w:hAnsi="宋体" w:eastAsia="宋体" w:cs="宋体-18030"/>
          <w:color w:val="auto"/>
          <w:sz w:val="21"/>
          <w:szCs w:val="21"/>
          <w:highlight w:val="none"/>
          <w:shd w:val="clear" w:color="auto" w:fill="auto"/>
        </w:rPr>
        <w:t>收款账户信息如下：</w:t>
      </w:r>
    </w:p>
    <w:p w14:paraId="74A65C04">
      <w:pPr>
        <w:keepNext w:val="0"/>
        <w:keepLines w:val="0"/>
        <w:pageBreakBefore w:val="0"/>
        <w:kinsoku/>
        <w:wordWrap/>
        <w:overflowPunct/>
        <w:topLinePunct w:val="0"/>
        <w:bidi w:val="0"/>
        <w:adjustRightInd/>
        <w:snapToGrid/>
        <w:spacing w:line="540" w:lineRule="exact"/>
        <w:ind w:firstLine="420" w:firstLineChars="200"/>
        <w:textAlignment w:val="auto"/>
        <w:rPr>
          <w:rFonts w:hint="eastAsia" w:ascii="宋体" w:hAnsi="宋体" w:cs="宋体-18030"/>
          <w:color w:val="auto"/>
          <w:szCs w:val="21"/>
          <w:highlight w:val="none"/>
          <w:shd w:val="clear" w:color="auto" w:fill="auto"/>
          <w:lang w:val="en-US" w:eastAsia="zh-CN"/>
        </w:rPr>
      </w:pPr>
      <w:r>
        <w:rPr>
          <w:rFonts w:hint="eastAsia" w:ascii="宋体" w:hAnsi="宋体" w:cs="宋体-18030"/>
          <w:color w:val="auto"/>
          <w:szCs w:val="21"/>
          <w:highlight w:val="none"/>
          <w:shd w:val="clear" w:color="auto" w:fill="auto"/>
          <w:lang w:val="en-US" w:eastAsia="zh-CN"/>
        </w:rPr>
        <w:t>账号：</w:t>
      </w:r>
      <w:sdt>
        <w:sdtPr>
          <w:rPr>
            <w:rFonts w:hint="eastAsia" w:ascii="宋体" w:hAnsi="宋体" w:cs="宋体-18030"/>
            <w:color w:val="auto"/>
            <w:szCs w:val="21"/>
            <w:highlight w:val="none"/>
            <w:shd w:val="clear" w:color="auto" w:fill="auto"/>
            <w:lang w:val="en-US" w:eastAsia="zh-CN"/>
          </w:rPr>
          <w:alias w:val="乙方银行账号"/>
          <w:tag w:val="乙方银行账号"/>
          <w:id w:val="896841845"/>
          <w:placeholder>
            <w:docPart w:val="{d5fdb21a-5acb-4691-9f05-186691364b3a}"/>
          </w:placeholder>
          <w:text/>
        </w:sdtPr>
        <w:sdtEndPr>
          <w:rPr>
            <w:rFonts w:hint="eastAsia" w:ascii="宋体" w:hAnsi="宋体" w:cs="宋体-18030"/>
            <w:color w:val="auto"/>
            <w:szCs w:val="21"/>
            <w:highlight w:val="none"/>
            <w:shd w:val="clear" w:color="auto" w:fill="auto"/>
            <w:lang w:val="en-US" w:eastAsia="zh-CN"/>
          </w:rPr>
        </w:sdtEndPr>
        <w:sdtContent>
          <w:permStart w:id="45" w:edGrp="everyone"/>
          <w:r>
            <w:rPr>
              <w:rFonts w:hint="eastAsia" w:ascii="宋体" w:hAnsi="宋体" w:cs="宋体-18030"/>
              <w:color w:val="auto"/>
              <w:szCs w:val="21"/>
              <w:highlight w:val="none"/>
              <w:shd w:val="clear" w:color="auto" w:fill="auto"/>
              <w:lang w:val="en-US" w:eastAsia="zh-CN"/>
            </w:rPr>
            <w:t xml:space="preserve">      </w:t>
          </w:r>
          <w:permEnd w:id="45"/>
        </w:sdtContent>
      </w:sdt>
    </w:p>
    <w:p w14:paraId="1A8B4242">
      <w:pPr>
        <w:keepNext w:val="0"/>
        <w:keepLines w:val="0"/>
        <w:pageBreakBefore w:val="0"/>
        <w:kinsoku/>
        <w:wordWrap/>
        <w:overflowPunct/>
        <w:topLinePunct w:val="0"/>
        <w:bidi w:val="0"/>
        <w:adjustRightInd/>
        <w:snapToGrid/>
        <w:spacing w:line="540" w:lineRule="exact"/>
        <w:ind w:firstLine="420" w:firstLineChars="200"/>
        <w:textAlignment w:val="auto"/>
        <w:rPr>
          <w:rFonts w:hint="eastAsia" w:ascii="宋体" w:hAnsi="宋体" w:cs="宋体-18030"/>
          <w:color w:val="auto"/>
          <w:szCs w:val="21"/>
          <w:highlight w:val="none"/>
          <w:shd w:val="clear" w:color="auto" w:fill="auto"/>
          <w:lang w:val="en-US" w:eastAsia="zh-CN"/>
        </w:rPr>
      </w:pPr>
      <w:r>
        <w:rPr>
          <w:rFonts w:hint="eastAsia" w:ascii="宋体" w:hAnsi="宋体" w:cs="宋体-18030"/>
          <w:color w:val="auto"/>
          <w:szCs w:val="21"/>
          <w:highlight w:val="none"/>
          <w:shd w:val="clear" w:color="auto" w:fill="auto"/>
          <w:lang w:val="en-US" w:eastAsia="zh-CN"/>
        </w:rPr>
        <w:t>户名：</w:t>
      </w:r>
      <w:sdt>
        <w:sdtPr>
          <w:rPr>
            <w:rFonts w:hint="eastAsia" w:ascii="宋体" w:hAnsi="宋体" w:cs="宋体-18030"/>
            <w:color w:val="auto"/>
            <w:szCs w:val="21"/>
            <w:highlight w:val="none"/>
            <w:shd w:val="clear" w:color="auto" w:fill="auto"/>
            <w:lang w:val="en-US" w:eastAsia="zh-CN"/>
          </w:rPr>
          <w:alias w:val="乙方当事人全称"/>
          <w:tag w:val="乙方当事人全称"/>
          <w:id w:val="826149200"/>
          <w:placeholder>
            <w:docPart w:val="{7aa59fad-24da-4fca-8806-628dcd0766ee}"/>
          </w:placeholder>
          <w:text/>
        </w:sdtPr>
        <w:sdtEndPr>
          <w:rPr>
            <w:rFonts w:hint="eastAsia" w:ascii="宋体" w:hAnsi="宋体" w:cs="宋体-18030"/>
            <w:color w:val="auto"/>
            <w:szCs w:val="21"/>
            <w:highlight w:val="none"/>
            <w:shd w:val="clear" w:color="auto" w:fill="auto"/>
            <w:lang w:val="en-US" w:eastAsia="zh-CN"/>
          </w:rPr>
        </w:sdtEndPr>
        <w:sdtContent>
          <w:permStart w:id="46" w:edGrp="everyone"/>
          <w:r>
            <w:rPr>
              <w:rFonts w:hint="eastAsia" w:ascii="宋体" w:hAnsi="宋体" w:cs="宋体-18030"/>
              <w:color w:val="auto"/>
              <w:szCs w:val="21"/>
              <w:highlight w:val="none"/>
              <w:shd w:val="clear" w:color="auto" w:fill="auto"/>
              <w:lang w:val="en-US" w:eastAsia="zh-CN"/>
            </w:rPr>
            <w:t xml:space="preserve">      </w:t>
          </w:r>
          <w:permEnd w:id="46"/>
        </w:sdtContent>
      </w:sdt>
    </w:p>
    <w:p w14:paraId="573A7ADE">
      <w:pPr>
        <w:keepNext w:val="0"/>
        <w:keepLines w:val="0"/>
        <w:pageBreakBefore w:val="0"/>
        <w:kinsoku/>
        <w:wordWrap/>
        <w:overflowPunct/>
        <w:topLinePunct w:val="0"/>
        <w:bidi w:val="0"/>
        <w:adjustRightInd/>
        <w:snapToGrid/>
        <w:spacing w:line="540" w:lineRule="exact"/>
        <w:ind w:firstLine="420" w:firstLineChars="200"/>
        <w:textAlignment w:val="auto"/>
        <w:rPr>
          <w:rFonts w:hint="eastAsia" w:ascii="宋体" w:hAnsi="宋体" w:cs="宋体-18030"/>
          <w:color w:val="auto"/>
          <w:szCs w:val="21"/>
          <w:highlight w:val="none"/>
          <w:shd w:val="clear" w:color="auto" w:fill="auto"/>
          <w:lang w:val="en-US" w:eastAsia="zh-CN"/>
        </w:rPr>
      </w:pPr>
      <w:r>
        <w:rPr>
          <w:rFonts w:hint="eastAsia" w:ascii="宋体" w:hAnsi="宋体" w:cs="宋体-18030"/>
          <w:color w:val="auto"/>
          <w:szCs w:val="21"/>
          <w:highlight w:val="none"/>
          <w:shd w:val="clear" w:color="auto" w:fill="auto"/>
          <w:lang w:val="en-US" w:eastAsia="zh-CN"/>
        </w:rPr>
        <w:t>开户行：</w:t>
      </w:r>
      <w:sdt>
        <w:sdtPr>
          <w:rPr>
            <w:rFonts w:hint="eastAsia" w:ascii="宋体" w:hAnsi="宋体" w:cs="宋体-18030"/>
            <w:color w:val="auto"/>
            <w:szCs w:val="21"/>
            <w:highlight w:val="none"/>
            <w:shd w:val="clear" w:color="auto" w:fill="auto"/>
            <w:lang w:val="en-US" w:eastAsia="zh-CN"/>
          </w:rPr>
          <w:alias w:val="乙方开户银行名称"/>
          <w:tag w:val="乙方开户银行名称"/>
          <w:id w:val="607826545"/>
          <w:placeholder>
            <w:docPart w:val="{e67d5319-3636-4ba0-a041-f1df1674eb8f}"/>
          </w:placeholder>
          <w:text/>
        </w:sdtPr>
        <w:sdtEndPr>
          <w:rPr>
            <w:rFonts w:hint="eastAsia" w:ascii="宋体" w:hAnsi="宋体" w:cs="宋体-18030"/>
            <w:color w:val="auto"/>
            <w:szCs w:val="21"/>
            <w:highlight w:val="none"/>
            <w:shd w:val="clear" w:color="auto" w:fill="auto"/>
            <w:lang w:val="en-US" w:eastAsia="zh-CN"/>
          </w:rPr>
        </w:sdtEndPr>
        <w:sdtContent>
          <w:permStart w:id="47" w:edGrp="everyone"/>
          <w:r>
            <w:rPr>
              <w:rFonts w:hint="eastAsia" w:ascii="宋体" w:hAnsi="宋体" w:cs="宋体-18030"/>
              <w:color w:val="auto"/>
              <w:szCs w:val="21"/>
              <w:highlight w:val="none"/>
              <w:shd w:val="clear" w:color="auto" w:fill="auto"/>
              <w:lang w:val="en-US" w:eastAsia="zh-CN"/>
            </w:rPr>
            <w:t xml:space="preserve">      </w:t>
          </w:r>
          <w:permEnd w:id="47"/>
        </w:sdtContent>
      </w:sdt>
    </w:p>
    <w:p w14:paraId="6B9A26E1">
      <w:pPr>
        <w:keepNext w:val="0"/>
        <w:keepLines w:val="0"/>
        <w:pageBreakBefore w:val="0"/>
        <w:kinsoku/>
        <w:wordWrap/>
        <w:overflowPunct/>
        <w:topLinePunct w:val="0"/>
        <w:bidi w:val="0"/>
        <w:adjustRightInd/>
        <w:snapToGrid/>
        <w:spacing w:line="540" w:lineRule="exact"/>
        <w:ind w:firstLine="420" w:firstLineChars="200"/>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cs="宋体-18030"/>
          <w:color w:val="auto"/>
          <w:szCs w:val="21"/>
          <w:highlight w:val="none"/>
          <w:shd w:val="clear" w:color="auto" w:fill="auto"/>
          <w:lang w:val="en-US" w:eastAsia="zh-CN"/>
        </w:rPr>
        <w:t>10.5监理人</w:t>
      </w:r>
      <w:r>
        <w:rPr>
          <w:rFonts w:hint="eastAsia" w:ascii="宋体" w:hAnsi="宋体" w:eastAsia="宋体" w:cs="宋体"/>
          <w:color w:val="auto"/>
          <w:kern w:val="0"/>
          <w:sz w:val="21"/>
          <w:szCs w:val="21"/>
          <w:highlight w:val="none"/>
          <w:shd w:val="clear" w:color="auto" w:fill="auto"/>
          <w:lang w:val="en-US" w:eastAsia="zh-CN"/>
        </w:rPr>
        <w:t>数字人民币对公钱包信息如下：</w:t>
      </w:r>
    </w:p>
    <w:p w14:paraId="4A5D35DB">
      <w:pPr>
        <w:pStyle w:val="2"/>
        <w:spacing w:line="540" w:lineRule="exact"/>
        <w:ind w:firstLine="420" w:firstLineChars="200"/>
        <w:rPr>
          <w:rFonts w:hint="eastAsia" w:ascii="宋体" w:hAnsi="宋体" w:cs="宋体"/>
          <w:b w:val="0"/>
          <w:bCs w:val="0"/>
          <w:color w:val="auto"/>
          <w:kern w:val="0"/>
          <w:sz w:val="21"/>
          <w:szCs w:val="21"/>
          <w:highlight w:val="none"/>
          <w:u w:val="none"/>
          <w:shd w:val="clear" w:color="auto" w:fill="auto"/>
          <w:lang w:val="en-US" w:eastAsia="zh-CN"/>
        </w:rPr>
      </w:pPr>
      <w:r>
        <w:rPr>
          <w:rFonts w:hint="eastAsia" w:ascii="宋体" w:hAnsi="宋体" w:cs="宋体"/>
          <w:b w:val="0"/>
          <w:bCs w:val="0"/>
          <w:color w:val="auto"/>
          <w:kern w:val="0"/>
          <w:sz w:val="21"/>
          <w:szCs w:val="21"/>
          <w:highlight w:val="none"/>
          <w:u w:val="none"/>
          <w:shd w:val="clear" w:color="auto" w:fill="auto"/>
          <w:lang w:val="en-US" w:eastAsia="zh-CN"/>
        </w:rPr>
        <w:t>数字人民币钱包开户行：</w:t>
      </w:r>
      <w:sdt>
        <w:sdtPr>
          <w:rPr>
            <w:rFonts w:hint="eastAsia" w:ascii="宋体" w:hAnsi="宋体" w:cs="宋体"/>
            <w:b w:val="0"/>
            <w:bCs w:val="0"/>
            <w:color w:val="auto"/>
            <w:kern w:val="0"/>
            <w:sz w:val="21"/>
            <w:szCs w:val="21"/>
            <w:highlight w:val="none"/>
            <w:u w:val="none"/>
            <w:shd w:val="clear" w:color="auto" w:fill="auto"/>
            <w:lang w:val="en-US" w:eastAsia="zh-CN"/>
          </w:rPr>
          <w:alias w:val="乙方数字人民币钱包开户银行名称"/>
          <w:tag w:val="乙方数字人民币钱包开户银行名称"/>
          <w:id w:val="954011614"/>
          <w:placeholder>
            <w:docPart w:val="{520df430-e748-498c-9880-855313b27ee2}"/>
          </w:placeholder>
          <w:text/>
        </w:sdtPr>
        <w:sdtEndPr>
          <w:rPr>
            <w:rFonts w:hint="eastAsia" w:ascii="宋体" w:hAnsi="宋体" w:cs="宋体"/>
            <w:b w:val="0"/>
            <w:bCs w:val="0"/>
            <w:color w:val="auto"/>
            <w:kern w:val="0"/>
            <w:sz w:val="21"/>
            <w:szCs w:val="21"/>
            <w:highlight w:val="none"/>
            <w:u w:val="none"/>
            <w:shd w:val="clear" w:color="auto" w:fill="auto"/>
            <w:lang w:val="en-US" w:eastAsia="zh-CN"/>
          </w:rPr>
        </w:sdtEndPr>
        <w:sdtContent>
          <w:permStart w:id="48" w:edGrp="everyone"/>
          <w:r>
            <w:rPr>
              <w:rFonts w:hint="eastAsia" w:ascii="宋体" w:hAnsi="宋体" w:cs="宋体"/>
              <w:b w:val="0"/>
              <w:bCs w:val="0"/>
              <w:color w:val="auto"/>
              <w:kern w:val="0"/>
              <w:sz w:val="21"/>
              <w:szCs w:val="21"/>
              <w:highlight w:val="none"/>
              <w:u w:val="none"/>
              <w:shd w:val="clear" w:color="auto" w:fill="auto"/>
              <w:lang w:val="en-US" w:eastAsia="zh-CN"/>
            </w:rPr>
            <w:t xml:space="preserve">      </w:t>
          </w:r>
          <w:permEnd w:id="48"/>
        </w:sdtContent>
      </w:sdt>
    </w:p>
    <w:p w14:paraId="51C5003F">
      <w:pPr>
        <w:pStyle w:val="2"/>
        <w:spacing w:line="540" w:lineRule="exact"/>
        <w:ind w:firstLine="420" w:firstLineChars="200"/>
        <w:rPr>
          <w:rFonts w:hint="eastAsia" w:ascii="宋体" w:hAnsi="宋体" w:cs="宋体"/>
          <w:b w:val="0"/>
          <w:bCs w:val="0"/>
          <w:color w:val="auto"/>
          <w:kern w:val="0"/>
          <w:sz w:val="21"/>
          <w:szCs w:val="21"/>
          <w:highlight w:val="none"/>
          <w:u w:val="none"/>
          <w:shd w:val="clear" w:color="auto" w:fill="auto"/>
          <w:lang w:val="en-US" w:eastAsia="zh-CN"/>
        </w:rPr>
      </w:pPr>
      <w:r>
        <w:rPr>
          <w:rFonts w:hint="eastAsia" w:ascii="宋体" w:hAnsi="宋体" w:cs="宋体"/>
          <w:b w:val="0"/>
          <w:bCs w:val="0"/>
          <w:color w:val="auto"/>
          <w:kern w:val="0"/>
          <w:sz w:val="21"/>
          <w:szCs w:val="21"/>
          <w:highlight w:val="none"/>
          <w:u w:val="none"/>
          <w:shd w:val="clear" w:color="auto" w:fill="auto"/>
          <w:lang w:val="en-US" w:eastAsia="zh-CN"/>
        </w:rPr>
        <w:t>钱包名称：</w:t>
      </w:r>
      <w:sdt>
        <w:sdtPr>
          <w:rPr>
            <w:rFonts w:hint="eastAsia" w:ascii="宋体" w:hAnsi="宋体" w:cs="宋体"/>
            <w:b w:val="0"/>
            <w:bCs w:val="0"/>
            <w:color w:val="auto"/>
            <w:kern w:val="0"/>
            <w:sz w:val="21"/>
            <w:szCs w:val="21"/>
            <w:highlight w:val="none"/>
            <w:u w:val="none"/>
            <w:shd w:val="clear" w:color="auto" w:fill="auto"/>
            <w:lang w:val="en-US" w:eastAsia="zh-CN"/>
          </w:rPr>
          <w:alias w:val="乙方数字人民币钱包名称"/>
          <w:tag w:val="乙方数字人民币钱包名称"/>
          <w:id w:val="960287996"/>
          <w:placeholder>
            <w:docPart w:val="{d01d3773-ab21-4da1-9649-000e7570989b}"/>
          </w:placeholder>
          <w:text/>
        </w:sdtPr>
        <w:sdtEndPr>
          <w:rPr>
            <w:rFonts w:hint="eastAsia" w:ascii="宋体" w:hAnsi="宋体" w:cs="宋体"/>
            <w:b w:val="0"/>
            <w:bCs w:val="0"/>
            <w:color w:val="auto"/>
            <w:kern w:val="0"/>
            <w:sz w:val="21"/>
            <w:szCs w:val="21"/>
            <w:highlight w:val="none"/>
            <w:u w:val="none"/>
            <w:shd w:val="clear" w:color="auto" w:fill="auto"/>
            <w:lang w:val="en-US" w:eastAsia="zh-CN"/>
          </w:rPr>
        </w:sdtEndPr>
        <w:sdtContent>
          <w:permStart w:id="49" w:edGrp="everyone"/>
          <w:r>
            <w:rPr>
              <w:rFonts w:hint="eastAsia" w:ascii="宋体" w:hAnsi="宋体" w:cs="宋体"/>
              <w:b w:val="0"/>
              <w:bCs w:val="0"/>
              <w:color w:val="auto"/>
              <w:kern w:val="0"/>
              <w:sz w:val="21"/>
              <w:szCs w:val="21"/>
              <w:highlight w:val="none"/>
              <w:u w:val="none"/>
              <w:shd w:val="clear" w:color="auto" w:fill="auto"/>
              <w:lang w:val="en-US" w:eastAsia="zh-CN"/>
            </w:rPr>
            <w:t xml:space="preserve">      </w:t>
          </w:r>
          <w:permEnd w:id="49"/>
        </w:sdtContent>
      </w:sdt>
    </w:p>
    <w:p w14:paraId="3B27BFEF">
      <w:pPr>
        <w:pStyle w:val="2"/>
        <w:spacing w:line="540" w:lineRule="exact"/>
        <w:ind w:firstLine="420" w:firstLineChars="200"/>
        <w:rPr>
          <w:rFonts w:hint="eastAsia" w:ascii="宋体" w:hAnsi="宋体" w:cs="宋体"/>
          <w:b w:val="0"/>
          <w:bCs w:val="0"/>
          <w:color w:val="auto"/>
          <w:kern w:val="0"/>
          <w:sz w:val="21"/>
          <w:szCs w:val="21"/>
          <w:highlight w:val="none"/>
          <w:u w:val="none"/>
          <w:shd w:val="clear" w:color="auto" w:fill="auto"/>
          <w:lang w:val="en-US" w:eastAsia="zh-CN"/>
        </w:rPr>
      </w:pPr>
      <w:r>
        <w:rPr>
          <w:rFonts w:hint="eastAsia" w:ascii="宋体" w:hAnsi="宋体" w:cs="宋体"/>
          <w:b w:val="0"/>
          <w:bCs w:val="0"/>
          <w:color w:val="auto"/>
          <w:kern w:val="0"/>
          <w:sz w:val="21"/>
          <w:szCs w:val="21"/>
          <w:highlight w:val="none"/>
          <w:u w:val="none"/>
          <w:shd w:val="clear" w:color="auto" w:fill="auto"/>
          <w:lang w:val="en-US" w:eastAsia="zh-CN"/>
        </w:rPr>
        <w:t>钱包编号：</w:t>
      </w:r>
      <w:sdt>
        <w:sdtPr>
          <w:rPr>
            <w:rFonts w:hint="eastAsia" w:ascii="宋体" w:hAnsi="宋体" w:cs="宋体"/>
            <w:b w:val="0"/>
            <w:bCs w:val="0"/>
            <w:color w:val="auto"/>
            <w:kern w:val="0"/>
            <w:sz w:val="21"/>
            <w:szCs w:val="21"/>
            <w:highlight w:val="none"/>
            <w:u w:val="none"/>
            <w:shd w:val="clear" w:color="auto" w:fill="auto"/>
            <w:lang w:val="en-US" w:eastAsia="zh-CN"/>
          </w:rPr>
          <w:alias w:val="乙方数字人民币钱包编号"/>
          <w:tag w:val="乙方数字人民币钱包编号"/>
          <w:id w:val="220741567"/>
          <w:placeholder>
            <w:docPart w:val="{934e2a59-9f3b-466d-97ab-139f62aef70a}"/>
          </w:placeholder>
          <w:text/>
        </w:sdtPr>
        <w:sdtEndPr>
          <w:rPr>
            <w:rFonts w:hint="eastAsia" w:ascii="宋体" w:hAnsi="宋体" w:cs="宋体"/>
            <w:b w:val="0"/>
            <w:bCs w:val="0"/>
            <w:color w:val="auto"/>
            <w:kern w:val="0"/>
            <w:sz w:val="21"/>
            <w:szCs w:val="21"/>
            <w:highlight w:val="none"/>
            <w:u w:val="none"/>
            <w:shd w:val="clear" w:color="auto" w:fill="auto"/>
            <w:lang w:val="en-US" w:eastAsia="zh-CN"/>
          </w:rPr>
        </w:sdtEndPr>
        <w:sdtContent>
          <w:permStart w:id="50" w:edGrp="everyone"/>
          <w:r>
            <w:rPr>
              <w:rFonts w:hint="eastAsia" w:ascii="宋体" w:hAnsi="宋体" w:cs="宋体"/>
              <w:b w:val="0"/>
              <w:bCs w:val="0"/>
              <w:color w:val="auto"/>
              <w:kern w:val="0"/>
              <w:sz w:val="21"/>
              <w:szCs w:val="21"/>
              <w:highlight w:val="none"/>
              <w:u w:val="none"/>
              <w:shd w:val="clear" w:color="auto" w:fill="auto"/>
              <w:lang w:val="en-US" w:eastAsia="zh-CN"/>
            </w:rPr>
            <w:t xml:space="preserve">      </w:t>
          </w:r>
          <w:permEnd w:id="50"/>
        </w:sdtContent>
      </w:sdt>
      <w:r>
        <w:rPr>
          <w:rFonts w:hint="eastAsia" w:ascii="宋体" w:hAnsi="宋体" w:cs="宋体"/>
          <w:b w:val="0"/>
          <w:bCs w:val="0"/>
          <w:color w:val="auto"/>
          <w:kern w:val="0"/>
          <w:sz w:val="21"/>
          <w:szCs w:val="21"/>
          <w:highlight w:val="none"/>
          <w:u w:val="none"/>
          <w:shd w:val="clear" w:color="auto" w:fill="auto"/>
          <w:lang w:val="en-US" w:eastAsia="zh-CN"/>
        </w:rPr>
        <w:t xml:space="preserve"> </w:t>
      </w:r>
    </w:p>
    <w:p w14:paraId="1509508B">
      <w:pPr>
        <w:pStyle w:val="2"/>
        <w:spacing w:line="540" w:lineRule="exact"/>
        <w:ind w:firstLine="422" w:firstLineChars="200"/>
        <w:rPr>
          <w:rFonts w:hint="eastAsia"/>
          <w:color w:val="auto"/>
          <w:highlight w:val="none"/>
          <w:shd w:val="clear" w:color="auto" w:fill="auto"/>
        </w:rPr>
      </w:pPr>
      <w:r>
        <w:rPr>
          <w:rFonts w:hint="eastAsia" w:ascii="宋体" w:hAnsi="宋体" w:cs="宋体"/>
          <w:b/>
          <w:bCs/>
          <w:color w:val="auto"/>
          <w:kern w:val="0"/>
          <w:sz w:val="21"/>
          <w:szCs w:val="21"/>
          <w:highlight w:val="none"/>
          <w:u w:val="none"/>
          <w:shd w:val="clear" w:color="auto" w:fill="auto"/>
          <w:lang w:val="en-US" w:eastAsia="zh-CN"/>
        </w:rPr>
        <w:t>10.6本合同项下监理人收款账户信息、监理人数字人民币对公钱包信息，以本合同第10.4、第10.5条约定为准。监理人在签署本合同时，应对前述信息进行确认，本合同一经双方签署即视为监理人确认前述信息无误，委托人应按前述信息进行付款。监理人如需变更收款账户或数字人民币钱包信息的，应提前向委托人提出，并经委托人</w:t>
      </w:r>
      <w:bookmarkStart w:id="394" w:name="_GoBack"/>
      <w:bookmarkEnd w:id="394"/>
      <w:r>
        <w:rPr>
          <w:rFonts w:hint="eastAsia" w:ascii="宋体" w:hAnsi="宋体" w:cs="宋体"/>
          <w:b/>
          <w:bCs/>
          <w:color w:val="auto"/>
          <w:kern w:val="0"/>
          <w:sz w:val="21"/>
          <w:szCs w:val="21"/>
          <w:highlight w:val="none"/>
          <w:u w:val="none"/>
          <w:shd w:val="clear" w:color="auto" w:fill="auto"/>
          <w:lang w:val="en-US" w:eastAsia="zh-CN"/>
        </w:rPr>
        <w:t>同意后方可变更；否则，委托人仍应按本条约定的收款信息进行付款。委托人按本条约定的收款信息付款后，视为已完成付款义务，因收款信息错误造成的全部损失由监理人自行承担，委托人不承担任何责任。</w:t>
      </w:r>
      <w:r>
        <w:rPr>
          <w:rFonts w:hint="eastAsia" w:ascii="宋体" w:hAnsi="宋体" w:eastAsia="宋体" w:cs="宋体"/>
          <w:color w:val="auto"/>
          <w:kern w:val="0"/>
          <w:sz w:val="21"/>
          <w:szCs w:val="21"/>
          <w:highlight w:val="none"/>
          <w:u w:val="none"/>
          <w:shd w:val="clear" w:color="auto" w:fill="auto"/>
          <w:lang w:val="en-US" w:eastAsia="zh-CN"/>
        </w:rPr>
        <w:t xml:space="preserve">  </w:t>
      </w:r>
      <w:r>
        <w:rPr>
          <w:rFonts w:hint="eastAsia" w:ascii="宋体" w:hAnsi="宋体" w:eastAsia="宋体" w:cs="宋体"/>
          <w:color w:val="auto"/>
          <w:kern w:val="0"/>
          <w:sz w:val="21"/>
          <w:szCs w:val="21"/>
          <w:highlight w:val="none"/>
          <w:shd w:val="clear" w:color="auto" w:fill="auto"/>
          <w:lang w:val="en-US" w:eastAsia="zh-CN"/>
        </w:rPr>
        <w:t xml:space="preserve"> </w:t>
      </w:r>
    </w:p>
    <w:p w14:paraId="4CF9B6D4">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420" w:firstLineChars="200"/>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cs="宋体"/>
          <w:color w:val="auto"/>
          <w:kern w:val="0"/>
          <w:szCs w:val="21"/>
          <w:highlight w:val="none"/>
          <w:shd w:val="clear" w:color="auto" w:fill="auto"/>
          <w:lang w:val="en-US" w:eastAsia="zh-CN"/>
        </w:rPr>
        <w:t>10.7</w:t>
      </w:r>
      <w:r>
        <w:rPr>
          <w:rFonts w:hint="eastAsia" w:ascii="宋体" w:hAnsi="宋体" w:eastAsia="宋体" w:cs="宋体"/>
          <w:color w:val="auto"/>
          <w:kern w:val="0"/>
          <w:sz w:val="21"/>
          <w:szCs w:val="21"/>
          <w:highlight w:val="none"/>
          <w:shd w:val="clear" w:color="auto" w:fill="auto"/>
          <w:lang w:val="en-US" w:eastAsia="zh-CN"/>
        </w:rPr>
        <w:t>委托人增值税开票信息如下：</w:t>
      </w:r>
    </w:p>
    <w:p w14:paraId="07F42A39">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textAlignment w:val="auto"/>
        <w:rPr>
          <w:rFonts w:hint="eastAsia" w:ascii="宋体" w:hAnsi="宋体" w:cs="宋体"/>
          <w:color w:val="auto"/>
          <w:kern w:val="0"/>
          <w:sz w:val="21"/>
          <w:szCs w:val="21"/>
          <w:highlight w:val="none"/>
          <w:shd w:val="clear" w:color="auto" w:fill="auto"/>
          <w:lang w:val="en-US" w:eastAsia="zh-CN"/>
        </w:rPr>
      </w:pPr>
      <w:r>
        <w:rPr>
          <w:rFonts w:hint="eastAsia" w:ascii="宋体" w:hAnsi="宋体" w:cs="宋体"/>
          <w:color w:val="auto"/>
          <w:kern w:val="0"/>
          <w:sz w:val="21"/>
          <w:szCs w:val="21"/>
          <w:highlight w:val="none"/>
          <w:shd w:val="clear" w:color="auto" w:fill="auto"/>
          <w:lang w:val="en-US" w:eastAsia="zh-CN"/>
        </w:rPr>
        <w:t>单位名称：</w:t>
      </w:r>
      <w:sdt>
        <w:sdtPr>
          <w:rPr>
            <w:rFonts w:hint="eastAsia" w:ascii="宋体" w:hAnsi="宋体" w:cs="宋体"/>
            <w:color w:val="auto"/>
            <w:kern w:val="0"/>
            <w:sz w:val="21"/>
            <w:szCs w:val="21"/>
            <w:highlight w:val="none"/>
            <w:shd w:val="clear" w:color="auto" w:fill="auto"/>
            <w:lang w:val="en-US" w:eastAsia="zh-CN"/>
          </w:rPr>
          <w:alias w:val="甲方当事人全称"/>
          <w:tag w:val="甲方当事人全称"/>
          <w:id w:val="107169616"/>
          <w:placeholder>
            <w:docPart w:val="{6f4f8485-ab61-4964-af26-0d18ab3a3ae6}"/>
          </w:placeholder>
          <w:text/>
        </w:sdtPr>
        <w:sdtEndPr>
          <w:rPr>
            <w:rFonts w:hint="eastAsia" w:ascii="宋体" w:hAnsi="宋体" w:cs="宋体"/>
            <w:color w:val="auto"/>
            <w:kern w:val="0"/>
            <w:sz w:val="21"/>
            <w:szCs w:val="21"/>
            <w:highlight w:val="none"/>
            <w:shd w:val="clear" w:color="auto" w:fill="auto"/>
            <w:lang w:val="en-US" w:eastAsia="zh-CN"/>
          </w:rPr>
        </w:sdtEndPr>
        <w:sdtContent>
          <w:permStart w:id="51" w:edGrp="everyone"/>
          <w:r>
            <w:rPr>
              <w:rFonts w:hint="eastAsia" w:ascii="宋体" w:hAnsi="宋体" w:cs="宋体"/>
              <w:color w:val="auto"/>
              <w:kern w:val="0"/>
              <w:sz w:val="21"/>
              <w:szCs w:val="21"/>
              <w:highlight w:val="none"/>
              <w:shd w:val="clear" w:color="auto" w:fill="auto"/>
              <w:lang w:val="en-US" w:eastAsia="zh-CN"/>
            </w:rPr>
            <w:t xml:space="preserve">        </w:t>
          </w:r>
          <w:permEnd w:id="51"/>
        </w:sdtContent>
      </w:sdt>
    </w:p>
    <w:p w14:paraId="0C214223">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textAlignment w:val="auto"/>
        <w:rPr>
          <w:rFonts w:hint="eastAsia" w:ascii="宋体" w:hAnsi="宋体" w:cs="宋体"/>
          <w:color w:val="auto"/>
          <w:kern w:val="0"/>
          <w:sz w:val="21"/>
          <w:szCs w:val="21"/>
          <w:highlight w:val="none"/>
          <w:shd w:val="clear" w:color="auto" w:fill="auto"/>
          <w:lang w:val="en-US" w:eastAsia="zh-CN"/>
        </w:rPr>
      </w:pPr>
      <w:r>
        <w:rPr>
          <w:rFonts w:hint="eastAsia" w:ascii="宋体" w:hAnsi="宋体" w:cs="宋体"/>
          <w:color w:val="auto"/>
          <w:kern w:val="0"/>
          <w:sz w:val="21"/>
          <w:szCs w:val="21"/>
          <w:highlight w:val="none"/>
          <w:shd w:val="clear" w:color="auto" w:fill="auto"/>
          <w:lang w:val="en-US" w:eastAsia="zh-CN"/>
        </w:rPr>
        <w:t>税务识别号：</w:t>
      </w:r>
      <w:sdt>
        <w:sdtPr>
          <w:rPr>
            <w:rFonts w:hint="eastAsia" w:ascii="宋体" w:hAnsi="宋体" w:cs="宋体"/>
            <w:color w:val="auto"/>
            <w:kern w:val="0"/>
            <w:sz w:val="21"/>
            <w:szCs w:val="21"/>
            <w:highlight w:val="none"/>
            <w:shd w:val="clear" w:color="auto" w:fill="auto"/>
            <w:lang w:val="en-US" w:eastAsia="zh-CN"/>
          </w:rPr>
          <w:alias w:val="甲方统一社会信用代码/证件号码"/>
          <w:tag w:val="甲方统一社会信用代码/证件号码"/>
          <w:id w:val="608439926"/>
          <w:placeholder>
            <w:docPart w:val="{1d33bf05-ec2b-4b18-80cc-6d380a74fc83}"/>
          </w:placeholder>
          <w:text/>
        </w:sdtPr>
        <w:sdtEndPr>
          <w:rPr>
            <w:rFonts w:hint="eastAsia" w:ascii="宋体" w:hAnsi="宋体" w:cs="宋体"/>
            <w:color w:val="auto"/>
            <w:kern w:val="0"/>
            <w:sz w:val="21"/>
            <w:szCs w:val="21"/>
            <w:highlight w:val="none"/>
            <w:shd w:val="clear" w:color="auto" w:fill="auto"/>
            <w:lang w:val="en-US" w:eastAsia="zh-CN"/>
          </w:rPr>
        </w:sdtEndPr>
        <w:sdtContent>
          <w:permStart w:id="52" w:edGrp="everyone"/>
          <w:r>
            <w:rPr>
              <w:rFonts w:hint="eastAsia" w:ascii="宋体" w:hAnsi="宋体" w:cs="宋体"/>
              <w:color w:val="auto"/>
              <w:kern w:val="0"/>
              <w:sz w:val="21"/>
              <w:szCs w:val="21"/>
              <w:highlight w:val="none"/>
              <w:shd w:val="clear" w:color="auto" w:fill="auto"/>
              <w:lang w:val="en-US" w:eastAsia="zh-CN"/>
            </w:rPr>
            <w:t xml:space="preserve">     </w:t>
          </w:r>
          <w:permEnd w:id="52"/>
        </w:sdtContent>
      </w:sdt>
    </w:p>
    <w:p w14:paraId="4357B967">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textAlignment w:val="auto"/>
        <w:rPr>
          <w:rFonts w:hint="eastAsia" w:ascii="宋体" w:hAnsi="宋体" w:cs="宋体"/>
          <w:color w:val="auto"/>
          <w:kern w:val="0"/>
          <w:sz w:val="21"/>
          <w:szCs w:val="21"/>
          <w:highlight w:val="none"/>
          <w:shd w:val="clear" w:color="auto" w:fill="auto"/>
          <w:lang w:val="en-US" w:eastAsia="zh-CN"/>
        </w:rPr>
      </w:pPr>
      <w:r>
        <w:rPr>
          <w:rFonts w:hint="eastAsia" w:ascii="宋体" w:hAnsi="宋体" w:cs="宋体"/>
          <w:color w:val="auto"/>
          <w:kern w:val="0"/>
          <w:sz w:val="21"/>
          <w:szCs w:val="21"/>
          <w:highlight w:val="none"/>
          <w:shd w:val="clear" w:color="auto" w:fill="auto"/>
          <w:lang w:val="en-US" w:eastAsia="zh-CN"/>
        </w:rPr>
        <w:t>开户行：</w:t>
      </w:r>
      <w:sdt>
        <w:sdtPr>
          <w:rPr>
            <w:rFonts w:hint="eastAsia" w:ascii="宋体" w:hAnsi="宋体" w:cs="宋体"/>
            <w:color w:val="auto"/>
            <w:kern w:val="0"/>
            <w:sz w:val="21"/>
            <w:szCs w:val="21"/>
            <w:highlight w:val="none"/>
            <w:shd w:val="clear" w:color="auto" w:fill="auto"/>
            <w:lang w:val="en-US" w:eastAsia="zh-CN"/>
          </w:rPr>
          <w:alias w:val="甲方开户银行名称"/>
          <w:tag w:val="甲方开户银行名称"/>
          <w:id w:val="525687846"/>
          <w:placeholder>
            <w:docPart w:val="{e50ef6fd-2eab-4b62-96df-244905ee855b}"/>
          </w:placeholder>
          <w:text/>
        </w:sdtPr>
        <w:sdtEndPr>
          <w:rPr>
            <w:rFonts w:hint="eastAsia" w:ascii="宋体" w:hAnsi="宋体" w:cs="宋体"/>
            <w:color w:val="auto"/>
            <w:kern w:val="0"/>
            <w:sz w:val="21"/>
            <w:szCs w:val="21"/>
            <w:highlight w:val="none"/>
            <w:shd w:val="clear" w:color="auto" w:fill="auto"/>
            <w:lang w:val="en-US" w:eastAsia="zh-CN"/>
          </w:rPr>
        </w:sdtEndPr>
        <w:sdtContent>
          <w:permStart w:id="53" w:edGrp="everyone"/>
          <w:r>
            <w:rPr>
              <w:rFonts w:hint="eastAsia" w:ascii="宋体" w:hAnsi="宋体" w:cs="宋体"/>
              <w:color w:val="auto"/>
              <w:kern w:val="0"/>
              <w:sz w:val="21"/>
              <w:szCs w:val="21"/>
              <w:highlight w:val="none"/>
              <w:shd w:val="clear" w:color="auto" w:fill="auto"/>
              <w:lang w:val="en-US" w:eastAsia="zh-CN"/>
            </w:rPr>
            <w:t xml:space="preserve">       </w:t>
          </w:r>
          <w:permEnd w:id="53"/>
        </w:sdtContent>
      </w:sdt>
    </w:p>
    <w:p w14:paraId="6F12A7C4">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textAlignment w:val="auto"/>
        <w:rPr>
          <w:rFonts w:hint="eastAsia" w:ascii="宋体" w:hAnsi="宋体" w:cs="宋体"/>
          <w:color w:val="auto"/>
          <w:kern w:val="0"/>
          <w:sz w:val="21"/>
          <w:szCs w:val="21"/>
          <w:highlight w:val="none"/>
          <w:shd w:val="clear" w:color="auto" w:fill="auto"/>
          <w:lang w:val="en-US" w:eastAsia="zh-CN"/>
        </w:rPr>
      </w:pPr>
      <w:r>
        <w:rPr>
          <w:rFonts w:hint="eastAsia" w:ascii="宋体" w:hAnsi="宋体" w:cs="宋体"/>
          <w:color w:val="auto"/>
          <w:kern w:val="0"/>
          <w:sz w:val="21"/>
          <w:szCs w:val="21"/>
          <w:highlight w:val="none"/>
          <w:shd w:val="clear" w:color="auto" w:fill="auto"/>
          <w:lang w:val="en-US" w:eastAsia="zh-CN"/>
        </w:rPr>
        <w:t>银行账号：</w:t>
      </w:r>
      <w:sdt>
        <w:sdtPr>
          <w:rPr>
            <w:rFonts w:hint="eastAsia" w:ascii="宋体" w:hAnsi="宋体" w:cs="宋体"/>
            <w:color w:val="auto"/>
            <w:kern w:val="0"/>
            <w:sz w:val="21"/>
            <w:szCs w:val="21"/>
            <w:highlight w:val="none"/>
            <w:shd w:val="clear" w:color="auto" w:fill="auto"/>
            <w:lang w:val="en-US" w:eastAsia="zh-CN"/>
          </w:rPr>
          <w:alias w:val="甲方银行账号"/>
          <w:tag w:val="甲方银行账号"/>
          <w:id w:val="487903964"/>
          <w:placeholder>
            <w:docPart w:val="{50881db2-989d-4363-9869-ecc732dc2557}"/>
          </w:placeholder>
          <w:text/>
        </w:sdtPr>
        <w:sdtEndPr>
          <w:rPr>
            <w:rFonts w:hint="eastAsia" w:ascii="宋体" w:hAnsi="宋体" w:cs="宋体"/>
            <w:color w:val="auto"/>
            <w:kern w:val="0"/>
            <w:sz w:val="21"/>
            <w:szCs w:val="21"/>
            <w:highlight w:val="none"/>
            <w:shd w:val="clear" w:color="auto" w:fill="auto"/>
            <w:lang w:val="en-US" w:eastAsia="zh-CN"/>
          </w:rPr>
        </w:sdtEndPr>
        <w:sdtContent>
          <w:permStart w:id="54" w:edGrp="everyone"/>
          <w:r>
            <w:rPr>
              <w:rFonts w:hint="eastAsia" w:ascii="宋体" w:hAnsi="宋体" w:cs="宋体"/>
              <w:color w:val="auto"/>
              <w:kern w:val="0"/>
              <w:sz w:val="21"/>
              <w:szCs w:val="21"/>
              <w:highlight w:val="none"/>
              <w:shd w:val="clear" w:color="auto" w:fill="auto"/>
              <w:lang w:val="en-US" w:eastAsia="zh-CN"/>
            </w:rPr>
            <w:t xml:space="preserve">       </w:t>
          </w:r>
          <w:permEnd w:id="54"/>
        </w:sdtContent>
      </w:sdt>
    </w:p>
    <w:p w14:paraId="1C2A3C1B">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textAlignment w:val="auto"/>
        <w:rPr>
          <w:rFonts w:hint="eastAsia" w:ascii="宋体" w:hAnsi="宋体" w:cs="宋体"/>
          <w:color w:val="auto"/>
          <w:kern w:val="0"/>
          <w:sz w:val="21"/>
          <w:szCs w:val="21"/>
          <w:highlight w:val="none"/>
          <w:shd w:val="clear" w:color="auto" w:fill="auto"/>
          <w:lang w:val="en-US" w:eastAsia="zh-CN"/>
        </w:rPr>
      </w:pPr>
      <w:r>
        <w:rPr>
          <w:rFonts w:hint="eastAsia" w:ascii="宋体" w:hAnsi="宋体" w:cs="宋体"/>
          <w:color w:val="auto"/>
          <w:kern w:val="0"/>
          <w:sz w:val="21"/>
          <w:szCs w:val="21"/>
          <w:highlight w:val="none"/>
          <w:shd w:val="clear" w:color="auto" w:fill="auto"/>
          <w:lang w:val="en-US" w:eastAsia="zh-CN"/>
        </w:rPr>
        <w:t>地址：</w:t>
      </w:r>
      <w:sdt>
        <w:sdtPr>
          <w:rPr>
            <w:rFonts w:hint="eastAsia" w:ascii="宋体" w:hAnsi="宋体" w:cs="宋体"/>
            <w:color w:val="auto"/>
            <w:kern w:val="0"/>
            <w:sz w:val="21"/>
            <w:szCs w:val="21"/>
            <w:highlight w:val="none"/>
            <w:shd w:val="clear" w:color="auto" w:fill="auto"/>
            <w:lang w:val="en-US" w:eastAsia="zh-CN"/>
          </w:rPr>
          <w:alias w:val="甲方办公通讯地址"/>
          <w:tag w:val="甲方办公通讯地址"/>
          <w:id w:val="109358702"/>
          <w:placeholder>
            <w:docPart w:val="{f7bc0f6f-e077-4c82-8f52-f77ca2756d96}"/>
          </w:placeholder>
          <w:text/>
        </w:sdtPr>
        <w:sdtEndPr>
          <w:rPr>
            <w:rFonts w:hint="eastAsia" w:ascii="宋体" w:hAnsi="宋体" w:cs="宋体"/>
            <w:color w:val="auto"/>
            <w:kern w:val="0"/>
            <w:sz w:val="21"/>
            <w:szCs w:val="21"/>
            <w:highlight w:val="none"/>
            <w:shd w:val="clear" w:color="auto" w:fill="auto"/>
            <w:lang w:val="en-US" w:eastAsia="zh-CN"/>
          </w:rPr>
        </w:sdtEndPr>
        <w:sdtContent>
          <w:permStart w:id="55" w:edGrp="everyone"/>
          <w:r>
            <w:rPr>
              <w:rFonts w:hint="eastAsia" w:ascii="宋体" w:hAnsi="宋体" w:cs="宋体"/>
              <w:color w:val="auto"/>
              <w:kern w:val="0"/>
              <w:sz w:val="21"/>
              <w:szCs w:val="21"/>
              <w:highlight w:val="none"/>
              <w:shd w:val="clear" w:color="auto" w:fill="auto"/>
              <w:lang w:val="en-US" w:eastAsia="zh-CN"/>
            </w:rPr>
            <w:t xml:space="preserve">        </w:t>
          </w:r>
          <w:permEnd w:id="55"/>
        </w:sdtContent>
      </w:sdt>
    </w:p>
    <w:p w14:paraId="56B700ED">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textAlignment w:val="auto"/>
        <w:rPr>
          <w:rFonts w:hint="eastAsia" w:ascii="宋体" w:hAnsi="宋体" w:cs="宋体"/>
          <w:color w:val="auto"/>
          <w:kern w:val="0"/>
          <w:sz w:val="21"/>
          <w:szCs w:val="21"/>
          <w:highlight w:val="none"/>
          <w:shd w:val="clear" w:color="auto" w:fill="auto"/>
          <w:lang w:val="en-US" w:eastAsia="zh-CN"/>
        </w:rPr>
      </w:pPr>
      <w:r>
        <w:rPr>
          <w:rFonts w:hint="eastAsia" w:ascii="宋体" w:hAnsi="宋体" w:cs="宋体"/>
          <w:color w:val="auto"/>
          <w:kern w:val="0"/>
          <w:sz w:val="21"/>
          <w:szCs w:val="21"/>
          <w:highlight w:val="none"/>
          <w:shd w:val="clear" w:color="auto" w:fill="auto"/>
          <w:lang w:val="en-US" w:eastAsia="zh-CN"/>
        </w:rPr>
        <w:t>联系电话：</w:t>
      </w:r>
      <w:permStart w:id="56" w:edGrp="everyone"/>
      <w:r>
        <w:rPr>
          <w:rFonts w:hint="eastAsia" w:ascii="宋体" w:hAnsi="宋体" w:cs="宋体"/>
          <w:color w:val="auto"/>
          <w:kern w:val="0"/>
          <w:sz w:val="21"/>
          <w:szCs w:val="21"/>
          <w:highlight w:val="none"/>
          <w:shd w:val="clear" w:color="auto" w:fill="auto"/>
          <w:lang w:val="en-US" w:eastAsia="zh-CN"/>
        </w:rPr>
        <w:t xml:space="preserve">        </w:t>
      </w:r>
      <w:permEnd w:id="56"/>
    </w:p>
    <w:p w14:paraId="1355F5B5">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cs="宋体"/>
          <w:color w:val="auto"/>
          <w:kern w:val="0"/>
          <w:sz w:val="21"/>
          <w:szCs w:val="21"/>
          <w:highlight w:val="none"/>
          <w:shd w:val="clear" w:color="auto" w:fill="auto"/>
          <w:lang w:val="en-US" w:eastAsia="zh-CN"/>
        </w:rPr>
        <w:t xml:space="preserve">10.8 </w:t>
      </w:r>
      <w:r>
        <w:rPr>
          <w:rFonts w:hint="eastAsia" w:ascii="宋体" w:hAnsi="宋体" w:eastAsia="宋体" w:cs="宋体"/>
          <w:color w:val="auto"/>
          <w:kern w:val="0"/>
          <w:sz w:val="21"/>
          <w:szCs w:val="21"/>
          <w:highlight w:val="none"/>
          <w:shd w:val="clear" w:color="auto" w:fill="auto"/>
          <w:lang w:val="en-US" w:eastAsia="zh-CN"/>
        </w:rPr>
        <w:t>若监理人未能按上述要求开具增值税专用发票，或实际开票税率与上述要求不符，委托人有权根据实际收取的发票类型及税率从合同价款中直接扣除相应金额的合同款进行结算。委托人有权在任一批次的合同付款中直接扣减税款差额。若未支付合同款不足以弥补税款差额，监理人应将差额退还委托人。税款差额计算方式如下：</w:t>
      </w:r>
    </w:p>
    <w:p w14:paraId="00533C0F">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税款差额=承诺税率对应的增值税进项税额﹣实际开具发票的进项税额（若计算得出的扣款小于0，则取0）</w:t>
      </w:r>
    </w:p>
    <w:p w14:paraId="5D7E1201">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420" w:firstLineChars="200"/>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其中：增值税进项税额=∑开票金额÷（1+税率）×税率</w:t>
      </w:r>
    </w:p>
    <w:p w14:paraId="5766A1CF">
      <w:pPr>
        <w:spacing w:line="540" w:lineRule="exact"/>
        <w:ind w:firstLine="420" w:firstLineChars="200"/>
        <w:rPr>
          <w:rFonts w:hint="eastAsia" w:ascii="宋体" w:hAnsi="宋体" w:cs="宋体"/>
          <w:color w:val="auto"/>
          <w:kern w:val="0"/>
          <w:sz w:val="21"/>
          <w:szCs w:val="21"/>
          <w:highlight w:val="none"/>
          <w:shd w:val="clear" w:color="auto" w:fill="auto"/>
          <w:lang w:val="en-US" w:eastAsia="zh-CN"/>
        </w:rPr>
      </w:pPr>
      <w:r>
        <w:rPr>
          <w:rFonts w:hint="eastAsia" w:ascii="宋体" w:hAnsi="宋体" w:cs="宋体"/>
          <w:color w:val="auto"/>
          <w:kern w:val="0"/>
          <w:sz w:val="21"/>
          <w:szCs w:val="21"/>
          <w:highlight w:val="none"/>
          <w:shd w:val="clear" w:color="auto" w:fill="auto"/>
          <w:lang w:val="en-US" w:eastAsia="zh-CN"/>
        </w:rPr>
        <w:t>10.9 本合同项下不含税价格不因国家税率变化而变化，若在本合同履行期间遇国家税率调整，则价税合计相应调整，以开具发票的时间为准。</w:t>
      </w:r>
    </w:p>
    <w:p w14:paraId="3DE9011D">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10.</w:t>
      </w:r>
      <w:r>
        <w:rPr>
          <w:rFonts w:hint="eastAsia"/>
          <w:color w:val="auto"/>
          <w:szCs w:val="21"/>
          <w:highlight w:val="none"/>
          <w:shd w:val="clear" w:color="auto" w:fill="auto"/>
          <w:lang w:val="en-US" w:eastAsia="zh-CN"/>
        </w:rPr>
        <w:t>10</w:t>
      </w:r>
      <w:r>
        <w:rPr>
          <w:color w:val="auto"/>
          <w:szCs w:val="21"/>
          <w:highlight w:val="none"/>
          <w:shd w:val="clear" w:color="auto" w:fill="auto"/>
        </w:rPr>
        <w:t>支付条</w:t>
      </w:r>
      <w:r>
        <w:rPr>
          <w:rFonts w:hint="eastAsia"/>
          <w:color w:val="auto"/>
          <w:szCs w:val="21"/>
          <w:highlight w:val="none"/>
          <w:shd w:val="clear" w:color="auto" w:fill="auto"/>
          <w:lang w:val="en-US" w:eastAsia="zh-CN"/>
        </w:rPr>
        <w:t>件</w:t>
      </w:r>
      <w:r>
        <w:rPr>
          <w:color w:val="auto"/>
          <w:szCs w:val="21"/>
          <w:highlight w:val="none"/>
          <w:shd w:val="clear" w:color="auto" w:fill="auto"/>
        </w:rPr>
        <w:t>及程序在合同条款和附件中另有规定。</w:t>
      </w:r>
    </w:p>
    <w:p w14:paraId="1B33A7B2">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11</w:t>
      </w:r>
      <w:r>
        <w:rPr>
          <w:color w:val="auto"/>
          <w:szCs w:val="21"/>
          <w:highlight w:val="none"/>
          <w:shd w:val="clear" w:color="auto" w:fill="auto"/>
        </w:rPr>
        <w:t>. 总监理工程师：</w:t>
      </w:r>
      <w:permStart w:id="57" w:edGrp="everyone"/>
      <w:r>
        <w:rPr>
          <w:color w:val="auto"/>
          <w:szCs w:val="21"/>
          <w:highlight w:val="none"/>
          <w:u w:val="single"/>
          <w:shd w:val="clear" w:color="auto" w:fill="auto"/>
        </w:rPr>
        <w:t xml:space="preserve">          </w:t>
      </w:r>
      <w:permEnd w:id="57"/>
      <w:r>
        <w:rPr>
          <w:rFonts w:hint="eastAsia" w:ascii="宋体" w:hAnsi="宋体"/>
          <w:color w:val="auto"/>
          <w:szCs w:val="21"/>
          <w:highlight w:val="none"/>
          <w:shd w:val="clear" w:color="auto" w:fill="auto"/>
        </w:rPr>
        <w:t>，身份证号码：</w:t>
      </w:r>
      <w:permStart w:id="58" w:edGrp="everyone"/>
      <w:r>
        <w:rPr>
          <w:color w:val="auto"/>
          <w:szCs w:val="21"/>
          <w:highlight w:val="none"/>
          <w:u w:val="single"/>
          <w:shd w:val="clear" w:color="auto" w:fill="auto"/>
        </w:rPr>
        <w:t xml:space="preserve">          </w:t>
      </w:r>
      <w:permEnd w:id="58"/>
      <w:r>
        <w:rPr>
          <w:rFonts w:hint="eastAsia" w:ascii="宋体" w:hAnsi="宋体"/>
          <w:color w:val="auto"/>
          <w:szCs w:val="21"/>
          <w:highlight w:val="none"/>
          <w:shd w:val="clear" w:color="auto" w:fill="auto"/>
        </w:rPr>
        <w:t>，注册号：</w:t>
      </w:r>
      <w:permStart w:id="59" w:edGrp="everyone"/>
      <w:r>
        <w:rPr>
          <w:color w:val="auto"/>
          <w:szCs w:val="21"/>
          <w:highlight w:val="none"/>
          <w:u w:val="single"/>
          <w:shd w:val="clear" w:color="auto" w:fill="auto"/>
        </w:rPr>
        <w:t xml:space="preserve">          </w:t>
      </w:r>
      <w:r>
        <w:rPr>
          <w:color w:val="auto"/>
          <w:szCs w:val="21"/>
          <w:highlight w:val="none"/>
          <w:shd w:val="clear" w:color="auto" w:fill="auto"/>
        </w:rPr>
        <w:t>。</w:t>
      </w:r>
      <w:permEnd w:id="59"/>
    </w:p>
    <w:p w14:paraId="2BE58082">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12. 词语含义</w:t>
      </w:r>
    </w:p>
    <w:p w14:paraId="75FC0BC3">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本协议书中词语含义与通用合同条款中赋予的含义相同。</w:t>
      </w:r>
    </w:p>
    <w:p w14:paraId="61C89758">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13. 签订时间</w:t>
      </w:r>
      <w:r>
        <w:rPr>
          <w:rFonts w:hint="eastAsia"/>
          <w:color w:val="auto"/>
          <w:szCs w:val="21"/>
          <w:highlight w:val="none"/>
          <w:shd w:val="clear" w:color="auto" w:fill="auto"/>
        </w:rPr>
        <w:tab/>
      </w:r>
    </w:p>
    <w:p w14:paraId="3DD39AEC">
      <w:pPr>
        <w:spacing w:line="540" w:lineRule="exact"/>
        <w:ind w:firstLine="420" w:firstLineChars="200"/>
        <w:rPr>
          <w:color w:val="auto"/>
          <w:szCs w:val="21"/>
          <w:highlight w:val="none"/>
          <w:shd w:val="clear" w:color="auto" w:fill="auto"/>
        </w:rPr>
      </w:pPr>
      <w:permStart w:id="60" w:edGrp="everyone"/>
      <w:r>
        <w:rPr>
          <w:rFonts w:hint="eastAsia"/>
          <w:color w:val="auto"/>
          <w:szCs w:val="21"/>
          <w:highlight w:val="none"/>
          <w:shd w:val="clear" w:color="auto" w:fill="auto"/>
        </w:rPr>
        <w:t>本合同于_________年 _____月 ______日签订。</w:t>
      </w:r>
    </w:p>
    <w:permEnd w:id="60"/>
    <w:p w14:paraId="6BD87DE9">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14. 签订地点</w:t>
      </w:r>
    </w:p>
    <w:p w14:paraId="41760BB5">
      <w:pPr>
        <w:spacing w:line="540" w:lineRule="exact"/>
        <w:ind w:firstLine="420" w:firstLineChars="200"/>
        <w:rPr>
          <w:color w:val="auto"/>
          <w:szCs w:val="21"/>
          <w:highlight w:val="none"/>
          <w:shd w:val="clear" w:color="auto" w:fill="auto"/>
        </w:rPr>
      </w:pPr>
      <w:permStart w:id="61" w:edGrp="everyone"/>
      <w:r>
        <w:rPr>
          <w:rFonts w:hint="eastAsia"/>
          <w:color w:val="auto"/>
          <w:szCs w:val="21"/>
          <w:highlight w:val="none"/>
          <w:shd w:val="clear" w:color="auto" w:fill="auto"/>
        </w:rPr>
        <w:t>本</w:t>
      </w:r>
      <w:r>
        <w:rPr>
          <w:rFonts w:hint="eastAsia" w:ascii="宋体" w:hAnsi="宋体" w:eastAsia="宋体" w:cs="宋体"/>
          <w:color w:val="auto"/>
          <w:sz w:val="21"/>
          <w:szCs w:val="21"/>
          <w:highlight w:val="none"/>
          <w:shd w:val="clear" w:color="auto" w:fill="auto"/>
        </w:rPr>
        <w:t>合同在</w:t>
      </w:r>
      <w:sdt>
        <w:sdtPr>
          <w:rPr>
            <w:rFonts w:hint="eastAsia" w:ascii="宋体" w:hAnsi="宋体" w:eastAsia="宋体" w:cs="宋体"/>
            <w:color w:val="auto"/>
            <w:kern w:val="2"/>
            <w:sz w:val="21"/>
            <w:szCs w:val="21"/>
            <w:highlight w:val="none"/>
            <w:u w:val="single"/>
            <w:shd w:val="clear" w:color="auto" w:fill="auto"/>
            <w:lang w:val="en-US" w:eastAsia="zh-CN" w:bidi="ar-SA"/>
          </w:rPr>
          <w:alias w:val="签约地点"/>
          <w:tag w:val="签约地点"/>
          <w:id w:val="391179285"/>
          <w:placeholder>
            <w:docPart w:val="{efe19991-d4ca-40ff-b9ce-a047c36ddfc1}"/>
          </w:placeholder>
          <w:text w:multiLine="1"/>
        </w:sdtPr>
        <w:sdtEndPr>
          <w:rPr>
            <w:rFonts w:hint="eastAsia" w:ascii="宋体" w:hAnsi="宋体" w:eastAsia="宋体" w:cs="宋体"/>
            <w:color w:val="auto"/>
            <w:kern w:val="2"/>
            <w:sz w:val="21"/>
            <w:szCs w:val="21"/>
            <w:highlight w:val="none"/>
            <w:u w:val="single"/>
            <w:shd w:val="clear" w:color="auto" w:fill="auto"/>
            <w:lang w:val="en-US" w:eastAsia="zh-CN" w:bidi="ar-SA"/>
          </w:rPr>
        </w:sdtEndPr>
        <w:sdtContent>
          <w:r>
            <w:rPr>
              <w:rFonts w:hint="eastAsia" w:ascii="宋体" w:hAnsi="宋体" w:eastAsia="宋体" w:cs="宋体"/>
              <w:color w:val="auto"/>
              <w:kern w:val="2"/>
              <w:sz w:val="21"/>
              <w:szCs w:val="21"/>
              <w:highlight w:val="none"/>
              <w:u w:val="single"/>
              <w:shd w:val="clear" w:color="auto" w:fill="auto"/>
              <w:lang w:val="en-US" w:eastAsia="zh-CN" w:bidi="ar-SA"/>
            </w:rPr>
            <w:t xml:space="preserve">               </w:t>
          </w:r>
        </w:sdtContent>
      </w:sdt>
      <w:r>
        <w:rPr>
          <w:rFonts w:hint="eastAsia" w:ascii="宋体" w:hAnsi="宋体" w:eastAsia="宋体" w:cs="宋体"/>
          <w:color w:val="auto"/>
          <w:sz w:val="21"/>
          <w:szCs w:val="21"/>
          <w:highlight w:val="none"/>
          <w:shd w:val="clear" w:color="auto" w:fill="auto"/>
        </w:rPr>
        <w:t>签订</w:t>
      </w:r>
      <w:r>
        <w:rPr>
          <w:rFonts w:hint="eastAsia"/>
          <w:color w:val="auto"/>
          <w:szCs w:val="21"/>
          <w:highlight w:val="none"/>
          <w:shd w:val="clear" w:color="auto" w:fill="auto"/>
        </w:rPr>
        <w:t>。</w:t>
      </w:r>
    </w:p>
    <w:permEnd w:id="61"/>
    <w:p w14:paraId="0CFDA180">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15. 本合同一式</w:t>
      </w:r>
      <w:sdt>
        <w:sdtPr>
          <w:rPr>
            <w:rFonts w:hint="eastAsia" w:ascii="宋体" w:hAnsi="宋体" w:eastAsia="宋体" w:cs="宋体"/>
            <w:color w:val="auto"/>
            <w:kern w:val="2"/>
            <w:sz w:val="21"/>
            <w:szCs w:val="21"/>
            <w:highlight w:val="none"/>
            <w:shd w:val="clear" w:color="auto" w:fill="auto"/>
            <w:lang w:val="en-US" w:eastAsia="zh-CN" w:bidi="ar-SA"/>
          </w:rPr>
          <w:alias w:val="建议数字大写，注意各份数相加结果"/>
          <w:tag w:val="合同总份数 "/>
          <w:id w:val="147474502"/>
          <w:placeholder>
            <w:docPart w:val="{6d805666-58b3-4c9a-83a0-916860985ecb}"/>
          </w:placeholder>
        </w:sdtPr>
        <w:sdtEndPr>
          <w:rPr>
            <w:rFonts w:hint="eastAsia" w:ascii="宋体" w:hAnsi="宋体" w:eastAsia="宋体" w:cs="宋体"/>
            <w:color w:val="auto"/>
            <w:kern w:val="2"/>
            <w:sz w:val="21"/>
            <w:szCs w:val="21"/>
            <w:highlight w:val="none"/>
            <w:shd w:val="clear" w:color="auto" w:fill="auto"/>
            <w:lang w:val="en-US" w:eastAsia="zh-CN" w:bidi="ar-SA"/>
          </w:rPr>
        </w:sdtEndPr>
        <w:sdtContent>
          <w:permStart w:id="62" w:edGrp="everyone"/>
          <w:r>
            <w:rPr>
              <w:rFonts w:hint="eastAsia" w:ascii="宋体" w:hAnsi="宋体" w:eastAsia="宋体" w:cs="宋体"/>
              <w:color w:val="auto"/>
              <w:kern w:val="2"/>
              <w:sz w:val="21"/>
              <w:szCs w:val="21"/>
              <w:highlight w:val="none"/>
              <w:u w:val="single"/>
              <w:shd w:val="clear" w:color="auto" w:fill="auto"/>
              <w:lang w:val="en-US" w:eastAsia="zh-CN" w:bidi="ar-SA"/>
            </w:rPr>
            <w:t xml:space="preserve">    </w:t>
          </w:r>
          <w:permEnd w:id="62"/>
        </w:sdtContent>
      </w:sdt>
      <w:r>
        <w:rPr>
          <w:rFonts w:hint="eastAsia"/>
          <w:color w:val="auto"/>
          <w:szCs w:val="21"/>
          <w:highlight w:val="none"/>
          <w:shd w:val="clear" w:color="auto" w:fill="auto"/>
        </w:rPr>
        <w:t>份，均具有同等法律效力，委托人执</w:t>
      </w:r>
      <w:sdt>
        <w:sdtPr>
          <w:rPr>
            <w:rFonts w:hint="eastAsia" w:ascii="宋体" w:hAnsi="宋体" w:eastAsia="宋体" w:cs="宋体"/>
            <w:color w:val="auto"/>
            <w:kern w:val="2"/>
            <w:sz w:val="21"/>
            <w:szCs w:val="21"/>
            <w:highlight w:val="none"/>
            <w:shd w:val="clear" w:color="auto" w:fill="auto"/>
            <w:lang w:val="en-US" w:eastAsia="zh-CN" w:bidi="ar-SA"/>
          </w:rPr>
          <w:alias w:val="建议数字大写，注意各份数相加结果"/>
          <w:tag w:val="甲方所执份数"/>
          <w:id w:val="895778106"/>
          <w:placeholder>
            <w:docPart w:val="{0e84f306-367a-4fbe-9e28-b328d7e0f7ea}"/>
          </w:placeholder>
        </w:sdtPr>
        <w:sdtEndP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sdtEndPr>
        <w:sdtContent>
          <w:permStart w:id="63" w:edGrp="everyone"/>
          <w:r>
            <w:rPr>
              <w:rFonts w:hint="eastAsia" w:ascii="宋体" w:hAnsi="宋体" w:eastAsia="宋体" w:cs="宋体"/>
              <w:color w:val="auto"/>
              <w:kern w:val="2"/>
              <w:sz w:val="21"/>
              <w:szCs w:val="21"/>
              <w:highlight w:val="none"/>
              <w:u w:val="single"/>
              <w:shd w:val="clear" w:color="auto" w:fill="auto"/>
              <w:lang w:val="en-US" w:eastAsia="zh-CN" w:bidi="ar-SA"/>
            </w:rPr>
            <w:t xml:space="preserve">   </w:t>
          </w:r>
          <w:permEnd w:id="63"/>
        </w:sdtContent>
      </w:sdt>
      <w:r>
        <w:rPr>
          <w:rFonts w:hint="eastAsia"/>
          <w:color w:val="auto"/>
          <w:szCs w:val="21"/>
          <w:highlight w:val="none"/>
          <w:shd w:val="clear" w:color="auto" w:fill="auto"/>
        </w:rPr>
        <w:t>份，监理人执</w:t>
      </w:r>
      <w:sdt>
        <w:sdtPr>
          <w:rPr>
            <w:rFonts w:hint="eastAsia" w:ascii="宋体" w:hAnsi="宋体" w:eastAsia="宋体" w:cs="宋体"/>
            <w:color w:val="auto"/>
            <w:kern w:val="2"/>
            <w:sz w:val="21"/>
            <w:szCs w:val="21"/>
            <w:highlight w:val="none"/>
            <w:shd w:val="clear" w:color="auto" w:fill="auto"/>
            <w:lang w:val="en-US" w:eastAsia="zh-CN" w:bidi="ar-SA"/>
          </w:rPr>
          <w:alias w:val="建议数字大写，注意各份数相加结果"/>
          <w:tag w:val="乙方所执份数"/>
          <w:id w:val="127757003"/>
          <w:placeholder>
            <w:docPart w:val="{3066c63d-26d7-47ea-969b-f45df479caeb}"/>
          </w:placeholder>
        </w:sdtPr>
        <w:sdtEndPr>
          <w:rPr>
            <w:rFonts w:hint="eastAsia" w:asciiTheme="minorHAnsi" w:hAnsiTheme="minorHAnsi" w:eastAsiaTheme="minorEastAsia" w:cstheme="minorBidi"/>
            <w:color w:val="auto"/>
            <w:kern w:val="2"/>
            <w:sz w:val="28"/>
            <w:szCs w:val="36"/>
            <w:highlight w:val="none"/>
            <w:shd w:val="clear" w:color="auto" w:fill="auto"/>
            <w:lang w:val="en-US" w:eastAsia="zh-CN" w:bidi="ar-SA"/>
          </w:rPr>
        </w:sdtEndPr>
        <w:sdtContent>
          <w:permStart w:id="64" w:edGrp="everyone"/>
          <w:r>
            <w:rPr>
              <w:rFonts w:hint="eastAsia" w:ascii="宋体" w:hAnsi="宋体" w:eastAsia="宋体" w:cs="宋体"/>
              <w:color w:val="auto"/>
              <w:kern w:val="2"/>
              <w:sz w:val="21"/>
              <w:szCs w:val="21"/>
              <w:highlight w:val="none"/>
              <w:u w:val="single"/>
              <w:shd w:val="clear" w:color="auto" w:fill="auto"/>
              <w:lang w:val="en-US" w:eastAsia="zh-CN" w:bidi="ar-SA"/>
            </w:rPr>
            <w:t xml:space="preserve">   </w:t>
          </w:r>
          <w:permEnd w:id="64"/>
        </w:sdtContent>
      </w:sdt>
      <w:r>
        <w:rPr>
          <w:rFonts w:hint="eastAsia"/>
          <w:color w:val="auto"/>
          <w:szCs w:val="21"/>
          <w:highlight w:val="none"/>
          <w:shd w:val="clear" w:color="auto" w:fill="auto"/>
        </w:rPr>
        <w:t>份。</w:t>
      </w:r>
    </w:p>
    <w:p w14:paraId="20DAC461">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16. 承诺</w:t>
      </w:r>
    </w:p>
    <w:p w14:paraId="2F9BD3AC">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委托人承诺按照法律规定履行项目审批手续，按照合同约定提供监理依据，并按合同约定的期限和方式支付合同价款。</w:t>
      </w:r>
    </w:p>
    <w:p w14:paraId="137CB245">
      <w:pPr>
        <w:spacing w:line="540" w:lineRule="exact"/>
        <w:ind w:firstLine="420" w:firstLineChars="200"/>
        <w:rPr>
          <w:color w:val="auto"/>
          <w:szCs w:val="21"/>
          <w:highlight w:val="none"/>
          <w:shd w:val="clear" w:color="auto" w:fill="auto"/>
        </w:rPr>
      </w:pPr>
      <w:r>
        <w:rPr>
          <w:rFonts w:hint="eastAsia" w:hAnsi="宋体" w:cs="仿宋_GB2312"/>
          <w:color w:val="auto"/>
          <w:kern w:val="0"/>
          <w:szCs w:val="21"/>
          <w:highlight w:val="none"/>
          <w:shd w:val="clear" w:color="auto" w:fill="auto"/>
        </w:rPr>
        <w:t>监理人承诺按合同约定承担本工程建设监理服务工作。</w:t>
      </w:r>
    </w:p>
    <w:p w14:paraId="423134FF">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监理人承诺，监理人已仔细阅读合同中列明的中国南方电网有限公司基建管理各项管理规定，在项目执行期间自愿服从并严格遵守合同中各项管理规定的要求。在项目执行期间如若违反相关管理规定，监理人自愿接受委托人相关的处罚（如通报批评、承包商考核扣分、停止投标资格以及依照合同额相关比例进行扣罚）。</w:t>
      </w:r>
    </w:p>
    <w:p w14:paraId="57B8DA1E">
      <w:pPr>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outlineLvl w:val="9"/>
        <w:rPr>
          <w:rFonts w:hint="eastAsia" w:ascii="宋体" w:hAnsi="宋体" w:eastAsia="宋体" w:cs="宋体"/>
          <w:color w:val="auto"/>
          <w:sz w:val="21"/>
          <w:szCs w:val="21"/>
          <w:highlight w:val="none"/>
          <w:shd w:val="clear" w:color="auto" w:fill="auto"/>
          <w:lang w:val="en-US" w:eastAsia="zh-CN"/>
        </w:rPr>
      </w:pPr>
      <w:r>
        <w:rPr>
          <w:rFonts w:hint="eastAsia"/>
          <w:color w:val="auto"/>
          <w:szCs w:val="21"/>
          <w:highlight w:val="none"/>
          <w:shd w:val="clear" w:color="auto" w:fill="auto"/>
        </w:rPr>
        <w:t xml:space="preserve">17. </w:t>
      </w:r>
      <w:r>
        <w:rPr>
          <w:rFonts w:hint="eastAsia" w:ascii="宋体" w:hAnsi="宋体" w:eastAsia="宋体" w:cs="宋体"/>
          <w:color w:val="auto"/>
          <w:sz w:val="21"/>
          <w:szCs w:val="21"/>
          <w:highlight w:val="none"/>
          <w:shd w:val="clear" w:color="auto" w:fill="auto"/>
          <w:lang w:val="en-US" w:eastAsia="zh-CN"/>
        </w:rPr>
        <w:t>廉洁条款</w:t>
      </w:r>
    </w:p>
    <w:p w14:paraId="6DD4A78D">
      <w:pPr>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outlineLvl w:val="9"/>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1</w:t>
      </w:r>
      <w:r>
        <w:rPr>
          <w:rFonts w:hint="default" w:ascii="宋体" w:hAnsi="宋体" w:eastAsia="宋体" w:cs="宋体"/>
          <w:color w:val="auto"/>
          <w:sz w:val="21"/>
          <w:szCs w:val="21"/>
          <w:highlight w:val="none"/>
          <w:shd w:val="clear" w:color="auto" w:fill="auto"/>
          <w:lang w:val="en-US"/>
        </w:rPr>
        <w:t>7</w:t>
      </w:r>
      <w:r>
        <w:rPr>
          <w:rFonts w:hint="eastAsia" w:ascii="宋体" w:hAnsi="宋体" w:eastAsia="宋体" w:cs="宋体"/>
          <w:color w:val="auto"/>
          <w:sz w:val="21"/>
          <w:szCs w:val="21"/>
          <w:highlight w:val="none"/>
          <w:shd w:val="clear" w:color="auto" w:fill="auto"/>
        </w:rPr>
        <w:t>.</w:t>
      </w:r>
      <w:r>
        <w:rPr>
          <w:rFonts w:hint="eastAsia" w:ascii="宋体" w:hAnsi="宋体" w:eastAsia="宋体" w:cs="宋体"/>
          <w:color w:val="auto"/>
          <w:sz w:val="21"/>
          <w:szCs w:val="21"/>
          <w:highlight w:val="none"/>
          <w:shd w:val="clear" w:color="auto" w:fill="auto"/>
          <w:lang w:val="en-US" w:eastAsia="zh-CN"/>
        </w:rPr>
        <w:t xml:space="preserve">1 </w:t>
      </w:r>
      <w:r>
        <w:rPr>
          <w:rFonts w:hint="eastAsia" w:ascii="宋体" w:hAnsi="宋体" w:eastAsia="宋体" w:cs="宋体"/>
          <w:color w:val="auto"/>
          <w:sz w:val="21"/>
          <w:szCs w:val="21"/>
          <w:highlight w:val="none"/>
          <w:shd w:val="clear" w:color="auto" w:fill="auto"/>
        </w:rPr>
        <w:t>合同</w:t>
      </w:r>
      <w:r>
        <w:rPr>
          <w:rFonts w:hint="eastAsia" w:ascii="宋体" w:hAnsi="宋体" w:eastAsia="宋体" w:cs="宋体"/>
          <w:color w:val="auto"/>
          <w:sz w:val="21"/>
          <w:szCs w:val="21"/>
          <w:highlight w:val="none"/>
          <w:shd w:val="clear" w:color="auto" w:fill="auto"/>
          <w:lang w:val="en-US" w:eastAsia="zh-CN"/>
        </w:rPr>
        <w:t>双</w:t>
      </w:r>
      <w:r>
        <w:rPr>
          <w:rFonts w:hint="eastAsia" w:ascii="宋体" w:hAnsi="宋体" w:eastAsia="宋体" w:cs="宋体"/>
          <w:color w:val="auto"/>
          <w:sz w:val="21"/>
          <w:szCs w:val="21"/>
          <w:highlight w:val="none"/>
          <w:shd w:val="clear" w:color="auto" w:fill="auto"/>
        </w:rPr>
        <w:t>方应严格遵守国家关于市场准入、招标</w:t>
      </w:r>
      <w:r>
        <w:rPr>
          <w:rFonts w:hint="eastAsia" w:ascii="宋体" w:hAnsi="宋体" w:eastAsia="宋体" w:cs="宋体"/>
          <w:color w:val="auto"/>
          <w:sz w:val="21"/>
          <w:szCs w:val="21"/>
          <w:highlight w:val="none"/>
          <w:shd w:val="clear" w:color="auto" w:fill="auto"/>
          <w:lang w:val="en-US" w:eastAsia="zh-CN"/>
        </w:rPr>
        <w:t>采购、工程建设</w:t>
      </w:r>
      <w:r>
        <w:rPr>
          <w:rFonts w:hint="eastAsia" w:ascii="宋体" w:hAnsi="宋体" w:eastAsia="宋体" w:cs="宋体"/>
          <w:color w:val="auto"/>
          <w:sz w:val="21"/>
          <w:szCs w:val="21"/>
          <w:highlight w:val="none"/>
          <w:shd w:val="clear" w:color="auto" w:fill="auto"/>
        </w:rPr>
        <w:t>等市场经济活动的法律法规、政策及廉洁规定，不得为获取不正当利益，损害国家、集体和合同</w:t>
      </w:r>
      <w:r>
        <w:rPr>
          <w:rFonts w:hint="eastAsia" w:ascii="宋体" w:hAnsi="宋体" w:eastAsia="宋体" w:cs="宋体"/>
          <w:color w:val="auto"/>
          <w:sz w:val="21"/>
          <w:szCs w:val="21"/>
          <w:highlight w:val="none"/>
          <w:shd w:val="clear" w:color="auto" w:fill="auto"/>
          <w:lang w:val="en-US" w:eastAsia="zh-CN"/>
        </w:rPr>
        <w:t>双</w:t>
      </w:r>
      <w:r>
        <w:rPr>
          <w:rFonts w:hint="eastAsia" w:ascii="宋体" w:hAnsi="宋体" w:eastAsia="宋体" w:cs="宋体"/>
          <w:color w:val="auto"/>
          <w:sz w:val="21"/>
          <w:szCs w:val="21"/>
          <w:highlight w:val="none"/>
          <w:shd w:val="clear" w:color="auto" w:fill="auto"/>
        </w:rPr>
        <w:t>方</w:t>
      </w:r>
      <w:r>
        <w:rPr>
          <w:rFonts w:hint="eastAsia" w:ascii="宋体" w:hAnsi="宋体" w:eastAsia="宋体" w:cs="宋体"/>
          <w:color w:val="auto"/>
          <w:sz w:val="21"/>
          <w:szCs w:val="21"/>
          <w:highlight w:val="none"/>
          <w:shd w:val="clear" w:color="auto" w:fill="auto"/>
          <w:lang w:val="en-US" w:eastAsia="zh-CN"/>
        </w:rPr>
        <w:t>权益</w:t>
      </w:r>
      <w:r>
        <w:rPr>
          <w:rFonts w:hint="eastAsia" w:ascii="宋体" w:hAnsi="宋体" w:eastAsia="宋体" w:cs="宋体"/>
          <w:color w:val="auto"/>
          <w:sz w:val="21"/>
          <w:szCs w:val="21"/>
          <w:highlight w:val="none"/>
          <w:shd w:val="clear" w:color="auto" w:fill="auto"/>
        </w:rPr>
        <w:t>。</w:t>
      </w:r>
    </w:p>
    <w:p w14:paraId="4D817E2B">
      <w:pPr>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outlineLvl w:val="9"/>
        <w:rPr>
          <w:rFonts w:hint="eastAsia" w:ascii="宋体" w:hAnsi="宋体" w:eastAsia="宋体" w:cs="宋体"/>
          <w:color w:val="auto"/>
          <w:sz w:val="21"/>
          <w:szCs w:val="21"/>
          <w:highlight w:val="none"/>
          <w:shd w:val="clear" w:color="auto" w:fill="auto"/>
        </w:rPr>
      </w:pPr>
      <w:r>
        <w:rPr>
          <w:rFonts w:hint="eastAsia" w:ascii="宋体" w:hAnsi="宋体" w:eastAsia="宋体" w:cs="宋体"/>
          <w:b w:val="0"/>
          <w:bCs w:val="0"/>
          <w:color w:val="auto"/>
          <w:sz w:val="21"/>
          <w:szCs w:val="21"/>
          <w:highlight w:val="none"/>
          <w:shd w:val="clear" w:color="auto" w:fill="auto"/>
          <w:lang w:val="en-US" w:eastAsia="zh-CN"/>
        </w:rPr>
        <w:t>1</w:t>
      </w:r>
      <w:r>
        <w:rPr>
          <w:rFonts w:hint="default" w:ascii="宋体" w:hAnsi="宋体" w:eastAsia="宋体" w:cs="宋体"/>
          <w:b w:val="0"/>
          <w:bCs w:val="0"/>
          <w:color w:val="auto"/>
          <w:sz w:val="21"/>
          <w:szCs w:val="21"/>
          <w:highlight w:val="none"/>
          <w:shd w:val="clear" w:color="auto" w:fill="auto"/>
          <w:lang w:val="en-US" w:eastAsia="zh-CN"/>
        </w:rPr>
        <w:t>7</w:t>
      </w:r>
      <w:r>
        <w:rPr>
          <w:rFonts w:hint="eastAsia" w:ascii="宋体" w:hAnsi="宋体" w:eastAsia="宋体" w:cs="宋体"/>
          <w:b w:val="0"/>
          <w:bCs w:val="0"/>
          <w:color w:val="auto"/>
          <w:sz w:val="21"/>
          <w:szCs w:val="21"/>
          <w:highlight w:val="none"/>
          <w:shd w:val="clear" w:color="auto" w:fill="auto"/>
          <w:lang w:val="en-US" w:eastAsia="zh-CN"/>
        </w:rPr>
        <w:t>.</w:t>
      </w:r>
      <w:r>
        <w:rPr>
          <w:rFonts w:hint="eastAsia" w:ascii="宋体" w:hAnsi="宋体" w:eastAsia="宋体" w:cs="宋体"/>
          <w:b w:val="0"/>
          <w:bCs w:val="0"/>
          <w:color w:val="auto"/>
          <w:sz w:val="21"/>
          <w:szCs w:val="21"/>
          <w:highlight w:val="none"/>
          <w:shd w:val="clear" w:color="auto" w:fill="auto"/>
        </w:rPr>
        <w:t>2</w:t>
      </w:r>
      <w:r>
        <w:rPr>
          <w:rFonts w:hint="eastAsia" w:ascii="宋体" w:hAnsi="宋体" w:eastAsia="宋体" w:cs="宋体"/>
          <w:b w:val="0"/>
          <w:bCs w:val="0"/>
          <w:color w:val="auto"/>
          <w:sz w:val="21"/>
          <w:szCs w:val="21"/>
          <w:highlight w:val="none"/>
          <w:shd w:val="clear" w:color="auto" w:fill="auto"/>
          <w:lang w:val="en-US" w:eastAsia="zh-CN"/>
        </w:rPr>
        <w:t xml:space="preserve"> </w:t>
      </w:r>
      <w:r>
        <w:rPr>
          <w:rFonts w:hint="eastAsia" w:ascii="宋体" w:hAnsi="宋体" w:eastAsia="宋体" w:cs="宋体"/>
          <w:color w:val="auto"/>
          <w:sz w:val="21"/>
          <w:szCs w:val="21"/>
          <w:highlight w:val="none"/>
          <w:shd w:val="clear" w:color="auto" w:fill="auto"/>
        </w:rPr>
        <w:t>甲方</w:t>
      </w:r>
      <w:r>
        <w:rPr>
          <w:rFonts w:hint="eastAsia" w:ascii="宋体" w:hAnsi="宋体" w:eastAsia="宋体" w:cs="宋体"/>
          <w:color w:val="auto"/>
          <w:sz w:val="21"/>
          <w:szCs w:val="21"/>
          <w:highlight w:val="none"/>
          <w:shd w:val="clear" w:color="auto" w:fill="auto"/>
          <w:lang w:eastAsia="zh-CN"/>
        </w:rPr>
        <w:t>（</w:t>
      </w:r>
      <w:r>
        <w:rPr>
          <w:rFonts w:hint="eastAsia" w:ascii="宋体" w:hAnsi="宋体" w:eastAsia="宋体" w:cs="宋体"/>
          <w:color w:val="auto"/>
          <w:sz w:val="21"/>
          <w:szCs w:val="21"/>
          <w:highlight w:val="none"/>
          <w:shd w:val="clear" w:color="auto" w:fill="auto"/>
          <w:lang w:val="en-US" w:eastAsia="zh-CN"/>
        </w:rPr>
        <w:t>包括甲方工作</w:t>
      </w:r>
      <w:r>
        <w:rPr>
          <w:rFonts w:hint="eastAsia" w:ascii="宋体" w:hAnsi="宋体" w:eastAsia="宋体" w:cs="宋体"/>
          <w:color w:val="auto"/>
          <w:sz w:val="21"/>
          <w:szCs w:val="21"/>
          <w:highlight w:val="none"/>
          <w:shd w:val="clear" w:color="auto" w:fill="auto"/>
        </w:rPr>
        <w:t>人员</w:t>
      </w:r>
      <w:r>
        <w:rPr>
          <w:rFonts w:hint="eastAsia" w:ascii="宋体" w:hAnsi="宋体" w:eastAsia="宋体" w:cs="宋体"/>
          <w:color w:val="auto"/>
          <w:sz w:val="21"/>
          <w:szCs w:val="21"/>
          <w:highlight w:val="none"/>
          <w:shd w:val="clear" w:color="auto" w:fill="auto"/>
          <w:lang w:val="en-US" w:eastAsia="zh-CN"/>
        </w:rPr>
        <w:t>及其特定关系人，下同）应</w:t>
      </w:r>
      <w:r>
        <w:rPr>
          <w:rFonts w:hint="eastAsia" w:ascii="宋体" w:hAnsi="宋体" w:eastAsia="宋体" w:cs="宋体"/>
          <w:color w:val="auto"/>
          <w:sz w:val="21"/>
          <w:szCs w:val="21"/>
          <w:highlight w:val="none"/>
          <w:shd w:val="clear" w:color="auto" w:fill="auto"/>
        </w:rPr>
        <w:t>遵守廉洁规定，</w:t>
      </w:r>
      <w:r>
        <w:rPr>
          <w:rFonts w:hint="eastAsia" w:ascii="宋体" w:hAnsi="宋体" w:eastAsia="宋体" w:cs="宋体"/>
          <w:color w:val="auto"/>
          <w:sz w:val="21"/>
          <w:szCs w:val="21"/>
          <w:highlight w:val="none"/>
          <w:shd w:val="clear" w:color="auto" w:fill="auto"/>
          <w:lang w:val="en-US" w:eastAsia="zh-CN"/>
        </w:rPr>
        <w:t>不得</w:t>
      </w:r>
      <w:r>
        <w:rPr>
          <w:rFonts w:hint="eastAsia" w:ascii="宋体" w:hAnsi="宋体" w:eastAsia="宋体" w:cs="宋体"/>
          <w:color w:val="auto"/>
          <w:sz w:val="21"/>
          <w:szCs w:val="21"/>
          <w:highlight w:val="none"/>
          <w:shd w:val="clear" w:color="auto" w:fill="auto"/>
          <w:lang w:eastAsia="zh-CN"/>
        </w:rPr>
        <w:t>利用职权或者职务上的影响谋取</w:t>
      </w:r>
      <w:r>
        <w:rPr>
          <w:rFonts w:hint="eastAsia" w:ascii="宋体" w:hAnsi="宋体" w:eastAsia="宋体" w:cs="宋体"/>
          <w:color w:val="auto"/>
          <w:sz w:val="21"/>
          <w:szCs w:val="21"/>
          <w:highlight w:val="none"/>
          <w:shd w:val="clear" w:color="auto" w:fill="auto"/>
          <w:lang w:val="en-US" w:eastAsia="zh-CN"/>
        </w:rPr>
        <w:t>不正当利益</w:t>
      </w:r>
      <w:r>
        <w:rPr>
          <w:rFonts w:hint="eastAsia" w:ascii="宋体" w:hAnsi="宋体" w:eastAsia="宋体" w:cs="宋体"/>
          <w:color w:val="auto"/>
          <w:sz w:val="21"/>
          <w:szCs w:val="21"/>
          <w:highlight w:val="none"/>
          <w:shd w:val="clear" w:color="auto" w:fill="auto"/>
          <w:lang w:eastAsia="zh-CN"/>
        </w:rPr>
        <w:t>，</w:t>
      </w:r>
      <w:r>
        <w:rPr>
          <w:rFonts w:hint="eastAsia" w:ascii="宋体" w:hAnsi="宋体" w:eastAsia="宋体" w:cs="宋体"/>
          <w:color w:val="auto"/>
          <w:sz w:val="21"/>
          <w:szCs w:val="21"/>
          <w:highlight w:val="none"/>
          <w:shd w:val="clear" w:color="auto" w:fill="auto"/>
          <w:lang w:val="en-US" w:eastAsia="zh-CN"/>
        </w:rPr>
        <w:t>包括但不限于</w:t>
      </w:r>
      <w:r>
        <w:rPr>
          <w:rFonts w:hint="eastAsia" w:ascii="宋体" w:hAnsi="宋体" w:eastAsia="宋体" w:cs="宋体"/>
          <w:color w:val="auto"/>
          <w:sz w:val="21"/>
          <w:szCs w:val="21"/>
          <w:highlight w:val="none"/>
          <w:shd w:val="clear" w:color="auto" w:fill="auto"/>
        </w:rPr>
        <w:t>不得</w:t>
      </w:r>
      <w:r>
        <w:rPr>
          <w:rFonts w:hint="eastAsia" w:ascii="宋体" w:hAnsi="宋体" w:eastAsia="宋体" w:cs="宋体"/>
          <w:color w:val="auto"/>
          <w:sz w:val="21"/>
          <w:szCs w:val="21"/>
          <w:highlight w:val="none"/>
          <w:shd w:val="clear" w:color="auto" w:fill="auto"/>
          <w:lang w:val="en-US" w:eastAsia="zh-CN"/>
        </w:rPr>
        <w:t>索取或收受乙方（包括乙方及其委托人、代理人、中间人等相关单位，以及上述单位的工作人员及其特定关系人，下同）的礼品、礼金、回扣、有价证券等财物，以及其他非财产性利益；不得借用乙方的钱款、住房、车辆等；不得参加乙方安排的</w:t>
      </w:r>
      <w:r>
        <w:rPr>
          <w:rFonts w:hint="eastAsia" w:ascii="宋体" w:hAnsi="宋体" w:eastAsia="宋体" w:cs="宋体"/>
          <w:color w:val="auto"/>
          <w:sz w:val="21"/>
          <w:szCs w:val="21"/>
          <w:highlight w:val="none"/>
          <w:shd w:val="clear" w:color="auto" w:fill="auto"/>
        </w:rPr>
        <w:t>可能影响公正</w:t>
      </w:r>
      <w:r>
        <w:rPr>
          <w:rFonts w:hint="eastAsia" w:ascii="宋体" w:hAnsi="宋体" w:eastAsia="宋体" w:cs="宋体"/>
          <w:color w:val="auto"/>
          <w:sz w:val="21"/>
          <w:szCs w:val="21"/>
          <w:highlight w:val="none"/>
          <w:shd w:val="clear" w:color="auto" w:fill="auto"/>
          <w:lang w:val="en-US" w:eastAsia="zh-CN"/>
        </w:rPr>
        <w:t>执行公务</w:t>
      </w:r>
      <w:r>
        <w:rPr>
          <w:rFonts w:hint="eastAsia" w:ascii="宋体" w:hAnsi="宋体" w:eastAsia="宋体" w:cs="宋体"/>
          <w:color w:val="auto"/>
          <w:sz w:val="21"/>
          <w:szCs w:val="21"/>
          <w:highlight w:val="none"/>
          <w:shd w:val="clear" w:color="auto" w:fill="auto"/>
        </w:rPr>
        <w:t>的宴请</w:t>
      </w:r>
      <w:r>
        <w:rPr>
          <w:rFonts w:hint="eastAsia" w:ascii="宋体" w:hAnsi="宋体" w:eastAsia="宋体" w:cs="宋体"/>
          <w:color w:val="auto"/>
          <w:sz w:val="21"/>
          <w:szCs w:val="21"/>
          <w:highlight w:val="none"/>
          <w:shd w:val="clear" w:color="auto" w:fill="auto"/>
          <w:lang w:eastAsia="zh-CN"/>
        </w:rPr>
        <w:t>、</w:t>
      </w:r>
      <w:r>
        <w:rPr>
          <w:rFonts w:hint="eastAsia" w:ascii="宋体" w:hAnsi="宋体" w:eastAsia="宋体" w:cs="宋体"/>
          <w:color w:val="auto"/>
          <w:sz w:val="21"/>
          <w:szCs w:val="21"/>
          <w:highlight w:val="none"/>
          <w:shd w:val="clear" w:color="auto" w:fill="auto"/>
        </w:rPr>
        <w:t>旅游、健身、娱乐</w:t>
      </w:r>
      <w:r>
        <w:rPr>
          <w:rFonts w:hint="eastAsia" w:ascii="宋体" w:hAnsi="宋体" w:eastAsia="宋体" w:cs="宋体"/>
          <w:color w:val="auto"/>
          <w:sz w:val="21"/>
          <w:szCs w:val="21"/>
          <w:highlight w:val="none"/>
          <w:shd w:val="clear" w:color="auto" w:fill="auto"/>
          <w:lang w:val="en-US" w:eastAsia="zh-CN"/>
        </w:rPr>
        <w:t>等活动；不得要求或接受乙方为个人装修住房、婚丧嫁娶及亲属工作安排等提供便利；</w:t>
      </w:r>
      <w:r>
        <w:rPr>
          <w:rFonts w:hint="eastAsia" w:ascii="宋体" w:hAnsi="宋体" w:eastAsia="宋体" w:cs="宋体"/>
          <w:color w:val="auto"/>
          <w:sz w:val="21"/>
          <w:szCs w:val="21"/>
          <w:highlight w:val="none"/>
          <w:shd w:val="clear" w:color="auto" w:fill="auto"/>
        </w:rPr>
        <w:t>不得向乙方</w:t>
      </w:r>
      <w:r>
        <w:rPr>
          <w:rFonts w:hint="eastAsia" w:ascii="宋体" w:hAnsi="宋体" w:eastAsia="宋体" w:cs="宋体"/>
          <w:color w:val="auto"/>
          <w:sz w:val="21"/>
          <w:szCs w:val="21"/>
          <w:highlight w:val="none"/>
          <w:shd w:val="clear" w:color="auto" w:fill="auto"/>
          <w:lang w:val="en-US" w:eastAsia="zh-CN"/>
        </w:rPr>
        <w:t>介绍亲属或其他特定关系人参与可能获取不正当利益的经济活动</w:t>
      </w:r>
      <w:r>
        <w:rPr>
          <w:rFonts w:hint="eastAsia" w:ascii="宋体" w:hAnsi="宋体" w:eastAsia="宋体" w:cs="宋体"/>
          <w:color w:val="auto"/>
          <w:sz w:val="21"/>
          <w:szCs w:val="21"/>
          <w:highlight w:val="none"/>
          <w:shd w:val="clear" w:color="auto" w:fill="auto"/>
          <w:lang w:eastAsia="zh-CN"/>
        </w:rPr>
        <w:t>；不</w:t>
      </w:r>
      <w:r>
        <w:rPr>
          <w:rFonts w:hint="eastAsia" w:ascii="宋体" w:hAnsi="宋体" w:eastAsia="宋体" w:cs="宋体"/>
          <w:color w:val="auto"/>
          <w:sz w:val="21"/>
          <w:szCs w:val="21"/>
          <w:highlight w:val="none"/>
          <w:shd w:val="clear" w:color="auto" w:fill="auto"/>
          <w:lang w:val="en-US" w:eastAsia="zh-CN"/>
        </w:rPr>
        <w:t>得</w:t>
      </w:r>
      <w:r>
        <w:rPr>
          <w:rFonts w:hint="eastAsia" w:ascii="宋体" w:hAnsi="宋体" w:eastAsia="宋体" w:cs="宋体"/>
          <w:color w:val="auto"/>
          <w:sz w:val="21"/>
          <w:szCs w:val="21"/>
          <w:highlight w:val="none"/>
          <w:shd w:val="clear" w:color="auto" w:fill="auto"/>
          <w:lang w:eastAsia="zh-CN"/>
        </w:rPr>
        <w:t>向乙方泄漏涉及有关业务活动的秘密。</w:t>
      </w:r>
    </w:p>
    <w:p w14:paraId="414F84BF">
      <w:pPr>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outlineLvl w:val="9"/>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1</w:t>
      </w:r>
      <w:r>
        <w:rPr>
          <w:rFonts w:hint="default" w:ascii="宋体" w:hAnsi="宋体" w:eastAsia="宋体" w:cs="宋体"/>
          <w:color w:val="auto"/>
          <w:sz w:val="21"/>
          <w:szCs w:val="21"/>
          <w:highlight w:val="none"/>
          <w:shd w:val="clear" w:color="auto" w:fill="auto"/>
          <w:lang w:val="en-US" w:eastAsia="zh-CN"/>
        </w:rPr>
        <w:t>7</w:t>
      </w:r>
      <w:r>
        <w:rPr>
          <w:rFonts w:hint="eastAsia" w:ascii="宋体" w:hAnsi="宋体" w:eastAsia="宋体" w:cs="宋体"/>
          <w:color w:val="auto"/>
          <w:sz w:val="21"/>
          <w:szCs w:val="21"/>
          <w:highlight w:val="none"/>
          <w:shd w:val="clear" w:color="auto" w:fill="auto"/>
          <w:lang w:val="en-US" w:eastAsia="zh-CN"/>
        </w:rPr>
        <w:t>.</w:t>
      </w:r>
      <w:r>
        <w:rPr>
          <w:rFonts w:hint="eastAsia" w:ascii="宋体" w:hAnsi="宋体" w:eastAsia="宋体" w:cs="宋体"/>
          <w:color w:val="auto"/>
          <w:sz w:val="21"/>
          <w:szCs w:val="21"/>
          <w:highlight w:val="none"/>
          <w:shd w:val="clear" w:color="auto" w:fill="auto"/>
        </w:rPr>
        <w:t>3</w:t>
      </w:r>
      <w:r>
        <w:rPr>
          <w:rFonts w:hint="eastAsia" w:ascii="宋体" w:hAnsi="宋体" w:eastAsia="宋体" w:cs="宋体"/>
          <w:color w:val="auto"/>
          <w:sz w:val="21"/>
          <w:szCs w:val="21"/>
          <w:highlight w:val="none"/>
          <w:shd w:val="clear" w:color="auto" w:fill="auto"/>
          <w:lang w:val="en-US" w:eastAsia="zh-CN"/>
        </w:rPr>
        <w:t xml:space="preserve"> </w:t>
      </w:r>
      <w:r>
        <w:rPr>
          <w:rFonts w:hint="eastAsia" w:ascii="宋体" w:hAnsi="宋体" w:eastAsia="宋体" w:cs="宋体"/>
          <w:color w:val="auto"/>
          <w:sz w:val="21"/>
          <w:szCs w:val="21"/>
          <w:highlight w:val="none"/>
          <w:shd w:val="clear" w:color="auto" w:fill="auto"/>
        </w:rPr>
        <w:t>乙方应遵守廉洁规定，</w:t>
      </w:r>
      <w:r>
        <w:rPr>
          <w:rFonts w:hint="eastAsia" w:ascii="宋体" w:hAnsi="宋体" w:eastAsia="宋体" w:cs="宋体"/>
          <w:color w:val="auto"/>
          <w:sz w:val="21"/>
          <w:szCs w:val="21"/>
          <w:highlight w:val="none"/>
          <w:shd w:val="clear" w:color="auto" w:fill="auto"/>
          <w:lang w:val="en-US" w:eastAsia="zh-CN"/>
        </w:rPr>
        <w:t>不得利用本合同项下业务合作便利谋取不正当利益，包括但不限于</w:t>
      </w:r>
      <w:r>
        <w:rPr>
          <w:rFonts w:hint="eastAsia" w:ascii="宋体" w:hAnsi="宋体" w:eastAsia="宋体" w:cs="宋体"/>
          <w:color w:val="auto"/>
          <w:sz w:val="21"/>
          <w:szCs w:val="21"/>
          <w:highlight w:val="none"/>
          <w:shd w:val="clear" w:color="auto" w:fill="auto"/>
        </w:rPr>
        <w:t>不得向甲方</w:t>
      </w:r>
      <w:r>
        <w:rPr>
          <w:rFonts w:hint="eastAsia" w:ascii="宋体" w:hAnsi="宋体" w:eastAsia="宋体" w:cs="宋体"/>
          <w:color w:val="auto"/>
          <w:sz w:val="21"/>
          <w:szCs w:val="21"/>
          <w:highlight w:val="none"/>
          <w:shd w:val="clear" w:color="auto" w:fill="auto"/>
          <w:lang w:val="en-US" w:eastAsia="zh-CN"/>
        </w:rPr>
        <w:t>提供或</w:t>
      </w:r>
      <w:r>
        <w:rPr>
          <w:rFonts w:hint="eastAsia" w:ascii="宋体" w:hAnsi="宋体" w:eastAsia="宋体" w:cs="宋体"/>
          <w:color w:val="auto"/>
          <w:sz w:val="21"/>
          <w:szCs w:val="21"/>
          <w:highlight w:val="none"/>
          <w:shd w:val="clear" w:color="auto" w:fill="auto"/>
        </w:rPr>
        <w:t>赠送</w:t>
      </w:r>
      <w:r>
        <w:rPr>
          <w:rFonts w:hint="eastAsia" w:ascii="宋体" w:hAnsi="宋体" w:eastAsia="宋体" w:cs="宋体"/>
          <w:color w:val="auto"/>
          <w:sz w:val="21"/>
          <w:szCs w:val="21"/>
          <w:highlight w:val="none"/>
          <w:shd w:val="clear" w:color="auto" w:fill="auto"/>
          <w:lang w:val="en-US" w:eastAsia="zh-CN"/>
        </w:rPr>
        <w:t>礼品、礼金、回扣、有价证券等财物，以及其他非财产性利益</w:t>
      </w:r>
      <w:r>
        <w:rPr>
          <w:rFonts w:hint="eastAsia" w:ascii="宋体" w:hAnsi="宋体" w:eastAsia="宋体" w:cs="宋体"/>
          <w:color w:val="auto"/>
          <w:sz w:val="21"/>
          <w:szCs w:val="21"/>
          <w:highlight w:val="none"/>
          <w:shd w:val="clear" w:color="auto" w:fill="auto"/>
          <w:lang w:eastAsia="zh-CN"/>
        </w:rPr>
        <w:t>；不得</w:t>
      </w:r>
      <w:r>
        <w:rPr>
          <w:rFonts w:hint="eastAsia" w:ascii="宋体" w:hAnsi="宋体" w:eastAsia="宋体" w:cs="宋体"/>
          <w:color w:val="auto"/>
          <w:sz w:val="21"/>
          <w:szCs w:val="21"/>
          <w:highlight w:val="none"/>
          <w:shd w:val="clear" w:color="auto" w:fill="auto"/>
          <w:lang w:val="en-US" w:eastAsia="zh-CN"/>
        </w:rPr>
        <w:t>向甲方借出</w:t>
      </w:r>
      <w:r>
        <w:rPr>
          <w:rFonts w:hint="eastAsia" w:ascii="宋体" w:hAnsi="宋体" w:eastAsia="宋体" w:cs="宋体"/>
          <w:color w:val="auto"/>
          <w:sz w:val="21"/>
          <w:szCs w:val="21"/>
          <w:highlight w:val="none"/>
          <w:shd w:val="clear" w:color="auto" w:fill="auto"/>
          <w:lang w:eastAsia="zh-CN"/>
        </w:rPr>
        <w:t>钱款、住房、车辆等；不得</w:t>
      </w:r>
      <w:r>
        <w:rPr>
          <w:rFonts w:hint="eastAsia" w:ascii="宋体" w:hAnsi="宋体" w:eastAsia="宋体" w:cs="宋体"/>
          <w:color w:val="auto"/>
          <w:sz w:val="21"/>
          <w:szCs w:val="21"/>
          <w:highlight w:val="none"/>
          <w:shd w:val="clear" w:color="auto" w:fill="auto"/>
          <w:lang w:val="en-US" w:eastAsia="zh-CN"/>
        </w:rPr>
        <w:t>为甲方提供</w:t>
      </w:r>
      <w:r>
        <w:rPr>
          <w:rFonts w:hint="eastAsia" w:ascii="宋体" w:hAnsi="宋体" w:eastAsia="宋体" w:cs="宋体"/>
          <w:color w:val="auto"/>
          <w:sz w:val="21"/>
          <w:szCs w:val="21"/>
          <w:highlight w:val="none"/>
          <w:shd w:val="clear" w:color="auto" w:fill="auto"/>
          <w:lang w:eastAsia="zh-CN"/>
        </w:rPr>
        <w:t>宴请、旅游、健身、娱乐等活动</w:t>
      </w:r>
      <w:r>
        <w:rPr>
          <w:rFonts w:hint="eastAsia" w:ascii="宋体" w:hAnsi="宋体" w:eastAsia="宋体" w:cs="宋体"/>
          <w:color w:val="auto"/>
          <w:sz w:val="21"/>
          <w:szCs w:val="21"/>
          <w:highlight w:val="none"/>
          <w:shd w:val="clear" w:color="auto" w:fill="auto"/>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14:paraId="547AD016">
      <w:pPr>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outlineLvl w:val="9"/>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发现甲方有违反廉洁规定的，应及时向甲方反映或举报。受理部门：</w:t>
      </w:r>
      <w:permStart w:id="65" w:edGrp="everyone"/>
      <w:r>
        <w:rPr>
          <w:rFonts w:hint="eastAsia" w:ascii="宋体" w:hAnsi="宋体" w:eastAsia="宋体" w:cs="宋体"/>
          <w:color w:val="auto"/>
          <w:sz w:val="21"/>
          <w:szCs w:val="21"/>
          <w:highlight w:val="none"/>
          <w:u w:val="single"/>
          <w:shd w:val="clear" w:color="auto" w:fill="auto"/>
          <w:lang w:val="en-US" w:eastAsia="zh-CN"/>
        </w:rPr>
        <w:t xml:space="preserve">    </w:t>
      </w:r>
      <w:permEnd w:id="65"/>
      <w:r>
        <w:rPr>
          <w:rFonts w:hint="eastAsia" w:ascii="宋体" w:hAnsi="宋体" w:eastAsia="宋体" w:cs="宋体"/>
          <w:color w:val="auto"/>
          <w:sz w:val="21"/>
          <w:szCs w:val="21"/>
          <w:highlight w:val="none"/>
          <w:shd w:val="clear" w:color="auto" w:fill="auto"/>
        </w:rPr>
        <w:t>；举报地址：</w:t>
      </w:r>
      <w:permStart w:id="66" w:edGrp="everyone"/>
      <w:r>
        <w:rPr>
          <w:rFonts w:hint="eastAsia" w:ascii="宋体" w:hAnsi="宋体" w:eastAsia="宋体" w:cs="宋体"/>
          <w:color w:val="auto"/>
          <w:sz w:val="21"/>
          <w:szCs w:val="21"/>
          <w:highlight w:val="none"/>
          <w:u w:val="single"/>
          <w:shd w:val="clear" w:color="auto" w:fill="auto"/>
          <w:lang w:val="en-US"/>
        </w:rPr>
        <w:t xml:space="preserve">    </w:t>
      </w:r>
      <w:permEnd w:id="66"/>
      <w:r>
        <w:rPr>
          <w:rFonts w:hint="eastAsia" w:ascii="宋体" w:hAnsi="宋体" w:eastAsia="宋体" w:cs="宋体"/>
          <w:color w:val="auto"/>
          <w:sz w:val="21"/>
          <w:szCs w:val="21"/>
          <w:highlight w:val="none"/>
          <w:shd w:val="clear" w:color="auto" w:fill="auto"/>
        </w:rPr>
        <w:t>；举报邮箱</w:t>
      </w:r>
      <w:r>
        <w:rPr>
          <w:rFonts w:hint="eastAsia" w:ascii="宋体" w:hAnsi="宋体" w:eastAsia="宋体" w:cs="宋体"/>
          <w:color w:val="auto"/>
          <w:sz w:val="21"/>
          <w:szCs w:val="21"/>
          <w:highlight w:val="none"/>
          <w:shd w:val="clear" w:color="auto" w:fill="auto"/>
          <w:lang w:eastAsia="zh-CN"/>
        </w:rPr>
        <w:t>（</w:t>
      </w:r>
      <w:r>
        <w:rPr>
          <w:rFonts w:hint="eastAsia" w:ascii="宋体" w:hAnsi="宋体" w:eastAsia="宋体" w:cs="宋体"/>
          <w:color w:val="auto"/>
          <w:sz w:val="21"/>
          <w:szCs w:val="21"/>
          <w:highlight w:val="none"/>
          <w:shd w:val="clear" w:color="auto" w:fill="auto"/>
          <w:lang w:val="en-US" w:eastAsia="zh-CN"/>
        </w:rPr>
        <w:t>网站</w:t>
      </w:r>
      <w:r>
        <w:rPr>
          <w:rFonts w:hint="eastAsia" w:ascii="宋体" w:hAnsi="宋体" w:eastAsia="宋体" w:cs="宋体"/>
          <w:color w:val="auto"/>
          <w:sz w:val="21"/>
          <w:szCs w:val="21"/>
          <w:highlight w:val="none"/>
          <w:shd w:val="clear" w:color="auto" w:fill="auto"/>
          <w:lang w:eastAsia="zh-CN"/>
        </w:rPr>
        <w:t>）</w:t>
      </w:r>
      <w:r>
        <w:rPr>
          <w:rFonts w:hint="eastAsia" w:ascii="宋体" w:hAnsi="宋体" w:eastAsia="宋体" w:cs="宋体"/>
          <w:color w:val="auto"/>
          <w:sz w:val="21"/>
          <w:szCs w:val="21"/>
          <w:highlight w:val="none"/>
          <w:shd w:val="clear" w:color="auto" w:fill="auto"/>
        </w:rPr>
        <w:t>：</w:t>
      </w:r>
      <w:permStart w:id="67" w:edGrp="everyone"/>
      <w:r>
        <w:rPr>
          <w:rFonts w:hint="eastAsia" w:ascii="宋体" w:hAnsi="宋体" w:eastAsia="宋体" w:cs="宋体"/>
          <w:color w:val="auto"/>
          <w:sz w:val="21"/>
          <w:szCs w:val="21"/>
          <w:highlight w:val="none"/>
          <w:u w:val="single"/>
          <w:shd w:val="clear" w:color="auto" w:fill="auto"/>
          <w:lang w:val="en-US"/>
        </w:rPr>
        <w:t xml:space="preserve">     </w:t>
      </w:r>
      <w:permEnd w:id="67"/>
      <w:r>
        <w:rPr>
          <w:rFonts w:hint="eastAsia" w:ascii="宋体" w:hAnsi="宋体" w:eastAsia="宋体" w:cs="宋体"/>
          <w:color w:val="auto"/>
          <w:sz w:val="21"/>
          <w:szCs w:val="21"/>
          <w:highlight w:val="none"/>
          <w:shd w:val="clear" w:color="auto" w:fill="auto"/>
        </w:rPr>
        <w:t>；举报电话：</w:t>
      </w:r>
      <w:permStart w:id="68" w:edGrp="everyone"/>
      <w:r>
        <w:rPr>
          <w:rFonts w:hint="eastAsia" w:ascii="宋体" w:hAnsi="宋体" w:eastAsia="宋体" w:cs="宋体"/>
          <w:b w:val="0"/>
          <w:bCs w:val="0"/>
          <w:color w:val="auto"/>
          <w:sz w:val="21"/>
          <w:szCs w:val="21"/>
          <w:highlight w:val="none"/>
          <w:u w:val="single"/>
          <w:shd w:val="clear" w:color="auto" w:fill="auto"/>
          <w:lang w:val="en-US"/>
        </w:rPr>
        <w:t xml:space="preserve">    </w:t>
      </w:r>
      <w:permEnd w:id="68"/>
      <w:r>
        <w:rPr>
          <w:rFonts w:hint="eastAsia" w:ascii="宋体" w:hAnsi="宋体" w:eastAsia="宋体" w:cs="宋体"/>
          <w:color w:val="auto"/>
          <w:sz w:val="21"/>
          <w:szCs w:val="21"/>
          <w:highlight w:val="none"/>
          <w:shd w:val="clear" w:color="auto" w:fill="auto"/>
        </w:rPr>
        <w:t>。</w:t>
      </w:r>
    </w:p>
    <w:p w14:paraId="6DA78B0D">
      <w:pPr>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outlineLvl w:val="9"/>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1</w:t>
      </w:r>
      <w:r>
        <w:rPr>
          <w:rFonts w:hint="default" w:ascii="宋体" w:hAnsi="宋体" w:eastAsia="宋体" w:cs="宋体"/>
          <w:color w:val="auto"/>
          <w:sz w:val="21"/>
          <w:szCs w:val="21"/>
          <w:highlight w:val="none"/>
          <w:shd w:val="clear" w:color="auto" w:fill="auto"/>
          <w:lang w:val="en-US" w:eastAsia="zh-CN"/>
        </w:rPr>
        <w:t>7</w:t>
      </w:r>
      <w:r>
        <w:rPr>
          <w:rFonts w:hint="eastAsia" w:ascii="宋体" w:hAnsi="宋体" w:eastAsia="宋体" w:cs="宋体"/>
          <w:color w:val="auto"/>
          <w:sz w:val="21"/>
          <w:szCs w:val="21"/>
          <w:highlight w:val="none"/>
          <w:shd w:val="clear" w:color="auto" w:fill="auto"/>
          <w:lang w:val="en-US" w:eastAsia="zh-CN"/>
        </w:rPr>
        <w:t>.</w:t>
      </w:r>
      <w:r>
        <w:rPr>
          <w:rFonts w:hint="eastAsia" w:ascii="宋体" w:hAnsi="宋体" w:eastAsia="宋体" w:cs="宋体"/>
          <w:color w:val="auto"/>
          <w:sz w:val="21"/>
          <w:szCs w:val="21"/>
          <w:highlight w:val="none"/>
          <w:shd w:val="clear" w:color="auto" w:fill="auto"/>
        </w:rPr>
        <w:t>4</w:t>
      </w:r>
      <w:r>
        <w:rPr>
          <w:rFonts w:hint="eastAsia" w:ascii="宋体" w:hAnsi="宋体" w:eastAsia="宋体" w:cs="宋体"/>
          <w:color w:val="auto"/>
          <w:sz w:val="21"/>
          <w:szCs w:val="21"/>
          <w:highlight w:val="none"/>
          <w:shd w:val="clear" w:color="auto" w:fill="auto"/>
          <w:lang w:val="en-US" w:eastAsia="zh-CN"/>
        </w:rPr>
        <w:t xml:space="preserve"> </w:t>
      </w:r>
      <w:r>
        <w:rPr>
          <w:rFonts w:hint="eastAsia" w:ascii="宋体" w:hAnsi="宋体" w:eastAsia="宋体" w:cs="宋体"/>
          <w:color w:val="auto"/>
          <w:sz w:val="21"/>
          <w:szCs w:val="21"/>
          <w:highlight w:val="none"/>
          <w:shd w:val="clear" w:color="auto" w:fill="auto"/>
        </w:rPr>
        <w:t>甲方违反国家及本合同有关廉洁规定的，</w:t>
      </w:r>
      <w:r>
        <w:rPr>
          <w:rFonts w:hint="eastAsia" w:ascii="宋体" w:hAnsi="宋体" w:eastAsia="宋体" w:cs="宋体"/>
          <w:color w:val="auto"/>
          <w:sz w:val="21"/>
          <w:szCs w:val="21"/>
          <w:highlight w:val="none"/>
          <w:shd w:val="clear" w:color="auto" w:fill="auto"/>
          <w:lang w:val="en-US" w:eastAsia="zh-CN"/>
        </w:rPr>
        <w:t>由相关部门（机构）</w:t>
      </w:r>
      <w:r>
        <w:rPr>
          <w:rFonts w:hint="eastAsia" w:ascii="宋体" w:hAnsi="宋体" w:eastAsia="宋体" w:cs="宋体"/>
          <w:color w:val="auto"/>
          <w:sz w:val="21"/>
          <w:szCs w:val="21"/>
          <w:highlight w:val="none"/>
          <w:shd w:val="clear" w:color="auto" w:fill="auto"/>
        </w:rPr>
        <w:t>依法依规给予纪律处分或处理；涉嫌</w:t>
      </w:r>
      <w:r>
        <w:rPr>
          <w:rFonts w:hint="eastAsia" w:ascii="宋体" w:hAnsi="宋体" w:eastAsia="宋体" w:cs="宋体"/>
          <w:color w:val="auto"/>
          <w:sz w:val="21"/>
          <w:szCs w:val="21"/>
          <w:highlight w:val="none"/>
          <w:shd w:val="clear" w:color="auto" w:fill="auto"/>
          <w:lang w:val="en-US" w:eastAsia="zh-CN"/>
        </w:rPr>
        <w:t>职务</w:t>
      </w:r>
      <w:r>
        <w:rPr>
          <w:rFonts w:hint="eastAsia" w:ascii="宋体" w:hAnsi="宋体" w:eastAsia="宋体" w:cs="宋体"/>
          <w:color w:val="auto"/>
          <w:sz w:val="21"/>
          <w:szCs w:val="21"/>
          <w:highlight w:val="none"/>
          <w:shd w:val="clear" w:color="auto" w:fill="auto"/>
        </w:rPr>
        <w:t>犯罪的，移</w:t>
      </w:r>
      <w:r>
        <w:rPr>
          <w:rFonts w:hint="eastAsia" w:ascii="宋体" w:hAnsi="宋体" w:eastAsia="宋体" w:cs="宋体"/>
          <w:color w:val="auto"/>
          <w:sz w:val="21"/>
          <w:szCs w:val="21"/>
          <w:highlight w:val="none"/>
          <w:shd w:val="clear" w:color="auto" w:fill="auto"/>
          <w:lang w:val="en-US" w:eastAsia="zh-CN"/>
        </w:rPr>
        <w:t>交监察机构办理</w:t>
      </w:r>
      <w:r>
        <w:rPr>
          <w:rFonts w:hint="eastAsia" w:ascii="宋体" w:hAnsi="宋体" w:eastAsia="宋体" w:cs="宋体"/>
          <w:color w:val="auto"/>
          <w:sz w:val="21"/>
          <w:szCs w:val="21"/>
          <w:highlight w:val="none"/>
          <w:shd w:val="clear" w:color="auto" w:fill="auto"/>
        </w:rPr>
        <w:t>。</w:t>
      </w:r>
    </w:p>
    <w:p w14:paraId="5B5A8C73">
      <w:pPr>
        <w:spacing w:line="540" w:lineRule="exact"/>
        <w:ind w:firstLine="422" w:firstLineChars="200"/>
        <w:rPr>
          <w:rFonts w:hint="eastAsia"/>
          <w:b/>
          <w:bCs/>
          <w:color w:val="auto"/>
          <w:szCs w:val="21"/>
          <w:highlight w:val="none"/>
          <w:shd w:val="clear" w:color="auto" w:fill="auto"/>
        </w:rPr>
      </w:pPr>
      <w:r>
        <w:rPr>
          <w:rFonts w:hint="eastAsia" w:ascii="宋体" w:hAnsi="宋体" w:eastAsia="宋体" w:cs="宋体"/>
          <w:b/>
          <w:bCs/>
          <w:color w:val="auto"/>
          <w:sz w:val="21"/>
          <w:szCs w:val="21"/>
          <w:highlight w:val="none"/>
          <w:shd w:val="clear" w:color="auto" w:fill="auto"/>
          <w:lang w:val="en-US" w:eastAsia="zh-CN"/>
        </w:rPr>
        <w:t>1</w:t>
      </w:r>
      <w:r>
        <w:rPr>
          <w:rFonts w:hint="default" w:ascii="宋体" w:hAnsi="宋体" w:eastAsia="宋体" w:cs="宋体"/>
          <w:b/>
          <w:bCs/>
          <w:color w:val="auto"/>
          <w:sz w:val="21"/>
          <w:szCs w:val="21"/>
          <w:highlight w:val="none"/>
          <w:shd w:val="clear" w:color="auto" w:fill="auto"/>
          <w:lang w:val="en-US" w:eastAsia="zh-CN"/>
        </w:rPr>
        <w:t>7</w:t>
      </w:r>
      <w:r>
        <w:rPr>
          <w:rFonts w:hint="eastAsia" w:ascii="宋体" w:hAnsi="宋体" w:eastAsia="宋体" w:cs="宋体"/>
          <w:b/>
          <w:bCs/>
          <w:color w:val="auto"/>
          <w:sz w:val="21"/>
          <w:szCs w:val="21"/>
          <w:highlight w:val="none"/>
          <w:shd w:val="clear" w:color="auto" w:fill="auto"/>
          <w:lang w:val="en-US" w:eastAsia="zh-CN"/>
        </w:rPr>
        <w:t>.</w:t>
      </w:r>
      <w:r>
        <w:rPr>
          <w:rFonts w:hint="eastAsia" w:ascii="宋体" w:hAnsi="宋体" w:eastAsia="宋体" w:cs="宋体"/>
          <w:b/>
          <w:bCs/>
          <w:color w:val="auto"/>
          <w:sz w:val="21"/>
          <w:szCs w:val="21"/>
          <w:highlight w:val="none"/>
          <w:shd w:val="clear" w:color="auto" w:fill="auto"/>
        </w:rPr>
        <w:t>5</w:t>
      </w:r>
      <w:r>
        <w:rPr>
          <w:rFonts w:hint="eastAsia" w:ascii="宋体" w:hAnsi="宋体" w:eastAsia="宋体" w:cs="宋体"/>
          <w:b/>
          <w:bCs/>
          <w:color w:val="auto"/>
          <w:sz w:val="21"/>
          <w:szCs w:val="21"/>
          <w:highlight w:val="none"/>
          <w:shd w:val="clear" w:color="auto" w:fill="auto"/>
          <w:lang w:val="en-US" w:eastAsia="zh-CN"/>
        </w:rPr>
        <w:t xml:space="preserve"> </w:t>
      </w:r>
      <w:r>
        <w:rPr>
          <w:rFonts w:hint="eastAsia" w:ascii="宋体" w:hAnsi="宋体" w:eastAsia="宋体" w:cs="宋体"/>
          <w:b/>
          <w:bCs/>
          <w:color w:val="auto"/>
          <w:sz w:val="21"/>
          <w:szCs w:val="21"/>
          <w:highlight w:val="none"/>
          <w:shd w:val="clear" w:color="auto" w:fill="auto"/>
        </w:rPr>
        <w:t>乙方违反国家及本合同有关廉洁规定的，甲方有权根据中国南方电网有限责任公司供应商不良行为处理有关规定进行处理，在中国南方电网有限责任公司范围内对乙方进行一定期限内取消中标（成交）资格、不得新签采购合同的处理，</w:t>
      </w:r>
      <w:r>
        <w:rPr>
          <w:rFonts w:hint="eastAsia" w:ascii="宋体" w:hAnsi="宋体" w:eastAsia="宋体" w:cs="宋体"/>
          <w:b/>
          <w:bCs/>
          <w:color w:val="auto"/>
          <w:sz w:val="21"/>
          <w:szCs w:val="21"/>
          <w:highlight w:val="none"/>
          <w:shd w:val="clear" w:color="auto" w:fill="auto"/>
          <w:lang w:val="en-US" w:eastAsia="zh-CN"/>
        </w:rPr>
        <w:t>并有权单方解除合同，因此造成的损失由乙方承担</w:t>
      </w:r>
      <w:r>
        <w:rPr>
          <w:rFonts w:hint="eastAsia" w:ascii="宋体" w:hAnsi="宋体" w:eastAsia="宋体" w:cs="宋体"/>
          <w:b/>
          <w:bCs/>
          <w:color w:val="auto"/>
          <w:sz w:val="21"/>
          <w:szCs w:val="21"/>
          <w:highlight w:val="none"/>
          <w:shd w:val="clear" w:color="auto" w:fill="auto"/>
        </w:rPr>
        <w:t>；涉嫌犯罪的，移送司法机关依法追究刑事责任。</w:t>
      </w:r>
    </w:p>
    <w:p w14:paraId="62EAC295">
      <w:pPr>
        <w:spacing w:line="540" w:lineRule="exact"/>
        <w:ind w:firstLine="420" w:firstLineChars="200"/>
        <w:rPr>
          <w:color w:val="auto"/>
          <w:szCs w:val="21"/>
          <w:highlight w:val="none"/>
          <w:shd w:val="clear" w:color="auto" w:fill="auto"/>
        </w:rPr>
      </w:pPr>
      <w:r>
        <w:rPr>
          <w:rFonts w:hint="default"/>
          <w:color w:val="auto"/>
          <w:szCs w:val="21"/>
          <w:highlight w:val="none"/>
          <w:shd w:val="clear" w:color="auto" w:fill="auto"/>
          <w:lang w:val="en-US"/>
        </w:rPr>
        <w:t>18.</w:t>
      </w:r>
      <w:r>
        <w:rPr>
          <w:rFonts w:hint="eastAsia"/>
          <w:color w:val="auto"/>
          <w:szCs w:val="21"/>
          <w:highlight w:val="none"/>
          <w:shd w:val="clear" w:color="auto" w:fill="auto"/>
        </w:rPr>
        <w:t>补充协议</w:t>
      </w:r>
    </w:p>
    <w:p w14:paraId="2075C5A0">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合同未尽事宜，双方另行签订补充协议（含工程洽商记录、会议纪要、工程变更、现场签证、索赔和合同价款调整报告等修正文件），补充协议是合同的组成部分。</w:t>
      </w:r>
    </w:p>
    <w:p w14:paraId="617050D4">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委托人、监理人的法定代表人或委托代理人在上述的日期签字并加盖公章，并将依法执行本合同。</w:t>
      </w:r>
    </w:p>
    <w:p w14:paraId="17258047">
      <w:pPr>
        <w:spacing w:line="540" w:lineRule="exact"/>
        <w:ind w:firstLine="420" w:firstLineChars="200"/>
        <w:rPr>
          <w:rFonts w:hAnsi="宋体"/>
          <w:color w:val="auto"/>
          <w:szCs w:val="21"/>
          <w:highlight w:val="none"/>
          <w:shd w:val="clear" w:color="auto" w:fill="auto"/>
        </w:rPr>
      </w:pPr>
      <w:r>
        <w:rPr>
          <w:rFonts w:hint="eastAsia" w:hAnsi="宋体"/>
          <w:color w:val="auto"/>
          <w:szCs w:val="21"/>
          <w:highlight w:val="none"/>
          <w:shd w:val="clear" w:color="auto" w:fill="auto"/>
        </w:rPr>
        <w:t>（本</w:t>
      </w:r>
      <w:r>
        <w:rPr>
          <w:rFonts w:hint="eastAsia" w:hAnsi="宋体"/>
          <w:color w:val="auto"/>
          <w:szCs w:val="21"/>
          <w:highlight w:val="none"/>
          <w:shd w:val="clear" w:color="auto" w:fill="auto"/>
          <w:lang w:val="en-US" w:eastAsia="zh-CN"/>
        </w:rPr>
        <w:t>节</w:t>
      </w:r>
      <w:r>
        <w:rPr>
          <w:rFonts w:hint="eastAsia" w:hAnsi="宋体"/>
          <w:color w:val="auto"/>
          <w:szCs w:val="21"/>
          <w:highlight w:val="none"/>
          <w:shd w:val="clear" w:color="auto" w:fill="auto"/>
        </w:rPr>
        <w:t>以下无正文）</w:t>
      </w:r>
      <w:r>
        <w:rPr>
          <w:rFonts w:hAnsi="宋体"/>
          <w:color w:val="auto"/>
          <w:szCs w:val="21"/>
          <w:highlight w:val="none"/>
          <w:shd w:val="clear" w:color="auto" w:fill="auto"/>
        </w:rPr>
        <w:br w:type="page"/>
      </w:r>
    </w:p>
    <w:p w14:paraId="61828241">
      <w:pPr>
        <w:keepNext w:val="0"/>
        <w:keepLines w:val="0"/>
        <w:pageBreakBefore w:val="0"/>
        <w:widowControl w:val="0"/>
        <w:kinsoku/>
        <w:wordWrap/>
        <w:overflowPunct/>
        <w:topLinePunct w:val="0"/>
        <w:autoSpaceDE/>
        <w:autoSpaceDN/>
        <w:bidi w:val="0"/>
        <w:adjustRightInd/>
        <w:snapToGrid/>
        <w:spacing w:line="540" w:lineRule="exact"/>
        <w:ind w:right="0" w:rightChars="0"/>
        <w:jc w:val="both"/>
        <w:textAlignment w:val="auto"/>
        <w:outlineLvl w:val="9"/>
        <w:rPr>
          <w:rFonts w:hint="eastAsia" w:asciiTheme="minorEastAsia" w:hAnsiTheme="minorEastAsia" w:cstheme="minorEastAsia"/>
          <w:color w:val="auto"/>
          <w:sz w:val="28"/>
          <w:szCs w:val="28"/>
          <w:highlight w:val="none"/>
          <w:shd w:val="clear" w:color="auto" w:fill="auto"/>
          <w:lang w:val="en-US" w:eastAsia="zh-CN"/>
        </w:rPr>
      </w:pPr>
      <w:bookmarkStart w:id="1" w:name="_Toc144974831"/>
      <w:bookmarkEnd w:id="1"/>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shd w:val="clear" w:color="auto" w:fill="auto"/>
          <w:lang w:val="en-US" w:eastAsia="zh-CN"/>
        </w:rPr>
        <w:t>本页为</w:t>
      </w:r>
      <w:sdt>
        <w:sdtPr>
          <w:rPr>
            <w:rFonts w:hint="eastAsia" w:asciiTheme="minorHAnsi" w:hAnsiTheme="minorHAnsi" w:eastAsiaTheme="minorEastAsia" w:cstheme="minorBidi"/>
            <w:color w:val="auto"/>
            <w:kern w:val="2"/>
            <w:sz w:val="28"/>
            <w:szCs w:val="36"/>
            <w:highlight w:val="none"/>
            <w:shd w:val="clear" w:color="auto" w:fill="auto"/>
            <w:lang w:val="en-US" w:eastAsia="zh-CN" w:bidi="ar-SA"/>
          </w:rPr>
          <w:alias w:val="合同名称应与系统界面保持一致。"/>
          <w:tag w:val="合同名称"/>
          <w:id w:val="875786068"/>
          <w:placeholder>
            <w:docPart w:val="{243d967b-6a05-4004-a58b-6b9111f55bc2}"/>
          </w:placeholder>
          <w:text w:multiLine="1"/>
        </w:sdtPr>
        <w:sdtEndPr>
          <w:rPr>
            <w:rFonts w:hint="eastAsia" w:asciiTheme="minorHAnsi" w:hAnsiTheme="minorHAnsi" w:eastAsiaTheme="minorEastAsia" w:cstheme="minorBidi"/>
            <w:color w:val="auto"/>
            <w:kern w:val="2"/>
            <w:sz w:val="28"/>
            <w:szCs w:val="36"/>
            <w:highlight w:val="none"/>
            <w:shd w:val="clear" w:color="auto" w:fill="auto"/>
            <w:lang w:val="en-US" w:eastAsia="zh-CN" w:bidi="ar-SA"/>
          </w:rPr>
        </w:sdtEndPr>
        <w:sdtContent>
          <w:permStart w:id="69" w:edGrp="everyone"/>
          <w:r>
            <w:rPr>
              <w:rFonts w:hint="eastAsia" w:cstheme="minorBidi"/>
              <w:color w:val="auto"/>
              <w:kern w:val="2"/>
              <w:sz w:val="28"/>
              <w:szCs w:val="36"/>
              <w:highlight w:val="none"/>
              <w:u w:val="single"/>
              <w:shd w:val="clear" w:color="auto" w:fill="auto"/>
              <w:lang w:val="en-US" w:eastAsia="zh-CN" w:bidi="ar-SA"/>
            </w:rPr>
            <w:t xml:space="preserve">           </w:t>
          </w:r>
          <w:permEnd w:id="69"/>
        </w:sdtContent>
      </w:sdt>
      <w:r>
        <w:rPr>
          <w:rFonts w:hint="eastAsia" w:ascii="宋体" w:hAnsi="宋体" w:cs="宋体"/>
          <w:color w:val="auto"/>
          <w:sz w:val="28"/>
          <w:szCs w:val="28"/>
          <w:highlight w:val="none"/>
          <w:u w:val="none"/>
          <w:shd w:val="clear" w:color="auto" w:fill="auto"/>
          <w:lang w:val="en-US" w:eastAsia="zh-CN"/>
        </w:rPr>
        <w:t>（合同编号：</w:t>
      </w:r>
      <w:sdt>
        <w:sdtPr>
          <w:rPr>
            <w:rFonts w:hint="eastAsia" w:asciiTheme="minorEastAsia" w:hAnsiTheme="minorEastAsia" w:eastAsiaTheme="minorEastAsia" w:cstheme="minorEastAsia"/>
            <w:color w:val="auto"/>
            <w:sz w:val="28"/>
            <w:szCs w:val="28"/>
            <w:highlight w:val="none"/>
            <w:u w:val="single"/>
            <w:shd w:val="clear" w:color="auto" w:fill="auto"/>
            <w:lang w:val="en-US" w:eastAsia="zh-CN"/>
          </w:rPr>
          <w:alias w:val="合同编号"/>
          <w:tag w:val="合同编号"/>
          <w:id w:val="276506916"/>
          <w:placeholder>
            <w:docPart w:val="{4fa90019-bc31-4c0c-872b-bab25e47d8f6}"/>
          </w:placeholder>
        </w:sdtPr>
        <w:sdtEndP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r>
        <w:rPr>
          <w:rFonts w:hint="eastAsia" w:ascii="宋体" w:hAnsi="宋体" w:cs="宋体"/>
          <w:color w:val="auto"/>
          <w:sz w:val="28"/>
          <w:szCs w:val="28"/>
          <w:highlight w:val="none"/>
          <w:u w:val="none"/>
          <w:shd w:val="clear" w:color="auto" w:fill="auto"/>
          <w:lang w:val="en-US" w:eastAsia="zh-CN"/>
        </w:rPr>
        <w:t>）签署页</w:t>
      </w:r>
      <w:r>
        <w:rPr>
          <w:rFonts w:hint="eastAsia" w:ascii="宋体" w:hAnsi="宋体" w:cs="宋体"/>
          <w:color w:val="auto"/>
          <w:sz w:val="28"/>
          <w:szCs w:val="28"/>
          <w:highlight w:val="none"/>
          <w:shd w:val="clear" w:color="auto" w:fill="auto"/>
          <w:lang w:eastAsia="zh-CN"/>
        </w:rPr>
        <w:t>】</w:t>
      </w:r>
    </w:p>
    <w:p w14:paraId="1F255021">
      <w:pPr>
        <w:keepNext w:val="0"/>
        <w:keepLines w:val="0"/>
        <w:pageBreakBefore w:val="0"/>
        <w:widowControl/>
        <w:kinsoku/>
        <w:wordWrap/>
        <w:overflowPunct/>
        <w:topLinePunct w:val="0"/>
        <w:bidi w:val="0"/>
        <w:adjustRightInd/>
        <w:snapToGrid/>
        <w:spacing w:line="540" w:lineRule="exact"/>
        <w:ind w:right="0" w:rightChars="0"/>
        <w:jc w:val="left"/>
        <w:rPr>
          <w:rFonts w:hint="eastAsia" w:asciiTheme="minorEastAsia" w:hAnsiTheme="minorEastAsia" w:eastAsiaTheme="minorEastAsia" w:cstheme="minorEastAsia"/>
          <w:color w:val="auto"/>
          <w:kern w:val="0"/>
          <w:sz w:val="28"/>
          <w:szCs w:val="28"/>
          <w:highlight w:val="none"/>
          <w:shd w:val="clear" w:color="auto" w:fill="auto"/>
          <w:lang w:eastAsia="zh-CN"/>
        </w:rPr>
      </w:pPr>
    </w:p>
    <w:p w14:paraId="224A8918">
      <w:pPr>
        <w:keepNext w:val="0"/>
        <w:keepLines w:val="0"/>
        <w:pageBreakBefore w:val="0"/>
        <w:widowControl/>
        <w:kinsoku/>
        <w:wordWrap/>
        <w:overflowPunct/>
        <w:topLinePunct w:val="0"/>
        <w:bidi w:val="0"/>
        <w:adjustRightInd/>
        <w:snapToGrid/>
        <w:spacing w:line="540" w:lineRule="exact"/>
        <w:ind w:left="0" w:leftChars="0" w:right="0" w:rightChars="0" w:firstLine="560" w:firstLineChars="200"/>
        <w:jc w:val="left"/>
        <w:rPr>
          <w:rFonts w:hint="eastAsia" w:ascii="Times New Roman" w:hAnsi="宋体" w:eastAsia="宋体" w:cs="Times New Roman"/>
          <w:color w:val="auto"/>
          <w:sz w:val="28"/>
          <w:szCs w:val="28"/>
          <w:highlight w:val="none"/>
          <w:shd w:val="clear" w:color="auto" w:fill="auto"/>
          <w:lang w:eastAsia="zh-CN"/>
        </w:rPr>
      </w:pPr>
    </w:p>
    <w:p w14:paraId="38DED212">
      <w:pPr>
        <w:keepNext w:val="0"/>
        <w:keepLines w:val="0"/>
        <w:pageBreakBefore w:val="0"/>
        <w:widowControl/>
        <w:kinsoku/>
        <w:wordWrap/>
        <w:overflowPunct/>
        <w:topLinePunct w:val="0"/>
        <w:bidi w:val="0"/>
        <w:adjustRightInd/>
        <w:snapToGrid/>
        <w:spacing w:line="540" w:lineRule="exact"/>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甲方（盖章）：</w:t>
      </w:r>
      <w:r>
        <w:rPr>
          <w:rFonts w:hint="eastAsia" w:asciiTheme="minorEastAsia" w:hAnsiTheme="minorEastAsia" w:eastAsiaTheme="minorEastAsia" w:cstheme="minorEastAsia"/>
          <w:b/>
          <w:bCs/>
          <w:color w:val="auto"/>
          <w:sz w:val="2"/>
          <w:szCs w:val="2"/>
          <w:highlight w:val="none"/>
          <w:shd w:val="clear" w:color="auto" w:fill="auto"/>
          <w:lang w:val="en-US" w:eastAsia="zh-CN"/>
        </w:rPr>
        <w:t>J</w:t>
      </w:r>
      <w:r>
        <w:rPr>
          <w:rFonts w:hint="eastAsia" w:asciiTheme="minorEastAsia" w:hAnsiTheme="minorEastAsia" w:eastAsiaTheme="minorEastAsia" w:cstheme="minorEastAsia"/>
          <w:color w:val="auto"/>
          <w:sz w:val="2"/>
          <w:szCs w:val="2"/>
          <w:highlight w:val="none"/>
          <w:u w:val="none" w:color="000000" w:themeColor="text1"/>
          <w:shd w:val="clear" w:color="auto" w:fill="auto"/>
          <w:lang w:val="en-US" w:eastAsia="zh-CN"/>
        </w:rPr>
        <w:t>F-FWZHTGZGZ</w:t>
      </w:r>
      <w:sdt>
        <w:sdtPr>
          <w:rPr>
            <w:rFonts w:hint="eastAsia" w:asciiTheme="minorEastAsia" w:hAnsiTheme="minorEastAsia" w:eastAsiaTheme="minorEastAsia" w:cstheme="minorEastAsia"/>
            <w:color w:val="auto"/>
            <w:kern w:val="0"/>
            <w:sz w:val="28"/>
            <w:szCs w:val="28"/>
            <w:highlight w:val="none"/>
            <w:shd w:val="clear" w:color="auto" w:fill="auto"/>
            <w:lang w:val="en-US" w:eastAsia="zh-CN" w:bidi="ar-SA"/>
          </w:rPr>
          <w:alias w:val="甲方当事人全称"/>
          <w:tag w:val="甲方当事人全称"/>
          <w:id w:val="147453709"/>
          <w:placeholder>
            <w:docPart w:val="{aef5c01a-b8d2-43c4-93f5-a32153557b64}"/>
          </w:placeholder>
          <w:text/>
        </w:sdtPr>
        <w:sdtEndPr>
          <w:rPr>
            <w:rFonts w:hint="eastAsia" w:asciiTheme="minorEastAsia" w:hAnsiTheme="minorEastAsia" w:eastAsiaTheme="minorEastAsia" w:cstheme="minorEastAsia"/>
            <w:color w:val="auto"/>
            <w:kern w:val="0"/>
            <w:sz w:val="28"/>
            <w:szCs w:val="28"/>
            <w:highlight w:val="none"/>
            <w:u w:val="single"/>
            <w:shd w:val="clear" w:color="auto" w:fill="auto"/>
            <w:lang w:val="en-US" w:eastAsia="zh-CN" w:bidi="ar-SA"/>
          </w:rPr>
        </w:sdtEndPr>
        <w:sdtContent>
          <w:permStart w:id="70"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70"/>
        </w:sdtContent>
      </w:sdt>
    </w:p>
    <w:p w14:paraId="6856321F">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法定代表人</w:t>
      </w:r>
      <w:r>
        <w:rPr>
          <w:rFonts w:hint="eastAsia" w:asciiTheme="minorEastAsia" w:hAnsiTheme="minorEastAsia"/>
          <w:color w:val="auto"/>
          <w:sz w:val="28"/>
          <w:szCs w:val="28"/>
          <w:highlight w:val="none"/>
          <w:shd w:val="clear" w:color="auto" w:fill="auto"/>
          <w:lang w:val="en-US" w:eastAsia="zh-CN"/>
        </w:rPr>
        <w:t>（负责人）</w:t>
      </w:r>
      <w:r>
        <w:rPr>
          <w:rFonts w:hint="eastAsia" w:asciiTheme="minorEastAsia" w:hAnsiTheme="minorEastAsia" w:eastAsiaTheme="minorEastAsia" w:cstheme="minorEastAsia"/>
          <w:color w:val="auto"/>
          <w:sz w:val="28"/>
          <w:szCs w:val="28"/>
          <w:highlight w:val="none"/>
          <w:shd w:val="clear" w:color="auto" w:fill="auto"/>
        </w:rPr>
        <w:t>或授权代表（签名）：</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
          <w:szCs w:val="2"/>
          <w:highlight w:val="none"/>
          <w:u w:val="none" w:color="000000" w:themeColor="text1"/>
          <w:shd w:val="clear" w:color="auto" w:fill="auto"/>
          <w:lang w:val="en-US" w:eastAsia="zh-CN"/>
        </w:rPr>
        <w:t>JF-FWZHTFRZGZ</w:t>
      </w:r>
    </w:p>
    <w:p w14:paraId="7F222EE9">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签订日期：</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rPr>
        <w:t>年</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rPr>
        <w:t>月</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rPr>
        <w:t>日</w:t>
      </w:r>
      <w:r>
        <w:rPr>
          <w:rFonts w:hint="eastAsia" w:asciiTheme="minorEastAsia" w:hAnsiTheme="minorEastAsia" w:eastAsiaTheme="minorEastAsia" w:cstheme="minorEastAsia"/>
          <w:color w:val="auto"/>
          <w:sz w:val="2"/>
          <w:szCs w:val="2"/>
          <w:highlight w:val="none"/>
          <w:u w:val="none" w:color="000000" w:themeColor="text1"/>
          <w:shd w:val="clear" w:color="auto" w:fill="auto"/>
          <w:lang w:val="en-US" w:eastAsia="zh-CN"/>
        </w:rPr>
        <w:t>JF-FWZHTSJZGZ</w:t>
      </w:r>
    </w:p>
    <w:p w14:paraId="755B1EBD">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highlight w:val="none"/>
          <w:shd w:val="clear" w:color="auto" w:fill="auto"/>
        </w:rPr>
      </w:pPr>
    </w:p>
    <w:p w14:paraId="065F7B50">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highlight w:val="none"/>
          <w:shd w:val="clear" w:color="auto" w:fill="auto"/>
        </w:rPr>
      </w:pPr>
    </w:p>
    <w:p w14:paraId="2C4B9671">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highlight w:val="none"/>
          <w:shd w:val="clear" w:color="auto" w:fill="auto"/>
        </w:rPr>
      </w:pPr>
    </w:p>
    <w:p w14:paraId="07537D8C">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乙方（盖章）：</w:t>
      </w:r>
      <w:r>
        <w:rPr>
          <w:rFonts w:hint="eastAsia" w:asciiTheme="minorEastAsia" w:hAnsiTheme="minorEastAsia" w:eastAsiaTheme="minorEastAsia" w:cstheme="minorEastAsia"/>
          <w:b/>
          <w:bCs/>
          <w:color w:val="auto"/>
          <w:sz w:val="2"/>
          <w:szCs w:val="2"/>
          <w:highlight w:val="none"/>
          <w:shd w:val="clear" w:color="auto" w:fill="auto"/>
          <w:lang w:val="en-US" w:eastAsia="zh-CN"/>
        </w:rPr>
        <w:t>Y</w:t>
      </w:r>
      <w:r>
        <w:rPr>
          <w:rFonts w:hint="eastAsia" w:asciiTheme="minorEastAsia" w:hAnsiTheme="minorEastAsia" w:eastAsiaTheme="minorEastAsia" w:cstheme="minorEastAsia"/>
          <w:color w:val="auto"/>
          <w:sz w:val="2"/>
          <w:szCs w:val="2"/>
          <w:highlight w:val="none"/>
          <w:u w:val="none" w:color="000000" w:themeColor="text1"/>
          <w:shd w:val="clear" w:color="auto" w:fill="auto"/>
          <w:lang w:val="en-US" w:eastAsia="zh-CN"/>
        </w:rPr>
        <w:t>F-FWZHTGZGZ</w:t>
      </w:r>
      <w:sdt>
        <w:sdtPr>
          <w:rPr>
            <w:rFonts w:hint="eastAsia" w:asciiTheme="minorEastAsia" w:hAnsiTheme="minorEastAsia" w:eastAsiaTheme="minorEastAsia" w:cstheme="minorEastAsia"/>
            <w:color w:val="auto"/>
            <w:kern w:val="0"/>
            <w:sz w:val="28"/>
            <w:szCs w:val="28"/>
            <w:highlight w:val="none"/>
            <w:shd w:val="clear" w:color="auto" w:fill="auto"/>
            <w:lang w:val="en-US" w:eastAsia="zh-CN" w:bidi="ar-SA"/>
          </w:rPr>
          <w:alias w:val="乙方当事人全称"/>
          <w:tag w:val="乙方当事人全称"/>
          <w:id w:val="147453643"/>
          <w:placeholder>
            <w:docPart w:val="{a1a3feff-916d-4f72-971b-aaf372f94c42}"/>
          </w:placeholder>
          <w:text/>
        </w:sdtPr>
        <w:sdtEndPr>
          <w:rPr>
            <w:rFonts w:hint="eastAsia" w:asciiTheme="minorEastAsia" w:hAnsiTheme="minorEastAsia" w:eastAsiaTheme="minorEastAsia" w:cstheme="minorEastAsia"/>
            <w:color w:val="auto"/>
            <w:kern w:val="0"/>
            <w:sz w:val="28"/>
            <w:szCs w:val="28"/>
            <w:highlight w:val="none"/>
            <w:u w:val="single"/>
            <w:shd w:val="clear" w:color="auto" w:fill="auto"/>
            <w:lang w:val="en-US" w:eastAsia="zh-CN" w:bidi="ar-SA"/>
          </w:rPr>
        </w:sdtEndPr>
        <w:sdtContent>
          <w:permStart w:id="71"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71"/>
        </w:sdtContent>
      </w:sdt>
    </w:p>
    <w:p w14:paraId="4A758C08">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法定代表人</w:t>
      </w:r>
      <w:r>
        <w:rPr>
          <w:rFonts w:hint="eastAsia" w:asciiTheme="minorEastAsia" w:hAnsiTheme="minorEastAsia"/>
          <w:color w:val="auto"/>
          <w:sz w:val="28"/>
          <w:szCs w:val="28"/>
          <w:highlight w:val="none"/>
          <w:shd w:val="clear" w:color="auto" w:fill="auto"/>
          <w:lang w:val="en-US" w:eastAsia="zh-CN"/>
        </w:rPr>
        <w:t>（负责人）</w:t>
      </w:r>
      <w:r>
        <w:rPr>
          <w:rFonts w:hint="eastAsia" w:asciiTheme="minorEastAsia" w:hAnsiTheme="minorEastAsia" w:eastAsiaTheme="minorEastAsia" w:cstheme="minorEastAsia"/>
          <w:color w:val="auto"/>
          <w:sz w:val="28"/>
          <w:szCs w:val="28"/>
          <w:highlight w:val="none"/>
          <w:shd w:val="clear" w:color="auto" w:fill="auto"/>
        </w:rPr>
        <w:t>或授权代表（签名）：</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
          <w:szCs w:val="2"/>
          <w:highlight w:val="none"/>
          <w:u w:val="none" w:color="000000" w:themeColor="text1"/>
          <w:shd w:val="clear" w:color="auto" w:fill="auto"/>
          <w:lang w:val="en-US" w:eastAsia="zh-CN"/>
        </w:rPr>
        <w:t>YF-FWZHTFRZGZ</w:t>
      </w:r>
    </w:p>
    <w:p w14:paraId="41B74370">
      <w:pPr>
        <w:keepNext w:val="0"/>
        <w:keepLines w:val="0"/>
        <w:pageBreakBefore w:val="0"/>
        <w:kinsoku/>
        <w:wordWrap/>
        <w:overflowPunct/>
        <w:topLinePunct w:val="0"/>
        <w:bidi w:val="0"/>
        <w:adjustRightInd/>
        <w:snapToGrid/>
        <w:spacing w:line="540" w:lineRule="exact"/>
        <w:ind w:left="0" w:leftChars="0" w:right="0" w:rightChars="0" w:firstLine="560" w:firstLineChars="200"/>
        <w:rPr>
          <w:rFonts w:hint="eastAsia" w:ascii="宋体" w:hAnsi="宋体"/>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签订日期：</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rPr>
        <w:t>年</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rPr>
        <w:t>月</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rPr>
        <w:t>日</w:t>
      </w:r>
      <w:r>
        <w:rPr>
          <w:rFonts w:hint="eastAsia" w:asciiTheme="minorEastAsia" w:hAnsiTheme="minorEastAsia" w:eastAsiaTheme="minorEastAsia" w:cstheme="minorEastAsia"/>
          <w:color w:val="auto"/>
          <w:sz w:val="2"/>
          <w:szCs w:val="2"/>
          <w:highlight w:val="none"/>
          <w:u w:val="none" w:color="000000" w:themeColor="text1"/>
          <w:shd w:val="clear" w:color="auto" w:fill="auto"/>
          <w:lang w:val="en-US" w:eastAsia="zh-CN"/>
        </w:rPr>
        <w:t>YF-FWZHTSJZGZ</w:t>
      </w:r>
    </w:p>
    <w:p w14:paraId="225A04A9">
      <w:pPr>
        <w:adjustRightInd w:val="0"/>
        <w:snapToGrid w:val="0"/>
        <w:spacing w:line="540" w:lineRule="exact"/>
        <w:ind w:firstLine="420" w:firstLineChars="200"/>
        <w:rPr>
          <w:color w:val="auto"/>
          <w:szCs w:val="21"/>
          <w:highlight w:val="none"/>
          <w:shd w:val="clear" w:color="auto" w:fill="auto"/>
        </w:rPr>
      </w:pPr>
      <w:r>
        <w:rPr>
          <w:color w:val="auto"/>
          <w:szCs w:val="21"/>
          <w:highlight w:val="none"/>
          <w:shd w:val="clear" w:color="auto" w:fill="auto"/>
        </w:rPr>
        <w:br w:type="page"/>
      </w:r>
    </w:p>
    <w:p w14:paraId="157D3638">
      <w:pPr>
        <w:pStyle w:val="4"/>
        <w:spacing w:line="540" w:lineRule="exact"/>
        <w:jc w:val="center"/>
        <w:rPr>
          <w:rFonts w:ascii="Times New Roman" w:hAnsi="Times New Roman"/>
          <w:color w:val="auto"/>
          <w:sz w:val="36"/>
          <w:szCs w:val="36"/>
          <w:highlight w:val="none"/>
          <w:shd w:val="clear" w:color="auto" w:fill="auto"/>
        </w:rPr>
      </w:pPr>
      <w:r>
        <w:rPr>
          <w:rFonts w:hint="eastAsia"/>
          <w:color w:val="auto"/>
          <w:sz w:val="36"/>
          <w:szCs w:val="36"/>
          <w:highlight w:val="none"/>
          <w:shd w:val="clear" w:color="auto" w:fill="auto"/>
          <w:lang w:val="en-US" w:eastAsia="zh-CN"/>
        </w:rPr>
        <w:t xml:space="preserve">第二节 </w:t>
      </w:r>
      <w:r>
        <w:rPr>
          <w:rFonts w:hint="eastAsia" w:ascii="Times New Roman" w:hAnsi="Times New Roman"/>
          <w:color w:val="auto"/>
          <w:sz w:val="36"/>
          <w:szCs w:val="36"/>
          <w:highlight w:val="none"/>
          <w:shd w:val="clear" w:color="auto" w:fill="auto"/>
        </w:rPr>
        <w:t>通用合同条款</w:t>
      </w:r>
      <w:bookmarkEnd w:id="0"/>
    </w:p>
    <w:p w14:paraId="4B526690">
      <w:pPr>
        <w:pStyle w:val="5"/>
        <w:spacing w:line="540" w:lineRule="exact"/>
        <w:ind w:firstLine="105"/>
        <w:rPr>
          <w:rFonts w:ascii="Times New Roman" w:hAnsi="Times New Roman"/>
          <w:color w:val="auto"/>
          <w:highlight w:val="none"/>
          <w:shd w:val="clear" w:color="auto" w:fill="auto"/>
        </w:rPr>
      </w:pPr>
      <w:bookmarkStart w:id="2" w:name="_Toc482188546"/>
      <w:bookmarkStart w:id="3" w:name="_Toc31198"/>
      <w:r>
        <w:rPr>
          <w:rFonts w:ascii="Times New Roman" w:hAnsi="Times New Roman"/>
          <w:color w:val="auto"/>
          <w:highlight w:val="none"/>
          <w:shd w:val="clear" w:color="auto" w:fill="auto"/>
        </w:rPr>
        <w:t xml:space="preserve">1. </w:t>
      </w:r>
      <w:r>
        <w:rPr>
          <w:rFonts w:hint="eastAsia" w:ascii="Times New Roman" w:hAnsi="Times New Roman"/>
          <w:color w:val="auto"/>
          <w:highlight w:val="none"/>
          <w:shd w:val="clear" w:color="auto" w:fill="auto"/>
        </w:rPr>
        <w:t>一般约定</w:t>
      </w:r>
      <w:bookmarkEnd w:id="2"/>
      <w:bookmarkEnd w:id="3"/>
    </w:p>
    <w:p w14:paraId="1FAC61B6">
      <w:pPr>
        <w:pStyle w:val="6"/>
        <w:spacing w:line="540" w:lineRule="exact"/>
        <w:ind w:firstLine="137"/>
        <w:rPr>
          <w:rFonts w:ascii="Times New Roman"/>
          <w:color w:val="auto"/>
          <w:highlight w:val="none"/>
          <w:shd w:val="clear" w:color="auto" w:fill="auto"/>
        </w:rPr>
      </w:pPr>
      <w:bookmarkStart w:id="4" w:name="_Toc482188547"/>
      <w:bookmarkStart w:id="5" w:name="_Toc5248"/>
      <w:r>
        <w:rPr>
          <w:rFonts w:ascii="Times New Roman"/>
          <w:color w:val="auto"/>
          <w:highlight w:val="none"/>
          <w:shd w:val="clear" w:color="auto" w:fill="auto"/>
        </w:rPr>
        <w:t xml:space="preserve">1.1 </w:t>
      </w:r>
      <w:r>
        <w:rPr>
          <w:rFonts w:hint="eastAsia" w:ascii="Times New Roman"/>
          <w:color w:val="auto"/>
          <w:highlight w:val="none"/>
          <w:shd w:val="clear" w:color="auto" w:fill="auto"/>
        </w:rPr>
        <w:t>词语定义</w:t>
      </w:r>
      <w:bookmarkEnd w:id="4"/>
      <w:bookmarkEnd w:id="5"/>
    </w:p>
    <w:p w14:paraId="0138E326">
      <w:pPr>
        <w:spacing w:line="540" w:lineRule="exact"/>
        <w:ind w:firstLine="420" w:firstLineChars="200"/>
        <w:rPr>
          <w:color w:val="auto"/>
          <w:szCs w:val="21"/>
          <w:highlight w:val="none"/>
          <w:shd w:val="clear" w:color="auto" w:fill="auto"/>
        </w:rPr>
      </w:pPr>
      <w:r>
        <w:rPr>
          <w:color w:val="auto"/>
          <w:szCs w:val="21"/>
          <w:highlight w:val="none"/>
          <w:shd w:val="clear" w:color="auto" w:fill="auto"/>
        </w:rPr>
        <w:t>通用合同条款、专用合同条款中的下列词语应具有本款所赋予的含义。</w:t>
      </w:r>
    </w:p>
    <w:p w14:paraId="7D7BE1D5">
      <w:pPr>
        <w:spacing w:line="540" w:lineRule="exact"/>
        <w:ind w:firstLine="413" w:firstLineChars="196"/>
        <w:rPr>
          <w:b/>
          <w:color w:val="auto"/>
          <w:highlight w:val="none"/>
          <w:shd w:val="clear" w:color="auto" w:fill="auto"/>
        </w:rPr>
      </w:pPr>
      <w:r>
        <w:rPr>
          <w:b/>
          <w:color w:val="auto"/>
          <w:highlight w:val="none"/>
          <w:shd w:val="clear" w:color="auto" w:fill="auto"/>
        </w:rPr>
        <w:t>1.1.1 合同</w:t>
      </w:r>
    </w:p>
    <w:p w14:paraId="5CD4DD9D">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1.1.1.1 合同文件（或称合同）：指合同协议书、中标通知书、投标函和投标函附录、专用合同条款、通用合同条款、委托人要求、监理报酬清单、监理大纲，以及其他构成合同组成部分的文件。 </w:t>
      </w:r>
    </w:p>
    <w:p w14:paraId="2030BC98">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1.1.1.2 合同协议书：指委托人和监理人共同签署的合同协议书。 </w:t>
      </w:r>
    </w:p>
    <w:p w14:paraId="29A7F2B8">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1.1.1.3 中标通知书：指委托人通知监理人中标的函件。 </w:t>
      </w:r>
    </w:p>
    <w:p w14:paraId="1528404A">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1.1.1.4 投标函：指由监理人填写并签署的，名为“投标函”的函件。 </w:t>
      </w:r>
    </w:p>
    <w:p w14:paraId="4DD8E69B">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1.1.1.5 投标函附录：指由监理人填写并签署的、附在投标函后，名为“投标函附录”的函件。 </w:t>
      </w:r>
    </w:p>
    <w:p w14:paraId="42B3313B">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1.1.1.6 委托人要求：指合同文件中名为“委托人要求”的文件。 </w:t>
      </w:r>
    </w:p>
    <w:p w14:paraId="667D52C5">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1.1.1.7 监理大纲：指监理人在投标文件中的监理大纲。 </w:t>
      </w:r>
    </w:p>
    <w:p w14:paraId="7AC3D12E">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1.1.1.8 监理报酬清单：指监理人投标文件中的监理报酬清单。 </w:t>
      </w:r>
    </w:p>
    <w:p w14:paraId="1C5514FB">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1.1.1.9 其他合同文件：指经合同双方当事人确认构成合同文件的其他文件。</w:t>
      </w:r>
    </w:p>
    <w:p w14:paraId="7BDF7481">
      <w:pPr>
        <w:spacing w:line="540" w:lineRule="exact"/>
        <w:ind w:firstLine="413" w:firstLineChars="196"/>
        <w:rPr>
          <w:b/>
          <w:color w:val="auto"/>
          <w:highlight w:val="none"/>
          <w:shd w:val="clear" w:color="auto" w:fill="auto"/>
        </w:rPr>
      </w:pPr>
      <w:r>
        <w:rPr>
          <w:b/>
          <w:color w:val="auto"/>
          <w:highlight w:val="none"/>
          <w:shd w:val="clear" w:color="auto" w:fill="auto"/>
        </w:rPr>
        <w:t>1.1.2 合同当事人和人员</w:t>
      </w:r>
    </w:p>
    <w:p w14:paraId="013CE3A2">
      <w:pPr>
        <w:spacing w:line="540" w:lineRule="exact"/>
        <w:ind w:firstLine="420" w:firstLineChars="200"/>
        <w:rPr>
          <w:color w:val="auto"/>
          <w:szCs w:val="21"/>
          <w:highlight w:val="none"/>
          <w:shd w:val="clear" w:color="auto" w:fill="auto"/>
        </w:rPr>
      </w:pPr>
      <w:r>
        <w:rPr>
          <w:color w:val="auto"/>
          <w:szCs w:val="21"/>
          <w:highlight w:val="none"/>
          <w:shd w:val="clear" w:color="auto" w:fill="auto"/>
        </w:rPr>
        <w:t>1.1.2.1 合同当事人：指委托人和（或）</w:t>
      </w:r>
      <w:r>
        <w:rPr>
          <w:rFonts w:hint="eastAsia"/>
          <w:color w:val="auto"/>
          <w:szCs w:val="21"/>
          <w:highlight w:val="none"/>
          <w:shd w:val="clear" w:color="auto" w:fill="auto"/>
        </w:rPr>
        <w:t>监理</w:t>
      </w:r>
      <w:r>
        <w:rPr>
          <w:color w:val="auto"/>
          <w:szCs w:val="21"/>
          <w:highlight w:val="none"/>
          <w:shd w:val="clear" w:color="auto" w:fill="auto"/>
        </w:rPr>
        <w:t>人。</w:t>
      </w:r>
    </w:p>
    <w:p w14:paraId="1D0B844E">
      <w:pPr>
        <w:spacing w:line="540" w:lineRule="exact"/>
        <w:ind w:firstLine="420" w:firstLineChars="200"/>
        <w:rPr>
          <w:color w:val="auto"/>
          <w:szCs w:val="21"/>
          <w:highlight w:val="none"/>
          <w:shd w:val="clear" w:color="auto" w:fill="auto"/>
        </w:rPr>
      </w:pPr>
      <w:r>
        <w:rPr>
          <w:color w:val="auto"/>
          <w:szCs w:val="21"/>
          <w:highlight w:val="none"/>
          <w:shd w:val="clear" w:color="auto" w:fill="auto"/>
        </w:rPr>
        <w:t>1.1.2.2 委托人：指与</w:t>
      </w:r>
      <w:r>
        <w:rPr>
          <w:rFonts w:hint="eastAsia"/>
          <w:color w:val="auto"/>
          <w:szCs w:val="21"/>
          <w:highlight w:val="none"/>
          <w:shd w:val="clear" w:color="auto" w:fill="auto"/>
        </w:rPr>
        <w:t>监理</w:t>
      </w:r>
      <w:r>
        <w:rPr>
          <w:color w:val="auto"/>
          <w:szCs w:val="21"/>
          <w:highlight w:val="none"/>
          <w:shd w:val="clear" w:color="auto" w:fill="auto"/>
        </w:rPr>
        <w:t>人签订合同协议书的当事人</w:t>
      </w:r>
      <w:r>
        <w:rPr>
          <w:color w:val="auto"/>
          <w:kern w:val="0"/>
          <w:szCs w:val="21"/>
          <w:highlight w:val="none"/>
          <w:shd w:val="clear" w:color="auto" w:fill="auto"/>
        </w:rPr>
        <w:t>，及其</w:t>
      </w:r>
      <w:r>
        <w:rPr>
          <w:color w:val="auto"/>
          <w:kern w:val="0"/>
          <w:szCs w:val="24"/>
          <w:highlight w:val="none"/>
          <w:shd w:val="clear" w:color="auto" w:fill="auto"/>
        </w:rPr>
        <w:t>合法继承人</w:t>
      </w:r>
      <w:r>
        <w:rPr>
          <w:color w:val="auto"/>
          <w:szCs w:val="21"/>
          <w:highlight w:val="none"/>
          <w:shd w:val="clear" w:color="auto" w:fill="auto"/>
        </w:rPr>
        <w:t>。</w:t>
      </w:r>
    </w:p>
    <w:p w14:paraId="071594AC">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1.1.2.3 </w:t>
      </w:r>
      <w:r>
        <w:rPr>
          <w:rFonts w:hint="eastAsia"/>
          <w:color w:val="auto"/>
          <w:szCs w:val="21"/>
          <w:highlight w:val="none"/>
          <w:shd w:val="clear" w:color="auto" w:fill="auto"/>
        </w:rPr>
        <w:t>监理</w:t>
      </w:r>
      <w:r>
        <w:rPr>
          <w:color w:val="auto"/>
          <w:szCs w:val="21"/>
          <w:highlight w:val="none"/>
          <w:shd w:val="clear" w:color="auto" w:fill="auto"/>
        </w:rPr>
        <w:t>人：指与委托人签订合同协议书的当事人</w:t>
      </w:r>
      <w:r>
        <w:rPr>
          <w:color w:val="auto"/>
          <w:kern w:val="0"/>
          <w:szCs w:val="21"/>
          <w:highlight w:val="none"/>
          <w:shd w:val="clear" w:color="auto" w:fill="auto"/>
        </w:rPr>
        <w:t>，及其</w:t>
      </w:r>
      <w:r>
        <w:rPr>
          <w:color w:val="auto"/>
          <w:kern w:val="0"/>
          <w:szCs w:val="24"/>
          <w:highlight w:val="none"/>
          <w:shd w:val="clear" w:color="auto" w:fill="auto"/>
        </w:rPr>
        <w:t>合法继承人</w:t>
      </w:r>
      <w:r>
        <w:rPr>
          <w:color w:val="auto"/>
          <w:szCs w:val="21"/>
          <w:highlight w:val="none"/>
          <w:shd w:val="clear" w:color="auto" w:fill="auto"/>
        </w:rPr>
        <w:t>。</w:t>
      </w:r>
    </w:p>
    <w:p w14:paraId="5A15040E">
      <w:pPr>
        <w:spacing w:line="540" w:lineRule="exact"/>
        <w:ind w:firstLine="420" w:firstLineChars="200"/>
        <w:rPr>
          <w:color w:val="auto"/>
          <w:szCs w:val="21"/>
          <w:highlight w:val="none"/>
          <w:shd w:val="clear" w:color="auto" w:fill="auto"/>
        </w:rPr>
      </w:pPr>
      <w:r>
        <w:rPr>
          <w:color w:val="auto"/>
          <w:szCs w:val="21"/>
          <w:highlight w:val="none"/>
          <w:shd w:val="clear" w:color="auto" w:fill="auto"/>
        </w:rPr>
        <w:t>1.1.2.4 委托人代表：指由委托人任命，并在授权范围和期限内代表委托人行使权利和履行义务的全权负责人。</w:t>
      </w:r>
    </w:p>
    <w:p w14:paraId="69B91AA5">
      <w:pPr>
        <w:spacing w:line="540" w:lineRule="exact"/>
        <w:ind w:firstLine="420" w:firstLineChars="200"/>
        <w:rPr>
          <w:color w:val="auto"/>
          <w:szCs w:val="21"/>
          <w:highlight w:val="none"/>
          <w:shd w:val="clear" w:color="auto" w:fill="auto"/>
        </w:rPr>
      </w:pPr>
      <w:r>
        <w:rPr>
          <w:color w:val="auto"/>
          <w:szCs w:val="21"/>
          <w:highlight w:val="none"/>
          <w:shd w:val="clear" w:color="auto" w:fill="auto"/>
        </w:rPr>
        <w:t>1.1.2.5 总监理工程师：指由</w:t>
      </w:r>
      <w:r>
        <w:rPr>
          <w:rFonts w:hint="eastAsia"/>
          <w:color w:val="auto"/>
          <w:szCs w:val="21"/>
          <w:highlight w:val="none"/>
          <w:shd w:val="clear" w:color="auto" w:fill="auto"/>
        </w:rPr>
        <w:t>监理</w:t>
      </w:r>
      <w:r>
        <w:rPr>
          <w:color w:val="auto"/>
          <w:szCs w:val="21"/>
          <w:highlight w:val="none"/>
          <w:shd w:val="clear" w:color="auto" w:fill="auto"/>
        </w:rPr>
        <w:t>人任命，代表</w:t>
      </w:r>
      <w:r>
        <w:rPr>
          <w:rFonts w:hint="eastAsia"/>
          <w:color w:val="auto"/>
          <w:szCs w:val="21"/>
          <w:highlight w:val="none"/>
          <w:shd w:val="clear" w:color="auto" w:fill="auto"/>
        </w:rPr>
        <w:t>监理</w:t>
      </w:r>
      <w:r>
        <w:rPr>
          <w:color w:val="auto"/>
          <w:szCs w:val="21"/>
          <w:highlight w:val="none"/>
          <w:shd w:val="clear" w:color="auto" w:fill="auto"/>
        </w:rPr>
        <w:t>人行使权利和履行义务的全权负责人。</w:t>
      </w:r>
    </w:p>
    <w:p w14:paraId="063BD2DE">
      <w:pPr>
        <w:spacing w:line="540" w:lineRule="exact"/>
        <w:ind w:firstLine="411" w:firstLineChars="196"/>
        <w:rPr>
          <w:color w:val="auto"/>
          <w:szCs w:val="21"/>
          <w:highlight w:val="none"/>
          <w:shd w:val="clear" w:color="auto" w:fill="auto"/>
        </w:rPr>
      </w:pPr>
      <w:r>
        <w:rPr>
          <w:rFonts w:hint="eastAsia"/>
          <w:color w:val="auto"/>
          <w:szCs w:val="21"/>
          <w:highlight w:val="none"/>
          <w:shd w:val="clear" w:color="auto" w:fill="auto"/>
        </w:rPr>
        <w:t>1.1.2.6 承包人：指在本工程监理范围内，与委托人签订勘察、设计、施工承包合同的当事人。</w:t>
      </w:r>
    </w:p>
    <w:p w14:paraId="68A02758">
      <w:pPr>
        <w:spacing w:line="540" w:lineRule="exact"/>
        <w:ind w:firstLine="413" w:firstLineChars="196"/>
        <w:rPr>
          <w:b/>
          <w:color w:val="auto"/>
          <w:highlight w:val="none"/>
          <w:shd w:val="clear" w:color="auto" w:fill="auto"/>
        </w:rPr>
      </w:pPr>
      <w:r>
        <w:rPr>
          <w:b/>
          <w:color w:val="auto"/>
          <w:highlight w:val="none"/>
          <w:shd w:val="clear" w:color="auto" w:fill="auto"/>
        </w:rPr>
        <w:t>1.1.3 工程和</w:t>
      </w:r>
      <w:r>
        <w:rPr>
          <w:rFonts w:hint="eastAsia"/>
          <w:b/>
          <w:bCs/>
          <w:color w:val="auto"/>
          <w:szCs w:val="21"/>
          <w:highlight w:val="none"/>
          <w:shd w:val="clear" w:color="auto" w:fill="auto"/>
        </w:rPr>
        <w:t>监理</w:t>
      </w:r>
    </w:p>
    <w:p w14:paraId="4BD70E5B">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1.1.3.1 工程：指永久工程和（或）临时工程。 </w:t>
      </w:r>
    </w:p>
    <w:p w14:paraId="3FC09477">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1.1.3.2 监理服务：指监理人接受委托人的委托，依照法律、规范标准和监理合同等，对建设工程勘察、设计或施工等阶段进行质量控制、进度控制、投资控制、合同管理、信息管理、组织协调和安全监理、环保监理的服务活动。 </w:t>
      </w:r>
    </w:p>
    <w:p w14:paraId="26667AF7">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1.1.3.3 监理资料：是委托人按合同约定向监理人提供的，用于完成监理范围与内容所需要的资料。 </w:t>
      </w:r>
    </w:p>
    <w:p w14:paraId="74390379">
      <w:pPr>
        <w:spacing w:line="540" w:lineRule="exact"/>
        <w:ind w:firstLine="420" w:firstLineChars="200"/>
        <w:rPr>
          <w:color w:val="auto"/>
          <w:highlight w:val="none"/>
          <w:shd w:val="clear" w:color="auto" w:fill="auto"/>
        </w:rPr>
      </w:pPr>
      <w:r>
        <w:rPr>
          <w:color w:val="auto"/>
          <w:szCs w:val="21"/>
          <w:highlight w:val="none"/>
          <w:shd w:val="clear" w:color="auto" w:fill="auto"/>
        </w:rPr>
        <w:t>1.1.3.4 监理文件：指监理人按合同约定向委托人提交的监理大纲、监理规划、监理实施细则、监理日志、监理报告、工程质量评估报告、事故处理文件、监理工作总结和其他文件等，包括阶段性文件和最终文件，且应当采用合同中双方约定的格式和载体。</w:t>
      </w:r>
    </w:p>
    <w:p w14:paraId="16C59FD4">
      <w:pPr>
        <w:spacing w:line="540" w:lineRule="exact"/>
        <w:ind w:firstLine="413" w:firstLineChars="196"/>
        <w:rPr>
          <w:b/>
          <w:color w:val="auto"/>
          <w:highlight w:val="none"/>
          <w:shd w:val="clear" w:color="auto" w:fill="auto"/>
        </w:rPr>
      </w:pPr>
      <w:r>
        <w:rPr>
          <w:b/>
          <w:color w:val="auto"/>
          <w:highlight w:val="none"/>
          <w:shd w:val="clear" w:color="auto" w:fill="auto"/>
        </w:rPr>
        <w:t>1.1.4 日期</w:t>
      </w:r>
    </w:p>
    <w:p w14:paraId="582F8DFD">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1.1.4.1 开始监理通知：指委托人按第 6.1 款通知监理人开始监理的函件。 </w:t>
      </w:r>
    </w:p>
    <w:p w14:paraId="450184FA">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1.1.4.2 开始监理日期：指委托人按第 6.1 款发出的开始监理通知中写明的开始监理日期。 </w:t>
      </w:r>
    </w:p>
    <w:p w14:paraId="7930AAB1">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1.1.4.3 监理服务期限：指监理人在投标函中承诺的完成合同监理服务所需的期限，包括按第 6.2 款和第 6.3.2 项约定所作的调整。 </w:t>
      </w:r>
    </w:p>
    <w:p w14:paraId="6DE32207">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1.1.4.4 完成监理日期：指第 1.1.4.3 目约定监理服务期限届满时的日期。 </w:t>
      </w:r>
    </w:p>
    <w:p w14:paraId="29C5E930">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1.1.4.5 基准日：指投标截止时间前 28 天的日期。 </w:t>
      </w:r>
    </w:p>
    <w:p w14:paraId="1F189818">
      <w:pPr>
        <w:spacing w:line="540" w:lineRule="exact"/>
        <w:ind w:firstLine="420" w:firstLineChars="200"/>
        <w:rPr>
          <w:color w:val="auto"/>
          <w:szCs w:val="21"/>
          <w:highlight w:val="none"/>
          <w:shd w:val="clear" w:color="auto" w:fill="auto"/>
        </w:rPr>
      </w:pPr>
      <w:r>
        <w:rPr>
          <w:color w:val="auto"/>
          <w:szCs w:val="21"/>
          <w:highlight w:val="none"/>
          <w:shd w:val="clear" w:color="auto" w:fill="auto"/>
        </w:rPr>
        <w:t>1.1.4.6 天：除特别指明外，指日历天。合同中按天计算时间的，开始当天不计入，从次日开始计算。期限最后一天的截止时间为当天 24:00。</w:t>
      </w:r>
    </w:p>
    <w:p w14:paraId="794E7DF0">
      <w:pPr>
        <w:spacing w:line="540" w:lineRule="exact"/>
        <w:ind w:firstLine="413" w:firstLineChars="196"/>
        <w:rPr>
          <w:b/>
          <w:color w:val="auto"/>
          <w:highlight w:val="none"/>
          <w:shd w:val="clear" w:color="auto" w:fill="auto"/>
        </w:rPr>
      </w:pPr>
      <w:r>
        <w:rPr>
          <w:b/>
          <w:color w:val="auto"/>
          <w:highlight w:val="none"/>
          <w:shd w:val="clear" w:color="auto" w:fill="auto"/>
        </w:rPr>
        <w:t>1.1.5 合同价格和费用</w:t>
      </w:r>
    </w:p>
    <w:p w14:paraId="524E717C">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1.1.5.1 签约合同价：指签订合同时合同协议书中写明的监理报酬总金额。 </w:t>
      </w:r>
    </w:p>
    <w:p w14:paraId="563FC63C">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1.1.5.2 合同价格：指监理人按合同约定完成了全部监理工作后，委托人应付给监理人的金额，包括在履行合同过程中按合同约定进行的变更和调整。 </w:t>
      </w:r>
    </w:p>
    <w:p w14:paraId="0AFBD3FA">
      <w:pPr>
        <w:spacing w:line="540" w:lineRule="exact"/>
        <w:ind w:firstLine="420" w:firstLineChars="200"/>
        <w:rPr>
          <w:color w:val="auto"/>
          <w:szCs w:val="21"/>
          <w:highlight w:val="none"/>
          <w:shd w:val="clear" w:color="auto" w:fill="auto"/>
        </w:rPr>
      </w:pPr>
      <w:r>
        <w:rPr>
          <w:color w:val="auto"/>
          <w:szCs w:val="21"/>
          <w:highlight w:val="none"/>
          <w:shd w:val="clear" w:color="auto" w:fill="auto"/>
        </w:rPr>
        <w:t>1.1.5.3 费用：指为履行合同所发生的或将要发生的所有合理开支，包括管理费和应分摊的其他费用，但不包括利润。</w:t>
      </w:r>
    </w:p>
    <w:p w14:paraId="57A8D52F">
      <w:pPr>
        <w:spacing w:line="540" w:lineRule="exact"/>
        <w:ind w:firstLine="413" w:firstLineChars="196"/>
        <w:rPr>
          <w:b/>
          <w:color w:val="auto"/>
          <w:highlight w:val="none"/>
          <w:shd w:val="clear" w:color="auto" w:fill="auto"/>
        </w:rPr>
      </w:pPr>
      <w:r>
        <w:rPr>
          <w:b/>
          <w:color w:val="auto"/>
          <w:highlight w:val="none"/>
          <w:shd w:val="clear" w:color="auto" w:fill="auto"/>
        </w:rPr>
        <w:t>1.1.6 其他</w:t>
      </w:r>
    </w:p>
    <w:p w14:paraId="11537FC0">
      <w:pPr>
        <w:spacing w:line="540" w:lineRule="exact"/>
        <w:ind w:firstLine="420" w:firstLineChars="200"/>
        <w:rPr>
          <w:color w:val="auto"/>
          <w:szCs w:val="21"/>
          <w:highlight w:val="none"/>
          <w:shd w:val="clear" w:color="auto" w:fill="auto"/>
        </w:rPr>
      </w:pPr>
      <w:r>
        <w:rPr>
          <w:color w:val="auto"/>
          <w:szCs w:val="21"/>
          <w:highlight w:val="none"/>
          <w:shd w:val="clear" w:color="auto" w:fill="auto"/>
        </w:rPr>
        <w:t>1.1.6.1 书面形式：指合同文件、信件和数据电文（包括电报、电传、传真、电子数据交换和电子邮件）等可以有形地表现所载内容的形式。</w:t>
      </w:r>
    </w:p>
    <w:p w14:paraId="569D4B9E">
      <w:pPr>
        <w:pStyle w:val="6"/>
        <w:spacing w:line="540" w:lineRule="exact"/>
        <w:ind w:firstLine="137"/>
        <w:rPr>
          <w:rFonts w:ascii="Times New Roman"/>
          <w:color w:val="auto"/>
          <w:highlight w:val="none"/>
          <w:shd w:val="clear" w:color="auto" w:fill="auto"/>
        </w:rPr>
      </w:pPr>
      <w:bookmarkStart w:id="6" w:name="_Toc482188548"/>
      <w:bookmarkStart w:id="7" w:name="_Toc31818"/>
      <w:r>
        <w:rPr>
          <w:rFonts w:ascii="Times New Roman"/>
          <w:color w:val="auto"/>
          <w:highlight w:val="none"/>
          <w:shd w:val="clear" w:color="auto" w:fill="auto"/>
        </w:rPr>
        <w:t xml:space="preserve">1.2 </w:t>
      </w:r>
      <w:r>
        <w:rPr>
          <w:rFonts w:hint="eastAsia" w:ascii="Times New Roman"/>
          <w:color w:val="auto"/>
          <w:highlight w:val="none"/>
          <w:shd w:val="clear" w:color="auto" w:fill="auto"/>
        </w:rPr>
        <w:t>语言文字</w:t>
      </w:r>
      <w:bookmarkEnd w:id="6"/>
      <w:bookmarkEnd w:id="7"/>
    </w:p>
    <w:p w14:paraId="38C711DE">
      <w:pPr>
        <w:spacing w:line="540" w:lineRule="exact"/>
        <w:ind w:firstLine="420" w:firstLineChars="200"/>
        <w:rPr>
          <w:color w:val="auto"/>
          <w:szCs w:val="21"/>
          <w:highlight w:val="none"/>
          <w:shd w:val="clear" w:color="auto" w:fill="auto"/>
        </w:rPr>
      </w:pPr>
      <w:r>
        <w:rPr>
          <w:color w:val="auto"/>
          <w:szCs w:val="21"/>
          <w:highlight w:val="none"/>
          <w:shd w:val="clear" w:color="auto" w:fill="auto"/>
        </w:rPr>
        <w:t>合同使用的语言文字为中文。专用术语使用外文的，应附有中文注释。</w:t>
      </w:r>
    </w:p>
    <w:p w14:paraId="6D5C36CB">
      <w:pPr>
        <w:pStyle w:val="6"/>
        <w:spacing w:line="540" w:lineRule="exact"/>
        <w:ind w:firstLine="137"/>
        <w:rPr>
          <w:rFonts w:ascii="Times New Roman"/>
          <w:color w:val="auto"/>
          <w:highlight w:val="none"/>
          <w:shd w:val="clear" w:color="auto" w:fill="auto"/>
        </w:rPr>
      </w:pPr>
      <w:bookmarkStart w:id="8" w:name="_Toc17355"/>
      <w:bookmarkStart w:id="9" w:name="_Toc482188549"/>
      <w:r>
        <w:rPr>
          <w:rFonts w:ascii="Times New Roman"/>
          <w:color w:val="auto"/>
          <w:highlight w:val="none"/>
          <w:shd w:val="clear" w:color="auto" w:fill="auto"/>
        </w:rPr>
        <w:t xml:space="preserve">1.3 </w:t>
      </w:r>
      <w:r>
        <w:rPr>
          <w:rFonts w:hint="eastAsia" w:ascii="Times New Roman"/>
          <w:color w:val="auto"/>
          <w:highlight w:val="none"/>
          <w:shd w:val="clear" w:color="auto" w:fill="auto"/>
        </w:rPr>
        <w:t>适用法律</w:t>
      </w:r>
      <w:bookmarkEnd w:id="8"/>
      <w:bookmarkEnd w:id="9"/>
    </w:p>
    <w:p w14:paraId="142292BD">
      <w:pPr>
        <w:spacing w:line="540" w:lineRule="exact"/>
        <w:ind w:firstLine="420" w:firstLineChars="200"/>
        <w:rPr>
          <w:color w:val="auto"/>
          <w:szCs w:val="21"/>
          <w:highlight w:val="none"/>
          <w:shd w:val="clear" w:color="auto" w:fill="auto"/>
        </w:rPr>
      </w:pPr>
      <w:r>
        <w:rPr>
          <w:color w:val="auto"/>
          <w:szCs w:val="21"/>
          <w:highlight w:val="none"/>
          <w:shd w:val="clear" w:color="auto" w:fill="auto"/>
        </w:rPr>
        <w:t>适用于合同的法律包括中华人民共和国法律、行政法规、部门规章，以及工程所在地的地方法规、自治条例、单行条例和地方政府规章。</w:t>
      </w:r>
    </w:p>
    <w:p w14:paraId="7F9751E9">
      <w:pPr>
        <w:spacing w:line="540" w:lineRule="exact"/>
        <w:ind w:firstLine="420" w:firstLineChars="200"/>
        <w:rPr>
          <w:color w:val="auto"/>
          <w:highlight w:val="none"/>
          <w:shd w:val="clear" w:color="auto" w:fill="auto"/>
        </w:rPr>
      </w:pPr>
      <w:r>
        <w:rPr>
          <w:color w:val="auto"/>
          <w:highlight w:val="none"/>
          <w:shd w:val="clear" w:color="auto" w:fill="auto"/>
        </w:rPr>
        <w:t>本合同适用的其他规范性文件，可在专用合同条款中约定。</w:t>
      </w:r>
    </w:p>
    <w:p w14:paraId="391DA983">
      <w:pPr>
        <w:pStyle w:val="6"/>
        <w:spacing w:line="540" w:lineRule="exact"/>
        <w:ind w:firstLine="137"/>
        <w:rPr>
          <w:rFonts w:ascii="Times New Roman"/>
          <w:color w:val="auto"/>
          <w:highlight w:val="none"/>
          <w:shd w:val="clear" w:color="auto" w:fill="auto"/>
        </w:rPr>
      </w:pPr>
      <w:bookmarkStart w:id="10" w:name="_Toc482188550"/>
      <w:bookmarkStart w:id="11" w:name="_Toc16095"/>
      <w:r>
        <w:rPr>
          <w:rFonts w:ascii="Times New Roman"/>
          <w:color w:val="auto"/>
          <w:highlight w:val="none"/>
          <w:shd w:val="clear" w:color="auto" w:fill="auto"/>
        </w:rPr>
        <w:t xml:space="preserve">1.4 </w:t>
      </w:r>
      <w:r>
        <w:rPr>
          <w:rFonts w:hint="eastAsia" w:ascii="Times New Roman"/>
          <w:color w:val="auto"/>
          <w:highlight w:val="none"/>
          <w:shd w:val="clear" w:color="auto" w:fill="auto"/>
        </w:rPr>
        <w:t>合同文件的优先顺序</w:t>
      </w:r>
      <w:bookmarkEnd w:id="10"/>
      <w:bookmarkEnd w:id="11"/>
    </w:p>
    <w:p w14:paraId="4389EA3F">
      <w:pPr>
        <w:spacing w:line="540" w:lineRule="exact"/>
        <w:ind w:firstLine="420" w:firstLineChars="200"/>
        <w:rPr>
          <w:color w:val="auto"/>
          <w:szCs w:val="21"/>
          <w:highlight w:val="none"/>
          <w:shd w:val="clear" w:color="auto" w:fill="auto"/>
        </w:rPr>
      </w:pPr>
      <w:r>
        <w:rPr>
          <w:color w:val="auto"/>
          <w:szCs w:val="21"/>
          <w:highlight w:val="none"/>
          <w:shd w:val="clear" w:color="auto" w:fill="auto"/>
        </w:rPr>
        <w:t>组成合同的各项文件应互相解释，互为说明。除专用合同条款另有约定外，解释合同文件的优先顺序如下：</w:t>
      </w:r>
    </w:p>
    <w:p w14:paraId="68531F5F">
      <w:pPr>
        <w:spacing w:line="540" w:lineRule="exact"/>
        <w:ind w:firstLine="420"/>
        <w:rPr>
          <w:color w:val="auto"/>
          <w:highlight w:val="none"/>
          <w:shd w:val="clear" w:color="auto" w:fill="auto"/>
        </w:rPr>
      </w:pPr>
      <w:r>
        <w:rPr>
          <w:color w:val="auto"/>
          <w:highlight w:val="none"/>
          <w:shd w:val="clear" w:color="auto" w:fill="auto"/>
        </w:rPr>
        <w:t>（1）合同协议书；</w:t>
      </w:r>
    </w:p>
    <w:p w14:paraId="38BB58AF">
      <w:pPr>
        <w:spacing w:line="540" w:lineRule="exact"/>
        <w:ind w:firstLine="420"/>
        <w:rPr>
          <w:color w:val="auto"/>
          <w:highlight w:val="none"/>
          <w:shd w:val="clear" w:color="auto" w:fill="auto"/>
        </w:rPr>
      </w:pPr>
      <w:r>
        <w:rPr>
          <w:color w:val="auto"/>
          <w:highlight w:val="none"/>
          <w:shd w:val="clear" w:color="auto" w:fill="auto"/>
        </w:rPr>
        <w:t>（2）中标通知书；</w:t>
      </w:r>
    </w:p>
    <w:p w14:paraId="4AC4FD13">
      <w:pPr>
        <w:spacing w:line="540" w:lineRule="exact"/>
        <w:ind w:firstLine="420"/>
        <w:rPr>
          <w:color w:val="auto"/>
          <w:highlight w:val="none"/>
          <w:shd w:val="clear" w:color="auto" w:fill="auto"/>
        </w:rPr>
      </w:pPr>
      <w:r>
        <w:rPr>
          <w:color w:val="auto"/>
          <w:highlight w:val="none"/>
          <w:shd w:val="clear" w:color="auto" w:fill="auto"/>
        </w:rPr>
        <w:t>（3）投标函及投标函附录；</w:t>
      </w:r>
    </w:p>
    <w:p w14:paraId="383CBEC7">
      <w:pPr>
        <w:spacing w:line="540" w:lineRule="exact"/>
        <w:ind w:firstLine="420"/>
        <w:rPr>
          <w:color w:val="auto"/>
          <w:highlight w:val="none"/>
          <w:shd w:val="clear" w:color="auto" w:fill="auto"/>
        </w:rPr>
      </w:pPr>
      <w:r>
        <w:rPr>
          <w:color w:val="auto"/>
          <w:highlight w:val="none"/>
          <w:shd w:val="clear" w:color="auto" w:fill="auto"/>
        </w:rPr>
        <w:t>（4）专用合同条款；</w:t>
      </w:r>
    </w:p>
    <w:p w14:paraId="2C55BF0D">
      <w:pPr>
        <w:spacing w:line="540" w:lineRule="exact"/>
        <w:ind w:firstLine="420"/>
        <w:rPr>
          <w:color w:val="auto"/>
          <w:highlight w:val="none"/>
          <w:shd w:val="clear" w:color="auto" w:fill="auto"/>
        </w:rPr>
      </w:pPr>
      <w:r>
        <w:rPr>
          <w:color w:val="auto"/>
          <w:highlight w:val="none"/>
          <w:shd w:val="clear" w:color="auto" w:fill="auto"/>
        </w:rPr>
        <w:t>（5）通用合同条款；</w:t>
      </w:r>
    </w:p>
    <w:p w14:paraId="17BD031B">
      <w:pPr>
        <w:spacing w:line="540" w:lineRule="exact"/>
        <w:ind w:firstLine="420"/>
        <w:rPr>
          <w:color w:val="auto"/>
          <w:highlight w:val="none"/>
          <w:shd w:val="clear" w:color="auto" w:fill="auto"/>
        </w:rPr>
      </w:pPr>
      <w:r>
        <w:rPr>
          <w:color w:val="auto"/>
          <w:highlight w:val="none"/>
          <w:shd w:val="clear" w:color="auto" w:fill="auto"/>
        </w:rPr>
        <w:t>（6）委托人要求；</w:t>
      </w:r>
    </w:p>
    <w:p w14:paraId="66E26D60">
      <w:pPr>
        <w:spacing w:line="540" w:lineRule="exact"/>
        <w:ind w:firstLine="420"/>
        <w:rPr>
          <w:color w:val="auto"/>
          <w:highlight w:val="none"/>
          <w:shd w:val="clear" w:color="auto" w:fill="auto"/>
        </w:rPr>
      </w:pPr>
      <w:r>
        <w:rPr>
          <w:color w:val="auto"/>
          <w:highlight w:val="none"/>
          <w:shd w:val="clear" w:color="auto" w:fill="auto"/>
        </w:rPr>
        <w:t>（</w:t>
      </w:r>
      <w:r>
        <w:rPr>
          <w:rFonts w:hint="eastAsia"/>
          <w:color w:val="auto"/>
          <w:highlight w:val="none"/>
          <w:shd w:val="clear" w:color="auto" w:fill="auto"/>
        </w:rPr>
        <w:t>7</w:t>
      </w:r>
      <w:r>
        <w:rPr>
          <w:color w:val="auto"/>
          <w:highlight w:val="none"/>
          <w:shd w:val="clear" w:color="auto" w:fill="auto"/>
        </w:rPr>
        <w:t>）</w:t>
      </w:r>
      <w:r>
        <w:rPr>
          <w:rFonts w:hint="eastAsia"/>
          <w:color w:val="auto"/>
          <w:highlight w:val="none"/>
          <w:shd w:val="clear" w:color="auto" w:fill="auto"/>
        </w:rPr>
        <w:t>监理报酬清单</w:t>
      </w:r>
      <w:r>
        <w:rPr>
          <w:color w:val="auto"/>
          <w:highlight w:val="none"/>
          <w:shd w:val="clear" w:color="auto" w:fill="auto"/>
        </w:rPr>
        <w:t>；</w:t>
      </w:r>
    </w:p>
    <w:p w14:paraId="3DB5F129">
      <w:pPr>
        <w:spacing w:line="540" w:lineRule="exact"/>
        <w:ind w:firstLine="420"/>
        <w:rPr>
          <w:color w:val="auto"/>
          <w:highlight w:val="none"/>
          <w:shd w:val="clear" w:color="auto" w:fill="auto"/>
        </w:rPr>
      </w:pPr>
      <w:r>
        <w:rPr>
          <w:color w:val="auto"/>
          <w:highlight w:val="none"/>
          <w:shd w:val="clear" w:color="auto" w:fill="auto"/>
        </w:rPr>
        <w:t>（</w:t>
      </w:r>
      <w:r>
        <w:rPr>
          <w:rFonts w:hint="eastAsia"/>
          <w:color w:val="auto"/>
          <w:highlight w:val="none"/>
          <w:shd w:val="clear" w:color="auto" w:fill="auto"/>
        </w:rPr>
        <w:t>8</w:t>
      </w:r>
      <w:r>
        <w:rPr>
          <w:color w:val="auto"/>
          <w:highlight w:val="none"/>
          <w:shd w:val="clear" w:color="auto" w:fill="auto"/>
        </w:rPr>
        <w:t>）</w:t>
      </w:r>
      <w:r>
        <w:rPr>
          <w:rFonts w:hint="eastAsia"/>
          <w:color w:val="auto"/>
          <w:highlight w:val="none"/>
          <w:shd w:val="clear" w:color="auto" w:fill="auto"/>
        </w:rPr>
        <w:t>监理大纲</w:t>
      </w:r>
      <w:r>
        <w:rPr>
          <w:color w:val="auto"/>
          <w:highlight w:val="none"/>
          <w:shd w:val="clear" w:color="auto" w:fill="auto"/>
        </w:rPr>
        <w:t>；</w:t>
      </w:r>
    </w:p>
    <w:p w14:paraId="5FFA1DA5">
      <w:pPr>
        <w:spacing w:line="540" w:lineRule="exact"/>
        <w:ind w:firstLine="420"/>
        <w:rPr>
          <w:color w:val="auto"/>
          <w:szCs w:val="21"/>
          <w:highlight w:val="none"/>
          <w:shd w:val="clear" w:color="auto" w:fill="auto"/>
        </w:rPr>
      </w:pPr>
      <w:r>
        <w:rPr>
          <w:color w:val="auto"/>
          <w:highlight w:val="none"/>
          <w:shd w:val="clear" w:color="auto" w:fill="auto"/>
        </w:rPr>
        <w:t>（9）其他合同</w:t>
      </w:r>
      <w:r>
        <w:rPr>
          <w:color w:val="auto"/>
          <w:szCs w:val="21"/>
          <w:highlight w:val="none"/>
          <w:shd w:val="clear" w:color="auto" w:fill="auto"/>
        </w:rPr>
        <w:t>文件。</w:t>
      </w:r>
    </w:p>
    <w:p w14:paraId="0E1783F7">
      <w:pPr>
        <w:pStyle w:val="6"/>
        <w:spacing w:line="540" w:lineRule="exact"/>
        <w:ind w:firstLine="137"/>
        <w:rPr>
          <w:rFonts w:ascii="Times New Roman"/>
          <w:color w:val="auto"/>
          <w:highlight w:val="none"/>
          <w:shd w:val="clear" w:color="auto" w:fill="auto"/>
        </w:rPr>
      </w:pPr>
      <w:bookmarkStart w:id="12" w:name="_Toc482188551"/>
      <w:bookmarkStart w:id="13" w:name="_Toc11855"/>
      <w:r>
        <w:rPr>
          <w:rFonts w:ascii="Times New Roman"/>
          <w:color w:val="auto"/>
          <w:highlight w:val="none"/>
          <w:shd w:val="clear" w:color="auto" w:fill="auto"/>
        </w:rPr>
        <w:t xml:space="preserve">1.5 </w:t>
      </w:r>
      <w:r>
        <w:rPr>
          <w:rFonts w:hint="eastAsia" w:ascii="Times New Roman"/>
          <w:color w:val="auto"/>
          <w:highlight w:val="none"/>
          <w:shd w:val="clear" w:color="auto" w:fill="auto"/>
        </w:rPr>
        <w:t>合同协议书</w:t>
      </w:r>
      <w:bookmarkEnd w:id="12"/>
      <w:bookmarkEnd w:id="13"/>
    </w:p>
    <w:p w14:paraId="647222A0">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监理</w:t>
      </w:r>
      <w:r>
        <w:rPr>
          <w:color w:val="auto"/>
          <w:szCs w:val="21"/>
          <w:highlight w:val="none"/>
          <w:shd w:val="clear" w:color="auto" w:fill="auto"/>
        </w:rPr>
        <w:t>人按中标通知书规定的时间与委托人签订合同协议书。除法律另有规定或合同另有约定外，委托人和</w:t>
      </w:r>
      <w:r>
        <w:rPr>
          <w:rFonts w:hint="eastAsia"/>
          <w:color w:val="auto"/>
          <w:highlight w:val="none"/>
          <w:shd w:val="clear" w:color="auto" w:fill="auto"/>
        </w:rPr>
        <w:t>监理</w:t>
      </w:r>
      <w:r>
        <w:rPr>
          <w:color w:val="auto"/>
          <w:szCs w:val="21"/>
          <w:highlight w:val="none"/>
          <w:shd w:val="clear" w:color="auto" w:fill="auto"/>
        </w:rPr>
        <w:t>人的法定代表人或其委托代理人在合同协议书上签字并盖单位章后，合同生效。</w:t>
      </w:r>
    </w:p>
    <w:p w14:paraId="28FF30AC">
      <w:pPr>
        <w:pStyle w:val="6"/>
        <w:spacing w:line="540" w:lineRule="exact"/>
        <w:ind w:firstLine="137"/>
        <w:rPr>
          <w:rFonts w:ascii="Times New Roman"/>
          <w:color w:val="auto"/>
          <w:highlight w:val="none"/>
          <w:shd w:val="clear" w:color="auto" w:fill="auto"/>
        </w:rPr>
      </w:pPr>
      <w:bookmarkStart w:id="14" w:name="_Toc32170"/>
      <w:bookmarkStart w:id="15" w:name="_Toc482188552"/>
      <w:r>
        <w:rPr>
          <w:rFonts w:ascii="Times New Roman"/>
          <w:color w:val="auto"/>
          <w:highlight w:val="none"/>
          <w:shd w:val="clear" w:color="auto" w:fill="auto"/>
        </w:rPr>
        <w:t xml:space="preserve">1.6 </w:t>
      </w:r>
      <w:r>
        <w:rPr>
          <w:rFonts w:hint="eastAsia" w:ascii="Times New Roman"/>
          <w:color w:val="auto"/>
          <w:highlight w:val="none"/>
          <w:shd w:val="clear" w:color="auto" w:fill="auto"/>
        </w:rPr>
        <w:t>文件的提供和照管</w:t>
      </w:r>
      <w:bookmarkEnd w:id="14"/>
      <w:bookmarkEnd w:id="15"/>
    </w:p>
    <w:p w14:paraId="4DC866EB">
      <w:pPr>
        <w:spacing w:line="540" w:lineRule="exact"/>
        <w:ind w:firstLine="422" w:firstLineChars="200"/>
        <w:rPr>
          <w:b/>
          <w:color w:val="auto"/>
          <w:highlight w:val="none"/>
          <w:shd w:val="clear" w:color="auto" w:fill="auto"/>
        </w:rPr>
      </w:pPr>
      <w:r>
        <w:rPr>
          <w:b/>
          <w:color w:val="auto"/>
          <w:highlight w:val="none"/>
          <w:shd w:val="clear" w:color="auto" w:fill="auto"/>
        </w:rPr>
        <w:t xml:space="preserve">1.6.1 </w:t>
      </w:r>
      <w:r>
        <w:rPr>
          <w:rFonts w:hint="eastAsia"/>
          <w:b/>
          <w:bCs/>
          <w:color w:val="auto"/>
          <w:highlight w:val="none"/>
          <w:shd w:val="clear" w:color="auto" w:fill="auto"/>
        </w:rPr>
        <w:t>监理文件</w:t>
      </w:r>
      <w:r>
        <w:rPr>
          <w:b/>
          <w:color w:val="auto"/>
          <w:highlight w:val="none"/>
          <w:shd w:val="clear" w:color="auto" w:fill="auto"/>
        </w:rPr>
        <w:t>的提供</w:t>
      </w:r>
    </w:p>
    <w:p w14:paraId="687269E4">
      <w:pPr>
        <w:spacing w:line="540" w:lineRule="exact"/>
        <w:ind w:firstLine="420" w:firstLineChars="200"/>
        <w:rPr>
          <w:color w:val="auto"/>
          <w:szCs w:val="21"/>
          <w:highlight w:val="none"/>
          <w:shd w:val="clear" w:color="auto" w:fill="auto"/>
        </w:rPr>
      </w:pPr>
      <w:r>
        <w:rPr>
          <w:color w:val="auto"/>
          <w:szCs w:val="21"/>
          <w:highlight w:val="none"/>
          <w:shd w:val="clear" w:color="auto" w:fill="auto"/>
        </w:rPr>
        <w:t>除专用合同条款另有约定外，</w:t>
      </w:r>
      <w:r>
        <w:rPr>
          <w:rFonts w:hint="eastAsia"/>
          <w:color w:val="auto"/>
          <w:highlight w:val="none"/>
          <w:shd w:val="clear" w:color="auto" w:fill="auto"/>
        </w:rPr>
        <w:t>监理</w:t>
      </w:r>
      <w:r>
        <w:rPr>
          <w:color w:val="auto"/>
          <w:szCs w:val="21"/>
          <w:highlight w:val="none"/>
          <w:shd w:val="clear" w:color="auto" w:fill="auto"/>
        </w:rPr>
        <w:t>人应在合理的期限内按照合同约定的数量向委托人提供</w:t>
      </w:r>
      <w:r>
        <w:rPr>
          <w:rFonts w:hint="eastAsia"/>
          <w:color w:val="auto"/>
          <w:highlight w:val="none"/>
          <w:shd w:val="clear" w:color="auto" w:fill="auto"/>
        </w:rPr>
        <w:t>监理文件</w:t>
      </w:r>
      <w:r>
        <w:rPr>
          <w:color w:val="auto"/>
          <w:szCs w:val="21"/>
          <w:highlight w:val="none"/>
          <w:shd w:val="clear" w:color="auto" w:fill="auto"/>
        </w:rPr>
        <w:t>。合同约定</w:t>
      </w:r>
      <w:r>
        <w:rPr>
          <w:rFonts w:hint="eastAsia"/>
          <w:color w:val="auto"/>
          <w:highlight w:val="none"/>
          <w:shd w:val="clear" w:color="auto" w:fill="auto"/>
        </w:rPr>
        <w:t>监理文件</w:t>
      </w:r>
      <w:r>
        <w:rPr>
          <w:color w:val="auto"/>
          <w:szCs w:val="21"/>
          <w:highlight w:val="none"/>
          <w:shd w:val="clear" w:color="auto" w:fill="auto"/>
        </w:rPr>
        <w:t>应经委托人批复的，委托人应当在合同约定的期限内批复或提出修改意见。</w:t>
      </w:r>
    </w:p>
    <w:p w14:paraId="46DB5B0B">
      <w:pPr>
        <w:spacing w:line="540" w:lineRule="exact"/>
        <w:ind w:firstLine="422" w:firstLineChars="200"/>
        <w:rPr>
          <w:b/>
          <w:color w:val="auto"/>
          <w:szCs w:val="21"/>
          <w:highlight w:val="none"/>
          <w:shd w:val="clear" w:color="auto" w:fill="auto"/>
        </w:rPr>
      </w:pPr>
      <w:r>
        <w:rPr>
          <w:b/>
          <w:color w:val="auto"/>
          <w:highlight w:val="none"/>
          <w:shd w:val="clear" w:color="auto" w:fill="auto"/>
        </w:rPr>
        <w:t xml:space="preserve">1.6.2 </w:t>
      </w:r>
      <w:r>
        <w:rPr>
          <w:b/>
          <w:color w:val="auto"/>
          <w:szCs w:val="21"/>
          <w:highlight w:val="none"/>
          <w:shd w:val="clear" w:color="auto" w:fill="auto"/>
        </w:rPr>
        <w:t>委托人提供的文件</w:t>
      </w:r>
    </w:p>
    <w:p w14:paraId="32C0ABEB">
      <w:pPr>
        <w:spacing w:line="540" w:lineRule="exact"/>
        <w:ind w:firstLine="420" w:firstLineChars="200"/>
        <w:rPr>
          <w:color w:val="auto"/>
          <w:szCs w:val="21"/>
          <w:highlight w:val="none"/>
          <w:shd w:val="clear" w:color="auto" w:fill="auto"/>
        </w:rPr>
      </w:pPr>
      <w:r>
        <w:rPr>
          <w:rFonts w:ascii="宋体" w:hAnsi="宋体" w:cs="宋体"/>
          <w:color w:val="auto"/>
          <w:highlight w:val="none"/>
          <w:shd w:val="clear" w:color="auto" w:fill="auto"/>
        </w:rPr>
        <w:t xml:space="preserve">按专用合同条款约定由委托人提供的文件，包括规范标准、承包合同、勘察文件、设计文件等，委托人应按约定的数量和期限交给监理人。由于委托人未按时提供文件造成监理服务期限延误的，按第 </w:t>
      </w:r>
      <w:r>
        <w:rPr>
          <w:rFonts w:eastAsia="Times New Roman"/>
          <w:color w:val="auto"/>
          <w:highlight w:val="none"/>
          <w:shd w:val="clear" w:color="auto" w:fill="auto"/>
        </w:rPr>
        <w:t xml:space="preserve">6.2 </w:t>
      </w:r>
      <w:r>
        <w:rPr>
          <w:rFonts w:ascii="宋体" w:hAnsi="宋体" w:cs="宋体"/>
          <w:color w:val="auto"/>
          <w:highlight w:val="none"/>
          <w:shd w:val="clear" w:color="auto" w:fill="auto"/>
        </w:rPr>
        <w:t>款约定执行。</w:t>
      </w:r>
    </w:p>
    <w:p w14:paraId="2FF9CE21">
      <w:pPr>
        <w:spacing w:line="540" w:lineRule="exact"/>
        <w:ind w:firstLine="422" w:firstLineChars="200"/>
        <w:rPr>
          <w:b/>
          <w:color w:val="auto"/>
          <w:szCs w:val="21"/>
          <w:highlight w:val="none"/>
          <w:shd w:val="clear" w:color="auto" w:fill="auto"/>
        </w:rPr>
      </w:pPr>
      <w:r>
        <w:rPr>
          <w:b/>
          <w:color w:val="auto"/>
          <w:highlight w:val="none"/>
          <w:shd w:val="clear" w:color="auto" w:fill="auto"/>
        </w:rPr>
        <w:t xml:space="preserve">1.6.3 </w:t>
      </w:r>
      <w:r>
        <w:rPr>
          <w:b/>
          <w:color w:val="auto"/>
          <w:szCs w:val="21"/>
          <w:highlight w:val="none"/>
          <w:shd w:val="clear" w:color="auto" w:fill="auto"/>
        </w:rPr>
        <w:t>文件错误的通知</w:t>
      </w:r>
    </w:p>
    <w:p w14:paraId="16D0435E">
      <w:pPr>
        <w:spacing w:line="540" w:lineRule="exact"/>
        <w:ind w:firstLine="420" w:firstLineChars="200"/>
        <w:rPr>
          <w:color w:val="auto"/>
          <w:szCs w:val="21"/>
          <w:highlight w:val="none"/>
          <w:shd w:val="clear" w:color="auto" w:fill="auto"/>
        </w:rPr>
      </w:pPr>
      <w:r>
        <w:rPr>
          <w:color w:val="auto"/>
          <w:szCs w:val="21"/>
          <w:highlight w:val="none"/>
          <w:shd w:val="clear" w:color="auto" w:fill="auto"/>
        </w:rPr>
        <w:t>任何一方当事人发现文件中存在的明显错误或疏忽，均应及时通知对方当事人，并应立即采取适当的措施防止损失扩大。</w:t>
      </w:r>
    </w:p>
    <w:p w14:paraId="24A8EA6D">
      <w:pPr>
        <w:spacing w:line="540" w:lineRule="exact"/>
        <w:ind w:firstLine="422" w:firstLineChars="200"/>
        <w:rPr>
          <w:b/>
          <w:color w:val="auto"/>
          <w:szCs w:val="21"/>
          <w:highlight w:val="none"/>
          <w:shd w:val="clear" w:color="auto" w:fill="auto"/>
        </w:rPr>
      </w:pPr>
      <w:r>
        <w:rPr>
          <w:b/>
          <w:color w:val="auto"/>
          <w:highlight w:val="none"/>
          <w:shd w:val="clear" w:color="auto" w:fill="auto"/>
        </w:rPr>
        <w:t>1.6.</w:t>
      </w:r>
      <w:r>
        <w:rPr>
          <w:rFonts w:hint="eastAsia"/>
          <w:b/>
          <w:color w:val="auto"/>
          <w:highlight w:val="none"/>
          <w:shd w:val="clear" w:color="auto" w:fill="auto"/>
        </w:rPr>
        <w:t>4</w:t>
      </w:r>
      <w:r>
        <w:rPr>
          <w:b/>
          <w:color w:val="auto"/>
          <w:highlight w:val="none"/>
          <w:shd w:val="clear" w:color="auto" w:fill="auto"/>
        </w:rPr>
        <w:t xml:space="preserve"> </w:t>
      </w:r>
      <w:r>
        <w:rPr>
          <w:b/>
          <w:color w:val="auto"/>
          <w:szCs w:val="21"/>
          <w:highlight w:val="none"/>
          <w:shd w:val="clear" w:color="auto" w:fill="auto"/>
        </w:rPr>
        <w:t>文件的</w:t>
      </w:r>
      <w:r>
        <w:rPr>
          <w:rFonts w:hint="eastAsia"/>
          <w:b/>
          <w:color w:val="auto"/>
          <w:szCs w:val="21"/>
          <w:highlight w:val="none"/>
          <w:shd w:val="clear" w:color="auto" w:fill="auto"/>
        </w:rPr>
        <w:t>照管</w:t>
      </w:r>
    </w:p>
    <w:p w14:paraId="1A6EB332">
      <w:pPr>
        <w:spacing w:line="540" w:lineRule="exact"/>
        <w:ind w:firstLine="420" w:firstLineChars="200"/>
        <w:rPr>
          <w:color w:val="auto"/>
          <w:szCs w:val="21"/>
          <w:highlight w:val="none"/>
          <w:shd w:val="clear" w:color="auto" w:fill="auto"/>
        </w:rPr>
      </w:pPr>
      <w:r>
        <w:rPr>
          <w:color w:val="auto"/>
          <w:szCs w:val="21"/>
          <w:highlight w:val="none"/>
          <w:shd w:val="clear" w:color="auto" w:fill="auto"/>
        </w:rPr>
        <w:t>监理人应在现场保留一份合同文件、监理文件、委托人要求中的所列文件、以及其他根据合同收发的往来信函，以备委托人和行政管理部门查阅使用。</w:t>
      </w:r>
    </w:p>
    <w:p w14:paraId="3E714405">
      <w:pPr>
        <w:pStyle w:val="6"/>
        <w:spacing w:line="540" w:lineRule="exact"/>
        <w:ind w:firstLine="137"/>
        <w:rPr>
          <w:rFonts w:ascii="Times New Roman"/>
          <w:color w:val="auto"/>
          <w:highlight w:val="none"/>
          <w:shd w:val="clear" w:color="auto" w:fill="auto"/>
        </w:rPr>
      </w:pPr>
      <w:bookmarkStart w:id="16" w:name="_Toc482188553"/>
      <w:bookmarkStart w:id="17" w:name="_Toc14214"/>
      <w:r>
        <w:rPr>
          <w:rFonts w:ascii="Times New Roman"/>
          <w:color w:val="auto"/>
          <w:highlight w:val="none"/>
          <w:shd w:val="clear" w:color="auto" w:fill="auto"/>
        </w:rPr>
        <w:t xml:space="preserve">1.7 </w:t>
      </w:r>
      <w:r>
        <w:rPr>
          <w:rFonts w:hint="eastAsia" w:ascii="Times New Roman"/>
          <w:color w:val="auto"/>
          <w:highlight w:val="none"/>
          <w:shd w:val="clear" w:color="auto" w:fill="auto"/>
        </w:rPr>
        <w:t>联络</w:t>
      </w:r>
      <w:bookmarkEnd w:id="16"/>
      <w:bookmarkEnd w:id="17"/>
    </w:p>
    <w:p w14:paraId="40B49AD2">
      <w:pPr>
        <w:spacing w:line="540" w:lineRule="exact"/>
        <w:ind w:firstLine="420" w:firstLineChars="200"/>
        <w:rPr>
          <w:color w:val="auto"/>
          <w:szCs w:val="21"/>
          <w:highlight w:val="none"/>
          <w:shd w:val="clear" w:color="auto" w:fill="auto"/>
        </w:rPr>
      </w:pPr>
      <w:r>
        <w:rPr>
          <w:color w:val="auto"/>
          <w:highlight w:val="none"/>
          <w:shd w:val="clear" w:color="auto" w:fill="auto"/>
        </w:rPr>
        <w:t>1.7.1</w:t>
      </w:r>
      <w:r>
        <w:rPr>
          <w:color w:val="auto"/>
          <w:szCs w:val="21"/>
          <w:highlight w:val="none"/>
          <w:shd w:val="clear" w:color="auto" w:fill="auto"/>
        </w:rPr>
        <w:t xml:space="preserve"> 与合同有关的通知、批准、证明、证书、指示、要求、请求、同意、意见、确定和决定等，均应采用书面形式。</w:t>
      </w:r>
    </w:p>
    <w:p w14:paraId="4607D7F1">
      <w:pPr>
        <w:spacing w:line="540" w:lineRule="exact"/>
        <w:ind w:firstLine="420" w:firstLineChars="200"/>
        <w:rPr>
          <w:color w:val="auto"/>
          <w:szCs w:val="21"/>
          <w:highlight w:val="none"/>
          <w:shd w:val="clear" w:color="auto" w:fill="auto"/>
        </w:rPr>
      </w:pPr>
      <w:r>
        <w:rPr>
          <w:color w:val="auto"/>
          <w:highlight w:val="none"/>
          <w:shd w:val="clear" w:color="auto" w:fill="auto"/>
        </w:rPr>
        <w:t>1.7.2</w:t>
      </w:r>
      <w:r>
        <w:rPr>
          <w:color w:val="auto"/>
          <w:szCs w:val="21"/>
          <w:highlight w:val="none"/>
          <w:shd w:val="clear" w:color="auto" w:fill="auto"/>
        </w:rPr>
        <w:t xml:space="preserve"> 上述通知、批准、证明、证书、指示、要求、请求、同意、意见、确定和决定等来往函件，均应在合同约定的期限内送达指定的地点和指定的接收人，并办理签收手续。</w:t>
      </w:r>
    </w:p>
    <w:p w14:paraId="79DB10E4">
      <w:pPr>
        <w:pStyle w:val="6"/>
        <w:spacing w:line="540" w:lineRule="exact"/>
        <w:ind w:firstLine="137"/>
        <w:rPr>
          <w:rFonts w:ascii="Times New Roman"/>
          <w:color w:val="auto"/>
          <w:highlight w:val="none"/>
          <w:shd w:val="clear" w:color="auto" w:fill="auto"/>
        </w:rPr>
      </w:pPr>
      <w:bookmarkStart w:id="18" w:name="_Toc20313"/>
      <w:bookmarkStart w:id="19" w:name="_Toc482188554"/>
      <w:r>
        <w:rPr>
          <w:rFonts w:ascii="Times New Roman"/>
          <w:color w:val="auto"/>
          <w:highlight w:val="none"/>
          <w:shd w:val="clear" w:color="auto" w:fill="auto"/>
        </w:rPr>
        <w:t xml:space="preserve">1.8 </w:t>
      </w:r>
      <w:r>
        <w:rPr>
          <w:rFonts w:hint="eastAsia" w:ascii="Times New Roman"/>
          <w:color w:val="auto"/>
          <w:highlight w:val="none"/>
          <w:shd w:val="clear" w:color="auto" w:fill="auto"/>
        </w:rPr>
        <w:t>转让</w:t>
      </w:r>
      <w:bookmarkEnd w:id="18"/>
      <w:bookmarkEnd w:id="19"/>
    </w:p>
    <w:p w14:paraId="28DE9D19">
      <w:pPr>
        <w:spacing w:line="540" w:lineRule="exact"/>
        <w:ind w:firstLine="420" w:firstLineChars="200"/>
        <w:rPr>
          <w:color w:val="auto"/>
          <w:szCs w:val="21"/>
          <w:highlight w:val="none"/>
          <w:shd w:val="clear" w:color="auto" w:fill="auto"/>
        </w:rPr>
      </w:pPr>
      <w:r>
        <w:rPr>
          <w:color w:val="auto"/>
          <w:szCs w:val="21"/>
          <w:highlight w:val="none"/>
          <w:shd w:val="clear" w:color="auto" w:fill="auto"/>
        </w:rPr>
        <w:t>除专用合同条款另有约定外，未经对方当事人同意，一方当事人不得将合同权利全部或部分转让给第三人，也不得全部或部分转移合同义务。</w:t>
      </w:r>
    </w:p>
    <w:p w14:paraId="4B40CA18">
      <w:pPr>
        <w:pStyle w:val="6"/>
        <w:spacing w:line="540" w:lineRule="exact"/>
        <w:ind w:firstLine="137"/>
        <w:rPr>
          <w:rFonts w:ascii="Times New Roman"/>
          <w:color w:val="auto"/>
          <w:highlight w:val="none"/>
          <w:shd w:val="clear" w:color="auto" w:fill="auto"/>
        </w:rPr>
      </w:pPr>
      <w:bookmarkStart w:id="20" w:name="_Toc482188555"/>
      <w:bookmarkStart w:id="21" w:name="_Toc16410"/>
      <w:r>
        <w:rPr>
          <w:rFonts w:ascii="Times New Roman"/>
          <w:color w:val="auto"/>
          <w:highlight w:val="none"/>
          <w:shd w:val="clear" w:color="auto" w:fill="auto"/>
        </w:rPr>
        <w:t xml:space="preserve">1.9 </w:t>
      </w:r>
      <w:r>
        <w:rPr>
          <w:rFonts w:hint="eastAsia" w:ascii="Times New Roman"/>
          <w:color w:val="auto"/>
          <w:highlight w:val="none"/>
          <w:shd w:val="clear" w:color="auto" w:fill="auto"/>
        </w:rPr>
        <w:t>严禁贿赂</w:t>
      </w:r>
      <w:bookmarkEnd w:id="20"/>
      <w:bookmarkEnd w:id="21"/>
    </w:p>
    <w:p w14:paraId="1C0F5668">
      <w:pPr>
        <w:spacing w:line="540" w:lineRule="exact"/>
        <w:ind w:firstLine="420" w:firstLineChars="200"/>
        <w:rPr>
          <w:color w:val="auto"/>
          <w:szCs w:val="21"/>
          <w:highlight w:val="none"/>
          <w:shd w:val="clear" w:color="auto" w:fill="auto"/>
        </w:rPr>
      </w:pPr>
      <w:r>
        <w:rPr>
          <w:color w:val="auto"/>
          <w:szCs w:val="21"/>
          <w:highlight w:val="none"/>
          <w:shd w:val="clear" w:color="auto" w:fill="auto"/>
        </w:rPr>
        <w:t>合同双方当事人不得以贿赂或变相贿赂的方式，谋取不当利益或损害对方权益。因贿赂造成对方当事人损失的，行为人应当赔偿损失，并承担相应的法律责任。</w:t>
      </w:r>
    </w:p>
    <w:p w14:paraId="353A6B59">
      <w:pPr>
        <w:pStyle w:val="6"/>
        <w:spacing w:line="540" w:lineRule="exact"/>
        <w:ind w:firstLine="137"/>
        <w:rPr>
          <w:rFonts w:ascii="Times New Roman"/>
          <w:color w:val="auto"/>
          <w:highlight w:val="none"/>
          <w:shd w:val="clear" w:color="auto" w:fill="auto"/>
        </w:rPr>
      </w:pPr>
      <w:bookmarkStart w:id="22" w:name="_Toc27610"/>
      <w:bookmarkStart w:id="23" w:name="_Toc482188556"/>
      <w:r>
        <w:rPr>
          <w:rFonts w:ascii="Times New Roman"/>
          <w:color w:val="auto"/>
          <w:highlight w:val="none"/>
          <w:shd w:val="clear" w:color="auto" w:fill="auto"/>
        </w:rPr>
        <w:t xml:space="preserve">1.10 </w:t>
      </w:r>
      <w:r>
        <w:rPr>
          <w:rFonts w:hint="eastAsia" w:ascii="Times New Roman"/>
          <w:color w:val="auto"/>
          <w:highlight w:val="none"/>
          <w:shd w:val="clear" w:color="auto" w:fill="auto"/>
        </w:rPr>
        <w:t>知识产权</w:t>
      </w:r>
      <w:bookmarkEnd w:id="22"/>
      <w:bookmarkEnd w:id="23"/>
    </w:p>
    <w:p w14:paraId="36130B8E">
      <w:pPr>
        <w:spacing w:line="540" w:lineRule="exact"/>
        <w:ind w:firstLine="420" w:firstLineChars="200"/>
        <w:rPr>
          <w:color w:val="auto"/>
          <w:szCs w:val="21"/>
          <w:highlight w:val="none"/>
          <w:shd w:val="clear" w:color="auto" w:fill="auto"/>
        </w:rPr>
      </w:pPr>
      <w:r>
        <w:rPr>
          <w:color w:val="auto"/>
          <w:highlight w:val="none"/>
          <w:shd w:val="clear" w:color="auto" w:fill="auto"/>
        </w:rPr>
        <w:t>1.10.1除专用合同条款另有约定外，</w:t>
      </w:r>
      <w:r>
        <w:rPr>
          <w:rFonts w:hint="eastAsia"/>
          <w:color w:val="auto"/>
          <w:szCs w:val="21"/>
          <w:highlight w:val="none"/>
          <w:shd w:val="clear" w:color="auto" w:fill="auto"/>
        </w:rPr>
        <w:t>监理</w:t>
      </w:r>
      <w:r>
        <w:rPr>
          <w:color w:val="auto"/>
          <w:szCs w:val="21"/>
          <w:highlight w:val="none"/>
          <w:shd w:val="clear" w:color="auto" w:fill="auto"/>
        </w:rPr>
        <w:t>人完成的</w:t>
      </w:r>
      <w:r>
        <w:rPr>
          <w:rFonts w:hint="eastAsia"/>
          <w:color w:val="auto"/>
          <w:szCs w:val="21"/>
          <w:highlight w:val="none"/>
          <w:shd w:val="clear" w:color="auto" w:fill="auto"/>
        </w:rPr>
        <w:t>监理</w:t>
      </w:r>
      <w:r>
        <w:rPr>
          <w:color w:val="auto"/>
          <w:szCs w:val="21"/>
          <w:highlight w:val="none"/>
          <w:shd w:val="clear" w:color="auto" w:fill="auto"/>
        </w:rPr>
        <w:t>工作成果，除署名权以外的著作权和其他知识产权均归委托人享有。</w:t>
      </w:r>
    </w:p>
    <w:p w14:paraId="6C10A953">
      <w:pPr>
        <w:spacing w:line="540" w:lineRule="exact"/>
        <w:ind w:firstLine="420" w:firstLineChars="200"/>
        <w:rPr>
          <w:color w:val="auto"/>
          <w:szCs w:val="21"/>
          <w:highlight w:val="none"/>
          <w:shd w:val="clear" w:color="auto" w:fill="auto"/>
        </w:rPr>
      </w:pPr>
      <w:r>
        <w:rPr>
          <w:color w:val="auto"/>
          <w:highlight w:val="none"/>
          <w:shd w:val="clear" w:color="auto" w:fill="auto"/>
        </w:rPr>
        <w:t xml:space="preserve">1.10.2 </w:t>
      </w:r>
      <w:r>
        <w:rPr>
          <w:rFonts w:hint="eastAsia"/>
          <w:color w:val="auto"/>
          <w:szCs w:val="21"/>
          <w:highlight w:val="none"/>
          <w:shd w:val="clear" w:color="auto" w:fill="auto"/>
        </w:rPr>
        <w:t>监理</w:t>
      </w:r>
      <w:r>
        <w:rPr>
          <w:color w:val="auto"/>
          <w:szCs w:val="21"/>
          <w:highlight w:val="none"/>
          <w:shd w:val="clear" w:color="auto" w:fill="auto"/>
        </w:rPr>
        <w:t>人在从事</w:t>
      </w:r>
      <w:r>
        <w:rPr>
          <w:rFonts w:hint="eastAsia"/>
          <w:color w:val="auto"/>
          <w:szCs w:val="21"/>
          <w:highlight w:val="none"/>
          <w:shd w:val="clear" w:color="auto" w:fill="auto"/>
        </w:rPr>
        <w:t>监理</w:t>
      </w:r>
      <w:r>
        <w:rPr>
          <w:color w:val="auto"/>
          <w:szCs w:val="21"/>
          <w:highlight w:val="none"/>
          <w:shd w:val="clear" w:color="auto" w:fill="auto"/>
        </w:rPr>
        <w:t>活动时，不得侵犯他人的知识产权。因侵犯专利权或其他知识产权所引起的责任，由</w:t>
      </w:r>
      <w:r>
        <w:rPr>
          <w:rFonts w:hint="eastAsia"/>
          <w:color w:val="auto"/>
          <w:szCs w:val="21"/>
          <w:highlight w:val="none"/>
          <w:shd w:val="clear" w:color="auto" w:fill="auto"/>
        </w:rPr>
        <w:t>监理</w:t>
      </w:r>
      <w:r>
        <w:rPr>
          <w:color w:val="auto"/>
          <w:szCs w:val="21"/>
          <w:highlight w:val="none"/>
          <w:shd w:val="clear" w:color="auto" w:fill="auto"/>
        </w:rPr>
        <w:t>人自行承担。因委托人提供的</w:t>
      </w:r>
      <w:r>
        <w:rPr>
          <w:rFonts w:hint="eastAsia"/>
          <w:color w:val="auto"/>
          <w:szCs w:val="21"/>
          <w:highlight w:val="none"/>
          <w:shd w:val="clear" w:color="auto" w:fill="auto"/>
        </w:rPr>
        <w:t>监理</w:t>
      </w:r>
      <w:r>
        <w:rPr>
          <w:color w:val="auto"/>
          <w:szCs w:val="21"/>
          <w:highlight w:val="none"/>
          <w:shd w:val="clear" w:color="auto" w:fill="auto"/>
        </w:rPr>
        <w:t>资料导致侵权的，由委托人承担责任。</w:t>
      </w:r>
    </w:p>
    <w:p w14:paraId="1F357A1D">
      <w:pPr>
        <w:spacing w:line="540" w:lineRule="exact"/>
        <w:ind w:firstLine="420" w:firstLineChars="200"/>
        <w:rPr>
          <w:color w:val="auto"/>
          <w:highlight w:val="none"/>
          <w:shd w:val="clear" w:color="auto" w:fill="auto"/>
        </w:rPr>
      </w:pPr>
      <w:r>
        <w:rPr>
          <w:color w:val="auto"/>
          <w:highlight w:val="none"/>
          <w:shd w:val="clear" w:color="auto" w:fill="auto"/>
        </w:rPr>
        <w:t xml:space="preserve">1.10.3 </w:t>
      </w:r>
      <w:r>
        <w:rPr>
          <w:rFonts w:hint="eastAsia"/>
          <w:color w:val="auto"/>
          <w:szCs w:val="21"/>
          <w:highlight w:val="none"/>
          <w:shd w:val="clear" w:color="auto" w:fill="auto"/>
        </w:rPr>
        <w:t>监理</w:t>
      </w:r>
      <w:r>
        <w:rPr>
          <w:color w:val="auto"/>
          <w:szCs w:val="21"/>
          <w:highlight w:val="none"/>
          <w:shd w:val="clear" w:color="auto" w:fill="auto"/>
        </w:rPr>
        <w:t>人在投标文件中采用专利技术、专有技术的，相应的使用费视为已包含在</w:t>
      </w:r>
      <w:r>
        <w:rPr>
          <w:rFonts w:hint="eastAsia"/>
          <w:color w:val="auto"/>
          <w:szCs w:val="21"/>
          <w:highlight w:val="none"/>
          <w:shd w:val="clear" w:color="auto" w:fill="auto"/>
        </w:rPr>
        <w:t>投标报价</w:t>
      </w:r>
      <w:r>
        <w:rPr>
          <w:color w:val="auto"/>
          <w:szCs w:val="21"/>
          <w:highlight w:val="none"/>
          <w:shd w:val="clear" w:color="auto" w:fill="auto"/>
        </w:rPr>
        <w:t>之中。</w:t>
      </w:r>
    </w:p>
    <w:p w14:paraId="4012FDAB">
      <w:pPr>
        <w:pStyle w:val="6"/>
        <w:spacing w:line="540" w:lineRule="exact"/>
        <w:ind w:firstLine="137"/>
        <w:rPr>
          <w:rFonts w:ascii="Times New Roman"/>
          <w:color w:val="auto"/>
          <w:highlight w:val="none"/>
          <w:shd w:val="clear" w:color="auto" w:fill="auto"/>
        </w:rPr>
      </w:pPr>
      <w:bookmarkStart w:id="24" w:name="_Toc482188557"/>
      <w:bookmarkStart w:id="25" w:name="_Toc14979"/>
      <w:r>
        <w:rPr>
          <w:rFonts w:ascii="Times New Roman"/>
          <w:color w:val="auto"/>
          <w:highlight w:val="none"/>
          <w:shd w:val="clear" w:color="auto" w:fill="auto"/>
        </w:rPr>
        <w:t xml:space="preserve">1.11 </w:t>
      </w:r>
      <w:r>
        <w:rPr>
          <w:rFonts w:hint="eastAsia" w:ascii="Times New Roman"/>
          <w:color w:val="auto"/>
          <w:highlight w:val="none"/>
          <w:shd w:val="clear" w:color="auto" w:fill="auto"/>
        </w:rPr>
        <w:t>文件及信息的保密</w:t>
      </w:r>
      <w:bookmarkEnd w:id="24"/>
      <w:bookmarkEnd w:id="25"/>
    </w:p>
    <w:p w14:paraId="5DFF7273">
      <w:pPr>
        <w:spacing w:line="540" w:lineRule="exact"/>
        <w:ind w:firstLine="420" w:firstLineChars="200"/>
        <w:rPr>
          <w:color w:val="auto"/>
          <w:szCs w:val="21"/>
          <w:highlight w:val="none"/>
          <w:shd w:val="clear" w:color="auto" w:fill="auto"/>
        </w:rPr>
      </w:pPr>
      <w:r>
        <w:rPr>
          <w:color w:val="auto"/>
          <w:szCs w:val="21"/>
          <w:highlight w:val="none"/>
          <w:shd w:val="clear" w:color="auto" w:fill="auto"/>
        </w:rPr>
        <w:t>未经对方同意，任何一方当事人不得将有关文件、技术秘密、需要保密的资料和信息泄露给他人或公开发表与引用。</w:t>
      </w:r>
    </w:p>
    <w:p w14:paraId="294E15FA">
      <w:pPr>
        <w:pStyle w:val="6"/>
        <w:spacing w:line="540" w:lineRule="exact"/>
        <w:ind w:firstLine="137"/>
        <w:rPr>
          <w:rFonts w:ascii="Times New Roman"/>
          <w:color w:val="auto"/>
          <w:highlight w:val="none"/>
          <w:shd w:val="clear" w:color="auto" w:fill="auto"/>
        </w:rPr>
      </w:pPr>
      <w:bookmarkStart w:id="26" w:name="_Toc482188558"/>
      <w:bookmarkStart w:id="27" w:name="_Toc13563"/>
      <w:r>
        <w:rPr>
          <w:rFonts w:ascii="Times New Roman"/>
          <w:color w:val="auto"/>
          <w:highlight w:val="none"/>
          <w:shd w:val="clear" w:color="auto" w:fill="auto"/>
        </w:rPr>
        <w:t xml:space="preserve">1.12 </w:t>
      </w:r>
      <w:r>
        <w:rPr>
          <w:rFonts w:hint="eastAsia" w:ascii="Times New Roman"/>
          <w:color w:val="auto"/>
          <w:highlight w:val="none"/>
          <w:shd w:val="clear" w:color="auto" w:fill="auto"/>
        </w:rPr>
        <w:t>委托人要求</w:t>
      </w:r>
      <w:bookmarkEnd w:id="26"/>
      <w:bookmarkEnd w:id="27"/>
    </w:p>
    <w:p w14:paraId="718B43D2">
      <w:pPr>
        <w:spacing w:line="540" w:lineRule="exact"/>
        <w:ind w:firstLine="420"/>
        <w:rPr>
          <w:color w:val="auto"/>
          <w:szCs w:val="21"/>
          <w:highlight w:val="none"/>
          <w:shd w:val="clear" w:color="auto" w:fill="auto"/>
        </w:rPr>
      </w:pPr>
      <w:r>
        <w:rPr>
          <w:color w:val="auto"/>
          <w:szCs w:val="21"/>
          <w:highlight w:val="none"/>
          <w:shd w:val="clear" w:color="auto" w:fill="auto"/>
        </w:rPr>
        <w:t xml:space="preserve">1.12.1 监理人应认真阅读、复核委托人要求，发现错误的，应及时书面通知委托人。无论是否存在错误，委托人均有权修改委托人要求，并在修改后 3 日内通知监理人。除专用合同条款另有约定外，由此导致监理人费用增加和(或)周期延误的，委托人应当相应地增加费用和(或) 延长周期。 </w:t>
      </w:r>
    </w:p>
    <w:p w14:paraId="03E3E248">
      <w:pPr>
        <w:spacing w:line="540" w:lineRule="exact"/>
        <w:ind w:firstLine="420"/>
        <w:rPr>
          <w:color w:val="auto"/>
          <w:szCs w:val="21"/>
          <w:highlight w:val="none"/>
          <w:shd w:val="clear" w:color="auto" w:fill="auto"/>
        </w:rPr>
      </w:pPr>
      <w:r>
        <w:rPr>
          <w:color w:val="auto"/>
          <w:szCs w:val="21"/>
          <w:highlight w:val="none"/>
          <w:shd w:val="clear" w:color="auto" w:fill="auto"/>
        </w:rPr>
        <w:t xml:space="preserve">1.12.2 如果委托人要求违反法律规定，监理人应在发现后及时书面通知委托人，要求其改正。委托人收到通知书后不予改正或不予答复的，监理人有权拒绝履行合同义务，直至解除合同；由此引起的监理人的全部损失由委托人承担。 </w:t>
      </w:r>
    </w:p>
    <w:p w14:paraId="7D25EF1D">
      <w:pPr>
        <w:spacing w:line="540" w:lineRule="exact"/>
        <w:ind w:firstLine="420"/>
        <w:rPr>
          <w:color w:val="auto"/>
          <w:szCs w:val="21"/>
          <w:highlight w:val="none"/>
          <w:shd w:val="clear" w:color="auto" w:fill="auto"/>
        </w:rPr>
      </w:pPr>
      <w:r>
        <w:rPr>
          <w:color w:val="auto"/>
          <w:szCs w:val="21"/>
          <w:highlight w:val="none"/>
          <w:shd w:val="clear" w:color="auto" w:fill="auto"/>
        </w:rPr>
        <w:t>1.12.3 委托人要求采用国外规范和标准进行监理时，应由委托人负责提供该规范和标准的外国文本和中文译本，提供的时间、份数和其他要求在专用合同条款中约定。</w:t>
      </w:r>
    </w:p>
    <w:p w14:paraId="2CD2065E">
      <w:pPr>
        <w:pStyle w:val="5"/>
        <w:spacing w:line="540" w:lineRule="exact"/>
        <w:rPr>
          <w:rFonts w:ascii="Times New Roman" w:hAnsi="Times New Roman"/>
          <w:color w:val="auto"/>
          <w:highlight w:val="none"/>
          <w:shd w:val="clear" w:color="auto" w:fill="auto"/>
        </w:rPr>
      </w:pPr>
      <w:bookmarkStart w:id="28" w:name="_Toc15784"/>
      <w:bookmarkStart w:id="29" w:name="_Toc482188559"/>
      <w:r>
        <w:rPr>
          <w:rFonts w:ascii="Times New Roman" w:hAnsi="Times New Roman"/>
          <w:color w:val="auto"/>
          <w:highlight w:val="none"/>
          <w:shd w:val="clear" w:color="auto" w:fill="auto"/>
        </w:rPr>
        <w:t>2. 委托人义务</w:t>
      </w:r>
      <w:bookmarkEnd w:id="28"/>
      <w:bookmarkEnd w:id="29"/>
    </w:p>
    <w:p w14:paraId="73756E95">
      <w:pPr>
        <w:pStyle w:val="6"/>
        <w:spacing w:line="540" w:lineRule="exact"/>
        <w:ind w:firstLine="137"/>
        <w:rPr>
          <w:rFonts w:ascii="Times New Roman"/>
          <w:color w:val="auto"/>
          <w:highlight w:val="none"/>
          <w:shd w:val="clear" w:color="auto" w:fill="auto"/>
        </w:rPr>
      </w:pPr>
      <w:bookmarkStart w:id="30" w:name="_Toc482188560"/>
      <w:bookmarkStart w:id="31" w:name="_Toc30999"/>
      <w:r>
        <w:rPr>
          <w:rFonts w:ascii="Times New Roman"/>
          <w:color w:val="auto"/>
          <w:highlight w:val="none"/>
          <w:shd w:val="clear" w:color="auto" w:fill="auto"/>
        </w:rPr>
        <w:t xml:space="preserve">2.1 </w:t>
      </w:r>
      <w:r>
        <w:rPr>
          <w:rFonts w:hint="eastAsia" w:ascii="Times New Roman"/>
          <w:color w:val="auto"/>
          <w:highlight w:val="none"/>
          <w:shd w:val="clear" w:color="auto" w:fill="auto"/>
        </w:rPr>
        <w:t>遵守法律</w:t>
      </w:r>
      <w:bookmarkEnd w:id="30"/>
      <w:bookmarkEnd w:id="31"/>
    </w:p>
    <w:p w14:paraId="1E323EE3">
      <w:pPr>
        <w:spacing w:line="540" w:lineRule="exact"/>
        <w:ind w:firstLine="420" w:firstLineChars="200"/>
        <w:rPr>
          <w:color w:val="auto"/>
          <w:highlight w:val="none"/>
          <w:shd w:val="clear" w:color="auto" w:fill="auto"/>
        </w:rPr>
      </w:pPr>
      <w:r>
        <w:rPr>
          <w:color w:val="auto"/>
          <w:szCs w:val="21"/>
          <w:highlight w:val="none"/>
          <w:shd w:val="clear" w:color="auto" w:fill="auto"/>
        </w:rPr>
        <w:t>委托人在履行合同过程中应遵守法律，并保证</w:t>
      </w:r>
      <w:r>
        <w:rPr>
          <w:rFonts w:hint="eastAsia"/>
          <w:color w:val="auto"/>
          <w:szCs w:val="21"/>
          <w:highlight w:val="none"/>
          <w:shd w:val="clear" w:color="auto" w:fill="auto"/>
        </w:rPr>
        <w:t>监理</w:t>
      </w:r>
      <w:r>
        <w:rPr>
          <w:color w:val="auto"/>
          <w:szCs w:val="21"/>
          <w:highlight w:val="none"/>
          <w:shd w:val="clear" w:color="auto" w:fill="auto"/>
        </w:rPr>
        <w:t>人免于承担因委托人违反法律而引起的</w:t>
      </w:r>
      <w:bookmarkStart w:id="32" w:name="_Toc385942918"/>
      <w:bookmarkStart w:id="33" w:name="_Toc385592087"/>
      <w:bookmarkStart w:id="34" w:name="_Toc247527650"/>
      <w:bookmarkStart w:id="35" w:name="_Toc184635099"/>
      <w:bookmarkStart w:id="36" w:name="_Toc300835048"/>
      <w:bookmarkStart w:id="37" w:name="_Toc370281722"/>
      <w:bookmarkStart w:id="38" w:name="_Toc247514049"/>
      <w:r>
        <w:rPr>
          <w:color w:val="auto"/>
          <w:szCs w:val="21"/>
          <w:highlight w:val="none"/>
          <w:shd w:val="clear" w:color="auto" w:fill="auto"/>
        </w:rPr>
        <w:t>任何责任。</w:t>
      </w:r>
    </w:p>
    <w:p w14:paraId="4D9CABCF">
      <w:pPr>
        <w:pStyle w:val="6"/>
        <w:spacing w:line="540" w:lineRule="exact"/>
        <w:ind w:firstLine="137"/>
        <w:rPr>
          <w:rFonts w:ascii="Times New Roman"/>
          <w:color w:val="auto"/>
          <w:highlight w:val="none"/>
          <w:shd w:val="clear" w:color="auto" w:fill="auto"/>
        </w:rPr>
      </w:pPr>
      <w:bookmarkStart w:id="39" w:name="_Toc482188561"/>
      <w:bookmarkStart w:id="40" w:name="_Toc19802"/>
      <w:r>
        <w:rPr>
          <w:rFonts w:ascii="Times New Roman"/>
          <w:color w:val="auto"/>
          <w:highlight w:val="none"/>
          <w:shd w:val="clear" w:color="auto" w:fill="auto"/>
        </w:rPr>
        <w:t>2</w:t>
      </w:r>
      <w:bookmarkEnd w:id="32"/>
      <w:bookmarkEnd w:id="33"/>
      <w:bookmarkEnd w:id="34"/>
      <w:bookmarkEnd w:id="35"/>
      <w:bookmarkEnd w:id="36"/>
      <w:bookmarkEnd w:id="37"/>
      <w:bookmarkEnd w:id="38"/>
      <w:r>
        <w:rPr>
          <w:rFonts w:ascii="Times New Roman"/>
          <w:color w:val="auto"/>
          <w:highlight w:val="none"/>
          <w:shd w:val="clear" w:color="auto" w:fill="auto"/>
        </w:rPr>
        <w:t>.2</w:t>
      </w:r>
      <w:bookmarkStart w:id="41" w:name="_Toc300835049"/>
      <w:bookmarkStart w:id="42" w:name="_Toc247514050"/>
      <w:bookmarkStart w:id="43" w:name="_Toc247527651"/>
      <w:bookmarkStart w:id="44" w:name="_Toc247527654"/>
      <w:bookmarkStart w:id="45" w:name="_Toc385942919"/>
      <w:bookmarkStart w:id="46" w:name="_Toc247514053"/>
      <w:bookmarkStart w:id="47" w:name="_Toc370281723"/>
      <w:bookmarkStart w:id="48" w:name="_Toc300835052"/>
      <w:r>
        <w:rPr>
          <w:rFonts w:ascii="Times New Roman"/>
          <w:color w:val="auto"/>
          <w:highlight w:val="none"/>
          <w:shd w:val="clear" w:color="auto" w:fill="auto"/>
        </w:rPr>
        <w:t xml:space="preserve"> </w:t>
      </w:r>
      <w:r>
        <w:rPr>
          <w:rFonts w:hint="eastAsia" w:ascii="Times New Roman"/>
          <w:color w:val="auto"/>
          <w:highlight w:val="none"/>
          <w:shd w:val="clear" w:color="auto" w:fill="auto"/>
        </w:rPr>
        <w:t>发出开始</w:t>
      </w:r>
      <w:r>
        <w:rPr>
          <w:rFonts w:hint="eastAsia" w:ascii="Times New Roman"/>
          <w:color w:val="auto"/>
          <w:szCs w:val="21"/>
          <w:highlight w:val="none"/>
          <w:shd w:val="clear" w:color="auto" w:fill="auto"/>
        </w:rPr>
        <w:t>监理</w:t>
      </w:r>
      <w:r>
        <w:rPr>
          <w:rFonts w:hint="eastAsia" w:ascii="Times New Roman"/>
          <w:color w:val="auto"/>
          <w:highlight w:val="none"/>
          <w:shd w:val="clear" w:color="auto" w:fill="auto"/>
        </w:rPr>
        <w:t>通</w:t>
      </w:r>
      <w:bookmarkEnd w:id="41"/>
      <w:bookmarkEnd w:id="42"/>
      <w:bookmarkEnd w:id="43"/>
      <w:r>
        <w:rPr>
          <w:rFonts w:hint="eastAsia" w:ascii="Times New Roman"/>
          <w:color w:val="auto"/>
          <w:highlight w:val="none"/>
          <w:shd w:val="clear" w:color="auto" w:fill="auto"/>
        </w:rPr>
        <w:t>知</w:t>
      </w:r>
      <w:bookmarkEnd w:id="39"/>
      <w:bookmarkEnd w:id="40"/>
    </w:p>
    <w:p w14:paraId="08447E90">
      <w:pPr>
        <w:spacing w:line="540" w:lineRule="exact"/>
        <w:ind w:firstLine="420" w:firstLineChars="200"/>
        <w:rPr>
          <w:color w:val="auto"/>
          <w:szCs w:val="21"/>
          <w:highlight w:val="none"/>
          <w:shd w:val="clear" w:color="auto" w:fill="auto"/>
        </w:rPr>
      </w:pPr>
      <w:r>
        <w:rPr>
          <w:color w:val="auto"/>
          <w:szCs w:val="21"/>
          <w:highlight w:val="none"/>
          <w:shd w:val="clear" w:color="auto" w:fill="auto"/>
        </w:rPr>
        <w:t>委托人应按第</w:t>
      </w:r>
      <w:r>
        <w:rPr>
          <w:rFonts w:hint="eastAsia"/>
          <w:color w:val="auto"/>
          <w:szCs w:val="21"/>
          <w:highlight w:val="none"/>
          <w:shd w:val="clear" w:color="auto" w:fill="auto"/>
        </w:rPr>
        <w:t>6</w:t>
      </w:r>
      <w:r>
        <w:rPr>
          <w:color w:val="auto"/>
          <w:szCs w:val="21"/>
          <w:highlight w:val="none"/>
          <w:shd w:val="clear" w:color="auto" w:fill="auto"/>
        </w:rPr>
        <w:t>.1款的约定向</w:t>
      </w:r>
      <w:r>
        <w:rPr>
          <w:rFonts w:hint="eastAsia"/>
          <w:color w:val="auto"/>
          <w:szCs w:val="21"/>
          <w:highlight w:val="none"/>
          <w:shd w:val="clear" w:color="auto" w:fill="auto"/>
        </w:rPr>
        <w:t>监理</w:t>
      </w:r>
      <w:r>
        <w:rPr>
          <w:color w:val="auto"/>
          <w:szCs w:val="21"/>
          <w:highlight w:val="none"/>
          <w:shd w:val="clear" w:color="auto" w:fill="auto"/>
        </w:rPr>
        <w:t>人发出开始</w:t>
      </w:r>
      <w:r>
        <w:rPr>
          <w:rFonts w:hint="eastAsia"/>
          <w:color w:val="auto"/>
          <w:szCs w:val="21"/>
          <w:highlight w:val="none"/>
          <w:shd w:val="clear" w:color="auto" w:fill="auto"/>
        </w:rPr>
        <w:t>监理</w:t>
      </w:r>
      <w:r>
        <w:rPr>
          <w:color w:val="auto"/>
          <w:szCs w:val="21"/>
          <w:highlight w:val="none"/>
          <w:shd w:val="clear" w:color="auto" w:fill="auto"/>
        </w:rPr>
        <w:t>通知。</w:t>
      </w:r>
    </w:p>
    <w:p w14:paraId="026B582E">
      <w:pPr>
        <w:spacing w:line="540" w:lineRule="exact"/>
        <w:ind w:firstLine="420" w:firstLineChars="200"/>
        <w:rPr>
          <w:color w:val="auto"/>
          <w:szCs w:val="21"/>
          <w:highlight w:val="none"/>
          <w:shd w:val="clear" w:color="auto" w:fill="auto"/>
        </w:rPr>
      </w:pPr>
      <w:r>
        <w:rPr>
          <w:rFonts w:ascii="宋体" w:hAnsi="宋体" w:cs="宋体"/>
          <w:color w:val="auto"/>
          <w:highlight w:val="none"/>
          <w:shd w:val="clear" w:color="auto" w:fill="auto"/>
        </w:rPr>
        <w:t>除专用合同条款另有约定外，委托人应为监理人的现场人员，在施工期间提供办公房间、办公桌椅、互联网接口、冷暖设施、生活设施、进出现场交通服务和其他便利条件。</w:t>
      </w:r>
    </w:p>
    <w:p w14:paraId="075F3805">
      <w:pPr>
        <w:pStyle w:val="6"/>
        <w:spacing w:line="540" w:lineRule="exact"/>
        <w:ind w:firstLine="137"/>
        <w:rPr>
          <w:rFonts w:ascii="Times New Roman"/>
          <w:color w:val="auto"/>
          <w:highlight w:val="none"/>
          <w:shd w:val="clear" w:color="auto" w:fill="auto"/>
        </w:rPr>
      </w:pPr>
      <w:bookmarkStart w:id="49" w:name="_Toc482188562"/>
      <w:bookmarkStart w:id="50" w:name="_Toc26639"/>
      <w:r>
        <w:rPr>
          <w:rFonts w:ascii="Times New Roman"/>
          <w:color w:val="auto"/>
          <w:highlight w:val="none"/>
          <w:shd w:val="clear" w:color="auto" w:fill="auto"/>
        </w:rPr>
        <w:t>2.</w:t>
      </w:r>
      <w:bookmarkStart w:id="51" w:name="_Toc247527653"/>
      <w:bookmarkStart w:id="52" w:name="_Toc300835051"/>
      <w:bookmarkStart w:id="53" w:name="_Toc247514052"/>
      <w:r>
        <w:rPr>
          <w:rFonts w:ascii="Times New Roman"/>
          <w:color w:val="auto"/>
          <w:highlight w:val="none"/>
          <w:shd w:val="clear" w:color="auto" w:fill="auto"/>
        </w:rPr>
        <w:t xml:space="preserve">3 </w:t>
      </w:r>
      <w:r>
        <w:rPr>
          <w:rFonts w:hint="eastAsia" w:ascii="Times New Roman"/>
          <w:color w:val="auto"/>
          <w:highlight w:val="none"/>
          <w:shd w:val="clear" w:color="auto" w:fill="auto"/>
        </w:rPr>
        <w:t>办理证件</w:t>
      </w:r>
      <w:bookmarkEnd w:id="51"/>
      <w:bookmarkEnd w:id="52"/>
      <w:bookmarkEnd w:id="53"/>
      <w:r>
        <w:rPr>
          <w:rFonts w:hint="eastAsia" w:ascii="Times New Roman"/>
          <w:color w:val="auto"/>
          <w:highlight w:val="none"/>
          <w:shd w:val="clear" w:color="auto" w:fill="auto"/>
        </w:rPr>
        <w:t>和批件</w:t>
      </w:r>
      <w:bookmarkEnd w:id="49"/>
      <w:bookmarkEnd w:id="50"/>
    </w:p>
    <w:p w14:paraId="3D9E5A49">
      <w:pPr>
        <w:spacing w:line="540" w:lineRule="exact"/>
        <w:ind w:firstLine="420" w:firstLineChars="200"/>
        <w:rPr>
          <w:color w:val="auto"/>
          <w:szCs w:val="21"/>
          <w:highlight w:val="none"/>
          <w:shd w:val="clear" w:color="auto" w:fill="auto"/>
        </w:rPr>
      </w:pPr>
      <w:r>
        <w:rPr>
          <w:color w:val="auto"/>
          <w:szCs w:val="21"/>
          <w:highlight w:val="none"/>
          <w:shd w:val="clear" w:color="auto" w:fill="auto"/>
        </w:rPr>
        <w:t>法律规定和（或）合同约定由委托人负责办理的工程建设项目必须履行的各类审批、核准或备案手续，委托人应当按时办理，</w:t>
      </w:r>
      <w:r>
        <w:rPr>
          <w:rFonts w:hint="eastAsia"/>
          <w:color w:val="auto"/>
          <w:szCs w:val="21"/>
          <w:highlight w:val="none"/>
          <w:shd w:val="clear" w:color="auto" w:fill="auto"/>
        </w:rPr>
        <w:t>监理</w:t>
      </w:r>
      <w:r>
        <w:rPr>
          <w:color w:val="auto"/>
          <w:szCs w:val="21"/>
          <w:highlight w:val="none"/>
          <w:shd w:val="clear" w:color="auto" w:fill="auto"/>
        </w:rPr>
        <w:t>人应给予必要的协助。</w:t>
      </w:r>
    </w:p>
    <w:p w14:paraId="06FF3626">
      <w:pPr>
        <w:spacing w:line="540" w:lineRule="exact"/>
        <w:ind w:firstLine="420" w:firstLineChars="200"/>
        <w:rPr>
          <w:color w:val="auto"/>
          <w:szCs w:val="21"/>
          <w:highlight w:val="none"/>
          <w:shd w:val="clear" w:color="auto" w:fill="auto"/>
        </w:rPr>
      </w:pPr>
      <w:r>
        <w:rPr>
          <w:color w:val="auto"/>
          <w:szCs w:val="21"/>
          <w:highlight w:val="none"/>
          <w:shd w:val="clear" w:color="auto" w:fill="auto"/>
        </w:rPr>
        <w:t>法律规定和（或）合同约定由</w:t>
      </w:r>
      <w:r>
        <w:rPr>
          <w:rFonts w:hint="eastAsia"/>
          <w:color w:val="auto"/>
          <w:szCs w:val="21"/>
          <w:highlight w:val="none"/>
          <w:shd w:val="clear" w:color="auto" w:fill="auto"/>
        </w:rPr>
        <w:t>监理</w:t>
      </w:r>
      <w:r>
        <w:rPr>
          <w:color w:val="auto"/>
          <w:szCs w:val="21"/>
          <w:highlight w:val="none"/>
          <w:shd w:val="clear" w:color="auto" w:fill="auto"/>
        </w:rPr>
        <w:t>人负责办理的</w:t>
      </w:r>
      <w:r>
        <w:rPr>
          <w:rFonts w:hint="eastAsia"/>
          <w:color w:val="auto"/>
          <w:szCs w:val="21"/>
          <w:highlight w:val="none"/>
          <w:shd w:val="clear" w:color="auto" w:fill="auto"/>
        </w:rPr>
        <w:t>监理</w:t>
      </w:r>
      <w:r>
        <w:rPr>
          <w:color w:val="auto"/>
          <w:szCs w:val="21"/>
          <w:highlight w:val="none"/>
          <w:shd w:val="clear" w:color="auto" w:fill="auto"/>
        </w:rPr>
        <w:t>所需的证件和批件，委托人应给予必要的协助。</w:t>
      </w:r>
    </w:p>
    <w:p w14:paraId="61F39A9C">
      <w:pPr>
        <w:pStyle w:val="6"/>
        <w:spacing w:line="540" w:lineRule="exact"/>
        <w:ind w:firstLine="137"/>
        <w:rPr>
          <w:rFonts w:ascii="Times New Roman"/>
          <w:color w:val="auto"/>
          <w:highlight w:val="none"/>
          <w:shd w:val="clear" w:color="auto" w:fill="auto"/>
        </w:rPr>
      </w:pPr>
      <w:bookmarkStart w:id="54" w:name="_Toc482188563"/>
      <w:bookmarkStart w:id="55" w:name="_Toc4073"/>
      <w:r>
        <w:rPr>
          <w:rFonts w:ascii="Times New Roman"/>
          <w:color w:val="auto"/>
          <w:highlight w:val="none"/>
          <w:shd w:val="clear" w:color="auto" w:fill="auto"/>
        </w:rPr>
        <w:t xml:space="preserve">2.4 </w:t>
      </w:r>
      <w:r>
        <w:rPr>
          <w:rFonts w:hint="eastAsia" w:ascii="Times New Roman"/>
          <w:color w:val="auto"/>
          <w:highlight w:val="none"/>
          <w:shd w:val="clear" w:color="auto" w:fill="auto"/>
        </w:rPr>
        <w:t>支付合同价款</w:t>
      </w:r>
      <w:bookmarkEnd w:id="54"/>
      <w:bookmarkEnd w:id="55"/>
    </w:p>
    <w:p w14:paraId="02875228">
      <w:pPr>
        <w:spacing w:line="540" w:lineRule="exact"/>
        <w:ind w:firstLine="420" w:firstLineChars="200"/>
        <w:rPr>
          <w:color w:val="auto"/>
          <w:szCs w:val="21"/>
          <w:highlight w:val="none"/>
          <w:shd w:val="clear" w:color="auto" w:fill="auto"/>
        </w:rPr>
      </w:pPr>
      <w:r>
        <w:rPr>
          <w:color w:val="auto"/>
          <w:szCs w:val="21"/>
          <w:highlight w:val="none"/>
          <w:shd w:val="clear" w:color="auto" w:fill="auto"/>
        </w:rPr>
        <w:t>委托人应按合同约定向</w:t>
      </w:r>
      <w:r>
        <w:rPr>
          <w:rFonts w:hint="eastAsia"/>
          <w:color w:val="auto"/>
          <w:szCs w:val="21"/>
          <w:highlight w:val="none"/>
          <w:shd w:val="clear" w:color="auto" w:fill="auto"/>
        </w:rPr>
        <w:t>监理</w:t>
      </w:r>
      <w:r>
        <w:rPr>
          <w:color w:val="auto"/>
          <w:szCs w:val="21"/>
          <w:highlight w:val="none"/>
          <w:shd w:val="clear" w:color="auto" w:fill="auto"/>
        </w:rPr>
        <w:t>人及时支付合同价款。</w:t>
      </w:r>
    </w:p>
    <w:p w14:paraId="266F97E3">
      <w:pPr>
        <w:pStyle w:val="6"/>
        <w:spacing w:line="540" w:lineRule="exact"/>
        <w:ind w:firstLine="137"/>
        <w:rPr>
          <w:rFonts w:ascii="Times New Roman"/>
          <w:color w:val="auto"/>
          <w:highlight w:val="none"/>
          <w:shd w:val="clear" w:color="auto" w:fill="auto"/>
        </w:rPr>
      </w:pPr>
      <w:bookmarkStart w:id="56" w:name="_Toc13597"/>
      <w:bookmarkStart w:id="57" w:name="_Toc474833987"/>
      <w:bookmarkStart w:id="58" w:name="_Toc482188564"/>
      <w:r>
        <w:rPr>
          <w:rFonts w:ascii="Times New Roman"/>
          <w:color w:val="auto"/>
          <w:highlight w:val="none"/>
          <w:shd w:val="clear" w:color="auto" w:fill="auto"/>
        </w:rPr>
        <w:t xml:space="preserve">2.5 </w:t>
      </w:r>
      <w:r>
        <w:rPr>
          <w:rFonts w:hint="eastAsia" w:ascii="Times New Roman"/>
          <w:color w:val="auto"/>
          <w:highlight w:val="none"/>
          <w:shd w:val="clear" w:color="auto" w:fill="auto"/>
        </w:rPr>
        <w:t>提供</w:t>
      </w:r>
      <w:r>
        <w:rPr>
          <w:rFonts w:hint="eastAsia" w:ascii="Times New Roman"/>
          <w:color w:val="auto"/>
          <w:szCs w:val="21"/>
          <w:highlight w:val="none"/>
          <w:shd w:val="clear" w:color="auto" w:fill="auto"/>
        </w:rPr>
        <w:t>监理</w:t>
      </w:r>
      <w:r>
        <w:rPr>
          <w:rFonts w:hint="eastAsia" w:ascii="Times New Roman"/>
          <w:color w:val="auto"/>
          <w:highlight w:val="none"/>
          <w:shd w:val="clear" w:color="auto" w:fill="auto"/>
        </w:rPr>
        <w:t>资料</w:t>
      </w:r>
      <w:bookmarkEnd w:id="56"/>
      <w:bookmarkEnd w:id="57"/>
      <w:bookmarkEnd w:id="58"/>
    </w:p>
    <w:p w14:paraId="19042821">
      <w:pPr>
        <w:spacing w:line="540" w:lineRule="exact"/>
        <w:ind w:firstLine="420" w:firstLineChars="200"/>
        <w:rPr>
          <w:color w:val="auto"/>
          <w:szCs w:val="21"/>
          <w:highlight w:val="none"/>
          <w:shd w:val="clear" w:color="auto" w:fill="auto"/>
        </w:rPr>
      </w:pPr>
      <w:r>
        <w:rPr>
          <w:color w:val="auto"/>
          <w:szCs w:val="21"/>
          <w:highlight w:val="none"/>
          <w:shd w:val="clear" w:color="auto" w:fill="auto"/>
        </w:rPr>
        <w:t>委托人应按第1.6.2项的约定向</w:t>
      </w:r>
      <w:r>
        <w:rPr>
          <w:rFonts w:hint="eastAsia"/>
          <w:color w:val="auto"/>
          <w:szCs w:val="21"/>
          <w:highlight w:val="none"/>
          <w:shd w:val="clear" w:color="auto" w:fill="auto"/>
        </w:rPr>
        <w:t>监理</w:t>
      </w:r>
      <w:r>
        <w:rPr>
          <w:color w:val="auto"/>
          <w:szCs w:val="21"/>
          <w:highlight w:val="none"/>
          <w:shd w:val="clear" w:color="auto" w:fill="auto"/>
        </w:rPr>
        <w:t>人提供</w:t>
      </w:r>
      <w:r>
        <w:rPr>
          <w:rFonts w:hint="eastAsia"/>
          <w:color w:val="auto"/>
          <w:szCs w:val="21"/>
          <w:highlight w:val="none"/>
          <w:shd w:val="clear" w:color="auto" w:fill="auto"/>
        </w:rPr>
        <w:t>监理</w:t>
      </w:r>
      <w:r>
        <w:rPr>
          <w:color w:val="auto"/>
          <w:szCs w:val="21"/>
          <w:highlight w:val="none"/>
          <w:shd w:val="clear" w:color="auto" w:fill="auto"/>
        </w:rPr>
        <w:t>资料。</w:t>
      </w:r>
    </w:p>
    <w:bookmarkEnd w:id="44"/>
    <w:bookmarkEnd w:id="45"/>
    <w:bookmarkEnd w:id="46"/>
    <w:bookmarkEnd w:id="47"/>
    <w:bookmarkEnd w:id="48"/>
    <w:p w14:paraId="2824DB9A">
      <w:pPr>
        <w:pStyle w:val="6"/>
        <w:spacing w:line="540" w:lineRule="exact"/>
        <w:ind w:firstLine="137"/>
        <w:rPr>
          <w:rFonts w:ascii="Times New Roman"/>
          <w:color w:val="auto"/>
          <w:highlight w:val="none"/>
          <w:shd w:val="clear" w:color="auto" w:fill="auto"/>
        </w:rPr>
      </w:pPr>
      <w:bookmarkStart w:id="59" w:name="_Toc482188565"/>
      <w:bookmarkStart w:id="60" w:name="_Toc8486"/>
      <w:r>
        <w:rPr>
          <w:rFonts w:ascii="Times New Roman"/>
          <w:color w:val="auto"/>
          <w:highlight w:val="none"/>
          <w:shd w:val="clear" w:color="auto" w:fill="auto"/>
        </w:rPr>
        <w:t xml:space="preserve">2.6 </w:t>
      </w:r>
      <w:r>
        <w:rPr>
          <w:rFonts w:hint="eastAsia" w:ascii="Times New Roman"/>
          <w:color w:val="auto"/>
          <w:highlight w:val="none"/>
          <w:shd w:val="clear" w:color="auto" w:fill="auto"/>
        </w:rPr>
        <w:t>其他义务</w:t>
      </w:r>
      <w:bookmarkEnd w:id="59"/>
      <w:bookmarkEnd w:id="60"/>
    </w:p>
    <w:p w14:paraId="62BCFABE">
      <w:pPr>
        <w:spacing w:line="540" w:lineRule="exact"/>
        <w:ind w:firstLine="420" w:firstLineChars="200"/>
        <w:rPr>
          <w:color w:val="auto"/>
          <w:szCs w:val="21"/>
          <w:highlight w:val="none"/>
          <w:shd w:val="clear" w:color="auto" w:fill="auto"/>
        </w:rPr>
      </w:pPr>
      <w:r>
        <w:rPr>
          <w:color w:val="auto"/>
          <w:szCs w:val="21"/>
          <w:highlight w:val="none"/>
          <w:shd w:val="clear" w:color="auto" w:fill="auto"/>
        </w:rPr>
        <w:t>委托人应履行合同约定的其他义务</w:t>
      </w:r>
      <w:bookmarkStart w:id="61" w:name="_Toc370281728"/>
      <w:bookmarkStart w:id="62" w:name="_Toc385942924"/>
      <w:r>
        <w:rPr>
          <w:color w:val="auto"/>
          <w:szCs w:val="21"/>
          <w:highlight w:val="none"/>
          <w:shd w:val="clear" w:color="auto" w:fill="auto"/>
        </w:rPr>
        <w:t>。</w:t>
      </w:r>
    </w:p>
    <w:p w14:paraId="01E0AD19">
      <w:pPr>
        <w:pStyle w:val="5"/>
        <w:spacing w:line="540" w:lineRule="exact"/>
        <w:rPr>
          <w:rFonts w:ascii="Times New Roman" w:hAnsi="Times New Roman"/>
          <w:color w:val="auto"/>
          <w:highlight w:val="none"/>
          <w:shd w:val="clear" w:color="auto" w:fill="auto"/>
        </w:rPr>
      </w:pPr>
      <w:bookmarkStart w:id="63" w:name="_Toc29774"/>
      <w:bookmarkStart w:id="64" w:name="_Toc482188566"/>
      <w:r>
        <w:rPr>
          <w:rFonts w:ascii="Times New Roman" w:hAnsi="Times New Roman"/>
          <w:color w:val="auto"/>
          <w:highlight w:val="none"/>
          <w:shd w:val="clear" w:color="auto" w:fill="auto"/>
        </w:rPr>
        <w:t>3. 委托人管</w:t>
      </w:r>
      <w:bookmarkEnd w:id="61"/>
      <w:bookmarkEnd w:id="62"/>
      <w:r>
        <w:rPr>
          <w:rFonts w:ascii="Times New Roman" w:hAnsi="Times New Roman"/>
          <w:color w:val="auto"/>
          <w:highlight w:val="none"/>
          <w:shd w:val="clear" w:color="auto" w:fill="auto"/>
        </w:rPr>
        <w:t>理</w:t>
      </w:r>
      <w:bookmarkEnd w:id="63"/>
      <w:bookmarkEnd w:id="64"/>
    </w:p>
    <w:p w14:paraId="6702ED69">
      <w:pPr>
        <w:pStyle w:val="6"/>
        <w:spacing w:line="540" w:lineRule="exact"/>
        <w:ind w:firstLine="137"/>
        <w:rPr>
          <w:rFonts w:ascii="Times New Roman"/>
          <w:color w:val="auto"/>
          <w:highlight w:val="none"/>
          <w:shd w:val="clear" w:color="auto" w:fill="auto"/>
        </w:rPr>
      </w:pPr>
      <w:bookmarkStart w:id="65" w:name="_Toc30335"/>
      <w:bookmarkStart w:id="66" w:name="_Toc482188567"/>
      <w:r>
        <w:rPr>
          <w:rFonts w:ascii="Times New Roman"/>
          <w:color w:val="auto"/>
          <w:highlight w:val="none"/>
          <w:shd w:val="clear" w:color="auto" w:fill="auto"/>
        </w:rPr>
        <w:t xml:space="preserve">3.1 </w:t>
      </w:r>
      <w:r>
        <w:rPr>
          <w:rFonts w:hint="eastAsia" w:ascii="Times New Roman"/>
          <w:color w:val="auto"/>
          <w:highlight w:val="none"/>
          <w:shd w:val="clear" w:color="auto" w:fill="auto"/>
        </w:rPr>
        <w:t>委托人代表</w:t>
      </w:r>
      <w:bookmarkEnd w:id="65"/>
      <w:bookmarkEnd w:id="66"/>
    </w:p>
    <w:p w14:paraId="476F1F19">
      <w:pPr>
        <w:spacing w:line="540" w:lineRule="exact"/>
        <w:ind w:firstLine="420" w:firstLineChars="200"/>
        <w:rPr>
          <w:color w:val="auto"/>
          <w:highlight w:val="none"/>
          <w:shd w:val="clear" w:color="auto" w:fill="auto"/>
        </w:rPr>
      </w:pPr>
      <w:r>
        <w:rPr>
          <w:color w:val="auto"/>
          <w:highlight w:val="none"/>
          <w:shd w:val="clear" w:color="auto" w:fill="auto"/>
        </w:rPr>
        <w:t>3.1.1除专用合同条款</w:t>
      </w:r>
      <w:bookmarkStart w:id="67" w:name="_Toc247514057"/>
      <w:bookmarkStart w:id="68" w:name="_Toc385942925"/>
      <w:bookmarkStart w:id="69" w:name="_Toc247527658"/>
      <w:bookmarkStart w:id="70" w:name="_Toc300835055"/>
      <w:bookmarkStart w:id="71" w:name="_Toc370281729"/>
      <w:r>
        <w:rPr>
          <w:color w:val="auto"/>
          <w:highlight w:val="none"/>
          <w:shd w:val="clear" w:color="auto" w:fill="auto"/>
        </w:rPr>
        <w:t>另有约定外，</w:t>
      </w:r>
      <w:bookmarkEnd w:id="67"/>
      <w:bookmarkEnd w:id="68"/>
      <w:bookmarkEnd w:id="69"/>
      <w:bookmarkEnd w:id="70"/>
      <w:bookmarkEnd w:id="71"/>
      <w:r>
        <w:rPr>
          <w:color w:val="auto"/>
          <w:highlight w:val="none"/>
          <w:shd w:val="clear" w:color="auto" w:fill="auto"/>
        </w:rPr>
        <w:t>委托人应在合同签订后14天内，将委托人代</w:t>
      </w:r>
      <w:bookmarkStart w:id="72" w:name="_Toc247527659"/>
      <w:bookmarkStart w:id="73" w:name="_Toc184635100"/>
      <w:bookmarkStart w:id="74" w:name="_Toc247514058"/>
      <w:bookmarkStart w:id="75" w:name="_Toc300835056"/>
      <w:r>
        <w:rPr>
          <w:color w:val="auto"/>
          <w:highlight w:val="none"/>
          <w:shd w:val="clear" w:color="auto" w:fill="auto"/>
        </w:rPr>
        <w:t>表的姓名、职</w:t>
      </w:r>
      <w:bookmarkEnd w:id="72"/>
      <w:bookmarkEnd w:id="73"/>
      <w:bookmarkEnd w:id="74"/>
      <w:bookmarkEnd w:id="75"/>
      <w:r>
        <w:rPr>
          <w:color w:val="auto"/>
          <w:highlight w:val="none"/>
          <w:shd w:val="clear" w:color="auto" w:fill="auto"/>
        </w:rPr>
        <w:t>务、联</w:t>
      </w:r>
      <w:bookmarkStart w:id="76" w:name="_Toc351203511"/>
      <w:r>
        <w:rPr>
          <w:color w:val="auto"/>
          <w:highlight w:val="none"/>
          <w:shd w:val="clear" w:color="auto" w:fill="auto"/>
        </w:rPr>
        <w:t>系方式、授权范围和</w:t>
      </w:r>
      <w:bookmarkEnd w:id="76"/>
      <w:r>
        <w:rPr>
          <w:color w:val="auto"/>
          <w:highlight w:val="none"/>
          <w:shd w:val="clear" w:color="auto" w:fill="auto"/>
        </w:rPr>
        <w:t>授权期限书面通知</w:t>
      </w:r>
      <w:r>
        <w:rPr>
          <w:rFonts w:hint="eastAsia"/>
          <w:color w:val="auto"/>
          <w:szCs w:val="21"/>
          <w:highlight w:val="none"/>
          <w:shd w:val="clear" w:color="auto" w:fill="auto"/>
        </w:rPr>
        <w:t>监理</w:t>
      </w:r>
      <w:r>
        <w:rPr>
          <w:color w:val="auto"/>
          <w:highlight w:val="none"/>
          <w:shd w:val="clear" w:color="auto" w:fill="auto"/>
        </w:rPr>
        <w:t>人，由委托人代表在其授权范围和授权期限内，代表委托人行使权利、履行义务和处理合同履行中的具体事宜。委托人代表在授权范围内的行为由委托人承担法律责任。</w:t>
      </w:r>
    </w:p>
    <w:p w14:paraId="1E84565A">
      <w:pPr>
        <w:spacing w:line="540" w:lineRule="exact"/>
        <w:ind w:firstLine="420" w:firstLineChars="200"/>
        <w:rPr>
          <w:color w:val="auto"/>
          <w:highlight w:val="none"/>
          <w:shd w:val="clear" w:color="auto" w:fill="auto"/>
        </w:rPr>
      </w:pPr>
      <w:r>
        <w:rPr>
          <w:color w:val="auto"/>
          <w:highlight w:val="none"/>
          <w:shd w:val="clear" w:color="auto" w:fill="auto"/>
        </w:rPr>
        <w:t>3.1.2委托人代表违反法律法规、违背职业道德守则或者不按合同约定履行职责及义务，导致合同无法继续正常履行的，</w:t>
      </w:r>
      <w:r>
        <w:rPr>
          <w:rFonts w:hint="eastAsia"/>
          <w:color w:val="auto"/>
          <w:szCs w:val="21"/>
          <w:highlight w:val="none"/>
          <w:shd w:val="clear" w:color="auto" w:fill="auto"/>
        </w:rPr>
        <w:t>监理</w:t>
      </w:r>
      <w:r>
        <w:rPr>
          <w:color w:val="auto"/>
          <w:highlight w:val="none"/>
          <w:shd w:val="clear" w:color="auto" w:fill="auto"/>
        </w:rPr>
        <w:t>人有权通知委托人更换委托人代表。委托人收到通知后7天内，应当核实完毕并将处理结果通知</w:t>
      </w:r>
      <w:r>
        <w:rPr>
          <w:rFonts w:hint="eastAsia"/>
          <w:color w:val="auto"/>
          <w:szCs w:val="21"/>
          <w:highlight w:val="none"/>
          <w:shd w:val="clear" w:color="auto" w:fill="auto"/>
        </w:rPr>
        <w:t>监理</w:t>
      </w:r>
      <w:r>
        <w:rPr>
          <w:color w:val="auto"/>
          <w:highlight w:val="none"/>
          <w:shd w:val="clear" w:color="auto" w:fill="auto"/>
        </w:rPr>
        <w:t>人。</w:t>
      </w:r>
    </w:p>
    <w:p w14:paraId="2BCA572D">
      <w:pPr>
        <w:spacing w:line="540" w:lineRule="exact"/>
        <w:ind w:firstLine="420" w:firstLineChars="200"/>
        <w:rPr>
          <w:color w:val="auto"/>
          <w:highlight w:val="none"/>
          <w:shd w:val="clear" w:color="auto" w:fill="auto"/>
        </w:rPr>
      </w:pPr>
      <w:r>
        <w:rPr>
          <w:color w:val="auto"/>
          <w:highlight w:val="none"/>
          <w:shd w:val="clear" w:color="auto" w:fill="auto"/>
        </w:rPr>
        <w:t>3.1.3 委托人更换委托人代表的，应提前14天将更换人员的姓名、职务、联系方式、授权范围和授权期限书面通知</w:t>
      </w:r>
      <w:r>
        <w:rPr>
          <w:rFonts w:hint="eastAsia"/>
          <w:color w:val="auto"/>
          <w:szCs w:val="21"/>
          <w:highlight w:val="none"/>
          <w:shd w:val="clear" w:color="auto" w:fill="auto"/>
        </w:rPr>
        <w:t>监理</w:t>
      </w:r>
      <w:r>
        <w:rPr>
          <w:color w:val="auto"/>
          <w:highlight w:val="none"/>
          <w:shd w:val="clear" w:color="auto" w:fill="auto"/>
        </w:rPr>
        <w:t>人。</w:t>
      </w:r>
      <w:r>
        <w:rPr>
          <w:rFonts w:ascii="宋体" w:hAnsi="宋体" w:cs="宋体"/>
          <w:color w:val="auto"/>
          <w:highlight w:val="none"/>
          <w:shd w:val="clear" w:color="auto" w:fill="auto"/>
        </w:rPr>
        <w:t xml:space="preserve">委托人代表超过 </w:t>
      </w:r>
      <w:r>
        <w:rPr>
          <w:rFonts w:eastAsia="Times New Roman"/>
          <w:color w:val="auto"/>
          <w:highlight w:val="none"/>
          <w:shd w:val="clear" w:color="auto" w:fill="auto"/>
        </w:rPr>
        <w:t xml:space="preserve">2 </w:t>
      </w:r>
      <w:r>
        <w:rPr>
          <w:rFonts w:ascii="宋体" w:hAnsi="宋体" w:cs="宋体"/>
          <w:color w:val="auto"/>
          <w:highlight w:val="none"/>
          <w:shd w:val="clear" w:color="auto" w:fill="auto"/>
        </w:rPr>
        <w:t>天不能履行职责的，应委派代表代行其职责，并通知监理人。</w:t>
      </w:r>
    </w:p>
    <w:p w14:paraId="46ADCD5B">
      <w:pPr>
        <w:pStyle w:val="6"/>
        <w:spacing w:line="540" w:lineRule="exact"/>
        <w:ind w:firstLine="137"/>
        <w:rPr>
          <w:rFonts w:ascii="Times New Roman"/>
          <w:color w:val="auto"/>
          <w:highlight w:val="none"/>
          <w:shd w:val="clear" w:color="auto" w:fill="auto"/>
        </w:rPr>
      </w:pPr>
      <w:bookmarkStart w:id="77" w:name="_Toc482188569"/>
      <w:bookmarkStart w:id="78" w:name="_Toc30875"/>
      <w:r>
        <w:rPr>
          <w:rFonts w:ascii="Times New Roman"/>
          <w:color w:val="auto"/>
          <w:highlight w:val="none"/>
          <w:shd w:val="clear" w:color="auto" w:fill="auto"/>
        </w:rPr>
        <w:t>3.</w:t>
      </w:r>
      <w:r>
        <w:rPr>
          <w:rFonts w:hint="eastAsia" w:ascii="Times New Roman"/>
          <w:color w:val="auto"/>
          <w:highlight w:val="none"/>
          <w:shd w:val="clear" w:color="auto" w:fill="auto"/>
        </w:rPr>
        <w:t>2</w:t>
      </w:r>
      <w:r>
        <w:rPr>
          <w:rFonts w:ascii="Times New Roman"/>
          <w:color w:val="auto"/>
          <w:highlight w:val="none"/>
          <w:shd w:val="clear" w:color="auto" w:fill="auto"/>
        </w:rPr>
        <w:t xml:space="preserve"> </w:t>
      </w:r>
      <w:r>
        <w:rPr>
          <w:rFonts w:hint="eastAsia" w:ascii="Times New Roman"/>
          <w:color w:val="auto"/>
          <w:highlight w:val="none"/>
          <w:shd w:val="clear" w:color="auto" w:fill="auto"/>
        </w:rPr>
        <w:t>委托人的指示</w:t>
      </w:r>
      <w:bookmarkEnd w:id="77"/>
      <w:bookmarkEnd w:id="78"/>
    </w:p>
    <w:p w14:paraId="0F80D081">
      <w:pPr>
        <w:spacing w:line="540" w:lineRule="exact"/>
        <w:ind w:firstLine="420"/>
        <w:rPr>
          <w:color w:val="auto"/>
          <w:highlight w:val="none"/>
          <w:shd w:val="clear" w:color="auto" w:fill="auto"/>
        </w:rPr>
      </w:pPr>
      <w:r>
        <w:rPr>
          <w:color w:val="auto"/>
          <w:highlight w:val="none"/>
          <w:shd w:val="clear" w:color="auto" w:fill="auto"/>
        </w:rPr>
        <w:t xml:space="preserve">3.2.1 委托人应按合同约定向监理人发出指示，委托人的指示应盖有委托人单位章，并由委托人代表签字确认。 </w:t>
      </w:r>
    </w:p>
    <w:p w14:paraId="5C3AD070">
      <w:pPr>
        <w:spacing w:line="540" w:lineRule="exact"/>
        <w:ind w:firstLine="420"/>
        <w:rPr>
          <w:color w:val="auto"/>
          <w:highlight w:val="none"/>
          <w:shd w:val="clear" w:color="auto" w:fill="auto"/>
        </w:rPr>
      </w:pPr>
      <w:r>
        <w:rPr>
          <w:color w:val="auto"/>
          <w:highlight w:val="none"/>
          <w:shd w:val="clear" w:color="auto" w:fill="auto"/>
        </w:rPr>
        <w:t xml:space="preserve">3.2.2 监理人收到委托人作出的指示后应遵照执行。指示构成变更的，应按第 8 条执行。 </w:t>
      </w:r>
    </w:p>
    <w:p w14:paraId="49817CFC">
      <w:pPr>
        <w:spacing w:line="540" w:lineRule="exact"/>
        <w:ind w:firstLine="420"/>
        <w:rPr>
          <w:color w:val="auto"/>
          <w:highlight w:val="none"/>
          <w:shd w:val="clear" w:color="auto" w:fill="auto"/>
        </w:rPr>
      </w:pPr>
      <w:r>
        <w:rPr>
          <w:color w:val="auto"/>
          <w:highlight w:val="none"/>
          <w:shd w:val="clear" w:color="auto" w:fill="auto"/>
        </w:rPr>
        <w:t xml:space="preserve">3.2.3 在紧急情况下，委托人代表或其授权人员可以当场签发临时书面指示，监理人应遵照执行。委托人代表应在临时书面指示发出后 24 小时内发出书面确认函，逾期未发出书面确认函的，该临时书面指示应被视为委托人的正式指示。 </w:t>
      </w:r>
    </w:p>
    <w:p w14:paraId="141A1972">
      <w:pPr>
        <w:spacing w:line="540" w:lineRule="exact"/>
        <w:ind w:firstLine="420"/>
        <w:rPr>
          <w:color w:val="auto"/>
          <w:szCs w:val="21"/>
          <w:highlight w:val="none"/>
          <w:shd w:val="clear" w:color="auto" w:fill="auto"/>
        </w:rPr>
      </w:pPr>
      <w:r>
        <w:rPr>
          <w:color w:val="auto"/>
          <w:highlight w:val="none"/>
          <w:shd w:val="clear" w:color="auto" w:fill="auto"/>
        </w:rPr>
        <w:t>3.2.4 由于委托人未能按合同约定发出指示、指示延误或指示错误而导致监理人费用增加和（或）周期延误的，委托人应承担由此增加的费用和（或）周期延误。</w:t>
      </w:r>
    </w:p>
    <w:p w14:paraId="4C7EBA0A">
      <w:pPr>
        <w:pStyle w:val="6"/>
        <w:spacing w:line="540" w:lineRule="exact"/>
        <w:ind w:firstLine="137"/>
        <w:rPr>
          <w:rFonts w:ascii="Times New Roman"/>
          <w:color w:val="auto"/>
          <w:highlight w:val="none"/>
          <w:shd w:val="clear" w:color="auto" w:fill="auto"/>
        </w:rPr>
      </w:pPr>
      <w:bookmarkStart w:id="79" w:name="_Toc9517"/>
      <w:bookmarkStart w:id="80" w:name="_Toc482188570"/>
      <w:r>
        <w:rPr>
          <w:rFonts w:ascii="Times New Roman"/>
          <w:color w:val="auto"/>
          <w:highlight w:val="none"/>
          <w:shd w:val="clear" w:color="auto" w:fill="auto"/>
        </w:rPr>
        <w:t>3.</w:t>
      </w:r>
      <w:r>
        <w:rPr>
          <w:rFonts w:hint="eastAsia" w:ascii="Times New Roman"/>
          <w:color w:val="auto"/>
          <w:highlight w:val="none"/>
          <w:shd w:val="clear" w:color="auto" w:fill="auto"/>
        </w:rPr>
        <w:t>3</w:t>
      </w:r>
      <w:r>
        <w:rPr>
          <w:rFonts w:ascii="Times New Roman"/>
          <w:color w:val="auto"/>
          <w:highlight w:val="none"/>
          <w:shd w:val="clear" w:color="auto" w:fill="auto"/>
        </w:rPr>
        <w:t xml:space="preserve"> </w:t>
      </w:r>
      <w:r>
        <w:rPr>
          <w:rFonts w:hint="eastAsia" w:ascii="Times New Roman"/>
          <w:color w:val="auto"/>
          <w:highlight w:val="none"/>
          <w:shd w:val="clear" w:color="auto" w:fill="auto"/>
        </w:rPr>
        <w:t>决定或答复</w:t>
      </w:r>
      <w:bookmarkEnd w:id="79"/>
      <w:bookmarkEnd w:id="80"/>
    </w:p>
    <w:p w14:paraId="7271FC43">
      <w:pPr>
        <w:spacing w:line="540" w:lineRule="exact"/>
        <w:ind w:firstLine="420" w:firstLineChars="200"/>
        <w:rPr>
          <w:color w:val="auto"/>
          <w:szCs w:val="21"/>
          <w:highlight w:val="none"/>
          <w:shd w:val="clear" w:color="auto" w:fill="auto"/>
        </w:rPr>
      </w:pPr>
      <w:bookmarkStart w:id="81" w:name="_Toc385942926"/>
      <w:bookmarkStart w:id="82" w:name="_Toc300835062"/>
      <w:bookmarkStart w:id="83" w:name="_Toc385592088"/>
      <w:bookmarkStart w:id="84" w:name="_Toc247514064"/>
      <w:bookmarkStart w:id="85" w:name="_Toc247527665"/>
      <w:bookmarkStart w:id="86" w:name="_Toc184635101"/>
      <w:bookmarkStart w:id="87" w:name="_Toc370281730"/>
      <w:r>
        <w:rPr>
          <w:color w:val="auto"/>
          <w:szCs w:val="21"/>
          <w:highlight w:val="none"/>
          <w:shd w:val="clear" w:color="auto" w:fill="auto"/>
        </w:rPr>
        <w:t xml:space="preserve">3.3.1 委托人在法律允许的范围内有权对监理人的监理工作和/或监理文件作出处理决定，监理人应按照委托人的决定执行，涉及监理服务期限或监理报酬等问题按第 8 条的约定处理。 </w:t>
      </w:r>
    </w:p>
    <w:p w14:paraId="77A728CA">
      <w:pPr>
        <w:spacing w:line="540" w:lineRule="exact"/>
        <w:ind w:firstLine="420" w:firstLineChars="200"/>
        <w:rPr>
          <w:color w:val="auto"/>
          <w:szCs w:val="21"/>
          <w:highlight w:val="none"/>
          <w:shd w:val="clear" w:color="auto" w:fill="auto"/>
        </w:rPr>
      </w:pPr>
      <w:r>
        <w:rPr>
          <w:color w:val="auto"/>
          <w:szCs w:val="21"/>
          <w:highlight w:val="none"/>
          <w:shd w:val="clear" w:color="auto" w:fill="auto"/>
        </w:rPr>
        <w:t>3.3.2 委托人应在专用合同条款约定的时间之内，对监理人书面提出的事项作出书面答复；逾期没有做出答复的，视为已获得委托人的批准。</w:t>
      </w:r>
    </w:p>
    <w:p w14:paraId="1F305D73">
      <w:pPr>
        <w:pStyle w:val="5"/>
        <w:spacing w:line="540" w:lineRule="exact"/>
        <w:rPr>
          <w:rFonts w:ascii="Times New Roman" w:hAnsi="Times New Roman"/>
          <w:color w:val="auto"/>
          <w:highlight w:val="none"/>
          <w:shd w:val="clear" w:color="auto" w:fill="auto"/>
        </w:rPr>
      </w:pPr>
      <w:bookmarkStart w:id="88" w:name="_Toc24569"/>
      <w:bookmarkStart w:id="89" w:name="_Toc482188571"/>
      <w:r>
        <w:rPr>
          <w:rFonts w:ascii="Times New Roman" w:hAnsi="Times New Roman"/>
          <w:color w:val="auto"/>
          <w:highlight w:val="none"/>
          <w:shd w:val="clear" w:color="auto" w:fill="auto"/>
        </w:rPr>
        <w:t xml:space="preserve">4. </w:t>
      </w:r>
      <w:r>
        <w:rPr>
          <w:rFonts w:hint="eastAsia" w:ascii="Times New Roman" w:hAnsi="Times New Roman"/>
          <w:color w:val="auto"/>
          <w:szCs w:val="21"/>
          <w:highlight w:val="none"/>
          <w:shd w:val="clear" w:color="auto" w:fill="auto"/>
        </w:rPr>
        <w:t>监理</w:t>
      </w:r>
      <w:r>
        <w:rPr>
          <w:rFonts w:ascii="Times New Roman" w:hAnsi="Times New Roman"/>
          <w:color w:val="auto"/>
          <w:highlight w:val="none"/>
          <w:shd w:val="clear" w:color="auto" w:fill="auto"/>
        </w:rPr>
        <w:t>人义务</w:t>
      </w:r>
      <w:bookmarkEnd w:id="88"/>
      <w:bookmarkEnd w:id="89"/>
    </w:p>
    <w:p w14:paraId="6B19251D">
      <w:pPr>
        <w:pStyle w:val="6"/>
        <w:spacing w:line="540" w:lineRule="exact"/>
        <w:ind w:firstLine="137"/>
        <w:rPr>
          <w:rFonts w:ascii="Times New Roman"/>
          <w:color w:val="auto"/>
          <w:highlight w:val="none"/>
          <w:shd w:val="clear" w:color="auto" w:fill="auto"/>
        </w:rPr>
      </w:pPr>
      <w:bookmarkStart w:id="90" w:name="_Toc482188572"/>
      <w:bookmarkStart w:id="91" w:name="_Toc8830"/>
      <w:r>
        <w:rPr>
          <w:rFonts w:ascii="Times New Roman"/>
          <w:color w:val="auto"/>
          <w:highlight w:val="none"/>
          <w:shd w:val="clear" w:color="auto" w:fill="auto"/>
        </w:rPr>
        <w:t xml:space="preserve">4.1 </w:t>
      </w:r>
      <w:r>
        <w:rPr>
          <w:rFonts w:hint="eastAsia" w:ascii="Times New Roman"/>
          <w:color w:val="auto"/>
          <w:szCs w:val="21"/>
          <w:highlight w:val="none"/>
          <w:shd w:val="clear" w:color="auto" w:fill="auto"/>
        </w:rPr>
        <w:t>监理</w:t>
      </w:r>
      <w:r>
        <w:rPr>
          <w:rFonts w:hint="eastAsia" w:ascii="Times New Roman"/>
          <w:color w:val="auto"/>
          <w:highlight w:val="none"/>
          <w:shd w:val="clear" w:color="auto" w:fill="auto"/>
        </w:rPr>
        <w:t>人的一般义务</w:t>
      </w:r>
      <w:bookmarkEnd w:id="90"/>
      <w:bookmarkEnd w:id="91"/>
    </w:p>
    <w:p w14:paraId="470B6F81">
      <w:pPr>
        <w:spacing w:line="540" w:lineRule="exact"/>
        <w:ind w:firstLine="422" w:firstLineChars="200"/>
        <w:rPr>
          <w:b/>
          <w:color w:val="auto"/>
          <w:szCs w:val="21"/>
          <w:highlight w:val="none"/>
          <w:shd w:val="clear" w:color="auto" w:fill="auto"/>
        </w:rPr>
      </w:pPr>
      <w:r>
        <w:rPr>
          <w:b/>
          <w:color w:val="auto"/>
          <w:highlight w:val="none"/>
          <w:shd w:val="clear" w:color="auto" w:fill="auto"/>
        </w:rPr>
        <w:t xml:space="preserve">4.1.1 </w:t>
      </w:r>
      <w:r>
        <w:rPr>
          <w:b/>
          <w:color w:val="auto"/>
          <w:szCs w:val="21"/>
          <w:highlight w:val="none"/>
          <w:shd w:val="clear" w:color="auto" w:fill="auto"/>
        </w:rPr>
        <w:t>遵守法律</w:t>
      </w:r>
    </w:p>
    <w:p w14:paraId="25CF8BD0">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监理</w:t>
      </w:r>
      <w:r>
        <w:rPr>
          <w:color w:val="auto"/>
          <w:szCs w:val="21"/>
          <w:highlight w:val="none"/>
          <w:shd w:val="clear" w:color="auto" w:fill="auto"/>
        </w:rPr>
        <w:t>人在履行合同过程中应遵守法律，并保证委托人免于承担因</w:t>
      </w:r>
      <w:bookmarkEnd w:id="81"/>
      <w:bookmarkEnd w:id="82"/>
      <w:bookmarkEnd w:id="83"/>
      <w:bookmarkEnd w:id="84"/>
      <w:bookmarkEnd w:id="85"/>
      <w:bookmarkEnd w:id="86"/>
      <w:bookmarkEnd w:id="87"/>
      <w:r>
        <w:rPr>
          <w:rFonts w:hint="eastAsia"/>
          <w:color w:val="auto"/>
          <w:szCs w:val="21"/>
          <w:highlight w:val="none"/>
          <w:shd w:val="clear" w:color="auto" w:fill="auto"/>
        </w:rPr>
        <w:t>监理</w:t>
      </w:r>
      <w:r>
        <w:rPr>
          <w:color w:val="auto"/>
          <w:szCs w:val="21"/>
          <w:highlight w:val="none"/>
          <w:shd w:val="clear" w:color="auto" w:fill="auto"/>
        </w:rPr>
        <w:t>人</w:t>
      </w:r>
      <w:bookmarkStart w:id="92" w:name="_Toc247527666"/>
      <w:bookmarkStart w:id="93" w:name="_Toc300835063"/>
      <w:bookmarkStart w:id="94" w:name="_Toc370281731"/>
      <w:bookmarkStart w:id="95" w:name="_Toc385942927"/>
      <w:bookmarkStart w:id="96" w:name="_Toc247514065"/>
      <w:r>
        <w:rPr>
          <w:color w:val="auto"/>
          <w:szCs w:val="21"/>
          <w:highlight w:val="none"/>
          <w:shd w:val="clear" w:color="auto" w:fill="auto"/>
        </w:rPr>
        <w:t>违反法律而引起的任何责任。</w:t>
      </w:r>
    </w:p>
    <w:bookmarkEnd w:id="92"/>
    <w:bookmarkEnd w:id="93"/>
    <w:bookmarkEnd w:id="94"/>
    <w:bookmarkEnd w:id="95"/>
    <w:bookmarkEnd w:id="96"/>
    <w:p w14:paraId="42D0EF67">
      <w:pPr>
        <w:spacing w:line="540" w:lineRule="exact"/>
        <w:ind w:firstLine="422" w:firstLineChars="200"/>
        <w:rPr>
          <w:b/>
          <w:color w:val="auto"/>
          <w:szCs w:val="21"/>
          <w:highlight w:val="none"/>
          <w:shd w:val="clear" w:color="auto" w:fill="auto"/>
        </w:rPr>
      </w:pPr>
      <w:r>
        <w:rPr>
          <w:b/>
          <w:color w:val="auto"/>
          <w:highlight w:val="none"/>
          <w:shd w:val="clear" w:color="auto" w:fill="auto"/>
        </w:rPr>
        <w:t xml:space="preserve">4.1.2 </w:t>
      </w:r>
      <w:r>
        <w:rPr>
          <w:b/>
          <w:color w:val="auto"/>
          <w:szCs w:val="21"/>
          <w:highlight w:val="none"/>
          <w:shd w:val="clear" w:color="auto" w:fill="auto"/>
        </w:rPr>
        <w:t>依法纳税</w:t>
      </w:r>
    </w:p>
    <w:p w14:paraId="6737CAA7">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监理</w:t>
      </w:r>
      <w:r>
        <w:rPr>
          <w:color w:val="auto"/>
          <w:szCs w:val="21"/>
          <w:highlight w:val="none"/>
          <w:shd w:val="clear" w:color="auto" w:fill="auto"/>
        </w:rPr>
        <w:t>人应按有关法律规定纳税，应缴纳的税金（含增值税）包括在合同价格之中。</w:t>
      </w:r>
    </w:p>
    <w:p w14:paraId="7242FF8F">
      <w:pPr>
        <w:spacing w:line="540" w:lineRule="exact"/>
        <w:ind w:firstLine="422" w:firstLineChars="200"/>
        <w:rPr>
          <w:b/>
          <w:color w:val="auto"/>
          <w:szCs w:val="21"/>
          <w:highlight w:val="none"/>
          <w:shd w:val="clear" w:color="auto" w:fill="auto"/>
        </w:rPr>
      </w:pPr>
      <w:r>
        <w:rPr>
          <w:b/>
          <w:color w:val="auto"/>
          <w:highlight w:val="none"/>
          <w:shd w:val="clear" w:color="auto" w:fill="auto"/>
        </w:rPr>
        <w:t xml:space="preserve">4.1.3 </w:t>
      </w:r>
      <w:r>
        <w:rPr>
          <w:b/>
          <w:color w:val="auto"/>
          <w:szCs w:val="21"/>
          <w:highlight w:val="none"/>
          <w:shd w:val="clear" w:color="auto" w:fill="auto"/>
        </w:rPr>
        <w:t>完成全部</w:t>
      </w:r>
      <w:r>
        <w:rPr>
          <w:rFonts w:hint="eastAsia"/>
          <w:b/>
          <w:color w:val="auto"/>
          <w:szCs w:val="21"/>
          <w:highlight w:val="none"/>
          <w:shd w:val="clear" w:color="auto" w:fill="auto"/>
        </w:rPr>
        <w:t>监理</w:t>
      </w:r>
      <w:r>
        <w:rPr>
          <w:b/>
          <w:color w:val="auto"/>
          <w:szCs w:val="21"/>
          <w:highlight w:val="none"/>
          <w:shd w:val="clear" w:color="auto" w:fill="auto"/>
        </w:rPr>
        <w:t>工作</w:t>
      </w:r>
    </w:p>
    <w:p w14:paraId="5BBDBB55">
      <w:pPr>
        <w:spacing w:line="540" w:lineRule="exact"/>
        <w:ind w:firstLine="420" w:firstLineChars="200"/>
        <w:rPr>
          <w:color w:val="auto"/>
          <w:szCs w:val="21"/>
          <w:highlight w:val="none"/>
          <w:shd w:val="clear" w:color="auto" w:fill="auto"/>
        </w:rPr>
      </w:pPr>
      <w:r>
        <w:rPr>
          <w:color w:val="auto"/>
          <w:szCs w:val="21"/>
          <w:highlight w:val="none"/>
          <w:shd w:val="clear" w:color="auto" w:fill="auto"/>
        </w:rPr>
        <w:t>监理人应按合同约定以及委托人要求，完成合同约定的全部工作，并对工作中的任何缺陷进行整改，使其满足合同约定的目的。</w:t>
      </w:r>
    </w:p>
    <w:p w14:paraId="44A55D0C">
      <w:pPr>
        <w:spacing w:line="540" w:lineRule="exact"/>
        <w:ind w:firstLine="422" w:firstLineChars="200"/>
        <w:rPr>
          <w:b/>
          <w:color w:val="auto"/>
          <w:szCs w:val="21"/>
          <w:highlight w:val="none"/>
          <w:shd w:val="clear" w:color="auto" w:fill="auto"/>
        </w:rPr>
      </w:pPr>
      <w:r>
        <w:rPr>
          <w:b/>
          <w:color w:val="auto"/>
          <w:highlight w:val="none"/>
          <w:shd w:val="clear" w:color="auto" w:fill="auto"/>
        </w:rPr>
        <w:t>4.1.</w:t>
      </w:r>
      <w:r>
        <w:rPr>
          <w:rFonts w:hint="eastAsia"/>
          <w:b/>
          <w:color w:val="auto"/>
          <w:highlight w:val="none"/>
          <w:shd w:val="clear" w:color="auto" w:fill="auto"/>
        </w:rPr>
        <w:t>4</w:t>
      </w:r>
      <w:r>
        <w:rPr>
          <w:b/>
          <w:color w:val="auto"/>
          <w:highlight w:val="none"/>
          <w:shd w:val="clear" w:color="auto" w:fill="auto"/>
        </w:rPr>
        <w:t xml:space="preserve"> </w:t>
      </w:r>
      <w:r>
        <w:rPr>
          <w:b/>
          <w:color w:val="auto"/>
          <w:szCs w:val="21"/>
          <w:highlight w:val="none"/>
          <w:shd w:val="clear" w:color="auto" w:fill="auto"/>
        </w:rPr>
        <w:t>其他义务</w:t>
      </w:r>
    </w:p>
    <w:p w14:paraId="3CF760D3">
      <w:pPr>
        <w:spacing w:line="540" w:lineRule="exact"/>
        <w:ind w:firstLine="420" w:firstLineChars="200"/>
        <w:rPr>
          <w:color w:val="auto"/>
          <w:highlight w:val="none"/>
          <w:shd w:val="clear" w:color="auto" w:fill="auto"/>
        </w:rPr>
      </w:pPr>
      <w:r>
        <w:rPr>
          <w:rFonts w:hint="eastAsia"/>
          <w:color w:val="auto"/>
          <w:szCs w:val="21"/>
          <w:highlight w:val="none"/>
          <w:shd w:val="clear" w:color="auto" w:fill="auto"/>
        </w:rPr>
        <w:t>监理</w:t>
      </w:r>
      <w:r>
        <w:rPr>
          <w:color w:val="auto"/>
          <w:szCs w:val="21"/>
          <w:highlight w:val="none"/>
          <w:shd w:val="clear" w:color="auto" w:fill="auto"/>
        </w:rPr>
        <w:t>人应履行合同约定的其他义务。</w:t>
      </w:r>
    </w:p>
    <w:p w14:paraId="0B6A43DF">
      <w:pPr>
        <w:pStyle w:val="6"/>
        <w:spacing w:line="540" w:lineRule="exact"/>
        <w:ind w:firstLine="137"/>
        <w:rPr>
          <w:rFonts w:ascii="Times New Roman"/>
          <w:color w:val="auto"/>
          <w:highlight w:val="none"/>
          <w:shd w:val="clear" w:color="auto" w:fill="auto"/>
        </w:rPr>
      </w:pPr>
      <w:bookmarkStart w:id="97" w:name="_Toc485303383"/>
      <w:bookmarkStart w:id="98" w:name="_Toc382920065"/>
      <w:bookmarkStart w:id="99" w:name="_Toc9444"/>
      <w:bookmarkStart w:id="100" w:name="_Toc13239"/>
      <w:bookmarkStart w:id="101" w:name="_Toc482188573"/>
      <w:bookmarkStart w:id="102" w:name="_Toc300835075"/>
      <w:bookmarkStart w:id="103" w:name="_Toc247514076"/>
      <w:bookmarkStart w:id="104" w:name="_Toc247527677"/>
      <w:bookmarkStart w:id="105" w:name="_Toc300835076"/>
      <w:r>
        <w:rPr>
          <w:rFonts w:ascii="Times New Roman"/>
          <w:color w:val="auto"/>
          <w:highlight w:val="none"/>
          <w:shd w:val="clear" w:color="auto" w:fill="auto"/>
        </w:rPr>
        <w:t xml:space="preserve">4.2 </w:t>
      </w:r>
      <w:r>
        <w:rPr>
          <w:rFonts w:hint="eastAsia" w:ascii="Times New Roman"/>
          <w:color w:val="auto"/>
          <w:highlight w:val="none"/>
          <w:shd w:val="clear" w:color="auto" w:fill="auto"/>
        </w:rPr>
        <w:t>履约保证金</w:t>
      </w:r>
      <w:bookmarkEnd w:id="97"/>
      <w:bookmarkEnd w:id="98"/>
      <w:bookmarkEnd w:id="99"/>
      <w:bookmarkEnd w:id="100"/>
    </w:p>
    <w:p w14:paraId="62672A2B">
      <w:pPr>
        <w:spacing w:line="540" w:lineRule="exact"/>
        <w:ind w:firstLine="420" w:firstLineChars="200"/>
        <w:rPr>
          <w:color w:val="auto"/>
          <w:szCs w:val="21"/>
          <w:highlight w:val="none"/>
          <w:shd w:val="clear" w:color="auto" w:fill="auto"/>
        </w:rPr>
      </w:pPr>
      <w:r>
        <w:rPr>
          <w:rFonts w:hint="eastAsia" w:ascii="宋体" w:hAnsi="宋体" w:cs="宋体"/>
          <w:color w:val="auto"/>
          <w:highlight w:val="none"/>
          <w:shd w:val="clear" w:color="auto" w:fill="auto"/>
        </w:rPr>
        <w:t>监理人在合同签订后28日内按照合同价的</w:t>
      </w:r>
      <w:r>
        <w:rPr>
          <w:rFonts w:hint="eastAsia" w:ascii="宋体" w:hAnsi="宋体" w:cs="宋体"/>
          <w:color w:val="auto"/>
          <w:highlight w:val="none"/>
          <w:u w:val="single"/>
          <w:shd w:val="clear" w:color="auto" w:fill="auto"/>
        </w:rPr>
        <w:t>10%</w:t>
      </w:r>
      <w:r>
        <w:rPr>
          <w:rFonts w:hint="eastAsia" w:ascii="宋体" w:hAnsi="宋体" w:cs="宋体"/>
          <w:color w:val="auto"/>
          <w:highlight w:val="none"/>
          <w:shd w:val="clear" w:color="auto" w:fill="auto"/>
        </w:rPr>
        <w:t>向发包人提交履约担保。履约担保形式：</w:t>
      </w:r>
      <w:r>
        <w:rPr>
          <w:rFonts w:hint="eastAsia" w:ascii="宋体" w:hAnsi="宋体" w:cs="宋体"/>
          <w:color w:val="auto"/>
          <w:highlight w:val="none"/>
          <w:u w:val="single"/>
          <w:shd w:val="clear" w:color="auto" w:fill="auto"/>
        </w:rPr>
        <w:t>保函、保险。</w:t>
      </w:r>
      <w:r>
        <w:rPr>
          <w:rFonts w:hint="eastAsia" w:ascii="宋体" w:hAnsi="宋体" w:cs="宋体"/>
          <w:color w:val="auto"/>
          <w:highlight w:val="none"/>
          <w:shd w:val="clear" w:color="auto" w:fill="auto"/>
        </w:rPr>
        <w:t>如果监理人不履行合同约定的义务或其履行不符合合同的约定，委托人有权扣划相应金额的履约保证金。</w:t>
      </w:r>
    </w:p>
    <w:bookmarkEnd w:id="101"/>
    <w:p w14:paraId="248875B0">
      <w:pPr>
        <w:pStyle w:val="6"/>
        <w:spacing w:line="540" w:lineRule="exact"/>
        <w:ind w:firstLine="137"/>
        <w:rPr>
          <w:rFonts w:ascii="Times New Roman"/>
          <w:color w:val="auto"/>
          <w:highlight w:val="none"/>
          <w:shd w:val="clear" w:color="auto" w:fill="auto"/>
        </w:rPr>
      </w:pPr>
      <w:bookmarkStart w:id="106" w:name="_Toc6083"/>
      <w:bookmarkStart w:id="107" w:name="_Toc482188574"/>
      <w:r>
        <w:rPr>
          <w:rFonts w:ascii="Times New Roman"/>
          <w:color w:val="auto"/>
          <w:highlight w:val="none"/>
          <w:shd w:val="clear" w:color="auto" w:fill="auto"/>
        </w:rPr>
        <w:t>4.</w:t>
      </w:r>
      <w:r>
        <w:rPr>
          <w:rFonts w:hint="eastAsia" w:ascii="Times New Roman"/>
          <w:color w:val="auto"/>
          <w:highlight w:val="none"/>
          <w:shd w:val="clear" w:color="auto" w:fill="auto"/>
        </w:rPr>
        <w:t>3</w:t>
      </w:r>
      <w:r>
        <w:rPr>
          <w:rFonts w:ascii="Times New Roman"/>
          <w:color w:val="auto"/>
          <w:highlight w:val="none"/>
          <w:shd w:val="clear" w:color="auto" w:fill="auto"/>
        </w:rPr>
        <w:t xml:space="preserve"> </w:t>
      </w:r>
      <w:r>
        <w:rPr>
          <w:rFonts w:hint="eastAsia" w:ascii="Times New Roman"/>
          <w:color w:val="auto"/>
          <w:highlight w:val="none"/>
          <w:shd w:val="clear" w:color="auto" w:fill="auto"/>
        </w:rPr>
        <w:t>联合体</w:t>
      </w:r>
      <w:bookmarkEnd w:id="106"/>
      <w:bookmarkEnd w:id="107"/>
    </w:p>
    <w:p w14:paraId="280E5556">
      <w:pPr>
        <w:spacing w:line="540" w:lineRule="exact"/>
        <w:ind w:firstLine="420" w:firstLineChars="200"/>
        <w:rPr>
          <w:color w:val="auto"/>
          <w:highlight w:val="none"/>
          <w:shd w:val="clear" w:color="auto" w:fill="auto"/>
        </w:rPr>
      </w:pPr>
      <w:r>
        <w:rPr>
          <w:color w:val="auto"/>
          <w:highlight w:val="none"/>
          <w:shd w:val="clear" w:color="auto" w:fill="auto"/>
        </w:rPr>
        <w:t xml:space="preserve">4.3.1 联合体各方应共同与委托人签订合同。联合体各方应为履行合同承担连带责任。 </w:t>
      </w:r>
    </w:p>
    <w:p w14:paraId="4EE39A6F">
      <w:pPr>
        <w:spacing w:line="540" w:lineRule="exact"/>
        <w:ind w:firstLine="420" w:firstLineChars="200"/>
        <w:rPr>
          <w:color w:val="auto"/>
          <w:highlight w:val="none"/>
          <w:shd w:val="clear" w:color="auto" w:fill="auto"/>
        </w:rPr>
      </w:pPr>
      <w:r>
        <w:rPr>
          <w:color w:val="auto"/>
          <w:highlight w:val="none"/>
          <w:shd w:val="clear" w:color="auto" w:fill="auto"/>
        </w:rPr>
        <w:t xml:space="preserve">4.3.2 联合体协议经委托人确认后作为合同附件。在履行合同过程中，未经委托人同意，不得修改联合体协议。 </w:t>
      </w:r>
    </w:p>
    <w:p w14:paraId="2454CD68">
      <w:pPr>
        <w:spacing w:line="540" w:lineRule="exact"/>
        <w:ind w:firstLine="420" w:firstLineChars="200"/>
        <w:rPr>
          <w:color w:val="auto"/>
          <w:szCs w:val="21"/>
          <w:highlight w:val="none"/>
          <w:shd w:val="clear" w:color="auto" w:fill="auto"/>
        </w:rPr>
      </w:pPr>
      <w:r>
        <w:rPr>
          <w:color w:val="auto"/>
          <w:highlight w:val="none"/>
          <w:shd w:val="clear" w:color="auto" w:fill="auto"/>
        </w:rPr>
        <w:t>4.3.3 联合体牵头人或联合体授权的代表负责与委托人联系，并接受指示，负责组织联合体各成员全面履行合同。</w:t>
      </w:r>
    </w:p>
    <w:p w14:paraId="652FC197">
      <w:pPr>
        <w:pStyle w:val="6"/>
        <w:spacing w:line="540" w:lineRule="exact"/>
        <w:ind w:firstLine="137"/>
        <w:rPr>
          <w:rFonts w:ascii="Times New Roman"/>
          <w:color w:val="auto"/>
          <w:highlight w:val="none"/>
          <w:shd w:val="clear" w:color="auto" w:fill="auto"/>
        </w:rPr>
      </w:pPr>
      <w:bookmarkStart w:id="108" w:name="_Toc2341"/>
      <w:bookmarkStart w:id="109" w:name="_Toc482188575"/>
      <w:r>
        <w:rPr>
          <w:rFonts w:ascii="Times New Roman"/>
          <w:color w:val="auto"/>
          <w:highlight w:val="none"/>
          <w:shd w:val="clear" w:color="auto" w:fill="auto"/>
        </w:rPr>
        <w:t>4.</w:t>
      </w:r>
      <w:r>
        <w:rPr>
          <w:rFonts w:hint="eastAsia" w:ascii="Times New Roman"/>
          <w:color w:val="auto"/>
          <w:highlight w:val="none"/>
          <w:shd w:val="clear" w:color="auto" w:fill="auto"/>
        </w:rPr>
        <w:t>4</w:t>
      </w:r>
      <w:r>
        <w:rPr>
          <w:rFonts w:ascii="Times New Roman"/>
          <w:color w:val="auto"/>
          <w:highlight w:val="none"/>
          <w:shd w:val="clear" w:color="auto" w:fill="auto"/>
        </w:rPr>
        <w:t xml:space="preserve"> </w:t>
      </w:r>
      <w:r>
        <w:rPr>
          <w:rFonts w:hint="eastAsia" w:ascii="Times New Roman"/>
          <w:color w:val="auto"/>
          <w:highlight w:val="none"/>
          <w:shd w:val="clear" w:color="auto" w:fill="auto"/>
        </w:rPr>
        <w:t>总监理工程师</w:t>
      </w:r>
      <w:bookmarkEnd w:id="108"/>
      <w:bookmarkEnd w:id="109"/>
    </w:p>
    <w:p w14:paraId="6EB05BB8">
      <w:pPr>
        <w:spacing w:line="540" w:lineRule="exact"/>
        <w:ind w:firstLine="420" w:firstLineChars="200"/>
        <w:rPr>
          <w:color w:val="auto"/>
          <w:highlight w:val="none"/>
          <w:shd w:val="clear" w:color="auto" w:fill="auto"/>
        </w:rPr>
      </w:pPr>
      <w:bookmarkStart w:id="110" w:name="_Toc482188576"/>
      <w:r>
        <w:rPr>
          <w:color w:val="auto"/>
          <w:highlight w:val="none"/>
          <w:shd w:val="clear" w:color="auto" w:fill="auto"/>
        </w:rPr>
        <w:t>4.4.1 监理人应按合同协议书的约定指派总监理工程师，并在约定的期限内到职。监理人更换总监理工程师应事先征得委托人同意，并应在更换 14 天前将拟更换的总监理工程师的姓名和详细资料提交委托人。总监理工程师</w:t>
      </w:r>
      <w:r>
        <w:rPr>
          <w:rFonts w:hint="eastAsia"/>
          <w:color w:val="auto"/>
          <w:highlight w:val="none"/>
          <w:shd w:val="clear" w:color="auto" w:fill="auto"/>
          <w:lang w:val="en-US" w:eastAsia="zh-CN"/>
        </w:rPr>
        <w:t>超过</w:t>
      </w:r>
      <w:r>
        <w:rPr>
          <w:color w:val="auto"/>
          <w:highlight w:val="none"/>
          <w:shd w:val="clear" w:color="auto" w:fill="auto"/>
        </w:rPr>
        <w:t xml:space="preserve">2 天不能履行职责的，应事先征得委托人同意，并委派代表代行其职责。 </w:t>
      </w:r>
    </w:p>
    <w:p w14:paraId="62EAFFF2">
      <w:pPr>
        <w:spacing w:line="540" w:lineRule="exact"/>
        <w:ind w:firstLine="420" w:firstLineChars="200"/>
        <w:rPr>
          <w:color w:val="auto"/>
          <w:highlight w:val="none"/>
          <w:shd w:val="clear" w:color="auto" w:fill="auto"/>
        </w:rPr>
      </w:pPr>
      <w:r>
        <w:rPr>
          <w:color w:val="auto"/>
          <w:highlight w:val="none"/>
          <w:shd w:val="clear" w:color="auto" w:fill="auto"/>
        </w:rPr>
        <w:t xml:space="preserve">4.4.2 总监理工程师应按合同约定以及委托人要求，负责组织合同工作的实施。在情况紧急且无法与委托人取得联系时，可采取保证工程和人员生命财产安全的紧急措施，并在采取措施后 24 小时内向委托人提交书面报告。 </w:t>
      </w:r>
    </w:p>
    <w:p w14:paraId="385DA723">
      <w:pPr>
        <w:spacing w:line="540" w:lineRule="exact"/>
        <w:ind w:firstLine="420" w:firstLineChars="200"/>
        <w:rPr>
          <w:color w:val="auto"/>
          <w:highlight w:val="none"/>
          <w:shd w:val="clear" w:color="auto" w:fill="auto"/>
        </w:rPr>
      </w:pPr>
      <w:r>
        <w:rPr>
          <w:color w:val="auto"/>
          <w:highlight w:val="none"/>
          <w:shd w:val="clear" w:color="auto" w:fill="auto"/>
        </w:rPr>
        <w:t xml:space="preserve">4.4.3 监理人为履行合同发出的一切函件均应盖有监理人单位章或由监理人授权的项目机构章，并由监理人的总监理工程师签字确认。 </w:t>
      </w:r>
    </w:p>
    <w:p w14:paraId="754383B6">
      <w:pPr>
        <w:spacing w:line="540" w:lineRule="exact"/>
        <w:ind w:firstLine="420" w:firstLineChars="200"/>
        <w:rPr>
          <w:color w:val="auto"/>
          <w:szCs w:val="21"/>
          <w:highlight w:val="none"/>
          <w:shd w:val="clear" w:color="auto" w:fill="auto"/>
        </w:rPr>
      </w:pPr>
      <w:r>
        <w:rPr>
          <w:color w:val="auto"/>
          <w:highlight w:val="none"/>
          <w:shd w:val="clear" w:color="auto" w:fill="auto"/>
        </w:rPr>
        <w:t>4.4.4 按照专用合同条款约定，总监理工程师可以授权其下属人员履行其某项职责，但事先应将这些人员的姓名和授权范围书面通知委托人和承包人。</w:t>
      </w:r>
    </w:p>
    <w:p w14:paraId="77D3FB42">
      <w:pPr>
        <w:pStyle w:val="6"/>
        <w:spacing w:line="540" w:lineRule="exact"/>
        <w:ind w:firstLine="137"/>
        <w:rPr>
          <w:rFonts w:ascii="Times New Roman"/>
          <w:color w:val="auto"/>
          <w:highlight w:val="none"/>
          <w:shd w:val="clear" w:color="auto" w:fill="auto"/>
        </w:rPr>
      </w:pPr>
      <w:bookmarkStart w:id="111" w:name="_Toc28272"/>
      <w:r>
        <w:rPr>
          <w:rFonts w:ascii="Times New Roman"/>
          <w:color w:val="auto"/>
          <w:highlight w:val="none"/>
          <w:shd w:val="clear" w:color="auto" w:fill="auto"/>
        </w:rPr>
        <w:t>4.</w:t>
      </w:r>
      <w:r>
        <w:rPr>
          <w:rFonts w:hint="eastAsia" w:ascii="Times New Roman"/>
          <w:color w:val="auto"/>
          <w:highlight w:val="none"/>
          <w:shd w:val="clear" w:color="auto" w:fill="auto"/>
        </w:rPr>
        <w:t>5</w:t>
      </w:r>
      <w:r>
        <w:rPr>
          <w:rFonts w:ascii="Times New Roman"/>
          <w:color w:val="auto"/>
          <w:highlight w:val="none"/>
          <w:shd w:val="clear" w:color="auto" w:fill="auto"/>
        </w:rPr>
        <w:t xml:space="preserve"> </w:t>
      </w:r>
      <w:r>
        <w:rPr>
          <w:rFonts w:hint="eastAsia" w:ascii="Times New Roman"/>
          <w:color w:val="auto"/>
          <w:szCs w:val="21"/>
          <w:highlight w:val="none"/>
          <w:shd w:val="clear" w:color="auto" w:fill="auto"/>
        </w:rPr>
        <w:t>监理</w:t>
      </w:r>
      <w:r>
        <w:rPr>
          <w:rFonts w:hint="eastAsia" w:ascii="Times New Roman"/>
          <w:color w:val="auto"/>
          <w:highlight w:val="none"/>
          <w:shd w:val="clear" w:color="auto" w:fill="auto"/>
        </w:rPr>
        <w:t>人员的管理</w:t>
      </w:r>
      <w:bookmarkEnd w:id="110"/>
      <w:bookmarkEnd w:id="111"/>
    </w:p>
    <w:p w14:paraId="37B47A45">
      <w:pPr>
        <w:spacing w:line="540" w:lineRule="exact"/>
        <w:ind w:firstLine="420" w:firstLineChars="200"/>
        <w:rPr>
          <w:color w:val="auto"/>
          <w:highlight w:val="none"/>
          <w:shd w:val="clear" w:color="auto" w:fill="auto"/>
        </w:rPr>
      </w:pPr>
      <w:r>
        <w:rPr>
          <w:color w:val="auto"/>
          <w:highlight w:val="none"/>
          <w:shd w:val="clear" w:color="auto" w:fill="auto"/>
        </w:rPr>
        <w:t xml:space="preserve">4.5.1 </w:t>
      </w:r>
      <w:r>
        <w:rPr>
          <w:rFonts w:hint="eastAsia"/>
          <w:color w:val="auto"/>
          <w:highlight w:val="none"/>
          <w:shd w:val="clear" w:color="auto" w:fill="auto"/>
        </w:rPr>
        <w:t>监理人应在接到开始监理通知之日起 7 天内，向委托人提交监理项目机构以及人员安排的报告，其内容应包括项目机构设置、主要监理人员的名单及资格条件</w:t>
      </w:r>
      <w:r>
        <w:rPr>
          <w:color w:val="auto"/>
          <w:highlight w:val="none"/>
          <w:shd w:val="clear" w:color="auto" w:fill="auto"/>
        </w:rPr>
        <w:t xml:space="preserve">。主要监理人员应相对稳定，更换主要监理人员的，应取得委托人的同意,并向委托人提交继任人员的资格、管理经验等资料。总监理工程师的更换，应按照本章第 4.4.1 项规定执行。 </w:t>
      </w:r>
    </w:p>
    <w:p w14:paraId="48187CBB">
      <w:pPr>
        <w:spacing w:line="540" w:lineRule="exact"/>
        <w:ind w:firstLine="420" w:firstLineChars="200"/>
        <w:rPr>
          <w:color w:val="auto"/>
          <w:highlight w:val="none"/>
          <w:shd w:val="clear" w:color="auto" w:fill="auto"/>
        </w:rPr>
      </w:pPr>
      <w:r>
        <w:rPr>
          <w:color w:val="auto"/>
          <w:highlight w:val="none"/>
          <w:shd w:val="clear" w:color="auto" w:fill="auto"/>
        </w:rPr>
        <w:t xml:space="preserve">4.5.2 除专用合同条款另有约定外，主要监理人员包括总监理工程师、专业监理工程师等；其他人员包括各专业的监理员、资料员等。 </w:t>
      </w:r>
    </w:p>
    <w:p w14:paraId="72C829C1">
      <w:pPr>
        <w:spacing w:line="540" w:lineRule="exact"/>
        <w:ind w:firstLine="420" w:firstLineChars="200"/>
        <w:rPr>
          <w:color w:val="auto"/>
          <w:highlight w:val="none"/>
          <w:shd w:val="clear" w:color="auto" w:fill="auto"/>
        </w:rPr>
      </w:pPr>
      <w:r>
        <w:rPr>
          <w:color w:val="auto"/>
          <w:highlight w:val="none"/>
          <w:shd w:val="clear" w:color="auto" w:fill="auto"/>
        </w:rPr>
        <w:t xml:space="preserve">4.5.3 监理人应保证其主要监理人员在合同期限内的任何时候，都能按时参加委托人组织的工作会议。 </w:t>
      </w:r>
    </w:p>
    <w:p w14:paraId="03517ACB">
      <w:pPr>
        <w:spacing w:line="540" w:lineRule="exact"/>
        <w:ind w:firstLine="420" w:firstLineChars="200"/>
        <w:rPr>
          <w:color w:val="auto"/>
          <w:szCs w:val="21"/>
          <w:highlight w:val="none"/>
          <w:shd w:val="clear" w:color="auto" w:fill="auto"/>
        </w:rPr>
      </w:pPr>
      <w:r>
        <w:rPr>
          <w:color w:val="auto"/>
          <w:highlight w:val="none"/>
          <w:shd w:val="clear" w:color="auto" w:fill="auto"/>
        </w:rPr>
        <w:t>4.5.4 国家规定应当持证上岗的工作人员均应持有相应的资格证明，委托人有权随时检查。委托人认为有必要时，可以进行现场考核。</w:t>
      </w:r>
    </w:p>
    <w:p w14:paraId="29D9D5FE">
      <w:pPr>
        <w:pStyle w:val="6"/>
        <w:spacing w:line="540" w:lineRule="exact"/>
        <w:ind w:firstLine="137"/>
        <w:rPr>
          <w:rFonts w:ascii="Times New Roman"/>
          <w:color w:val="auto"/>
          <w:highlight w:val="none"/>
          <w:shd w:val="clear" w:color="auto" w:fill="auto"/>
        </w:rPr>
      </w:pPr>
      <w:bookmarkStart w:id="112" w:name="_Toc482188577"/>
      <w:bookmarkStart w:id="113" w:name="_Toc3047"/>
      <w:r>
        <w:rPr>
          <w:rFonts w:ascii="Times New Roman"/>
          <w:color w:val="auto"/>
          <w:highlight w:val="none"/>
          <w:shd w:val="clear" w:color="auto" w:fill="auto"/>
        </w:rPr>
        <w:t>4.</w:t>
      </w:r>
      <w:r>
        <w:rPr>
          <w:rFonts w:hint="eastAsia" w:ascii="Times New Roman"/>
          <w:color w:val="auto"/>
          <w:highlight w:val="none"/>
          <w:shd w:val="clear" w:color="auto" w:fill="auto"/>
        </w:rPr>
        <w:t>6</w:t>
      </w:r>
      <w:r>
        <w:rPr>
          <w:rFonts w:ascii="Times New Roman"/>
          <w:color w:val="auto"/>
          <w:highlight w:val="none"/>
          <w:shd w:val="clear" w:color="auto" w:fill="auto"/>
        </w:rPr>
        <w:t xml:space="preserve"> </w:t>
      </w:r>
      <w:r>
        <w:rPr>
          <w:rFonts w:hint="eastAsia" w:ascii="Times New Roman"/>
          <w:color w:val="auto"/>
          <w:highlight w:val="none"/>
          <w:shd w:val="clear" w:color="auto" w:fill="auto"/>
        </w:rPr>
        <w:t>撤换总监理工程师和其他人员</w:t>
      </w:r>
      <w:bookmarkEnd w:id="112"/>
      <w:bookmarkEnd w:id="113"/>
    </w:p>
    <w:p w14:paraId="332DC746">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监理人应对其总监理工程师和其他人员进行有效管理。委托人要求撤换不能胜任本职工作、行为不端或玩忽职守的总监理工程师和其他人员的，监理人应予以撤换。</w:t>
      </w:r>
    </w:p>
    <w:p w14:paraId="0F008579">
      <w:pPr>
        <w:pStyle w:val="6"/>
        <w:spacing w:line="540" w:lineRule="exact"/>
        <w:ind w:firstLine="137"/>
        <w:rPr>
          <w:rFonts w:ascii="Times New Roman"/>
          <w:color w:val="auto"/>
          <w:highlight w:val="none"/>
          <w:shd w:val="clear" w:color="auto" w:fill="auto"/>
        </w:rPr>
      </w:pPr>
      <w:bookmarkStart w:id="114" w:name="_Toc482188578"/>
      <w:bookmarkStart w:id="115" w:name="_Toc7787"/>
      <w:r>
        <w:rPr>
          <w:rFonts w:ascii="Times New Roman"/>
          <w:color w:val="auto"/>
          <w:highlight w:val="none"/>
          <w:shd w:val="clear" w:color="auto" w:fill="auto"/>
        </w:rPr>
        <w:t>4.</w:t>
      </w:r>
      <w:r>
        <w:rPr>
          <w:rFonts w:hint="eastAsia" w:ascii="Times New Roman"/>
          <w:color w:val="auto"/>
          <w:highlight w:val="none"/>
          <w:shd w:val="clear" w:color="auto" w:fill="auto"/>
        </w:rPr>
        <w:t>7</w:t>
      </w:r>
      <w:r>
        <w:rPr>
          <w:rFonts w:ascii="Times New Roman"/>
          <w:color w:val="auto"/>
          <w:highlight w:val="none"/>
          <w:shd w:val="clear" w:color="auto" w:fill="auto"/>
        </w:rPr>
        <w:t xml:space="preserve"> </w:t>
      </w:r>
      <w:r>
        <w:rPr>
          <w:rFonts w:hint="eastAsia" w:ascii="Times New Roman"/>
          <w:color w:val="auto"/>
          <w:highlight w:val="none"/>
          <w:shd w:val="clear" w:color="auto" w:fill="auto"/>
        </w:rPr>
        <w:t>保障人员的合法权益</w:t>
      </w:r>
      <w:bookmarkEnd w:id="114"/>
      <w:bookmarkEnd w:id="115"/>
    </w:p>
    <w:p w14:paraId="38D2395B">
      <w:pPr>
        <w:spacing w:line="540" w:lineRule="exact"/>
        <w:ind w:firstLine="420" w:firstLineChars="200"/>
        <w:rPr>
          <w:color w:val="auto"/>
          <w:highlight w:val="none"/>
          <w:shd w:val="clear" w:color="auto" w:fill="auto"/>
        </w:rPr>
      </w:pPr>
      <w:r>
        <w:rPr>
          <w:color w:val="auto"/>
          <w:highlight w:val="none"/>
          <w:shd w:val="clear" w:color="auto" w:fill="auto"/>
        </w:rPr>
        <w:t xml:space="preserve">4.7.1 监理人应与其雇佣的人员签订劳动合同，并按时发放工资。 </w:t>
      </w:r>
    </w:p>
    <w:p w14:paraId="7223C58C">
      <w:pPr>
        <w:spacing w:line="540" w:lineRule="exact"/>
        <w:ind w:firstLine="420" w:firstLineChars="200"/>
        <w:rPr>
          <w:color w:val="auto"/>
          <w:highlight w:val="none"/>
          <w:shd w:val="clear" w:color="auto" w:fill="auto"/>
        </w:rPr>
      </w:pPr>
      <w:r>
        <w:rPr>
          <w:color w:val="auto"/>
          <w:highlight w:val="none"/>
          <w:shd w:val="clear" w:color="auto" w:fill="auto"/>
        </w:rPr>
        <w:t xml:space="preserve">4.7.2 监理人应按劳动法的规定安排工作时间，保证其雇佣人员享有休息和休假的权利。因监理需要占用休假日或延长工作时间的，应不超过法律规定的限度，并按法律规定给予补休或付酬。 </w:t>
      </w:r>
    </w:p>
    <w:p w14:paraId="7454884F">
      <w:pPr>
        <w:spacing w:line="540" w:lineRule="exact"/>
        <w:ind w:firstLine="420" w:firstLineChars="200"/>
        <w:rPr>
          <w:color w:val="auto"/>
          <w:szCs w:val="21"/>
          <w:highlight w:val="none"/>
          <w:shd w:val="clear" w:color="auto" w:fill="auto"/>
        </w:rPr>
      </w:pPr>
      <w:r>
        <w:rPr>
          <w:color w:val="auto"/>
          <w:highlight w:val="none"/>
          <w:shd w:val="clear" w:color="auto" w:fill="auto"/>
        </w:rPr>
        <w:t>4.7.3 监理人应按有关法律规定和合同约定，为其雇佣人员办理保险。</w:t>
      </w:r>
    </w:p>
    <w:p w14:paraId="22286135">
      <w:pPr>
        <w:pStyle w:val="6"/>
        <w:spacing w:line="540" w:lineRule="exact"/>
        <w:ind w:firstLine="137"/>
        <w:rPr>
          <w:rFonts w:ascii="Times New Roman"/>
          <w:color w:val="auto"/>
          <w:highlight w:val="none"/>
          <w:shd w:val="clear" w:color="auto" w:fill="auto"/>
        </w:rPr>
      </w:pPr>
      <w:bookmarkStart w:id="116" w:name="_Toc482188579"/>
      <w:bookmarkStart w:id="117" w:name="_Toc27991"/>
      <w:r>
        <w:rPr>
          <w:rFonts w:ascii="Times New Roman"/>
          <w:color w:val="auto"/>
          <w:highlight w:val="none"/>
          <w:shd w:val="clear" w:color="auto" w:fill="auto"/>
        </w:rPr>
        <w:t>4.</w:t>
      </w:r>
      <w:r>
        <w:rPr>
          <w:rFonts w:hint="eastAsia" w:ascii="Times New Roman"/>
          <w:color w:val="auto"/>
          <w:highlight w:val="none"/>
          <w:shd w:val="clear" w:color="auto" w:fill="auto"/>
        </w:rPr>
        <w:t>8</w:t>
      </w:r>
      <w:r>
        <w:rPr>
          <w:rFonts w:ascii="Times New Roman"/>
          <w:color w:val="auto"/>
          <w:highlight w:val="none"/>
          <w:shd w:val="clear" w:color="auto" w:fill="auto"/>
        </w:rPr>
        <w:t xml:space="preserve"> </w:t>
      </w:r>
      <w:r>
        <w:rPr>
          <w:rFonts w:hint="eastAsia" w:ascii="Times New Roman"/>
          <w:color w:val="auto"/>
          <w:highlight w:val="none"/>
          <w:shd w:val="clear" w:color="auto" w:fill="auto"/>
        </w:rPr>
        <w:t>合同价款应专款专用</w:t>
      </w:r>
      <w:bookmarkEnd w:id="116"/>
      <w:bookmarkEnd w:id="117"/>
    </w:p>
    <w:p w14:paraId="067068AC">
      <w:pPr>
        <w:spacing w:line="540" w:lineRule="exact"/>
        <w:ind w:firstLine="420" w:firstLineChars="200"/>
        <w:rPr>
          <w:color w:val="auto"/>
          <w:szCs w:val="21"/>
          <w:highlight w:val="none"/>
          <w:shd w:val="clear" w:color="auto" w:fill="auto"/>
        </w:rPr>
      </w:pPr>
      <w:r>
        <w:rPr>
          <w:color w:val="auto"/>
          <w:szCs w:val="21"/>
          <w:highlight w:val="none"/>
          <w:shd w:val="clear" w:color="auto" w:fill="auto"/>
        </w:rPr>
        <w:t>委托人按合同约定支付给</w:t>
      </w:r>
      <w:r>
        <w:rPr>
          <w:rFonts w:hint="eastAsia"/>
          <w:color w:val="auto"/>
          <w:szCs w:val="21"/>
          <w:highlight w:val="none"/>
          <w:shd w:val="clear" w:color="auto" w:fill="auto"/>
        </w:rPr>
        <w:t>监理</w:t>
      </w:r>
      <w:r>
        <w:rPr>
          <w:color w:val="auto"/>
          <w:szCs w:val="21"/>
          <w:highlight w:val="none"/>
          <w:shd w:val="clear" w:color="auto" w:fill="auto"/>
        </w:rPr>
        <w:t>人的各项价款，应专用于合同</w:t>
      </w:r>
      <w:r>
        <w:rPr>
          <w:rFonts w:hint="eastAsia"/>
          <w:color w:val="auto"/>
          <w:szCs w:val="21"/>
          <w:highlight w:val="none"/>
          <w:shd w:val="clear" w:color="auto" w:fill="auto"/>
        </w:rPr>
        <w:t>监理</w:t>
      </w:r>
      <w:r>
        <w:rPr>
          <w:color w:val="auto"/>
          <w:szCs w:val="21"/>
          <w:highlight w:val="none"/>
          <w:shd w:val="clear" w:color="auto" w:fill="auto"/>
        </w:rPr>
        <w:t>工作。</w:t>
      </w:r>
    </w:p>
    <w:bookmarkEnd w:id="102"/>
    <w:bookmarkEnd w:id="103"/>
    <w:bookmarkEnd w:id="104"/>
    <w:p w14:paraId="6AC8C222">
      <w:pPr>
        <w:pStyle w:val="5"/>
        <w:spacing w:line="540" w:lineRule="exact"/>
        <w:rPr>
          <w:rFonts w:ascii="Times New Roman" w:hAnsi="Times New Roman"/>
          <w:color w:val="auto"/>
          <w:highlight w:val="none"/>
          <w:shd w:val="clear" w:color="auto" w:fill="auto"/>
        </w:rPr>
      </w:pPr>
      <w:bookmarkStart w:id="118" w:name="_Toc22429"/>
      <w:bookmarkStart w:id="119" w:name="_Toc482188580"/>
      <w:r>
        <w:rPr>
          <w:rFonts w:ascii="Times New Roman" w:hAnsi="Times New Roman"/>
          <w:color w:val="auto"/>
          <w:highlight w:val="none"/>
          <w:shd w:val="clear" w:color="auto" w:fill="auto"/>
        </w:rPr>
        <w:t xml:space="preserve">5. </w:t>
      </w:r>
      <w:r>
        <w:rPr>
          <w:rFonts w:hint="eastAsia" w:ascii="Times New Roman" w:hAnsi="Times New Roman"/>
          <w:color w:val="auto"/>
          <w:szCs w:val="21"/>
          <w:highlight w:val="none"/>
          <w:shd w:val="clear" w:color="auto" w:fill="auto"/>
        </w:rPr>
        <w:t>监理</w:t>
      </w:r>
      <w:r>
        <w:rPr>
          <w:rFonts w:ascii="Times New Roman" w:hAnsi="Times New Roman"/>
          <w:color w:val="auto"/>
          <w:highlight w:val="none"/>
          <w:shd w:val="clear" w:color="auto" w:fill="auto"/>
        </w:rPr>
        <w:t>要求</w:t>
      </w:r>
      <w:bookmarkEnd w:id="118"/>
      <w:bookmarkEnd w:id="119"/>
    </w:p>
    <w:p w14:paraId="0CD4A7FB">
      <w:pPr>
        <w:pStyle w:val="6"/>
        <w:spacing w:line="540" w:lineRule="exact"/>
        <w:ind w:firstLine="137"/>
        <w:rPr>
          <w:rFonts w:ascii="Times New Roman"/>
          <w:color w:val="auto"/>
          <w:highlight w:val="none"/>
          <w:shd w:val="clear" w:color="auto" w:fill="auto"/>
        </w:rPr>
      </w:pPr>
      <w:bookmarkStart w:id="120" w:name="_Toc5217"/>
      <w:bookmarkStart w:id="121" w:name="_Toc482188581"/>
      <w:r>
        <w:rPr>
          <w:rFonts w:ascii="Times New Roman"/>
          <w:color w:val="auto"/>
          <w:highlight w:val="none"/>
          <w:shd w:val="clear" w:color="auto" w:fill="auto"/>
        </w:rPr>
        <w:t>5.1监理范围</w:t>
      </w:r>
      <w:bookmarkEnd w:id="120"/>
      <w:bookmarkEnd w:id="121"/>
    </w:p>
    <w:p w14:paraId="01D0085D">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5.1.1 本合同的监理范围包括工程范围、阶段范围和工作范围，具体监理范围应当根据三者之间的关联内容进行确定。 </w:t>
      </w:r>
    </w:p>
    <w:p w14:paraId="6BFCAB4F">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5.1.2 工程范围指所监理工程的建设内容，具体范围在专用合同条款中约定。 </w:t>
      </w:r>
    </w:p>
    <w:p w14:paraId="102AA8A3">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5.1.3 阶段范围指工程建设程序中的勘察阶段、设计阶段、施工阶段、缺陷责任期及保修阶段中的一个或者多个阶段，具体范围在专用合同条款中约定。 </w:t>
      </w:r>
    </w:p>
    <w:p w14:paraId="789D5798">
      <w:pPr>
        <w:spacing w:line="540" w:lineRule="exact"/>
        <w:ind w:firstLine="420" w:firstLineChars="200"/>
        <w:rPr>
          <w:color w:val="auto"/>
          <w:szCs w:val="21"/>
          <w:highlight w:val="none"/>
          <w:shd w:val="clear" w:color="auto" w:fill="auto"/>
        </w:rPr>
      </w:pPr>
      <w:r>
        <w:rPr>
          <w:color w:val="auto"/>
          <w:szCs w:val="21"/>
          <w:highlight w:val="none"/>
          <w:shd w:val="clear" w:color="auto" w:fill="auto"/>
        </w:rPr>
        <w:t>5.1.4 工作范围指监理工作中的质量控制、进度控制、投资控制、合同管理、信息管理、组织协调和安全监理、环保监理中的一项或者多项工作，具体范围在专用合同条款中约定。</w:t>
      </w:r>
    </w:p>
    <w:p w14:paraId="6AADDC5F">
      <w:pPr>
        <w:pStyle w:val="6"/>
        <w:spacing w:line="540" w:lineRule="exact"/>
        <w:ind w:firstLine="137"/>
        <w:rPr>
          <w:rFonts w:ascii="Times New Roman"/>
          <w:color w:val="auto"/>
          <w:highlight w:val="none"/>
          <w:shd w:val="clear" w:color="auto" w:fill="auto"/>
        </w:rPr>
      </w:pPr>
      <w:bookmarkStart w:id="122" w:name="_Toc482188582"/>
      <w:bookmarkStart w:id="123" w:name="_Toc10560"/>
      <w:r>
        <w:rPr>
          <w:rFonts w:ascii="Times New Roman"/>
          <w:color w:val="auto"/>
          <w:highlight w:val="none"/>
          <w:shd w:val="clear" w:color="auto" w:fill="auto"/>
        </w:rPr>
        <w:t xml:space="preserve">5.2 </w:t>
      </w:r>
      <w:r>
        <w:rPr>
          <w:rFonts w:hint="eastAsia" w:ascii="Times New Roman"/>
          <w:color w:val="auto"/>
          <w:szCs w:val="21"/>
          <w:highlight w:val="none"/>
          <w:shd w:val="clear" w:color="auto" w:fill="auto"/>
        </w:rPr>
        <w:t>监理</w:t>
      </w:r>
      <w:r>
        <w:rPr>
          <w:rFonts w:hint="eastAsia" w:ascii="Times New Roman"/>
          <w:color w:val="auto"/>
          <w:highlight w:val="none"/>
          <w:shd w:val="clear" w:color="auto" w:fill="auto"/>
        </w:rPr>
        <w:t>依据</w:t>
      </w:r>
      <w:bookmarkEnd w:id="122"/>
      <w:bookmarkEnd w:id="123"/>
    </w:p>
    <w:p w14:paraId="7505939C">
      <w:pPr>
        <w:spacing w:line="540" w:lineRule="exact"/>
        <w:ind w:firstLine="420" w:firstLineChars="200"/>
        <w:rPr>
          <w:color w:val="auto"/>
          <w:szCs w:val="21"/>
          <w:highlight w:val="none"/>
          <w:shd w:val="clear" w:color="auto" w:fill="auto"/>
        </w:rPr>
      </w:pPr>
      <w:r>
        <w:rPr>
          <w:color w:val="auto"/>
          <w:szCs w:val="21"/>
          <w:highlight w:val="none"/>
          <w:shd w:val="clear" w:color="auto" w:fill="auto"/>
        </w:rPr>
        <w:t>除专用合同条款另有约定外，本工程的</w:t>
      </w:r>
      <w:r>
        <w:rPr>
          <w:rFonts w:hint="eastAsia"/>
          <w:color w:val="auto"/>
          <w:szCs w:val="21"/>
          <w:highlight w:val="none"/>
          <w:shd w:val="clear" w:color="auto" w:fill="auto"/>
        </w:rPr>
        <w:t>监理</w:t>
      </w:r>
      <w:r>
        <w:rPr>
          <w:color w:val="auto"/>
          <w:szCs w:val="21"/>
          <w:highlight w:val="none"/>
          <w:shd w:val="clear" w:color="auto" w:fill="auto"/>
        </w:rPr>
        <w:t>依据如下：</w:t>
      </w:r>
    </w:p>
    <w:p w14:paraId="431DB4CD">
      <w:pPr>
        <w:spacing w:line="540" w:lineRule="exact"/>
        <w:ind w:firstLine="420" w:firstLineChars="200"/>
        <w:rPr>
          <w:color w:val="auto"/>
          <w:szCs w:val="21"/>
          <w:highlight w:val="none"/>
          <w:shd w:val="clear" w:color="auto" w:fill="auto"/>
        </w:rPr>
      </w:pPr>
      <w:r>
        <w:rPr>
          <w:color w:val="auto"/>
          <w:szCs w:val="21"/>
          <w:highlight w:val="none"/>
          <w:shd w:val="clear" w:color="auto" w:fill="auto"/>
        </w:rPr>
        <w:t>（1）适用的法律、行政法规及部门规章；</w:t>
      </w:r>
    </w:p>
    <w:p w14:paraId="2F0E89AE">
      <w:pPr>
        <w:spacing w:line="540" w:lineRule="exact"/>
        <w:ind w:firstLine="420" w:firstLineChars="200"/>
        <w:rPr>
          <w:color w:val="auto"/>
          <w:szCs w:val="21"/>
          <w:highlight w:val="none"/>
          <w:shd w:val="clear" w:color="auto" w:fill="auto"/>
        </w:rPr>
      </w:pPr>
      <w:r>
        <w:rPr>
          <w:color w:val="auto"/>
          <w:szCs w:val="21"/>
          <w:highlight w:val="none"/>
          <w:shd w:val="clear" w:color="auto" w:fill="auto"/>
        </w:rPr>
        <w:t>（2）与工程有关的规范、标准、规程；</w:t>
      </w:r>
    </w:p>
    <w:p w14:paraId="71EBEFB5">
      <w:pPr>
        <w:spacing w:line="540" w:lineRule="exact"/>
        <w:ind w:firstLine="420" w:firstLineChars="200"/>
        <w:rPr>
          <w:color w:val="auto"/>
          <w:szCs w:val="21"/>
          <w:highlight w:val="none"/>
          <w:shd w:val="clear" w:color="auto" w:fill="auto"/>
        </w:rPr>
      </w:pPr>
      <w:r>
        <w:rPr>
          <w:color w:val="auto"/>
          <w:szCs w:val="21"/>
          <w:highlight w:val="none"/>
          <w:shd w:val="clear" w:color="auto" w:fill="auto"/>
        </w:rPr>
        <w:t>（3）</w:t>
      </w:r>
      <w:r>
        <w:rPr>
          <w:rFonts w:ascii="宋体" w:hAnsi="宋体" w:cs="宋体"/>
          <w:color w:val="auto"/>
          <w:highlight w:val="none"/>
          <w:shd w:val="clear" w:color="auto" w:fill="auto"/>
        </w:rPr>
        <w:t>工程勘察文件、设计文件及其他文件</w:t>
      </w:r>
      <w:r>
        <w:rPr>
          <w:color w:val="auto"/>
          <w:szCs w:val="21"/>
          <w:highlight w:val="none"/>
          <w:shd w:val="clear" w:color="auto" w:fill="auto"/>
        </w:rPr>
        <w:t>；</w:t>
      </w:r>
    </w:p>
    <w:p w14:paraId="2FA473E4">
      <w:pPr>
        <w:spacing w:line="540" w:lineRule="exact"/>
        <w:ind w:firstLine="420" w:firstLineChars="200"/>
        <w:rPr>
          <w:color w:val="auto"/>
          <w:szCs w:val="21"/>
          <w:highlight w:val="none"/>
          <w:shd w:val="clear" w:color="auto" w:fill="auto"/>
        </w:rPr>
      </w:pPr>
      <w:r>
        <w:rPr>
          <w:color w:val="auto"/>
          <w:szCs w:val="21"/>
          <w:highlight w:val="none"/>
          <w:shd w:val="clear" w:color="auto" w:fill="auto"/>
        </w:rPr>
        <w:t>（4）</w:t>
      </w:r>
      <w:r>
        <w:rPr>
          <w:rFonts w:ascii="宋体" w:hAnsi="宋体" w:cs="宋体"/>
          <w:color w:val="auto"/>
          <w:highlight w:val="none"/>
          <w:shd w:val="clear" w:color="auto" w:fill="auto"/>
        </w:rPr>
        <w:t>本工程监理的委托合同及补充合同</w:t>
      </w:r>
      <w:r>
        <w:rPr>
          <w:color w:val="auto"/>
          <w:szCs w:val="21"/>
          <w:highlight w:val="none"/>
          <w:shd w:val="clear" w:color="auto" w:fill="auto"/>
        </w:rPr>
        <w:t>；</w:t>
      </w:r>
    </w:p>
    <w:p w14:paraId="1341A0F0">
      <w:pPr>
        <w:spacing w:line="540" w:lineRule="exact"/>
        <w:ind w:firstLine="420" w:firstLineChars="200"/>
        <w:rPr>
          <w:color w:val="auto"/>
          <w:szCs w:val="21"/>
          <w:highlight w:val="none"/>
          <w:shd w:val="clear" w:color="auto" w:fill="auto"/>
        </w:rPr>
      </w:pPr>
      <w:r>
        <w:rPr>
          <w:color w:val="auto"/>
          <w:szCs w:val="21"/>
          <w:highlight w:val="none"/>
          <w:shd w:val="clear" w:color="auto" w:fill="auto"/>
        </w:rPr>
        <w:t>（5）</w:t>
      </w:r>
      <w:r>
        <w:rPr>
          <w:rFonts w:ascii="宋体" w:hAnsi="宋体" w:cs="宋体"/>
          <w:color w:val="auto"/>
          <w:highlight w:val="none"/>
          <w:shd w:val="clear" w:color="auto" w:fill="auto"/>
        </w:rPr>
        <w:t>委托人签订的勘察、设计和施工承包合同</w:t>
      </w:r>
      <w:r>
        <w:rPr>
          <w:color w:val="auto"/>
          <w:szCs w:val="21"/>
          <w:highlight w:val="none"/>
          <w:shd w:val="clear" w:color="auto" w:fill="auto"/>
        </w:rPr>
        <w:t>；</w:t>
      </w:r>
    </w:p>
    <w:p w14:paraId="6A3D494F">
      <w:pPr>
        <w:spacing w:line="540" w:lineRule="exact"/>
        <w:ind w:firstLine="420" w:firstLineChars="200"/>
        <w:rPr>
          <w:color w:val="auto"/>
          <w:szCs w:val="21"/>
          <w:highlight w:val="none"/>
          <w:shd w:val="clear" w:color="auto" w:fill="auto"/>
        </w:rPr>
      </w:pPr>
      <w:r>
        <w:rPr>
          <w:color w:val="auto"/>
          <w:szCs w:val="21"/>
          <w:highlight w:val="none"/>
          <w:shd w:val="clear" w:color="auto" w:fill="auto"/>
        </w:rPr>
        <w:t>（6）合同履行中与</w:t>
      </w:r>
      <w:r>
        <w:rPr>
          <w:rFonts w:hint="eastAsia"/>
          <w:color w:val="auto"/>
          <w:szCs w:val="21"/>
          <w:highlight w:val="none"/>
          <w:shd w:val="clear" w:color="auto" w:fill="auto"/>
        </w:rPr>
        <w:t>监理</w:t>
      </w:r>
      <w:r>
        <w:rPr>
          <w:color w:val="auto"/>
          <w:szCs w:val="21"/>
          <w:highlight w:val="none"/>
          <w:shd w:val="clear" w:color="auto" w:fill="auto"/>
        </w:rPr>
        <w:t>服务有关的来往函件；</w:t>
      </w:r>
    </w:p>
    <w:p w14:paraId="4B9E2CBF">
      <w:pPr>
        <w:spacing w:line="540" w:lineRule="exact"/>
        <w:ind w:firstLine="420" w:firstLineChars="200"/>
        <w:rPr>
          <w:color w:val="auto"/>
          <w:szCs w:val="21"/>
          <w:highlight w:val="none"/>
          <w:shd w:val="clear" w:color="auto" w:fill="auto"/>
        </w:rPr>
      </w:pPr>
      <w:r>
        <w:rPr>
          <w:color w:val="auto"/>
          <w:szCs w:val="21"/>
          <w:highlight w:val="none"/>
          <w:shd w:val="clear" w:color="auto" w:fill="auto"/>
        </w:rPr>
        <w:t>（7）其他</w:t>
      </w:r>
      <w:r>
        <w:rPr>
          <w:rFonts w:hint="eastAsia"/>
          <w:color w:val="auto"/>
          <w:szCs w:val="21"/>
          <w:highlight w:val="none"/>
          <w:shd w:val="clear" w:color="auto" w:fill="auto"/>
        </w:rPr>
        <w:t>监理</w:t>
      </w:r>
      <w:r>
        <w:rPr>
          <w:color w:val="auto"/>
          <w:szCs w:val="21"/>
          <w:highlight w:val="none"/>
          <w:shd w:val="clear" w:color="auto" w:fill="auto"/>
        </w:rPr>
        <w:t>依据。</w:t>
      </w:r>
    </w:p>
    <w:p w14:paraId="298948C6">
      <w:pPr>
        <w:pStyle w:val="6"/>
        <w:spacing w:line="540" w:lineRule="exact"/>
        <w:ind w:firstLine="137"/>
        <w:rPr>
          <w:rFonts w:ascii="Times New Roman"/>
          <w:color w:val="auto"/>
          <w:highlight w:val="none"/>
          <w:shd w:val="clear" w:color="auto" w:fill="auto"/>
        </w:rPr>
      </w:pPr>
      <w:bookmarkStart w:id="124" w:name="_Toc482188583"/>
      <w:bookmarkStart w:id="125" w:name="_Toc3920"/>
      <w:r>
        <w:rPr>
          <w:rFonts w:ascii="Times New Roman"/>
          <w:color w:val="auto"/>
          <w:highlight w:val="none"/>
          <w:shd w:val="clear" w:color="auto" w:fill="auto"/>
        </w:rPr>
        <w:t xml:space="preserve">5.3 </w:t>
      </w:r>
      <w:r>
        <w:rPr>
          <w:rFonts w:hint="eastAsia" w:ascii="Times New Roman"/>
          <w:color w:val="auto"/>
          <w:szCs w:val="21"/>
          <w:highlight w:val="none"/>
          <w:shd w:val="clear" w:color="auto" w:fill="auto"/>
        </w:rPr>
        <w:t>监理</w:t>
      </w:r>
      <w:bookmarkEnd w:id="124"/>
      <w:r>
        <w:rPr>
          <w:rFonts w:hint="eastAsia" w:ascii="Times New Roman"/>
          <w:color w:val="auto"/>
          <w:highlight w:val="none"/>
          <w:shd w:val="clear" w:color="auto" w:fill="auto"/>
        </w:rPr>
        <w:t>内容</w:t>
      </w:r>
      <w:bookmarkEnd w:id="125"/>
    </w:p>
    <w:p w14:paraId="01C50AB9">
      <w:pPr>
        <w:spacing w:line="540" w:lineRule="exact"/>
        <w:ind w:firstLine="420" w:firstLineChars="200"/>
        <w:rPr>
          <w:color w:val="auto"/>
          <w:szCs w:val="21"/>
          <w:highlight w:val="none"/>
          <w:shd w:val="clear" w:color="auto" w:fill="auto"/>
        </w:rPr>
      </w:pPr>
      <w:bookmarkStart w:id="126" w:name="_Toc482188584"/>
      <w:r>
        <w:rPr>
          <w:rFonts w:hint="eastAsia"/>
          <w:color w:val="auto"/>
          <w:szCs w:val="21"/>
          <w:highlight w:val="none"/>
          <w:shd w:val="clear" w:color="auto" w:fill="auto"/>
        </w:rPr>
        <w:t xml:space="preserve">除专用条件另有约定外，监理工作内容包括： </w:t>
      </w:r>
    </w:p>
    <w:p w14:paraId="04631F23">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（1）收到工程设计文件后编制监理规划，并在第一次工地会议 7 天前报委托人。根据有关规定和监理工作需要，编制监理实施细则； </w:t>
      </w:r>
    </w:p>
    <w:p w14:paraId="2748EF17">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（2）熟悉工程设计文件，并参加由委托人主持的图纸会审和设计交底会议； </w:t>
      </w:r>
    </w:p>
    <w:p w14:paraId="79FB0E59">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（3）参加由委托人主持的第一次工地会议；主持监理例会并根据工程需要主持或参加专题会议； </w:t>
      </w:r>
    </w:p>
    <w:p w14:paraId="3651AA52">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（4）审查施工承包人提交的施工组织设计，重点审查其中的质量安全技术措施、专项施工方案与工程建设强制性标准的符合性； </w:t>
      </w:r>
    </w:p>
    <w:p w14:paraId="462197D2">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（5）检查施工承包人工程质量、安全生产管理制度及组织机构和人员资格； </w:t>
      </w:r>
    </w:p>
    <w:p w14:paraId="4B7CA89C">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（6）检查施工承包人专职安全生产管理人员的配备情况； </w:t>
      </w:r>
    </w:p>
    <w:p w14:paraId="6CEEECDB">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（7）审查施工承包人提交的施工进度计划，核查承包人对施工进度计划的调整； </w:t>
      </w:r>
    </w:p>
    <w:p w14:paraId="48A05597">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（8）检查施工承包人的试验室； </w:t>
      </w:r>
    </w:p>
    <w:p w14:paraId="1B617415">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（9）审核施工分包人资质条件； </w:t>
      </w:r>
    </w:p>
    <w:p w14:paraId="3B967DF9">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（10）查验施工承包人的施工测量放线成果； </w:t>
      </w:r>
    </w:p>
    <w:p w14:paraId="6F6E779C">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（11）审查工程开工条件，对条件具备的签发开工令； </w:t>
      </w:r>
    </w:p>
    <w:p w14:paraId="72931F84">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（12）审查施工承包人报送的工程材料、构配件、设备质量证明文件的有效性和符合性，并按规定对用于工程的材料采取平行检验或见证取样方式进行抽检； </w:t>
      </w:r>
    </w:p>
    <w:p w14:paraId="39DD99AE">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（13）审核施工承包人提交的工程款支付申请，签发或出具工程款支付证书，并报委托人审核、批准； </w:t>
      </w:r>
    </w:p>
    <w:p w14:paraId="481B1190">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（14）在巡视、旁站和检验过程中，发现工程质量、施工安全存在事故隐患的，要求施工承包人整改并报委托人； </w:t>
      </w:r>
    </w:p>
    <w:p w14:paraId="4863844C">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（15）经委托人同意，签发工程暂停令和复工令； </w:t>
      </w:r>
    </w:p>
    <w:p w14:paraId="5D82F939">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（16）审查施工承包人提交的采用新材料、新工艺、新技术、新设备的论证材料及相关验收标准； </w:t>
      </w:r>
    </w:p>
    <w:p w14:paraId="321DB3EF">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（17）验收隐蔽工程、分部分项工程； </w:t>
      </w:r>
    </w:p>
    <w:p w14:paraId="60D7A918">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（18）审查施工承包人提交的工程变更申请，协调处理施工进度调整、费用索赔、合同争议等事项； </w:t>
      </w:r>
    </w:p>
    <w:p w14:paraId="7FDA0F2B">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（19）审查施工承包人提交的竣工验收申请，编写工程质量评估报告； </w:t>
      </w:r>
    </w:p>
    <w:p w14:paraId="50DD17D0">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（20）参加工程竣工验收，签署竣工验收意见； </w:t>
      </w:r>
    </w:p>
    <w:p w14:paraId="01C49435">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（21）审查施工承包人提交的竣工结算申请并报委托人；</w:t>
      </w:r>
    </w:p>
    <w:p w14:paraId="04A511BE">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（22）编制、整理工程监理归档文件并报委托人。</w:t>
      </w:r>
    </w:p>
    <w:p w14:paraId="60E60D79">
      <w:pPr>
        <w:pStyle w:val="6"/>
        <w:spacing w:line="540" w:lineRule="exact"/>
        <w:ind w:firstLine="137"/>
        <w:rPr>
          <w:rFonts w:ascii="Times New Roman"/>
          <w:color w:val="auto"/>
          <w:highlight w:val="none"/>
          <w:shd w:val="clear" w:color="auto" w:fill="auto"/>
        </w:rPr>
      </w:pPr>
      <w:bookmarkStart w:id="127" w:name="_Toc493082662"/>
      <w:bookmarkStart w:id="128" w:name="_Toc7305"/>
      <w:r>
        <w:rPr>
          <w:rFonts w:ascii="Times New Roman"/>
          <w:color w:val="auto"/>
          <w:highlight w:val="none"/>
          <w:shd w:val="clear" w:color="auto" w:fill="auto"/>
        </w:rPr>
        <w:t xml:space="preserve">5.4 </w:t>
      </w:r>
      <w:r>
        <w:rPr>
          <w:rFonts w:hint="eastAsia" w:ascii="Times New Roman"/>
          <w:color w:val="auto"/>
          <w:highlight w:val="none"/>
          <w:shd w:val="clear" w:color="auto" w:fill="auto"/>
        </w:rPr>
        <w:t>监理</w:t>
      </w:r>
      <w:r>
        <w:rPr>
          <w:rFonts w:ascii="Times New Roman"/>
          <w:color w:val="auto"/>
          <w:highlight w:val="none"/>
          <w:shd w:val="clear" w:color="auto" w:fill="auto"/>
        </w:rPr>
        <w:t>要求</w:t>
      </w:r>
      <w:bookmarkEnd w:id="127"/>
      <w:bookmarkEnd w:id="128"/>
    </w:p>
    <w:p w14:paraId="291F5494">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5.4.1 监理文件的编制应符合法律、规范标准的强制性规定和委托人要求，相关的监理依据应当完整准确，文件内容和相应数据应当真实可靠。 </w:t>
      </w:r>
    </w:p>
    <w:p w14:paraId="2E4B3FF3">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5.4.2 监理文件的深度应满足本阶段相应监理工作的规定要求，满足委托人的下步工作需要，并应符合国家和行业现行规定。 </w:t>
      </w:r>
    </w:p>
    <w:p w14:paraId="5CAD00CF">
      <w:pPr>
        <w:spacing w:line="540" w:lineRule="exact"/>
        <w:ind w:firstLine="420" w:firstLineChars="200"/>
        <w:rPr>
          <w:color w:val="auto"/>
          <w:highlight w:val="none"/>
          <w:shd w:val="clear" w:color="auto" w:fill="auto"/>
        </w:rPr>
      </w:pPr>
      <w:r>
        <w:rPr>
          <w:color w:val="auto"/>
          <w:szCs w:val="21"/>
          <w:highlight w:val="none"/>
          <w:shd w:val="clear" w:color="auto" w:fill="auto"/>
        </w:rPr>
        <w:t>5.4.3 本工程监理文件的具体类别、编制要求、编制内容、提交时间和份数等，在专用合同条款中约定。</w:t>
      </w:r>
    </w:p>
    <w:bookmarkEnd w:id="105"/>
    <w:bookmarkEnd w:id="126"/>
    <w:p w14:paraId="7BA04BA1">
      <w:pPr>
        <w:pStyle w:val="5"/>
        <w:spacing w:line="540" w:lineRule="exact"/>
        <w:rPr>
          <w:rFonts w:ascii="Times New Roman" w:hAnsi="Times New Roman"/>
          <w:color w:val="auto"/>
          <w:highlight w:val="none"/>
          <w:shd w:val="clear" w:color="auto" w:fill="auto"/>
        </w:rPr>
      </w:pPr>
      <w:bookmarkStart w:id="129" w:name="_Toc482188591"/>
      <w:bookmarkStart w:id="130" w:name="_Toc28241"/>
      <w:r>
        <w:rPr>
          <w:rFonts w:ascii="Times New Roman" w:hAnsi="Times New Roman"/>
          <w:color w:val="auto"/>
          <w:highlight w:val="none"/>
          <w:shd w:val="clear" w:color="auto" w:fill="auto"/>
        </w:rPr>
        <w:t>6. 开始</w:t>
      </w:r>
      <w:r>
        <w:rPr>
          <w:rFonts w:hint="eastAsia" w:ascii="Times New Roman" w:hAnsi="Times New Roman"/>
          <w:color w:val="auto"/>
          <w:highlight w:val="none"/>
          <w:shd w:val="clear" w:color="auto" w:fill="auto"/>
        </w:rPr>
        <w:t>监理</w:t>
      </w:r>
      <w:r>
        <w:rPr>
          <w:rFonts w:ascii="Times New Roman" w:hAnsi="Times New Roman"/>
          <w:color w:val="auto"/>
          <w:highlight w:val="none"/>
          <w:shd w:val="clear" w:color="auto" w:fill="auto"/>
        </w:rPr>
        <w:t>和完成</w:t>
      </w:r>
      <w:bookmarkEnd w:id="129"/>
      <w:r>
        <w:rPr>
          <w:rFonts w:hint="eastAsia" w:ascii="Times New Roman" w:hAnsi="Times New Roman"/>
          <w:color w:val="auto"/>
          <w:highlight w:val="none"/>
          <w:shd w:val="clear" w:color="auto" w:fill="auto"/>
        </w:rPr>
        <w:t>监理</w:t>
      </w:r>
      <w:bookmarkEnd w:id="130"/>
    </w:p>
    <w:p w14:paraId="707CB001">
      <w:pPr>
        <w:pStyle w:val="6"/>
        <w:spacing w:line="540" w:lineRule="exact"/>
        <w:ind w:firstLine="137"/>
        <w:rPr>
          <w:rFonts w:ascii="Times New Roman"/>
          <w:color w:val="auto"/>
          <w:highlight w:val="none"/>
          <w:shd w:val="clear" w:color="auto" w:fill="auto"/>
        </w:rPr>
      </w:pPr>
      <w:bookmarkStart w:id="131" w:name="_Toc482188592"/>
      <w:bookmarkStart w:id="132" w:name="_Toc9619"/>
      <w:r>
        <w:rPr>
          <w:rFonts w:ascii="Times New Roman"/>
          <w:color w:val="auto"/>
          <w:highlight w:val="none"/>
          <w:shd w:val="clear" w:color="auto" w:fill="auto"/>
        </w:rPr>
        <w:t xml:space="preserve">6.1 </w:t>
      </w:r>
      <w:r>
        <w:rPr>
          <w:rFonts w:hint="eastAsia" w:ascii="Times New Roman"/>
          <w:color w:val="auto"/>
          <w:highlight w:val="none"/>
          <w:shd w:val="clear" w:color="auto" w:fill="auto"/>
        </w:rPr>
        <w:t>开始</w:t>
      </w:r>
      <w:bookmarkEnd w:id="131"/>
      <w:r>
        <w:rPr>
          <w:rFonts w:hint="eastAsia" w:ascii="Times New Roman"/>
          <w:color w:val="auto"/>
          <w:highlight w:val="none"/>
          <w:shd w:val="clear" w:color="auto" w:fill="auto"/>
        </w:rPr>
        <w:t>监理</w:t>
      </w:r>
      <w:bookmarkEnd w:id="132"/>
    </w:p>
    <w:p w14:paraId="4AB69773">
      <w:pPr>
        <w:spacing w:line="540" w:lineRule="exact"/>
        <w:ind w:firstLine="420" w:firstLineChars="200"/>
        <w:rPr>
          <w:color w:val="auto"/>
          <w:szCs w:val="21"/>
          <w:highlight w:val="none"/>
          <w:shd w:val="clear" w:color="auto" w:fill="auto"/>
        </w:rPr>
      </w:pPr>
      <w:bookmarkStart w:id="133" w:name="_Toc247527718"/>
      <w:bookmarkStart w:id="134" w:name="_Toc300835120"/>
      <w:bookmarkStart w:id="135" w:name="_Toc247514117"/>
      <w:r>
        <w:rPr>
          <w:color w:val="auto"/>
          <w:szCs w:val="21"/>
          <w:highlight w:val="none"/>
          <w:shd w:val="clear" w:color="auto" w:fill="auto"/>
        </w:rPr>
        <w:t xml:space="preserve">6.1.1 符合专用合同条款约定的开始监理条件的，委托人应提前 7 天向监理人发出开始监理通知。监理服务期限自开始监理通知中载明的开始监理日期起计算。 </w:t>
      </w:r>
    </w:p>
    <w:p w14:paraId="7CE05804">
      <w:pPr>
        <w:spacing w:line="540" w:lineRule="exact"/>
        <w:ind w:firstLine="420" w:firstLineChars="200"/>
        <w:rPr>
          <w:color w:val="auto"/>
          <w:szCs w:val="21"/>
          <w:highlight w:val="none"/>
          <w:shd w:val="clear" w:color="auto" w:fill="auto"/>
        </w:rPr>
      </w:pPr>
      <w:r>
        <w:rPr>
          <w:color w:val="auto"/>
          <w:szCs w:val="21"/>
          <w:highlight w:val="none"/>
          <w:shd w:val="clear" w:color="auto" w:fill="auto"/>
        </w:rPr>
        <w:t>6.1.2 除专用合同条款另有约定外，因委托人原因造成合同签订之日起 90 天内未能发出开始监理通知的，监理人有权提出价格调整要求，或者解除合同。委托人应当承担由此增加的费用和（或）周期延误。</w:t>
      </w:r>
    </w:p>
    <w:p w14:paraId="458F1C21">
      <w:pPr>
        <w:pStyle w:val="6"/>
        <w:spacing w:line="540" w:lineRule="exact"/>
        <w:ind w:firstLine="137"/>
        <w:rPr>
          <w:rFonts w:ascii="Times New Roman"/>
          <w:color w:val="auto"/>
          <w:highlight w:val="none"/>
          <w:shd w:val="clear" w:color="auto" w:fill="auto"/>
        </w:rPr>
      </w:pPr>
      <w:bookmarkStart w:id="136" w:name="_Toc482188593"/>
      <w:bookmarkStart w:id="137" w:name="_Toc28458"/>
      <w:r>
        <w:rPr>
          <w:rFonts w:ascii="Times New Roman"/>
          <w:color w:val="auto"/>
          <w:highlight w:val="none"/>
          <w:shd w:val="clear" w:color="auto" w:fill="auto"/>
        </w:rPr>
        <w:t xml:space="preserve">6.2 </w:t>
      </w:r>
      <w:r>
        <w:rPr>
          <w:rFonts w:hint="eastAsia" w:ascii="Times New Roman"/>
          <w:color w:val="auto"/>
          <w:highlight w:val="none"/>
          <w:shd w:val="clear" w:color="auto" w:fill="auto"/>
        </w:rPr>
        <w:t>监理周期延误</w:t>
      </w:r>
      <w:bookmarkEnd w:id="136"/>
      <w:bookmarkEnd w:id="137"/>
    </w:p>
    <w:bookmarkEnd w:id="133"/>
    <w:bookmarkEnd w:id="134"/>
    <w:bookmarkEnd w:id="135"/>
    <w:p w14:paraId="79DC097B">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在履行合同过程中，由于下列原因造成监理服务期限延误的，委托人应当延长监理服务期限并增加监理报酬，具体方法在专用合同条款中约定。 </w:t>
      </w:r>
    </w:p>
    <w:p w14:paraId="30BC3536">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w:t>
      </w:r>
      <w:r>
        <w:rPr>
          <w:rFonts w:hint="eastAsia"/>
          <w:color w:val="auto"/>
          <w:szCs w:val="21"/>
          <w:highlight w:val="none"/>
          <w:shd w:val="clear" w:color="auto" w:fill="auto"/>
          <w:lang w:val="en-US" w:eastAsia="zh-CN"/>
        </w:rPr>
        <w:t>非因监理人原因造成</w:t>
      </w:r>
      <w:r>
        <w:rPr>
          <w:color w:val="auto"/>
          <w:szCs w:val="21"/>
          <w:highlight w:val="none"/>
          <w:shd w:val="clear" w:color="auto" w:fill="auto"/>
        </w:rPr>
        <w:t xml:space="preserve">合同变更； </w:t>
      </w:r>
    </w:p>
    <w:p w14:paraId="17876EB2">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（2）</w:t>
      </w:r>
      <w:r>
        <w:rPr>
          <w:color w:val="auto"/>
          <w:szCs w:val="21"/>
          <w:highlight w:val="none"/>
          <w:shd w:val="clear" w:color="auto" w:fill="auto"/>
        </w:rPr>
        <w:t xml:space="preserve">因委托人原因导致的监理工作暂停；  </w:t>
      </w:r>
    </w:p>
    <w:p w14:paraId="21852894">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（3）</w:t>
      </w:r>
      <w:r>
        <w:rPr>
          <w:color w:val="auto"/>
          <w:szCs w:val="21"/>
          <w:highlight w:val="none"/>
          <w:shd w:val="clear" w:color="auto" w:fill="auto"/>
        </w:rPr>
        <w:t xml:space="preserve">未按合同约定及时支付监理报酬； </w:t>
      </w:r>
    </w:p>
    <w:p w14:paraId="6033E248">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（4）</w:t>
      </w:r>
      <w:r>
        <w:rPr>
          <w:color w:val="auto"/>
          <w:szCs w:val="21"/>
          <w:highlight w:val="none"/>
          <w:shd w:val="clear" w:color="auto" w:fill="auto"/>
        </w:rPr>
        <w:t xml:space="preserve">未及时履行合同约定的相关义务； </w:t>
      </w:r>
    </w:p>
    <w:p w14:paraId="19A49C2A">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（5）</w:t>
      </w:r>
      <w:r>
        <w:rPr>
          <w:color w:val="auto"/>
          <w:szCs w:val="21"/>
          <w:highlight w:val="none"/>
          <w:shd w:val="clear" w:color="auto" w:fill="auto"/>
        </w:rPr>
        <w:t xml:space="preserve">由于承包人延误、行政管理造成的监理服务期延误； </w:t>
      </w:r>
    </w:p>
    <w:p w14:paraId="57BDFB07">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（6）</w:t>
      </w:r>
      <w:r>
        <w:rPr>
          <w:color w:val="auto"/>
          <w:szCs w:val="21"/>
          <w:highlight w:val="none"/>
          <w:shd w:val="clear" w:color="auto" w:fill="auto"/>
        </w:rPr>
        <w:t>造成监理服务期限延误的其他原因。</w:t>
      </w:r>
    </w:p>
    <w:p w14:paraId="2D3B7875">
      <w:pPr>
        <w:pStyle w:val="6"/>
        <w:spacing w:line="540" w:lineRule="exact"/>
        <w:ind w:firstLine="137"/>
        <w:rPr>
          <w:rFonts w:ascii="Times New Roman"/>
          <w:color w:val="auto"/>
          <w:highlight w:val="none"/>
          <w:shd w:val="clear" w:color="auto" w:fill="auto"/>
        </w:rPr>
      </w:pPr>
      <w:bookmarkStart w:id="138" w:name="_Toc482188597"/>
      <w:bookmarkStart w:id="139" w:name="_Toc9405"/>
      <w:r>
        <w:rPr>
          <w:rFonts w:ascii="Times New Roman"/>
          <w:color w:val="auto"/>
          <w:highlight w:val="none"/>
          <w:shd w:val="clear" w:color="auto" w:fill="auto"/>
        </w:rPr>
        <w:t>6.</w:t>
      </w:r>
      <w:r>
        <w:rPr>
          <w:rFonts w:hint="eastAsia" w:ascii="Times New Roman"/>
          <w:color w:val="auto"/>
          <w:highlight w:val="none"/>
          <w:shd w:val="clear" w:color="auto" w:fill="auto"/>
        </w:rPr>
        <w:t>3</w:t>
      </w:r>
      <w:r>
        <w:rPr>
          <w:rFonts w:ascii="Times New Roman"/>
          <w:color w:val="auto"/>
          <w:highlight w:val="none"/>
          <w:shd w:val="clear" w:color="auto" w:fill="auto"/>
        </w:rPr>
        <w:t xml:space="preserve"> </w:t>
      </w:r>
      <w:r>
        <w:rPr>
          <w:rFonts w:hint="eastAsia" w:ascii="Times New Roman"/>
          <w:color w:val="auto"/>
          <w:highlight w:val="none"/>
          <w:shd w:val="clear" w:color="auto" w:fill="auto"/>
        </w:rPr>
        <w:t>完成</w:t>
      </w:r>
      <w:bookmarkEnd w:id="138"/>
      <w:r>
        <w:rPr>
          <w:rFonts w:hint="eastAsia" w:ascii="Times New Roman"/>
          <w:color w:val="auto"/>
          <w:szCs w:val="21"/>
          <w:highlight w:val="none"/>
          <w:shd w:val="clear" w:color="auto" w:fill="auto"/>
        </w:rPr>
        <w:t>监理</w:t>
      </w:r>
      <w:bookmarkEnd w:id="139"/>
      <w:r>
        <w:rPr>
          <w:rFonts w:ascii="Times New Roman"/>
          <w:color w:val="auto"/>
          <w:highlight w:val="none"/>
          <w:shd w:val="clear" w:color="auto" w:fill="auto"/>
        </w:rPr>
        <w:t xml:space="preserve"> </w:t>
      </w:r>
    </w:p>
    <w:p w14:paraId="1639198F">
      <w:pPr>
        <w:spacing w:line="540" w:lineRule="exact"/>
        <w:ind w:firstLine="420" w:firstLineChars="200"/>
        <w:rPr>
          <w:color w:val="auto"/>
          <w:highlight w:val="none"/>
          <w:shd w:val="clear" w:color="auto" w:fill="auto"/>
        </w:rPr>
      </w:pPr>
      <w:r>
        <w:rPr>
          <w:color w:val="auto"/>
          <w:highlight w:val="none"/>
          <w:shd w:val="clear" w:color="auto" w:fill="auto"/>
        </w:rPr>
        <w:t xml:space="preserve">6.3.1 监理人应当根据法律、规范标准、合同约定和委托人要求实施和完成监理，并编制和移交监理文件。 </w:t>
      </w:r>
    </w:p>
    <w:p w14:paraId="15555196">
      <w:pPr>
        <w:spacing w:line="540" w:lineRule="exact"/>
        <w:ind w:firstLine="420" w:firstLineChars="200"/>
        <w:rPr>
          <w:color w:val="auto"/>
          <w:highlight w:val="none"/>
          <w:shd w:val="clear" w:color="auto" w:fill="auto"/>
        </w:rPr>
      </w:pPr>
      <w:r>
        <w:rPr>
          <w:color w:val="auto"/>
          <w:highlight w:val="none"/>
          <w:shd w:val="clear" w:color="auto" w:fill="auto"/>
        </w:rPr>
        <w:t xml:space="preserve">6.3.2 根据委托人要求或者基于专业能力判断，监理人认为能够提前完成监理的，可向委托人递交一份提前完成监理建议书，包括实施方案、提前时间、监理报酬变动等内容。除专用合同条款另有约定之外，委托人接受建议书的，不因提前完成监理而减少监理报酬；增加监理报酬的，所增费用由委托人承担。 </w:t>
      </w:r>
    </w:p>
    <w:p w14:paraId="49D9A3B8">
      <w:pPr>
        <w:spacing w:line="540" w:lineRule="exact"/>
        <w:ind w:firstLine="420" w:firstLineChars="200"/>
        <w:rPr>
          <w:color w:val="auto"/>
          <w:highlight w:val="none"/>
          <w:shd w:val="clear" w:color="auto" w:fill="auto"/>
        </w:rPr>
      </w:pPr>
      <w:r>
        <w:rPr>
          <w:color w:val="auto"/>
          <w:highlight w:val="none"/>
          <w:shd w:val="clear" w:color="auto" w:fill="auto"/>
        </w:rPr>
        <w:t xml:space="preserve">6.3.3 缺陷修复监理指缺陷责任期间，监理人对承包人修复质量缺陷进行的监理。缺陷修复监理的责任由监理人负责。 </w:t>
      </w:r>
    </w:p>
    <w:p w14:paraId="633B3BAA">
      <w:pPr>
        <w:spacing w:line="540" w:lineRule="exact"/>
        <w:ind w:firstLine="420" w:firstLineChars="200"/>
        <w:rPr>
          <w:color w:val="auto"/>
          <w:highlight w:val="none"/>
          <w:shd w:val="clear" w:color="auto" w:fill="auto"/>
        </w:rPr>
      </w:pPr>
      <w:r>
        <w:rPr>
          <w:color w:val="auto"/>
          <w:highlight w:val="none"/>
          <w:shd w:val="clear" w:color="auto" w:fill="auto"/>
        </w:rPr>
        <w:t xml:space="preserve">6.3.4 委托人应当及时接收监理人提交的监理文件。如无正当理由拒收的，视为委托人已经接收监理文件。接收监理文件时，委托人应向监理人出具文件签收凭证，凭证内容包括文件名称、文件内容、文件形式、份数、提交和接收日期、提交人与接收人的亲笔签名等。 </w:t>
      </w:r>
    </w:p>
    <w:p w14:paraId="7FD619EC">
      <w:pPr>
        <w:spacing w:line="540" w:lineRule="exact"/>
        <w:ind w:firstLine="420" w:firstLineChars="200"/>
        <w:rPr>
          <w:color w:val="auto"/>
          <w:highlight w:val="none"/>
          <w:shd w:val="clear" w:color="auto" w:fill="auto"/>
        </w:rPr>
      </w:pPr>
      <w:r>
        <w:rPr>
          <w:color w:val="auto"/>
          <w:highlight w:val="none"/>
          <w:shd w:val="clear" w:color="auto" w:fill="auto"/>
        </w:rPr>
        <w:t>6.3.5 除专用合同条款另有约定外，监理文件包括纸质文件和电子文件两种形式，两者若有不一致时，应以纸质文件为准。纸质文件应当加盖单位章和总监理工程师的注册执业印章，具体份数、纸幅、装订格式等要求，应在专用合同条款中约定；电子文件应使用光盘和 U 盘分别贮存。</w:t>
      </w:r>
    </w:p>
    <w:p w14:paraId="3E40BAD8">
      <w:pPr>
        <w:pStyle w:val="5"/>
        <w:spacing w:line="540" w:lineRule="exact"/>
        <w:rPr>
          <w:rFonts w:ascii="Times New Roman" w:hAnsi="Times New Roman"/>
          <w:color w:val="auto"/>
          <w:highlight w:val="none"/>
          <w:shd w:val="clear" w:color="auto" w:fill="auto"/>
        </w:rPr>
      </w:pPr>
      <w:bookmarkStart w:id="140" w:name="_Toc27565"/>
      <w:bookmarkStart w:id="141" w:name="_Toc482188607"/>
      <w:bookmarkStart w:id="142" w:name="_Toc247514127"/>
      <w:bookmarkStart w:id="143" w:name="_Toc184635110"/>
      <w:bookmarkStart w:id="144" w:name="_Toc247527728"/>
      <w:r>
        <w:rPr>
          <w:rFonts w:hint="eastAsia" w:ascii="Times New Roman" w:hAnsi="Times New Roman"/>
          <w:color w:val="auto"/>
          <w:highlight w:val="none"/>
          <w:shd w:val="clear" w:color="auto" w:fill="auto"/>
        </w:rPr>
        <w:t>7</w:t>
      </w:r>
      <w:r>
        <w:rPr>
          <w:rFonts w:ascii="Times New Roman" w:hAnsi="Times New Roman"/>
          <w:color w:val="auto"/>
          <w:highlight w:val="none"/>
          <w:shd w:val="clear" w:color="auto" w:fill="auto"/>
        </w:rPr>
        <w:t>. 监理责任与保险</w:t>
      </w:r>
      <w:bookmarkEnd w:id="140"/>
      <w:bookmarkEnd w:id="141"/>
    </w:p>
    <w:bookmarkEnd w:id="142"/>
    <w:bookmarkEnd w:id="143"/>
    <w:bookmarkEnd w:id="144"/>
    <w:p w14:paraId="03690718">
      <w:pPr>
        <w:pStyle w:val="6"/>
        <w:spacing w:line="540" w:lineRule="exact"/>
        <w:ind w:firstLine="137"/>
        <w:rPr>
          <w:rFonts w:ascii="Times New Roman"/>
          <w:color w:val="auto"/>
          <w:highlight w:val="none"/>
          <w:shd w:val="clear" w:color="auto" w:fill="auto"/>
        </w:rPr>
      </w:pPr>
      <w:bookmarkStart w:id="145" w:name="_Toc482188610"/>
      <w:bookmarkStart w:id="146" w:name="_Toc17366"/>
      <w:r>
        <w:rPr>
          <w:rFonts w:hint="eastAsia" w:ascii="Times New Roman"/>
          <w:color w:val="auto"/>
          <w:highlight w:val="none"/>
          <w:shd w:val="clear" w:color="auto" w:fill="auto"/>
        </w:rPr>
        <w:t>7</w:t>
      </w:r>
      <w:r>
        <w:rPr>
          <w:rFonts w:ascii="Times New Roman"/>
          <w:color w:val="auto"/>
          <w:highlight w:val="none"/>
          <w:shd w:val="clear" w:color="auto" w:fill="auto"/>
        </w:rPr>
        <w:t>.</w:t>
      </w:r>
      <w:r>
        <w:rPr>
          <w:rFonts w:hint="eastAsia" w:ascii="Times New Roman"/>
          <w:color w:val="auto"/>
          <w:highlight w:val="none"/>
          <w:shd w:val="clear" w:color="auto" w:fill="auto"/>
        </w:rPr>
        <w:t>1</w:t>
      </w:r>
      <w:r>
        <w:rPr>
          <w:rFonts w:ascii="Times New Roman"/>
          <w:color w:val="auto"/>
          <w:highlight w:val="none"/>
          <w:shd w:val="clear" w:color="auto" w:fill="auto"/>
        </w:rPr>
        <w:t xml:space="preserve"> 监理</w:t>
      </w:r>
      <w:r>
        <w:rPr>
          <w:rFonts w:hint="eastAsia" w:ascii="Times New Roman"/>
          <w:color w:val="auto"/>
          <w:highlight w:val="none"/>
          <w:shd w:val="clear" w:color="auto" w:fill="auto"/>
        </w:rPr>
        <w:t>责任主体</w:t>
      </w:r>
      <w:bookmarkEnd w:id="145"/>
      <w:bookmarkEnd w:id="146"/>
    </w:p>
    <w:p w14:paraId="68B989D8">
      <w:pPr>
        <w:spacing w:line="540" w:lineRule="exact"/>
        <w:ind w:firstLine="420" w:firstLineChars="200"/>
        <w:rPr>
          <w:color w:val="auto"/>
          <w:highlight w:val="none"/>
          <w:shd w:val="clear" w:color="auto" w:fill="auto"/>
        </w:rPr>
      </w:pPr>
      <w:r>
        <w:rPr>
          <w:color w:val="auto"/>
          <w:highlight w:val="none"/>
          <w:shd w:val="clear" w:color="auto" w:fill="auto"/>
        </w:rPr>
        <w:t xml:space="preserve">7.1.1 监理人应运用一切合理的专业技术、知识技能和项目经验，按照职业道德准则和行业公认标准尽其全部职责，勤勉、谨慎、公正地履行其在本合同项下的责任和义务。 </w:t>
      </w:r>
    </w:p>
    <w:p w14:paraId="3464DC0F">
      <w:pPr>
        <w:spacing w:line="540" w:lineRule="exact"/>
        <w:ind w:firstLine="420" w:firstLineChars="200"/>
        <w:rPr>
          <w:color w:val="auto"/>
          <w:highlight w:val="none"/>
          <w:shd w:val="clear" w:color="auto" w:fill="auto"/>
        </w:rPr>
      </w:pPr>
      <w:r>
        <w:rPr>
          <w:color w:val="auto"/>
          <w:highlight w:val="none"/>
          <w:shd w:val="clear" w:color="auto" w:fill="auto"/>
        </w:rPr>
        <w:t xml:space="preserve">7.1.2 监理责任为监理单位项目负责人终身责任制。总监理工程师应当按照法律法规、有关技术标准、设计文件和工程承包合同进行监理，对施工质量承担监理责任。 </w:t>
      </w:r>
    </w:p>
    <w:p w14:paraId="107597BF">
      <w:pPr>
        <w:spacing w:line="540" w:lineRule="exact"/>
        <w:ind w:firstLine="420" w:firstLineChars="200"/>
        <w:rPr>
          <w:color w:val="auto"/>
          <w:highlight w:val="none"/>
          <w:shd w:val="clear" w:color="auto" w:fill="auto"/>
        </w:rPr>
      </w:pPr>
      <w:r>
        <w:rPr>
          <w:color w:val="auto"/>
          <w:highlight w:val="none"/>
          <w:shd w:val="clear" w:color="auto" w:fill="auto"/>
        </w:rPr>
        <w:t>7.1.3 总监理工程师应当在办理工程质量监督手续前签署工程质量终身责任承诺书，连同法定代表人出具的授权书，报工程质量监督机构备案。</w:t>
      </w:r>
    </w:p>
    <w:p w14:paraId="029E8D49">
      <w:pPr>
        <w:pStyle w:val="6"/>
        <w:spacing w:line="540" w:lineRule="exact"/>
        <w:ind w:firstLine="137"/>
        <w:rPr>
          <w:rFonts w:ascii="Times New Roman"/>
          <w:color w:val="auto"/>
          <w:highlight w:val="none"/>
          <w:shd w:val="clear" w:color="auto" w:fill="auto"/>
        </w:rPr>
      </w:pPr>
      <w:bookmarkStart w:id="147" w:name="_Toc18596"/>
      <w:bookmarkStart w:id="148" w:name="_Toc482188611"/>
      <w:r>
        <w:rPr>
          <w:rFonts w:hint="eastAsia" w:ascii="Times New Roman"/>
          <w:color w:val="auto"/>
          <w:highlight w:val="none"/>
          <w:shd w:val="clear" w:color="auto" w:fill="auto"/>
        </w:rPr>
        <w:t>7</w:t>
      </w:r>
      <w:r>
        <w:rPr>
          <w:rFonts w:ascii="Times New Roman"/>
          <w:color w:val="auto"/>
          <w:highlight w:val="none"/>
          <w:shd w:val="clear" w:color="auto" w:fill="auto"/>
        </w:rPr>
        <w:t>.</w:t>
      </w:r>
      <w:r>
        <w:rPr>
          <w:rFonts w:hint="eastAsia" w:ascii="Times New Roman"/>
          <w:color w:val="auto"/>
          <w:highlight w:val="none"/>
          <w:shd w:val="clear" w:color="auto" w:fill="auto"/>
        </w:rPr>
        <w:t>2</w:t>
      </w:r>
      <w:r>
        <w:rPr>
          <w:rFonts w:ascii="Times New Roman"/>
          <w:color w:val="auto"/>
          <w:highlight w:val="none"/>
          <w:shd w:val="clear" w:color="auto" w:fill="auto"/>
        </w:rPr>
        <w:t xml:space="preserve"> </w:t>
      </w:r>
      <w:r>
        <w:rPr>
          <w:rFonts w:hint="eastAsia" w:ascii="Times New Roman"/>
          <w:color w:val="auto"/>
          <w:highlight w:val="none"/>
          <w:shd w:val="clear" w:color="auto" w:fill="auto"/>
        </w:rPr>
        <w:t>监理责任保险</w:t>
      </w:r>
      <w:bookmarkEnd w:id="147"/>
      <w:bookmarkEnd w:id="148"/>
    </w:p>
    <w:p w14:paraId="4C11D14C">
      <w:pPr>
        <w:spacing w:line="540" w:lineRule="exact"/>
        <w:ind w:firstLine="420" w:firstLineChars="200"/>
        <w:rPr>
          <w:color w:val="auto"/>
          <w:szCs w:val="21"/>
          <w:highlight w:val="none"/>
          <w:shd w:val="clear" w:color="auto" w:fill="auto"/>
        </w:rPr>
      </w:pPr>
      <w:r>
        <w:rPr>
          <w:color w:val="auto"/>
          <w:highlight w:val="none"/>
          <w:shd w:val="clear" w:color="auto" w:fill="auto"/>
        </w:rPr>
        <w:t>除专用合同条款另有约定外，建议监理人根据工程情况对监理责任进行保险，并在合同履行期间保持足额、有效。</w:t>
      </w:r>
    </w:p>
    <w:p w14:paraId="055BC98D">
      <w:pPr>
        <w:pStyle w:val="5"/>
        <w:spacing w:line="540" w:lineRule="exact"/>
        <w:rPr>
          <w:rFonts w:ascii="Times New Roman" w:hAnsi="Times New Roman"/>
          <w:color w:val="auto"/>
          <w:highlight w:val="none"/>
          <w:shd w:val="clear" w:color="auto" w:fill="auto"/>
        </w:rPr>
      </w:pPr>
      <w:bookmarkStart w:id="149" w:name="_Toc5578"/>
      <w:bookmarkStart w:id="150" w:name="_Toc482188615"/>
      <w:r>
        <w:rPr>
          <w:rFonts w:hint="eastAsia" w:ascii="Times New Roman" w:hAnsi="Times New Roman"/>
          <w:color w:val="auto"/>
          <w:highlight w:val="none"/>
          <w:shd w:val="clear" w:color="auto" w:fill="auto"/>
        </w:rPr>
        <w:t>8</w:t>
      </w:r>
      <w:r>
        <w:rPr>
          <w:rFonts w:ascii="Times New Roman" w:hAnsi="Times New Roman"/>
          <w:color w:val="auto"/>
          <w:highlight w:val="none"/>
          <w:shd w:val="clear" w:color="auto" w:fill="auto"/>
        </w:rPr>
        <w:t>. 合同变更</w:t>
      </w:r>
      <w:bookmarkEnd w:id="149"/>
      <w:bookmarkEnd w:id="150"/>
    </w:p>
    <w:p w14:paraId="33BC3DA1">
      <w:pPr>
        <w:pStyle w:val="6"/>
        <w:spacing w:line="540" w:lineRule="exact"/>
        <w:ind w:firstLine="137"/>
        <w:rPr>
          <w:rFonts w:ascii="Times New Roman"/>
          <w:color w:val="auto"/>
          <w:highlight w:val="none"/>
          <w:shd w:val="clear" w:color="auto" w:fill="auto"/>
        </w:rPr>
      </w:pPr>
      <w:bookmarkStart w:id="151" w:name="_Toc20819"/>
      <w:bookmarkStart w:id="152" w:name="_Toc467651025"/>
      <w:bookmarkStart w:id="153" w:name="_Toc482188616"/>
      <w:r>
        <w:rPr>
          <w:rFonts w:hint="eastAsia" w:ascii="Times New Roman"/>
          <w:color w:val="auto"/>
          <w:highlight w:val="none"/>
          <w:shd w:val="clear" w:color="auto" w:fill="auto"/>
        </w:rPr>
        <w:t>8</w:t>
      </w:r>
      <w:r>
        <w:rPr>
          <w:rFonts w:ascii="Times New Roman"/>
          <w:color w:val="auto"/>
          <w:highlight w:val="none"/>
          <w:shd w:val="clear" w:color="auto" w:fill="auto"/>
        </w:rPr>
        <w:t xml:space="preserve">.1 </w:t>
      </w:r>
      <w:r>
        <w:rPr>
          <w:rFonts w:hint="eastAsia" w:ascii="Times New Roman"/>
          <w:color w:val="auto"/>
          <w:highlight w:val="none"/>
          <w:shd w:val="clear" w:color="auto" w:fill="auto"/>
        </w:rPr>
        <w:t>变更情形</w:t>
      </w:r>
      <w:bookmarkEnd w:id="151"/>
      <w:bookmarkEnd w:id="152"/>
      <w:bookmarkEnd w:id="153"/>
    </w:p>
    <w:p w14:paraId="0160AE9E">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8.1.1 合同履行中发生下述情形时，合同一方均可向对方提出变更请求，经双方协商一致后进行变更，监理服务期限和监理报酬的调整方法在专用合同条款中约定。 </w:t>
      </w:r>
    </w:p>
    <w:p w14:paraId="79AA22E9">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w:t>
      </w:r>
      <w:r>
        <w:rPr>
          <w:color w:val="auto"/>
          <w:szCs w:val="21"/>
          <w:highlight w:val="none"/>
          <w:shd w:val="clear" w:color="auto" w:fill="auto"/>
        </w:rPr>
        <w:t xml:space="preserve">监理范围发生变化； </w:t>
      </w:r>
    </w:p>
    <w:p w14:paraId="003AAD6F">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（2）</w:t>
      </w:r>
      <w:r>
        <w:rPr>
          <w:color w:val="auto"/>
          <w:szCs w:val="21"/>
          <w:highlight w:val="none"/>
          <w:shd w:val="clear" w:color="auto" w:fill="auto"/>
        </w:rPr>
        <w:t>除不可抗力外，非监理人的原因引起的周期延误；</w:t>
      </w:r>
    </w:p>
    <w:p w14:paraId="0CDEA0A2">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（3）非监理人的原因，对工程同一部分重复进行监理； </w:t>
      </w:r>
    </w:p>
    <w:p w14:paraId="5D9558EF">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（4）非监理人的原因，对工程暂停监理及恢复监理。 </w:t>
      </w:r>
    </w:p>
    <w:p w14:paraId="072DEB2F">
      <w:pPr>
        <w:spacing w:line="540" w:lineRule="exact"/>
        <w:ind w:firstLine="420" w:firstLineChars="200"/>
        <w:rPr>
          <w:color w:val="auto"/>
          <w:szCs w:val="21"/>
          <w:highlight w:val="none"/>
          <w:shd w:val="clear" w:color="auto" w:fill="auto"/>
        </w:rPr>
      </w:pPr>
      <w:r>
        <w:rPr>
          <w:color w:val="auto"/>
          <w:szCs w:val="21"/>
          <w:highlight w:val="none"/>
          <w:shd w:val="clear" w:color="auto" w:fill="auto"/>
        </w:rPr>
        <w:t>8.1.2 基准日后，因颁布新的或修订原有法律、法规、规范和标准等引发合同变更情形的，按照上述约定进行调整。</w:t>
      </w:r>
    </w:p>
    <w:p w14:paraId="3CFB38D4">
      <w:pPr>
        <w:pStyle w:val="6"/>
        <w:spacing w:line="540" w:lineRule="exact"/>
        <w:ind w:firstLine="137"/>
        <w:rPr>
          <w:rFonts w:ascii="Times New Roman"/>
          <w:color w:val="auto"/>
          <w:highlight w:val="none"/>
          <w:shd w:val="clear" w:color="auto" w:fill="auto"/>
        </w:rPr>
      </w:pPr>
      <w:bookmarkStart w:id="154" w:name="_Toc482188617"/>
      <w:bookmarkStart w:id="155" w:name="_Toc467651026"/>
      <w:bookmarkStart w:id="156" w:name="_Toc21688"/>
      <w:r>
        <w:rPr>
          <w:rFonts w:hint="eastAsia" w:ascii="Times New Roman"/>
          <w:color w:val="auto"/>
          <w:highlight w:val="none"/>
          <w:shd w:val="clear" w:color="auto" w:fill="auto"/>
        </w:rPr>
        <w:t>8</w:t>
      </w:r>
      <w:r>
        <w:rPr>
          <w:rFonts w:ascii="Times New Roman"/>
          <w:color w:val="auto"/>
          <w:highlight w:val="none"/>
          <w:shd w:val="clear" w:color="auto" w:fill="auto"/>
        </w:rPr>
        <w:t xml:space="preserve">.2 </w:t>
      </w:r>
      <w:r>
        <w:rPr>
          <w:rFonts w:hint="eastAsia" w:ascii="Times New Roman"/>
          <w:color w:val="auto"/>
          <w:highlight w:val="none"/>
          <w:shd w:val="clear" w:color="auto" w:fill="auto"/>
        </w:rPr>
        <w:t>合理化建议</w:t>
      </w:r>
      <w:bookmarkEnd w:id="154"/>
      <w:bookmarkEnd w:id="155"/>
      <w:bookmarkEnd w:id="156"/>
    </w:p>
    <w:p w14:paraId="4A64A644">
      <w:pPr>
        <w:spacing w:line="540" w:lineRule="exact"/>
        <w:ind w:firstLine="420" w:firstLineChars="200"/>
        <w:rPr>
          <w:color w:val="auto"/>
          <w:highlight w:val="none"/>
          <w:shd w:val="clear" w:color="auto" w:fill="auto"/>
        </w:rPr>
      </w:pPr>
      <w:r>
        <w:rPr>
          <w:color w:val="auto"/>
          <w:highlight w:val="none"/>
          <w:shd w:val="clear" w:color="auto" w:fill="auto"/>
        </w:rPr>
        <w:t xml:space="preserve">8.2.1 合同履行中，监理人可对委托人要求提出合理化建议。合理化建议应以书面形式提交委托人，被委托人采纳并构成变更的，执行第 8.1 款约定。 </w:t>
      </w:r>
    </w:p>
    <w:p w14:paraId="2E282F13">
      <w:pPr>
        <w:spacing w:line="540" w:lineRule="exact"/>
        <w:ind w:firstLine="420" w:firstLineChars="200"/>
        <w:rPr>
          <w:color w:val="auto"/>
          <w:szCs w:val="21"/>
          <w:highlight w:val="none"/>
          <w:shd w:val="clear" w:color="auto" w:fill="auto"/>
        </w:rPr>
      </w:pPr>
      <w:r>
        <w:rPr>
          <w:color w:val="auto"/>
          <w:highlight w:val="none"/>
          <w:shd w:val="clear" w:color="auto" w:fill="auto"/>
        </w:rPr>
        <w:t>8.2.2 监理人提出的合理化建议降低了工程投资、缩短了施工期限或者提高了工程经济效益的，委托人应按专用合同条款中的约定给予奖励。</w:t>
      </w:r>
    </w:p>
    <w:p w14:paraId="58B99FA9">
      <w:pPr>
        <w:pStyle w:val="5"/>
        <w:spacing w:line="540" w:lineRule="exact"/>
        <w:rPr>
          <w:rFonts w:ascii="Times New Roman" w:hAnsi="Times New Roman"/>
          <w:color w:val="auto"/>
          <w:highlight w:val="none"/>
          <w:shd w:val="clear" w:color="auto" w:fill="auto"/>
        </w:rPr>
      </w:pPr>
      <w:bookmarkStart w:id="157" w:name="_Toc3003"/>
      <w:bookmarkStart w:id="158" w:name="_Toc482188618"/>
      <w:r>
        <w:rPr>
          <w:rFonts w:hint="eastAsia" w:ascii="Times New Roman" w:hAnsi="Times New Roman"/>
          <w:color w:val="auto"/>
          <w:highlight w:val="none"/>
          <w:shd w:val="clear" w:color="auto" w:fill="auto"/>
        </w:rPr>
        <w:t>9</w:t>
      </w:r>
      <w:r>
        <w:rPr>
          <w:rFonts w:ascii="Times New Roman" w:hAnsi="Times New Roman"/>
          <w:color w:val="auto"/>
          <w:highlight w:val="none"/>
          <w:shd w:val="clear" w:color="auto" w:fill="auto"/>
        </w:rPr>
        <w:t>. 合同价格与支付</w:t>
      </w:r>
      <w:bookmarkEnd w:id="157"/>
      <w:bookmarkEnd w:id="158"/>
    </w:p>
    <w:p w14:paraId="080D29B6">
      <w:pPr>
        <w:pStyle w:val="6"/>
        <w:spacing w:line="540" w:lineRule="exact"/>
        <w:ind w:firstLine="137"/>
        <w:rPr>
          <w:rFonts w:ascii="Times New Roman"/>
          <w:color w:val="auto"/>
          <w:highlight w:val="none"/>
          <w:shd w:val="clear" w:color="auto" w:fill="auto"/>
        </w:rPr>
      </w:pPr>
      <w:bookmarkStart w:id="159" w:name="_Toc482188619"/>
      <w:bookmarkStart w:id="160" w:name="_Toc14732"/>
      <w:r>
        <w:rPr>
          <w:rFonts w:hint="eastAsia" w:ascii="Times New Roman"/>
          <w:color w:val="auto"/>
          <w:highlight w:val="none"/>
          <w:shd w:val="clear" w:color="auto" w:fill="auto"/>
        </w:rPr>
        <w:t>9</w:t>
      </w:r>
      <w:r>
        <w:rPr>
          <w:rFonts w:ascii="Times New Roman"/>
          <w:color w:val="auto"/>
          <w:highlight w:val="none"/>
          <w:shd w:val="clear" w:color="auto" w:fill="auto"/>
        </w:rPr>
        <w:t xml:space="preserve">.1 </w:t>
      </w:r>
      <w:r>
        <w:rPr>
          <w:rFonts w:hint="eastAsia" w:ascii="Times New Roman"/>
          <w:color w:val="auto"/>
          <w:highlight w:val="none"/>
          <w:shd w:val="clear" w:color="auto" w:fill="auto"/>
        </w:rPr>
        <w:t>合同价格</w:t>
      </w:r>
      <w:bookmarkEnd w:id="159"/>
      <w:bookmarkEnd w:id="160"/>
    </w:p>
    <w:p w14:paraId="693FE528">
      <w:pPr>
        <w:spacing w:line="540" w:lineRule="exact"/>
        <w:ind w:firstLine="420" w:firstLineChars="200"/>
        <w:rPr>
          <w:color w:val="auto"/>
          <w:highlight w:val="none"/>
          <w:shd w:val="clear" w:color="auto" w:fill="auto"/>
        </w:rPr>
      </w:pPr>
      <w:r>
        <w:rPr>
          <w:color w:val="auto"/>
          <w:highlight w:val="none"/>
          <w:shd w:val="clear" w:color="auto" w:fill="auto"/>
        </w:rPr>
        <w:t xml:space="preserve">9.1.1 本合同的价款确定方式、调整方式和风险范围划分，在专用合同条款中约定。 </w:t>
      </w:r>
    </w:p>
    <w:p w14:paraId="4D22D5FC">
      <w:pPr>
        <w:spacing w:line="540" w:lineRule="exact"/>
        <w:ind w:firstLine="420" w:firstLineChars="200"/>
        <w:rPr>
          <w:color w:val="auto"/>
          <w:highlight w:val="none"/>
          <w:shd w:val="clear" w:color="auto" w:fill="auto"/>
        </w:rPr>
      </w:pPr>
      <w:r>
        <w:rPr>
          <w:color w:val="auto"/>
          <w:highlight w:val="none"/>
          <w:shd w:val="clear" w:color="auto" w:fill="auto"/>
        </w:rPr>
        <w:t xml:space="preserve">9.1.2 除专用合同条款另有约定外，合同价格应当包括收集资料、踏勘现场、制订纲要、实施监理、编制监理文件等全部费用和国家规定的增值税税金。 </w:t>
      </w:r>
    </w:p>
    <w:p w14:paraId="363D241A">
      <w:pPr>
        <w:spacing w:line="540" w:lineRule="exact"/>
        <w:ind w:firstLine="420" w:firstLineChars="200"/>
        <w:rPr>
          <w:color w:val="auto"/>
          <w:szCs w:val="21"/>
          <w:highlight w:val="none"/>
          <w:shd w:val="clear" w:color="auto" w:fill="auto"/>
        </w:rPr>
      </w:pPr>
      <w:r>
        <w:rPr>
          <w:color w:val="auto"/>
          <w:highlight w:val="none"/>
          <w:shd w:val="clear" w:color="auto" w:fill="auto"/>
        </w:rPr>
        <w:t>9.1.3 委托人要求监理人进行外出考察、试验检测、专项咨询或专家评审时，相应费用不含在合同价格之中，由委托人另行支付。</w:t>
      </w:r>
    </w:p>
    <w:p w14:paraId="5BE300AB">
      <w:pPr>
        <w:pStyle w:val="6"/>
        <w:spacing w:line="540" w:lineRule="exact"/>
        <w:ind w:firstLine="137"/>
        <w:rPr>
          <w:rFonts w:ascii="Times New Roman"/>
          <w:color w:val="auto"/>
          <w:highlight w:val="none"/>
          <w:shd w:val="clear" w:color="auto" w:fill="auto"/>
        </w:rPr>
      </w:pPr>
      <w:bookmarkStart w:id="161" w:name="_Toc482188620"/>
      <w:bookmarkStart w:id="162" w:name="_Toc13378"/>
      <w:r>
        <w:rPr>
          <w:rFonts w:hint="eastAsia" w:ascii="Times New Roman"/>
          <w:color w:val="auto"/>
          <w:highlight w:val="none"/>
          <w:shd w:val="clear" w:color="auto" w:fill="auto"/>
        </w:rPr>
        <w:t>9</w:t>
      </w:r>
      <w:r>
        <w:rPr>
          <w:rFonts w:ascii="Times New Roman"/>
          <w:color w:val="auto"/>
          <w:highlight w:val="none"/>
          <w:shd w:val="clear" w:color="auto" w:fill="auto"/>
        </w:rPr>
        <w:t>.2</w:t>
      </w:r>
      <w:bookmarkEnd w:id="161"/>
      <w:r>
        <w:rPr>
          <w:rFonts w:hint="eastAsia" w:ascii="Times New Roman"/>
          <w:color w:val="auto"/>
          <w:highlight w:val="none"/>
          <w:shd w:val="clear" w:color="auto" w:fill="auto"/>
        </w:rPr>
        <w:t>预付款</w:t>
      </w:r>
      <w:bookmarkEnd w:id="162"/>
    </w:p>
    <w:p w14:paraId="550F23B6">
      <w:pPr>
        <w:spacing w:line="540" w:lineRule="exact"/>
        <w:ind w:firstLine="420" w:firstLineChars="200"/>
        <w:rPr>
          <w:color w:val="auto"/>
          <w:highlight w:val="none"/>
          <w:shd w:val="clear" w:color="auto" w:fill="auto"/>
        </w:rPr>
      </w:pPr>
      <w:r>
        <w:rPr>
          <w:color w:val="auto"/>
          <w:highlight w:val="none"/>
          <w:shd w:val="clear" w:color="auto" w:fill="auto"/>
        </w:rPr>
        <w:t xml:space="preserve">9.2.1 预付款应专用于本工程的监理。预付款的额度、支付方式及抵扣方式在专用合同条款中约定。 </w:t>
      </w:r>
    </w:p>
    <w:p w14:paraId="0383D1EC">
      <w:pPr>
        <w:spacing w:line="540" w:lineRule="exact"/>
        <w:ind w:firstLine="420" w:firstLineChars="200"/>
        <w:rPr>
          <w:color w:val="auto"/>
          <w:szCs w:val="21"/>
          <w:highlight w:val="none"/>
          <w:shd w:val="clear" w:color="auto" w:fill="auto"/>
        </w:rPr>
      </w:pPr>
      <w:r>
        <w:rPr>
          <w:color w:val="auto"/>
          <w:highlight w:val="none"/>
          <w:shd w:val="clear" w:color="auto" w:fill="auto"/>
        </w:rPr>
        <w:t>9.2.2 委托人应在收到预付款支付申请后 28 天内，将预付款支付给监理人；监理人应当提供等额的增值税发票。</w:t>
      </w:r>
    </w:p>
    <w:p w14:paraId="72C24660">
      <w:pPr>
        <w:pStyle w:val="6"/>
        <w:spacing w:line="540" w:lineRule="exact"/>
        <w:ind w:firstLine="137"/>
        <w:rPr>
          <w:rFonts w:ascii="Times New Roman"/>
          <w:color w:val="auto"/>
          <w:highlight w:val="none"/>
          <w:shd w:val="clear" w:color="auto" w:fill="auto"/>
        </w:rPr>
      </w:pPr>
      <w:bookmarkStart w:id="163" w:name="_Toc402"/>
      <w:bookmarkStart w:id="164" w:name="_Toc482188621"/>
      <w:bookmarkStart w:id="165" w:name="_Toc467651035"/>
      <w:r>
        <w:rPr>
          <w:rFonts w:hint="eastAsia" w:ascii="Times New Roman"/>
          <w:color w:val="auto"/>
          <w:highlight w:val="none"/>
          <w:shd w:val="clear" w:color="auto" w:fill="auto"/>
        </w:rPr>
        <w:t>9</w:t>
      </w:r>
      <w:r>
        <w:rPr>
          <w:rFonts w:ascii="Times New Roman"/>
          <w:color w:val="auto"/>
          <w:highlight w:val="none"/>
          <w:shd w:val="clear" w:color="auto" w:fill="auto"/>
        </w:rPr>
        <w:t xml:space="preserve">.3 </w:t>
      </w:r>
      <w:r>
        <w:rPr>
          <w:rFonts w:hint="eastAsia" w:ascii="Times New Roman"/>
          <w:color w:val="auto"/>
          <w:highlight w:val="none"/>
          <w:shd w:val="clear" w:color="auto" w:fill="auto"/>
        </w:rPr>
        <w:t>中期支付</w:t>
      </w:r>
      <w:bookmarkEnd w:id="163"/>
      <w:bookmarkEnd w:id="164"/>
      <w:bookmarkEnd w:id="165"/>
    </w:p>
    <w:p w14:paraId="484242F2">
      <w:pPr>
        <w:spacing w:line="540" w:lineRule="exact"/>
        <w:ind w:firstLine="420" w:firstLineChars="200"/>
        <w:rPr>
          <w:color w:val="auto"/>
          <w:highlight w:val="none"/>
          <w:shd w:val="clear" w:color="auto" w:fill="auto"/>
        </w:rPr>
      </w:pPr>
      <w:r>
        <w:rPr>
          <w:color w:val="auto"/>
          <w:highlight w:val="none"/>
          <w:shd w:val="clear" w:color="auto" w:fill="auto"/>
        </w:rPr>
        <w:t xml:space="preserve">9.3.1 监理人应按委托人批准或专用合同条款约定的格式及份数，向委托人提交中期支付申请，并附相应的支持性证明文件。 </w:t>
      </w:r>
    </w:p>
    <w:p w14:paraId="0A74DC83">
      <w:pPr>
        <w:spacing w:line="540" w:lineRule="exact"/>
        <w:ind w:firstLine="420" w:firstLineChars="200"/>
        <w:rPr>
          <w:color w:val="auto"/>
          <w:highlight w:val="none"/>
          <w:shd w:val="clear" w:color="auto" w:fill="auto"/>
        </w:rPr>
      </w:pPr>
      <w:r>
        <w:rPr>
          <w:color w:val="auto"/>
          <w:highlight w:val="none"/>
          <w:shd w:val="clear" w:color="auto" w:fill="auto"/>
        </w:rPr>
        <w:t xml:space="preserve">9.3.2 委托人应在收到中期支付申请后的 28 天内，将应付款项支付给监理人；监理人应当提供等额的增值税发票。委托人未能在前述时间内完成审批或不予答复的，视为委托人同意中期支付申请。委托人不按期支付的，按专用合同条款的约定支付逾期付款违约金。 </w:t>
      </w:r>
    </w:p>
    <w:p w14:paraId="526785BE">
      <w:pPr>
        <w:spacing w:line="540" w:lineRule="exact"/>
        <w:ind w:firstLine="420" w:firstLineChars="200"/>
        <w:rPr>
          <w:color w:val="auto"/>
          <w:szCs w:val="21"/>
          <w:highlight w:val="none"/>
          <w:shd w:val="clear" w:color="auto" w:fill="auto"/>
        </w:rPr>
      </w:pPr>
      <w:r>
        <w:rPr>
          <w:color w:val="auto"/>
          <w:highlight w:val="none"/>
          <w:shd w:val="clear" w:color="auto" w:fill="auto"/>
        </w:rPr>
        <w:t>9.3.3 中期支付涉及政府投资资金的，按照国库集中支付等国家相关规定和专用合同条款的约定执行。</w:t>
      </w:r>
    </w:p>
    <w:p w14:paraId="6AEDF61E">
      <w:pPr>
        <w:pStyle w:val="6"/>
        <w:spacing w:line="540" w:lineRule="exact"/>
        <w:ind w:firstLine="137"/>
        <w:rPr>
          <w:rFonts w:ascii="Times New Roman"/>
          <w:color w:val="auto"/>
          <w:highlight w:val="none"/>
          <w:shd w:val="clear" w:color="auto" w:fill="auto"/>
        </w:rPr>
      </w:pPr>
      <w:bookmarkStart w:id="166" w:name="_Toc482188622"/>
      <w:bookmarkStart w:id="167" w:name="_Toc17274"/>
      <w:bookmarkStart w:id="168" w:name="_Toc467651036"/>
      <w:r>
        <w:rPr>
          <w:rFonts w:hint="eastAsia" w:ascii="Times New Roman"/>
          <w:color w:val="auto"/>
          <w:highlight w:val="none"/>
          <w:shd w:val="clear" w:color="auto" w:fill="auto"/>
        </w:rPr>
        <w:t>9</w:t>
      </w:r>
      <w:r>
        <w:rPr>
          <w:rFonts w:ascii="Times New Roman"/>
          <w:color w:val="auto"/>
          <w:highlight w:val="none"/>
          <w:shd w:val="clear" w:color="auto" w:fill="auto"/>
        </w:rPr>
        <w:t xml:space="preserve">.4 </w:t>
      </w:r>
      <w:r>
        <w:rPr>
          <w:rFonts w:hint="eastAsia" w:ascii="Times New Roman"/>
          <w:color w:val="auto"/>
          <w:highlight w:val="none"/>
          <w:shd w:val="clear" w:color="auto" w:fill="auto"/>
        </w:rPr>
        <w:t>费用结算</w:t>
      </w:r>
      <w:bookmarkEnd w:id="166"/>
      <w:bookmarkEnd w:id="167"/>
      <w:bookmarkEnd w:id="168"/>
    </w:p>
    <w:p w14:paraId="14F71F2D">
      <w:pPr>
        <w:spacing w:line="540" w:lineRule="exact"/>
        <w:ind w:firstLine="420" w:firstLineChars="200"/>
        <w:rPr>
          <w:color w:val="auto"/>
          <w:highlight w:val="none"/>
          <w:shd w:val="clear" w:color="auto" w:fill="auto"/>
        </w:rPr>
      </w:pPr>
      <w:r>
        <w:rPr>
          <w:color w:val="auto"/>
          <w:highlight w:val="none"/>
          <w:shd w:val="clear" w:color="auto" w:fill="auto"/>
        </w:rPr>
        <w:t xml:space="preserve">9.4.1 合同工作完成后，监理人可按专用合同条款约定的份数和期限，向委托人提交监理费用结算申请，并提供相关证明材料。 </w:t>
      </w:r>
    </w:p>
    <w:p w14:paraId="25C57F5B">
      <w:pPr>
        <w:spacing w:line="540" w:lineRule="exact"/>
        <w:ind w:firstLine="420" w:firstLineChars="200"/>
        <w:rPr>
          <w:color w:val="auto"/>
          <w:highlight w:val="none"/>
          <w:shd w:val="clear" w:color="auto" w:fill="auto"/>
        </w:rPr>
      </w:pPr>
      <w:r>
        <w:rPr>
          <w:color w:val="auto"/>
          <w:highlight w:val="none"/>
          <w:shd w:val="clear" w:color="auto" w:fill="auto"/>
        </w:rPr>
        <w:t xml:space="preserve">9.4.2 委托人应在收到费用结算申请后的 28 天内，将应付款项支付给监理人；监理人应当提供等额的增值税发票。委托人未能在前述时间内完成审批或不予答复的，视为委托人同意费用结算申请。委托人不按期支付的，按专用合同条款的约定支付逾期付款违约金。 </w:t>
      </w:r>
    </w:p>
    <w:p w14:paraId="6C43B1D9">
      <w:pPr>
        <w:spacing w:line="540" w:lineRule="exact"/>
        <w:ind w:firstLine="420" w:firstLineChars="200"/>
        <w:rPr>
          <w:color w:val="auto"/>
          <w:highlight w:val="none"/>
          <w:shd w:val="clear" w:color="auto" w:fill="auto"/>
        </w:rPr>
      </w:pPr>
      <w:r>
        <w:rPr>
          <w:color w:val="auto"/>
          <w:highlight w:val="none"/>
          <w:shd w:val="clear" w:color="auto" w:fill="auto"/>
        </w:rPr>
        <w:t xml:space="preserve">9.4.3 委托人对费用结算申请内容有异议的，有权要求监理人进行修正和提供补充资料，由监理人重新提交。监理人对此有异议的，按第 12 条的约定执行。 </w:t>
      </w:r>
    </w:p>
    <w:p w14:paraId="31A2AA38">
      <w:pPr>
        <w:spacing w:line="540" w:lineRule="exact"/>
        <w:ind w:firstLine="420" w:firstLineChars="200"/>
        <w:rPr>
          <w:color w:val="auto"/>
          <w:szCs w:val="21"/>
          <w:highlight w:val="none"/>
          <w:shd w:val="clear" w:color="auto" w:fill="auto"/>
        </w:rPr>
      </w:pPr>
      <w:r>
        <w:rPr>
          <w:color w:val="auto"/>
          <w:highlight w:val="none"/>
          <w:shd w:val="clear" w:color="auto" w:fill="auto"/>
        </w:rPr>
        <w:t>9.4.4 最终结清付款涉及政府投资资金的，按第 9.3.3 项的约定执行。</w:t>
      </w:r>
    </w:p>
    <w:p w14:paraId="6F4602E6">
      <w:pPr>
        <w:pStyle w:val="5"/>
        <w:spacing w:line="540" w:lineRule="exact"/>
        <w:rPr>
          <w:rFonts w:ascii="Times New Roman" w:hAnsi="Times New Roman"/>
          <w:color w:val="auto"/>
          <w:highlight w:val="none"/>
          <w:shd w:val="clear" w:color="auto" w:fill="auto"/>
        </w:rPr>
      </w:pPr>
      <w:bookmarkStart w:id="169" w:name="_Toc6572"/>
      <w:bookmarkStart w:id="170" w:name="_Toc482188623"/>
      <w:r>
        <w:rPr>
          <w:rFonts w:ascii="Times New Roman" w:hAnsi="Times New Roman"/>
          <w:color w:val="auto"/>
          <w:highlight w:val="none"/>
          <w:shd w:val="clear" w:color="auto" w:fill="auto"/>
        </w:rPr>
        <w:t>1</w:t>
      </w:r>
      <w:r>
        <w:rPr>
          <w:rFonts w:hint="eastAsia" w:ascii="Times New Roman" w:hAnsi="Times New Roman"/>
          <w:color w:val="auto"/>
          <w:highlight w:val="none"/>
          <w:shd w:val="clear" w:color="auto" w:fill="auto"/>
        </w:rPr>
        <w:t>0</w:t>
      </w:r>
      <w:r>
        <w:rPr>
          <w:rFonts w:ascii="Times New Roman" w:hAnsi="Times New Roman"/>
          <w:color w:val="auto"/>
          <w:highlight w:val="none"/>
          <w:shd w:val="clear" w:color="auto" w:fill="auto"/>
        </w:rPr>
        <w:t>. 不可抗力</w:t>
      </w:r>
      <w:bookmarkEnd w:id="169"/>
      <w:bookmarkEnd w:id="170"/>
    </w:p>
    <w:p w14:paraId="0D3BAB05">
      <w:pPr>
        <w:pStyle w:val="6"/>
        <w:spacing w:line="540" w:lineRule="exact"/>
        <w:ind w:firstLine="137"/>
        <w:rPr>
          <w:rFonts w:ascii="Times New Roman"/>
          <w:color w:val="auto"/>
          <w:highlight w:val="none"/>
          <w:shd w:val="clear" w:color="auto" w:fill="auto"/>
        </w:rPr>
      </w:pPr>
      <w:bookmarkStart w:id="171" w:name="_Toc14090"/>
      <w:bookmarkStart w:id="172" w:name="_Toc482188624"/>
      <w:r>
        <w:rPr>
          <w:rFonts w:ascii="Times New Roman"/>
          <w:color w:val="auto"/>
          <w:highlight w:val="none"/>
          <w:shd w:val="clear" w:color="auto" w:fill="auto"/>
        </w:rPr>
        <w:t>1</w:t>
      </w:r>
      <w:r>
        <w:rPr>
          <w:rFonts w:hint="eastAsia" w:ascii="Times New Roman"/>
          <w:color w:val="auto"/>
          <w:highlight w:val="none"/>
          <w:shd w:val="clear" w:color="auto" w:fill="auto"/>
        </w:rPr>
        <w:t>0</w:t>
      </w:r>
      <w:r>
        <w:rPr>
          <w:rFonts w:ascii="Times New Roman"/>
          <w:color w:val="auto"/>
          <w:highlight w:val="none"/>
          <w:shd w:val="clear" w:color="auto" w:fill="auto"/>
        </w:rPr>
        <w:t xml:space="preserve">.1 </w:t>
      </w:r>
      <w:r>
        <w:rPr>
          <w:rFonts w:hint="eastAsia" w:ascii="Times New Roman"/>
          <w:color w:val="auto"/>
          <w:highlight w:val="none"/>
          <w:shd w:val="clear" w:color="auto" w:fill="auto"/>
        </w:rPr>
        <w:t>不可抗力的确认</w:t>
      </w:r>
      <w:bookmarkEnd w:id="171"/>
      <w:bookmarkEnd w:id="172"/>
    </w:p>
    <w:p w14:paraId="363AFB97">
      <w:pPr>
        <w:spacing w:line="540" w:lineRule="exact"/>
        <w:ind w:firstLine="420" w:firstLineChars="200"/>
        <w:rPr>
          <w:color w:val="auto"/>
          <w:highlight w:val="none"/>
          <w:shd w:val="clear" w:color="auto" w:fill="auto"/>
        </w:rPr>
      </w:pPr>
      <w:r>
        <w:rPr>
          <w:color w:val="auto"/>
          <w:highlight w:val="none"/>
          <w:shd w:val="clear" w:color="auto" w:fill="auto"/>
        </w:rPr>
        <w:t xml:space="preserve">10.1.1 不可抗力是指监理人和委托人在订立合同时不可预见，在履行合同过程中不可避免发生并不能克服的自然灾害和社会性突发事件，如地震、海啸、瘟疫、水灾、骚乱、暴动、战争和专用合同条款约定的其他情形。 </w:t>
      </w:r>
    </w:p>
    <w:p w14:paraId="2C7DFCFD">
      <w:pPr>
        <w:spacing w:line="540" w:lineRule="exact"/>
        <w:ind w:firstLine="420" w:firstLineChars="200"/>
        <w:rPr>
          <w:color w:val="auto"/>
          <w:szCs w:val="21"/>
          <w:highlight w:val="none"/>
          <w:shd w:val="clear" w:color="auto" w:fill="auto"/>
        </w:rPr>
      </w:pPr>
      <w:r>
        <w:rPr>
          <w:color w:val="auto"/>
          <w:highlight w:val="none"/>
          <w:shd w:val="clear" w:color="auto" w:fill="auto"/>
        </w:rPr>
        <w:t>10.1.2 不可抗力发生后，委托人和监理人应及时认真统计所造成的损失，收集不可抗力造成损失的证据。合同双方对是否属于不可抗力或其损失的意见不一致的，由合同双方协商确定。</w:t>
      </w:r>
    </w:p>
    <w:p w14:paraId="14759334">
      <w:pPr>
        <w:pStyle w:val="6"/>
        <w:spacing w:line="540" w:lineRule="exact"/>
        <w:ind w:firstLine="137"/>
        <w:rPr>
          <w:rFonts w:ascii="Times New Roman"/>
          <w:color w:val="auto"/>
          <w:highlight w:val="none"/>
          <w:shd w:val="clear" w:color="auto" w:fill="auto"/>
        </w:rPr>
      </w:pPr>
      <w:bookmarkStart w:id="173" w:name="_Toc25602"/>
      <w:bookmarkStart w:id="174" w:name="_Toc482188625"/>
      <w:r>
        <w:rPr>
          <w:rFonts w:ascii="Times New Roman"/>
          <w:color w:val="auto"/>
          <w:highlight w:val="none"/>
          <w:shd w:val="clear" w:color="auto" w:fill="auto"/>
        </w:rPr>
        <w:t>1</w:t>
      </w:r>
      <w:r>
        <w:rPr>
          <w:rFonts w:hint="eastAsia" w:ascii="Times New Roman"/>
          <w:color w:val="auto"/>
          <w:highlight w:val="none"/>
          <w:shd w:val="clear" w:color="auto" w:fill="auto"/>
        </w:rPr>
        <w:t>0</w:t>
      </w:r>
      <w:r>
        <w:rPr>
          <w:rFonts w:ascii="Times New Roman"/>
          <w:color w:val="auto"/>
          <w:highlight w:val="none"/>
          <w:shd w:val="clear" w:color="auto" w:fill="auto"/>
        </w:rPr>
        <w:t xml:space="preserve">.2 </w:t>
      </w:r>
      <w:r>
        <w:rPr>
          <w:rFonts w:hint="eastAsia" w:ascii="Times New Roman"/>
          <w:color w:val="auto"/>
          <w:highlight w:val="none"/>
          <w:shd w:val="clear" w:color="auto" w:fill="auto"/>
        </w:rPr>
        <w:t>不可抗力的通知</w:t>
      </w:r>
      <w:bookmarkEnd w:id="173"/>
      <w:bookmarkEnd w:id="174"/>
    </w:p>
    <w:p w14:paraId="1AF9865E">
      <w:pPr>
        <w:spacing w:line="540" w:lineRule="exact"/>
        <w:ind w:firstLine="420" w:firstLineChars="200"/>
        <w:rPr>
          <w:color w:val="auto"/>
          <w:highlight w:val="none"/>
          <w:shd w:val="clear" w:color="auto" w:fill="auto"/>
        </w:rPr>
      </w:pPr>
      <w:r>
        <w:rPr>
          <w:color w:val="auto"/>
          <w:highlight w:val="none"/>
          <w:shd w:val="clear" w:color="auto" w:fill="auto"/>
        </w:rPr>
        <w:t xml:space="preserve">10.2.1 合同一方当事人遇到不可抗力事件，使其履行合同义务受到阻碍时，应立即通知合同另一方当事人，书面说明不可抗力和受阻碍的详细情况，并提供必要的证明。 </w:t>
      </w:r>
    </w:p>
    <w:p w14:paraId="7B44ECA1">
      <w:pPr>
        <w:spacing w:line="540" w:lineRule="exact"/>
        <w:ind w:firstLine="420" w:firstLineChars="200"/>
        <w:rPr>
          <w:color w:val="auto"/>
          <w:szCs w:val="21"/>
          <w:highlight w:val="none"/>
          <w:shd w:val="clear" w:color="auto" w:fill="auto"/>
        </w:rPr>
      </w:pPr>
      <w:r>
        <w:rPr>
          <w:color w:val="auto"/>
          <w:highlight w:val="none"/>
          <w:shd w:val="clear" w:color="auto" w:fill="auto"/>
        </w:rPr>
        <w:t>10.2.2 如不可抗力持续发生，合同一方当事人应及时向合同另一方当事人提交中间报告，说明不可抗力和履行合同受阻的情况，并于不可抗力事件结束后 28 天内提交最终报告及有关资料。</w:t>
      </w:r>
    </w:p>
    <w:p w14:paraId="3C1CE577">
      <w:pPr>
        <w:pStyle w:val="6"/>
        <w:spacing w:line="540" w:lineRule="exact"/>
        <w:ind w:firstLine="137"/>
        <w:rPr>
          <w:rFonts w:ascii="Times New Roman"/>
          <w:color w:val="auto"/>
          <w:highlight w:val="none"/>
          <w:shd w:val="clear" w:color="auto" w:fill="auto"/>
        </w:rPr>
      </w:pPr>
      <w:bookmarkStart w:id="175" w:name="_Toc24338"/>
      <w:bookmarkStart w:id="176" w:name="_Toc482188626"/>
      <w:r>
        <w:rPr>
          <w:rFonts w:ascii="Times New Roman"/>
          <w:color w:val="auto"/>
          <w:highlight w:val="none"/>
          <w:shd w:val="clear" w:color="auto" w:fill="auto"/>
        </w:rPr>
        <w:t>1</w:t>
      </w:r>
      <w:r>
        <w:rPr>
          <w:rFonts w:hint="eastAsia" w:ascii="Times New Roman"/>
          <w:color w:val="auto"/>
          <w:highlight w:val="none"/>
          <w:shd w:val="clear" w:color="auto" w:fill="auto"/>
        </w:rPr>
        <w:t>0</w:t>
      </w:r>
      <w:r>
        <w:rPr>
          <w:rFonts w:ascii="Times New Roman"/>
          <w:color w:val="auto"/>
          <w:highlight w:val="none"/>
          <w:shd w:val="clear" w:color="auto" w:fill="auto"/>
        </w:rPr>
        <w:t xml:space="preserve">.3 </w:t>
      </w:r>
      <w:r>
        <w:rPr>
          <w:rFonts w:hint="eastAsia" w:ascii="Times New Roman"/>
          <w:color w:val="auto"/>
          <w:highlight w:val="none"/>
          <w:shd w:val="clear" w:color="auto" w:fill="auto"/>
        </w:rPr>
        <w:t>不可抗力后果及其处理</w:t>
      </w:r>
      <w:bookmarkEnd w:id="175"/>
      <w:bookmarkEnd w:id="176"/>
    </w:p>
    <w:p w14:paraId="695210D8">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10.3.1 不可抗力引起的后果及其损失，应由合同当事人依据法律规定各自承担。不可抗力发生前已完成的监理工作，应当按照合同约定进行支付。 </w:t>
      </w:r>
    </w:p>
    <w:p w14:paraId="362A936D">
      <w:pPr>
        <w:spacing w:line="540" w:lineRule="exact"/>
        <w:ind w:firstLine="420" w:firstLineChars="200"/>
        <w:rPr>
          <w:color w:val="auto"/>
          <w:szCs w:val="21"/>
          <w:highlight w:val="none"/>
          <w:shd w:val="clear" w:color="auto" w:fill="auto"/>
        </w:rPr>
      </w:pPr>
      <w:r>
        <w:rPr>
          <w:color w:val="auto"/>
          <w:szCs w:val="21"/>
          <w:highlight w:val="none"/>
          <w:shd w:val="clear" w:color="auto" w:fill="auto"/>
        </w:rPr>
        <w:t xml:space="preserve">10.3.2 不可抗力发生后，合同当事人应当采取有效措施避免损失进一步扩大，如未采取有效措施致使损失扩大的，应当自行承担扩大部分的损失。 </w:t>
      </w:r>
    </w:p>
    <w:p w14:paraId="30D59CCD">
      <w:pPr>
        <w:spacing w:line="540" w:lineRule="exact"/>
        <w:ind w:firstLine="420" w:firstLineChars="200"/>
        <w:rPr>
          <w:color w:val="auto"/>
          <w:szCs w:val="21"/>
          <w:highlight w:val="none"/>
          <w:shd w:val="clear" w:color="auto" w:fill="auto"/>
        </w:rPr>
      </w:pPr>
      <w:r>
        <w:rPr>
          <w:color w:val="auto"/>
          <w:szCs w:val="21"/>
          <w:highlight w:val="none"/>
          <w:shd w:val="clear" w:color="auto" w:fill="auto"/>
        </w:rPr>
        <w:t>10.3.3 因一方当事人迟延履行合同义务，致使迟延履行期间遭遇不可抗力的，应由该当事人承担全部损失。</w:t>
      </w:r>
    </w:p>
    <w:p w14:paraId="4557478E">
      <w:pPr>
        <w:pStyle w:val="5"/>
        <w:spacing w:line="540" w:lineRule="exact"/>
        <w:rPr>
          <w:rFonts w:ascii="Times New Roman" w:hAnsi="Times New Roman"/>
          <w:color w:val="auto"/>
          <w:highlight w:val="none"/>
          <w:shd w:val="clear" w:color="auto" w:fill="auto"/>
        </w:rPr>
      </w:pPr>
      <w:bookmarkStart w:id="177" w:name="_Toc482188627"/>
      <w:bookmarkStart w:id="178" w:name="_Toc29800"/>
      <w:r>
        <w:rPr>
          <w:rFonts w:ascii="Times New Roman" w:hAnsi="Times New Roman"/>
          <w:color w:val="auto"/>
          <w:highlight w:val="none"/>
          <w:shd w:val="clear" w:color="auto" w:fill="auto"/>
        </w:rPr>
        <w:t>1</w:t>
      </w:r>
      <w:r>
        <w:rPr>
          <w:rFonts w:hint="eastAsia" w:ascii="Times New Roman" w:hAnsi="Times New Roman"/>
          <w:color w:val="auto"/>
          <w:highlight w:val="none"/>
          <w:shd w:val="clear" w:color="auto" w:fill="auto"/>
        </w:rPr>
        <w:t>1</w:t>
      </w:r>
      <w:r>
        <w:rPr>
          <w:rFonts w:ascii="Times New Roman" w:hAnsi="Times New Roman"/>
          <w:color w:val="auto"/>
          <w:highlight w:val="none"/>
          <w:shd w:val="clear" w:color="auto" w:fill="auto"/>
        </w:rPr>
        <w:t>. 违约</w:t>
      </w:r>
      <w:bookmarkEnd w:id="177"/>
      <w:bookmarkEnd w:id="178"/>
    </w:p>
    <w:p w14:paraId="56494054">
      <w:pPr>
        <w:pStyle w:val="6"/>
        <w:spacing w:line="540" w:lineRule="exact"/>
        <w:ind w:firstLine="137"/>
        <w:rPr>
          <w:rFonts w:ascii="Times New Roman"/>
          <w:color w:val="auto"/>
          <w:highlight w:val="none"/>
          <w:shd w:val="clear" w:color="auto" w:fill="auto"/>
        </w:rPr>
      </w:pPr>
      <w:bookmarkStart w:id="179" w:name="_Toc482188628"/>
      <w:bookmarkStart w:id="180" w:name="_Toc15233"/>
      <w:r>
        <w:rPr>
          <w:rFonts w:ascii="Times New Roman"/>
          <w:color w:val="auto"/>
          <w:highlight w:val="none"/>
          <w:shd w:val="clear" w:color="auto" w:fill="auto"/>
        </w:rPr>
        <w:t>1</w:t>
      </w:r>
      <w:r>
        <w:rPr>
          <w:rFonts w:hint="eastAsia" w:ascii="Times New Roman"/>
          <w:color w:val="auto"/>
          <w:highlight w:val="none"/>
          <w:shd w:val="clear" w:color="auto" w:fill="auto"/>
        </w:rPr>
        <w:t>1</w:t>
      </w:r>
      <w:r>
        <w:rPr>
          <w:rFonts w:ascii="Times New Roman"/>
          <w:color w:val="auto"/>
          <w:highlight w:val="none"/>
          <w:shd w:val="clear" w:color="auto" w:fill="auto"/>
        </w:rPr>
        <w:t xml:space="preserve">.1 </w:t>
      </w:r>
      <w:r>
        <w:rPr>
          <w:rFonts w:hint="eastAsia" w:ascii="Times New Roman"/>
          <w:color w:val="auto"/>
          <w:highlight w:val="none"/>
          <w:shd w:val="clear" w:color="auto" w:fill="auto"/>
        </w:rPr>
        <w:t>监理人违约</w:t>
      </w:r>
      <w:bookmarkEnd w:id="179"/>
      <w:bookmarkEnd w:id="180"/>
    </w:p>
    <w:p w14:paraId="157DDAD0">
      <w:pPr>
        <w:spacing w:line="540" w:lineRule="exact"/>
        <w:ind w:firstLine="420" w:firstLineChars="200"/>
        <w:rPr>
          <w:color w:val="auto"/>
          <w:highlight w:val="none"/>
          <w:shd w:val="clear" w:color="auto" w:fill="auto"/>
        </w:rPr>
      </w:pPr>
      <w:r>
        <w:rPr>
          <w:color w:val="auto"/>
          <w:highlight w:val="none"/>
          <w:shd w:val="clear" w:color="auto" w:fill="auto"/>
        </w:rPr>
        <w:t xml:space="preserve">11.1.1 合同履行中发生下列情况之一的，属监理人违约： </w:t>
      </w:r>
    </w:p>
    <w:p w14:paraId="73560021">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w:t>
      </w:r>
      <w:r>
        <w:rPr>
          <w:color w:val="auto"/>
          <w:szCs w:val="21"/>
          <w:highlight w:val="none"/>
          <w:shd w:val="clear" w:color="auto" w:fill="auto"/>
        </w:rPr>
        <w:t xml:space="preserve">监理文件不符合规范标准以及合同约定； </w:t>
      </w:r>
    </w:p>
    <w:p w14:paraId="5F428D92">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（2）</w:t>
      </w:r>
      <w:r>
        <w:rPr>
          <w:color w:val="auto"/>
          <w:szCs w:val="21"/>
          <w:highlight w:val="none"/>
          <w:shd w:val="clear" w:color="auto" w:fill="auto"/>
        </w:rPr>
        <w:t xml:space="preserve">监理人转让监理工作； </w:t>
      </w:r>
    </w:p>
    <w:p w14:paraId="5D66AEDF">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（3）</w:t>
      </w:r>
      <w:r>
        <w:rPr>
          <w:color w:val="auto"/>
          <w:szCs w:val="21"/>
          <w:highlight w:val="none"/>
          <w:shd w:val="clear" w:color="auto" w:fill="auto"/>
        </w:rPr>
        <w:t xml:space="preserve">监理人未按合同约定实施监理； </w:t>
      </w:r>
    </w:p>
    <w:p w14:paraId="43549A07">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（4）</w:t>
      </w:r>
      <w:r>
        <w:rPr>
          <w:color w:val="auto"/>
          <w:szCs w:val="21"/>
          <w:highlight w:val="none"/>
          <w:shd w:val="clear" w:color="auto" w:fill="auto"/>
        </w:rPr>
        <w:t xml:space="preserve">监理人无法履行或停止履行合同； </w:t>
      </w:r>
    </w:p>
    <w:p w14:paraId="29663AFB">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（5）</w:t>
      </w:r>
      <w:r>
        <w:rPr>
          <w:color w:val="auto"/>
          <w:szCs w:val="21"/>
          <w:highlight w:val="none"/>
          <w:shd w:val="clear" w:color="auto" w:fill="auto"/>
        </w:rPr>
        <w:t xml:space="preserve">监理人不履行合同约定的其他义务。 </w:t>
      </w:r>
    </w:p>
    <w:p w14:paraId="05FA4C63">
      <w:pPr>
        <w:spacing w:line="540" w:lineRule="exact"/>
        <w:ind w:firstLine="420" w:firstLineChars="200"/>
        <w:rPr>
          <w:color w:val="auto"/>
          <w:highlight w:val="none"/>
          <w:shd w:val="clear" w:color="auto" w:fill="auto"/>
        </w:rPr>
      </w:pPr>
      <w:r>
        <w:rPr>
          <w:color w:val="auto"/>
          <w:highlight w:val="none"/>
          <w:shd w:val="clear" w:color="auto" w:fill="auto"/>
        </w:rPr>
        <w:t>11.1.2 监理人发生违约情况时，委托人可向监理人发出整改通知，要求其在限定期限内纠正；逾期仍不纠正的，委托人有权解除合同并向监理人发出解除合同通知。监理人应当承担由于违约所造成的费用增加、周期延误和委托人损失等。</w:t>
      </w:r>
    </w:p>
    <w:p w14:paraId="0DFF51D1">
      <w:pPr>
        <w:pStyle w:val="6"/>
        <w:spacing w:line="540" w:lineRule="exact"/>
        <w:ind w:firstLine="137"/>
        <w:rPr>
          <w:rFonts w:ascii="Times New Roman"/>
          <w:color w:val="auto"/>
          <w:highlight w:val="none"/>
          <w:shd w:val="clear" w:color="auto" w:fill="auto"/>
        </w:rPr>
      </w:pPr>
      <w:bookmarkStart w:id="181" w:name="_Toc16597"/>
      <w:bookmarkStart w:id="182" w:name="_Toc482188629"/>
      <w:r>
        <w:rPr>
          <w:rFonts w:ascii="Times New Roman"/>
          <w:color w:val="auto"/>
          <w:highlight w:val="none"/>
          <w:shd w:val="clear" w:color="auto" w:fill="auto"/>
        </w:rPr>
        <w:t>1</w:t>
      </w:r>
      <w:r>
        <w:rPr>
          <w:rFonts w:hint="eastAsia" w:ascii="Times New Roman"/>
          <w:color w:val="auto"/>
          <w:highlight w:val="none"/>
          <w:shd w:val="clear" w:color="auto" w:fill="auto"/>
        </w:rPr>
        <w:t>1</w:t>
      </w:r>
      <w:r>
        <w:rPr>
          <w:rFonts w:ascii="Times New Roman"/>
          <w:color w:val="auto"/>
          <w:highlight w:val="none"/>
          <w:shd w:val="clear" w:color="auto" w:fill="auto"/>
        </w:rPr>
        <w:t xml:space="preserve">.2 </w:t>
      </w:r>
      <w:r>
        <w:rPr>
          <w:rFonts w:hint="eastAsia" w:ascii="Times New Roman"/>
          <w:color w:val="auto"/>
          <w:highlight w:val="none"/>
          <w:shd w:val="clear" w:color="auto" w:fill="auto"/>
        </w:rPr>
        <w:t>委托人违约</w:t>
      </w:r>
      <w:bookmarkEnd w:id="181"/>
      <w:bookmarkEnd w:id="182"/>
    </w:p>
    <w:p w14:paraId="57CA92A0">
      <w:pPr>
        <w:spacing w:line="540" w:lineRule="exact"/>
        <w:ind w:firstLine="420" w:firstLineChars="200"/>
        <w:rPr>
          <w:color w:val="auto"/>
          <w:highlight w:val="none"/>
          <w:shd w:val="clear" w:color="auto" w:fill="auto"/>
        </w:rPr>
      </w:pPr>
      <w:r>
        <w:rPr>
          <w:color w:val="auto"/>
          <w:highlight w:val="none"/>
          <w:shd w:val="clear" w:color="auto" w:fill="auto"/>
        </w:rPr>
        <w:t>1</w:t>
      </w:r>
      <w:r>
        <w:rPr>
          <w:rFonts w:hint="eastAsia"/>
          <w:color w:val="auto"/>
          <w:highlight w:val="none"/>
          <w:shd w:val="clear" w:color="auto" w:fill="auto"/>
        </w:rPr>
        <w:t>1</w:t>
      </w:r>
      <w:r>
        <w:rPr>
          <w:color w:val="auto"/>
          <w:highlight w:val="none"/>
          <w:shd w:val="clear" w:color="auto" w:fill="auto"/>
        </w:rPr>
        <w:t>.2.1 合同履行中发生下列情况之一的，属委托人违约：</w:t>
      </w:r>
    </w:p>
    <w:p w14:paraId="663669B9">
      <w:pPr>
        <w:spacing w:line="540" w:lineRule="exact"/>
        <w:ind w:firstLine="420" w:firstLineChars="200"/>
        <w:rPr>
          <w:color w:val="auto"/>
          <w:highlight w:val="none"/>
          <w:shd w:val="clear" w:color="auto" w:fill="auto"/>
        </w:rPr>
      </w:pPr>
      <w:r>
        <w:rPr>
          <w:color w:val="auto"/>
          <w:highlight w:val="none"/>
          <w:shd w:val="clear" w:color="auto" w:fill="auto"/>
        </w:rPr>
        <w:t xml:space="preserve">（1）委托人未按合同约定支付监理报酬； </w:t>
      </w:r>
    </w:p>
    <w:p w14:paraId="224ABB12">
      <w:pPr>
        <w:spacing w:line="540" w:lineRule="exact"/>
        <w:ind w:firstLine="420" w:firstLineChars="200"/>
        <w:rPr>
          <w:color w:val="auto"/>
          <w:highlight w:val="none"/>
          <w:shd w:val="clear" w:color="auto" w:fill="auto"/>
        </w:rPr>
      </w:pPr>
      <w:r>
        <w:rPr>
          <w:color w:val="auto"/>
          <w:highlight w:val="none"/>
          <w:shd w:val="clear" w:color="auto" w:fill="auto"/>
        </w:rPr>
        <w:t>（</w:t>
      </w:r>
      <w:r>
        <w:rPr>
          <w:rFonts w:hint="eastAsia"/>
          <w:color w:val="auto"/>
          <w:highlight w:val="none"/>
          <w:shd w:val="clear" w:color="auto" w:fill="auto"/>
        </w:rPr>
        <w:t>2</w:t>
      </w:r>
      <w:r>
        <w:rPr>
          <w:color w:val="auto"/>
          <w:highlight w:val="none"/>
          <w:shd w:val="clear" w:color="auto" w:fill="auto"/>
        </w:rPr>
        <w:t xml:space="preserve">）委托人原因造成监理停止； </w:t>
      </w:r>
    </w:p>
    <w:p w14:paraId="28F3EB6E">
      <w:pPr>
        <w:spacing w:line="540" w:lineRule="exact"/>
        <w:ind w:firstLine="420" w:firstLineChars="200"/>
        <w:rPr>
          <w:color w:val="auto"/>
          <w:highlight w:val="none"/>
          <w:shd w:val="clear" w:color="auto" w:fill="auto"/>
        </w:rPr>
      </w:pPr>
      <w:r>
        <w:rPr>
          <w:color w:val="auto"/>
          <w:highlight w:val="none"/>
          <w:shd w:val="clear" w:color="auto" w:fill="auto"/>
        </w:rPr>
        <w:t>（</w:t>
      </w:r>
      <w:r>
        <w:rPr>
          <w:rFonts w:hint="default"/>
          <w:color w:val="auto"/>
          <w:highlight w:val="none"/>
          <w:shd w:val="clear" w:color="auto" w:fill="auto"/>
          <w:lang w:val="en-US"/>
        </w:rPr>
        <w:t>3</w:t>
      </w:r>
      <w:r>
        <w:rPr>
          <w:color w:val="auto"/>
          <w:highlight w:val="none"/>
          <w:shd w:val="clear" w:color="auto" w:fill="auto"/>
        </w:rPr>
        <w:t xml:space="preserve">）委托人无法履行或停止履行合同； </w:t>
      </w:r>
    </w:p>
    <w:p w14:paraId="48D60E24">
      <w:pPr>
        <w:spacing w:line="540" w:lineRule="exact"/>
        <w:ind w:firstLine="420" w:firstLineChars="200"/>
        <w:rPr>
          <w:color w:val="auto"/>
          <w:highlight w:val="none"/>
          <w:shd w:val="clear" w:color="auto" w:fill="auto"/>
        </w:rPr>
      </w:pPr>
      <w:r>
        <w:rPr>
          <w:color w:val="auto"/>
          <w:highlight w:val="none"/>
          <w:shd w:val="clear" w:color="auto" w:fill="auto"/>
        </w:rPr>
        <w:t>（</w:t>
      </w:r>
      <w:r>
        <w:rPr>
          <w:rFonts w:hint="default"/>
          <w:color w:val="auto"/>
          <w:highlight w:val="none"/>
          <w:shd w:val="clear" w:color="auto" w:fill="auto"/>
          <w:lang w:val="en-US"/>
        </w:rPr>
        <w:t>4</w:t>
      </w:r>
      <w:r>
        <w:rPr>
          <w:color w:val="auto"/>
          <w:highlight w:val="none"/>
          <w:shd w:val="clear" w:color="auto" w:fill="auto"/>
        </w:rPr>
        <w:t xml:space="preserve">）委托人不履行合同约定的其他义务。 </w:t>
      </w:r>
    </w:p>
    <w:p w14:paraId="1D7105A9">
      <w:pPr>
        <w:spacing w:line="540" w:lineRule="exact"/>
        <w:ind w:firstLine="420" w:firstLineChars="200"/>
        <w:rPr>
          <w:color w:val="auto"/>
          <w:szCs w:val="21"/>
          <w:highlight w:val="none"/>
          <w:shd w:val="clear" w:color="auto" w:fill="auto"/>
        </w:rPr>
      </w:pPr>
      <w:r>
        <w:rPr>
          <w:color w:val="auto"/>
          <w:highlight w:val="none"/>
          <w:shd w:val="clear" w:color="auto" w:fill="auto"/>
        </w:rPr>
        <w:t>11.2.2 委托人发生违约情况时，监理人可向委托人发出暂停监理通知，要求其在限定期限内纠正；逾期仍不纠正的，监理人有权解除合同并向委托人发出解除合同通知。委托人应当承担由于违约所造成的费用增加、周期延误和监理人损失等。</w:t>
      </w:r>
    </w:p>
    <w:p w14:paraId="34E5168A">
      <w:pPr>
        <w:pStyle w:val="6"/>
        <w:spacing w:line="540" w:lineRule="exact"/>
        <w:ind w:firstLine="137"/>
        <w:rPr>
          <w:rFonts w:ascii="Times New Roman"/>
          <w:color w:val="auto"/>
          <w:highlight w:val="none"/>
          <w:shd w:val="clear" w:color="auto" w:fill="auto"/>
        </w:rPr>
      </w:pPr>
      <w:bookmarkStart w:id="183" w:name="_Toc482188630"/>
      <w:bookmarkStart w:id="184" w:name="_Toc4397"/>
      <w:r>
        <w:rPr>
          <w:rFonts w:ascii="Times New Roman"/>
          <w:color w:val="auto"/>
          <w:highlight w:val="none"/>
          <w:shd w:val="clear" w:color="auto" w:fill="auto"/>
        </w:rPr>
        <w:t>1</w:t>
      </w:r>
      <w:r>
        <w:rPr>
          <w:rFonts w:hint="eastAsia" w:ascii="Times New Roman"/>
          <w:color w:val="auto"/>
          <w:highlight w:val="none"/>
          <w:shd w:val="clear" w:color="auto" w:fill="auto"/>
        </w:rPr>
        <w:t>1</w:t>
      </w:r>
      <w:r>
        <w:rPr>
          <w:rFonts w:ascii="Times New Roman"/>
          <w:color w:val="auto"/>
          <w:highlight w:val="none"/>
          <w:shd w:val="clear" w:color="auto" w:fill="auto"/>
        </w:rPr>
        <w:t xml:space="preserve">.3 </w:t>
      </w:r>
      <w:r>
        <w:rPr>
          <w:rFonts w:hint="eastAsia" w:ascii="Times New Roman"/>
          <w:color w:val="auto"/>
          <w:highlight w:val="none"/>
          <w:shd w:val="clear" w:color="auto" w:fill="auto"/>
        </w:rPr>
        <w:t>第三人造成的违约</w:t>
      </w:r>
      <w:bookmarkEnd w:id="183"/>
      <w:bookmarkEnd w:id="184"/>
    </w:p>
    <w:p w14:paraId="6D851DEA">
      <w:pPr>
        <w:spacing w:line="540" w:lineRule="exact"/>
        <w:ind w:firstLine="420" w:firstLineChars="200"/>
        <w:rPr>
          <w:color w:val="auto"/>
          <w:szCs w:val="21"/>
          <w:highlight w:val="none"/>
          <w:shd w:val="clear" w:color="auto" w:fill="auto"/>
        </w:rPr>
      </w:pPr>
      <w:r>
        <w:rPr>
          <w:color w:val="auto"/>
          <w:szCs w:val="21"/>
          <w:highlight w:val="none"/>
          <w:shd w:val="clear" w:color="auto" w:fill="auto"/>
        </w:rPr>
        <w:t>在履行合同过程中，一方当事人因第三人的原因造成违约的，应当向对方当事人承担违约责任。一方当事人和第三人之间的纠纷，依照法律规定或者按照约定解决。</w:t>
      </w:r>
    </w:p>
    <w:p w14:paraId="7644D386">
      <w:pPr>
        <w:pStyle w:val="5"/>
        <w:spacing w:line="540" w:lineRule="exact"/>
        <w:rPr>
          <w:rFonts w:ascii="Times New Roman" w:hAnsi="Times New Roman"/>
          <w:color w:val="auto"/>
          <w:highlight w:val="none"/>
          <w:shd w:val="clear" w:color="auto" w:fill="auto"/>
        </w:rPr>
      </w:pPr>
      <w:bookmarkStart w:id="185" w:name="_Toc28311"/>
      <w:bookmarkStart w:id="186" w:name="_Toc482188631"/>
      <w:r>
        <w:rPr>
          <w:rFonts w:ascii="Times New Roman" w:hAnsi="Times New Roman"/>
          <w:color w:val="auto"/>
          <w:highlight w:val="none"/>
          <w:shd w:val="clear" w:color="auto" w:fill="auto"/>
        </w:rPr>
        <w:t>1</w:t>
      </w:r>
      <w:r>
        <w:rPr>
          <w:rFonts w:hint="eastAsia" w:ascii="Times New Roman" w:hAnsi="Times New Roman"/>
          <w:color w:val="auto"/>
          <w:highlight w:val="none"/>
          <w:shd w:val="clear" w:color="auto" w:fill="auto"/>
        </w:rPr>
        <w:t>2</w:t>
      </w:r>
      <w:r>
        <w:rPr>
          <w:rFonts w:ascii="Times New Roman" w:hAnsi="Times New Roman"/>
          <w:color w:val="auto"/>
          <w:highlight w:val="none"/>
          <w:shd w:val="clear" w:color="auto" w:fill="auto"/>
        </w:rPr>
        <w:t>. 争议的解决</w:t>
      </w:r>
      <w:bookmarkEnd w:id="185"/>
      <w:bookmarkEnd w:id="186"/>
    </w:p>
    <w:p w14:paraId="27E4C1A2">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本合同在履行过程中发生争议的，应友好</w:t>
      </w:r>
      <w:r>
        <w:rPr>
          <w:rFonts w:hint="eastAsia"/>
          <w:color w:val="auto"/>
          <w:szCs w:val="21"/>
          <w:highlight w:val="none"/>
          <w:shd w:val="clear" w:color="auto" w:fill="auto"/>
          <w:lang w:val="zh-CN"/>
        </w:rPr>
        <w:t>协商解决；不能协商解决的，</w:t>
      </w:r>
      <w:r>
        <w:rPr>
          <w:rFonts w:hint="eastAsia"/>
          <w:color w:val="auto"/>
          <w:szCs w:val="21"/>
          <w:highlight w:val="none"/>
          <w:shd w:val="clear" w:color="auto" w:fill="auto"/>
          <w:lang w:val="en-US" w:eastAsia="zh-CN"/>
        </w:rPr>
        <w:t>向工程所在地</w:t>
      </w:r>
      <w:r>
        <w:rPr>
          <w:rFonts w:hint="eastAsia"/>
          <w:color w:val="auto"/>
          <w:szCs w:val="21"/>
          <w:highlight w:val="none"/>
          <w:shd w:val="clear" w:color="auto" w:fill="auto"/>
          <w:lang w:val="zh-CN"/>
        </w:rPr>
        <w:t>人民法院起诉。</w:t>
      </w:r>
    </w:p>
    <w:p w14:paraId="0C9C64C5">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在诉讼期间，本合同不涉及争议部分的条款仍须履行。</w:t>
      </w:r>
    </w:p>
    <w:p w14:paraId="16820DCC">
      <w:pPr>
        <w:widowControl/>
        <w:spacing w:line="540" w:lineRule="exact"/>
        <w:jc w:val="left"/>
        <w:rPr>
          <w:rFonts w:eastAsia="黑体"/>
          <w:b/>
          <w:bCs/>
          <w:color w:val="auto"/>
          <w:sz w:val="32"/>
          <w:szCs w:val="32"/>
          <w:highlight w:val="none"/>
          <w:shd w:val="clear" w:color="auto" w:fill="auto"/>
        </w:rPr>
      </w:pPr>
      <w:r>
        <w:rPr>
          <w:color w:val="auto"/>
          <w:highlight w:val="none"/>
          <w:shd w:val="clear" w:color="auto" w:fill="auto"/>
        </w:rPr>
        <w:br w:type="page"/>
      </w:r>
    </w:p>
    <w:p w14:paraId="232C0DCF">
      <w:pPr>
        <w:pStyle w:val="4"/>
        <w:spacing w:line="540" w:lineRule="exact"/>
        <w:ind w:firstLine="723" w:firstLineChars="200"/>
        <w:jc w:val="center"/>
        <w:rPr>
          <w:rFonts w:ascii="Times New Roman" w:hAnsi="Times New Roman"/>
          <w:color w:val="auto"/>
          <w:sz w:val="36"/>
          <w:szCs w:val="36"/>
          <w:highlight w:val="none"/>
          <w:shd w:val="clear" w:color="auto" w:fill="auto"/>
        </w:rPr>
      </w:pPr>
      <w:bookmarkStart w:id="187" w:name="_Toc23736"/>
      <w:bookmarkStart w:id="188" w:name="_Toc152042546"/>
      <w:bookmarkStart w:id="189" w:name="_Toc144974826"/>
      <w:bookmarkStart w:id="190" w:name="_Toc179632785"/>
      <w:bookmarkStart w:id="191" w:name="_Toc152045767"/>
      <w:bookmarkStart w:id="192" w:name="_Toc152042388"/>
      <w:bookmarkStart w:id="193" w:name="_Toc300835199"/>
      <w:bookmarkStart w:id="194" w:name="_Toc247527798"/>
      <w:bookmarkStart w:id="195" w:name="_Toc144974578"/>
      <w:bookmarkStart w:id="196" w:name="_Toc247514197"/>
      <w:bookmarkStart w:id="197" w:name="_Toc184635122"/>
      <w:bookmarkStart w:id="198" w:name="_Toc152045610"/>
      <w:r>
        <w:rPr>
          <w:rFonts w:ascii="Times New Roman" w:hAnsi="Times New Roman"/>
          <w:color w:val="auto"/>
          <w:sz w:val="36"/>
          <w:szCs w:val="36"/>
          <w:highlight w:val="none"/>
          <w:shd w:val="clear" w:color="auto" w:fill="auto"/>
        </w:rPr>
        <w:t>第</w:t>
      </w:r>
      <w:r>
        <w:rPr>
          <w:rFonts w:hint="eastAsia"/>
          <w:color w:val="auto"/>
          <w:sz w:val="36"/>
          <w:szCs w:val="36"/>
          <w:highlight w:val="none"/>
          <w:shd w:val="clear" w:color="auto" w:fill="auto"/>
          <w:lang w:val="en-US" w:eastAsia="zh-CN"/>
        </w:rPr>
        <w:t>三</w:t>
      </w:r>
      <w:r>
        <w:rPr>
          <w:rFonts w:ascii="Times New Roman" w:hAnsi="Times New Roman"/>
          <w:color w:val="auto"/>
          <w:sz w:val="36"/>
          <w:szCs w:val="36"/>
          <w:highlight w:val="none"/>
          <w:shd w:val="clear" w:color="auto" w:fill="auto"/>
        </w:rPr>
        <w:t>节</w:t>
      </w:r>
      <w:r>
        <w:rPr>
          <w:rFonts w:hint="eastAsia"/>
          <w:color w:val="auto"/>
          <w:sz w:val="36"/>
          <w:szCs w:val="36"/>
          <w:highlight w:val="none"/>
          <w:shd w:val="clear" w:color="auto" w:fill="auto"/>
          <w:lang w:val="en-US" w:eastAsia="zh-CN"/>
        </w:rPr>
        <w:t xml:space="preserve"> </w:t>
      </w:r>
      <w:r>
        <w:rPr>
          <w:rFonts w:ascii="Times New Roman" w:hAnsi="Times New Roman"/>
          <w:color w:val="auto"/>
          <w:sz w:val="36"/>
          <w:szCs w:val="36"/>
          <w:highlight w:val="none"/>
          <w:shd w:val="clear" w:color="auto" w:fill="auto"/>
        </w:rPr>
        <w:t>专用合同条款</w:t>
      </w:r>
      <w:bookmarkEnd w:id="187"/>
    </w:p>
    <w:p w14:paraId="2A2926BA">
      <w:pPr>
        <w:pStyle w:val="5"/>
        <w:spacing w:line="540" w:lineRule="exact"/>
        <w:ind w:firstLine="105"/>
        <w:rPr>
          <w:rFonts w:ascii="Times New Roman" w:hAnsi="Times New Roman"/>
          <w:color w:val="auto"/>
          <w:highlight w:val="none"/>
          <w:shd w:val="clear" w:color="auto" w:fill="auto"/>
        </w:rPr>
      </w:pPr>
      <w:bookmarkStart w:id="199" w:name="_Toc27179"/>
      <w:r>
        <w:rPr>
          <w:rFonts w:ascii="Times New Roman" w:hAnsi="Times New Roman"/>
          <w:color w:val="auto"/>
          <w:highlight w:val="none"/>
          <w:shd w:val="clear" w:color="auto" w:fill="auto"/>
        </w:rPr>
        <w:t xml:space="preserve">1. </w:t>
      </w:r>
      <w:r>
        <w:rPr>
          <w:rFonts w:hint="eastAsia" w:ascii="Times New Roman" w:hAnsi="Times New Roman"/>
          <w:color w:val="auto"/>
          <w:highlight w:val="none"/>
          <w:shd w:val="clear" w:color="auto" w:fill="auto"/>
        </w:rPr>
        <w:t>一般约定</w:t>
      </w:r>
      <w:bookmarkEnd w:id="199"/>
    </w:p>
    <w:p w14:paraId="4A22A5B4">
      <w:pPr>
        <w:pStyle w:val="6"/>
        <w:spacing w:line="540" w:lineRule="exact"/>
        <w:ind w:firstLine="137"/>
        <w:rPr>
          <w:rFonts w:ascii="Times New Roman"/>
          <w:color w:val="auto"/>
          <w:highlight w:val="none"/>
          <w:shd w:val="clear" w:color="auto" w:fill="auto"/>
        </w:rPr>
      </w:pPr>
      <w:bookmarkStart w:id="200" w:name="_Toc14720"/>
      <w:r>
        <w:rPr>
          <w:rFonts w:ascii="Times New Roman"/>
          <w:color w:val="auto"/>
          <w:highlight w:val="none"/>
          <w:shd w:val="clear" w:color="auto" w:fill="auto"/>
        </w:rPr>
        <w:t xml:space="preserve">1.1 </w:t>
      </w:r>
      <w:r>
        <w:rPr>
          <w:rFonts w:hint="eastAsia" w:ascii="Times New Roman"/>
          <w:color w:val="auto"/>
          <w:highlight w:val="none"/>
          <w:shd w:val="clear" w:color="auto" w:fill="auto"/>
        </w:rPr>
        <w:t>词语定义</w:t>
      </w:r>
      <w:bookmarkEnd w:id="200"/>
    </w:p>
    <w:p w14:paraId="5781FD3F">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增加以下内容到第1.1款：</w:t>
      </w:r>
    </w:p>
    <w:p w14:paraId="051D8335">
      <w:pPr>
        <w:spacing w:line="540" w:lineRule="exact"/>
        <w:ind w:firstLine="420" w:firstLineChars="200"/>
        <w:rPr>
          <w:color w:val="auto"/>
          <w:szCs w:val="21"/>
          <w:highlight w:val="none"/>
          <w:shd w:val="clear" w:color="auto" w:fill="auto"/>
        </w:rPr>
      </w:pPr>
      <w:r>
        <w:rPr>
          <w:color w:val="auto"/>
          <w:highlight w:val="none"/>
          <w:shd w:val="clear" w:color="auto" w:fill="auto"/>
        </w:rPr>
        <w:t>1.1.1.9</w:t>
      </w:r>
      <w:r>
        <w:rPr>
          <w:color w:val="auto"/>
          <w:szCs w:val="21"/>
          <w:highlight w:val="none"/>
          <w:shd w:val="clear" w:color="auto" w:fill="auto"/>
        </w:rPr>
        <w:t xml:space="preserve"> 其他合同文件</w:t>
      </w:r>
      <w:r>
        <w:rPr>
          <w:rFonts w:hint="eastAsia"/>
          <w:color w:val="auto"/>
          <w:szCs w:val="21"/>
          <w:highlight w:val="none"/>
          <w:shd w:val="clear" w:color="auto" w:fill="auto"/>
        </w:rPr>
        <w:t>包括：</w:t>
      </w:r>
      <w:permStart w:id="72" w:edGrp="everyone"/>
      <w:r>
        <w:rPr>
          <w:rFonts w:hint="eastAsia"/>
          <w:color w:val="auto"/>
          <w:szCs w:val="21"/>
          <w:highlight w:val="none"/>
          <w:u w:val="single"/>
          <w:shd w:val="clear" w:color="auto" w:fill="auto"/>
        </w:rPr>
        <w:t xml:space="preserve">            </w:t>
      </w:r>
      <w:r>
        <w:rPr>
          <w:color w:val="auto"/>
          <w:szCs w:val="21"/>
          <w:highlight w:val="none"/>
          <w:shd w:val="clear" w:color="auto" w:fill="auto"/>
        </w:rPr>
        <w:t>。</w:t>
      </w:r>
      <w:permEnd w:id="72"/>
    </w:p>
    <w:p w14:paraId="73D4A97B">
      <w:pPr>
        <w:spacing w:line="540" w:lineRule="exact"/>
        <w:ind w:firstLine="420" w:firstLineChars="200"/>
        <w:rPr>
          <w:color w:val="auto"/>
          <w:highlight w:val="none"/>
          <w:shd w:val="clear" w:color="auto" w:fill="auto"/>
        </w:rPr>
      </w:pPr>
      <w:r>
        <w:rPr>
          <w:color w:val="auto"/>
          <w:highlight w:val="none"/>
          <w:shd w:val="clear" w:color="auto" w:fill="auto"/>
        </w:rPr>
        <w:t>1.1.2.</w:t>
      </w:r>
      <w:r>
        <w:rPr>
          <w:rFonts w:hint="eastAsia"/>
          <w:color w:val="auto"/>
          <w:highlight w:val="none"/>
          <w:shd w:val="clear" w:color="auto" w:fill="auto"/>
        </w:rPr>
        <w:t>7 项目建设单位</w:t>
      </w:r>
      <w:r>
        <w:rPr>
          <w:color w:val="auto"/>
          <w:highlight w:val="none"/>
          <w:shd w:val="clear" w:color="auto" w:fill="auto"/>
        </w:rPr>
        <w:t>：</w:t>
      </w:r>
      <w:r>
        <w:rPr>
          <w:rFonts w:hint="eastAsia"/>
          <w:color w:val="auto"/>
          <w:highlight w:val="none"/>
          <w:shd w:val="clear" w:color="auto" w:fill="auto"/>
        </w:rPr>
        <w:t>由委托人委托执行本项目的单位，本项目的建设单位为</w:t>
      </w:r>
      <w:permStart w:id="73" w:edGrp="everyone"/>
      <w:r>
        <w:rPr>
          <w:rFonts w:hint="eastAsia"/>
          <w:color w:val="auto"/>
          <w:szCs w:val="21"/>
          <w:highlight w:val="none"/>
          <w:u w:val="single"/>
          <w:shd w:val="clear" w:color="auto" w:fill="auto"/>
        </w:rPr>
        <w:t xml:space="preserve">          </w:t>
      </w:r>
      <w:r>
        <w:rPr>
          <w:rFonts w:hint="eastAsia"/>
          <w:color w:val="auto"/>
          <w:highlight w:val="none"/>
          <w:shd w:val="clear" w:color="auto" w:fill="auto"/>
        </w:rPr>
        <w:t>，</w:t>
      </w:r>
      <w:permEnd w:id="73"/>
      <w:r>
        <w:rPr>
          <w:color w:val="auto"/>
          <w:highlight w:val="none"/>
          <w:shd w:val="clear" w:color="auto" w:fill="auto"/>
        </w:rPr>
        <w:t>执行委托人的权利和义务。</w:t>
      </w:r>
    </w:p>
    <w:p w14:paraId="68B401DF">
      <w:pPr>
        <w:spacing w:line="540" w:lineRule="exact"/>
        <w:ind w:firstLine="420" w:firstLineChars="200"/>
        <w:rPr>
          <w:rFonts w:hAnsi="宋体"/>
          <w:color w:val="auto"/>
          <w:szCs w:val="21"/>
          <w:highlight w:val="none"/>
          <w:shd w:val="clear" w:color="auto" w:fill="auto"/>
        </w:rPr>
      </w:pPr>
      <w:r>
        <w:rPr>
          <w:color w:val="auto"/>
          <w:szCs w:val="21"/>
          <w:highlight w:val="none"/>
          <w:shd w:val="clear" w:color="auto" w:fill="auto"/>
        </w:rPr>
        <w:t>1.1.2.</w:t>
      </w:r>
      <w:r>
        <w:rPr>
          <w:rFonts w:hint="eastAsia"/>
          <w:color w:val="auto"/>
          <w:szCs w:val="21"/>
          <w:highlight w:val="none"/>
          <w:shd w:val="clear" w:color="auto" w:fill="auto"/>
        </w:rPr>
        <w:t xml:space="preserve">8 </w:t>
      </w:r>
      <w:r>
        <w:rPr>
          <w:rFonts w:hint="eastAsia" w:hAnsi="宋体"/>
          <w:color w:val="auto"/>
          <w:szCs w:val="21"/>
          <w:highlight w:val="none"/>
          <w:shd w:val="clear" w:color="auto" w:fill="auto"/>
        </w:rPr>
        <w:t>业主项目部：是项目委托人或项目建设单位基建管理的基层组织，代表委托人开展项目过程管理各项具体工作，对项目建设管理负直接责任。</w:t>
      </w:r>
    </w:p>
    <w:p w14:paraId="7A96F21B">
      <w:pPr>
        <w:spacing w:line="540" w:lineRule="exact"/>
        <w:ind w:firstLine="420" w:firstLineChars="200"/>
        <w:rPr>
          <w:color w:val="auto"/>
          <w:highlight w:val="none"/>
          <w:shd w:val="clear" w:color="auto" w:fill="auto"/>
        </w:rPr>
      </w:pPr>
      <w:r>
        <w:rPr>
          <w:color w:val="auto"/>
          <w:highlight w:val="none"/>
          <w:shd w:val="clear" w:color="auto" w:fill="auto"/>
        </w:rPr>
        <w:t>1.</w:t>
      </w:r>
      <w:r>
        <w:rPr>
          <w:rFonts w:hint="eastAsia"/>
          <w:color w:val="auto"/>
          <w:highlight w:val="none"/>
          <w:shd w:val="clear" w:color="auto" w:fill="auto"/>
        </w:rPr>
        <w:t>1.2.9 监理项目部：指监理人派驻建设工程项目施工现场负责履行建设工程监理合同的组织机构。</w:t>
      </w:r>
    </w:p>
    <w:p w14:paraId="39999667">
      <w:pPr>
        <w:spacing w:line="540" w:lineRule="exact"/>
        <w:ind w:firstLine="420" w:firstLineChars="200"/>
        <w:rPr>
          <w:color w:val="auto"/>
          <w:highlight w:val="none"/>
          <w:shd w:val="clear" w:color="auto" w:fill="auto"/>
        </w:rPr>
      </w:pPr>
      <w:r>
        <w:rPr>
          <w:color w:val="auto"/>
          <w:highlight w:val="none"/>
          <w:shd w:val="clear" w:color="auto" w:fill="auto"/>
        </w:rPr>
        <w:t>1.</w:t>
      </w:r>
      <w:r>
        <w:rPr>
          <w:rFonts w:hint="eastAsia"/>
          <w:color w:val="auto"/>
          <w:highlight w:val="none"/>
          <w:shd w:val="clear" w:color="auto" w:fill="auto"/>
        </w:rPr>
        <w:t>1.2.10 施工项目部：指施工承包人</w:t>
      </w:r>
      <w:r>
        <w:rPr>
          <w:color w:val="auto"/>
          <w:highlight w:val="none"/>
          <w:shd w:val="clear" w:color="auto" w:fill="auto"/>
        </w:rPr>
        <w:t>派驻建设工程项目</w:t>
      </w:r>
      <w:r>
        <w:rPr>
          <w:rFonts w:hint="eastAsia"/>
          <w:color w:val="auto"/>
          <w:highlight w:val="none"/>
          <w:shd w:val="clear" w:color="auto" w:fill="auto"/>
        </w:rPr>
        <w:t>施工现场</w:t>
      </w:r>
      <w:r>
        <w:rPr>
          <w:color w:val="auto"/>
          <w:highlight w:val="none"/>
          <w:shd w:val="clear" w:color="auto" w:fill="auto"/>
        </w:rPr>
        <w:t>负责履行</w:t>
      </w:r>
      <w:r>
        <w:rPr>
          <w:rFonts w:hint="eastAsia"/>
          <w:color w:val="auto"/>
          <w:highlight w:val="none"/>
          <w:shd w:val="clear" w:color="auto" w:fill="auto"/>
        </w:rPr>
        <w:t>建设工程承包合同</w:t>
      </w:r>
      <w:r>
        <w:rPr>
          <w:color w:val="auto"/>
          <w:highlight w:val="none"/>
          <w:shd w:val="clear" w:color="auto" w:fill="auto"/>
        </w:rPr>
        <w:t>的组织机构</w:t>
      </w:r>
      <w:r>
        <w:rPr>
          <w:rFonts w:hint="eastAsia"/>
          <w:color w:val="auto"/>
          <w:highlight w:val="none"/>
          <w:shd w:val="clear" w:color="auto" w:fill="auto"/>
        </w:rPr>
        <w:t>。</w:t>
      </w:r>
    </w:p>
    <w:p w14:paraId="0DA4BF95">
      <w:pPr>
        <w:spacing w:line="540" w:lineRule="exact"/>
        <w:ind w:firstLine="420" w:firstLineChars="200"/>
        <w:rPr>
          <w:color w:val="auto"/>
          <w:highlight w:val="none"/>
          <w:shd w:val="clear" w:color="auto" w:fill="auto"/>
        </w:rPr>
      </w:pPr>
      <w:r>
        <w:rPr>
          <w:rFonts w:hint="eastAsia"/>
          <w:color w:val="auto"/>
          <w:highlight w:val="none"/>
          <w:shd w:val="clear" w:color="auto" w:fill="auto"/>
        </w:rPr>
        <w:t>1.1.2.11 参建单位：指为委托人提供施工承包、勘察设计承包、建设监理和造价咨询等服务的单位，包括施工承包人、专业承包商、勘察设计人、监理人等。</w:t>
      </w:r>
    </w:p>
    <w:p w14:paraId="7CA0D428">
      <w:pPr>
        <w:spacing w:line="540" w:lineRule="exact"/>
        <w:ind w:firstLine="420" w:firstLineChars="200"/>
        <w:rPr>
          <w:color w:val="auto"/>
          <w:highlight w:val="none"/>
          <w:shd w:val="clear" w:color="auto" w:fill="auto"/>
          <w:lang w:val="zh-CN"/>
        </w:rPr>
      </w:pPr>
      <w:r>
        <w:rPr>
          <w:rFonts w:hint="eastAsia"/>
          <w:color w:val="auto"/>
          <w:highlight w:val="none"/>
          <w:shd w:val="clear" w:color="auto" w:fill="auto"/>
        </w:rPr>
        <w:t xml:space="preserve">1.1.6.2 </w:t>
      </w:r>
      <w:r>
        <w:rPr>
          <w:rFonts w:hint="eastAsia"/>
          <w:color w:val="auto"/>
          <w:highlight w:val="none"/>
          <w:shd w:val="clear" w:color="auto" w:fill="auto"/>
          <w:lang w:val="zh-CN"/>
        </w:rPr>
        <w:t>工程质量监督：指政府质监机构（电力工程质监站、电力质监中心、电力质监中心总站）按规定对工程进行的质量监督活动。</w:t>
      </w:r>
    </w:p>
    <w:p w14:paraId="5F7FFA3B">
      <w:pPr>
        <w:spacing w:line="540" w:lineRule="exact"/>
        <w:ind w:firstLine="420" w:firstLineChars="200"/>
        <w:rPr>
          <w:color w:val="auto"/>
          <w:highlight w:val="none"/>
          <w:shd w:val="clear" w:color="auto" w:fill="auto"/>
        </w:rPr>
      </w:pPr>
      <w:r>
        <w:rPr>
          <w:rFonts w:hint="eastAsia"/>
          <w:color w:val="auto"/>
          <w:highlight w:val="none"/>
          <w:shd w:val="clear" w:color="auto" w:fill="auto"/>
        </w:rPr>
        <w:t>1.1.6.3 三控两管一协调：对建设工程质量、进度、造价进行控制，对合同信息进行管理，对工程建设相关方的关系进行协调，同时还要依据《建设工程安全生产管理条例》等法规、政策，履行建设工程安全生产管理的法定职责。</w:t>
      </w:r>
    </w:p>
    <w:p w14:paraId="3D243BF1">
      <w:pPr>
        <w:spacing w:line="540" w:lineRule="exact"/>
        <w:ind w:firstLine="420" w:firstLineChars="200"/>
        <w:rPr>
          <w:color w:val="auto"/>
          <w:highlight w:val="none"/>
          <w:shd w:val="clear" w:color="auto" w:fill="auto"/>
        </w:rPr>
      </w:pPr>
      <w:r>
        <w:rPr>
          <w:rFonts w:hint="eastAsia"/>
          <w:color w:val="auto"/>
          <w:highlight w:val="none"/>
          <w:shd w:val="clear" w:color="auto" w:fill="auto"/>
        </w:rPr>
        <w:t>1.1.6.4 全过程：指勘察设计、施工准备（含三通一平）、施工、竣工结算、缺陷责任期、达标投产创优。</w:t>
      </w:r>
    </w:p>
    <w:p w14:paraId="085A8338">
      <w:pPr>
        <w:pStyle w:val="6"/>
        <w:spacing w:line="540" w:lineRule="exact"/>
        <w:ind w:firstLine="137"/>
        <w:rPr>
          <w:rFonts w:ascii="Times New Roman"/>
          <w:color w:val="auto"/>
          <w:highlight w:val="none"/>
          <w:shd w:val="clear" w:color="auto" w:fill="auto"/>
        </w:rPr>
      </w:pPr>
      <w:bookmarkStart w:id="201" w:name="_Toc9959"/>
      <w:r>
        <w:rPr>
          <w:rFonts w:ascii="Times New Roman"/>
          <w:color w:val="auto"/>
          <w:highlight w:val="none"/>
          <w:shd w:val="clear" w:color="auto" w:fill="auto"/>
        </w:rPr>
        <w:t xml:space="preserve">1.3 </w:t>
      </w:r>
      <w:r>
        <w:rPr>
          <w:rFonts w:hint="eastAsia" w:ascii="Times New Roman"/>
          <w:color w:val="auto"/>
          <w:highlight w:val="none"/>
          <w:shd w:val="clear" w:color="auto" w:fill="auto"/>
        </w:rPr>
        <w:t>适用法律</w:t>
      </w:r>
      <w:bookmarkEnd w:id="201"/>
    </w:p>
    <w:p w14:paraId="640931AB">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增加以下内容到第1.3款：</w:t>
      </w:r>
    </w:p>
    <w:p w14:paraId="36F0FB46">
      <w:pPr>
        <w:spacing w:line="540" w:lineRule="exact"/>
        <w:ind w:firstLine="420" w:firstLineChars="200"/>
        <w:rPr>
          <w:color w:val="auto"/>
          <w:szCs w:val="21"/>
          <w:highlight w:val="none"/>
          <w:shd w:val="clear" w:color="auto" w:fill="auto"/>
        </w:rPr>
      </w:pPr>
      <w:r>
        <w:rPr>
          <w:color w:val="auto"/>
          <w:highlight w:val="none"/>
          <w:shd w:val="clear" w:color="auto" w:fill="auto"/>
        </w:rPr>
        <w:t>本合同适用的其他规范性文件：</w:t>
      </w:r>
      <w:permStart w:id="74" w:edGrp="everyone"/>
      <w:r>
        <w:rPr>
          <w:rFonts w:hint="eastAsia"/>
          <w:color w:val="auto"/>
          <w:szCs w:val="21"/>
          <w:highlight w:val="none"/>
          <w:u w:val="single"/>
          <w:shd w:val="clear" w:color="auto" w:fill="auto"/>
        </w:rPr>
        <w:t xml:space="preserve">            </w:t>
      </w:r>
      <w:permEnd w:id="74"/>
      <w:r>
        <w:rPr>
          <w:color w:val="auto"/>
          <w:szCs w:val="21"/>
          <w:highlight w:val="none"/>
          <w:shd w:val="clear" w:color="auto" w:fill="auto"/>
        </w:rPr>
        <w:t>。</w:t>
      </w:r>
    </w:p>
    <w:p w14:paraId="1F75B2C6">
      <w:pPr>
        <w:pStyle w:val="6"/>
        <w:spacing w:line="540" w:lineRule="exact"/>
        <w:ind w:firstLine="137"/>
        <w:rPr>
          <w:rFonts w:ascii="Times New Roman"/>
          <w:color w:val="auto"/>
          <w:highlight w:val="none"/>
          <w:shd w:val="clear" w:color="auto" w:fill="auto"/>
        </w:rPr>
      </w:pPr>
      <w:bookmarkStart w:id="202" w:name="_Toc17709"/>
      <w:r>
        <w:rPr>
          <w:rFonts w:ascii="Times New Roman"/>
          <w:color w:val="auto"/>
          <w:highlight w:val="none"/>
          <w:shd w:val="clear" w:color="auto" w:fill="auto"/>
        </w:rPr>
        <w:t xml:space="preserve">1.4 </w:t>
      </w:r>
      <w:r>
        <w:rPr>
          <w:rFonts w:hint="eastAsia" w:ascii="Times New Roman"/>
          <w:color w:val="auto"/>
          <w:highlight w:val="none"/>
          <w:shd w:val="clear" w:color="auto" w:fill="auto"/>
        </w:rPr>
        <w:t>合同文件的优先顺序</w:t>
      </w:r>
      <w:bookmarkEnd w:id="202"/>
    </w:p>
    <w:p w14:paraId="10E44821">
      <w:pPr>
        <w:spacing w:line="540" w:lineRule="exact"/>
        <w:ind w:firstLine="420" w:firstLineChars="200"/>
        <w:rPr>
          <w:color w:val="auto"/>
          <w:highlight w:val="none"/>
          <w:shd w:val="clear" w:color="auto" w:fill="auto"/>
        </w:rPr>
      </w:pPr>
      <w:r>
        <w:rPr>
          <w:rFonts w:hint="eastAsia"/>
          <w:color w:val="auto"/>
          <w:highlight w:val="none"/>
          <w:shd w:val="clear" w:color="auto" w:fill="auto"/>
        </w:rPr>
        <w:t>替换以下内容到第1.4款：</w:t>
      </w:r>
    </w:p>
    <w:p w14:paraId="6870D1BE">
      <w:pPr>
        <w:spacing w:line="540" w:lineRule="exact"/>
        <w:ind w:firstLine="420" w:firstLineChars="200"/>
        <w:rPr>
          <w:color w:val="auto"/>
          <w:szCs w:val="21"/>
          <w:highlight w:val="none"/>
          <w:shd w:val="clear" w:color="auto" w:fill="auto"/>
        </w:rPr>
      </w:pPr>
      <w:r>
        <w:rPr>
          <w:color w:val="auto"/>
          <w:szCs w:val="21"/>
          <w:highlight w:val="none"/>
          <w:shd w:val="clear" w:color="auto" w:fill="auto"/>
        </w:rPr>
        <w:t>组成合同的各项文件应互相解释，互为说明。解释合同文件的优先顺序如下：</w:t>
      </w:r>
    </w:p>
    <w:p w14:paraId="4AB61B29">
      <w:pPr>
        <w:spacing w:line="540" w:lineRule="exact"/>
        <w:ind w:firstLine="420"/>
        <w:rPr>
          <w:color w:val="auto"/>
          <w:highlight w:val="none"/>
          <w:shd w:val="clear" w:color="auto" w:fill="auto"/>
        </w:rPr>
      </w:pPr>
      <w:r>
        <w:rPr>
          <w:color w:val="auto"/>
          <w:highlight w:val="none"/>
          <w:shd w:val="clear" w:color="auto" w:fill="auto"/>
        </w:rPr>
        <w:t>（1）合同协议书；</w:t>
      </w:r>
    </w:p>
    <w:p w14:paraId="4B7F04BC">
      <w:pPr>
        <w:spacing w:line="540" w:lineRule="exact"/>
        <w:ind w:firstLine="420"/>
        <w:rPr>
          <w:color w:val="auto"/>
          <w:highlight w:val="none"/>
          <w:shd w:val="clear" w:color="auto" w:fill="auto"/>
        </w:rPr>
      </w:pPr>
      <w:r>
        <w:rPr>
          <w:color w:val="auto"/>
          <w:highlight w:val="none"/>
          <w:shd w:val="clear" w:color="auto" w:fill="auto"/>
        </w:rPr>
        <w:t>（2）中标通知书；</w:t>
      </w:r>
    </w:p>
    <w:p w14:paraId="6EF8B80F">
      <w:pPr>
        <w:spacing w:line="540" w:lineRule="exact"/>
        <w:ind w:firstLine="420"/>
        <w:rPr>
          <w:color w:val="auto"/>
          <w:highlight w:val="none"/>
          <w:shd w:val="clear" w:color="auto" w:fill="auto"/>
        </w:rPr>
      </w:pPr>
      <w:r>
        <w:rPr>
          <w:color w:val="auto"/>
          <w:highlight w:val="none"/>
          <w:shd w:val="clear" w:color="auto" w:fill="auto"/>
        </w:rPr>
        <w:t>（3）专用合同条款</w:t>
      </w:r>
      <w:r>
        <w:rPr>
          <w:rFonts w:hint="eastAsia"/>
          <w:color w:val="auto"/>
          <w:highlight w:val="none"/>
          <w:shd w:val="clear" w:color="auto" w:fill="auto"/>
        </w:rPr>
        <w:t>及合同附件</w:t>
      </w:r>
      <w:r>
        <w:rPr>
          <w:color w:val="auto"/>
          <w:highlight w:val="none"/>
          <w:shd w:val="clear" w:color="auto" w:fill="auto"/>
        </w:rPr>
        <w:t>；</w:t>
      </w:r>
    </w:p>
    <w:p w14:paraId="14E50D42">
      <w:pPr>
        <w:spacing w:line="540" w:lineRule="exact"/>
        <w:ind w:firstLine="420"/>
        <w:rPr>
          <w:color w:val="auto"/>
          <w:highlight w:val="none"/>
          <w:shd w:val="clear" w:color="auto" w:fill="auto"/>
        </w:rPr>
      </w:pPr>
      <w:r>
        <w:rPr>
          <w:color w:val="auto"/>
          <w:highlight w:val="none"/>
          <w:shd w:val="clear" w:color="auto" w:fill="auto"/>
        </w:rPr>
        <w:t>（4）通用合同条款；</w:t>
      </w:r>
    </w:p>
    <w:p w14:paraId="71470D72">
      <w:pPr>
        <w:spacing w:line="540" w:lineRule="exact"/>
        <w:ind w:firstLine="420"/>
        <w:rPr>
          <w:color w:val="auto"/>
          <w:highlight w:val="none"/>
          <w:shd w:val="clear" w:color="auto" w:fill="auto"/>
        </w:rPr>
      </w:pPr>
      <w:r>
        <w:rPr>
          <w:color w:val="auto"/>
          <w:highlight w:val="none"/>
          <w:shd w:val="clear" w:color="auto" w:fill="auto"/>
        </w:rPr>
        <w:t>（5）</w:t>
      </w:r>
      <w:r>
        <w:rPr>
          <w:rFonts w:hint="eastAsia"/>
          <w:color w:val="auto"/>
          <w:highlight w:val="none"/>
          <w:shd w:val="clear" w:color="auto" w:fill="auto"/>
        </w:rPr>
        <w:t>招标文件（含答疑及澄清）；</w:t>
      </w:r>
    </w:p>
    <w:p w14:paraId="7596E832">
      <w:pPr>
        <w:spacing w:line="540" w:lineRule="exact"/>
        <w:ind w:firstLine="420"/>
        <w:rPr>
          <w:color w:val="auto"/>
          <w:highlight w:val="none"/>
          <w:shd w:val="clear" w:color="auto" w:fill="auto"/>
        </w:rPr>
      </w:pPr>
      <w:r>
        <w:rPr>
          <w:color w:val="auto"/>
          <w:highlight w:val="none"/>
          <w:shd w:val="clear" w:color="auto" w:fill="auto"/>
        </w:rPr>
        <w:t>（6）投标函及</w:t>
      </w:r>
      <w:r>
        <w:rPr>
          <w:rFonts w:hint="eastAsia"/>
          <w:color w:val="auto"/>
          <w:highlight w:val="none"/>
          <w:shd w:val="clear" w:color="auto" w:fill="auto"/>
        </w:rPr>
        <w:t>投标函附录、监理大纲（含澄清）</w:t>
      </w:r>
      <w:r>
        <w:rPr>
          <w:color w:val="auto"/>
          <w:highlight w:val="none"/>
          <w:shd w:val="clear" w:color="auto" w:fill="auto"/>
        </w:rPr>
        <w:t>；</w:t>
      </w:r>
    </w:p>
    <w:p w14:paraId="38B7C6F1">
      <w:pPr>
        <w:spacing w:line="540" w:lineRule="exact"/>
        <w:ind w:firstLine="420"/>
        <w:rPr>
          <w:color w:val="auto"/>
          <w:highlight w:val="none"/>
          <w:shd w:val="clear" w:color="auto" w:fill="auto"/>
        </w:rPr>
      </w:pPr>
      <w:r>
        <w:rPr>
          <w:rFonts w:hint="eastAsia"/>
          <w:color w:val="auto"/>
          <w:highlight w:val="none"/>
          <w:shd w:val="clear" w:color="auto" w:fill="auto"/>
        </w:rPr>
        <w:t>（7）</w:t>
      </w:r>
      <w:r>
        <w:rPr>
          <w:color w:val="auto"/>
          <w:highlight w:val="none"/>
          <w:shd w:val="clear" w:color="auto" w:fill="auto"/>
        </w:rPr>
        <w:t>委托人要求；</w:t>
      </w:r>
    </w:p>
    <w:p w14:paraId="056D63A3">
      <w:pPr>
        <w:spacing w:line="540" w:lineRule="exact"/>
        <w:ind w:firstLine="420"/>
        <w:rPr>
          <w:color w:val="auto"/>
          <w:highlight w:val="none"/>
          <w:shd w:val="clear" w:color="auto" w:fill="auto"/>
        </w:rPr>
      </w:pPr>
      <w:r>
        <w:rPr>
          <w:color w:val="auto"/>
          <w:highlight w:val="none"/>
          <w:shd w:val="clear" w:color="auto" w:fill="auto"/>
        </w:rPr>
        <w:t>（</w:t>
      </w:r>
      <w:r>
        <w:rPr>
          <w:rFonts w:hint="eastAsia"/>
          <w:color w:val="auto"/>
          <w:highlight w:val="none"/>
          <w:shd w:val="clear" w:color="auto" w:fill="auto"/>
        </w:rPr>
        <w:t>8</w:t>
      </w:r>
      <w:r>
        <w:rPr>
          <w:color w:val="auto"/>
          <w:highlight w:val="none"/>
          <w:shd w:val="clear" w:color="auto" w:fill="auto"/>
        </w:rPr>
        <w:t>）</w:t>
      </w:r>
      <w:r>
        <w:rPr>
          <w:rFonts w:hint="eastAsia"/>
          <w:color w:val="auto"/>
          <w:highlight w:val="none"/>
          <w:shd w:val="clear" w:color="auto" w:fill="auto"/>
        </w:rPr>
        <w:t>图纸；</w:t>
      </w:r>
    </w:p>
    <w:p w14:paraId="4814C3D3">
      <w:pPr>
        <w:spacing w:line="540" w:lineRule="exact"/>
        <w:ind w:firstLine="420"/>
        <w:rPr>
          <w:color w:val="auto"/>
          <w:highlight w:val="none"/>
          <w:shd w:val="clear" w:color="auto" w:fill="auto"/>
        </w:rPr>
      </w:pPr>
      <w:r>
        <w:rPr>
          <w:rFonts w:hint="eastAsia"/>
          <w:color w:val="auto"/>
          <w:highlight w:val="none"/>
          <w:shd w:val="clear" w:color="auto" w:fill="auto"/>
        </w:rPr>
        <w:t>（9）监理报酬清单</w:t>
      </w:r>
      <w:r>
        <w:rPr>
          <w:color w:val="auto"/>
          <w:highlight w:val="none"/>
          <w:shd w:val="clear" w:color="auto" w:fill="auto"/>
        </w:rPr>
        <w:t>；</w:t>
      </w:r>
    </w:p>
    <w:p w14:paraId="555BBA24">
      <w:pPr>
        <w:spacing w:line="540" w:lineRule="exact"/>
        <w:ind w:firstLine="420"/>
        <w:rPr>
          <w:color w:val="auto"/>
          <w:szCs w:val="21"/>
          <w:highlight w:val="none"/>
          <w:shd w:val="clear" w:color="auto" w:fill="auto"/>
        </w:rPr>
      </w:pPr>
      <w:r>
        <w:rPr>
          <w:color w:val="auto"/>
          <w:highlight w:val="none"/>
          <w:shd w:val="clear" w:color="auto" w:fill="auto"/>
        </w:rPr>
        <w:t>（</w:t>
      </w:r>
      <w:r>
        <w:rPr>
          <w:rFonts w:hint="eastAsia"/>
          <w:color w:val="auto"/>
          <w:highlight w:val="none"/>
          <w:shd w:val="clear" w:color="auto" w:fill="auto"/>
        </w:rPr>
        <w:t>10</w:t>
      </w:r>
      <w:r>
        <w:rPr>
          <w:color w:val="auto"/>
          <w:highlight w:val="none"/>
          <w:shd w:val="clear" w:color="auto" w:fill="auto"/>
        </w:rPr>
        <w:t>）其他合同</w:t>
      </w:r>
      <w:r>
        <w:rPr>
          <w:color w:val="auto"/>
          <w:szCs w:val="21"/>
          <w:highlight w:val="none"/>
          <w:shd w:val="clear" w:color="auto" w:fill="auto"/>
        </w:rPr>
        <w:t>文件。</w:t>
      </w:r>
    </w:p>
    <w:p w14:paraId="7967B554">
      <w:pPr>
        <w:pStyle w:val="6"/>
        <w:spacing w:line="540" w:lineRule="exact"/>
        <w:ind w:firstLine="137"/>
        <w:rPr>
          <w:rFonts w:ascii="Times New Roman"/>
          <w:color w:val="auto"/>
          <w:highlight w:val="none"/>
          <w:shd w:val="clear" w:color="auto" w:fill="auto"/>
        </w:rPr>
      </w:pPr>
      <w:bookmarkStart w:id="203" w:name="_Toc3285"/>
      <w:r>
        <w:rPr>
          <w:rFonts w:ascii="Times New Roman"/>
          <w:color w:val="auto"/>
          <w:highlight w:val="none"/>
          <w:shd w:val="clear" w:color="auto" w:fill="auto"/>
        </w:rPr>
        <w:t xml:space="preserve">1.6 </w:t>
      </w:r>
      <w:r>
        <w:rPr>
          <w:rFonts w:hint="eastAsia" w:ascii="Times New Roman"/>
          <w:color w:val="auto"/>
          <w:highlight w:val="none"/>
          <w:shd w:val="clear" w:color="auto" w:fill="auto"/>
        </w:rPr>
        <w:t>文件的提供和照管</w:t>
      </w:r>
      <w:bookmarkEnd w:id="203"/>
    </w:p>
    <w:p w14:paraId="7E11BEA1">
      <w:pPr>
        <w:spacing w:line="540" w:lineRule="exact"/>
        <w:ind w:firstLine="422" w:firstLineChars="200"/>
        <w:rPr>
          <w:b/>
          <w:color w:val="auto"/>
          <w:highlight w:val="none"/>
          <w:shd w:val="clear" w:color="auto" w:fill="auto"/>
        </w:rPr>
      </w:pPr>
      <w:r>
        <w:rPr>
          <w:rFonts w:hint="eastAsia"/>
          <w:b/>
          <w:color w:val="auto"/>
          <w:highlight w:val="none"/>
          <w:shd w:val="clear" w:color="auto" w:fill="auto"/>
        </w:rPr>
        <w:t>1.6.1 监理文件的提供</w:t>
      </w:r>
    </w:p>
    <w:p w14:paraId="46546637">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增加以下内容到第1.6.1款：</w:t>
      </w:r>
    </w:p>
    <w:p w14:paraId="16121405">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监理文件的提供执行</w:t>
      </w:r>
      <w:permStart w:id="75" w:edGrp="everyone"/>
      <w:r>
        <w:rPr>
          <w:rFonts w:hint="eastAsia"/>
          <w:color w:val="auto"/>
          <w:szCs w:val="21"/>
          <w:highlight w:val="none"/>
          <w:shd w:val="clear" w:color="auto" w:fill="auto"/>
        </w:rPr>
        <w:t>“合同附件格式”附件</w:t>
      </w:r>
      <w:r>
        <w:rPr>
          <w:rFonts w:hint="eastAsia"/>
          <w:color w:val="auto"/>
          <w:szCs w:val="21"/>
          <w:highlight w:val="none"/>
          <w:shd w:val="clear" w:color="auto" w:fill="auto"/>
          <w:lang w:val="en-US" w:eastAsia="zh-CN"/>
        </w:rPr>
        <w:t>一</w:t>
      </w:r>
      <w:r>
        <w:rPr>
          <w:rFonts w:hint="eastAsia" w:ascii="宋体" w:hAnsi="宋体" w:cs="仿宋_GB2312"/>
          <w:color w:val="auto"/>
          <w:kern w:val="0"/>
          <w:szCs w:val="21"/>
          <w:highlight w:val="none"/>
          <w:shd w:val="clear" w:color="auto" w:fill="auto"/>
        </w:rPr>
        <w:t>。</w:t>
      </w:r>
    </w:p>
    <w:permEnd w:id="75"/>
    <w:p w14:paraId="6F3FB737">
      <w:pPr>
        <w:spacing w:line="540" w:lineRule="exact"/>
        <w:ind w:firstLine="422" w:firstLineChars="200"/>
        <w:rPr>
          <w:b/>
          <w:color w:val="auto"/>
          <w:szCs w:val="21"/>
          <w:highlight w:val="none"/>
          <w:shd w:val="clear" w:color="auto" w:fill="auto"/>
        </w:rPr>
      </w:pPr>
      <w:r>
        <w:rPr>
          <w:b/>
          <w:color w:val="auto"/>
          <w:highlight w:val="none"/>
          <w:shd w:val="clear" w:color="auto" w:fill="auto"/>
        </w:rPr>
        <w:t xml:space="preserve">1.6.2 </w:t>
      </w:r>
      <w:r>
        <w:rPr>
          <w:b/>
          <w:color w:val="auto"/>
          <w:szCs w:val="21"/>
          <w:highlight w:val="none"/>
          <w:shd w:val="clear" w:color="auto" w:fill="auto"/>
        </w:rPr>
        <w:t>委托人提供的文件</w:t>
      </w:r>
    </w:p>
    <w:p w14:paraId="43F73461">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增加以下内容到第1.6.2款：</w:t>
      </w:r>
    </w:p>
    <w:p w14:paraId="45B5B533">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委托人向监理人提供开展监理工作所需的有关基础资料的数量和期限：</w:t>
      </w:r>
      <w:permStart w:id="76" w:edGrp="everyone"/>
      <w:r>
        <w:rPr>
          <w:rFonts w:hint="eastAsia"/>
          <w:color w:val="auto"/>
          <w:szCs w:val="21"/>
          <w:highlight w:val="none"/>
          <w:u w:val="single"/>
          <w:shd w:val="clear" w:color="auto" w:fill="auto"/>
        </w:rPr>
        <w:t xml:space="preserve">            </w:t>
      </w:r>
      <w:r>
        <w:rPr>
          <w:rFonts w:hint="eastAsia"/>
          <w:color w:val="auto"/>
          <w:szCs w:val="21"/>
          <w:highlight w:val="none"/>
          <w:shd w:val="clear" w:color="auto" w:fill="auto"/>
        </w:rPr>
        <w:t>。</w:t>
      </w:r>
    </w:p>
    <w:permEnd w:id="76"/>
    <w:p w14:paraId="376591DA">
      <w:pPr>
        <w:pStyle w:val="6"/>
        <w:spacing w:line="540" w:lineRule="exact"/>
        <w:ind w:firstLine="137"/>
        <w:rPr>
          <w:rFonts w:ascii="Times New Roman"/>
          <w:color w:val="auto"/>
          <w:highlight w:val="none"/>
          <w:shd w:val="clear" w:color="auto" w:fill="auto"/>
        </w:rPr>
      </w:pPr>
      <w:bookmarkStart w:id="204" w:name="_Toc3231"/>
      <w:r>
        <w:rPr>
          <w:rFonts w:ascii="Times New Roman"/>
          <w:color w:val="auto"/>
          <w:highlight w:val="none"/>
          <w:shd w:val="clear" w:color="auto" w:fill="auto"/>
        </w:rPr>
        <w:t xml:space="preserve">1.7 </w:t>
      </w:r>
      <w:r>
        <w:rPr>
          <w:rFonts w:hint="eastAsia" w:ascii="Times New Roman"/>
          <w:color w:val="auto"/>
          <w:highlight w:val="none"/>
          <w:shd w:val="clear" w:color="auto" w:fill="auto"/>
        </w:rPr>
        <w:t>联络</w:t>
      </w:r>
      <w:bookmarkEnd w:id="204"/>
    </w:p>
    <w:p w14:paraId="7062A402">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增加以下内容到第1.7款：</w:t>
      </w:r>
    </w:p>
    <w:p w14:paraId="7D33705C">
      <w:pPr>
        <w:spacing w:line="540" w:lineRule="exact"/>
        <w:ind w:firstLine="420" w:firstLineChars="200"/>
        <w:rPr>
          <w:color w:val="auto"/>
          <w:szCs w:val="21"/>
          <w:highlight w:val="none"/>
          <w:shd w:val="clear" w:color="auto" w:fill="auto"/>
          <w:lang w:val="zh-CN"/>
        </w:rPr>
      </w:pPr>
      <w:r>
        <w:rPr>
          <w:color w:val="auto"/>
          <w:szCs w:val="21"/>
          <w:highlight w:val="none"/>
          <w:shd w:val="clear" w:color="auto" w:fill="auto"/>
          <w:lang w:val="zh-CN"/>
        </w:rPr>
        <w:t>1.</w:t>
      </w:r>
      <w:r>
        <w:rPr>
          <w:rFonts w:hint="eastAsia"/>
          <w:color w:val="auto"/>
          <w:szCs w:val="21"/>
          <w:highlight w:val="none"/>
          <w:shd w:val="clear" w:color="auto" w:fill="auto"/>
          <w:lang w:val="zh-CN"/>
        </w:rPr>
        <w:t>7</w:t>
      </w:r>
      <w:r>
        <w:rPr>
          <w:color w:val="auto"/>
          <w:szCs w:val="21"/>
          <w:highlight w:val="none"/>
          <w:shd w:val="clear" w:color="auto" w:fill="auto"/>
          <w:lang w:val="zh-CN"/>
        </w:rPr>
        <w:t>.</w:t>
      </w:r>
      <w:r>
        <w:rPr>
          <w:rFonts w:hint="eastAsia"/>
          <w:color w:val="auto"/>
          <w:szCs w:val="21"/>
          <w:highlight w:val="none"/>
          <w:shd w:val="clear" w:color="auto" w:fill="auto"/>
          <w:lang w:val="zh-CN"/>
        </w:rPr>
        <w:t xml:space="preserve">2 </w:t>
      </w:r>
      <w:r>
        <w:rPr>
          <w:color w:val="auto"/>
          <w:szCs w:val="21"/>
          <w:highlight w:val="none"/>
          <w:shd w:val="clear" w:color="auto" w:fill="auto"/>
          <w:lang w:val="zh-CN"/>
        </w:rPr>
        <w:t>委托人和</w:t>
      </w:r>
      <w:r>
        <w:rPr>
          <w:rFonts w:hint="eastAsia"/>
          <w:color w:val="auto"/>
          <w:szCs w:val="21"/>
          <w:highlight w:val="none"/>
          <w:shd w:val="clear" w:color="auto" w:fill="auto"/>
          <w:lang w:val="zh-CN"/>
        </w:rPr>
        <w:t>监理</w:t>
      </w:r>
      <w:r>
        <w:rPr>
          <w:color w:val="auto"/>
          <w:szCs w:val="21"/>
          <w:highlight w:val="none"/>
          <w:shd w:val="clear" w:color="auto" w:fill="auto"/>
          <w:lang w:val="zh-CN"/>
        </w:rPr>
        <w:t>人应当在</w:t>
      </w:r>
      <w:permStart w:id="77" w:edGrp="everyone"/>
      <w:r>
        <w:rPr>
          <w:rFonts w:hint="eastAsia"/>
          <w:color w:val="auto"/>
          <w:szCs w:val="21"/>
          <w:highlight w:val="none"/>
          <w:u w:val="single"/>
          <w:shd w:val="clear" w:color="auto" w:fill="auto"/>
          <w:lang w:val="zh-CN"/>
        </w:rPr>
        <w:t xml:space="preserve">   </w:t>
      </w:r>
      <w:r>
        <w:rPr>
          <w:color w:val="auto"/>
          <w:szCs w:val="21"/>
          <w:highlight w:val="none"/>
          <w:shd w:val="clear" w:color="auto" w:fill="auto"/>
          <w:lang w:val="zh-CN"/>
        </w:rPr>
        <w:t>天</w:t>
      </w:r>
      <w:permEnd w:id="77"/>
      <w:r>
        <w:rPr>
          <w:color w:val="auto"/>
          <w:szCs w:val="21"/>
          <w:highlight w:val="none"/>
          <w:shd w:val="clear" w:color="auto" w:fill="auto"/>
          <w:lang w:val="zh-CN"/>
        </w:rPr>
        <w:t>内将与合同有关的通知、批准、证明、证书、指示、指令、要求、请求、同意、意见、确定和决定等</w:t>
      </w:r>
      <w:r>
        <w:rPr>
          <w:color w:val="auto"/>
          <w:szCs w:val="21"/>
          <w:highlight w:val="none"/>
          <w:shd w:val="clear" w:color="auto" w:fill="auto"/>
        </w:rPr>
        <w:t>来往函件</w:t>
      </w:r>
      <w:r>
        <w:rPr>
          <w:color w:val="auto"/>
          <w:szCs w:val="21"/>
          <w:highlight w:val="none"/>
          <w:shd w:val="clear" w:color="auto" w:fill="auto"/>
          <w:lang w:val="zh-CN"/>
        </w:rPr>
        <w:t>送达</w:t>
      </w:r>
      <w:r>
        <w:rPr>
          <w:color w:val="auto"/>
          <w:szCs w:val="21"/>
          <w:highlight w:val="none"/>
          <w:shd w:val="clear" w:color="auto" w:fill="auto"/>
        </w:rPr>
        <w:t>指定的地点和指定的接收人，并办理签收手续。</w:t>
      </w:r>
    </w:p>
    <w:p w14:paraId="4BD57072">
      <w:pPr>
        <w:spacing w:line="540" w:lineRule="exact"/>
        <w:ind w:firstLine="420" w:firstLineChars="200"/>
        <w:rPr>
          <w:color w:val="auto"/>
          <w:szCs w:val="21"/>
          <w:highlight w:val="none"/>
          <w:shd w:val="clear" w:color="auto" w:fill="auto"/>
          <w:lang w:val="zh-CN"/>
        </w:rPr>
      </w:pPr>
      <w:permStart w:id="78" w:edGrp="everyone"/>
      <w:r>
        <w:rPr>
          <w:rFonts w:hint="eastAsia"/>
          <w:color w:val="auto"/>
          <w:szCs w:val="21"/>
          <w:highlight w:val="none"/>
          <w:shd w:val="clear" w:color="auto" w:fill="auto"/>
          <w:lang w:val="zh-CN"/>
        </w:rPr>
        <w:t>（1）</w:t>
      </w:r>
      <w:r>
        <w:rPr>
          <w:color w:val="auto"/>
          <w:szCs w:val="21"/>
          <w:highlight w:val="none"/>
          <w:shd w:val="clear" w:color="auto" w:fill="auto"/>
          <w:lang w:val="zh-CN"/>
        </w:rPr>
        <w:t>委托人指定的</w:t>
      </w:r>
      <w:r>
        <w:rPr>
          <w:rFonts w:hint="eastAsia"/>
          <w:color w:val="auto"/>
          <w:szCs w:val="21"/>
          <w:highlight w:val="none"/>
          <w:shd w:val="clear" w:color="auto" w:fill="auto"/>
          <w:lang w:val="zh-CN"/>
        </w:rPr>
        <w:t>来往函件</w:t>
      </w:r>
      <w:r>
        <w:rPr>
          <w:color w:val="auto"/>
          <w:szCs w:val="21"/>
          <w:highlight w:val="none"/>
          <w:shd w:val="clear" w:color="auto" w:fill="auto"/>
          <w:lang w:val="zh-CN"/>
        </w:rPr>
        <w:t>接收地点：</w:t>
      </w:r>
      <w:r>
        <w:rPr>
          <w:rFonts w:hint="eastAsia"/>
          <w:color w:val="auto"/>
          <w:szCs w:val="21"/>
          <w:highlight w:val="none"/>
          <w:u w:val="single"/>
          <w:shd w:val="clear" w:color="auto" w:fill="auto"/>
        </w:rPr>
        <w:t xml:space="preserve">            </w:t>
      </w:r>
      <w:r>
        <w:rPr>
          <w:color w:val="auto"/>
          <w:szCs w:val="21"/>
          <w:highlight w:val="none"/>
          <w:shd w:val="clear" w:color="auto" w:fill="auto"/>
          <w:lang w:val="zh-CN"/>
        </w:rPr>
        <w:t>；</w:t>
      </w:r>
    </w:p>
    <w:p w14:paraId="10846C27">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lang w:val="zh-CN"/>
        </w:rPr>
        <w:t>（2）</w:t>
      </w:r>
      <w:r>
        <w:rPr>
          <w:color w:val="auto"/>
          <w:szCs w:val="21"/>
          <w:highlight w:val="none"/>
          <w:shd w:val="clear" w:color="auto" w:fill="auto"/>
          <w:lang w:val="zh-CN"/>
        </w:rPr>
        <w:t>委托人指定的</w:t>
      </w:r>
      <w:r>
        <w:rPr>
          <w:rFonts w:hint="eastAsia"/>
          <w:color w:val="auto"/>
          <w:szCs w:val="21"/>
          <w:highlight w:val="none"/>
          <w:shd w:val="clear" w:color="auto" w:fill="auto"/>
          <w:lang w:val="zh-CN"/>
        </w:rPr>
        <w:t>来往函件</w:t>
      </w:r>
      <w:r>
        <w:rPr>
          <w:color w:val="auto"/>
          <w:szCs w:val="21"/>
          <w:highlight w:val="none"/>
          <w:shd w:val="clear" w:color="auto" w:fill="auto"/>
          <w:lang w:val="zh-CN"/>
        </w:rPr>
        <w:t>接收人：</w:t>
      </w:r>
      <w:r>
        <w:rPr>
          <w:rFonts w:hint="eastAsia"/>
          <w:color w:val="auto"/>
          <w:szCs w:val="21"/>
          <w:highlight w:val="none"/>
          <w:u w:val="single"/>
          <w:shd w:val="clear" w:color="auto" w:fill="auto"/>
        </w:rPr>
        <w:t xml:space="preserve">            </w:t>
      </w:r>
      <w:r>
        <w:rPr>
          <w:rFonts w:hint="eastAsia"/>
          <w:color w:val="auto"/>
          <w:szCs w:val="21"/>
          <w:highlight w:val="none"/>
          <w:shd w:val="clear" w:color="auto" w:fill="auto"/>
          <w:lang w:val="zh-CN"/>
        </w:rPr>
        <w:t>；</w:t>
      </w:r>
    </w:p>
    <w:p w14:paraId="25C62BCC">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lang w:val="zh-CN"/>
        </w:rPr>
        <w:t>（3）委托人指定</w:t>
      </w:r>
      <w:r>
        <w:rPr>
          <w:color w:val="auto"/>
          <w:szCs w:val="21"/>
          <w:highlight w:val="none"/>
          <w:shd w:val="clear" w:color="auto" w:fill="auto"/>
          <w:lang w:val="zh-CN"/>
        </w:rPr>
        <w:t>的</w:t>
      </w:r>
      <w:r>
        <w:rPr>
          <w:rFonts w:hint="eastAsia"/>
          <w:color w:val="auto"/>
          <w:szCs w:val="21"/>
          <w:highlight w:val="none"/>
          <w:shd w:val="clear" w:color="auto" w:fill="auto"/>
          <w:lang w:val="zh-CN"/>
        </w:rPr>
        <w:t>来往函件接收电子邮箱：</w:t>
      </w:r>
      <w:r>
        <w:rPr>
          <w:rFonts w:hint="eastAsia"/>
          <w:color w:val="auto"/>
          <w:szCs w:val="21"/>
          <w:highlight w:val="none"/>
          <w:u w:val="single"/>
          <w:shd w:val="clear" w:color="auto" w:fill="auto"/>
        </w:rPr>
        <w:t xml:space="preserve">            </w:t>
      </w:r>
      <w:r>
        <w:rPr>
          <w:rFonts w:hint="eastAsia"/>
          <w:color w:val="auto"/>
          <w:szCs w:val="21"/>
          <w:highlight w:val="none"/>
          <w:shd w:val="clear" w:color="auto" w:fill="auto"/>
          <w:lang w:val="zh-CN"/>
        </w:rPr>
        <w:t>；</w:t>
      </w:r>
    </w:p>
    <w:p w14:paraId="0D094914">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lang w:val="zh-CN"/>
        </w:rPr>
        <w:t>（4）监理</w:t>
      </w:r>
      <w:r>
        <w:rPr>
          <w:color w:val="auto"/>
          <w:szCs w:val="21"/>
          <w:highlight w:val="none"/>
          <w:shd w:val="clear" w:color="auto" w:fill="auto"/>
          <w:lang w:val="zh-CN"/>
        </w:rPr>
        <w:t>人的</w:t>
      </w:r>
      <w:r>
        <w:rPr>
          <w:rFonts w:hint="eastAsia"/>
          <w:color w:val="auto"/>
          <w:szCs w:val="21"/>
          <w:highlight w:val="none"/>
          <w:shd w:val="clear" w:color="auto" w:fill="auto"/>
          <w:lang w:val="zh-CN"/>
        </w:rPr>
        <w:t>来往函件接收</w:t>
      </w:r>
      <w:r>
        <w:rPr>
          <w:color w:val="auto"/>
          <w:szCs w:val="21"/>
          <w:highlight w:val="none"/>
          <w:shd w:val="clear" w:color="auto" w:fill="auto"/>
          <w:lang w:val="zh-CN"/>
        </w:rPr>
        <w:t>地点：</w:t>
      </w:r>
      <w:r>
        <w:rPr>
          <w:rFonts w:hint="eastAsia"/>
          <w:color w:val="auto"/>
          <w:szCs w:val="21"/>
          <w:highlight w:val="none"/>
          <w:u w:val="single"/>
          <w:shd w:val="clear" w:color="auto" w:fill="auto"/>
        </w:rPr>
        <w:t xml:space="preserve">            </w:t>
      </w:r>
      <w:r>
        <w:rPr>
          <w:color w:val="auto"/>
          <w:szCs w:val="21"/>
          <w:highlight w:val="none"/>
          <w:shd w:val="clear" w:color="auto" w:fill="auto"/>
          <w:lang w:val="zh-CN"/>
        </w:rPr>
        <w:t>；</w:t>
      </w:r>
    </w:p>
    <w:p w14:paraId="5FA2DA6F">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lang w:val="zh-CN"/>
        </w:rPr>
        <w:t>（5）监理</w:t>
      </w:r>
      <w:r>
        <w:rPr>
          <w:color w:val="auto"/>
          <w:szCs w:val="21"/>
          <w:highlight w:val="none"/>
          <w:shd w:val="clear" w:color="auto" w:fill="auto"/>
          <w:lang w:val="zh-CN"/>
        </w:rPr>
        <w:t>人的</w:t>
      </w:r>
      <w:r>
        <w:rPr>
          <w:rFonts w:hint="eastAsia"/>
          <w:color w:val="auto"/>
          <w:szCs w:val="21"/>
          <w:highlight w:val="none"/>
          <w:shd w:val="clear" w:color="auto" w:fill="auto"/>
          <w:lang w:val="zh-CN"/>
        </w:rPr>
        <w:t>来往函件</w:t>
      </w:r>
      <w:r>
        <w:rPr>
          <w:color w:val="auto"/>
          <w:szCs w:val="21"/>
          <w:highlight w:val="none"/>
          <w:shd w:val="clear" w:color="auto" w:fill="auto"/>
          <w:lang w:val="zh-CN"/>
        </w:rPr>
        <w:t>接收人：</w:t>
      </w:r>
      <w:r>
        <w:rPr>
          <w:rFonts w:hint="eastAsia"/>
          <w:color w:val="auto"/>
          <w:szCs w:val="21"/>
          <w:highlight w:val="none"/>
          <w:u w:val="single"/>
          <w:shd w:val="clear" w:color="auto" w:fill="auto"/>
        </w:rPr>
        <w:t xml:space="preserve">            </w:t>
      </w:r>
      <w:r>
        <w:rPr>
          <w:rFonts w:hint="eastAsia"/>
          <w:color w:val="auto"/>
          <w:szCs w:val="21"/>
          <w:highlight w:val="none"/>
          <w:shd w:val="clear" w:color="auto" w:fill="auto"/>
          <w:lang w:val="zh-CN"/>
        </w:rPr>
        <w:t>；</w:t>
      </w:r>
    </w:p>
    <w:p w14:paraId="3A3B81B7">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lang w:val="zh-CN"/>
        </w:rPr>
        <w:t>（6）监理</w:t>
      </w:r>
      <w:r>
        <w:rPr>
          <w:color w:val="auto"/>
          <w:szCs w:val="21"/>
          <w:highlight w:val="none"/>
          <w:shd w:val="clear" w:color="auto" w:fill="auto"/>
          <w:lang w:val="zh-CN"/>
        </w:rPr>
        <w:t>人的</w:t>
      </w:r>
      <w:r>
        <w:rPr>
          <w:rFonts w:hint="eastAsia"/>
          <w:color w:val="auto"/>
          <w:szCs w:val="21"/>
          <w:highlight w:val="none"/>
          <w:shd w:val="clear" w:color="auto" w:fill="auto"/>
          <w:lang w:val="zh-CN"/>
        </w:rPr>
        <w:t>来往函件接收电子邮箱：</w:t>
      </w:r>
      <w:r>
        <w:rPr>
          <w:rFonts w:hint="eastAsia"/>
          <w:color w:val="auto"/>
          <w:szCs w:val="21"/>
          <w:highlight w:val="none"/>
          <w:u w:val="single"/>
          <w:shd w:val="clear" w:color="auto" w:fill="auto"/>
        </w:rPr>
        <w:t xml:space="preserve">            </w:t>
      </w:r>
      <w:r>
        <w:rPr>
          <w:color w:val="auto"/>
          <w:szCs w:val="21"/>
          <w:highlight w:val="none"/>
          <w:shd w:val="clear" w:color="auto" w:fill="auto"/>
          <w:lang w:val="zh-CN"/>
        </w:rPr>
        <w:t>。</w:t>
      </w:r>
    </w:p>
    <w:permEnd w:id="78"/>
    <w:p w14:paraId="4BDAECE8">
      <w:pPr>
        <w:pStyle w:val="6"/>
        <w:spacing w:line="540" w:lineRule="exact"/>
        <w:ind w:firstLine="137"/>
        <w:rPr>
          <w:rFonts w:ascii="Times New Roman"/>
          <w:color w:val="auto"/>
          <w:highlight w:val="none"/>
          <w:shd w:val="clear" w:color="auto" w:fill="auto"/>
        </w:rPr>
      </w:pPr>
      <w:bookmarkStart w:id="205" w:name="_Toc3690"/>
      <w:r>
        <w:rPr>
          <w:rFonts w:ascii="Times New Roman"/>
          <w:color w:val="auto"/>
          <w:highlight w:val="none"/>
          <w:shd w:val="clear" w:color="auto" w:fill="auto"/>
        </w:rPr>
        <w:t xml:space="preserve">1.10 </w:t>
      </w:r>
      <w:r>
        <w:rPr>
          <w:rFonts w:hint="eastAsia" w:ascii="Times New Roman"/>
          <w:color w:val="auto"/>
          <w:highlight w:val="none"/>
          <w:shd w:val="clear" w:color="auto" w:fill="auto"/>
        </w:rPr>
        <w:t>知识产权</w:t>
      </w:r>
      <w:bookmarkEnd w:id="205"/>
    </w:p>
    <w:p w14:paraId="09D93C54">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增加以下内容到第1.10.1款：</w:t>
      </w:r>
    </w:p>
    <w:p w14:paraId="18B9A3E8">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rPr>
        <w:t>关于监理</w:t>
      </w:r>
      <w:r>
        <w:rPr>
          <w:color w:val="auto"/>
          <w:szCs w:val="21"/>
          <w:highlight w:val="none"/>
          <w:shd w:val="clear" w:color="auto" w:fill="auto"/>
        </w:rPr>
        <w:t>人</w:t>
      </w:r>
      <w:r>
        <w:rPr>
          <w:rFonts w:hint="eastAsia"/>
          <w:color w:val="auto"/>
          <w:szCs w:val="21"/>
          <w:highlight w:val="none"/>
          <w:shd w:val="clear" w:color="auto" w:fill="auto"/>
        </w:rPr>
        <w:t>完成的监理</w:t>
      </w:r>
      <w:r>
        <w:rPr>
          <w:color w:val="auto"/>
          <w:szCs w:val="21"/>
          <w:highlight w:val="none"/>
          <w:shd w:val="clear" w:color="auto" w:fill="auto"/>
        </w:rPr>
        <w:t>工作成果</w:t>
      </w:r>
      <w:r>
        <w:rPr>
          <w:color w:val="auto"/>
          <w:highlight w:val="none"/>
          <w:shd w:val="clear" w:color="auto" w:fill="auto"/>
          <w:lang w:val="zh-CN"/>
        </w:rPr>
        <w:t>的著作权</w:t>
      </w:r>
      <w:r>
        <w:rPr>
          <w:color w:val="auto"/>
          <w:szCs w:val="21"/>
          <w:highlight w:val="none"/>
          <w:shd w:val="clear" w:color="auto" w:fill="auto"/>
        </w:rPr>
        <w:t>和其他知识产权</w:t>
      </w:r>
      <w:r>
        <w:rPr>
          <w:color w:val="auto"/>
          <w:highlight w:val="none"/>
          <w:shd w:val="clear" w:color="auto" w:fill="auto"/>
          <w:lang w:val="zh-CN"/>
        </w:rPr>
        <w:t>的归属</w:t>
      </w:r>
      <w:r>
        <w:rPr>
          <w:rFonts w:hint="eastAsia"/>
          <w:color w:val="auto"/>
          <w:highlight w:val="none"/>
          <w:shd w:val="clear" w:color="auto" w:fill="auto"/>
          <w:lang w:val="zh-CN"/>
        </w:rPr>
        <w:t>：</w:t>
      </w:r>
      <w:sdt>
        <w:sdtPr>
          <w:rPr>
            <w:rFonts w:hint="eastAsia" w:ascii="宋体" w:hAnsi="宋体" w:eastAsia="宋体" w:cs="宋体"/>
            <w:color w:val="auto"/>
            <w:kern w:val="2"/>
            <w:sz w:val="21"/>
            <w:szCs w:val="21"/>
            <w:highlight w:val="none"/>
            <w:shd w:val="clear" w:color="auto" w:fill="auto"/>
            <w:lang w:val="zh-CN" w:eastAsia="zh-CN" w:bidi="ar-SA"/>
          </w:rPr>
          <w:alias w:val="知识产权原则上应约定归属我方"/>
          <w:tag w:val="知识产权归属"/>
          <w:id w:val="147474868"/>
          <w:placeholder>
            <w:docPart w:val="{fa4facf1-cf62-4c2d-a0cb-fc5e91dcb2ab}"/>
          </w:placeholder>
          <w:text w:multiLine="1"/>
        </w:sdtPr>
        <w:sdtEndPr>
          <w:rPr>
            <w:rFonts w:hint="eastAsia" w:ascii="Times New Roman" w:hAnsi="Times New Roman" w:eastAsia="宋体" w:cs="Times New Roman"/>
            <w:color w:val="auto"/>
            <w:kern w:val="2"/>
            <w:sz w:val="28"/>
            <w:szCs w:val="28"/>
            <w:highlight w:val="none"/>
            <w:u w:val="single"/>
            <w:shd w:val="clear" w:color="auto" w:fill="auto"/>
            <w:lang w:val="en-US" w:eastAsia="zh-CN" w:bidi="ar-SA"/>
          </w:rPr>
        </w:sdtEndPr>
        <w:sdtContent>
          <w:permStart w:id="79" w:edGrp="everyone"/>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u w:val="single"/>
              <w:shd w:val="clear" w:color="auto" w:fill="auto"/>
              <w:lang w:eastAsia="zh-CN"/>
            </w:rPr>
            <w:t>。</w:t>
          </w:r>
          <w:permEnd w:id="79"/>
        </w:sdtContent>
      </w:sdt>
    </w:p>
    <w:p w14:paraId="328D0469">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rPr>
        <w:t>关于监理</w:t>
      </w:r>
      <w:r>
        <w:rPr>
          <w:color w:val="auto"/>
          <w:szCs w:val="21"/>
          <w:highlight w:val="none"/>
          <w:shd w:val="clear" w:color="auto" w:fill="auto"/>
        </w:rPr>
        <w:t>人</w:t>
      </w:r>
      <w:r>
        <w:rPr>
          <w:rFonts w:hint="eastAsia"/>
          <w:color w:val="auto"/>
          <w:szCs w:val="21"/>
          <w:highlight w:val="none"/>
          <w:shd w:val="clear" w:color="auto" w:fill="auto"/>
        </w:rPr>
        <w:t>完成的监理</w:t>
      </w:r>
      <w:r>
        <w:rPr>
          <w:color w:val="auto"/>
          <w:szCs w:val="21"/>
          <w:highlight w:val="none"/>
          <w:shd w:val="clear" w:color="auto" w:fill="auto"/>
        </w:rPr>
        <w:t>工作成果</w:t>
      </w:r>
      <w:r>
        <w:rPr>
          <w:color w:val="auto"/>
          <w:highlight w:val="none"/>
          <w:shd w:val="clear" w:color="auto" w:fill="auto"/>
          <w:lang w:val="zh-CN"/>
        </w:rPr>
        <w:t>的使用限制的要求</w:t>
      </w:r>
      <w:r>
        <w:rPr>
          <w:rFonts w:hint="eastAsia"/>
          <w:color w:val="auto"/>
          <w:highlight w:val="none"/>
          <w:shd w:val="clear" w:color="auto" w:fill="auto"/>
          <w:lang w:val="zh-CN"/>
        </w:rPr>
        <w:t>：</w:t>
      </w:r>
      <w:permStart w:id="80" w:edGrp="everyone"/>
      <w:r>
        <w:rPr>
          <w:rFonts w:hint="eastAsia"/>
          <w:color w:val="auto"/>
          <w:szCs w:val="21"/>
          <w:highlight w:val="none"/>
          <w:u w:val="single"/>
          <w:shd w:val="clear" w:color="auto" w:fill="auto"/>
        </w:rPr>
        <w:t xml:space="preserve">            </w:t>
      </w:r>
      <w:r>
        <w:rPr>
          <w:color w:val="auto"/>
          <w:szCs w:val="21"/>
          <w:highlight w:val="none"/>
          <w:shd w:val="clear" w:color="auto" w:fill="auto"/>
          <w:lang w:val="zh-CN"/>
        </w:rPr>
        <w:t>。</w:t>
      </w:r>
      <w:permEnd w:id="80"/>
    </w:p>
    <w:p w14:paraId="7FC9C9ED">
      <w:pPr>
        <w:spacing w:line="540" w:lineRule="exact"/>
        <w:ind w:firstLine="420" w:firstLineChars="200"/>
        <w:rPr>
          <w:color w:val="auto"/>
          <w:szCs w:val="21"/>
          <w:highlight w:val="none"/>
          <w:shd w:val="clear" w:color="auto" w:fill="auto"/>
        </w:rPr>
      </w:pPr>
      <w:bookmarkStart w:id="206" w:name="_Toc13634"/>
      <w:r>
        <w:rPr>
          <w:rFonts w:hint="eastAsia" w:hAnsi="宋体" w:cs="宋体"/>
          <w:color w:val="auto"/>
          <w:kern w:val="0"/>
          <w:szCs w:val="21"/>
          <w:highlight w:val="none"/>
          <w:shd w:val="clear" w:color="auto" w:fill="auto"/>
          <w:lang w:val="zh-CN"/>
        </w:rPr>
        <w:t>经委托人的批准，监理人可单独或与他人联合出版与工程和服务有关的材料，出版应符合保密规定。</w:t>
      </w:r>
    </w:p>
    <w:p w14:paraId="26D0E315">
      <w:pPr>
        <w:pStyle w:val="6"/>
        <w:spacing w:line="540" w:lineRule="exact"/>
        <w:ind w:firstLine="137"/>
        <w:rPr>
          <w:rFonts w:ascii="Times New Roman"/>
          <w:color w:val="auto"/>
          <w:highlight w:val="none"/>
          <w:shd w:val="clear" w:color="auto" w:fill="auto"/>
        </w:rPr>
      </w:pPr>
      <w:r>
        <w:rPr>
          <w:rFonts w:ascii="Times New Roman"/>
          <w:color w:val="auto"/>
          <w:highlight w:val="none"/>
          <w:shd w:val="clear" w:color="auto" w:fill="auto"/>
        </w:rPr>
        <w:t xml:space="preserve">1.12 </w:t>
      </w:r>
      <w:r>
        <w:rPr>
          <w:rFonts w:hint="eastAsia" w:ascii="Times New Roman"/>
          <w:color w:val="auto"/>
          <w:highlight w:val="none"/>
          <w:shd w:val="clear" w:color="auto" w:fill="auto"/>
        </w:rPr>
        <w:t>委托人要求</w:t>
      </w:r>
      <w:bookmarkEnd w:id="206"/>
    </w:p>
    <w:p w14:paraId="47445D56">
      <w:pPr>
        <w:spacing w:line="540" w:lineRule="exact"/>
        <w:ind w:firstLine="420" w:firstLineChars="200"/>
        <w:rPr>
          <w:color w:val="auto"/>
          <w:highlight w:val="none"/>
          <w:shd w:val="clear" w:color="auto" w:fill="auto"/>
        </w:rPr>
      </w:pPr>
      <w:r>
        <w:rPr>
          <w:rFonts w:hint="eastAsia"/>
          <w:color w:val="auto"/>
          <w:highlight w:val="none"/>
          <w:shd w:val="clear" w:color="auto" w:fill="auto"/>
        </w:rPr>
        <w:t>替换以下内容到第1.12.1款：</w:t>
      </w:r>
    </w:p>
    <w:p w14:paraId="3B3FEB0C">
      <w:pPr>
        <w:spacing w:line="540" w:lineRule="exact"/>
        <w:ind w:firstLine="420"/>
        <w:rPr>
          <w:color w:val="auto"/>
          <w:szCs w:val="21"/>
          <w:highlight w:val="none"/>
          <w:shd w:val="clear" w:color="auto" w:fill="auto"/>
        </w:rPr>
      </w:pPr>
      <w:r>
        <w:rPr>
          <w:rFonts w:hint="eastAsia"/>
          <w:color w:val="auto"/>
          <w:szCs w:val="21"/>
          <w:highlight w:val="none"/>
          <w:shd w:val="clear" w:color="auto" w:fill="auto"/>
        </w:rPr>
        <w:t>1.12.1 监理</w:t>
      </w:r>
      <w:r>
        <w:rPr>
          <w:color w:val="auto"/>
          <w:szCs w:val="21"/>
          <w:highlight w:val="none"/>
          <w:shd w:val="clear" w:color="auto" w:fill="auto"/>
        </w:rPr>
        <w:t>人应认真阅读、复核委托人要求，</w:t>
      </w:r>
      <w:r>
        <w:rPr>
          <w:color w:val="auto"/>
          <w:highlight w:val="none"/>
          <w:shd w:val="clear" w:color="auto" w:fill="auto"/>
        </w:rPr>
        <w:t>发现错误的，应及时书面通知委托人。无论是否存在错误，委托人均有权修改委托人要求，并在修改后3日内通知</w:t>
      </w:r>
      <w:r>
        <w:rPr>
          <w:rFonts w:hint="eastAsia"/>
          <w:color w:val="auto"/>
          <w:szCs w:val="21"/>
          <w:highlight w:val="none"/>
          <w:shd w:val="clear" w:color="auto" w:fill="auto"/>
        </w:rPr>
        <w:t>监理</w:t>
      </w:r>
      <w:r>
        <w:rPr>
          <w:color w:val="auto"/>
          <w:highlight w:val="none"/>
          <w:shd w:val="clear" w:color="auto" w:fill="auto"/>
        </w:rPr>
        <w:t>人。由此</w:t>
      </w:r>
      <w:r>
        <w:rPr>
          <w:color w:val="auto"/>
          <w:szCs w:val="21"/>
          <w:highlight w:val="none"/>
          <w:shd w:val="clear" w:color="auto" w:fill="auto"/>
        </w:rPr>
        <w:t>导致</w:t>
      </w:r>
      <w:r>
        <w:rPr>
          <w:rFonts w:hint="eastAsia"/>
          <w:color w:val="auto"/>
          <w:szCs w:val="21"/>
          <w:highlight w:val="none"/>
          <w:shd w:val="clear" w:color="auto" w:fill="auto"/>
        </w:rPr>
        <w:t>监理</w:t>
      </w:r>
      <w:r>
        <w:rPr>
          <w:color w:val="auto"/>
          <w:szCs w:val="21"/>
          <w:highlight w:val="none"/>
          <w:shd w:val="clear" w:color="auto" w:fill="auto"/>
        </w:rPr>
        <w:t>人费用增加和(或)周期延误的，</w:t>
      </w:r>
      <w:r>
        <w:rPr>
          <w:rFonts w:hint="eastAsia"/>
          <w:color w:val="auto"/>
          <w:szCs w:val="21"/>
          <w:highlight w:val="none"/>
          <w:shd w:val="clear" w:color="auto" w:fill="auto"/>
        </w:rPr>
        <w:t>按第8条执行</w:t>
      </w:r>
      <w:r>
        <w:rPr>
          <w:color w:val="auto"/>
          <w:szCs w:val="21"/>
          <w:highlight w:val="none"/>
          <w:shd w:val="clear" w:color="auto" w:fill="auto"/>
        </w:rPr>
        <w:t>。</w:t>
      </w:r>
    </w:p>
    <w:p w14:paraId="4882FC3D">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增加以下内容到第1.12.3款：</w:t>
      </w:r>
    </w:p>
    <w:p w14:paraId="64D32257">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1.12.3 委托人要求采用国外规范和标准的名称：</w:t>
      </w:r>
      <w:permStart w:id="81" w:edGrp="everyone"/>
      <w:r>
        <w:rPr>
          <w:rFonts w:hint="eastAsia"/>
          <w:color w:val="auto"/>
          <w:szCs w:val="21"/>
          <w:highlight w:val="none"/>
          <w:u w:val="single"/>
          <w:shd w:val="clear" w:color="auto" w:fill="auto"/>
        </w:rPr>
        <w:t xml:space="preserve">            </w:t>
      </w:r>
      <w:r>
        <w:rPr>
          <w:color w:val="auto"/>
          <w:szCs w:val="21"/>
          <w:highlight w:val="none"/>
          <w:shd w:val="clear" w:color="auto" w:fill="auto"/>
        </w:rPr>
        <w:t>。</w:t>
      </w:r>
    </w:p>
    <w:p w14:paraId="1E980AAD">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（1）提供的时间：</w:t>
      </w:r>
      <w:r>
        <w:rPr>
          <w:rFonts w:hint="eastAsia"/>
          <w:color w:val="auto"/>
          <w:szCs w:val="21"/>
          <w:highlight w:val="none"/>
          <w:u w:val="single"/>
          <w:shd w:val="clear" w:color="auto" w:fill="auto"/>
        </w:rPr>
        <w:t xml:space="preserve">            </w:t>
      </w:r>
      <w:r>
        <w:rPr>
          <w:color w:val="auto"/>
          <w:szCs w:val="21"/>
          <w:highlight w:val="none"/>
          <w:shd w:val="clear" w:color="auto" w:fill="auto"/>
        </w:rPr>
        <w:t>。</w:t>
      </w:r>
    </w:p>
    <w:p w14:paraId="429E8B28">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（2）提供的份数：</w:t>
      </w:r>
      <w:r>
        <w:rPr>
          <w:rFonts w:hint="eastAsia"/>
          <w:color w:val="auto"/>
          <w:szCs w:val="21"/>
          <w:highlight w:val="none"/>
          <w:u w:val="single"/>
          <w:shd w:val="clear" w:color="auto" w:fill="auto"/>
        </w:rPr>
        <w:t xml:space="preserve">            </w:t>
      </w:r>
      <w:r>
        <w:rPr>
          <w:color w:val="auto"/>
          <w:szCs w:val="21"/>
          <w:highlight w:val="none"/>
          <w:shd w:val="clear" w:color="auto" w:fill="auto"/>
        </w:rPr>
        <w:t>。</w:t>
      </w:r>
    </w:p>
    <w:p w14:paraId="1F43ADA7">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（3）其他要求：</w:t>
      </w:r>
      <w:r>
        <w:rPr>
          <w:rFonts w:hint="eastAsia"/>
          <w:color w:val="auto"/>
          <w:szCs w:val="21"/>
          <w:highlight w:val="none"/>
          <w:u w:val="single"/>
          <w:shd w:val="clear" w:color="auto" w:fill="auto"/>
        </w:rPr>
        <w:t xml:space="preserve">            </w:t>
      </w:r>
      <w:r>
        <w:rPr>
          <w:color w:val="auto"/>
          <w:szCs w:val="21"/>
          <w:highlight w:val="none"/>
          <w:shd w:val="clear" w:color="auto" w:fill="auto"/>
        </w:rPr>
        <w:t>。</w:t>
      </w:r>
    </w:p>
    <w:permEnd w:id="81"/>
    <w:p w14:paraId="01C156AE">
      <w:pPr>
        <w:pStyle w:val="5"/>
        <w:spacing w:line="540" w:lineRule="exact"/>
        <w:rPr>
          <w:rFonts w:ascii="Times New Roman" w:hAnsi="Times New Roman"/>
          <w:color w:val="auto"/>
          <w:highlight w:val="none"/>
          <w:shd w:val="clear" w:color="auto" w:fill="auto"/>
        </w:rPr>
      </w:pPr>
      <w:bookmarkStart w:id="207" w:name="_Toc27906"/>
      <w:r>
        <w:rPr>
          <w:rFonts w:ascii="Times New Roman" w:hAnsi="Times New Roman"/>
          <w:color w:val="auto"/>
          <w:highlight w:val="none"/>
          <w:shd w:val="clear" w:color="auto" w:fill="auto"/>
        </w:rPr>
        <w:t>2. 委托人义务</w:t>
      </w:r>
      <w:bookmarkEnd w:id="207"/>
    </w:p>
    <w:p w14:paraId="6F2F84C1">
      <w:pPr>
        <w:pStyle w:val="6"/>
        <w:spacing w:line="540" w:lineRule="exact"/>
        <w:ind w:firstLine="137"/>
        <w:rPr>
          <w:rFonts w:ascii="Times New Roman"/>
          <w:color w:val="auto"/>
          <w:highlight w:val="none"/>
          <w:shd w:val="clear" w:color="auto" w:fill="auto"/>
        </w:rPr>
      </w:pPr>
      <w:bookmarkStart w:id="208" w:name="_Toc28182"/>
      <w:r>
        <w:rPr>
          <w:rFonts w:ascii="Times New Roman"/>
          <w:color w:val="auto"/>
          <w:highlight w:val="none"/>
          <w:shd w:val="clear" w:color="auto" w:fill="auto"/>
        </w:rPr>
        <w:t xml:space="preserve">2.6 </w:t>
      </w:r>
      <w:r>
        <w:rPr>
          <w:rFonts w:hint="eastAsia" w:ascii="Times New Roman"/>
          <w:color w:val="auto"/>
          <w:highlight w:val="none"/>
          <w:shd w:val="clear" w:color="auto" w:fill="auto"/>
        </w:rPr>
        <w:t>其他义务</w:t>
      </w:r>
      <w:bookmarkEnd w:id="208"/>
    </w:p>
    <w:p w14:paraId="390F03D6">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增加以下内容到第2.6款：</w:t>
      </w:r>
    </w:p>
    <w:p w14:paraId="3E9CE50A">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委托人对监理人的合同履约情况将进行评价，评价结果将作为监理人在南方电网公司履约评分组成部分，并应用于南方电网公司对承包商的评标。</w:t>
      </w:r>
    </w:p>
    <w:p w14:paraId="12073977">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委托人应为服务的需要，免费向监理人提供</w:t>
      </w:r>
      <w:permStart w:id="82" w:edGrp="everyone"/>
      <w:r>
        <w:rPr>
          <w:rFonts w:hint="eastAsia"/>
          <w:color w:val="auto"/>
          <w:szCs w:val="21"/>
          <w:highlight w:val="none"/>
          <w:u w:val="single"/>
          <w:shd w:val="clear" w:color="auto" w:fill="auto"/>
        </w:rPr>
        <w:t>“合同附件格式”附件</w:t>
      </w:r>
      <w:r>
        <w:rPr>
          <w:rFonts w:hint="eastAsia"/>
          <w:color w:val="auto"/>
          <w:szCs w:val="21"/>
          <w:highlight w:val="none"/>
          <w:u w:val="single"/>
          <w:shd w:val="clear" w:color="auto" w:fill="auto"/>
          <w:lang w:val="en-US" w:eastAsia="zh-CN"/>
        </w:rPr>
        <w:t>一</w:t>
      </w:r>
      <w:permEnd w:id="82"/>
      <w:r>
        <w:rPr>
          <w:rFonts w:hint="eastAsia"/>
          <w:color w:val="auto"/>
          <w:szCs w:val="21"/>
          <w:highlight w:val="none"/>
          <w:shd w:val="clear" w:color="auto" w:fill="auto"/>
        </w:rPr>
        <w:t>中规定的设备和设施。</w:t>
      </w:r>
    </w:p>
    <w:p w14:paraId="3B185F48">
      <w:pPr>
        <w:pStyle w:val="5"/>
        <w:spacing w:line="540" w:lineRule="exact"/>
        <w:rPr>
          <w:rFonts w:ascii="Times New Roman" w:hAnsi="Times New Roman"/>
          <w:color w:val="auto"/>
          <w:highlight w:val="none"/>
          <w:shd w:val="clear" w:color="auto" w:fill="auto"/>
        </w:rPr>
      </w:pPr>
      <w:bookmarkStart w:id="209" w:name="_Toc10833"/>
      <w:r>
        <w:rPr>
          <w:rFonts w:ascii="Times New Roman" w:hAnsi="Times New Roman"/>
          <w:color w:val="auto"/>
          <w:highlight w:val="none"/>
          <w:shd w:val="clear" w:color="auto" w:fill="auto"/>
        </w:rPr>
        <w:t>3. 委托人管理</w:t>
      </w:r>
      <w:bookmarkEnd w:id="209"/>
    </w:p>
    <w:p w14:paraId="7A232B7A">
      <w:pPr>
        <w:pStyle w:val="6"/>
        <w:spacing w:line="540" w:lineRule="exact"/>
        <w:ind w:firstLine="137"/>
        <w:rPr>
          <w:rFonts w:ascii="Times New Roman"/>
          <w:color w:val="auto"/>
          <w:highlight w:val="none"/>
          <w:shd w:val="clear" w:color="auto" w:fill="auto"/>
        </w:rPr>
      </w:pPr>
      <w:bookmarkStart w:id="210" w:name="_Toc19950"/>
      <w:r>
        <w:rPr>
          <w:rFonts w:ascii="Times New Roman"/>
          <w:color w:val="auto"/>
          <w:highlight w:val="none"/>
          <w:shd w:val="clear" w:color="auto" w:fill="auto"/>
        </w:rPr>
        <w:t xml:space="preserve">3.1 </w:t>
      </w:r>
      <w:r>
        <w:rPr>
          <w:rFonts w:hint="eastAsia" w:ascii="Times New Roman"/>
          <w:color w:val="auto"/>
          <w:highlight w:val="none"/>
          <w:shd w:val="clear" w:color="auto" w:fill="auto"/>
        </w:rPr>
        <w:t>委托人代表</w:t>
      </w:r>
      <w:bookmarkEnd w:id="210"/>
    </w:p>
    <w:p w14:paraId="62958E79">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增加以下内容到第3.1.1款：</w:t>
      </w:r>
    </w:p>
    <w:p w14:paraId="250E184A">
      <w:pPr>
        <w:spacing w:line="540" w:lineRule="exact"/>
        <w:ind w:firstLine="420" w:firstLineChars="200"/>
        <w:rPr>
          <w:color w:val="auto"/>
          <w:szCs w:val="21"/>
          <w:highlight w:val="none"/>
          <w:shd w:val="clear" w:color="auto" w:fill="auto"/>
        </w:rPr>
      </w:pPr>
      <w:permStart w:id="83" w:edGrp="everyone"/>
      <w:r>
        <w:rPr>
          <w:rFonts w:hint="eastAsia"/>
          <w:color w:val="auto"/>
          <w:highlight w:val="none"/>
          <w:shd w:val="clear" w:color="auto" w:fill="auto"/>
        </w:rPr>
        <w:t>委托人代表</w:t>
      </w:r>
      <w:r>
        <w:rPr>
          <w:rFonts w:hint="eastAsia"/>
          <w:color w:val="auto"/>
          <w:szCs w:val="21"/>
          <w:highlight w:val="none"/>
          <w:shd w:val="clear" w:color="auto" w:fill="auto"/>
        </w:rPr>
        <w:t>：</w:t>
      </w:r>
      <w:r>
        <w:rPr>
          <w:rFonts w:hint="eastAsia"/>
          <w:color w:val="auto"/>
          <w:szCs w:val="21"/>
          <w:highlight w:val="none"/>
          <w:u w:val="single"/>
          <w:shd w:val="clear" w:color="auto" w:fill="auto"/>
        </w:rPr>
        <w:t xml:space="preserve">            </w:t>
      </w:r>
      <w:r>
        <w:rPr>
          <w:color w:val="auto"/>
          <w:szCs w:val="21"/>
          <w:highlight w:val="none"/>
          <w:shd w:val="clear" w:color="auto" w:fill="auto"/>
        </w:rPr>
        <w:t>。</w:t>
      </w:r>
    </w:p>
    <w:p w14:paraId="31D29B88">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姓    名：</w:t>
      </w:r>
      <w:r>
        <w:rPr>
          <w:rFonts w:hint="eastAsia"/>
          <w:color w:val="auto"/>
          <w:szCs w:val="21"/>
          <w:highlight w:val="none"/>
          <w:u w:val="single"/>
          <w:shd w:val="clear" w:color="auto" w:fill="auto"/>
        </w:rPr>
        <w:t xml:space="preserve">            </w:t>
      </w:r>
      <w:r>
        <w:rPr>
          <w:color w:val="auto"/>
          <w:szCs w:val="21"/>
          <w:highlight w:val="none"/>
          <w:shd w:val="clear" w:color="auto" w:fill="auto"/>
        </w:rPr>
        <w:t>。</w:t>
      </w:r>
    </w:p>
    <w:p w14:paraId="5AEC173B">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身份证号：</w:t>
      </w:r>
      <w:r>
        <w:rPr>
          <w:rFonts w:hint="eastAsia"/>
          <w:color w:val="auto"/>
          <w:szCs w:val="21"/>
          <w:highlight w:val="none"/>
          <w:u w:val="single"/>
          <w:shd w:val="clear" w:color="auto" w:fill="auto"/>
        </w:rPr>
        <w:t xml:space="preserve">            </w:t>
      </w:r>
      <w:r>
        <w:rPr>
          <w:color w:val="auto"/>
          <w:szCs w:val="21"/>
          <w:highlight w:val="none"/>
          <w:shd w:val="clear" w:color="auto" w:fill="auto"/>
        </w:rPr>
        <w:t>。</w:t>
      </w:r>
    </w:p>
    <w:p w14:paraId="611D7FA8">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职    务：</w:t>
      </w:r>
      <w:r>
        <w:rPr>
          <w:rFonts w:hint="eastAsia"/>
          <w:color w:val="auto"/>
          <w:szCs w:val="21"/>
          <w:highlight w:val="none"/>
          <w:u w:val="single"/>
          <w:shd w:val="clear" w:color="auto" w:fill="auto"/>
        </w:rPr>
        <w:t xml:space="preserve">            </w:t>
      </w:r>
      <w:r>
        <w:rPr>
          <w:color w:val="auto"/>
          <w:szCs w:val="21"/>
          <w:highlight w:val="none"/>
          <w:shd w:val="clear" w:color="auto" w:fill="auto"/>
        </w:rPr>
        <w:t>。</w:t>
      </w:r>
    </w:p>
    <w:p w14:paraId="27299A0D">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联系电话：</w:t>
      </w:r>
      <w:r>
        <w:rPr>
          <w:rFonts w:hint="eastAsia"/>
          <w:color w:val="auto"/>
          <w:szCs w:val="21"/>
          <w:highlight w:val="none"/>
          <w:u w:val="single"/>
          <w:shd w:val="clear" w:color="auto" w:fill="auto"/>
        </w:rPr>
        <w:t xml:space="preserve">            </w:t>
      </w:r>
      <w:r>
        <w:rPr>
          <w:color w:val="auto"/>
          <w:szCs w:val="21"/>
          <w:highlight w:val="none"/>
          <w:shd w:val="clear" w:color="auto" w:fill="auto"/>
        </w:rPr>
        <w:t>。</w:t>
      </w:r>
    </w:p>
    <w:p w14:paraId="7DB60490">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电子信箱：</w:t>
      </w:r>
      <w:r>
        <w:rPr>
          <w:rFonts w:hint="eastAsia"/>
          <w:color w:val="auto"/>
          <w:szCs w:val="21"/>
          <w:highlight w:val="none"/>
          <w:u w:val="single"/>
          <w:shd w:val="clear" w:color="auto" w:fill="auto"/>
        </w:rPr>
        <w:t xml:space="preserve">            </w:t>
      </w:r>
      <w:r>
        <w:rPr>
          <w:color w:val="auto"/>
          <w:szCs w:val="21"/>
          <w:highlight w:val="none"/>
          <w:shd w:val="clear" w:color="auto" w:fill="auto"/>
        </w:rPr>
        <w:t>。</w:t>
      </w:r>
    </w:p>
    <w:p w14:paraId="57A49EBD">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通信地址：</w:t>
      </w:r>
      <w:r>
        <w:rPr>
          <w:rFonts w:hint="eastAsia"/>
          <w:color w:val="auto"/>
          <w:szCs w:val="21"/>
          <w:highlight w:val="none"/>
          <w:u w:val="single"/>
          <w:shd w:val="clear" w:color="auto" w:fill="auto"/>
        </w:rPr>
        <w:t xml:space="preserve">            </w:t>
      </w:r>
      <w:r>
        <w:rPr>
          <w:color w:val="auto"/>
          <w:szCs w:val="21"/>
          <w:highlight w:val="none"/>
          <w:shd w:val="clear" w:color="auto" w:fill="auto"/>
        </w:rPr>
        <w:t>。</w:t>
      </w:r>
    </w:p>
    <w:p w14:paraId="5A154F97">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委托人对委托人代表的授权范围如下：</w:t>
      </w:r>
      <w:r>
        <w:rPr>
          <w:rFonts w:hint="eastAsia"/>
          <w:color w:val="auto"/>
          <w:szCs w:val="21"/>
          <w:highlight w:val="none"/>
          <w:u w:val="single"/>
          <w:shd w:val="clear" w:color="auto" w:fill="auto"/>
        </w:rPr>
        <w:t xml:space="preserve">            </w:t>
      </w:r>
      <w:r>
        <w:rPr>
          <w:color w:val="auto"/>
          <w:szCs w:val="21"/>
          <w:highlight w:val="none"/>
          <w:shd w:val="clear" w:color="auto" w:fill="auto"/>
        </w:rPr>
        <w:t>。</w:t>
      </w:r>
      <w:permEnd w:id="83"/>
    </w:p>
    <w:p w14:paraId="018EDBB0">
      <w:pPr>
        <w:pStyle w:val="6"/>
        <w:spacing w:line="540" w:lineRule="exact"/>
        <w:ind w:firstLine="137"/>
        <w:rPr>
          <w:rFonts w:ascii="Times New Roman"/>
          <w:color w:val="auto"/>
          <w:highlight w:val="none"/>
          <w:shd w:val="clear" w:color="auto" w:fill="auto"/>
        </w:rPr>
      </w:pPr>
      <w:bookmarkStart w:id="211" w:name="_Toc22043"/>
      <w:r>
        <w:rPr>
          <w:rFonts w:ascii="Times New Roman"/>
          <w:color w:val="auto"/>
          <w:highlight w:val="none"/>
          <w:shd w:val="clear" w:color="auto" w:fill="auto"/>
        </w:rPr>
        <w:t>3.</w:t>
      </w:r>
      <w:r>
        <w:rPr>
          <w:rFonts w:hint="eastAsia" w:ascii="Times New Roman"/>
          <w:color w:val="auto"/>
          <w:highlight w:val="none"/>
          <w:shd w:val="clear" w:color="auto" w:fill="auto"/>
        </w:rPr>
        <w:t>3</w:t>
      </w:r>
      <w:r>
        <w:rPr>
          <w:rFonts w:ascii="Times New Roman"/>
          <w:color w:val="auto"/>
          <w:highlight w:val="none"/>
          <w:shd w:val="clear" w:color="auto" w:fill="auto"/>
        </w:rPr>
        <w:t xml:space="preserve"> </w:t>
      </w:r>
      <w:r>
        <w:rPr>
          <w:rFonts w:hint="eastAsia" w:ascii="Times New Roman"/>
          <w:color w:val="auto"/>
          <w:highlight w:val="none"/>
          <w:shd w:val="clear" w:color="auto" w:fill="auto"/>
        </w:rPr>
        <w:t>决定或答复</w:t>
      </w:r>
      <w:bookmarkEnd w:id="211"/>
    </w:p>
    <w:p w14:paraId="248E6AA7">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替换以下内容到第3.3.2款：</w:t>
      </w:r>
    </w:p>
    <w:p w14:paraId="3F1BB63F">
      <w:pPr>
        <w:spacing w:line="540" w:lineRule="exact"/>
        <w:ind w:firstLine="420" w:firstLineChars="200"/>
        <w:rPr>
          <w:color w:val="auto"/>
          <w:szCs w:val="21"/>
          <w:highlight w:val="none"/>
          <w:shd w:val="clear" w:color="auto" w:fill="auto"/>
        </w:rPr>
      </w:pPr>
      <w:r>
        <w:rPr>
          <w:color w:val="auto"/>
          <w:szCs w:val="21"/>
          <w:highlight w:val="none"/>
          <w:shd w:val="clear" w:color="auto" w:fill="auto"/>
        </w:rPr>
        <w:t>3.</w:t>
      </w:r>
      <w:r>
        <w:rPr>
          <w:rFonts w:hint="eastAsia"/>
          <w:color w:val="auto"/>
          <w:szCs w:val="21"/>
          <w:highlight w:val="none"/>
          <w:shd w:val="clear" w:color="auto" w:fill="auto"/>
        </w:rPr>
        <w:t>3</w:t>
      </w:r>
      <w:r>
        <w:rPr>
          <w:color w:val="auto"/>
          <w:szCs w:val="21"/>
          <w:highlight w:val="none"/>
          <w:shd w:val="clear" w:color="auto" w:fill="auto"/>
        </w:rPr>
        <w:t>.2 委托人应在</w:t>
      </w:r>
      <w:permStart w:id="84" w:edGrp="everyone"/>
      <w:r>
        <w:rPr>
          <w:rFonts w:hint="eastAsia"/>
          <w:color w:val="auto"/>
          <w:szCs w:val="21"/>
          <w:highlight w:val="none"/>
          <w:u w:val="single"/>
          <w:shd w:val="clear" w:color="auto" w:fill="auto"/>
          <w:lang w:val="zh-CN"/>
        </w:rPr>
        <w:t xml:space="preserve">   </w:t>
      </w:r>
      <w:r>
        <w:rPr>
          <w:color w:val="auto"/>
          <w:szCs w:val="21"/>
          <w:highlight w:val="none"/>
          <w:shd w:val="clear" w:color="auto" w:fill="auto"/>
          <w:lang w:val="zh-CN"/>
        </w:rPr>
        <w:t>天</w:t>
      </w:r>
      <w:permEnd w:id="84"/>
      <w:r>
        <w:rPr>
          <w:color w:val="auto"/>
          <w:szCs w:val="21"/>
          <w:highlight w:val="none"/>
          <w:shd w:val="clear" w:color="auto" w:fill="auto"/>
        </w:rPr>
        <w:t>内，对</w:t>
      </w:r>
      <w:r>
        <w:rPr>
          <w:rFonts w:hint="eastAsia"/>
          <w:color w:val="auto"/>
          <w:szCs w:val="21"/>
          <w:highlight w:val="none"/>
          <w:shd w:val="clear" w:color="auto" w:fill="auto"/>
        </w:rPr>
        <w:t>监理</w:t>
      </w:r>
      <w:r>
        <w:rPr>
          <w:color w:val="auto"/>
          <w:szCs w:val="21"/>
          <w:highlight w:val="none"/>
          <w:shd w:val="clear" w:color="auto" w:fill="auto"/>
        </w:rPr>
        <w:t>人书面提出的事项作出书面答复；逾期没有做出答复的，视为已获得委托人的批准。</w:t>
      </w:r>
    </w:p>
    <w:p w14:paraId="2356892F">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增加以下内容到第3款：</w:t>
      </w:r>
    </w:p>
    <w:p w14:paraId="580F69DD">
      <w:pPr>
        <w:pStyle w:val="6"/>
        <w:spacing w:line="540" w:lineRule="exact"/>
        <w:ind w:firstLine="137"/>
        <w:rPr>
          <w:rFonts w:ascii="Times New Roman"/>
          <w:color w:val="auto"/>
          <w:highlight w:val="none"/>
          <w:shd w:val="clear" w:color="auto" w:fill="auto"/>
        </w:rPr>
      </w:pPr>
      <w:bookmarkStart w:id="212" w:name="_Toc12469"/>
      <w:r>
        <w:rPr>
          <w:rFonts w:ascii="Times New Roman"/>
          <w:color w:val="auto"/>
          <w:highlight w:val="none"/>
          <w:shd w:val="clear" w:color="auto" w:fill="auto"/>
        </w:rPr>
        <w:t>3.</w:t>
      </w:r>
      <w:r>
        <w:rPr>
          <w:rFonts w:hint="eastAsia" w:ascii="Times New Roman"/>
          <w:color w:val="auto"/>
          <w:highlight w:val="none"/>
          <w:shd w:val="clear" w:color="auto" w:fill="auto"/>
        </w:rPr>
        <w:t>4</w:t>
      </w:r>
      <w:r>
        <w:rPr>
          <w:rFonts w:ascii="Times New Roman"/>
          <w:color w:val="auto"/>
          <w:highlight w:val="none"/>
          <w:shd w:val="clear" w:color="auto" w:fill="auto"/>
        </w:rPr>
        <w:t xml:space="preserve"> </w:t>
      </w:r>
      <w:r>
        <w:rPr>
          <w:rFonts w:hint="eastAsia" w:ascii="Times New Roman"/>
          <w:color w:val="auto"/>
          <w:highlight w:val="none"/>
          <w:shd w:val="clear" w:color="auto" w:fill="auto"/>
        </w:rPr>
        <w:t>其他</w:t>
      </w:r>
      <w:bookmarkEnd w:id="212"/>
    </w:p>
    <w:p w14:paraId="41C676EB">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3.4.1 如果委托人不能提供其应负责提供的委托人人员或其他人员，且双方均认为此类事项对圆满履行服务必需时，监理人应作为附加服务安排提供。</w:t>
      </w:r>
    </w:p>
    <w:p w14:paraId="39F88206">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3.4.2 遇紧急情况，委托人对监理人发出的全部或部分暂停服务或终止本合同的通如的时限可另行约定。</w:t>
      </w:r>
    </w:p>
    <w:p w14:paraId="7E7D32FD">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3.4.3 </w:t>
      </w:r>
      <w:r>
        <w:rPr>
          <w:rFonts w:hint="eastAsia" w:ascii="宋体" w:hAnsi="宋体" w:cs="宋体"/>
          <w:color w:val="auto"/>
          <w:kern w:val="0"/>
          <w:szCs w:val="21"/>
          <w:highlight w:val="none"/>
          <w:shd w:val="clear" w:color="auto" w:fill="auto"/>
          <w:lang w:val="zh-CN"/>
        </w:rPr>
        <w:t>委托人有对工程规模、设计标准、规划设计、生产工艺设计和设计使用功能要求的认定权，以及对工程设计变更的审批权。</w:t>
      </w:r>
    </w:p>
    <w:p w14:paraId="75191FC8">
      <w:pPr>
        <w:pStyle w:val="5"/>
        <w:numPr>
          <w:ilvl w:val="0"/>
          <w:numId w:val="1"/>
        </w:numPr>
        <w:spacing w:line="540" w:lineRule="exact"/>
        <w:rPr>
          <w:rFonts w:ascii="Times New Roman" w:hAnsi="Times New Roman"/>
          <w:color w:val="auto"/>
          <w:highlight w:val="none"/>
          <w:shd w:val="clear" w:color="auto" w:fill="auto"/>
        </w:rPr>
      </w:pPr>
      <w:bookmarkStart w:id="213" w:name="_Toc8951"/>
      <w:r>
        <w:rPr>
          <w:rFonts w:hint="eastAsia" w:ascii="Times New Roman" w:hAnsi="Times New Roman"/>
          <w:color w:val="auto"/>
          <w:szCs w:val="21"/>
          <w:highlight w:val="none"/>
          <w:shd w:val="clear" w:color="auto" w:fill="auto"/>
        </w:rPr>
        <w:t>监理</w:t>
      </w:r>
      <w:r>
        <w:rPr>
          <w:rFonts w:ascii="Times New Roman" w:hAnsi="Times New Roman"/>
          <w:color w:val="auto"/>
          <w:highlight w:val="none"/>
          <w:shd w:val="clear" w:color="auto" w:fill="auto"/>
        </w:rPr>
        <w:t>人义务</w:t>
      </w:r>
      <w:bookmarkEnd w:id="213"/>
    </w:p>
    <w:p w14:paraId="53F1B9F4">
      <w:pPr>
        <w:pStyle w:val="6"/>
        <w:spacing w:line="540" w:lineRule="exact"/>
        <w:ind w:firstLine="137"/>
        <w:rPr>
          <w:rFonts w:ascii="Times New Roman"/>
          <w:color w:val="auto"/>
          <w:highlight w:val="none"/>
          <w:shd w:val="clear" w:color="auto" w:fill="auto"/>
        </w:rPr>
      </w:pPr>
      <w:bookmarkStart w:id="214" w:name="_Toc29619"/>
      <w:r>
        <w:rPr>
          <w:rFonts w:ascii="Times New Roman"/>
          <w:color w:val="auto"/>
          <w:highlight w:val="none"/>
          <w:shd w:val="clear" w:color="auto" w:fill="auto"/>
        </w:rPr>
        <w:t xml:space="preserve">4.1 </w:t>
      </w:r>
      <w:r>
        <w:rPr>
          <w:rFonts w:hint="eastAsia" w:ascii="Times New Roman"/>
          <w:color w:val="auto"/>
          <w:szCs w:val="21"/>
          <w:highlight w:val="none"/>
          <w:shd w:val="clear" w:color="auto" w:fill="auto"/>
        </w:rPr>
        <w:t>监理</w:t>
      </w:r>
      <w:r>
        <w:rPr>
          <w:rFonts w:hint="eastAsia" w:ascii="Times New Roman"/>
          <w:color w:val="auto"/>
          <w:highlight w:val="none"/>
          <w:shd w:val="clear" w:color="auto" w:fill="auto"/>
        </w:rPr>
        <w:t>人的一般义务</w:t>
      </w:r>
      <w:bookmarkEnd w:id="214"/>
    </w:p>
    <w:p w14:paraId="59468CA5">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增加以下内容到第4.1.3款：</w:t>
      </w:r>
    </w:p>
    <w:p w14:paraId="6DBE06F8">
      <w:pPr>
        <w:spacing w:line="540" w:lineRule="exact"/>
        <w:ind w:firstLine="420" w:firstLineChars="200"/>
        <w:rPr>
          <w:rFonts w:ascii="宋体" w:hAnsi="宋体" w:cs="宋体"/>
          <w:color w:val="auto"/>
          <w:kern w:val="0"/>
          <w:szCs w:val="21"/>
          <w:highlight w:val="none"/>
          <w:shd w:val="clear" w:color="auto" w:fill="auto"/>
          <w:lang w:val="zh-CN"/>
        </w:rPr>
      </w:pPr>
      <w:r>
        <w:rPr>
          <w:rFonts w:hint="eastAsia"/>
          <w:color w:val="auto"/>
          <w:szCs w:val="21"/>
          <w:highlight w:val="none"/>
          <w:shd w:val="clear" w:color="auto" w:fill="auto"/>
        </w:rPr>
        <w:t>4.1.3</w:t>
      </w:r>
      <w:r>
        <w:rPr>
          <w:color w:val="auto"/>
          <w:szCs w:val="21"/>
          <w:highlight w:val="none"/>
          <w:shd w:val="clear" w:color="auto" w:fill="auto"/>
        </w:rPr>
        <w:t xml:space="preserve"> </w:t>
      </w:r>
      <w:r>
        <w:rPr>
          <w:rFonts w:hint="eastAsia" w:ascii="宋体" w:hAnsi="宋体" w:cs="宋体"/>
          <w:color w:val="auto"/>
          <w:kern w:val="0"/>
          <w:szCs w:val="21"/>
          <w:highlight w:val="none"/>
          <w:shd w:val="clear" w:color="auto" w:fill="auto"/>
          <w:lang w:val="zh-CN"/>
        </w:rPr>
        <w:t>监理人应履行与项目有关的服务。服务范围、内容和要求见</w:t>
      </w:r>
      <w:r>
        <w:rPr>
          <w:rFonts w:hint="eastAsia"/>
          <w:color w:val="auto"/>
          <w:szCs w:val="21"/>
          <w:highlight w:val="none"/>
          <w:shd w:val="clear" w:color="auto" w:fill="auto"/>
        </w:rPr>
        <w:t>“合同附件格式”附件</w:t>
      </w:r>
      <w:r>
        <w:rPr>
          <w:rFonts w:hint="eastAsia"/>
          <w:color w:val="auto"/>
          <w:szCs w:val="21"/>
          <w:highlight w:val="none"/>
          <w:shd w:val="clear" w:color="auto" w:fill="auto"/>
          <w:lang w:val="en-US" w:eastAsia="zh-CN"/>
        </w:rPr>
        <w:t>一</w:t>
      </w:r>
      <w:r>
        <w:rPr>
          <w:rFonts w:hint="eastAsia" w:ascii="宋体" w:hAnsi="宋体" w:cs="宋体"/>
          <w:color w:val="auto"/>
          <w:kern w:val="0"/>
          <w:szCs w:val="21"/>
          <w:highlight w:val="none"/>
          <w:shd w:val="clear" w:color="auto" w:fill="auto"/>
          <w:lang w:val="zh-CN"/>
        </w:rPr>
        <w:t>。</w:t>
      </w:r>
    </w:p>
    <w:p w14:paraId="3BB131A3">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增加以下内容到4.1款：</w:t>
      </w:r>
    </w:p>
    <w:p w14:paraId="01DC949A">
      <w:pPr>
        <w:spacing w:line="540" w:lineRule="exact"/>
        <w:ind w:firstLine="422" w:firstLineChars="200"/>
        <w:rPr>
          <w:b/>
          <w:color w:val="auto"/>
          <w:highlight w:val="none"/>
          <w:shd w:val="clear" w:color="auto" w:fill="auto"/>
        </w:rPr>
      </w:pPr>
      <w:r>
        <w:rPr>
          <w:rFonts w:hint="eastAsia"/>
          <w:b/>
          <w:color w:val="auto"/>
          <w:highlight w:val="none"/>
          <w:shd w:val="clear" w:color="auto" w:fill="auto"/>
        </w:rPr>
        <w:t xml:space="preserve">4.1.5 </w:t>
      </w:r>
      <w:r>
        <w:rPr>
          <w:b/>
          <w:color w:val="auto"/>
          <w:highlight w:val="none"/>
          <w:shd w:val="clear" w:color="auto" w:fill="auto"/>
        </w:rPr>
        <w:t>正常、附加和额外的服务</w:t>
      </w:r>
    </w:p>
    <w:p w14:paraId="3701504B">
      <w:pPr>
        <w:spacing w:line="540" w:lineRule="exact"/>
        <w:ind w:firstLine="420" w:firstLineChars="200"/>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（1）正常服务系指</w:t>
      </w:r>
      <w:r>
        <w:rPr>
          <w:rFonts w:hint="eastAsia"/>
          <w:color w:val="auto"/>
          <w:szCs w:val="21"/>
          <w:highlight w:val="none"/>
          <w:shd w:val="clear" w:color="auto" w:fill="auto"/>
        </w:rPr>
        <w:t>“合同附件格式”附件</w:t>
      </w:r>
      <w:r>
        <w:rPr>
          <w:rFonts w:hint="eastAsia"/>
          <w:color w:val="auto"/>
          <w:szCs w:val="21"/>
          <w:highlight w:val="none"/>
          <w:shd w:val="clear" w:color="auto" w:fill="auto"/>
          <w:lang w:val="en-US" w:eastAsia="zh-CN"/>
        </w:rPr>
        <w:t>一</w:t>
      </w:r>
      <w:r>
        <w:rPr>
          <w:rFonts w:hint="eastAsia" w:ascii="宋体" w:hAnsi="宋体" w:cs="宋体"/>
          <w:color w:val="auto"/>
          <w:kern w:val="0"/>
          <w:szCs w:val="21"/>
          <w:highlight w:val="none"/>
          <w:shd w:val="clear" w:color="auto" w:fill="auto"/>
          <w:lang w:val="zh-CN"/>
        </w:rPr>
        <w:t>中描述的此类服务。</w:t>
      </w:r>
    </w:p>
    <w:p w14:paraId="2D3AB533">
      <w:pPr>
        <w:spacing w:line="540" w:lineRule="exact"/>
        <w:ind w:firstLine="420" w:firstLineChars="200"/>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（2）附加服务</w:t>
      </w:r>
    </w:p>
    <w:p w14:paraId="2D5A4AA1">
      <w:pPr>
        <w:spacing w:line="540" w:lineRule="exact"/>
        <w:ind w:firstLine="420" w:firstLineChars="200"/>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lang w:val="zh-CN"/>
        </w:rPr>
        <w:t>①</w:t>
      </w:r>
      <w:r>
        <w:rPr>
          <w:rFonts w:hint="eastAsia" w:ascii="宋体" w:hAnsi="宋体" w:cs="宋体"/>
          <w:color w:val="auto"/>
          <w:kern w:val="0"/>
          <w:szCs w:val="21"/>
          <w:highlight w:val="none"/>
          <w:shd w:val="clear" w:color="auto" w:fill="auto"/>
        </w:rPr>
        <w:t>附加服务系指</w:t>
      </w:r>
      <w:r>
        <w:rPr>
          <w:rFonts w:hint="eastAsia"/>
          <w:color w:val="auto"/>
          <w:szCs w:val="21"/>
          <w:highlight w:val="none"/>
          <w:shd w:val="clear" w:color="auto" w:fill="auto"/>
        </w:rPr>
        <w:t>“合同附件格式”附件</w:t>
      </w:r>
      <w:r>
        <w:rPr>
          <w:rFonts w:hint="eastAsia"/>
          <w:color w:val="auto"/>
          <w:szCs w:val="21"/>
          <w:highlight w:val="none"/>
          <w:shd w:val="clear" w:color="auto" w:fill="auto"/>
          <w:lang w:val="en-US" w:eastAsia="zh-CN"/>
        </w:rPr>
        <w:t>一</w:t>
      </w:r>
      <w:r>
        <w:rPr>
          <w:rFonts w:hint="eastAsia" w:ascii="宋体" w:hAnsi="宋体" w:cs="宋体"/>
          <w:color w:val="auto"/>
          <w:kern w:val="0"/>
          <w:szCs w:val="21"/>
          <w:highlight w:val="none"/>
          <w:shd w:val="clear" w:color="auto" w:fill="auto"/>
        </w:rPr>
        <w:t>中描述的此类服务，或双方书面协议在正常服务之外附加的服务内容；</w:t>
      </w:r>
    </w:p>
    <w:p w14:paraId="659A00DB">
      <w:pPr>
        <w:spacing w:line="540" w:lineRule="exact"/>
        <w:ind w:firstLine="420" w:firstLineChars="200"/>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②</w:t>
      </w:r>
      <w:r>
        <w:rPr>
          <w:rFonts w:hint="eastAsia" w:ascii="宋体" w:hAnsi="宋体" w:cs="宋体"/>
          <w:color w:val="auto"/>
          <w:kern w:val="0"/>
          <w:szCs w:val="21"/>
          <w:highlight w:val="none"/>
          <w:shd w:val="clear" w:color="auto" w:fill="auto"/>
        </w:rPr>
        <w:t>由于委托人或其他非监理人原因，使监理工作受到阻碍或延误，因增加工作量或持续时间而增加的服务。</w:t>
      </w:r>
    </w:p>
    <w:p w14:paraId="1679D70A">
      <w:pPr>
        <w:spacing w:line="540" w:lineRule="exact"/>
        <w:ind w:firstLine="420" w:firstLineChars="200"/>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额外服务系指既不是正常的也不是附加的服务，而是按照约定必须由监理人履行的服务：当以下第（a）款所述情况发生时，或撤销或暂停或恢复服务时，或并不是根据以下第（b）款终止本合同时，除正常的或附加的服务之外，监理人需做的任何工作或支出的费用，应被视为额外的服务。履行额外服务使监理人有权得到所需的额外时间和为履行它们的付款。</w:t>
      </w:r>
    </w:p>
    <w:p w14:paraId="1FB474B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（a）情况的改变</w:t>
      </w:r>
    </w:p>
    <w:p w14:paraId="35F2B14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如果出现按照本合同监理人不应负责的情况，以及该情况使监理人不能负责或不能履行全部或部分服务时，应立即通知委托人。</w:t>
      </w:r>
    </w:p>
    <w:p w14:paraId="1070650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在此情况下，如果不得不暂停某些服务时，则该类服务的完成期限应予以延长，直到此种情况不再持续。还应加上不超过42天的合理期限用于恢复服务。</w:t>
      </w:r>
    </w:p>
    <w:p w14:paraId="3D45E7DF">
      <w:pPr>
        <w:spacing w:line="540" w:lineRule="exact"/>
        <w:ind w:firstLine="420" w:firstLineChars="200"/>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如果履行某些服务的速度不得不减慢，则该类服务的完成期限由于此种情况必须给予延长。</w:t>
      </w:r>
    </w:p>
    <w:p w14:paraId="723993FB">
      <w:pPr>
        <w:spacing w:line="540" w:lineRule="exact"/>
        <w:ind w:firstLine="420" w:firstLineChars="200"/>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（b）如委托人认为监理人无正当理由而未履行其义务时，可通知监理人，说明发出该通知的原委。若委托人在</w:t>
      </w:r>
      <w:r>
        <w:rPr>
          <w:rFonts w:ascii="宋体" w:hAnsi="宋体" w:cs="宋体"/>
          <w:color w:val="auto"/>
          <w:kern w:val="0"/>
          <w:szCs w:val="21"/>
          <w:highlight w:val="none"/>
          <w:shd w:val="clear" w:color="auto" w:fill="auto"/>
          <w:lang w:val="zh-CN"/>
        </w:rPr>
        <w:t>21</w:t>
      </w:r>
      <w:r>
        <w:rPr>
          <w:rFonts w:hint="eastAsia" w:ascii="宋体" w:hAnsi="宋体" w:cs="宋体"/>
          <w:color w:val="auto"/>
          <w:kern w:val="0"/>
          <w:szCs w:val="21"/>
          <w:highlight w:val="none"/>
          <w:shd w:val="clear" w:color="auto" w:fill="auto"/>
          <w:lang w:val="zh-CN"/>
        </w:rPr>
        <w:t>日内没有收到满意的答复，可发出进一步的通知，终止本合同，但该通知应在委托人第一个通知发出后</w:t>
      </w:r>
      <w:r>
        <w:rPr>
          <w:rFonts w:ascii="宋体" w:hAnsi="宋体" w:cs="宋体"/>
          <w:color w:val="auto"/>
          <w:kern w:val="0"/>
          <w:szCs w:val="21"/>
          <w:highlight w:val="none"/>
          <w:shd w:val="clear" w:color="auto" w:fill="auto"/>
          <w:lang w:val="zh-CN"/>
        </w:rPr>
        <w:t>35</w:t>
      </w:r>
      <w:r>
        <w:rPr>
          <w:rFonts w:hint="eastAsia" w:ascii="宋体" w:hAnsi="宋体" w:cs="宋体"/>
          <w:color w:val="auto"/>
          <w:kern w:val="0"/>
          <w:szCs w:val="21"/>
          <w:highlight w:val="none"/>
          <w:shd w:val="clear" w:color="auto" w:fill="auto"/>
          <w:lang w:val="zh-CN"/>
        </w:rPr>
        <w:t>日内发出。</w:t>
      </w:r>
    </w:p>
    <w:p w14:paraId="27C15F0C">
      <w:pPr>
        <w:spacing w:line="540" w:lineRule="exact"/>
        <w:ind w:firstLine="422" w:firstLineChars="200"/>
        <w:rPr>
          <w:rFonts w:ascii="宋体" w:hAnsi="宋体" w:cs="宋体"/>
          <w:color w:val="auto"/>
          <w:kern w:val="0"/>
          <w:szCs w:val="21"/>
          <w:highlight w:val="none"/>
          <w:shd w:val="clear" w:color="auto" w:fill="auto"/>
          <w:lang w:val="zh-CN"/>
        </w:rPr>
      </w:pPr>
      <w:r>
        <w:rPr>
          <w:rFonts w:hint="eastAsia"/>
          <w:b/>
          <w:color w:val="auto"/>
          <w:highlight w:val="none"/>
          <w:shd w:val="clear" w:color="auto" w:fill="auto"/>
        </w:rPr>
        <w:t xml:space="preserve">4.1.6 </w:t>
      </w:r>
      <w:r>
        <w:rPr>
          <w:b/>
          <w:color w:val="auto"/>
          <w:highlight w:val="none"/>
          <w:shd w:val="clear" w:color="auto" w:fill="auto"/>
        </w:rPr>
        <w:t>认真地尽职和行使职权</w:t>
      </w:r>
    </w:p>
    <w:p w14:paraId="3BF695B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（1）监理人在根据本合同履行其义务时，应运用合理的技能，谨慎而勤奋地工作。</w:t>
      </w:r>
    </w:p>
    <w:p w14:paraId="4D1E0E5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（2）当服务包括根据委托人与任何第三方签订的合同条款的授权或要求行使权利或履行职责时，监理人应：</w:t>
      </w:r>
    </w:p>
    <w:p w14:paraId="2A3810E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lang w:val="zh-CN"/>
        </w:rPr>
        <w:t>①根据委托人和第三方签订的合同进行工作，如果未在监理合同中对该权利和职责的详细加以说明，则补充的详细规定监理人必须接受。</w:t>
      </w:r>
    </w:p>
    <w:p w14:paraId="3E0BA0F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②如果委托人授权，可在委托人和第三方之间公正地证明、决定或行使自己的处理权。但不作为仲裁人而是根据自己的技能和判断，作为独立的专业人员进行工作。</w:t>
      </w:r>
    </w:p>
    <w:p w14:paraId="7F55861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③如果委托人授权，可变更任何第三方的义务。但对于可能对费用或质量或时间有重大影响的任何变更，须从委托人处得到事先批准（除非发生任何紧急情况，此时监理人应尽可能快地通知委托人）。要求须从委托人处得到事先批准的变更的详细规定，有时在委托人与第三方的合同中加以说明。</w:t>
      </w:r>
    </w:p>
    <w:p w14:paraId="2E166E9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④监理人的任何成员不得与第三方有任何直接的经济合作关系。</w:t>
      </w:r>
    </w:p>
    <w:p w14:paraId="2123116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⑤监理人应通过提供的服务使委托人尽可能免除受到任何第三方要求索赔、补偿而造成损失。</w:t>
      </w:r>
    </w:p>
    <w:p w14:paraId="54F5BB3C">
      <w:pPr>
        <w:spacing w:line="540" w:lineRule="exact"/>
        <w:ind w:firstLine="422" w:firstLineChars="200"/>
        <w:rPr>
          <w:b/>
          <w:color w:val="auto"/>
          <w:highlight w:val="none"/>
          <w:shd w:val="clear" w:color="auto" w:fill="auto"/>
        </w:rPr>
      </w:pPr>
      <w:r>
        <w:rPr>
          <w:rFonts w:hint="eastAsia"/>
          <w:b/>
          <w:color w:val="auto"/>
          <w:highlight w:val="none"/>
          <w:shd w:val="clear" w:color="auto" w:fill="auto"/>
        </w:rPr>
        <w:t>4.1.7 委托人的财产</w:t>
      </w:r>
    </w:p>
    <w:p w14:paraId="6DAD2DC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所有由委托人提供或支付费用，供监理人使用的物品均属于委托人的财产，实际可行时都应加以标记。当服务完成或终止时，监理人应将履行服务中未使用的剩余物品清单交给委托人，并按委托人的指示移交此类物品。此类移交应视为附加服务。</w:t>
      </w:r>
    </w:p>
    <w:p w14:paraId="2A722275">
      <w:pPr>
        <w:spacing w:line="540" w:lineRule="exact"/>
        <w:ind w:firstLine="422" w:firstLineChars="200"/>
        <w:rPr>
          <w:b/>
          <w:color w:val="auto"/>
          <w:highlight w:val="none"/>
          <w:shd w:val="clear" w:color="auto" w:fill="auto"/>
        </w:rPr>
      </w:pPr>
      <w:r>
        <w:rPr>
          <w:rFonts w:hint="eastAsia"/>
          <w:b/>
          <w:color w:val="auto"/>
          <w:highlight w:val="none"/>
          <w:shd w:val="clear" w:color="auto" w:fill="auto"/>
        </w:rPr>
        <w:t>4.1.8 资源配置</w:t>
      </w:r>
    </w:p>
    <w:p w14:paraId="5D057ABC">
      <w:pPr>
        <w:spacing w:line="540" w:lineRule="exact"/>
        <w:ind w:firstLine="420" w:firstLineChars="200"/>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监理人需为本项目现场服务配置必要的资源，详见</w:t>
      </w:r>
      <w:r>
        <w:rPr>
          <w:rFonts w:hint="eastAsia"/>
          <w:color w:val="auto"/>
          <w:szCs w:val="21"/>
          <w:highlight w:val="none"/>
          <w:shd w:val="clear" w:color="auto" w:fill="auto"/>
        </w:rPr>
        <w:t>“合同附件格式”</w:t>
      </w:r>
      <w:r>
        <w:rPr>
          <w:rFonts w:hint="eastAsia" w:ascii="宋体" w:hAnsi="宋体" w:cs="宋体"/>
          <w:color w:val="auto"/>
          <w:kern w:val="0"/>
          <w:szCs w:val="21"/>
          <w:highlight w:val="none"/>
          <w:shd w:val="clear" w:color="auto" w:fill="auto"/>
        </w:rPr>
        <w:t>附件</w:t>
      </w:r>
      <w:r>
        <w:rPr>
          <w:rFonts w:hint="eastAsia" w:ascii="宋体" w:hAnsi="宋体" w:cs="宋体"/>
          <w:color w:val="auto"/>
          <w:kern w:val="0"/>
          <w:szCs w:val="21"/>
          <w:highlight w:val="none"/>
          <w:shd w:val="clear" w:color="auto" w:fill="auto"/>
          <w:lang w:val="en-US" w:eastAsia="zh-CN"/>
        </w:rPr>
        <w:t>一</w:t>
      </w:r>
      <w:r>
        <w:rPr>
          <w:rFonts w:hint="eastAsia" w:ascii="宋体" w:hAnsi="宋体" w:cs="宋体"/>
          <w:color w:val="auto"/>
          <w:kern w:val="0"/>
          <w:szCs w:val="21"/>
          <w:highlight w:val="none"/>
          <w:shd w:val="clear" w:color="auto" w:fill="auto"/>
        </w:rPr>
        <w:t>和附件四的要求。</w:t>
      </w:r>
    </w:p>
    <w:p w14:paraId="1EC24D76">
      <w:pPr>
        <w:spacing w:line="540" w:lineRule="exact"/>
        <w:ind w:firstLine="420" w:firstLineChars="200"/>
        <w:rPr>
          <w:bCs/>
          <w:color w:val="auto"/>
          <w:highlight w:val="none"/>
          <w:shd w:val="clear" w:color="auto" w:fill="auto"/>
        </w:rPr>
      </w:pPr>
      <w:r>
        <w:rPr>
          <w:rFonts w:hint="eastAsia"/>
          <w:bCs/>
          <w:color w:val="auto"/>
          <w:highlight w:val="none"/>
          <w:shd w:val="clear" w:color="auto" w:fill="auto"/>
        </w:rPr>
        <w:t xml:space="preserve">4.1.9 </w:t>
      </w:r>
      <w:r>
        <w:rPr>
          <w:rFonts w:hint="eastAsia"/>
          <w:bCs/>
          <w:color w:val="auto"/>
          <w:highlight w:val="none"/>
          <w:shd w:val="clear" w:color="auto" w:fill="auto"/>
          <w:lang w:val="zh-CN"/>
        </w:rPr>
        <w:t>监理人在履行服务工作时，应执行南</w:t>
      </w:r>
      <w:r>
        <w:rPr>
          <w:rFonts w:hint="eastAsia"/>
          <w:bCs/>
          <w:color w:val="auto"/>
          <w:highlight w:val="none"/>
          <w:shd w:val="clear" w:color="auto" w:fill="auto"/>
          <w:lang w:val="en-US" w:eastAsia="zh-CN"/>
        </w:rPr>
        <w:t>方电</w:t>
      </w:r>
      <w:r>
        <w:rPr>
          <w:rFonts w:hint="eastAsia"/>
          <w:bCs/>
          <w:color w:val="auto"/>
          <w:highlight w:val="none"/>
          <w:shd w:val="clear" w:color="auto" w:fill="auto"/>
          <w:lang w:val="zh-CN"/>
        </w:rPr>
        <w:t>网</w:t>
      </w:r>
      <w:r>
        <w:rPr>
          <w:rFonts w:hint="eastAsia"/>
          <w:bCs/>
          <w:color w:val="auto"/>
          <w:highlight w:val="none"/>
          <w:shd w:val="clear" w:color="auto" w:fill="auto"/>
        </w:rPr>
        <w:t>管理规范和技术（规范）标准</w:t>
      </w:r>
      <w:r>
        <w:rPr>
          <w:rFonts w:hint="eastAsia"/>
          <w:bCs/>
          <w:color w:val="auto"/>
          <w:highlight w:val="none"/>
          <w:shd w:val="clear" w:color="auto" w:fill="auto"/>
          <w:lang w:val="zh-CN"/>
        </w:rPr>
        <w:t>，详见</w:t>
      </w:r>
      <w:r>
        <w:rPr>
          <w:rFonts w:hint="eastAsia"/>
          <w:bCs/>
          <w:color w:val="auto"/>
          <w:szCs w:val="21"/>
          <w:highlight w:val="none"/>
          <w:shd w:val="clear" w:color="auto" w:fill="auto"/>
        </w:rPr>
        <w:t>“合同附件格式”</w:t>
      </w:r>
      <w:r>
        <w:rPr>
          <w:rFonts w:hint="eastAsia" w:ascii="宋体" w:hAnsi="宋体" w:cs="宋体"/>
          <w:bCs/>
          <w:color w:val="auto"/>
          <w:kern w:val="0"/>
          <w:szCs w:val="21"/>
          <w:highlight w:val="none"/>
          <w:shd w:val="clear" w:color="auto" w:fill="auto"/>
        </w:rPr>
        <w:t>附件十</w:t>
      </w:r>
      <w:r>
        <w:rPr>
          <w:rFonts w:hint="eastAsia"/>
          <w:bCs/>
          <w:color w:val="auto"/>
          <w:highlight w:val="none"/>
          <w:shd w:val="clear" w:color="auto" w:fill="auto"/>
          <w:lang w:val="zh-CN"/>
        </w:rPr>
        <w:t>。</w:t>
      </w:r>
    </w:p>
    <w:p w14:paraId="217C3635">
      <w:pPr>
        <w:pStyle w:val="6"/>
        <w:spacing w:line="540" w:lineRule="exact"/>
        <w:ind w:firstLine="137"/>
        <w:rPr>
          <w:rFonts w:ascii="Times New Roman"/>
          <w:color w:val="auto"/>
          <w:highlight w:val="none"/>
          <w:shd w:val="clear" w:color="auto" w:fill="auto"/>
        </w:rPr>
      </w:pPr>
      <w:bookmarkStart w:id="215" w:name="_Toc16875"/>
      <w:r>
        <w:rPr>
          <w:rFonts w:ascii="Times New Roman"/>
          <w:color w:val="auto"/>
          <w:highlight w:val="none"/>
          <w:shd w:val="clear" w:color="auto" w:fill="auto"/>
        </w:rPr>
        <w:t xml:space="preserve">4.2 </w:t>
      </w:r>
      <w:r>
        <w:rPr>
          <w:rFonts w:hint="eastAsia" w:ascii="Times New Roman"/>
          <w:color w:val="auto"/>
          <w:highlight w:val="none"/>
          <w:shd w:val="clear" w:color="auto" w:fill="auto"/>
        </w:rPr>
        <w:t>履约保证金</w:t>
      </w:r>
      <w:bookmarkEnd w:id="215"/>
    </w:p>
    <w:p w14:paraId="3FE66DD6">
      <w:pPr>
        <w:spacing w:line="540" w:lineRule="exact"/>
        <w:ind w:firstLine="420" w:firstLineChars="200"/>
        <w:rPr>
          <w:color w:val="auto"/>
          <w:highlight w:val="none"/>
          <w:shd w:val="clear" w:color="auto" w:fill="auto"/>
        </w:rPr>
      </w:pPr>
      <w:r>
        <w:rPr>
          <w:rFonts w:hint="eastAsia"/>
          <w:color w:val="auto"/>
          <w:highlight w:val="none"/>
          <w:shd w:val="clear" w:color="auto" w:fill="auto"/>
        </w:rPr>
        <w:t>替换以下内容到第4.2款：</w:t>
      </w:r>
    </w:p>
    <w:p w14:paraId="3E4FB470">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监理</w:t>
      </w:r>
      <w:r>
        <w:rPr>
          <w:color w:val="auto"/>
          <w:szCs w:val="21"/>
          <w:highlight w:val="none"/>
          <w:shd w:val="clear" w:color="auto" w:fill="auto"/>
        </w:rPr>
        <w:t>人</w:t>
      </w:r>
      <w:r>
        <w:rPr>
          <w:rFonts w:hint="eastAsia"/>
          <w:color w:val="auto"/>
          <w:szCs w:val="21"/>
          <w:highlight w:val="none"/>
          <w:shd w:val="clear" w:color="auto" w:fill="auto"/>
        </w:rPr>
        <w:t>在合同签订后</w:t>
      </w:r>
      <w:r>
        <w:rPr>
          <w:rFonts w:hint="eastAsia"/>
          <w:color w:val="auto"/>
          <w:szCs w:val="21"/>
          <w:highlight w:val="none"/>
          <w:u w:val="single"/>
          <w:shd w:val="clear" w:color="auto" w:fill="auto"/>
        </w:rPr>
        <w:t>28</w:t>
      </w:r>
      <w:r>
        <w:rPr>
          <w:rFonts w:hint="eastAsia"/>
          <w:color w:val="auto"/>
          <w:szCs w:val="21"/>
          <w:highlight w:val="none"/>
          <w:shd w:val="clear" w:color="auto" w:fill="auto"/>
        </w:rPr>
        <w:t>日内按照合同价的</w:t>
      </w:r>
      <w:r>
        <w:rPr>
          <w:rFonts w:hint="eastAsia"/>
          <w:color w:val="auto"/>
          <w:szCs w:val="21"/>
          <w:highlight w:val="none"/>
          <w:u w:val="single"/>
          <w:shd w:val="clear" w:color="auto" w:fill="auto"/>
        </w:rPr>
        <w:t>10%</w:t>
      </w:r>
      <w:r>
        <w:rPr>
          <w:rFonts w:hint="eastAsia"/>
          <w:color w:val="auto"/>
          <w:szCs w:val="21"/>
          <w:highlight w:val="none"/>
          <w:shd w:val="clear" w:color="auto" w:fill="auto"/>
        </w:rPr>
        <w:t>向发包人提交履约担保。</w:t>
      </w:r>
      <w:r>
        <w:rPr>
          <w:color w:val="auto"/>
          <w:szCs w:val="21"/>
          <w:highlight w:val="none"/>
          <w:shd w:val="clear" w:color="auto" w:fill="auto"/>
        </w:rPr>
        <w:t>履约</w:t>
      </w:r>
      <w:r>
        <w:rPr>
          <w:rFonts w:hint="eastAsia"/>
          <w:color w:val="auto"/>
          <w:szCs w:val="21"/>
          <w:highlight w:val="none"/>
          <w:shd w:val="clear" w:color="auto" w:fill="auto"/>
          <w:lang w:val="en-US" w:eastAsia="zh-CN"/>
        </w:rPr>
        <w:t>担保</w:t>
      </w:r>
      <w:r>
        <w:rPr>
          <w:color w:val="auto"/>
          <w:szCs w:val="21"/>
          <w:highlight w:val="none"/>
          <w:shd w:val="clear" w:color="auto" w:fill="auto"/>
        </w:rPr>
        <w:t>自</w:t>
      </w:r>
      <w:r>
        <w:rPr>
          <w:rFonts w:hint="eastAsia"/>
          <w:color w:val="auto"/>
          <w:szCs w:val="21"/>
          <w:highlight w:val="none"/>
          <w:shd w:val="clear" w:color="auto" w:fill="auto"/>
          <w:lang w:val="en-US" w:eastAsia="zh-CN"/>
        </w:rPr>
        <w:t>合同生效</w:t>
      </w:r>
      <w:r>
        <w:rPr>
          <w:color w:val="auto"/>
          <w:szCs w:val="21"/>
          <w:highlight w:val="none"/>
          <w:shd w:val="clear" w:color="auto" w:fill="auto"/>
        </w:rPr>
        <w:t>之日起生效，</w:t>
      </w:r>
      <w:r>
        <w:rPr>
          <w:rFonts w:hint="eastAsia"/>
          <w:color w:val="auto"/>
          <w:szCs w:val="21"/>
          <w:highlight w:val="none"/>
          <w:shd w:val="clear" w:color="auto" w:fill="auto"/>
        </w:rPr>
        <w:t>在工程接收证书颁发</w:t>
      </w:r>
      <w:r>
        <w:rPr>
          <w:color w:val="auto"/>
          <w:szCs w:val="21"/>
          <w:highlight w:val="none"/>
          <w:shd w:val="clear" w:color="auto" w:fill="auto"/>
        </w:rPr>
        <w:t>之日起28日后失效。如果</w:t>
      </w:r>
      <w:r>
        <w:rPr>
          <w:rFonts w:hint="eastAsia"/>
          <w:color w:val="auto"/>
          <w:szCs w:val="21"/>
          <w:highlight w:val="none"/>
          <w:shd w:val="clear" w:color="auto" w:fill="auto"/>
        </w:rPr>
        <w:t>监理</w:t>
      </w:r>
      <w:r>
        <w:rPr>
          <w:color w:val="auto"/>
          <w:szCs w:val="21"/>
          <w:highlight w:val="none"/>
          <w:shd w:val="clear" w:color="auto" w:fill="auto"/>
        </w:rPr>
        <w:t>人不履行合同约定的义务或其履行不符合合同的约定，委托人有权扣划相应金额的履约保证金。</w:t>
      </w:r>
    </w:p>
    <w:p w14:paraId="1196D5BF">
      <w:pPr>
        <w:pStyle w:val="6"/>
        <w:spacing w:line="540" w:lineRule="exact"/>
        <w:ind w:firstLine="137"/>
        <w:rPr>
          <w:rFonts w:ascii="Times New Roman"/>
          <w:color w:val="auto"/>
          <w:highlight w:val="none"/>
          <w:shd w:val="clear" w:color="auto" w:fill="auto"/>
        </w:rPr>
      </w:pPr>
      <w:bookmarkStart w:id="216" w:name="_Toc12587"/>
      <w:r>
        <w:rPr>
          <w:rFonts w:ascii="Times New Roman"/>
          <w:color w:val="auto"/>
          <w:highlight w:val="none"/>
          <w:shd w:val="clear" w:color="auto" w:fill="auto"/>
        </w:rPr>
        <w:t>4.</w:t>
      </w:r>
      <w:r>
        <w:rPr>
          <w:rFonts w:hint="eastAsia" w:ascii="Times New Roman"/>
          <w:color w:val="auto"/>
          <w:highlight w:val="none"/>
          <w:shd w:val="clear" w:color="auto" w:fill="auto"/>
        </w:rPr>
        <w:t>4</w:t>
      </w:r>
      <w:r>
        <w:rPr>
          <w:rFonts w:ascii="Times New Roman"/>
          <w:color w:val="auto"/>
          <w:highlight w:val="none"/>
          <w:shd w:val="clear" w:color="auto" w:fill="auto"/>
        </w:rPr>
        <w:t xml:space="preserve"> </w:t>
      </w:r>
      <w:r>
        <w:rPr>
          <w:rFonts w:hint="eastAsia" w:ascii="Times New Roman"/>
          <w:color w:val="auto"/>
          <w:highlight w:val="none"/>
          <w:shd w:val="clear" w:color="auto" w:fill="auto"/>
        </w:rPr>
        <w:t>总监理工程师</w:t>
      </w:r>
      <w:bookmarkEnd w:id="216"/>
    </w:p>
    <w:p w14:paraId="37F1CC44">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增加以下内容到第4.4.1款：</w:t>
      </w:r>
    </w:p>
    <w:p w14:paraId="0286E423">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lang w:val="zh-CN"/>
        </w:rPr>
        <w:t>（1）</w:t>
      </w:r>
      <w:r>
        <w:rPr>
          <w:color w:val="auto"/>
          <w:szCs w:val="21"/>
          <w:highlight w:val="none"/>
          <w:shd w:val="clear" w:color="auto" w:fill="auto"/>
          <w:lang w:val="zh-CN"/>
        </w:rPr>
        <w:t>总监理工程师：</w:t>
      </w:r>
    </w:p>
    <w:p w14:paraId="3FC8A7A8">
      <w:pPr>
        <w:spacing w:line="540" w:lineRule="exact"/>
        <w:ind w:firstLine="420" w:firstLineChars="200"/>
        <w:rPr>
          <w:color w:val="auto"/>
          <w:szCs w:val="21"/>
          <w:highlight w:val="none"/>
          <w:shd w:val="clear" w:color="auto" w:fill="auto"/>
          <w:lang w:val="zh-CN"/>
        </w:rPr>
      </w:pPr>
      <w:permStart w:id="85" w:edGrp="everyone"/>
      <w:r>
        <w:rPr>
          <w:color w:val="auto"/>
          <w:szCs w:val="21"/>
          <w:highlight w:val="none"/>
          <w:shd w:val="clear" w:color="auto" w:fill="auto"/>
          <w:lang w:val="zh-CN"/>
        </w:rPr>
        <w:t>姓    名：</w:t>
      </w:r>
      <w:r>
        <w:rPr>
          <w:rFonts w:hint="eastAsia"/>
          <w:color w:val="auto"/>
          <w:szCs w:val="21"/>
          <w:highlight w:val="none"/>
          <w:u w:val="single"/>
          <w:shd w:val="clear" w:color="auto" w:fill="auto"/>
        </w:rPr>
        <w:t xml:space="preserve">            </w:t>
      </w:r>
      <w:r>
        <w:rPr>
          <w:color w:val="auto"/>
          <w:szCs w:val="21"/>
          <w:highlight w:val="none"/>
          <w:shd w:val="clear" w:color="auto" w:fill="auto"/>
        </w:rPr>
        <w:t>。</w:t>
      </w:r>
    </w:p>
    <w:p w14:paraId="323E33CF">
      <w:pPr>
        <w:spacing w:line="540" w:lineRule="exact"/>
        <w:ind w:firstLine="420" w:firstLineChars="200"/>
        <w:rPr>
          <w:color w:val="auto"/>
          <w:szCs w:val="21"/>
          <w:highlight w:val="none"/>
          <w:shd w:val="clear" w:color="auto" w:fill="auto"/>
          <w:lang w:val="zh-CN"/>
        </w:rPr>
      </w:pPr>
      <w:r>
        <w:rPr>
          <w:color w:val="auto"/>
          <w:szCs w:val="21"/>
          <w:highlight w:val="none"/>
          <w:shd w:val="clear" w:color="auto" w:fill="auto"/>
          <w:lang w:val="zh-CN"/>
        </w:rPr>
        <w:t>执业资格</w:t>
      </w:r>
      <w:r>
        <w:rPr>
          <w:rFonts w:hint="eastAsia"/>
          <w:color w:val="auto"/>
          <w:szCs w:val="21"/>
          <w:highlight w:val="none"/>
          <w:shd w:val="clear" w:color="auto" w:fill="auto"/>
          <w:lang w:val="zh-CN"/>
        </w:rPr>
        <w:t>及</w:t>
      </w:r>
      <w:r>
        <w:rPr>
          <w:color w:val="auto"/>
          <w:szCs w:val="21"/>
          <w:highlight w:val="none"/>
          <w:shd w:val="clear" w:color="auto" w:fill="auto"/>
          <w:lang w:val="zh-CN"/>
        </w:rPr>
        <w:t>等级：</w:t>
      </w:r>
      <w:r>
        <w:rPr>
          <w:rFonts w:hint="eastAsia"/>
          <w:color w:val="auto"/>
          <w:szCs w:val="21"/>
          <w:highlight w:val="none"/>
          <w:u w:val="single"/>
          <w:shd w:val="clear" w:color="auto" w:fill="auto"/>
        </w:rPr>
        <w:t xml:space="preserve">            </w:t>
      </w:r>
      <w:r>
        <w:rPr>
          <w:color w:val="auto"/>
          <w:szCs w:val="21"/>
          <w:highlight w:val="none"/>
          <w:shd w:val="clear" w:color="auto" w:fill="auto"/>
        </w:rPr>
        <w:t>。</w:t>
      </w:r>
    </w:p>
    <w:p w14:paraId="0C8C58A8">
      <w:pPr>
        <w:spacing w:line="540" w:lineRule="exact"/>
        <w:ind w:firstLine="420" w:firstLineChars="200"/>
        <w:rPr>
          <w:color w:val="auto"/>
          <w:szCs w:val="21"/>
          <w:highlight w:val="none"/>
          <w:shd w:val="clear" w:color="auto" w:fill="auto"/>
          <w:lang w:val="zh-CN"/>
        </w:rPr>
      </w:pPr>
      <w:r>
        <w:rPr>
          <w:color w:val="auto"/>
          <w:szCs w:val="21"/>
          <w:highlight w:val="none"/>
          <w:shd w:val="clear" w:color="auto" w:fill="auto"/>
          <w:lang w:val="zh-CN"/>
        </w:rPr>
        <w:t>注册证书号：</w:t>
      </w:r>
      <w:r>
        <w:rPr>
          <w:rFonts w:hint="eastAsia"/>
          <w:color w:val="auto"/>
          <w:szCs w:val="21"/>
          <w:highlight w:val="none"/>
          <w:u w:val="single"/>
          <w:shd w:val="clear" w:color="auto" w:fill="auto"/>
        </w:rPr>
        <w:t xml:space="preserve">            </w:t>
      </w:r>
      <w:r>
        <w:rPr>
          <w:color w:val="auto"/>
          <w:szCs w:val="21"/>
          <w:highlight w:val="none"/>
          <w:shd w:val="clear" w:color="auto" w:fill="auto"/>
        </w:rPr>
        <w:t>。</w:t>
      </w:r>
    </w:p>
    <w:p w14:paraId="28D86503">
      <w:pPr>
        <w:spacing w:line="540" w:lineRule="exact"/>
        <w:ind w:firstLine="420" w:firstLineChars="200"/>
        <w:rPr>
          <w:color w:val="auto"/>
          <w:szCs w:val="21"/>
          <w:highlight w:val="none"/>
          <w:shd w:val="clear" w:color="auto" w:fill="auto"/>
          <w:lang w:val="zh-CN"/>
        </w:rPr>
      </w:pPr>
      <w:r>
        <w:rPr>
          <w:color w:val="auto"/>
          <w:szCs w:val="21"/>
          <w:highlight w:val="none"/>
          <w:shd w:val="clear" w:color="auto" w:fill="auto"/>
          <w:lang w:val="zh-CN"/>
        </w:rPr>
        <w:t>联系电话：</w:t>
      </w:r>
      <w:r>
        <w:rPr>
          <w:rFonts w:hint="eastAsia"/>
          <w:color w:val="auto"/>
          <w:szCs w:val="21"/>
          <w:highlight w:val="none"/>
          <w:u w:val="single"/>
          <w:shd w:val="clear" w:color="auto" w:fill="auto"/>
        </w:rPr>
        <w:t xml:space="preserve">            </w:t>
      </w:r>
      <w:r>
        <w:rPr>
          <w:color w:val="auto"/>
          <w:szCs w:val="21"/>
          <w:highlight w:val="none"/>
          <w:shd w:val="clear" w:color="auto" w:fill="auto"/>
        </w:rPr>
        <w:t>。</w:t>
      </w:r>
    </w:p>
    <w:p w14:paraId="49CA537A">
      <w:pPr>
        <w:spacing w:line="540" w:lineRule="exact"/>
        <w:ind w:firstLine="420" w:firstLineChars="200"/>
        <w:rPr>
          <w:color w:val="auto"/>
          <w:szCs w:val="21"/>
          <w:highlight w:val="none"/>
          <w:shd w:val="clear" w:color="auto" w:fill="auto"/>
          <w:lang w:val="zh-CN"/>
        </w:rPr>
      </w:pPr>
      <w:r>
        <w:rPr>
          <w:color w:val="auto"/>
          <w:szCs w:val="21"/>
          <w:highlight w:val="none"/>
          <w:shd w:val="clear" w:color="auto" w:fill="auto"/>
          <w:lang w:val="zh-CN"/>
        </w:rPr>
        <w:t>电子信箱：</w:t>
      </w:r>
      <w:r>
        <w:rPr>
          <w:rFonts w:hint="eastAsia"/>
          <w:color w:val="auto"/>
          <w:szCs w:val="21"/>
          <w:highlight w:val="none"/>
          <w:u w:val="single"/>
          <w:shd w:val="clear" w:color="auto" w:fill="auto"/>
        </w:rPr>
        <w:t xml:space="preserve">            </w:t>
      </w:r>
      <w:r>
        <w:rPr>
          <w:color w:val="auto"/>
          <w:szCs w:val="21"/>
          <w:highlight w:val="none"/>
          <w:shd w:val="clear" w:color="auto" w:fill="auto"/>
        </w:rPr>
        <w:t>。</w:t>
      </w:r>
    </w:p>
    <w:p w14:paraId="244F05CE">
      <w:pPr>
        <w:spacing w:line="540" w:lineRule="exact"/>
        <w:ind w:firstLine="420" w:firstLineChars="200"/>
        <w:rPr>
          <w:color w:val="auto"/>
          <w:szCs w:val="21"/>
          <w:highlight w:val="none"/>
          <w:shd w:val="clear" w:color="auto" w:fill="auto"/>
          <w:lang w:val="zh-CN"/>
        </w:rPr>
      </w:pPr>
      <w:r>
        <w:rPr>
          <w:color w:val="auto"/>
          <w:szCs w:val="21"/>
          <w:highlight w:val="none"/>
          <w:shd w:val="clear" w:color="auto" w:fill="auto"/>
          <w:lang w:val="zh-CN"/>
        </w:rPr>
        <w:t>通信地址：</w:t>
      </w:r>
      <w:r>
        <w:rPr>
          <w:rFonts w:hint="eastAsia"/>
          <w:color w:val="auto"/>
          <w:szCs w:val="21"/>
          <w:highlight w:val="none"/>
          <w:u w:val="single"/>
          <w:shd w:val="clear" w:color="auto" w:fill="auto"/>
        </w:rPr>
        <w:t xml:space="preserve">            </w:t>
      </w:r>
      <w:r>
        <w:rPr>
          <w:color w:val="auto"/>
          <w:szCs w:val="21"/>
          <w:highlight w:val="none"/>
          <w:shd w:val="clear" w:color="auto" w:fill="auto"/>
        </w:rPr>
        <w:t>。</w:t>
      </w:r>
    </w:p>
    <w:p w14:paraId="7A4ACD41">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lang w:val="zh-CN"/>
        </w:rPr>
        <w:t>监理</w:t>
      </w:r>
      <w:r>
        <w:rPr>
          <w:color w:val="auto"/>
          <w:szCs w:val="21"/>
          <w:highlight w:val="none"/>
          <w:shd w:val="clear" w:color="auto" w:fill="auto"/>
          <w:lang w:val="zh-CN"/>
        </w:rPr>
        <w:t>人对总监理工程师的授权范围如下：</w:t>
      </w:r>
      <w:r>
        <w:rPr>
          <w:rFonts w:hint="eastAsia"/>
          <w:color w:val="auto"/>
          <w:szCs w:val="21"/>
          <w:highlight w:val="none"/>
          <w:u w:val="single"/>
          <w:shd w:val="clear" w:color="auto" w:fill="auto"/>
        </w:rPr>
        <w:t xml:space="preserve">            </w:t>
      </w:r>
      <w:r>
        <w:rPr>
          <w:color w:val="auto"/>
          <w:szCs w:val="21"/>
          <w:highlight w:val="none"/>
          <w:shd w:val="clear" w:color="auto" w:fill="auto"/>
        </w:rPr>
        <w:t>。</w:t>
      </w:r>
      <w:permEnd w:id="85"/>
    </w:p>
    <w:p w14:paraId="39768C70">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lang w:val="zh-CN"/>
        </w:rPr>
        <w:t>（2）监理</w:t>
      </w:r>
      <w:r>
        <w:rPr>
          <w:rFonts w:hAnsi="宋体"/>
          <w:color w:val="auto"/>
          <w:szCs w:val="21"/>
          <w:highlight w:val="none"/>
          <w:shd w:val="clear" w:color="auto" w:fill="auto"/>
        </w:rPr>
        <w:t>人擅自更换总监理工程师的违约责任：</w:t>
      </w:r>
      <w:permStart w:id="86" w:edGrp="everyone"/>
      <w:r>
        <w:rPr>
          <w:rFonts w:hint="eastAsia"/>
          <w:color w:val="auto"/>
          <w:szCs w:val="21"/>
          <w:highlight w:val="none"/>
          <w:u w:val="single"/>
          <w:shd w:val="clear" w:color="auto" w:fill="auto"/>
        </w:rPr>
        <w:t xml:space="preserve">            </w:t>
      </w:r>
      <w:r>
        <w:rPr>
          <w:color w:val="auto"/>
          <w:szCs w:val="21"/>
          <w:highlight w:val="none"/>
          <w:shd w:val="clear" w:color="auto" w:fill="auto"/>
        </w:rPr>
        <w:t>。</w:t>
      </w:r>
      <w:permEnd w:id="86"/>
    </w:p>
    <w:p w14:paraId="5875DE3E">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（3）监理</w:t>
      </w:r>
      <w:r>
        <w:rPr>
          <w:rFonts w:hAnsi="宋体"/>
          <w:color w:val="auto"/>
          <w:szCs w:val="21"/>
          <w:highlight w:val="none"/>
          <w:shd w:val="clear" w:color="auto" w:fill="auto"/>
        </w:rPr>
        <w:t>人无正当理由拒绝更换</w:t>
      </w:r>
      <w:r>
        <w:rPr>
          <w:rFonts w:hint="eastAsia" w:hAnsi="宋体"/>
          <w:color w:val="auto"/>
          <w:szCs w:val="21"/>
          <w:highlight w:val="none"/>
          <w:shd w:val="clear" w:color="auto" w:fill="auto"/>
        </w:rPr>
        <w:t>总监理工程师</w:t>
      </w:r>
      <w:r>
        <w:rPr>
          <w:rFonts w:hAnsi="宋体"/>
          <w:color w:val="auto"/>
          <w:szCs w:val="21"/>
          <w:highlight w:val="none"/>
          <w:shd w:val="clear" w:color="auto" w:fill="auto"/>
        </w:rPr>
        <w:t>的违约责任：</w:t>
      </w:r>
      <w:permStart w:id="87" w:edGrp="everyone"/>
      <w:r>
        <w:rPr>
          <w:rFonts w:hint="eastAsia"/>
          <w:color w:val="auto"/>
          <w:szCs w:val="21"/>
          <w:highlight w:val="none"/>
          <w:u w:val="single"/>
          <w:shd w:val="clear" w:color="auto" w:fill="auto"/>
        </w:rPr>
        <w:t xml:space="preserve">            </w:t>
      </w:r>
      <w:r>
        <w:rPr>
          <w:color w:val="auto"/>
          <w:szCs w:val="21"/>
          <w:highlight w:val="none"/>
          <w:shd w:val="clear" w:color="auto" w:fill="auto"/>
        </w:rPr>
        <w:t>。</w:t>
      </w:r>
    </w:p>
    <w:permEnd w:id="87"/>
    <w:p w14:paraId="4E1E593E">
      <w:pPr>
        <w:pStyle w:val="6"/>
        <w:spacing w:line="540" w:lineRule="exact"/>
        <w:ind w:firstLine="137"/>
        <w:rPr>
          <w:rFonts w:ascii="Times New Roman"/>
          <w:color w:val="auto"/>
          <w:highlight w:val="none"/>
          <w:shd w:val="clear" w:color="auto" w:fill="auto"/>
        </w:rPr>
      </w:pPr>
      <w:bookmarkStart w:id="217" w:name="_Toc17441"/>
      <w:r>
        <w:rPr>
          <w:rFonts w:ascii="Times New Roman"/>
          <w:color w:val="auto"/>
          <w:highlight w:val="none"/>
          <w:shd w:val="clear" w:color="auto" w:fill="auto"/>
        </w:rPr>
        <w:t>4.</w:t>
      </w:r>
      <w:r>
        <w:rPr>
          <w:rFonts w:hint="eastAsia" w:ascii="Times New Roman"/>
          <w:color w:val="auto"/>
          <w:highlight w:val="none"/>
          <w:shd w:val="clear" w:color="auto" w:fill="auto"/>
        </w:rPr>
        <w:t>5</w:t>
      </w:r>
      <w:r>
        <w:rPr>
          <w:rFonts w:ascii="Times New Roman"/>
          <w:color w:val="auto"/>
          <w:highlight w:val="none"/>
          <w:shd w:val="clear" w:color="auto" w:fill="auto"/>
        </w:rPr>
        <w:t xml:space="preserve"> </w:t>
      </w:r>
      <w:r>
        <w:rPr>
          <w:rFonts w:hint="eastAsia" w:ascii="Times New Roman"/>
          <w:color w:val="auto"/>
          <w:szCs w:val="21"/>
          <w:highlight w:val="none"/>
          <w:shd w:val="clear" w:color="auto" w:fill="auto"/>
        </w:rPr>
        <w:t>监理</w:t>
      </w:r>
      <w:r>
        <w:rPr>
          <w:rFonts w:hint="eastAsia" w:ascii="Times New Roman"/>
          <w:color w:val="auto"/>
          <w:highlight w:val="none"/>
          <w:shd w:val="clear" w:color="auto" w:fill="auto"/>
        </w:rPr>
        <w:t>人员的管理</w:t>
      </w:r>
      <w:bookmarkEnd w:id="217"/>
    </w:p>
    <w:p w14:paraId="3CBFD76F">
      <w:pPr>
        <w:spacing w:line="540" w:lineRule="exact"/>
        <w:ind w:firstLine="420" w:firstLineChars="200"/>
        <w:rPr>
          <w:color w:val="auto"/>
          <w:highlight w:val="none"/>
          <w:shd w:val="clear" w:color="auto" w:fill="auto"/>
        </w:rPr>
      </w:pPr>
      <w:r>
        <w:rPr>
          <w:rFonts w:hint="eastAsia"/>
          <w:color w:val="auto"/>
          <w:highlight w:val="none"/>
          <w:shd w:val="clear" w:color="auto" w:fill="auto"/>
        </w:rPr>
        <w:t>替换以下内容到第4.5.1款：</w:t>
      </w:r>
    </w:p>
    <w:p w14:paraId="202FD2F4">
      <w:pPr>
        <w:spacing w:line="540" w:lineRule="exact"/>
        <w:ind w:firstLine="420" w:firstLineChars="200"/>
        <w:rPr>
          <w:color w:val="auto"/>
          <w:highlight w:val="none"/>
          <w:shd w:val="clear" w:color="auto" w:fill="auto"/>
        </w:rPr>
      </w:pPr>
      <w:r>
        <w:rPr>
          <w:color w:val="auto"/>
          <w:highlight w:val="none"/>
          <w:shd w:val="clear" w:color="auto" w:fill="auto"/>
        </w:rPr>
        <w:t>监理人应在</w:t>
      </w:r>
      <w:r>
        <w:rPr>
          <w:rFonts w:hint="eastAsia"/>
          <w:color w:val="auto"/>
          <w:highlight w:val="none"/>
          <w:shd w:val="clear" w:color="auto" w:fill="auto"/>
        </w:rPr>
        <w:t>合同签订后第7日</w:t>
      </w:r>
      <w:r>
        <w:rPr>
          <w:color w:val="auto"/>
          <w:highlight w:val="none"/>
          <w:shd w:val="clear" w:color="auto" w:fill="auto"/>
        </w:rPr>
        <w:t>内，向委托人提交监理项目机构以及人员安排的报告，其内容应包括项目机构设置、主要监理人员和作业人员的名单及资格条件</w:t>
      </w:r>
      <w:r>
        <w:rPr>
          <w:rFonts w:hint="eastAsia"/>
          <w:color w:val="auto"/>
          <w:highlight w:val="none"/>
          <w:shd w:val="clear" w:color="auto" w:fill="auto"/>
        </w:rPr>
        <w:t>，并在得到委托人认可后派驻。</w:t>
      </w:r>
    </w:p>
    <w:p w14:paraId="04179C4A">
      <w:pPr>
        <w:spacing w:line="540" w:lineRule="exact"/>
        <w:ind w:firstLine="420" w:firstLineChars="200"/>
        <w:rPr>
          <w:color w:val="auto"/>
          <w:highlight w:val="none"/>
          <w:shd w:val="clear" w:color="auto" w:fill="auto"/>
        </w:rPr>
      </w:pPr>
      <w:r>
        <w:rPr>
          <w:color w:val="auto"/>
          <w:highlight w:val="none"/>
          <w:shd w:val="clear" w:color="auto" w:fill="auto"/>
        </w:rPr>
        <w:t>主要监理人员应相对稳定，更换主要监理人员的，应取得委托人的同意</w:t>
      </w:r>
      <w:r>
        <w:rPr>
          <w:rFonts w:hint="eastAsia"/>
          <w:color w:val="auto"/>
          <w:highlight w:val="none"/>
          <w:shd w:val="clear" w:color="auto" w:fill="auto"/>
        </w:rPr>
        <w:t>，</w:t>
      </w:r>
      <w:r>
        <w:rPr>
          <w:color w:val="auto"/>
          <w:highlight w:val="none"/>
          <w:shd w:val="clear" w:color="auto" w:fill="auto"/>
        </w:rPr>
        <w:t>并向委托人提交继任人员的资格、管理经验等资料。总监理工程师的更换，应按照本章第 4.4.1 项规定执行。</w:t>
      </w:r>
    </w:p>
    <w:p w14:paraId="655AE0B2">
      <w:pPr>
        <w:pStyle w:val="6"/>
        <w:spacing w:line="540" w:lineRule="exact"/>
        <w:ind w:firstLine="137"/>
        <w:rPr>
          <w:rFonts w:ascii="Times New Roman"/>
          <w:color w:val="auto"/>
          <w:highlight w:val="none"/>
          <w:shd w:val="clear" w:color="auto" w:fill="auto"/>
        </w:rPr>
      </w:pPr>
      <w:bookmarkStart w:id="218" w:name="_Toc24016"/>
      <w:r>
        <w:rPr>
          <w:rFonts w:ascii="Times New Roman"/>
          <w:color w:val="auto"/>
          <w:highlight w:val="none"/>
          <w:shd w:val="clear" w:color="auto" w:fill="auto"/>
        </w:rPr>
        <w:t>4.</w:t>
      </w:r>
      <w:r>
        <w:rPr>
          <w:rFonts w:hint="eastAsia" w:ascii="Times New Roman"/>
          <w:color w:val="auto"/>
          <w:highlight w:val="none"/>
          <w:shd w:val="clear" w:color="auto" w:fill="auto"/>
        </w:rPr>
        <w:t>6</w:t>
      </w:r>
      <w:r>
        <w:rPr>
          <w:rFonts w:ascii="Times New Roman"/>
          <w:color w:val="auto"/>
          <w:highlight w:val="none"/>
          <w:shd w:val="clear" w:color="auto" w:fill="auto"/>
        </w:rPr>
        <w:t xml:space="preserve"> </w:t>
      </w:r>
      <w:r>
        <w:rPr>
          <w:rFonts w:hint="eastAsia" w:ascii="Times New Roman"/>
          <w:color w:val="auto"/>
          <w:szCs w:val="21"/>
          <w:highlight w:val="none"/>
          <w:shd w:val="clear" w:color="auto" w:fill="auto"/>
        </w:rPr>
        <w:t>撤换总监理工程师和其他人员</w:t>
      </w:r>
      <w:bookmarkEnd w:id="218"/>
    </w:p>
    <w:p w14:paraId="0EFF241B">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增加以下内容到第4.6款：</w:t>
      </w:r>
    </w:p>
    <w:p w14:paraId="4E118AE8">
      <w:pPr>
        <w:spacing w:line="540" w:lineRule="exact"/>
        <w:ind w:firstLine="420" w:firstLineChars="200"/>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如果渎职或不能圆满地执行任务不能作为理由成立的话，则应由提出要求的一方承担更换费用。</w:t>
      </w:r>
    </w:p>
    <w:p w14:paraId="32EF16D9">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增加以下内容到第4款：</w:t>
      </w:r>
    </w:p>
    <w:p w14:paraId="20271BD2">
      <w:pPr>
        <w:pStyle w:val="6"/>
        <w:spacing w:line="540" w:lineRule="exact"/>
        <w:ind w:firstLine="137"/>
        <w:rPr>
          <w:rFonts w:ascii="Times New Roman"/>
          <w:color w:val="auto"/>
          <w:highlight w:val="none"/>
          <w:shd w:val="clear" w:color="auto" w:fill="auto"/>
        </w:rPr>
      </w:pPr>
      <w:bookmarkStart w:id="219" w:name="_Toc31491"/>
      <w:r>
        <w:rPr>
          <w:rFonts w:ascii="Times New Roman"/>
          <w:color w:val="auto"/>
          <w:highlight w:val="none"/>
          <w:shd w:val="clear" w:color="auto" w:fill="auto"/>
        </w:rPr>
        <w:t>4.</w:t>
      </w:r>
      <w:r>
        <w:rPr>
          <w:rFonts w:hint="eastAsia" w:ascii="Times New Roman"/>
          <w:color w:val="auto"/>
          <w:highlight w:val="none"/>
          <w:shd w:val="clear" w:color="auto" w:fill="auto"/>
        </w:rPr>
        <w:t>7 其他</w:t>
      </w:r>
      <w:bookmarkEnd w:id="219"/>
    </w:p>
    <w:p w14:paraId="53D800FC">
      <w:pPr>
        <w:spacing w:line="540" w:lineRule="exact"/>
        <w:rPr>
          <w:color w:val="auto"/>
          <w:highlight w:val="none"/>
          <w:shd w:val="clear" w:color="auto" w:fill="auto"/>
        </w:rPr>
      </w:pPr>
    </w:p>
    <w:p w14:paraId="542679F4">
      <w:pPr>
        <w:spacing w:line="540" w:lineRule="exact"/>
        <w:ind w:firstLine="420" w:firstLineChars="200"/>
        <w:rPr>
          <w:color w:val="auto"/>
          <w:highlight w:val="none"/>
          <w:shd w:val="clear" w:color="auto" w:fill="auto"/>
          <w:lang w:val="zh-CN"/>
        </w:rPr>
      </w:pPr>
      <w:r>
        <w:rPr>
          <w:rFonts w:hint="eastAsia"/>
          <w:color w:val="auto"/>
          <w:highlight w:val="none"/>
          <w:shd w:val="clear" w:color="auto" w:fill="auto"/>
          <w:lang w:val="zh-CN"/>
        </w:rPr>
        <w:t>监理人在委托人委托的服务范围内，享有以下权利：</w:t>
      </w:r>
    </w:p>
    <w:p w14:paraId="693C62F9">
      <w:pPr>
        <w:spacing w:line="540" w:lineRule="exact"/>
        <w:ind w:firstLine="420" w:firstLineChars="200"/>
        <w:rPr>
          <w:color w:val="auto"/>
          <w:highlight w:val="none"/>
          <w:shd w:val="clear" w:color="auto" w:fill="auto"/>
          <w:lang w:val="zh-CN"/>
        </w:rPr>
      </w:pPr>
      <w:r>
        <w:rPr>
          <w:rFonts w:hint="eastAsia"/>
          <w:color w:val="auto"/>
          <w:highlight w:val="none"/>
          <w:shd w:val="clear" w:color="auto" w:fill="auto"/>
          <w:lang w:val="zh-CN"/>
        </w:rPr>
        <w:t>（1）对施工承包商选择工程分包人的审查权。</w:t>
      </w:r>
    </w:p>
    <w:p w14:paraId="71DA8377">
      <w:pPr>
        <w:spacing w:line="540" w:lineRule="exact"/>
        <w:ind w:firstLine="420" w:firstLineChars="200"/>
        <w:rPr>
          <w:color w:val="auto"/>
          <w:highlight w:val="none"/>
          <w:shd w:val="clear" w:color="auto" w:fill="auto"/>
          <w:lang w:val="zh-CN"/>
        </w:rPr>
      </w:pPr>
      <w:r>
        <w:rPr>
          <w:rFonts w:hint="eastAsia"/>
          <w:color w:val="auto"/>
          <w:highlight w:val="none"/>
          <w:shd w:val="clear" w:color="auto" w:fill="auto"/>
          <w:lang w:val="zh-CN"/>
        </w:rPr>
        <w:t>（2）对工程建设有关事项包括工程规模、设计标准、规划设计、生产工艺设计和使用功能要求，向委托人的建议权。</w:t>
      </w:r>
    </w:p>
    <w:p w14:paraId="5D2ADA36">
      <w:pPr>
        <w:spacing w:line="540" w:lineRule="exact"/>
        <w:ind w:firstLine="420" w:firstLineChars="200"/>
        <w:rPr>
          <w:color w:val="auto"/>
          <w:highlight w:val="none"/>
          <w:shd w:val="clear" w:color="auto" w:fill="auto"/>
          <w:lang w:val="zh-CN"/>
        </w:rPr>
      </w:pPr>
      <w:r>
        <w:rPr>
          <w:rFonts w:hint="eastAsia"/>
          <w:color w:val="auto"/>
          <w:highlight w:val="none"/>
          <w:shd w:val="clear" w:color="auto" w:fill="auto"/>
          <w:lang w:val="zh-CN"/>
        </w:rPr>
        <w:t>（3）对工程设计中的技术问题，按照安全和优化的原则，向设计单位提出建议；如果拟提出的建议可能会提高工程造价或延长工期，应当事先征得委托人的同意。当发现工程设计不符合国家颁发的建设工程质量标准或设计合同约定的质量标准时，监理人应当书面报告委托人并要求设计单位更正。</w:t>
      </w:r>
    </w:p>
    <w:p w14:paraId="794551EA">
      <w:pPr>
        <w:spacing w:line="540" w:lineRule="exact"/>
        <w:ind w:firstLine="420" w:firstLineChars="200"/>
        <w:rPr>
          <w:color w:val="auto"/>
          <w:highlight w:val="none"/>
          <w:shd w:val="clear" w:color="auto" w:fill="auto"/>
          <w:lang w:val="zh-CN"/>
        </w:rPr>
      </w:pPr>
      <w:r>
        <w:rPr>
          <w:rFonts w:hint="eastAsia"/>
          <w:color w:val="auto"/>
          <w:highlight w:val="none"/>
          <w:shd w:val="clear" w:color="auto" w:fill="auto"/>
          <w:lang w:val="zh-CN"/>
        </w:rPr>
        <w:t>（4）对工程施工组织设计和技术方案，按照保质量、保工期和降低成本的原则，向施工承包方提出建议，并向委托人提出书面报告。</w:t>
      </w:r>
    </w:p>
    <w:p w14:paraId="2C3DC0D0">
      <w:pPr>
        <w:spacing w:line="540" w:lineRule="exact"/>
        <w:ind w:firstLine="420" w:firstLineChars="200"/>
        <w:rPr>
          <w:color w:val="auto"/>
          <w:highlight w:val="none"/>
          <w:shd w:val="clear" w:color="auto" w:fill="auto"/>
          <w:lang w:val="zh-CN"/>
        </w:rPr>
      </w:pPr>
      <w:r>
        <w:rPr>
          <w:rFonts w:hint="eastAsia"/>
          <w:color w:val="auto"/>
          <w:highlight w:val="none"/>
          <w:shd w:val="clear" w:color="auto" w:fill="auto"/>
          <w:lang w:val="zh-CN"/>
        </w:rPr>
        <w:t>（5）主持工程建设有关协作单位的组织协调，重要协调事项应当事先向委托人报告。</w:t>
      </w:r>
    </w:p>
    <w:p w14:paraId="51E8DEAC">
      <w:pPr>
        <w:spacing w:line="540" w:lineRule="exact"/>
        <w:ind w:firstLine="420" w:firstLineChars="200"/>
        <w:rPr>
          <w:color w:val="auto"/>
          <w:highlight w:val="none"/>
          <w:shd w:val="clear" w:color="auto" w:fill="auto"/>
          <w:lang w:val="zh-CN"/>
        </w:rPr>
      </w:pPr>
      <w:r>
        <w:rPr>
          <w:rFonts w:hint="eastAsia"/>
          <w:color w:val="auto"/>
          <w:highlight w:val="none"/>
          <w:shd w:val="clear" w:color="auto" w:fill="auto"/>
          <w:lang w:val="zh-CN"/>
        </w:rPr>
        <w:t>（6）征得委托人同意，监理人有权发布开工令、停工令、复工令，但应当事先向委托人报告。如在紧急情况下未能事先报告时，则应在24小时内向委托人做出书面报告。</w:t>
      </w:r>
    </w:p>
    <w:p w14:paraId="06B2BE1F">
      <w:pPr>
        <w:spacing w:line="540" w:lineRule="exact"/>
        <w:ind w:firstLine="420" w:firstLineChars="200"/>
        <w:rPr>
          <w:color w:val="auto"/>
          <w:highlight w:val="none"/>
          <w:shd w:val="clear" w:color="auto" w:fill="auto"/>
          <w:lang w:val="zh-CN"/>
        </w:rPr>
      </w:pPr>
      <w:r>
        <w:rPr>
          <w:rFonts w:hint="eastAsia"/>
          <w:color w:val="auto"/>
          <w:highlight w:val="none"/>
          <w:shd w:val="clear" w:color="auto" w:fill="auto"/>
          <w:lang w:val="zh-CN"/>
        </w:rPr>
        <w:t>（7）工程上使用的材料和施工质量的检验权。对于不符合设计要求和合同约定及国家质量标准的材料、构配件、设备，有权通知施工承包方停止使用；对于不符合规范和质量标准的工序、分部分项工程和不安全施工作业，有权通知施工承包方停工整改、返工。施工承包方得到监理机构复工令后才能复工。</w:t>
      </w:r>
    </w:p>
    <w:p w14:paraId="2779BADE">
      <w:pPr>
        <w:spacing w:line="540" w:lineRule="exact"/>
        <w:ind w:firstLine="420" w:firstLineChars="200"/>
        <w:rPr>
          <w:color w:val="auto"/>
          <w:highlight w:val="none"/>
          <w:shd w:val="clear" w:color="auto" w:fill="auto"/>
          <w:lang w:val="zh-CN"/>
        </w:rPr>
      </w:pPr>
      <w:r>
        <w:rPr>
          <w:rFonts w:hint="eastAsia"/>
          <w:color w:val="auto"/>
          <w:highlight w:val="none"/>
          <w:shd w:val="clear" w:color="auto" w:fill="auto"/>
          <w:lang w:val="zh-CN"/>
        </w:rPr>
        <w:t>（8）工程施工进度的检查、监督权。</w:t>
      </w:r>
    </w:p>
    <w:p w14:paraId="6F36417E">
      <w:pPr>
        <w:spacing w:line="540" w:lineRule="exact"/>
        <w:ind w:firstLine="420" w:firstLineChars="200"/>
        <w:rPr>
          <w:color w:val="auto"/>
          <w:highlight w:val="none"/>
          <w:shd w:val="clear" w:color="auto" w:fill="auto"/>
          <w:lang w:val="zh-CN"/>
        </w:rPr>
      </w:pPr>
      <w:r>
        <w:rPr>
          <w:rFonts w:hint="eastAsia"/>
          <w:color w:val="auto"/>
          <w:highlight w:val="none"/>
          <w:shd w:val="clear" w:color="auto" w:fill="auto"/>
          <w:lang w:val="zh-CN"/>
        </w:rPr>
        <w:t>（9）在工程施工合同约定的工程价格范围内，工程款支付的审核以及工程结算的复核权，未经总监理工程师签字确认，委托人不支付工程款。</w:t>
      </w:r>
    </w:p>
    <w:p w14:paraId="1DAB5331">
      <w:pPr>
        <w:spacing w:line="540" w:lineRule="exact"/>
        <w:ind w:firstLine="420" w:firstLineChars="200"/>
        <w:rPr>
          <w:color w:val="auto"/>
          <w:highlight w:val="none"/>
          <w:shd w:val="clear" w:color="auto" w:fill="auto"/>
          <w:lang w:val="zh-CN"/>
        </w:rPr>
      </w:pPr>
      <w:r>
        <w:rPr>
          <w:rFonts w:hint="eastAsia"/>
          <w:color w:val="auto"/>
          <w:highlight w:val="none"/>
          <w:shd w:val="clear" w:color="auto" w:fill="auto"/>
          <w:lang w:val="zh-CN"/>
        </w:rPr>
        <w:t>（10）安全及文明施工的监管权。发现施工项目部的安全文明施工管理混乱，或拒不接受监理项目部的管理，可按有关规定进行罚款或向委托人建议暂停拨付工程款甚至终止工程承包合同，并严禁再次进场施工。</w:t>
      </w:r>
    </w:p>
    <w:p w14:paraId="06AE5537">
      <w:pPr>
        <w:pStyle w:val="5"/>
        <w:spacing w:line="540" w:lineRule="exact"/>
        <w:rPr>
          <w:rFonts w:ascii="Times New Roman" w:hAnsi="Times New Roman"/>
          <w:color w:val="auto"/>
          <w:highlight w:val="none"/>
          <w:shd w:val="clear" w:color="auto" w:fill="auto"/>
        </w:rPr>
      </w:pPr>
      <w:bookmarkStart w:id="220" w:name="_Toc32471"/>
      <w:r>
        <w:rPr>
          <w:rFonts w:ascii="Times New Roman" w:hAnsi="Times New Roman"/>
          <w:color w:val="auto"/>
          <w:highlight w:val="none"/>
          <w:shd w:val="clear" w:color="auto" w:fill="auto"/>
        </w:rPr>
        <w:t xml:space="preserve">5. </w:t>
      </w:r>
      <w:r>
        <w:rPr>
          <w:rFonts w:hint="eastAsia" w:ascii="Times New Roman" w:hAnsi="Times New Roman"/>
          <w:color w:val="auto"/>
          <w:szCs w:val="21"/>
          <w:highlight w:val="none"/>
          <w:shd w:val="clear" w:color="auto" w:fill="auto"/>
        </w:rPr>
        <w:t>监理</w:t>
      </w:r>
      <w:r>
        <w:rPr>
          <w:rFonts w:ascii="Times New Roman" w:hAnsi="Times New Roman"/>
          <w:color w:val="auto"/>
          <w:highlight w:val="none"/>
          <w:shd w:val="clear" w:color="auto" w:fill="auto"/>
        </w:rPr>
        <w:t>要求</w:t>
      </w:r>
      <w:bookmarkEnd w:id="220"/>
    </w:p>
    <w:p w14:paraId="1FB83575">
      <w:pPr>
        <w:pStyle w:val="6"/>
        <w:spacing w:line="540" w:lineRule="exact"/>
        <w:ind w:firstLine="137"/>
        <w:rPr>
          <w:rFonts w:ascii="Times New Roman"/>
          <w:color w:val="auto"/>
          <w:highlight w:val="none"/>
          <w:shd w:val="clear" w:color="auto" w:fill="auto"/>
        </w:rPr>
      </w:pPr>
      <w:bookmarkStart w:id="221" w:name="_Toc21124"/>
      <w:r>
        <w:rPr>
          <w:rFonts w:ascii="Times New Roman"/>
          <w:color w:val="auto"/>
          <w:highlight w:val="none"/>
          <w:shd w:val="clear" w:color="auto" w:fill="auto"/>
        </w:rPr>
        <w:t>5.</w:t>
      </w:r>
      <w:r>
        <w:rPr>
          <w:rFonts w:hint="eastAsia" w:ascii="Times New Roman"/>
          <w:color w:val="auto"/>
          <w:highlight w:val="none"/>
          <w:shd w:val="clear" w:color="auto" w:fill="auto"/>
        </w:rPr>
        <w:t>1</w:t>
      </w:r>
      <w:r>
        <w:rPr>
          <w:rFonts w:ascii="Times New Roman"/>
          <w:color w:val="auto"/>
          <w:highlight w:val="none"/>
          <w:shd w:val="clear" w:color="auto" w:fill="auto"/>
        </w:rPr>
        <w:t xml:space="preserve"> </w:t>
      </w:r>
      <w:r>
        <w:rPr>
          <w:rFonts w:hint="eastAsia" w:ascii="Times New Roman"/>
          <w:color w:val="auto"/>
          <w:szCs w:val="21"/>
          <w:highlight w:val="none"/>
          <w:shd w:val="clear" w:color="auto" w:fill="auto"/>
        </w:rPr>
        <w:t>监理</w:t>
      </w:r>
      <w:r>
        <w:rPr>
          <w:rFonts w:hint="eastAsia" w:ascii="Times New Roman"/>
          <w:color w:val="auto"/>
          <w:highlight w:val="none"/>
          <w:shd w:val="clear" w:color="auto" w:fill="auto"/>
        </w:rPr>
        <w:t>范围</w:t>
      </w:r>
      <w:bookmarkEnd w:id="221"/>
    </w:p>
    <w:p w14:paraId="2096067F">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w:t>
      </w:r>
      <w:r>
        <w:rPr>
          <w:color w:val="auto"/>
          <w:szCs w:val="21"/>
          <w:highlight w:val="none"/>
          <w:shd w:val="clear" w:color="auto" w:fill="auto"/>
        </w:rPr>
        <w:t>5.</w:t>
      </w:r>
      <w:r>
        <w:rPr>
          <w:rFonts w:hint="eastAsia"/>
          <w:color w:val="auto"/>
          <w:szCs w:val="21"/>
          <w:highlight w:val="none"/>
          <w:shd w:val="clear" w:color="auto" w:fill="auto"/>
        </w:rPr>
        <w:t>1</w:t>
      </w:r>
      <w:r>
        <w:rPr>
          <w:color w:val="auto"/>
          <w:szCs w:val="21"/>
          <w:highlight w:val="none"/>
          <w:shd w:val="clear" w:color="auto" w:fill="auto"/>
        </w:rPr>
        <w:t>.2</w:t>
      </w:r>
      <w:r>
        <w:rPr>
          <w:rFonts w:hint="eastAsia"/>
          <w:color w:val="auto"/>
          <w:highlight w:val="none"/>
          <w:shd w:val="clear" w:color="auto" w:fill="auto"/>
        </w:rPr>
        <w:t>款：</w:t>
      </w:r>
    </w:p>
    <w:p w14:paraId="7469641A">
      <w:pPr>
        <w:spacing w:line="540" w:lineRule="exact"/>
        <w:ind w:firstLine="420" w:firstLineChars="200"/>
        <w:rPr>
          <w:color w:val="auto"/>
          <w:szCs w:val="21"/>
          <w:highlight w:val="none"/>
          <w:shd w:val="clear" w:color="auto" w:fill="auto"/>
        </w:rPr>
      </w:pPr>
      <w:r>
        <w:rPr>
          <w:color w:val="auto"/>
          <w:szCs w:val="21"/>
          <w:highlight w:val="none"/>
          <w:shd w:val="clear" w:color="auto" w:fill="auto"/>
        </w:rPr>
        <w:t>工程范围指所</w:t>
      </w:r>
      <w:r>
        <w:rPr>
          <w:rFonts w:hint="eastAsia"/>
          <w:color w:val="auto"/>
          <w:szCs w:val="21"/>
          <w:highlight w:val="none"/>
          <w:shd w:val="clear" w:color="auto" w:fill="auto"/>
        </w:rPr>
        <w:t>监理</w:t>
      </w:r>
      <w:r>
        <w:rPr>
          <w:color w:val="auto"/>
          <w:szCs w:val="21"/>
          <w:highlight w:val="none"/>
          <w:shd w:val="clear" w:color="auto" w:fill="auto"/>
        </w:rPr>
        <w:t>工程的建设内容，具体范围</w:t>
      </w:r>
      <w:r>
        <w:rPr>
          <w:rFonts w:hint="eastAsia"/>
          <w:color w:val="auto"/>
          <w:szCs w:val="21"/>
          <w:highlight w:val="none"/>
          <w:shd w:val="clear" w:color="auto" w:fill="auto"/>
        </w:rPr>
        <w:t>包括：</w:t>
      </w:r>
      <w:permStart w:id="88" w:edGrp="everyone"/>
      <w:r>
        <w:rPr>
          <w:rFonts w:hint="eastAsia"/>
          <w:color w:val="auto"/>
          <w:szCs w:val="21"/>
          <w:highlight w:val="none"/>
          <w:u w:val="single"/>
          <w:shd w:val="clear" w:color="auto" w:fill="auto"/>
        </w:rPr>
        <w:t xml:space="preserve">            </w:t>
      </w:r>
      <w:r>
        <w:rPr>
          <w:color w:val="auto"/>
          <w:szCs w:val="21"/>
          <w:highlight w:val="none"/>
          <w:shd w:val="clear" w:color="auto" w:fill="auto"/>
        </w:rPr>
        <w:t>。</w:t>
      </w:r>
      <w:permEnd w:id="88"/>
    </w:p>
    <w:p w14:paraId="3FA2539A">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w:t>
      </w:r>
      <w:r>
        <w:rPr>
          <w:color w:val="auto"/>
          <w:szCs w:val="21"/>
          <w:highlight w:val="none"/>
          <w:shd w:val="clear" w:color="auto" w:fill="auto"/>
        </w:rPr>
        <w:t>5.</w:t>
      </w:r>
      <w:r>
        <w:rPr>
          <w:rFonts w:hint="eastAsia"/>
          <w:color w:val="auto"/>
          <w:szCs w:val="21"/>
          <w:highlight w:val="none"/>
          <w:shd w:val="clear" w:color="auto" w:fill="auto"/>
        </w:rPr>
        <w:t>1</w:t>
      </w:r>
      <w:r>
        <w:rPr>
          <w:color w:val="auto"/>
          <w:szCs w:val="21"/>
          <w:highlight w:val="none"/>
          <w:shd w:val="clear" w:color="auto" w:fill="auto"/>
        </w:rPr>
        <w:t>.</w:t>
      </w:r>
      <w:r>
        <w:rPr>
          <w:rFonts w:hint="eastAsia"/>
          <w:color w:val="auto"/>
          <w:szCs w:val="21"/>
          <w:highlight w:val="none"/>
          <w:shd w:val="clear" w:color="auto" w:fill="auto"/>
        </w:rPr>
        <w:t>3</w:t>
      </w:r>
      <w:r>
        <w:rPr>
          <w:rFonts w:hint="eastAsia"/>
          <w:color w:val="auto"/>
          <w:highlight w:val="none"/>
          <w:shd w:val="clear" w:color="auto" w:fill="auto"/>
        </w:rPr>
        <w:t>款：</w:t>
      </w:r>
    </w:p>
    <w:p w14:paraId="67B8E2A6">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阶段范围具体包括：</w:t>
      </w:r>
      <w:permStart w:id="89" w:edGrp="everyone"/>
      <w:r>
        <w:rPr>
          <w:rFonts w:hint="eastAsia"/>
          <w:color w:val="auto"/>
          <w:szCs w:val="21"/>
          <w:highlight w:val="none"/>
          <w:u w:val="single"/>
          <w:shd w:val="clear" w:color="auto" w:fill="auto"/>
        </w:rPr>
        <w:t xml:space="preserve">            </w:t>
      </w:r>
      <w:r>
        <w:rPr>
          <w:color w:val="auto"/>
          <w:szCs w:val="21"/>
          <w:highlight w:val="none"/>
          <w:shd w:val="clear" w:color="auto" w:fill="auto"/>
        </w:rPr>
        <w:t>。</w:t>
      </w:r>
      <w:permEnd w:id="89"/>
    </w:p>
    <w:p w14:paraId="4BFBDDBA">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lang w:val="zh-CN"/>
        </w:rPr>
        <w:t>缺陷责任期和保修：本工程缺陷责任期为</w:t>
      </w:r>
      <w:permStart w:id="90" w:edGrp="everyone"/>
      <w:r>
        <w:rPr>
          <w:color w:val="auto"/>
          <w:szCs w:val="21"/>
          <w:highlight w:val="none"/>
          <w:u w:val="single"/>
          <w:shd w:val="clear" w:color="auto" w:fill="auto"/>
          <w:lang w:val="zh-CN"/>
        </w:rPr>
        <w:t>两</w:t>
      </w:r>
      <w:r>
        <w:rPr>
          <w:rFonts w:hint="eastAsia"/>
          <w:color w:val="auto"/>
          <w:szCs w:val="21"/>
          <w:highlight w:val="none"/>
          <w:u w:val="single"/>
          <w:shd w:val="clear" w:color="auto" w:fill="auto"/>
          <w:lang w:val="zh-CN"/>
        </w:rPr>
        <w:t>年</w:t>
      </w:r>
      <w:permEnd w:id="90"/>
      <w:r>
        <w:rPr>
          <w:rFonts w:hint="eastAsia"/>
          <w:color w:val="auto"/>
          <w:szCs w:val="21"/>
          <w:highlight w:val="none"/>
          <w:shd w:val="clear" w:color="auto" w:fill="auto"/>
        </w:rPr>
        <w:t>，自工程通过竣工验收合格之日起计</w:t>
      </w:r>
      <w:r>
        <w:rPr>
          <w:rFonts w:hint="eastAsia"/>
          <w:color w:val="auto"/>
          <w:szCs w:val="21"/>
          <w:highlight w:val="none"/>
          <w:shd w:val="clear" w:color="auto" w:fill="auto"/>
          <w:lang w:val="zh-CN"/>
        </w:rPr>
        <w:t>。监理人在规定的工程质量缺陷责任期内负责相应保修监理工作。</w:t>
      </w:r>
    </w:p>
    <w:p w14:paraId="211275E4">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w:t>
      </w:r>
      <w:r>
        <w:rPr>
          <w:color w:val="auto"/>
          <w:szCs w:val="21"/>
          <w:highlight w:val="none"/>
          <w:shd w:val="clear" w:color="auto" w:fill="auto"/>
        </w:rPr>
        <w:t>5.</w:t>
      </w:r>
      <w:r>
        <w:rPr>
          <w:rFonts w:hint="eastAsia"/>
          <w:color w:val="auto"/>
          <w:szCs w:val="21"/>
          <w:highlight w:val="none"/>
          <w:shd w:val="clear" w:color="auto" w:fill="auto"/>
        </w:rPr>
        <w:t>1</w:t>
      </w:r>
      <w:r>
        <w:rPr>
          <w:color w:val="auto"/>
          <w:szCs w:val="21"/>
          <w:highlight w:val="none"/>
          <w:shd w:val="clear" w:color="auto" w:fill="auto"/>
        </w:rPr>
        <w:t>.</w:t>
      </w:r>
      <w:r>
        <w:rPr>
          <w:rFonts w:hint="eastAsia"/>
          <w:color w:val="auto"/>
          <w:szCs w:val="21"/>
          <w:highlight w:val="none"/>
          <w:shd w:val="clear" w:color="auto" w:fill="auto"/>
        </w:rPr>
        <w:t>4</w:t>
      </w:r>
      <w:r>
        <w:rPr>
          <w:rFonts w:hint="eastAsia"/>
          <w:color w:val="auto"/>
          <w:highlight w:val="none"/>
          <w:shd w:val="clear" w:color="auto" w:fill="auto"/>
        </w:rPr>
        <w:t>款：</w:t>
      </w:r>
    </w:p>
    <w:p w14:paraId="48E9026B">
      <w:pPr>
        <w:spacing w:line="540" w:lineRule="exact"/>
        <w:ind w:firstLine="420" w:firstLineChars="200"/>
        <w:rPr>
          <w:color w:val="auto"/>
          <w:szCs w:val="21"/>
          <w:highlight w:val="none"/>
          <w:u w:val="single"/>
          <w:shd w:val="clear" w:color="auto" w:fill="auto"/>
        </w:rPr>
      </w:pPr>
      <w:r>
        <w:rPr>
          <w:rFonts w:hint="eastAsia"/>
          <w:color w:val="auto"/>
          <w:szCs w:val="21"/>
          <w:highlight w:val="none"/>
          <w:shd w:val="clear" w:color="auto" w:fill="auto"/>
        </w:rPr>
        <w:t>工作范围具体包括：</w:t>
      </w:r>
      <w:permStart w:id="91" w:edGrp="everyone"/>
      <w:r>
        <w:rPr>
          <w:rFonts w:hint="eastAsia"/>
          <w:color w:val="auto"/>
          <w:szCs w:val="21"/>
          <w:highlight w:val="none"/>
          <w:u w:val="single"/>
          <w:shd w:val="clear" w:color="auto" w:fill="auto"/>
        </w:rPr>
        <w:t xml:space="preserve">            </w:t>
      </w:r>
      <w:r>
        <w:rPr>
          <w:color w:val="auto"/>
          <w:szCs w:val="21"/>
          <w:highlight w:val="none"/>
          <w:shd w:val="clear" w:color="auto" w:fill="auto"/>
        </w:rPr>
        <w:t>。</w:t>
      </w:r>
      <w:permEnd w:id="91"/>
    </w:p>
    <w:p w14:paraId="580BAEC7">
      <w:pPr>
        <w:pStyle w:val="6"/>
        <w:spacing w:line="540" w:lineRule="exact"/>
        <w:ind w:firstLine="137"/>
        <w:rPr>
          <w:rFonts w:ascii="Times New Roman"/>
          <w:color w:val="auto"/>
          <w:highlight w:val="none"/>
          <w:shd w:val="clear" w:color="auto" w:fill="auto"/>
        </w:rPr>
      </w:pPr>
      <w:bookmarkStart w:id="222" w:name="_Toc9655"/>
      <w:r>
        <w:rPr>
          <w:rFonts w:ascii="Times New Roman"/>
          <w:color w:val="auto"/>
          <w:highlight w:val="none"/>
          <w:shd w:val="clear" w:color="auto" w:fill="auto"/>
        </w:rPr>
        <w:t>5.</w:t>
      </w:r>
      <w:r>
        <w:rPr>
          <w:rFonts w:hint="eastAsia" w:ascii="Times New Roman"/>
          <w:color w:val="auto"/>
          <w:highlight w:val="none"/>
          <w:shd w:val="clear" w:color="auto" w:fill="auto"/>
        </w:rPr>
        <w:t>2</w:t>
      </w:r>
      <w:r>
        <w:rPr>
          <w:rFonts w:ascii="Times New Roman"/>
          <w:color w:val="auto"/>
          <w:highlight w:val="none"/>
          <w:shd w:val="clear" w:color="auto" w:fill="auto"/>
        </w:rPr>
        <w:t xml:space="preserve"> </w:t>
      </w:r>
      <w:r>
        <w:rPr>
          <w:rFonts w:hint="eastAsia" w:ascii="Times New Roman"/>
          <w:color w:val="auto"/>
          <w:highlight w:val="none"/>
          <w:shd w:val="clear" w:color="auto" w:fill="auto"/>
        </w:rPr>
        <w:t>监理依据</w:t>
      </w:r>
      <w:bookmarkEnd w:id="222"/>
    </w:p>
    <w:p w14:paraId="04B3C603">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w:t>
      </w:r>
      <w:r>
        <w:rPr>
          <w:rFonts w:hint="eastAsia"/>
          <w:color w:val="auto"/>
          <w:szCs w:val="21"/>
          <w:highlight w:val="none"/>
          <w:shd w:val="clear" w:color="auto" w:fill="auto"/>
        </w:rPr>
        <w:t>5.2</w:t>
      </w:r>
      <w:r>
        <w:rPr>
          <w:rFonts w:hint="eastAsia"/>
          <w:color w:val="auto"/>
          <w:highlight w:val="none"/>
          <w:shd w:val="clear" w:color="auto" w:fill="auto"/>
        </w:rPr>
        <w:t>款：</w:t>
      </w:r>
    </w:p>
    <w:p w14:paraId="2B4C83DF">
      <w:pPr>
        <w:spacing w:line="540" w:lineRule="exact"/>
        <w:ind w:firstLine="420" w:firstLineChars="200"/>
        <w:rPr>
          <w:color w:val="auto"/>
          <w:szCs w:val="21"/>
          <w:highlight w:val="none"/>
          <w:shd w:val="clear" w:color="auto" w:fill="auto"/>
        </w:rPr>
      </w:pPr>
      <w:r>
        <w:rPr>
          <w:rFonts w:hint="eastAsia" w:ascii="宋体" w:hAnsi="宋体" w:cs="宋体"/>
          <w:color w:val="auto"/>
          <w:kern w:val="0"/>
          <w:szCs w:val="21"/>
          <w:highlight w:val="none"/>
          <w:shd w:val="clear" w:color="auto" w:fill="auto"/>
          <w:lang w:val="zh-CN"/>
        </w:rPr>
        <w:t>监理人在履行服务工作时，应执行</w:t>
      </w:r>
      <w:permStart w:id="92" w:edGrp="everyone"/>
      <w:r>
        <w:rPr>
          <w:rFonts w:hint="eastAsia"/>
          <w:color w:val="auto"/>
          <w:szCs w:val="21"/>
          <w:highlight w:val="none"/>
          <w:shd w:val="clear" w:color="auto" w:fill="auto"/>
        </w:rPr>
        <w:t>“合同附件格式”</w:t>
      </w:r>
      <w:r>
        <w:rPr>
          <w:rFonts w:hint="eastAsia" w:ascii="宋体" w:hAnsi="宋体" w:cs="宋体"/>
          <w:color w:val="auto"/>
          <w:kern w:val="0"/>
          <w:szCs w:val="21"/>
          <w:highlight w:val="none"/>
          <w:shd w:val="clear" w:color="auto" w:fill="auto"/>
        </w:rPr>
        <w:t>附件十。</w:t>
      </w:r>
      <w:permEnd w:id="92"/>
    </w:p>
    <w:p w14:paraId="0A28016E">
      <w:pPr>
        <w:pStyle w:val="6"/>
        <w:spacing w:line="540" w:lineRule="exact"/>
        <w:ind w:firstLine="137"/>
        <w:rPr>
          <w:rFonts w:ascii="Times New Roman"/>
          <w:color w:val="auto"/>
          <w:highlight w:val="none"/>
          <w:shd w:val="clear" w:color="auto" w:fill="auto"/>
        </w:rPr>
      </w:pPr>
      <w:bookmarkStart w:id="223" w:name="_Toc15965"/>
      <w:r>
        <w:rPr>
          <w:rFonts w:ascii="Times New Roman"/>
          <w:color w:val="auto"/>
          <w:highlight w:val="none"/>
          <w:shd w:val="clear" w:color="auto" w:fill="auto"/>
        </w:rPr>
        <w:t>5.</w:t>
      </w:r>
      <w:r>
        <w:rPr>
          <w:rFonts w:hint="eastAsia" w:ascii="Times New Roman"/>
          <w:color w:val="auto"/>
          <w:highlight w:val="none"/>
          <w:shd w:val="clear" w:color="auto" w:fill="auto"/>
        </w:rPr>
        <w:t>3</w:t>
      </w:r>
      <w:r>
        <w:rPr>
          <w:rFonts w:ascii="Times New Roman"/>
          <w:color w:val="auto"/>
          <w:highlight w:val="none"/>
          <w:shd w:val="clear" w:color="auto" w:fill="auto"/>
        </w:rPr>
        <w:t xml:space="preserve"> </w:t>
      </w:r>
      <w:r>
        <w:rPr>
          <w:rFonts w:hint="eastAsia" w:ascii="Times New Roman"/>
          <w:color w:val="auto"/>
          <w:highlight w:val="none"/>
          <w:shd w:val="clear" w:color="auto" w:fill="auto"/>
        </w:rPr>
        <w:t>监理内容</w:t>
      </w:r>
      <w:bookmarkEnd w:id="223"/>
    </w:p>
    <w:p w14:paraId="09795074">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w:t>
      </w:r>
      <w:r>
        <w:rPr>
          <w:color w:val="auto"/>
          <w:szCs w:val="21"/>
          <w:highlight w:val="none"/>
          <w:shd w:val="clear" w:color="auto" w:fill="auto"/>
        </w:rPr>
        <w:t>5.</w:t>
      </w:r>
      <w:r>
        <w:rPr>
          <w:rFonts w:hint="eastAsia"/>
          <w:color w:val="auto"/>
          <w:szCs w:val="21"/>
          <w:highlight w:val="none"/>
          <w:shd w:val="clear" w:color="auto" w:fill="auto"/>
        </w:rPr>
        <w:t>3</w:t>
      </w:r>
      <w:r>
        <w:rPr>
          <w:rFonts w:hint="eastAsia"/>
          <w:color w:val="auto"/>
          <w:highlight w:val="none"/>
          <w:shd w:val="clear" w:color="auto" w:fill="auto"/>
        </w:rPr>
        <w:t>款：</w:t>
      </w:r>
    </w:p>
    <w:p w14:paraId="7CA1139C">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lang w:val="zh-CN"/>
        </w:rPr>
        <w:t>监理工作内容见</w:t>
      </w:r>
      <w:permStart w:id="93" w:edGrp="everyone"/>
      <w:r>
        <w:rPr>
          <w:rFonts w:hint="eastAsia"/>
          <w:color w:val="auto"/>
          <w:szCs w:val="21"/>
          <w:highlight w:val="none"/>
          <w:shd w:val="clear" w:color="auto" w:fill="auto"/>
        </w:rPr>
        <w:t>“合同附件格式”附件</w:t>
      </w:r>
      <w:r>
        <w:rPr>
          <w:rFonts w:hint="eastAsia"/>
          <w:color w:val="auto"/>
          <w:szCs w:val="21"/>
          <w:highlight w:val="none"/>
          <w:shd w:val="clear" w:color="auto" w:fill="auto"/>
          <w:lang w:val="en-US" w:eastAsia="zh-CN"/>
        </w:rPr>
        <w:t>一</w:t>
      </w:r>
      <w:r>
        <w:rPr>
          <w:rFonts w:hint="eastAsia"/>
          <w:color w:val="auto"/>
          <w:szCs w:val="21"/>
          <w:highlight w:val="none"/>
          <w:shd w:val="clear" w:color="auto" w:fill="auto"/>
          <w:lang w:val="zh-CN"/>
        </w:rPr>
        <w:t>。</w:t>
      </w:r>
      <w:permEnd w:id="93"/>
    </w:p>
    <w:p w14:paraId="5D1CCCB8">
      <w:pPr>
        <w:pStyle w:val="6"/>
        <w:spacing w:line="540" w:lineRule="exact"/>
        <w:ind w:firstLine="137"/>
        <w:rPr>
          <w:rFonts w:ascii="Times New Roman"/>
          <w:color w:val="auto"/>
          <w:highlight w:val="none"/>
          <w:shd w:val="clear" w:color="auto" w:fill="auto"/>
        </w:rPr>
      </w:pPr>
      <w:bookmarkStart w:id="224" w:name="_Toc1754"/>
      <w:r>
        <w:rPr>
          <w:rFonts w:ascii="Times New Roman"/>
          <w:color w:val="auto"/>
          <w:highlight w:val="none"/>
          <w:shd w:val="clear" w:color="auto" w:fill="auto"/>
        </w:rPr>
        <w:t>5.</w:t>
      </w:r>
      <w:r>
        <w:rPr>
          <w:rFonts w:hint="eastAsia" w:ascii="Times New Roman"/>
          <w:color w:val="auto"/>
          <w:highlight w:val="none"/>
          <w:shd w:val="clear" w:color="auto" w:fill="auto"/>
        </w:rPr>
        <w:t>4</w:t>
      </w:r>
      <w:r>
        <w:rPr>
          <w:rFonts w:ascii="Times New Roman"/>
          <w:color w:val="auto"/>
          <w:highlight w:val="none"/>
          <w:shd w:val="clear" w:color="auto" w:fill="auto"/>
        </w:rPr>
        <w:t xml:space="preserve"> </w:t>
      </w:r>
      <w:r>
        <w:rPr>
          <w:rFonts w:hint="eastAsia" w:ascii="Times New Roman"/>
          <w:color w:val="auto"/>
          <w:highlight w:val="none"/>
          <w:shd w:val="clear" w:color="auto" w:fill="auto"/>
        </w:rPr>
        <w:t>监理文件要求</w:t>
      </w:r>
      <w:bookmarkEnd w:id="224"/>
    </w:p>
    <w:p w14:paraId="589EA518">
      <w:pPr>
        <w:spacing w:line="540" w:lineRule="exact"/>
        <w:ind w:firstLine="420" w:firstLineChars="200"/>
        <w:rPr>
          <w:color w:val="auto"/>
          <w:highlight w:val="none"/>
          <w:shd w:val="clear" w:color="auto" w:fill="auto"/>
        </w:rPr>
      </w:pPr>
      <w:r>
        <w:rPr>
          <w:rFonts w:hint="eastAsia"/>
          <w:color w:val="auto"/>
          <w:highlight w:val="none"/>
          <w:shd w:val="clear" w:color="auto" w:fill="auto"/>
        </w:rPr>
        <w:t>替换以下内容到第</w:t>
      </w:r>
      <w:r>
        <w:rPr>
          <w:color w:val="auto"/>
          <w:szCs w:val="21"/>
          <w:highlight w:val="none"/>
          <w:shd w:val="clear" w:color="auto" w:fill="auto"/>
        </w:rPr>
        <w:t>5.</w:t>
      </w:r>
      <w:r>
        <w:rPr>
          <w:rFonts w:hint="eastAsia"/>
          <w:color w:val="auto"/>
          <w:szCs w:val="21"/>
          <w:highlight w:val="none"/>
          <w:shd w:val="clear" w:color="auto" w:fill="auto"/>
        </w:rPr>
        <w:t>4.3</w:t>
      </w:r>
      <w:r>
        <w:rPr>
          <w:rFonts w:hint="eastAsia"/>
          <w:color w:val="auto"/>
          <w:highlight w:val="none"/>
          <w:shd w:val="clear" w:color="auto" w:fill="auto"/>
        </w:rPr>
        <w:t>款：</w:t>
      </w:r>
    </w:p>
    <w:p w14:paraId="467B3662">
      <w:pPr>
        <w:spacing w:line="540" w:lineRule="exact"/>
        <w:ind w:firstLine="420" w:firstLineChars="200"/>
        <w:rPr>
          <w:rFonts w:hAnsi="宋体"/>
          <w:color w:val="auto"/>
          <w:szCs w:val="21"/>
          <w:highlight w:val="none"/>
          <w:shd w:val="clear" w:color="auto" w:fill="auto"/>
        </w:rPr>
      </w:pPr>
      <w:r>
        <w:rPr>
          <w:color w:val="auto"/>
          <w:szCs w:val="21"/>
          <w:highlight w:val="none"/>
          <w:shd w:val="clear" w:color="auto" w:fill="auto"/>
        </w:rPr>
        <w:t>本工程监理文件的具体类别、编制要求、编制内容、提交时间和份数</w:t>
      </w:r>
      <w:r>
        <w:rPr>
          <w:rFonts w:hint="eastAsia"/>
          <w:color w:val="auto"/>
          <w:szCs w:val="21"/>
          <w:highlight w:val="none"/>
          <w:shd w:val="clear" w:color="auto" w:fill="auto"/>
        </w:rPr>
        <w:t>：</w:t>
      </w:r>
      <w:permStart w:id="94" w:edGrp="everyone"/>
      <w:r>
        <w:rPr>
          <w:rFonts w:hint="eastAsia"/>
          <w:color w:val="auto"/>
          <w:szCs w:val="21"/>
          <w:highlight w:val="none"/>
          <w:u w:val="single"/>
          <w:shd w:val="clear" w:color="auto" w:fill="auto"/>
        </w:rPr>
        <w:t xml:space="preserve">            </w:t>
      </w:r>
      <w:r>
        <w:rPr>
          <w:color w:val="auto"/>
          <w:szCs w:val="21"/>
          <w:highlight w:val="none"/>
          <w:shd w:val="clear" w:color="auto" w:fill="auto"/>
        </w:rPr>
        <w:t>。</w:t>
      </w:r>
      <w:permEnd w:id="94"/>
    </w:p>
    <w:p w14:paraId="389D2D8F">
      <w:pPr>
        <w:pStyle w:val="5"/>
        <w:spacing w:line="540" w:lineRule="exact"/>
        <w:rPr>
          <w:rFonts w:ascii="Times New Roman" w:hAnsi="Times New Roman"/>
          <w:color w:val="auto"/>
          <w:highlight w:val="none"/>
          <w:shd w:val="clear" w:color="auto" w:fill="auto"/>
        </w:rPr>
      </w:pPr>
      <w:bookmarkStart w:id="225" w:name="_Toc23175"/>
      <w:r>
        <w:rPr>
          <w:rFonts w:ascii="Times New Roman" w:hAnsi="Times New Roman"/>
          <w:color w:val="auto"/>
          <w:highlight w:val="none"/>
          <w:shd w:val="clear" w:color="auto" w:fill="auto"/>
        </w:rPr>
        <w:t>6. 开始</w:t>
      </w:r>
      <w:r>
        <w:rPr>
          <w:rFonts w:hint="eastAsia" w:ascii="Times New Roman" w:hAnsi="Times New Roman"/>
          <w:color w:val="auto"/>
          <w:highlight w:val="none"/>
          <w:shd w:val="clear" w:color="auto" w:fill="auto"/>
        </w:rPr>
        <w:t>监理</w:t>
      </w:r>
      <w:r>
        <w:rPr>
          <w:rFonts w:ascii="Times New Roman" w:hAnsi="Times New Roman"/>
          <w:color w:val="auto"/>
          <w:highlight w:val="none"/>
          <w:shd w:val="clear" w:color="auto" w:fill="auto"/>
        </w:rPr>
        <w:t>和完成</w:t>
      </w:r>
      <w:r>
        <w:rPr>
          <w:rFonts w:hint="eastAsia" w:ascii="Times New Roman" w:hAnsi="Times New Roman"/>
          <w:color w:val="auto"/>
          <w:highlight w:val="none"/>
          <w:shd w:val="clear" w:color="auto" w:fill="auto"/>
        </w:rPr>
        <w:t>监理</w:t>
      </w:r>
      <w:bookmarkEnd w:id="225"/>
    </w:p>
    <w:p w14:paraId="40637440">
      <w:pPr>
        <w:pStyle w:val="6"/>
        <w:spacing w:line="540" w:lineRule="exact"/>
        <w:ind w:firstLine="137"/>
        <w:rPr>
          <w:rFonts w:ascii="Times New Roman"/>
          <w:color w:val="auto"/>
          <w:highlight w:val="none"/>
          <w:shd w:val="clear" w:color="auto" w:fill="auto"/>
        </w:rPr>
      </w:pPr>
      <w:bookmarkStart w:id="226" w:name="_Toc27329"/>
      <w:r>
        <w:rPr>
          <w:rFonts w:ascii="Times New Roman"/>
          <w:color w:val="auto"/>
          <w:highlight w:val="none"/>
          <w:shd w:val="clear" w:color="auto" w:fill="auto"/>
        </w:rPr>
        <w:t xml:space="preserve">6.1 </w:t>
      </w:r>
      <w:r>
        <w:rPr>
          <w:rFonts w:hint="eastAsia" w:ascii="Times New Roman"/>
          <w:color w:val="auto"/>
          <w:highlight w:val="none"/>
          <w:shd w:val="clear" w:color="auto" w:fill="auto"/>
        </w:rPr>
        <w:t>开始监理</w:t>
      </w:r>
      <w:bookmarkEnd w:id="226"/>
    </w:p>
    <w:p w14:paraId="22B6C558">
      <w:pPr>
        <w:spacing w:line="540" w:lineRule="exact"/>
        <w:ind w:firstLine="420" w:firstLineChars="200"/>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增加以下内容到第6.1.1款：</w:t>
      </w:r>
    </w:p>
    <w:p w14:paraId="1386D9B8">
      <w:pPr>
        <w:spacing w:line="540" w:lineRule="exact"/>
        <w:ind w:firstLine="420" w:firstLineChars="200"/>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开始监理条件：</w:t>
      </w:r>
      <w:permStart w:id="95" w:edGrp="everyone"/>
      <w:r>
        <w:rPr>
          <w:rFonts w:hint="eastAsia" w:ascii="宋体" w:hAnsi="宋体" w:cs="宋体"/>
          <w:color w:val="auto"/>
          <w:kern w:val="0"/>
          <w:szCs w:val="21"/>
          <w:highlight w:val="none"/>
          <w:u w:val="single"/>
          <w:shd w:val="clear" w:color="auto" w:fill="auto"/>
        </w:rPr>
        <w:t xml:space="preserve">            </w:t>
      </w:r>
      <w:r>
        <w:rPr>
          <w:rFonts w:hint="eastAsia" w:ascii="宋体" w:hAnsi="宋体" w:cs="宋体"/>
          <w:color w:val="auto"/>
          <w:kern w:val="0"/>
          <w:szCs w:val="21"/>
          <w:highlight w:val="none"/>
          <w:shd w:val="clear" w:color="auto" w:fill="auto"/>
        </w:rPr>
        <w:t>。</w:t>
      </w:r>
      <w:permEnd w:id="95"/>
    </w:p>
    <w:p w14:paraId="32D95A9F">
      <w:pPr>
        <w:spacing w:line="540" w:lineRule="exact"/>
        <w:ind w:firstLine="420" w:firstLineChars="200"/>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项目监理服务期限：</w:t>
      </w:r>
      <w:permStart w:id="96" w:edGrp="everyone"/>
      <w:r>
        <w:rPr>
          <w:rFonts w:hint="eastAsia" w:ascii="宋体" w:hAnsi="宋体" w:cs="宋体"/>
          <w:color w:val="auto"/>
          <w:kern w:val="0"/>
          <w:szCs w:val="21"/>
          <w:highlight w:val="none"/>
          <w:u w:val="single"/>
          <w:shd w:val="clear" w:color="auto" w:fill="auto"/>
        </w:rPr>
        <w:t xml:space="preserve">     </w:t>
      </w:r>
      <w:permEnd w:id="96"/>
      <w:r>
        <w:rPr>
          <w:rFonts w:hint="eastAsia" w:ascii="宋体" w:hAnsi="宋体" w:cs="宋体"/>
          <w:color w:val="auto"/>
          <w:kern w:val="0"/>
          <w:szCs w:val="21"/>
          <w:highlight w:val="none"/>
          <w:shd w:val="clear" w:color="auto" w:fill="auto"/>
        </w:rPr>
        <w:t>天，计划开始监理日期：</w:t>
      </w:r>
      <w:permStart w:id="97" w:edGrp="everyone"/>
      <w:r>
        <w:rPr>
          <w:rFonts w:hint="eastAsia" w:ascii="宋体" w:hAnsi="宋体" w:cs="宋体"/>
          <w:color w:val="auto"/>
          <w:kern w:val="0"/>
          <w:szCs w:val="21"/>
          <w:highlight w:val="none"/>
          <w:u w:val="single"/>
          <w:shd w:val="clear" w:color="auto" w:fill="auto"/>
        </w:rPr>
        <w:t xml:space="preserve">             </w:t>
      </w:r>
      <w:r>
        <w:rPr>
          <w:rFonts w:hint="eastAsia" w:ascii="宋体" w:hAnsi="宋体" w:cs="宋体"/>
          <w:color w:val="auto"/>
          <w:kern w:val="0"/>
          <w:szCs w:val="21"/>
          <w:highlight w:val="none"/>
          <w:shd w:val="clear" w:color="auto" w:fill="auto"/>
        </w:rPr>
        <w:t>，</w:t>
      </w:r>
      <w:permEnd w:id="97"/>
      <w:r>
        <w:rPr>
          <w:rFonts w:hint="eastAsia" w:ascii="宋体" w:hAnsi="宋体" w:cs="宋体"/>
          <w:color w:val="auto"/>
          <w:kern w:val="0"/>
          <w:szCs w:val="21"/>
          <w:highlight w:val="none"/>
          <w:shd w:val="clear" w:color="auto" w:fill="auto"/>
        </w:rPr>
        <w:t>计划完成监理日期：</w:t>
      </w:r>
      <w:permStart w:id="98" w:edGrp="everyone"/>
      <w:r>
        <w:rPr>
          <w:rFonts w:hint="eastAsia" w:ascii="宋体" w:hAnsi="宋体" w:cs="宋体"/>
          <w:color w:val="auto"/>
          <w:kern w:val="0"/>
          <w:szCs w:val="21"/>
          <w:highlight w:val="none"/>
          <w:u w:val="single"/>
          <w:shd w:val="clear" w:color="auto" w:fill="auto"/>
        </w:rPr>
        <w:t xml:space="preserve">             </w:t>
      </w:r>
      <w:r>
        <w:rPr>
          <w:rFonts w:hint="eastAsia" w:ascii="宋体" w:hAnsi="宋体" w:cs="宋体"/>
          <w:color w:val="auto"/>
          <w:kern w:val="0"/>
          <w:szCs w:val="21"/>
          <w:highlight w:val="none"/>
          <w:shd w:val="clear" w:color="auto" w:fill="auto"/>
        </w:rPr>
        <w:t>。</w:t>
      </w:r>
      <w:permEnd w:id="98"/>
      <w:r>
        <w:rPr>
          <w:rFonts w:hint="eastAsia" w:ascii="宋体" w:hAnsi="宋体" w:cs="宋体"/>
          <w:color w:val="auto"/>
          <w:kern w:val="0"/>
          <w:szCs w:val="21"/>
          <w:highlight w:val="none"/>
          <w:shd w:val="clear" w:color="auto" w:fill="auto"/>
        </w:rPr>
        <w:t>（实际日期按照委托人在开始监理通知中载明的开始监理日期、竣工日期为准）</w:t>
      </w:r>
    </w:p>
    <w:p w14:paraId="052876D3">
      <w:pPr>
        <w:spacing w:line="540" w:lineRule="exact"/>
        <w:ind w:firstLine="420" w:firstLineChars="200"/>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本合同由双方签字盖章之日开始至工程缺陷责任期满之日结束。</w:t>
      </w:r>
      <w:r>
        <w:rPr>
          <w:rFonts w:hint="eastAsia" w:ascii="宋体" w:hAnsi="宋体" w:cs="宋体"/>
          <w:color w:val="auto"/>
          <w:kern w:val="0"/>
          <w:szCs w:val="21"/>
          <w:highlight w:val="none"/>
          <w:shd w:val="clear" w:color="auto" w:fill="auto"/>
          <w:lang w:val="zh-CN"/>
        </w:rPr>
        <w:t>如果双方另有书面协议，可延期。</w:t>
      </w:r>
    </w:p>
    <w:p w14:paraId="3EF16B3E">
      <w:pPr>
        <w:pStyle w:val="6"/>
        <w:spacing w:line="540" w:lineRule="exact"/>
        <w:ind w:firstLine="137"/>
        <w:rPr>
          <w:rFonts w:ascii="Times New Roman"/>
          <w:color w:val="auto"/>
          <w:highlight w:val="none"/>
          <w:shd w:val="clear" w:color="auto" w:fill="auto"/>
        </w:rPr>
      </w:pPr>
      <w:bookmarkStart w:id="227" w:name="_Toc8255"/>
      <w:r>
        <w:rPr>
          <w:rFonts w:ascii="Times New Roman"/>
          <w:color w:val="auto"/>
          <w:highlight w:val="none"/>
          <w:shd w:val="clear" w:color="auto" w:fill="auto"/>
        </w:rPr>
        <w:t xml:space="preserve">6.2 </w:t>
      </w:r>
      <w:r>
        <w:rPr>
          <w:rFonts w:hint="eastAsia" w:ascii="Times New Roman"/>
          <w:color w:val="auto"/>
          <w:highlight w:val="none"/>
          <w:shd w:val="clear" w:color="auto" w:fill="auto"/>
        </w:rPr>
        <w:t>监理周期延误</w:t>
      </w:r>
      <w:bookmarkEnd w:id="227"/>
    </w:p>
    <w:p w14:paraId="7764000B">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增加以下内容到第6.2款：</w:t>
      </w:r>
    </w:p>
    <w:p w14:paraId="5E40CCF0">
      <w:pPr>
        <w:spacing w:line="540" w:lineRule="exact"/>
        <w:ind w:firstLine="420" w:firstLineChars="200"/>
        <w:rPr>
          <w:color w:val="auto"/>
          <w:highlight w:val="none"/>
          <w:shd w:val="clear" w:color="auto" w:fill="auto"/>
        </w:rPr>
      </w:pPr>
      <w:r>
        <w:rPr>
          <w:rFonts w:hint="eastAsia"/>
          <w:color w:val="auto"/>
          <w:highlight w:val="none"/>
          <w:shd w:val="clear" w:color="auto" w:fill="auto"/>
        </w:rPr>
        <w:t>监理人应在发生上述情况后5天内向委托人发出要求延期的书面通知，在发生上述情况后10天内提交要求延期的详细说明供委托人审查。委托人收到监理人要求延期的详细说明后，应在5天内进行审查并就是否延长监理周期及延期天数向监理人进行书面答复。</w:t>
      </w:r>
    </w:p>
    <w:p w14:paraId="60A9C2B3">
      <w:pPr>
        <w:spacing w:line="540" w:lineRule="exact"/>
        <w:ind w:firstLine="420" w:firstLineChars="200"/>
        <w:rPr>
          <w:color w:val="auto"/>
          <w:highlight w:val="none"/>
          <w:shd w:val="clear" w:color="auto" w:fill="auto"/>
        </w:rPr>
      </w:pPr>
      <w:r>
        <w:rPr>
          <w:rFonts w:hint="eastAsia"/>
          <w:color w:val="auto"/>
          <w:highlight w:val="none"/>
          <w:shd w:val="clear" w:color="auto" w:fill="auto"/>
        </w:rPr>
        <w:t>如果委托人在收到监理人提交要求延期的详细说明后，在约定的期限内未予答复，则视为监理人要求的延期已被委托人批准。如果监理人未能按本款约定的时间内发出要求延期的通知并提交详细资料，则委托人可拒绝作出任何延期的决定。</w:t>
      </w:r>
    </w:p>
    <w:p w14:paraId="382FC782">
      <w:pPr>
        <w:spacing w:line="540" w:lineRule="exact"/>
        <w:ind w:firstLine="420" w:firstLineChars="200"/>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若实际工期未超过合同工期，除额外服务和附加服务外的合同费用不予调整；若超过合同工期，但监理服务仍在合同规定的服务范围之内时或合同规定的监理服务未完成时，完成服务的时间应相应地予以延长，正常服务费用不予调整。</w:t>
      </w:r>
    </w:p>
    <w:p w14:paraId="12EC525E">
      <w:pPr>
        <w:spacing w:line="540" w:lineRule="exact"/>
        <w:ind w:firstLine="420" w:firstLineChars="200"/>
        <w:rPr>
          <w:color w:val="auto"/>
          <w:highlight w:val="none"/>
          <w:shd w:val="clear" w:color="auto" w:fill="auto"/>
        </w:rPr>
      </w:pPr>
      <w:r>
        <w:rPr>
          <w:rFonts w:hint="eastAsia" w:ascii="宋体" w:hAnsi="宋体" w:cs="宋体"/>
          <w:color w:val="auto"/>
          <w:kern w:val="0"/>
          <w:szCs w:val="21"/>
          <w:highlight w:val="none"/>
          <w:shd w:val="clear" w:color="auto" w:fill="auto"/>
        </w:rPr>
        <w:t>其他情形的处理方式见第8条约定。</w:t>
      </w:r>
    </w:p>
    <w:p w14:paraId="205E56D3">
      <w:pPr>
        <w:pStyle w:val="6"/>
        <w:spacing w:line="540" w:lineRule="exact"/>
        <w:ind w:firstLine="137"/>
        <w:rPr>
          <w:rFonts w:ascii="Times New Roman"/>
          <w:color w:val="auto"/>
          <w:highlight w:val="none"/>
          <w:shd w:val="clear" w:color="auto" w:fill="auto"/>
        </w:rPr>
      </w:pPr>
      <w:bookmarkStart w:id="228" w:name="_Toc30065"/>
      <w:r>
        <w:rPr>
          <w:rFonts w:ascii="Times New Roman"/>
          <w:color w:val="auto"/>
          <w:highlight w:val="none"/>
          <w:shd w:val="clear" w:color="auto" w:fill="auto"/>
        </w:rPr>
        <w:t>6.</w:t>
      </w:r>
      <w:r>
        <w:rPr>
          <w:rFonts w:hint="eastAsia" w:ascii="Times New Roman"/>
          <w:color w:val="auto"/>
          <w:highlight w:val="none"/>
          <w:shd w:val="clear" w:color="auto" w:fill="auto"/>
        </w:rPr>
        <w:t>3</w:t>
      </w:r>
      <w:r>
        <w:rPr>
          <w:rFonts w:ascii="Times New Roman"/>
          <w:color w:val="auto"/>
          <w:highlight w:val="none"/>
          <w:shd w:val="clear" w:color="auto" w:fill="auto"/>
        </w:rPr>
        <w:t xml:space="preserve"> </w:t>
      </w:r>
      <w:r>
        <w:rPr>
          <w:rFonts w:hint="eastAsia" w:ascii="Times New Roman"/>
          <w:color w:val="auto"/>
          <w:highlight w:val="none"/>
          <w:shd w:val="clear" w:color="auto" w:fill="auto"/>
        </w:rPr>
        <w:t>完成</w:t>
      </w:r>
      <w:r>
        <w:rPr>
          <w:rFonts w:hint="eastAsia" w:ascii="Times New Roman"/>
          <w:color w:val="auto"/>
          <w:szCs w:val="21"/>
          <w:highlight w:val="none"/>
          <w:shd w:val="clear" w:color="auto" w:fill="auto"/>
        </w:rPr>
        <w:t>监理</w:t>
      </w:r>
      <w:bookmarkEnd w:id="228"/>
      <w:r>
        <w:rPr>
          <w:rFonts w:ascii="Times New Roman"/>
          <w:color w:val="auto"/>
          <w:highlight w:val="none"/>
          <w:shd w:val="clear" w:color="auto" w:fill="auto"/>
        </w:rPr>
        <w:t xml:space="preserve"> </w:t>
      </w:r>
    </w:p>
    <w:p w14:paraId="078D501E">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增加以下内容到第6.3.5款：</w:t>
      </w:r>
    </w:p>
    <w:p w14:paraId="43318BC4">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lang w:val="zh-CN"/>
        </w:rPr>
        <w:t>监理文件提供的具体要求：</w:t>
      </w:r>
      <w:permStart w:id="99" w:edGrp="everyone"/>
      <w:r>
        <w:rPr>
          <w:rFonts w:hint="eastAsia"/>
          <w:color w:val="auto"/>
          <w:szCs w:val="21"/>
          <w:highlight w:val="none"/>
          <w:u w:val="single"/>
          <w:shd w:val="clear" w:color="auto" w:fill="auto"/>
          <w:lang w:val="zh-CN"/>
        </w:rPr>
        <w:t>见</w:t>
      </w:r>
      <w:r>
        <w:rPr>
          <w:rFonts w:hint="eastAsia"/>
          <w:color w:val="auto"/>
          <w:szCs w:val="21"/>
          <w:highlight w:val="none"/>
          <w:u w:val="single"/>
          <w:shd w:val="clear" w:color="auto" w:fill="auto"/>
        </w:rPr>
        <w:t>“合同附件格式”附件</w:t>
      </w:r>
      <w:r>
        <w:rPr>
          <w:rFonts w:hint="eastAsia"/>
          <w:color w:val="auto"/>
          <w:szCs w:val="21"/>
          <w:highlight w:val="none"/>
          <w:u w:val="single"/>
          <w:shd w:val="clear" w:color="auto" w:fill="auto"/>
          <w:lang w:val="en-US" w:eastAsia="zh-CN"/>
        </w:rPr>
        <w:t>一</w:t>
      </w:r>
      <w:r>
        <w:rPr>
          <w:rFonts w:hint="eastAsia"/>
          <w:color w:val="auto"/>
          <w:szCs w:val="21"/>
          <w:highlight w:val="none"/>
          <w:shd w:val="clear" w:color="auto" w:fill="auto"/>
          <w:lang w:val="zh-CN"/>
        </w:rPr>
        <w:t>。</w:t>
      </w:r>
      <w:permEnd w:id="99"/>
    </w:p>
    <w:p w14:paraId="7675CCAC">
      <w:pPr>
        <w:pStyle w:val="5"/>
        <w:spacing w:line="540" w:lineRule="exact"/>
        <w:rPr>
          <w:rFonts w:ascii="Times New Roman" w:hAnsi="Times New Roman"/>
          <w:color w:val="auto"/>
          <w:highlight w:val="none"/>
          <w:shd w:val="clear" w:color="auto" w:fill="auto"/>
        </w:rPr>
      </w:pPr>
      <w:bookmarkStart w:id="229" w:name="_Toc23627"/>
      <w:r>
        <w:rPr>
          <w:rFonts w:hint="eastAsia" w:ascii="Times New Roman" w:hAnsi="Times New Roman"/>
          <w:color w:val="auto"/>
          <w:highlight w:val="none"/>
          <w:shd w:val="clear" w:color="auto" w:fill="auto"/>
        </w:rPr>
        <w:t>7</w:t>
      </w:r>
      <w:r>
        <w:rPr>
          <w:rFonts w:ascii="Times New Roman" w:hAnsi="Times New Roman"/>
          <w:color w:val="auto"/>
          <w:highlight w:val="none"/>
          <w:shd w:val="clear" w:color="auto" w:fill="auto"/>
        </w:rPr>
        <w:t>. 监理责任与保险</w:t>
      </w:r>
      <w:bookmarkEnd w:id="229"/>
    </w:p>
    <w:p w14:paraId="6F3E6AFC">
      <w:pPr>
        <w:pStyle w:val="6"/>
        <w:spacing w:line="540" w:lineRule="exact"/>
        <w:ind w:firstLine="137"/>
        <w:rPr>
          <w:rFonts w:ascii="Times New Roman"/>
          <w:color w:val="auto"/>
          <w:highlight w:val="none"/>
          <w:shd w:val="clear" w:color="auto" w:fill="auto"/>
        </w:rPr>
      </w:pPr>
      <w:bookmarkStart w:id="230" w:name="_Toc24097"/>
      <w:r>
        <w:rPr>
          <w:rFonts w:hint="eastAsia" w:ascii="Times New Roman"/>
          <w:color w:val="auto"/>
          <w:highlight w:val="none"/>
          <w:shd w:val="clear" w:color="auto" w:fill="auto"/>
        </w:rPr>
        <w:t>7</w:t>
      </w:r>
      <w:r>
        <w:rPr>
          <w:rFonts w:ascii="Times New Roman"/>
          <w:color w:val="auto"/>
          <w:highlight w:val="none"/>
          <w:shd w:val="clear" w:color="auto" w:fill="auto"/>
        </w:rPr>
        <w:t>.</w:t>
      </w:r>
      <w:r>
        <w:rPr>
          <w:rFonts w:hint="eastAsia" w:ascii="Times New Roman"/>
          <w:color w:val="auto"/>
          <w:highlight w:val="none"/>
          <w:shd w:val="clear" w:color="auto" w:fill="auto"/>
        </w:rPr>
        <w:t>2</w:t>
      </w:r>
      <w:r>
        <w:rPr>
          <w:rFonts w:ascii="Times New Roman"/>
          <w:color w:val="auto"/>
          <w:highlight w:val="none"/>
          <w:shd w:val="clear" w:color="auto" w:fill="auto"/>
        </w:rPr>
        <w:t xml:space="preserve"> </w:t>
      </w:r>
      <w:r>
        <w:rPr>
          <w:rFonts w:hint="eastAsia" w:ascii="Times New Roman"/>
          <w:color w:val="auto"/>
          <w:highlight w:val="none"/>
          <w:shd w:val="clear" w:color="auto" w:fill="auto"/>
        </w:rPr>
        <w:t>监理责任保险</w:t>
      </w:r>
      <w:bookmarkEnd w:id="230"/>
    </w:p>
    <w:p w14:paraId="60D32C85">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增加以下内容到第7.2款：</w:t>
      </w:r>
    </w:p>
    <w:p w14:paraId="3DD336ED">
      <w:pPr>
        <w:spacing w:line="540" w:lineRule="exact"/>
        <w:ind w:firstLine="420" w:firstLineChars="200"/>
        <w:rPr>
          <w:color w:val="auto"/>
          <w:highlight w:val="none"/>
          <w:shd w:val="clear" w:color="auto" w:fill="auto"/>
        </w:rPr>
      </w:pPr>
      <w:r>
        <w:rPr>
          <w:rFonts w:hint="eastAsia"/>
          <w:color w:val="auto"/>
          <w:highlight w:val="none"/>
          <w:shd w:val="clear" w:color="auto" w:fill="auto"/>
        </w:rPr>
        <w:t>监理人的责任</w:t>
      </w:r>
    </w:p>
    <w:p w14:paraId="7122365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（1）贯彻执行国家、行业和公司的工程建设法律、法规和标准。</w:t>
      </w:r>
    </w:p>
    <w:p w14:paraId="1C21B23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（2）推行全方位标准建设。参与质量门管控。</w:t>
      </w:r>
    </w:p>
    <w:p w14:paraId="79644F8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（3）严格执行指导工期，依据里程碑、三级进度计划进行“红绿灯”管控。</w:t>
      </w:r>
    </w:p>
    <w:p w14:paraId="7740C05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（4）督促落实标准设计，履行施工图和工程变更管理职责，推进技术进步。</w:t>
      </w:r>
    </w:p>
    <w:p w14:paraId="0199D3E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（5）落实监理到位标准，推行全员持证上岗，强化合同管理。</w:t>
      </w:r>
    </w:p>
    <w:p w14:paraId="6C051A1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（6）落实现场风险分级管控和承包商违章扣分，推进四步法、八步骤和7S管理。</w:t>
      </w:r>
    </w:p>
    <w:p w14:paraId="1C6C67C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（7）深化作业指导书、工程建设强制性条文执行力度，推进标准化验收和缺陷管理。</w:t>
      </w:r>
    </w:p>
    <w:p w14:paraId="0C0B3F6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（8）落实造价控制措施，推行赢得值管理，降低工程造价。</w:t>
      </w:r>
    </w:p>
    <w:p w14:paraId="5C9E22E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（9）加强信息和档案管理，全面应用基建信息一体化系统。</w:t>
      </w:r>
    </w:p>
    <w:p w14:paraId="50BB34F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（10）完成委托人交办的监理合同范围内的各项任务。</w:t>
      </w:r>
    </w:p>
    <w:p w14:paraId="77303D52">
      <w:pPr>
        <w:spacing w:line="540" w:lineRule="exact"/>
        <w:ind w:firstLine="420" w:firstLineChars="200"/>
        <w:rPr>
          <w:color w:val="auto"/>
          <w:szCs w:val="21"/>
          <w:highlight w:val="none"/>
          <w:shd w:val="clear" w:color="auto" w:fill="auto"/>
        </w:rPr>
      </w:pPr>
      <w:r>
        <w:rPr>
          <w:rFonts w:hint="eastAsia" w:ascii="宋体" w:hAnsi="宋体" w:cs="宋体"/>
          <w:color w:val="auto"/>
          <w:kern w:val="0"/>
          <w:szCs w:val="21"/>
          <w:highlight w:val="none"/>
          <w:shd w:val="clear" w:color="auto" w:fill="auto"/>
        </w:rPr>
        <w:t>监理人具体的责任见</w:t>
      </w:r>
      <w:r>
        <w:rPr>
          <w:rFonts w:hint="eastAsia"/>
          <w:color w:val="auto"/>
          <w:szCs w:val="21"/>
          <w:highlight w:val="none"/>
          <w:shd w:val="clear" w:color="auto" w:fill="auto"/>
        </w:rPr>
        <w:t>“合同附件格式”</w:t>
      </w:r>
      <w:r>
        <w:rPr>
          <w:rFonts w:hint="eastAsia" w:ascii="宋体" w:hAnsi="宋体" w:cs="宋体"/>
          <w:color w:val="auto"/>
          <w:kern w:val="0"/>
          <w:szCs w:val="21"/>
          <w:highlight w:val="none"/>
          <w:shd w:val="clear" w:color="auto" w:fill="auto"/>
        </w:rPr>
        <w:t>附件</w:t>
      </w:r>
      <w:r>
        <w:rPr>
          <w:rFonts w:hint="eastAsia" w:ascii="宋体" w:hAnsi="宋体" w:cs="宋体"/>
          <w:color w:val="auto"/>
          <w:kern w:val="0"/>
          <w:szCs w:val="21"/>
          <w:highlight w:val="none"/>
          <w:shd w:val="clear" w:color="auto" w:fill="auto"/>
          <w:lang w:val="en-US" w:eastAsia="zh-CN"/>
        </w:rPr>
        <w:t>一</w:t>
      </w:r>
      <w:r>
        <w:rPr>
          <w:rFonts w:hint="eastAsia" w:ascii="宋体" w:hAnsi="宋体" w:cs="宋体"/>
          <w:color w:val="auto"/>
          <w:kern w:val="0"/>
          <w:szCs w:val="21"/>
          <w:highlight w:val="none"/>
          <w:shd w:val="clear" w:color="auto" w:fill="auto"/>
        </w:rPr>
        <w:t>。</w:t>
      </w:r>
    </w:p>
    <w:p w14:paraId="66092FBD">
      <w:pPr>
        <w:pStyle w:val="5"/>
        <w:spacing w:line="540" w:lineRule="exact"/>
        <w:rPr>
          <w:rFonts w:ascii="Times New Roman" w:hAnsi="Times New Roman"/>
          <w:color w:val="auto"/>
          <w:highlight w:val="none"/>
          <w:shd w:val="clear" w:color="auto" w:fill="auto"/>
        </w:rPr>
      </w:pPr>
      <w:bookmarkStart w:id="231" w:name="_Toc14434"/>
      <w:r>
        <w:rPr>
          <w:rFonts w:hint="eastAsia" w:ascii="Times New Roman" w:hAnsi="Times New Roman"/>
          <w:color w:val="auto"/>
          <w:highlight w:val="none"/>
          <w:shd w:val="clear" w:color="auto" w:fill="auto"/>
        </w:rPr>
        <w:t>8</w:t>
      </w:r>
      <w:r>
        <w:rPr>
          <w:rFonts w:ascii="Times New Roman" w:hAnsi="Times New Roman"/>
          <w:color w:val="auto"/>
          <w:highlight w:val="none"/>
          <w:shd w:val="clear" w:color="auto" w:fill="auto"/>
        </w:rPr>
        <w:t>. 合同变更</w:t>
      </w:r>
      <w:bookmarkEnd w:id="231"/>
    </w:p>
    <w:p w14:paraId="5CE10F48">
      <w:pPr>
        <w:pStyle w:val="6"/>
        <w:spacing w:line="540" w:lineRule="exact"/>
        <w:ind w:firstLine="137"/>
        <w:rPr>
          <w:rFonts w:ascii="Times New Roman"/>
          <w:color w:val="auto"/>
          <w:highlight w:val="none"/>
          <w:shd w:val="clear" w:color="auto" w:fill="auto"/>
        </w:rPr>
      </w:pPr>
      <w:bookmarkStart w:id="232" w:name="_Toc16770"/>
      <w:r>
        <w:rPr>
          <w:rFonts w:hint="eastAsia" w:ascii="Times New Roman"/>
          <w:color w:val="auto"/>
          <w:highlight w:val="none"/>
          <w:shd w:val="clear" w:color="auto" w:fill="auto"/>
        </w:rPr>
        <w:t>8</w:t>
      </w:r>
      <w:r>
        <w:rPr>
          <w:rFonts w:ascii="Times New Roman"/>
          <w:color w:val="auto"/>
          <w:highlight w:val="none"/>
          <w:shd w:val="clear" w:color="auto" w:fill="auto"/>
        </w:rPr>
        <w:t xml:space="preserve">.1 </w:t>
      </w:r>
      <w:r>
        <w:rPr>
          <w:rFonts w:hint="eastAsia" w:ascii="Times New Roman"/>
          <w:color w:val="auto"/>
          <w:highlight w:val="none"/>
          <w:shd w:val="clear" w:color="auto" w:fill="auto"/>
        </w:rPr>
        <w:t>变更情形</w:t>
      </w:r>
      <w:bookmarkEnd w:id="232"/>
    </w:p>
    <w:p w14:paraId="7514AAB3">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增加以下内容到第8.1.1款：</w:t>
      </w:r>
    </w:p>
    <w:p w14:paraId="63992C0C">
      <w:pPr>
        <w:spacing w:line="540" w:lineRule="exact"/>
        <w:ind w:firstLine="420" w:firstLineChars="200"/>
        <w:rPr>
          <w:color w:val="auto"/>
          <w:szCs w:val="21"/>
          <w:highlight w:val="none"/>
          <w:u w:val="single"/>
          <w:shd w:val="clear" w:color="auto" w:fill="auto"/>
        </w:rPr>
      </w:pPr>
      <w:r>
        <w:rPr>
          <w:rFonts w:hint="eastAsia"/>
          <w:color w:val="auto"/>
          <w:highlight w:val="none"/>
          <w:shd w:val="clear" w:color="auto" w:fill="auto"/>
        </w:rPr>
        <w:t>监理</w:t>
      </w:r>
      <w:r>
        <w:rPr>
          <w:color w:val="auto"/>
          <w:szCs w:val="21"/>
          <w:highlight w:val="none"/>
          <w:shd w:val="clear" w:color="auto" w:fill="auto"/>
        </w:rPr>
        <w:t>服务期限和</w:t>
      </w:r>
      <w:r>
        <w:rPr>
          <w:rFonts w:hint="eastAsia"/>
          <w:color w:val="auto"/>
          <w:highlight w:val="none"/>
          <w:shd w:val="clear" w:color="auto" w:fill="auto"/>
        </w:rPr>
        <w:t>监理</w:t>
      </w:r>
      <w:r>
        <w:rPr>
          <w:color w:val="auto"/>
          <w:szCs w:val="21"/>
          <w:highlight w:val="none"/>
          <w:shd w:val="clear" w:color="auto" w:fill="auto"/>
        </w:rPr>
        <w:t>费用的调整方法</w:t>
      </w:r>
      <w:r>
        <w:rPr>
          <w:rFonts w:hint="eastAsia"/>
          <w:color w:val="auto"/>
          <w:szCs w:val="21"/>
          <w:highlight w:val="none"/>
          <w:shd w:val="clear" w:color="auto" w:fill="auto"/>
        </w:rPr>
        <w:t>：</w:t>
      </w:r>
      <w:permStart w:id="100" w:edGrp="everyone"/>
      <w:r>
        <w:rPr>
          <w:rFonts w:hint="eastAsia"/>
          <w:color w:val="auto"/>
          <w:szCs w:val="21"/>
          <w:highlight w:val="none"/>
          <w:u w:val="single"/>
          <w:shd w:val="clear" w:color="auto" w:fill="auto"/>
          <w:lang w:val="zh-CN"/>
        </w:rPr>
        <w:t>当任何一方提出申请并经双方书面同意后，在原招投标框架内，可对本合同进行更改</w:t>
      </w:r>
      <w:r>
        <w:rPr>
          <w:rFonts w:hint="eastAsia"/>
          <w:color w:val="auto"/>
          <w:szCs w:val="21"/>
          <w:highlight w:val="none"/>
          <w:u w:val="single"/>
          <w:shd w:val="clear" w:color="auto" w:fill="auto"/>
        </w:rPr>
        <w:t>。</w:t>
      </w:r>
      <w:permEnd w:id="100"/>
    </w:p>
    <w:p w14:paraId="49B593B9">
      <w:pPr>
        <w:pStyle w:val="6"/>
        <w:spacing w:line="540" w:lineRule="exact"/>
        <w:ind w:firstLine="137"/>
        <w:rPr>
          <w:rFonts w:ascii="Times New Roman"/>
          <w:color w:val="auto"/>
          <w:highlight w:val="none"/>
          <w:shd w:val="clear" w:color="auto" w:fill="auto"/>
        </w:rPr>
      </w:pPr>
      <w:bookmarkStart w:id="233" w:name="_Toc30952"/>
      <w:r>
        <w:rPr>
          <w:rFonts w:hint="eastAsia" w:ascii="Times New Roman"/>
          <w:color w:val="auto"/>
          <w:highlight w:val="none"/>
          <w:shd w:val="clear" w:color="auto" w:fill="auto"/>
        </w:rPr>
        <w:t>8</w:t>
      </w:r>
      <w:r>
        <w:rPr>
          <w:rFonts w:ascii="Times New Roman"/>
          <w:color w:val="auto"/>
          <w:highlight w:val="none"/>
          <w:shd w:val="clear" w:color="auto" w:fill="auto"/>
        </w:rPr>
        <w:t>.</w:t>
      </w:r>
      <w:r>
        <w:rPr>
          <w:rFonts w:hint="eastAsia" w:ascii="Times New Roman"/>
          <w:color w:val="auto"/>
          <w:highlight w:val="none"/>
          <w:shd w:val="clear" w:color="auto" w:fill="auto"/>
        </w:rPr>
        <w:t>2</w:t>
      </w:r>
      <w:r>
        <w:rPr>
          <w:rFonts w:ascii="Times New Roman"/>
          <w:color w:val="auto"/>
          <w:highlight w:val="none"/>
          <w:shd w:val="clear" w:color="auto" w:fill="auto"/>
        </w:rPr>
        <w:t xml:space="preserve"> </w:t>
      </w:r>
      <w:r>
        <w:rPr>
          <w:rFonts w:hint="eastAsia" w:ascii="Times New Roman"/>
          <w:color w:val="auto"/>
          <w:highlight w:val="none"/>
          <w:shd w:val="clear" w:color="auto" w:fill="auto"/>
        </w:rPr>
        <w:t>合理化建议</w:t>
      </w:r>
      <w:bookmarkEnd w:id="233"/>
    </w:p>
    <w:p w14:paraId="1F5E86FF">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增加以下内容到第8.2.2款：</w:t>
      </w:r>
    </w:p>
    <w:p w14:paraId="0F980C26">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监理</w:t>
      </w:r>
      <w:r>
        <w:rPr>
          <w:color w:val="auto"/>
          <w:szCs w:val="21"/>
          <w:highlight w:val="none"/>
          <w:shd w:val="clear" w:color="auto" w:fill="auto"/>
        </w:rPr>
        <w:t>人提出的合理化建议降低了工程投资、缩短了施工期限或者提高了工程经济效益的奖励：</w:t>
      </w:r>
      <w:permStart w:id="101" w:edGrp="everyone"/>
      <w:r>
        <w:rPr>
          <w:rFonts w:hint="eastAsia"/>
          <w:color w:val="auto"/>
          <w:szCs w:val="21"/>
          <w:highlight w:val="none"/>
          <w:u w:val="single"/>
          <w:shd w:val="clear" w:color="auto" w:fill="auto"/>
        </w:rPr>
        <w:t xml:space="preserve">            </w:t>
      </w:r>
      <w:r>
        <w:rPr>
          <w:color w:val="auto"/>
          <w:szCs w:val="21"/>
          <w:highlight w:val="none"/>
          <w:shd w:val="clear" w:color="auto" w:fill="auto"/>
        </w:rPr>
        <w:t>。</w:t>
      </w:r>
      <w:permEnd w:id="101"/>
    </w:p>
    <w:p w14:paraId="74718F58">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增加以下内容到第8款：</w:t>
      </w:r>
    </w:p>
    <w:p w14:paraId="75A2E187">
      <w:pPr>
        <w:pStyle w:val="6"/>
        <w:spacing w:line="540" w:lineRule="exact"/>
        <w:ind w:firstLine="137"/>
        <w:rPr>
          <w:rFonts w:ascii="Times New Roman"/>
          <w:color w:val="auto"/>
          <w:highlight w:val="none"/>
          <w:shd w:val="clear" w:color="auto" w:fill="auto"/>
        </w:rPr>
      </w:pPr>
      <w:bookmarkStart w:id="234" w:name="_Toc19223"/>
      <w:r>
        <w:rPr>
          <w:rFonts w:hint="eastAsia" w:ascii="Times New Roman"/>
          <w:color w:val="auto"/>
          <w:highlight w:val="none"/>
          <w:shd w:val="clear" w:color="auto" w:fill="auto"/>
        </w:rPr>
        <w:t>8</w:t>
      </w:r>
      <w:r>
        <w:rPr>
          <w:rFonts w:ascii="Times New Roman"/>
          <w:color w:val="auto"/>
          <w:highlight w:val="none"/>
          <w:shd w:val="clear" w:color="auto" w:fill="auto"/>
        </w:rPr>
        <w:t>.</w:t>
      </w:r>
      <w:r>
        <w:rPr>
          <w:rFonts w:hint="eastAsia" w:ascii="Times New Roman"/>
          <w:color w:val="auto"/>
          <w:highlight w:val="none"/>
          <w:shd w:val="clear" w:color="auto" w:fill="auto"/>
        </w:rPr>
        <w:t>3</w:t>
      </w:r>
      <w:r>
        <w:rPr>
          <w:rFonts w:ascii="Times New Roman"/>
          <w:color w:val="auto"/>
          <w:highlight w:val="none"/>
          <w:shd w:val="clear" w:color="auto" w:fill="auto"/>
        </w:rPr>
        <w:t xml:space="preserve"> </w:t>
      </w:r>
      <w:r>
        <w:rPr>
          <w:rFonts w:hint="eastAsia" w:ascii="Times New Roman"/>
          <w:color w:val="auto"/>
          <w:szCs w:val="21"/>
          <w:highlight w:val="none"/>
          <w:shd w:val="clear" w:color="auto" w:fill="auto"/>
        </w:rPr>
        <w:t>奖励权利</w:t>
      </w:r>
      <w:bookmarkEnd w:id="234"/>
    </w:p>
    <w:p w14:paraId="1B990195">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工程获奖奖励按其最高奖项计，不累加奖励。</w:t>
      </w:r>
    </w:p>
    <w:p w14:paraId="7BF810D5">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监理人有下列良好表现，委托人应有权实施奖励措施，具体包括：</w:t>
      </w:r>
    </w:p>
    <w:p w14:paraId="7E871C65">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项目被评为鲁班奖、电力行业优质工程、南方电网公司优质工程等，委托人可以考虑以合同额为基础对监理人进行奖励（鲁班奖按3%、电力行业优质工程按2%、南方电网公司优质工程等按1.5%）。如确定给予奖励费用，</w:t>
      </w:r>
      <w:r>
        <w:rPr>
          <w:rFonts w:hint="eastAsia"/>
          <w:color w:val="auto"/>
          <w:szCs w:val="21"/>
          <w:highlight w:val="none"/>
          <w:shd w:val="clear" w:color="auto" w:fill="auto"/>
          <w:lang w:val="en-US" w:eastAsia="zh-CN"/>
        </w:rPr>
        <w:t>监理人</w:t>
      </w:r>
      <w:r>
        <w:rPr>
          <w:rFonts w:hint="eastAsia"/>
          <w:color w:val="auto"/>
          <w:szCs w:val="21"/>
          <w:highlight w:val="none"/>
          <w:shd w:val="clear" w:color="auto" w:fill="auto"/>
        </w:rPr>
        <w:t>应提供书面奖励依据与发票，待质保期过后付给监理人。</w:t>
      </w:r>
    </w:p>
    <w:p w14:paraId="3478A84A">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（2）委托人对监理人的合同履约情况将进行评价，评价结果将作为监理人在南方电网公司履约评分组成部分，并应用于南方电网公司对监理人的评标。</w:t>
      </w:r>
    </w:p>
    <w:p w14:paraId="7B31C782">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（3）委托人可根据有关规定，对获奖单位及做出突出贡献的人员，给予精神和物质奖励。</w:t>
      </w:r>
    </w:p>
    <w:p w14:paraId="6F7FCD1D">
      <w:pPr>
        <w:spacing w:line="540" w:lineRule="exact"/>
        <w:ind w:firstLine="420" w:firstLineChars="200"/>
        <w:rPr>
          <w:color w:val="auto"/>
          <w:szCs w:val="21"/>
          <w:highlight w:val="none"/>
          <w:shd w:val="clear" w:color="auto" w:fill="auto"/>
        </w:rPr>
      </w:pPr>
      <w:r>
        <w:rPr>
          <w:color w:val="auto"/>
          <w:szCs w:val="21"/>
          <w:highlight w:val="none"/>
          <w:shd w:val="clear" w:color="auto" w:fill="auto"/>
        </w:rPr>
        <w:t>（4）其他奖励：</w:t>
      </w:r>
      <w:permStart w:id="102" w:edGrp="everyone"/>
      <w:r>
        <w:rPr>
          <w:rFonts w:hint="eastAsia"/>
          <w:color w:val="auto"/>
          <w:szCs w:val="21"/>
          <w:highlight w:val="none"/>
          <w:u w:val="single"/>
          <w:shd w:val="clear" w:color="auto" w:fill="auto"/>
        </w:rPr>
        <w:t xml:space="preserve">            </w:t>
      </w:r>
      <w:r>
        <w:rPr>
          <w:color w:val="auto"/>
          <w:szCs w:val="21"/>
          <w:highlight w:val="none"/>
          <w:shd w:val="clear" w:color="auto" w:fill="auto"/>
        </w:rPr>
        <w:t>。</w:t>
      </w:r>
      <w:permEnd w:id="102"/>
    </w:p>
    <w:p w14:paraId="28DF7F54">
      <w:pPr>
        <w:pStyle w:val="6"/>
        <w:spacing w:line="540" w:lineRule="exact"/>
        <w:ind w:firstLine="137"/>
        <w:rPr>
          <w:rFonts w:ascii="Times New Roman"/>
          <w:color w:val="auto"/>
          <w:highlight w:val="none"/>
          <w:shd w:val="clear" w:color="auto" w:fill="auto"/>
        </w:rPr>
      </w:pPr>
      <w:bookmarkStart w:id="235" w:name="_Toc22868"/>
      <w:r>
        <w:rPr>
          <w:rFonts w:hint="eastAsia" w:ascii="Times New Roman"/>
          <w:color w:val="auto"/>
          <w:highlight w:val="none"/>
          <w:shd w:val="clear" w:color="auto" w:fill="auto"/>
        </w:rPr>
        <w:t>8</w:t>
      </w:r>
      <w:r>
        <w:rPr>
          <w:rFonts w:ascii="Times New Roman"/>
          <w:color w:val="auto"/>
          <w:highlight w:val="none"/>
          <w:shd w:val="clear" w:color="auto" w:fill="auto"/>
        </w:rPr>
        <w:t>.</w:t>
      </w:r>
      <w:r>
        <w:rPr>
          <w:rFonts w:hint="eastAsia" w:ascii="Times New Roman"/>
          <w:color w:val="auto"/>
          <w:highlight w:val="none"/>
          <w:shd w:val="clear" w:color="auto" w:fill="auto"/>
        </w:rPr>
        <w:t>4</w:t>
      </w:r>
      <w:r>
        <w:rPr>
          <w:rFonts w:ascii="Times New Roman"/>
          <w:color w:val="auto"/>
          <w:highlight w:val="none"/>
          <w:shd w:val="clear" w:color="auto" w:fill="auto"/>
        </w:rPr>
        <w:t xml:space="preserve"> </w:t>
      </w:r>
      <w:r>
        <w:rPr>
          <w:rFonts w:hint="eastAsia" w:ascii="Times New Roman"/>
          <w:color w:val="auto"/>
          <w:szCs w:val="21"/>
          <w:highlight w:val="none"/>
          <w:shd w:val="clear" w:color="auto" w:fill="auto"/>
        </w:rPr>
        <w:t>考评与奖励</w:t>
      </w:r>
      <w:bookmarkEnd w:id="235"/>
    </w:p>
    <w:p w14:paraId="1FED45C3">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lang w:val="zh-CN"/>
        </w:rPr>
        <w:t>通过监理人的努力，在合同的各项目标得到圆满实现的基础上，工程在创优上取得了比合同目标更高标准的成果，委托人单位将酌情给予监理人一定的物质或精神奖励。</w:t>
      </w:r>
    </w:p>
    <w:p w14:paraId="292148C5">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lang w:val="zh-CN"/>
        </w:rPr>
        <w:t>因为监理建议的采纳而节约了投资，委托人单位将酌情给予监理人一定的物资或精神奖励。</w:t>
      </w:r>
      <w:r>
        <w:rPr>
          <w:color w:val="auto"/>
          <w:szCs w:val="21"/>
          <w:highlight w:val="none"/>
          <w:shd w:val="clear" w:color="auto" w:fill="auto"/>
        </w:rPr>
        <w:t>奖励办法：奖励金额=工程费用节省额×报酬比率</w:t>
      </w:r>
      <w:r>
        <w:rPr>
          <w:rFonts w:hint="eastAsia"/>
          <w:color w:val="auto"/>
          <w:szCs w:val="21"/>
          <w:highlight w:val="none"/>
          <w:shd w:val="clear" w:color="auto" w:fill="auto"/>
        </w:rPr>
        <w:t>。</w:t>
      </w:r>
    </w:p>
    <w:p w14:paraId="1C76C686">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lang w:val="zh-CN"/>
        </w:rPr>
        <w:t>获奖单位的主管单位可根据有关规定，对获奖单位及做出突出贡献的人员，给予精神和物质奖励。</w:t>
      </w:r>
    </w:p>
    <w:p w14:paraId="67F0E6DD">
      <w:pPr>
        <w:spacing w:line="540" w:lineRule="exact"/>
        <w:ind w:firstLine="420" w:firstLineChars="200"/>
        <w:rPr>
          <w:color w:val="auto"/>
          <w:szCs w:val="21"/>
          <w:highlight w:val="none"/>
          <w:shd w:val="clear" w:color="auto" w:fill="auto"/>
        </w:rPr>
      </w:pPr>
      <w:permStart w:id="103" w:edGrp="everyone"/>
      <w:r>
        <w:rPr>
          <w:rFonts w:hint="eastAsia"/>
          <w:color w:val="auto"/>
          <w:szCs w:val="21"/>
          <w:highlight w:val="none"/>
          <w:shd w:val="clear" w:color="auto" w:fill="auto"/>
        </w:rPr>
        <w:t>报酬比率=</w:t>
      </w:r>
      <w:r>
        <w:rPr>
          <w:rFonts w:hint="eastAsia"/>
          <w:color w:val="auto"/>
          <w:szCs w:val="21"/>
          <w:highlight w:val="none"/>
          <w:u w:val="single"/>
          <w:shd w:val="clear" w:color="auto" w:fill="auto"/>
        </w:rPr>
        <w:t xml:space="preserve">       </w:t>
      </w:r>
      <w:permEnd w:id="103"/>
      <w:r>
        <w:rPr>
          <w:rFonts w:hint="eastAsia"/>
          <w:color w:val="auto"/>
          <w:szCs w:val="21"/>
          <w:highlight w:val="none"/>
          <w:shd w:val="clear" w:color="auto" w:fill="auto"/>
        </w:rPr>
        <w:t>。</w:t>
      </w:r>
    </w:p>
    <w:p w14:paraId="04E7176A">
      <w:pPr>
        <w:pStyle w:val="5"/>
        <w:spacing w:line="540" w:lineRule="exact"/>
        <w:rPr>
          <w:rFonts w:ascii="Times New Roman" w:hAnsi="Times New Roman"/>
          <w:color w:val="auto"/>
          <w:highlight w:val="none"/>
          <w:shd w:val="clear" w:color="auto" w:fill="auto"/>
        </w:rPr>
      </w:pPr>
      <w:bookmarkStart w:id="236" w:name="_Toc5748"/>
      <w:r>
        <w:rPr>
          <w:rFonts w:hint="eastAsia" w:ascii="Times New Roman" w:hAnsi="Times New Roman"/>
          <w:color w:val="auto"/>
          <w:highlight w:val="none"/>
          <w:shd w:val="clear" w:color="auto" w:fill="auto"/>
        </w:rPr>
        <w:t>9</w:t>
      </w:r>
      <w:r>
        <w:rPr>
          <w:rFonts w:ascii="Times New Roman" w:hAnsi="Times New Roman"/>
          <w:color w:val="auto"/>
          <w:highlight w:val="none"/>
          <w:shd w:val="clear" w:color="auto" w:fill="auto"/>
        </w:rPr>
        <w:t>. 合同价格与支付</w:t>
      </w:r>
      <w:bookmarkEnd w:id="236"/>
    </w:p>
    <w:p w14:paraId="1B080D4E">
      <w:pPr>
        <w:pStyle w:val="6"/>
        <w:spacing w:line="540" w:lineRule="exact"/>
        <w:ind w:firstLine="137"/>
        <w:rPr>
          <w:rFonts w:ascii="Times New Roman"/>
          <w:color w:val="auto"/>
          <w:highlight w:val="none"/>
          <w:shd w:val="clear" w:color="auto" w:fill="auto"/>
        </w:rPr>
      </w:pPr>
      <w:bookmarkStart w:id="237" w:name="_Toc1274"/>
      <w:r>
        <w:rPr>
          <w:rFonts w:hint="eastAsia" w:ascii="Times New Roman"/>
          <w:color w:val="auto"/>
          <w:highlight w:val="none"/>
          <w:shd w:val="clear" w:color="auto" w:fill="auto"/>
        </w:rPr>
        <w:t>9</w:t>
      </w:r>
      <w:r>
        <w:rPr>
          <w:rFonts w:ascii="Times New Roman"/>
          <w:color w:val="auto"/>
          <w:highlight w:val="none"/>
          <w:shd w:val="clear" w:color="auto" w:fill="auto"/>
        </w:rPr>
        <w:t xml:space="preserve">.1 </w:t>
      </w:r>
      <w:r>
        <w:rPr>
          <w:rFonts w:hint="eastAsia" w:ascii="Times New Roman"/>
          <w:color w:val="auto"/>
          <w:highlight w:val="none"/>
          <w:shd w:val="clear" w:color="auto" w:fill="auto"/>
        </w:rPr>
        <w:t>合同价格</w:t>
      </w:r>
      <w:bookmarkEnd w:id="237"/>
    </w:p>
    <w:p w14:paraId="7A686432">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增加以下内容到第9.1.1款：</w:t>
      </w:r>
    </w:p>
    <w:p w14:paraId="5C79F486">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（1）合同价款组成</w:t>
      </w:r>
    </w:p>
    <w:p w14:paraId="22428C1F">
      <w:pPr>
        <w:spacing w:line="540" w:lineRule="exact"/>
        <w:ind w:firstLine="420" w:firstLineChars="200"/>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合同价格组成明细表详见</w:t>
      </w:r>
      <w:permStart w:id="104" w:edGrp="everyone"/>
      <w:r>
        <w:rPr>
          <w:rFonts w:hint="eastAsia"/>
          <w:color w:val="auto"/>
          <w:szCs w:val="21"/>
          <w:highlight w:val="none"/>
          <w:u w:val="single"/>
          <w:shd w:val="clear" w:color="auto" w:fill="auto"/>
        </w:rPr>
        <w:t>“合同附件格式”</w:t>
      </w:r>
      <w:r>
        <w:rPr>
          <w:rFonts w:hint="eastAsia" w:ascii="宋体" w:hAnsi="宋体" w:cs="宋体"/>
          <w:color w:val="auto"/>
          <w:kern w:val="0"/>
          <w:szCs w:val="21"/>
          <w:highlight w:val="none"/>
          <w:u w:val="single"/>
          <w:shd w:val="clear" w:color="auto" w:fill="auto"/>
        </w:rPr>
        <w:t>附件</w:t>
      </w:r>
      <w:r>
        <w:rPr>
          <w:rFonts w:hint="eastAsia" w:ascii="宋体" w:hAnsi="宋体" w:cs="宋体"/>
          <w:color w:val="auto"/>
          <w:kern w:val="0"/>
          <w:szCs w:val="21"/>
          <w:highlight w:val="none"/>
          <w:u w:val="single"/>
          <w:shd w:val="clear" w:color="auto" w:fill="auto"/>
          <w:lang w:val="en-US" w:eastAsia="zh-CN"/>
        </w:rPr>
        <w:t>四</w:t>
      </w:r>
      <w:permEnd w:id="104"/>
      <w:r>
        <w:rPr>
          <w:rFonts w:ascii="宋体" w:hAnsi="宋体" w:cs="宋体"/>
          <w:color w:val="auto"/>
          <w:kern w:val="0"/>
          <w:szCs w:val="21"/>
          <w:highlight w:val="none"/>
          <w:shd w:val="clear" w:color="auto" w:fill="auto"/>
        </w:rPr>
        <w:t>。</w:t>
      </w:r>
    </w:p>
    <w:p w14:paraId="25D5361E">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（2）合同价格形式</w:t>
      </w:r>
    </w:p>
    <w:p w14:paraId="4AAF91D2">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本合同采用以下第</w:t>
      </w:r>
      <w:sdt>
        <w:sdtPr>
          <w:rPr>
            <w:rFonts w:hint="eastAsia" w:ascii="宋体" w:hAnsi="宋体" w:eastAsia="宋体" w:cs="宋体"/>
            <w:color w:val="auto"/>
            <w:kern w:val="2"/>
            <w:sz w:val="21"/>
            <w:szCs w:val="21"/>
            <w:highlight w:val="none"/>
            <w:shd w:val="clear" w:color="auto" w:fill="auto"/>
            <w:lang w:val="en-US" w:eastAsia="zh-CN" w:bidi="ar-SA"/>
          </w:rPr>
          <w:alias w:val="请选择一项"/>
          <w:tag w:val="合同金额类型选项"/>
          <w:id w:val="147460960"/>
          <w:placeholder>
            <w:docPart w:val="{dc89f23d-2321-48cd-979f-33b600b1d16b}"/>
          </w:placeholder>
          <w:comboBox>
            <w:listItem w:displayText="（a）" w:value="（a）"/>
            <w:listItem w:displayText="（b）" w:value="（b）"/>
            <w:listItem w:displayText="（c）" w:value="（c）"/>
          </w:comboBox>
        </w:sdtPr>
        <w:sdtEndP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sdtEndPr>
        <w:sdtContent>
          <w:permStart w:id="105" w:edGrp="everyone"/>
          <w:r>
            <w:rPr>
              <w:rFonts w:hint="eastAsia" w:ascii="宋体" w:hAnsi="宋体" w:eastAsia="宋体" w:cs="宋体"/>
              <w:color w:val="auto"/>
              <w:kern w:val="2"/>
              <w:sz w:val="21"/>
              <w:szCs w:val="21"/>
              <w:highlight w:val="none"/>
              <w:u w:val="single"/>
              <w:shd w:val="clear" w:color="auto" w:fill="auto"/>
              <w:lang w:val="en-US" w:eastAsia="zh-CN" w:bidi="ar-SA"/>
            </w:rPr>
            <w:t xml:space="preserve">  </w:t>
          </w:r>
          <w:permEnd w:id="105"/>
        </w:sdtContent>
      </w:sdt>
      <w:r>
        <w:rPr>
          <w:rFonts w:hint="eastAsia"/>
          <w:color w:val="auto"/>
          <w:szCs w:val="21"/>
          <w:highlight w:val="none"/>
          <w:shd w:val="clear" w:color="auto" w:fill="auto"/>
        </w:rPr>
        <w:t>种方式定价。</w:t>
      </w:r>
    </w:p>
    <w:p w14:paraId="12F47803">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（a）固定总价</w:t>
      </w:r>
    </w:p>
    <w:p w14:paraId="5E0D0E67">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合同采用固定总价合同，则合同价是完成合同所规定的所有监理服务的全部报酬，本价款除因下述情形外均不作调整：</w:t>
      </w:r>
    </w:p>
    <w:p w14:paraId="4B15AD2D">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若在合同履行过程中，出现新增或取消某一单项工程时，则由双方按照现行《电网工程建设预算费用构成及计算标准》和投标报价另行协商增加或减少该单项工程的监理报酬。</w:t>
      </w:r>
    </w:p>
    <w:p w14:paraId="02A9CFEC">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其他：</w:t>
      </w:r>
      <w:permStart w:id="106" w:edGrp="everyone"/>
      <w:r>
        <w:rPr>
          <w:rFonts w:hint="eastAsia"/>
          <w:color w:val="auto"/>
          <w:szCs w:val="21"/>
          <w:highlight w:val="none"/>
          <w:u w:val="single"/>
          <w:shd w:val="clear" w:color="auto" w:fill="auto"/>
        </w:rPr>
        <w:t xml:space="preserve">      </w:t>
      </w:r>
      <w:r>
        <w:rPr>
          <w:rFonts w:hint="eastAsia"/>
          <w:color w:val="auto"/>
          <w:szCs w:val="21"/>
          <w:highlight w:val="none"/>
          <w:shd w:val="clear" w:color="auto" w:fill="auto"/>
        </w:rPr>
        <w:t>。</w:t>
      </w:r>
      <w:permEnd w:id="106"/>
    </w:p>
    <w:p w14:paraId="09DB98AE">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（b）暂定价</w:t>
      </w:r>
    </w:p>
    <w:p w14:paraId="308BB31C">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合同采用暂定价，监理费结算价款=</w:t>
      </w:r>
      <w:permStart w:id="107" w:edGrp="everyone"/>
      <w:r>
        <w:rPr>
          <w:rFonts w:hint="eastAsia"/>
          <w:color w:val="auto"/>
          <w:szCs w:val="21"/>
          <w:highlight w:val="none"/>
          <w:u w:val="single"/>
          <w:shd w:val="clear" w:color="auto" w:fill="auto"/>
        </w:rPr>
        <w:t>审定的初步设计概算（或施工图设计预算）</w:t>
      </w:r>
      <w:permEnd w:id="107"/>
      <w:r>
        <w:rPr>
          <w:rFonts w:hint="eastAsia"/>
          <w:color w:val="auto"/>
          <w:szCs w:val="21"/>
          <w:highlight w:val="none"/>
          <w:shd w:val="clear" w:color="auto" w:fill="auto"/>
        </w:rPr>
        <w:t>为基数计算出的监理费×（1-投标下浮率</w:t>
      </w:r>
      <w:sdt>
        <w:sdtPr>
          <w:rPr>
            <w:rFonts w:hint="eastAsia" w:ascii="宋体" w:hAnsi="宋体" w:eastAsia="宋体" w:cs="宋体"/>
            <w:color w:val="auto"/>
            <w:kern w:val="2"/>
            <w:sz w:val="21"/>
            <w:szCs w:val="21"/>
            <w:highlight w:val="none"/>
            <w:shd w:val="clear" w:color="auto" w:fill="auto"/>
            <w:lang w:val="en-US" w:eastAsia="zh-CN" w:bidi="ar-SA"/>
          </w:rPr>
          <w:alias w:val="应与中标结果一致。"/>
          <w:tag w:val="中标下浮率"/>
          <w:id w:val="890103682"/>
          <w:placeholder>
            <w:docPart w:val="{d918ab83-6971-4972-a035-3e8d3bb5a0a2}"/>
          </w:placeholder>
          <w:text w:multiLine="1"/>
        </w:sdtPr>
        <w:sdtEndPr>
          <w:rPr>
            <w:rFonts w:hint="eastAsia" w:asciiTheme="minorHAnsi" w:hAnsiTheme="minorHAnsi" w:eastAsiaTheme="minorEastAsia" w:cstheme="minorBidi"/>
            <w:color w:val="auto"/>
            <w:kern w:val="2"/>
            <w:sz w:val="28"/>
            <w:szCs w:val="36"/>
            <w:highlight w:val="none"/>
            <w:shd w:val="clear" w:color="auto" w:fill="auto"/>
            <w:lang w:val="en-US" w:eastAsia="zh-CN" w:bidi="ar-SA"/>
          </w:rPr>
        </w:sdtEndPr>
        <w:sdtContent>
          <w:permStart w:id="108" w:edGrp="everyone"/>
          <w:r>
            <w:rPr>
              <w:rFonts w:hint="eastAsia" w:ascii="宋体" w:hAnsi="宋体" w:eastAsia="宋体" w:cs="宋体"/>
              <w:color w:val="auto"/>
              <w:kern w:val="2"/>
              <w:sz w:val="21"/>
              <w:szCs w:val="21"/>
              <w:highlight w:val="none"/>
              <w:u w:val="single"/>
              <w:shd w:val="clear" w:color="auto" w:fill="auto"/>
              <w:lang w:val="en-US" w:eastAsia="zh-CN" w:bidi="ar-SA"/>
            </w:rPr>
            <w:t xml:space="preserve">  </w:t>
          </w:r>
          <w:permEnd w:id="108"/>
        </w:sdtContent>
      </w:sdt>
      <w:r>
        <w:rPr>
          <w:rFonts w:hint="eastAsia"/>
          <w:color w:val="auto"/>
          <w:szCs w:val="21"/>
          <w:highlight w:val="none"/>
          <w:shd w:val="clear" w:color="auto" w:fill="auto"/>
        </w:rPr>
        <w:t>%）。</w:t>
      </w:r>
    </w:p>
    <w:p w14:paraId="4B439925">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（c）其他：</w:t>
      </w:r>
      <w:permStart w:id="109" w:edGrp="everyone"/>
      <w:r>
        <w:rPr>
          <w:rFonts w:hint="eastAsia"/>
          <w:color w:val="auto"/>
          <w:szCs w:val="21"/>
          <w:highlight w:val="none"/>
          <w:u w:val="single"/>
          <w:shd w:val="clear" w:color="auto" w:fill="auto"/>
        </w:rPr>
        <w:t xml:space="preserve">     </w:t>
      </w:r>
      <w:r>
        <w:rPr>
          <w:rFonts w:hint="eastAsia"/>
          <w:color w:val="auto"/>
          <w:szCs w:val="21"/>
          <w:highlight w:val="none"/>
          <w:shd w:val="clear" w:color="auto" w:fill="auto"/>
        </w:rPr>
        <w:t>。</w:t>
      </w:r>
      <w:permEnd w:id="109"/>
    </w:p>
    <w:p w14:paraId="54475274">
      <w:pPr>
        <w:numPr>
          <w:ilvl w:val="0"/>
          <w:numId w:val="3"/>
        </w:num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合同价格包含的风险范围和风险费用的计算方法</w:t>
      </w:r>
      <w:r>
        <w:rPr>
          <w:color w:val="auto"/>
          <w:szCs w:val="21"/>
          <w:highlight w:val="none"/>
          <w:shd w:val="clear" w:color="auto" w:fill="auto"/>
        </w:rPr>
        <w:t>：</w:t>
      </w:r>
      <w:permStart w:id="110" w:edGrp="everyone"/>
      <w:r>
        <w:rPr>
          <w:rFonts w:hint="eastAsia"/>
          <w:color w:val="auto"/>
          <w:szCs w:val="21"/>
          <w:highlight w:val="none"/>
          <w:u w:val="single"/>
          <w:shd w:val="clear" w:color="auto" w:fill="auto"/>
        </w:rPr>
        <w:t xml:space="preserve">            </w:t>
      </w:r>
      <w:r>
        <w:rPr>
          <w:color w:val="auto"/>
          <w:szCs w:val="21"/>
          <w:highlight w:val="none"/>
          <w:shd w:val="clear" w:color="auto" w:fill="auto"/>
        </w:rPr>
        <w:t>。</w:t>
      </w:r>
      <w:permEnd w:id="110"/>
    </w:p>
    <w:p w14:paraId="34A6B658">
      <w:pPr>
        <w:numPr>
          <w:ilvl w:val="0"/>
          <w:numId w:val="3"/>
        </w:num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风险范围以外的合同价格的调整方法</w:t>
      </w:r>
      <w:r>
        <w:rPr>
          <w:color w:val="auto"/>
          <w:szCs w:val="21"/>
          <w:highlight w:val="none"/>
          <w:shd w:val="clear" w:color="auto" w:fill="auto"/>
        </w:rPr>
        <w:t>：</w:t>
      </w:r>
      <w:r>
        <w:rPr>
          <w:rFonts w:hint="eastAsia"/>
          <w:color w:val="auto"/>
          <w:szCs w:val="21"/>
          <w:highlight w:val="none"/>
          <w:u w:val="single"/>
          <w:shd w:val="clear" w:color="auto" w:fill="auto"/>
        </w:rPr>
        <w:t xml:space="preserve"> </w:t>
      </w:r>
      <w:permStart w:id="111" w:edGrp="everyone"/>
      <w:r>
        <w:rPr>
          <w:rFonts w:hint="eastAsia"/>
          <w:color w:val="auto"/>
          <w:szCs w:val="21"/>
          <w:highlight w:val="none"/>
          <w:u w:val="single"/>
          <w:shd w:val="clear" w:color="auto" w:fill="auto"/>
        </w:rPr>
        <w:t xml:space="preserve">           </w:t>
      </w:r>
      <w:r>
        <w:rPr>
          <w:color w:val="auto"/>
          <w:szCs w:val="21"/>
          <w:highlight w:val="none"/>
          <w:shd w:val="clear" w:color="auto" w:fill="auto"/>
        </w:rPr>
        <w:t>。</w:t>
      </w:r>
      <w:permEnd w:id="111"/>
    </w:p>
    <w:p w14:paraId="26604B01">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增加以下内容到第9.1.3款：</w:t>
      </w:r>
    </w:p>
    <w:p w14:paraId="257415FB">
      <w:pPr>
        <w:spacing w:line="540" w:lineRule="exact"/>
        <w:ind w:firstLine="420" w:firstLineChars="200"/>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除非另有书面协议，委托人应为额外服务向监理人支付；</w:t>
      </w:r>
    </w:p>
    <w:p w14:paraId="5E5BB0F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w:t>
      </w:r>
      <w:r>
        <w:rPr>
          <w:rFonts w:ascii="宋体" w:hAnsi="宋体" w:cs="宋体"/>
          <w:color w:val="auto"/>
          <w:kern w:val="0"/>
          <w:szCs w:val="21"/>
          <w:highlight w:val="none"/>
          <w:shd w:val="clear" w:color="auto" w:fill="auto"/>
          <w:lang w:val="zh-CN"/>
        </w:rPr>
        <w:t>a）按</w:t>
      </w:r>
      <w:r>
        <w:rPr>
          <w:rFonts w:hint="eastAsia" w:ascii="宋体" w:hAnsi="宋体" w:cs="宋体"/>
          <w:color w:val="auto"/>
          <w:kern w:val="0"/>
          <w:szCs w:val="21"/>
          <w:highlight w:val="none"/>
          <w:shd w:val="clear" w:color="auto" w:fill="auto"/>
          <w:lang w:val="zh-CN"/>
        </w:rPr>
        <w:t>监理人人员履行服务耗用的额外时间作为附加服务支付；</w:t>
      </w:r>
    </w:p>
    <w:p w14:paraId="767E51E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w:t>
      </w:r>
      <w:r>
        <w:rPr>
          <w:rFonts w:ascii="宋体" w:hAnsi="宋体" w:cs="宋体"/>
          <w:color w:val="auto"/>
          <w:kern w:val="0"/>
          <w:szCs w:val="21"/>
          <w:highlight w:val="none"/>
          <w:shd w:val="clear" w:color="auto" w:fill="auto"/>
          <w:lang w:val="zh-CN"/>
        </w:rPr>
        <w:t>b）</w:t>
      </w:r>
      <w:r>
        <w:rPr>
          <w:rFonts w:hint="eastAsia" w:ascii="宋体" w:hAnsi="宋体" w:cs="宋体"/>
          <w:color w:val="auto"/>
          <w:kern w:val="0"/>
          <w:szCs w:val="21"/>
          <w:highlight w:val="none"/>
          <w:shd w:val="clear" w:color="auto" w:fill="auto"/>
          <w:lang w:val="zh-CN"/>
        </w:rPr>
        <w:t>监理人所有其他额外开支的净费用。</w:t>
      </w:r>
    </w:p>
    <w:p w14:paraId="513D10ED">
      <w:pPr>
        <w:pStyle w:val="6"/>
        <w:spacing w:line="540" w:lineRule="exact"/>
        <w:ind w:firstLine="137"/>
        <w:rPr>
          <w:rFonts w:ascii="Times New Roman"/>
          <w:color w:val="auto"/>
          <w:highlight w:val="none"/>
          <w:shd w:val="clear" w:color="auto" w:fill="auto"/>
        </w:rPr>
      </w:pPr>
      <w:bookmarkStart w:id="238" w:name="_Toc28518"/>
      <w:r>
        <w:rPr>
          <w:rFonts w:hint="eastAsia" w:ascii="Times New Roman"/>
          <w:color w:val="auto"/>
          <w:highlight w:val="none"/>
          <w:shd w:val="clear" w:color="auto" w:fill="auto"/>
        </w:rPr>
        <w:t>9</w:t>
      </w:r>
      <w:r>
        <w:rPr>
          <w:rFonts w:ascii="Times New Roman"/>
          <w:color w:val="auto"/>
          <w:highlight w:val="none"/>
          <w:shd w:val="clear" w:color="auto" w:fill="auto"/>
        </w:rPr>
        <w:t xml:space="preserve">.2 </w:t>
      </w:r>
      <w:r>
        <w:rPr>
          <w:rFonts w:hint="eastAsia" w:ascii="Times New Roman"/>
          <w:color w:val="auto"/>
          <w:highlight w:val="none"/>
          <w:shd w:val="clear" w:color="auto" w:fill="auto"/>
        </w:rPr>
        <w:t>预付款</w:t>
      </w:r>
      <w:bookmarkEnd w:id="238"/>
    </w:p>
    <w:p w14:paraId="2DEDB2FF">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增加以下内容到第9.2.1款：</w:t>
      </w:r>
    </w:p>
    <w:p w14:paraId="7EF73E27">
      <w:pPr>
        <w:pStyle w:val="18"/>
        <w:spacing w:line="540" w:lineRule="exact"/>
        <w:rPr>
          <w:rFonts w:hAnsi="宋体"/>
          <w:color w:val="auto"/>
          <w:szCs w:val="21"/>
          <w:highlight w:val="none"/>
          <w:u w:val="single"/>
          <w:shd w:val="clear" w:color="auto" w:fill="auto"/>
        </w:rPr>
      </w:pPr>
      <w:r>
        <w:rPr>
          <w:rFonts w:hint="eastAsia"/>
          <w:color w:val="auto"/>
          <w:szCs w:val="21"/>
          <w:highlight w:val="none"/>
          <w:shd w:val="clear" w:color="auto" w:fill="auto"/>
        </w:rPr>
        <w:t>预付款的额度</w:t>
      </w:r>
      <w:r>
        <w:rPr>
          <w:rFonts w:hint="eastAsia" w:hAnsi="宋体"/>
          <w:color w:val="auto"/>
          <w:szCs w:val="21"/>
          <w:highlight w:val="none"/>
          <w:shd w:val="clear" w:color="auto" w:fill="auto"/>
        </w:rPr>
        <w:t>：</w:t>
      </w:r>
      <w:permStart w:id="112" w:edGrp="everyone"/>
      <w:r>
        <w:rPr>
          <w:rFonts w:hint="eastAsia" w:hAnsi="宋体"/>
          <w:color w:val="auto"/>
          <w:szCs w:val="21"/>
          <w:highlight w:val="none"/>
          <w:u w:val="single"/>
          <w:shd w:val="clear" w:color="auto" w:fill="auto"/>
        </w:rPr>
        <w:t>合同价</w:t>
      </w:r>
      <w:r>
        <w:rPr>
          <w:rFonts w:hAnsi="宋体"/>
          <w:color w:val="auto"/>
          <w:szCs w:val="21"/>
          <w:highlight w:val="none"/>
          <w:u w:val="single"/>
          <w:shd w:val="clear" w:color="auto" w:fill="auto"/>
        </w:rPr>
        <w:t>的</w:t>
      </w:r>
      <w:r>
        <w:rPr>
          <w:rFonts w:hint="eastAsia" w:hAnsi="宋体"/>
          <w:color w:val="auto"/>
          <w:szCs w:val="21"/>
          <w:highlight w:val="none"/>
          <w:u w:val="single"/>
          <w:shd w:val="clear" w:color="auto" w:fill="auto"/>
        </w:rPr>
        <w:t>10</w:t>
      </w:r>
      <w:r>
        <w:rPr>
          <w:rFonts w:hAnsi="宋体"/>
          <w:color w:val="auto"/>
          <w:szCs w:val="21"/>
          <w:highlight w:val="none"/>
          <w:u w:val="single"/>
          <w:shd w:val="clear" w:color="auto" w:fill="auto"/>
        </w:rPr>
        <w:t>%</w:t>
      </w:r>
      <w:r>
        <w:rPr>
          <w:rFonts w:hint="eastAsia" w:hAnsi="宋体"/>
          <w:color w:val="auto"/>
          <w:szCs w:val="21"/>
          <w:highlight w:val="none"/>
          <w:u w:val="single"/>
          <w:shd w:val="clear" w:color="auto" w:fill="auto"/>
        </w:rPr>
        <w:t>，监理人需要提供履约担保和付款申请。</w:t>
      </w:r>
      <w:permEnd w:id="112"/>
    </w:p>
    <w:p w14:paraId="614D1E1D">
      <w:pPr>
        <w:spacing w:line="540" w:lineRule="exact"/>
        <w:ind w:firstLine="420" w:firstLineChars="200"/>
        <w:rPr>
          <w:color w:val="auto"/>
          <w:highlight w:val="none"/>
          <w:shd w:val="clear" w:color="auto" w:fill="auto"/>
        </w:rPr>
      </w:pPr>
      <w:r>
        <w:rPr>
          <w:rFonts w:hint="eastAsia"/>
          <w:color w:val="auto"/>
          <w:highlight w:val="none"/>
          <w:shd w:val="clear" w:color="auto" w:fill="auto"/>
        </w:rPr>
        <w:t>在合同生效且监理人提供履约担保</w:t>
      </w:r>
      <w:r>
        <w:rPr>
          <w:rFonts w:hint="eastAsia" w:ascii="宋体" w:hAnsi="宋体"/>
          <w:color w:val="auto"/>
          <w:szCs w:val="21"/>
          <w:highlight w:val="none"/>
          <w:shd w:val="clear" w:color="auto" w:fill="auto"/>
        </w:rPr>
        <w:t>和付款申请</w:t>
      </w:r>
      <w:r>
        <w:rPr>
          <w:rFonts w:hint="eastAsia"/>
          <w:color w:val="auto"/>
          <w:highlight w:val="none"/>
          <w:shd w:val="clear" w:color="auto" w:fill="auto"/>
        </w:rPr>
        <w:t>后</w:t>
      </w:r>
      <w:permStart w:id="113" w:edGrp="everyone"/>
      <w:r>
        <w:rPr>
          <w:rFonts w:hint="eastAsia"/>
          <w:color w:val="auto"/>
          <w:highlight w:val="none"/>
          <w:u w:val="single"/>
          <w:shd w:val="clear" w:color="auto" w:fill="auto"/>
        </w:rPr>
        <w:t>28</w:t>
      </w:r>
      <w:permEnd w:id="113"/>
      <w:r>
        <w:rPr>
          <w:rFonts w:hint="eastAsia"/>
          <w:color w:val="auto"/>
          <w:highlight w:val="none"/>
          <w:shd w:val="clear" w:color="auto" w:fill="auto"/>
        </w:rPr>
        <w:t>日内，委托人向监理人支付合同总价的</w:t>
      </w:r>
      <w:sdt>
        <w:sdtPr>
          <w:rPr>
            <w:rFonts w:hint="eastAsia" w:ascii="Times New Roman" w:hAnsi="宋体" w:eastAsia="宋体" w:cs="Times New Roman"/>
            <w:color w:val="auto"/>
            <w:kern w:val="2"/>
            <w:sz w:val="21"/>
            <w:szCs w:val="21"/>
            <w:highlight w:val="none"/>
            <w:u w:val="single"/>
            <w:shd w:val="clear" w:color="auto" w:fill="auto"/>
            <w:lang w:val="en-US" w:eastAsia="zh-CN" w:bidi="ar-SA"/>
          </w:rPr>
          <w:alias w:val="预付款比例"/>
          <w:tag w:val="预付款比例"/>
          <w:id w:val="147458022"/>
          <w:placeholder>
            <w:docPart w:val="{035938ca-1fec-486c-bc0f-c595c5b34943}"/>
          </w:placeholder>
        </w:sdtPr>
        <w:sdtEndPr>
          <w:rPr>
            <w:rFonts w:hint="eastAsia" w:ascii="Times New Roman" w:hAnsi="宋体" w:eastAsia="宋体" w:cstheme="minorBidi"/>
            <w:color w:val="auto"/>
            <w:kern w:val="2"/>
            <w:sz w:val="28"/>
            <w:szCs w:val="36"/>
            <w:highlight w:val="none"/>
            <w:u w:val="single"/>
            <w:shd w:val="clear" w:color="auto" w:fill="auto"/>
            <w:lang w:val="en-US" w:eastAsia="zh-CN" w:bidi="ar-SA"/>
          </w:rPr>
        </w:sdtEndPr>
        <w:sdtContent>
          <w:permStart w:id="114" w:edGrp="everyone"/>
          <w:r>
            <w:rPr>
              <w:rFonts w:hint="eastAsia" w:ascii="Times New Roman" w:hAnsi="宋体" w:eastAsia="宋体" w:cs="Times New Roman"/>
              <w:color w:val="auto"/>
              <w:kern w:val="2"/>
              <w:sz w:val="21"/>
              <w:szCs w:val="21"/>
              <w:highlight w:val="none"/>
              <w:u w:val="single"/>
              <w:shd w:val="clear" w:color="auto" w:fill="auto"/>
              <w:lang w:val="en-US" w:eastAsia="zh-CN" w:bidi="ar-SA"/>
            </w:rPr>
            <w:t>10%</w:t>
          </w:r>
          <w:permEnd w:id="114"/>
        </w:sdtContent>
      </w:sdt>
      <w:r>
        <w:rPr>
          <w:rFonts w:hint="eastAsia"/>
          <w:color w:val="auto"/>
          <w:highlight w:val="none"/>
          <w:shd w:val="clear" w:color="auto" w:fill="auto"/>
        </w:rPr>
        <w:t>作为预付款。</w:t>
      </w:r>
    </w:p>
    <w:p w14:paraId="520C6808">
      <w:pPr>
        <w:pStyle w:val="18"/>
        <w:spacing w:line="540" w:lineRule="exact"/>
        <w:rPr>
          <w:rFonts w:hAnsi="宋体"/>
          <w:color w:val="auto"/>
          <w:szCs w:val="21"/>
          <w:highlight w:val="none"/>
          <w:u w:val="single"/>
          <w:shd w:val="clear" w:color="auto" w:fill="auto"/>
        </w:rPr>
      </w:pPr>
      <w:r>
        <w:rPr>
          <w:rFonts w:hint="eastAsia"/>
          <w:color w:val="auto"/>
          <w:szCs w:val="21"/>
          <w:highlight w:val="none"/>
          <w:shd w:val="clear" w:color="auto" w:fill="auto"/>
        </w:rPr>
        <w:t>预付款的抵扣方式</w:t>
      </w:r>
      <w:r>
        <w:rPr>
          <w:rFonts w:hint="eastAsia" w:hAnsi="宋体"/>
          <w:color w:val="auto"/>
          <w:szCs w:val="21"/>
          <w:highlight w:val="none"/>
          <w:shd w:val="clear" w:color="auto" w:fill="auto"/>
        </w:rPr>
        <w:t>：</w:t>
      </w:r>
      <w:permStart w:id="115" w:edGrp="everyone"/>
      <w:r>
        <w:rPr>
          <w:rFonts w:hint="eastAsia" w:hAnsi="宋体"/>
          <w:color w:val="auto"/>
          <w:szCs w:val="21"/>
          <w:highlight w:val="none"/>
          <w:u w:val="single"/>
          <w:shd w:val="clear" w:color="auto" w:fill="auto"/>
        </w:rPr>
        <w:t xml:space="preserve">            。</w:t>
      </w:r>
    </w:p>
    <w:permEnd w:id="115"/>
    <w:p w14:paraId="7B9CB051">
      <w:pPr>
        <w:pStyle w:val="6"/>
        <w:spacing w:line="540" w:lineRule="exact"/>
        <w:ind w:firstLine="137"/>
        <w:rPr>
          <w:rFonts w:ascii="Times New Roman"/>
          <w:color w:val="auto"/>
          <w:highlight w:val="none"/>
          <w:shd w:val="clear" w:color="auto" w:fill="auto"/>
        </w:rPr>
      </w:pPr>
      <w:bookmarkStart w:id="239" w:name="_Toc22299"/>
      <w:r>
        <w:rPr>
          <w:rFonts w:hint="eastAsia" w:ascii="Times New Roman"/>
          <w:color w:val="auto"/>
          <w:highlight w:val="none"/>
          <w:shd w:val="clear" w:color="auto" w:fill="auto"/>
        </w:rPr>
        <w:t>9</w:t>
      </w:r>
      <w:r>
        <w:rPr>
          <w:rFonts w:ascii="Times New Roman"/>
          <w:color w:val="auto"/>
          <w:highlight w:val="none"/>
          <w:shd w:val="clear" w:color="auto" w:fill="auto"/>
        </w:rPr>
        <w:t xml:space="preserve">.3 </w:t>
      </w:r>
      <w:r>
        <w:rPr>
          <w:rFonts w:hint="eastAsia" w:ascii="Times New Roman"/>
          <w:color w:val="auto"/>
          <w:highlight w:val="none"/>
          <w:shd w:val="clear" w:color="auto" w:fill="auto"/>
        </w:rPr>
        <w:t>中期支付</w:t>
      </w:r>
      <w:bookmarkEnd w:id="239"/>
    </w:p>
    <w:p w14:paraId="44C01DFC">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增加以下内容到第9.3.2款：</w:t>
      </w:r>
    </w:p>
    <w:p w14:paraId="40ED7FFF">
      <w:pPr>
        <w:numPr>
          <w:ilvl w:val="0"/>
          <w:numId w:val="2"/>
        </w:numPr>
        <w:spacing w:line="540" w:lineRule="exact"/>
        <w:ind w:firstLine="420" w:firstLineChars="200"/>
        <w:rPr>
          <w:color w:val="auto"/>
          <w:highlight w:val="none"/>
          <w:shd w:val="clear" w:color="auto" w:fill="auto"/>
        </w:rPr>
      </w:pPr>
      <w:r>
        <w:rPr>
          <w:rFonts w:hint="eastAsia"/>
          <w:color w:val="auto"/>
          <w:highlight w:val="none"/>
          <w:shd w:val="clear" w:color="auto" w:fill="auto"/>
        </w:rPr>
        <w:t>委托人对监理人进度款申请的审批时间：</w:t>
      </w:r>
      <w:permStart w:id="116" w:edGrp="everyone"/>
      <w:r>
        <w:rPr>
          <w:rFonts w:hint="eastAsia"/>
          <w:color w:val="auto"/>
          <w:szCs w:val="21"/>
          <w:highlight w:val="none"/>
          <w:u w:val="single"/>
          <w:shd w:val="clear" w:color="auto" w:fill="auto"/>
        </w:rPr>
        <w:t xml:space="preserve">            </w:t>
      </w:r>
      <w:r>
        <w:rPr>
          <w:color w:val="auto"/>
          <w:szCs w:val="21"/>
          <w:highlight w:val="none"/>
          <w:shd w:val="clear" w:color="auto" w:fill="auto"/>
        </w:rPr>
        <w:t>。</w:t>
      </w:r>
      <w:permEnd w:id="116"/>
      <w:r>
        <w:rPr>
          <w:rFonts w:hint="eastAsia"/>
          <w:color w:val="auto"/>
          <w:highlight w:val="none"/>
          <w:shd w:val="clear" w:color="auto" w:fill="auto"/>
        </w:rPr>
        <w:t xml:space="preserve"> </w:t>
      </w:r>
    </w:p>
    <w:p w14:paraId="58B51437">
      <w:pPr>
        <w:spacing w:line="540" w:lineRule="exact"/>
        <w:ind w:firstLine="420" w:firstLineChars="200"/>
        <w:rPr>
          <w:color w:val="auto"/>
          <w:highlight w:val="none"/>
          <w:shd w:val="clear" w:color="auto" w:fill="auto"/>
        </w:rPr>
      </w:pPr>
      <w:r>
        <w:rPr>
          <w:rFonts w:hint="eastAsia"/>
          <w:color w:val="auto"/>
          <w:highlight w:val="none"/>
          <w:shd w:val="clear" w:color="auto" w:fill="auto"/>
        </w:rPr>
        <w:t>（2）委托人应在收到监理人提供的等额增值税专用发票后</w:t>
      </w:r>
      <w:r>
        <w:rPr>
          <w:rFonts w:hint="eastAsia"/>
          <w:color w:val="auto"/>
          <w:highlight w:val="none"/>
          <w:u w:val="single"/>
          <w:shd w:val="clear" w:color="auto" w:fill="auto"/>
        </w:rPr>
        <w:t>28</w:t>
      </w:r>
      <w:r>
        <w:rPr>
          <w:rFonts w:hint="eastAsia"/>
          <w:color w:val="auto"/>
          <w:highlight w:val="none"/>
          <w:shd w:val="clear" w:color="auto" w:fill="auto"/>
        </w:rPr>
        <w:t>日内完成支付该笔进度款。</w:t>
      </w:r>
    </w:p>
    <w:p w14:paraId="03C23C1C">
      <w:pPr>
        <w:spacing w:line="540" w:lineRule="exact"/>
        <w:ind w:firstLine="420" w:firstLineChars="200"/>
        <w:rPr>
          <w:color w:val="auto"/>
          <w:highlight w:val="none"/>
          <w:shd w:val="clear" w:color="auto" w:fill="auto"/>
        </w:rPr>
      </w:pPr>
      <w:r>
        <w:rPr>
          <w:rFonts w:hint="eastAsia"/>
          <w:color w:val="auto"/>
          <w:highlight w:val="none"/>
          <w:shd w:val="clear" w:color="auto" w:fill="auto"/>
        </w:rPr>
        <w:t>（3）</w:t>
      </w:r>
      <w:r>
        <w:rPr>
          <w:rFonts w:ascii="宋体" w:hAnsi="宋体"/>
          <w:color w:val="auto"/>
          <w:szCs w:val="21"/>
          <w:highlight w:val="none"/>
          <w:shd w:val="clear" w:color="auto" w:fill="auto"/>
        </w:rPr>
        <w:t>中间支付</w:t>
      </w:r>
      <w:r>
        <w:rPr>
          <w:rFonts w:hint="eastAsia"/>
          <w:color w:val="auto"/>
          <w:highlight w:val="none"/>
          <w:shd w:val="clear" w:color="auto" w:fill="auto"/>
        </w:rPr>
        <w:t>：</w:t>
      </w:r>
      <w:permStart w:id="117" w:edGrp="everyone"/>
      <w:r>
        <w:rPr>
          <w:rFonts w:hint="eastAsia"/>
          <w:color w:val="auto"/>
          <w:szCs w:val="21"/>
          <w:highlight w:val="none"/>
          <w:u w:val="single"/>
          <w:shd w:val="clear" w:color="auto" w:fill="auto"/>
        </w:rPr>
        <w:t xml:space="preserve">            </w:t>
      </w:r>
      <w:r>
        <w:rPr>
          <w:color w:val="auto"/>
          <w:szCs w:val="21"/>
          <w:highlight w:val="none"/>
          <w:shd w:val="clear" w:color="auto" w:fill="auto"/>
        </w:rPr>
        <w:t>。</w:t>
      </w:r>
      <w:permEnd w:id="117"/>
      <w:r>
        <w:rPr>
          <w:rFonts w:hint="eastAsia"/>
          <w:color w:val="auto"/>
          <w:highlight w:val="none"/>
          <w:shd w:val="clear" w:color="auto" w:fill="auto"/>
        </w:rPr>
        <w:t xml:space="preserve"> </w:t>
      </w:r>
    </w:p>
    <w:p w14:paraId="71A46493">
      <w:pPr>
        <w:spacing w:line="540" w:lineRule="exact"/>
        <w:ind w:firstLine="422" w:firstLineChars="200"/>
        <w:rPr>
          <w:b/>
          <w:color w:val="auto"/>
          <w:highlight w:val="none"/>
          <w:shd w:val="clear" w:color="auto" w:fill="auto"/>
        </w:rPr>
      </w:pPr>
      <w:r>
        <w:rPr>
          <w:rFonts w:hint="eastAsia"/>
          <w:b/>
          <w:color w:val="auto"/>
          <w:highlight w:val="none"/>
          <w:shd w:val="clear" w:color="auto" w:fill="auto"/>
        </w:rPr>
        <w:t>①按工程性质，选择下述支付方式：</w:t>
      </w:r>
    </w:p>
    <w:p w14:paraId="65A3E2C7">
      <w:pPr>
        <w:spacing w:line="540" w:lineRule="exact"/>
        <w:ind w:firstLine="422" w:firstLineChars="200"/>
        <w:rPr>
          <w:b/>
          <w:bCs/>
          <w:color w:val="auto"/>
          <w:highlight w:val="none"/>
          <w:shd w:val="clear" w:color="auto" w:fill="auto"/>
        </w:rPr>
      </w:pPr>
      <w:r>
        <w:rPr>
          <w:rFonts w:hint="eastAsia"/>
          <w:b/>
          <w:bCs/>
          <w:color w:val="auto"/>
          <w:highlight w:val="none"/>
          <w:shd w:val="clear" w:color="auto" w:fill="auto"/>
        </w:rPr>
        <w:t>变电工程：</w:t>
      </w:r>
    </w:p>
    <w:p w14:paraId="4FBD6BC0">
      <w:pPr>
        <w:spacing w:line="540" w:lineRule="exact"/>
        <w:ind w:firstLine="420" w:firstLineChars="200"/>
        <w:rPr>
          <w:color w:val="auto"/>
          <w:highlight w:val="none"/>
          <w:shd w:val="clear" w:color="auto" w:fill="auto"/>
        </w:rPr>
      </w:pPr>
      <w:permStart w:id="118" w:edGrp="everyone"/>
      <w:r>
        <w:rPr>
          <w:rFonts w:hint="eastAsia"/>
          <w:color w:val="auto"/>
          <w:highlight w:val="none"/>
          <w:shd w:val="clear" w:color="auto" w:fill="auto"/>
        </w:rPr>
        <w:t>a.</w:t>
      </w:r>
      <w:r>
        <w:rPr>
          <w:rFonts w:hint="eastAsia"/>
          <w:color w:val="auto"/>
          <w:highlight w:val="none"/>
          <w:u w:val="single"/>
          <w:shd w:val="clear" w:color="auto" w:fill="auto"/>
        </w:rPr>
        <w:t>土建基础完成或工程总体形象进度完成60％，</w:t>
      </w:r>
      <w:r>
        <w:rPr>
          <w:rFonts w:hint="eastAsia"/>
          <w:color w:val="auto"/>
          <w:highlight w:val="none"/>
          <w:shd w:val="clear" w:color="auto" w:fill="auto"/>
        </w:rPr>
        <w:t>后支付合同监理费（变电部分）的</w:t>
      </w:r>
      <w:r>
        <w:rPr>
          <w:rFonts w:hint="eastAsia"/>
          <w:color w:val="auto"/>
          <w:highlight w:val="none"/>
          <w:u w:val="single"/>
          <w:shd w:val="clear" w:color="auto" w:fill="auto"/>
        </w:rPr>
        <w:t>30%（不设预付款且设中间支付时）/20 %（设预付款时）</w:t>
      </w:r>
      <w:r>
        <w:rPr>
          <w:rFonts w:hint="eastAsia"/>
          <w:color w:val="auto"/>
          <w:highlight w:val="none"/>
          <w:shd w:val="clear" w:color="auto" w:fill="auto"/>
        </w:rPr>
        <w:t xml:space="preserve">； </w:t>
      </w:r>
    </w:p>
    <w:p w14:paraId="43E2340A">
      <w:pPr>
        <w:spacing w:line="540" w:lineRule="exact"/>
        <w:ind w:firstLine="420" w:firstLineChars="200"/>
        <w:rPr>
          <w:color w:val="auto"/>
          <w:highlight w:val="none"/>
          <w:shd w:val="clear" w:color="auto" w:fill="auto"/>
        </w:rPr>
      </w:pPr>
      <w:r>
        <w:rPr>
          <w:rFonts w:hint="eastAsia"/>
          <w:color w:val="auto"/>
          <w:highlight w:val="none"/>
          <w:shd w:val="clear" w:color="auto" w:fill="auto"/>
        </w:rPr>
        <w:t>b.</w:t>
      </w:r>
      <w:r>
        <w:rPr>
          <w:rFonts w:hint="eastAsia"/>
          <w:color w:val="auto"/>
          <w:highlight w:val="none"/>
          <w:u w:val="single"/>
          <w:shd w:val="clear" w:color="auto" w:fill="auto"/>
        </w:rPr>
        <w:t>构支架组立完成或工程总体形象进度完成90％</w:t>
      </w:r>
      <w:r>
        <w:rPr>
          <w:rFonts w:hint="eastAsia"/>
          <w:color w:val="auto"/>
          <w:highlight w:val="none"/>
          <w:shd w:val="clear" w:color="auto" w:fill="auto"/>
        </w:rPr>
        <w:t>，支付合同监理费（变电部分）的</w:t>
      </w:r>
      <w:r>
        <w:rPr>
          <w:rFonts w:hint="eastAsia"/>
          <w:color w:val="auto"/>
          <w:highlight w:val="none"/>
          <w:u w:val="single"/>
          <w:shd w:val="clear" w:color="auto" w:fill="auto"/>
        </w:rPr>
        <w:t>30 %</w:t>
      </w:r>
      <w:r>
        <w:rPr>
          <w:rFonts w:hint="eastAsia"/>
          <w:color w:val="auto"/>
          <w:highlight w:val="none"/>
          <w:shd w:val="clear" w:color="auto" w:fill="auto"/>
        </w:rPr>
        <w:t>；</w:t>
      </w:r>
    </w:p>
    <w:p w14:paraId="7185B8C5">
      <w:pPr>
        <w:spacing w:line="540" w:lineRule="exact"/>
        <w:ind w:firstLine="420" w:firstLineChars="200"/>
        <w:rPr>
          <w:rFonts w:hint="eastAsia"/>
          <w:color w:val="auto"/>
          <w:highlight w:val="none"/>
          <w:shd w:val="clear" w:color="auto" w:fill="auto"/>
        </w:rPr>
      </w:pPr>
      <w:r>
        <w:rPr>
          <w:rFonts w:hint="eastAsia"/>
          <w:color w:val="auto"/>
          <w:highlight w:val="none"/>
          <w:shd w:val="clear" w:color="auto" w:fill="auto"/>
        </w:rPr>
        <w:t>c. 竣工验收投运并交清相关资料，支付合同监理费（变电部分）的</w:t>
      </w:r>
      <w:r>
        <w:rPr>
          <w:rFonts w:hint="eastAsia"/>
          <w:color w:val="auto"/>
          <w:highlight w:val="none"/>
          <w:u w:val="single"/>
          <w:shd w:val="clear" w:color="auto" w:fill="auto"/>
        </w:rPr>
        <w:t>35%</w:t>
      </w:r>
      <w:r>
        <w:rPr>
          <w:rFonts w:hint="eastAsia"/>
          <w:color w:val="auto"/>
          <w:highlight w:val="none"/>
          <w:shd w:val="clear" w:color="auto" w:fill="auto"/>
        </w:rPr>
        <w:t>；</w:t>
      </w:r>
    </w:p>
    <w:p w14:paraId="38C146FE">
      <w:pPr>
        <w:spacing w:line="540" w:lineRule="exact"/>
        <w:ind w:firstLine="420" w:firstLineChars="200"/>
        <w:rPr>
          <w:rFonts w:hint="eastAsia"/>
          <w:color w:val="auto"/>
          <w:highlight w:val="none"/>
          <w:shd w:val="clear" w:color="auto" w:fill="auto"/>
        </w:rPr>
      </w:pPr>
      <w:r>
        <w:rPr>
          <w:rFonts w:hint="eastAsia"/>
          <w:color w:val="auto"/>
          <w:highlight w:val="none"/>
          <w:shd w:val="clear" w:color="auto" w:fill="auto"/>
        </w:rPr>
        <w:t>d.</w:t>
      </w:r>
      <w:r>
        <w:rPr>
          <w:rFonts w:hint="eastAsia"/>
          <w:color w:val="auto"/>
          <w:szCs w:val="21"/>
          <w:highlight w:val="none"/>
          <w:u w:val="single"/>
          <w:shd w:val="clear" w:color="auto" w:fill="auto"/>
        </w:rPr>
        <w:t xml:space="preserve">            </w:t>
      </w:r>
      <w:r>
        <w:rPr>
          <w:color w:val="auto"/>
          <w:szCs w:val="21"/>
          <w:highlight w:val="none"/>
          <w:shd w:val="clear" w:color="auto" w:fill="auto"/>
        </w:rPr>
        <w:t>。</w:t>
      </w:r>
      <w:r>
        <w:rPr>
          <w:rFonts w:hint="eastAsia"/>
          <w:color w:val="auto"/>
          <w:highlight w:val="none"/>
          <w:shd w:val="clear" w:color="auto" w:fill="auto"/>
        </w:rPr>
        <w:t xml:space="preserve"> </w:t>
      </w:r>
    </w:p>
    <w:permEnd w:id="118"/>
    <w:p w14:paraId="6037820C">
      <w:pPr>
        <w:spacing w:line="540" w:lineRule="exact"/>
        <w:ind w:firstLine="422" w:firstLineChars="200"/>
        <w:rPr>
          <w:b/>
          <w:bCs/>
          <w:color w:val="auto"/>
          <w:highlight w:val="none"/>
          <w:shd w:val="clear" w:color="auto" w:fill="auto"/>
        </w:rPr>
      </w:pPr>
      <w:r>
        <w:rPr>
          <w:rFonts w:hint="eastAsia"/>
          <w:b/>
          <w:bCs/>
          <w:color w:val="auto"/>
          <w:highlight w:val="none"/>
          <w:shd w:val="clear" w:color="auto" w:fill="auto"/>
        </w:rPr>
        <w:t>线路工程：</w:t>
      </w:r>
    </w:p>
    <w:p w14:paraId="419C2235">
      <w:pPr>
        <w:spacing w:line="540" w:lineRule="exact"/>
        <w:ind w:firstLine="420" w:firstLineChars="200"/>
        <w:rPr>
          <w:color w:val="auto"/>
          <w:highlight w:val="none"/>
          <w:shd w:val="clear" w:color="auto" w:fill="auto"/>
        </w:rPr>
      </w:pPr>
      <w:permStart w:id="119" w:edGrp="everyone"/>
      <w:r>
        <w:rPr>
          <w:rFonts w:hint="eastAsia"/>
          <w:color w:val="auto"/>
          <w:highlight w:val="none"/>
          <w:shd w:val="clear" w:color="auto" w:fill="auto"/>
        </w:rPr>
        <w:t xml:space="preserve">a. </w:t>
      </w:r>
      <w:r>
        <w:rPr>
          <w:rFonts w:hint="eastAsia"/>
          <w:color w:val="auto"/>
          <w:highlight w:val="none"/>
          <w:u w:val="single"/>
          <w:shd w:val="clear" w:color="auto" w:fill="auto"/>
        </w:rPr>
        <w:t>土建基础完成或工程总体形象进度完成60％，</w:t>
      </w:r>
      <w:r>
        <w:rPr>
          <w:rFonts w:hint="eastAsia"/>
          <w:color w:val="auto"/>
          <w:highlight w:val="none"/>
          <w:shd w:val="clear" w:color="auto" w:fill="auto"/>
        </w:rPr>
        <w:t>支付合同监理费（线路部分）的</w:t>
      </w:r>
      <w:r>
        <w:rPr>
          <w:rFonts w:hint="eastAsia"/>
          <w:color w:val="auto"/>
          <w:highlight w:val="none"/>
          <w:u w:val="single"/>
          <w:shd w:val="clear" w:color="auto" w:fill="auto"/>
        </w:rPr>
        <w:t>30%（不设预付款且设中间支付时）/20 %（设预付款时）</w:t>
      </w:r>
      <w:r>
        <w:rPr>
          <w:rFonts w:hint="eastAsia"/>
          <w:color w:val="auto"/>
          <w:highlight w:val="none"/>
          <w:shd w:val="clear" w:color="auto" w:fill="auto"/>
        </w:rPr>
        <w:t xml:space="preserve">； </w:t>
      </w:r>
    </w:p>
    <w:p w14:paraId="7CB8709A">
      <w:pPr>
        <w:spacing w:line="540" w:lineRule="exact"/>
        <w:ind w:firstLine="420" w:firstLineChars="200"/>
        <w:rPr>
          <w:color w:val="auto"/>
          <w:highlight w:val="none"/>
          <w:shd w:val="clear" w:color="auto" w:fill="auto"/>
        </w:rPr>
      </w:pPr>
      <w:r>
        <w:rPr>
          <w:rFonts w:hint="eastAsia"/>
          <w:color w:val="auto"/>
          <w:highlight w:val="none"/>
          <w:shd w:val="clear" w:color="auto" w:fill="auto"/>
        </w:rPr>
        <w:t>b.</w:t>
      </w:r>
      <w:r>
        <w:rPr>
          <w:rFonts w:hint="eastAsia"/>
          <w:color w:val="auto"/>
          <w:highlight w:val="none"/>
          <w:u w:val="single"/>
          <w:shd w:val="clear" w:color="auto" w:fill="auto"/>
        </w:rPr>
        <w:t>组塔完成或工程总体形象进度完成90％，</w:t>
      </w:r>
      <w:r>
        <w:rPr>
          <w:rFonts w:hint="eastAsia"/>
          <w:color w:val="auto"/>
          <w:highlight w:val="none"/>
          <w:shd w:val="clear" w:color="auto" w:fill="auto"/>
        </w:rPr>
        <w:t>支付合同监理费（线路部分）的</w:t>
      </w:r>
      <w:r>
        <w:rPr>
          <w:rFonts w:hint="eastAsia"/>
          <w:color w:val="auto"/>
          <w:highlight w:val="none"/>
          <w:u w:val="single"/>
          <w:shd w:val="clear" w:color="auto" w:fill="auto"/>
        </w:rPr>
        <w:t>30 %</w:t>
      </w:r>
      <w:r>
        <w:rPr>
          <w:rFonts w:hint="eastAsia"/>
          <w:color w:val="auto"/>
          <w:highlight w:val="none"/>
          <w:shd w:val="clear" w:color="auto" w:fill="auto"/>
        </w:rPr>
        <w:t>；</w:t>
      </w:r>
    </w:p>
    <w:p w14:paraId="7B231C73">
      <w:pPr>
        <w:spacing w:line="540" w:lineRule="exact"/>
        <w:ind w:firstLine="420" w:firstLineChars="200"/>
        <w:rPr>
          <w:rFonts w:hint="eastAsia"/>
          <w:color w:val="auto"/>
          <w:highlight w:val="none"/>
          <w:shd w:val="clear" w:color="auto" w:fill="auto"/>
        </w:rPr>
      </w:pPr>
      <w:r>
        <w:rPr>
          <w:rFonts w:hint="eastAsia"/>
          <w:color w:val="auto"/>
          <w:highlight w:val="none"/>
          <w:shd w:val="clear" w:color="auto" w:fill="auto"/>
        </w:rPr>
        <w:t>c. 竣工验收投运并交清相关资料，支付合同监理费（线路部分）的</w:t>
      </w:r>
      <w:r>
        <w:rPr>
          <w:rFonts w:hint="eastAsia"/>
          <w:color w:val="auto"/>
          <w:highlight w:val="none"/>
          <w:u w:val="single"/>
          <w:shd w:val="clear" w:color="auto" w:fill="auto"/>
        </w:rPr>
        <w:t>35%</w:t>
      </w:r>
      <w:r>
        <w:rPr>
          <w:rFonts w:hint="eastAsia"/>
          <w:color w:val="auto"/>
          <w:highlight w:val="none"/>
          <w:shd w:val="clear" w:color="auto" w:fill="auto"/>
        </w:rPr>
        <w:t>；</w:t>
      </w:r>
    </w:p>
    <w:p w14:paraId="007BD92A">
      <w:pPr>
        <w:spacing w:line="540" w:lineRule="exact"/>
        <w:ind w:firstLine="420" w:firstLineChars="200"/>
        <w:rPr>
          <w:rFonts w:hint="eastAsia"/>
          <w:color w:val="auto"/>
          <w:highlight w:val="none"/>
          <w:shd w:val="clear" w:color="auto" w:fill="auto"/>
        </w:rPr>
      </w:pPr>
      <w:r>
        <w:rPr>
          <w:rFonts w:hint="eastAsia"/>
          <w:color w:val="auto"/>
          <w:highlight w:val="none"/>
          <w:shd w:val="clear" w:color="auto" w:fill="auto"/>
        </w:rPr>
        <w:t>d.</w:t>
      </w:r>
      <w:r>
        <w:rPr>
          <w:rFonts w:hint="eastAsia"/>
          <w:color w:val="auto"/>
          <w:szCs w:val="21"/>
          <w:highlight w:val="none"/>
          <w:u w:val="single"/>
          <w:shd w:val="clear" w:color="auto" w:fill="auto"/>
        </w:rPr>
        <w:t xml:space="preserve">            </w:t>
      </w:r>
      <w:r>
        <w:rPr>
          <w:color w:val="auto"/>
          <w:szCs w:val="21"/>
          <w:highlight w:val="none"/>
          <w:shd w:val="clear" w:color="auto" w:fill="auto"/>
        </w:rPr>
        <w:t>。</w:t>
      </w:r>
      <w:permEnd w:id="119"/>
      <w:r>
        <w:rPr>
          <w:rFonts w:hint="eastAsia"/>
          <w:color w:val="auto"/>
          <w:highlight w:val="none"/>
          <w:shd w:val="clear" w:color="auto" w:fill="auto"/>
        </w:rPr>
        <w:t xml:space="preserve"> </w:t>
      </w:r>
    </w:p>
    <w:p w14:paraId="38A769DE">
      <w:pPr>
        <w:spacing w:line="540" w:lineRule="exact"/>
        <w:ind w:firstLine="422" w:firstLineChars="200"/>
        <w:rPr>
          <w:b/>
          <w:bCs/>
          <w:color w:val="auto"/>
          <w:highlight w:val="none"/>
          <w:shd w:val="clear" w:color="auto" w:fill="auto"/>
        </w:rPr>
      </w:pPr>
      <w:r>
        <w:rPr>
          <w:rFonts w:hint="eastAsia"/>
          <w:b/>
          <w:bCs/>
          <w:color w:val="auto"/>
          <w:highlight w:val="none"/>
          <w:shd w:val="clear" w:color="auto" w:fill="auto"/>
        </w:rPr>
        <w:t>电缆工程：</w:t>
      </w:r>
    </w:p>
    <w:p w14:paraId="6D04FD8D">
      <w:pPr>
        <w:spacing w:line="540" w:lineRule="exact"/>
        <w:ind w:firstLine="420" w:firstLineChars="200"/>
        <w:rPr>
          <w:color w:val="auto"/>
          <w:highlight w:val="none"/>
          <w:shd w:val="clear" w:color="auto" w:fill="auto"/>
        </w:rPr>
      </w:pPr>
      <w:permStart w:id="120" w:edGrp="everyone"/>
      <w:r>
        <w:rPr>
          <w:rFonts w:hint="eastAsia"/>
          <w:color w:val="auto"/>
          <w:highlight w:val="none"/>
          <w:shd w:val="clear" w:color="auto" w:fill="auto"/>
        </w:rPr>
        <w:t xml:space="preserve">a. </w:t>
      </w:r>
      <w:r>
        <w:rPr>
          <w:rFonts w:hint="eastAsia"/>
          <w:color w:val="auto"/>
          <w:highlight w:val="none"/>
          <w:u w:val="single"/>
          <w:shd w:val="clear" w:color="auto" w:fill="auto"/>
        </w:rPr>
        <w:t>土建基础完成或工程总体形象进度完成60％</w:t>
      </w:r>
      <w:r>
        <w:rPr>
          <w:rFonts w:hint="eastAsia"/>
          <w:color w:val="auto"/>
          <w:highlight w:val="none"/>
          <w:shd w:val="clear" w:color="auto" w:fill="auto"/>
        </w:rPr>
        <w:t>，支付合同监理费（电缆部分）的</w:t>
      </w:r>
      <w:r>
        <w:rPr>
          <w:rFonts w:hint="eastAsia"/>
          <w:color w:val="auto"/>
          <w:highlight w:val="none"/>
          <w:u w:val="single"/>
          <w:shd w:val="clear" w:color="auto" w:fill="auto"/>
        </w:rPr>
        <w:t>30%（不设预付款且设中间支付时）/20 %（设预付款时）</w:t>
      </w:r>
      <w:r>
        <w:rPr>
          <w:rFonts w:hint="eastAsia"/>
          <w:color w:val="auto"/>
          <w:highlight w:val="none"/>
          <w:shd w:val="clear" w:color="auto" w:fill="auto"/>
        </w:rPr>
        <w:t>；</w:t>
      </w:r>
    </w:p>
    <w:p w14:paraId="28E6045A">
      <w:pPr>
        <w:spacing w:line="540" w:lineRule="exact"/>
        <w:ind w:firstLine="420" w:firstLineChars="200"/>
        <w:rPr>
          <w:color w:val="auto"/>
          <w:highlight w:val="none"/>
          <w:shd w:val="clear" w:color="auto" w:fill="auto"/>
        </w:rPr>
      </w:pPr>
      <w:r>
        <w:rPr>
          <w:rFonts w:hint="eastAsia"/>
          <w:color w:val="auto"/>
          <w:highlight w:val="none"/>
          <w:shd w:val="clear" w:color="auto" w:fill="auto"/>
        </w:rPr>
        <w:t>b.</w:t>
      </w:r>
      <w:r>
        <w:rPr>
          <w:rFonts w:hint="eastAsia"/>
          <w:color w:val="auto"/>
          <w:highlight w:val="none"/>
          <w:u w:val="single"/>
          <w:shd w:val="clear" w:color="auto" w:fill="auto"/>
        </w:rPr>
        <w:t>电缆具备敷设条件或工程总体形象进度完成90％</w:t>
      </w:r>
      <w:r>
        <w:rPr>
          <w:rFonts w:hint="eastAsia"/>
          <w:color w:val="auto"/>
          <w:highlight w:val="none"/>
          <w:shd w:val="clear" w:color="auto" w:fill="auto"/>
        </w:rPr>
        <w:t>，支付合同监理费（电缆部分）的</w:t>
      </w:r>
      <w:r>
        <w:rPr>
          <w:rFonts w:hint="eastAsia"/>
          <w:color w:val="auto"/>
          <w:highlight w:val="none"/>
          <w:u w:val="single"/>
          <w:shd w:val="clear" w:color="auto" w:fill="auto"/>
        </w:rPr>
        <w:t>30 %</w:t>
      </w:r>
      <w:r>
        <w:rPr>
          <w:rFonts w:hint="eastAsia"/>
          <w:color w:val="auto"/>
          <w:highlight w:val="none"/>
          <w:shd w:val="clear" w:color="auto" w:fill="auto"/>
        </w:rPr>
        <w:t>；</w:t>
      </w:r>
    </w:p>
    <w:p w14:paraId="1ED9CBF7">
      <w:pPr>
        <w:spacing w:line="540" w:lineRule="exact"/>
        <w:ind w:firstLine="420" w:firstLineChars="200"/>
        <w:rPr>
          <w:color w:val="auto"/>
          <w:highlight w:val="none"/>
          <w:shd w:val="clear" w:color="auto" w:fill="auto"/>
        </w:rPr>
      </w:pPr>
      <w:r>
        <w:rPr>
          <w:rFonts w:hint="eastAsia"/>
          <w:color w:val="auto"/>
          <w:highlight w:val="none"/>
          <w:shd w:val="clear" w:color="auto" w:fill="auto"/>
        </w:rPr>
        <w:t>c. 竣工验收投运并交清相关资料，支付合同监理费（电缆部分）的</w:t>
      </w:r>
      <w:r>
        <w:rPr>
          <w:rFonts w:hint="eastAsia"/>
          <w:color w:val="auto"/>
          <w:highlight w:val="none"/>
          <w:u w:val="single"/>
          <w:shd w:val="clear" w:color="auto" w:fill="auto"/>
        </w:rPr>
        <w:t>35%</w:t>
      </w:r>
      <w:r>
        <w:rPr>
          <w:rFonts w:hint="eastAsia"/>
          <w:color w:val="auto"/>
          <w:highlight w:val="none"/>
          <w:shd w:val="clear" w:color="auto" w:fill="auto"/>
        </w:rPr>
        <w:t>；</w:t>
      </w:r>
    </w:p>
    <w:p w14:paraId="69E73B5F">
      <w:pPr>
        <w:spacing w:line="540" w:lineRule="exact"/>
        <w:ind w:firstLine="420" w:firstLineChars="200"/>
        <w:rPr>
          <w:rFonts w:hint="eastAsia"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进度款支付时限为完成项目阶段性工作、并收到等额增值税专用发票后</w:t>
      </w:r>
      <w:r>
        <w:rPr>
          <w:rFonts w:hint="eastAsia" w:ascii="宋体" w:hAnsi="宋体" w:cs="宋体"/>
          <w:color w:val="auto"/>
          <w:kern w:val="0"/>
          <w:szCs w:val="21"/>
          <w:highlight w:val="none"/>
          <w:u w:val="single"/>
          <w:shd w:val="clear" w:color="auto" w:fill="auto"/>
        </w:rPr>
        <w:t>45</w:t>
      </w:r>
      <w:r>
        <w:rPr>
          <w:rFonts w:hint="eastAsia" w:ascii="宋体" w:hAnsi="宋体" w:cs="宋体"/>
          <w:color w:val="auto"/>
          <w:kern w:val="0"/>
          <w:szCs w:val="21"/>
          <w:highlight w:val="none"/>
          <w:shd w:val="clear" w:color="auto" w:fill="auto"/>
        </w:rPr>
        <w:t>日内；付至合同监理费的</w:t>
      </w:r>
      <w:r>
        <w:rPr>
          <w:rFonts w:hint="eastAsia" w:ascii="宋体" w:hAnsi="宋体" w:cs="宋体"/>
          <w:color w:val="auto"/>
          <w:kern w:val="0"/>
          <w:szCs w:val="21"/>
          <w:highlight w:val="none"/>
          <w:u w:val="single"/>
          <w:shd w:val="clear" w:color="auto" w:fill="auto"/>
        </w:rPr>
        <w:t>97％</w:t>
      </w:r>
      <w:r>
        <w:rPr>
          <w:rFonts w:hint="eastAsia" w:ascii="宋体" w:hAnsi="宋体" w:cs="宋体"/>
          <w:color w:val="auto"/>
          <w:kern w:val="0"/>
          <w:szCs w:val="21"/>
          <w:highlight w:val="none"/>
          <w:shd w:val="clear" w:color="auto" w:fill="auto"/>
        </w:rPr>
        <w:t>（10万元及以下合同支付完总结算监理报酬）。</w:t>
      </w:r>
    </w:p>
    <w:p w14:paraId="3CB712EC">
      <w:pPr>
        <w:spacing w:line="540" w:lineRule="exact"/>
        <w:ind w:firstLine="420" w:firstLineChars="200"/>
        <w:rPr>
          <w:rFonts w:hint="eastAsia"/>
          <w:color w:val="auto"/>
          <w:highlight w:val="none"/>
          <w:shd w:val="clear" w:color="auto" w:fill="auto"/>
        </w:rPr>
      </w:pPr>
      <w:r>
        <w:rPr>
          <w:rFonts w:hint="eastAsia"/>
          <w:color w:val="auto"/>
          <w:highlight w:val="none"/>
          <w:shd w:val="clear" w:color="auto" w:fill="auto"/>
        </w:rPr>
        <w:t>d.</w:t>
      </w:r>
      <w:r>
        <w:rPr>
          <w:rFonts w:hint="eastAsia"/>
          <w:color w:val="auto"/>
          <w:szCs w:val="21"/>
          <w:highlight w:val="none"/>
          <w:u w:val="single"/>
          <w:shd w:val="clear" w:color="auto" w:fill="auto"/>
        </w:rPr>
        <w:t xml:space="preserve">            </w:t>
      </w:r>
      <w:r>
        <w:rPr>
          <w:color w:val="auto"/>
          <w:szCs w:val="21"/>
          <w:highlight w:val="none"/>
          <w:shd w:val="clear" w:color="auto" w:fill="auto"/>
        </w:rPr>
        <w:t>。</w:t>
      </w:r>
      <w:r>
        <w:rPr>
          <w:rFonts w:hint="eastAsia"/>
          <w:color w:val="auto"/>
          <w:highlight w:val="none"/>
          <w:shd w:val="clear" w:color="auto" w:fill="auto"/>
        </w:rPr>
        <w:t xml:space="preserve"> </w:t>
      </w:r>
    </w:p>
    <w:permEnd w:id="120"/>
    <w:p w14:paraId="10A8C357">
      <w:pPr>
        <w:spacing w:line="540" w:lineRule="exact"/>
        <w:ind w:firstLine="422" w:firstLineChars="200"/>
        <w:rPr>
          <w:rFonts w:ascii="宋体" w:hAnsi="宋体" w:cs="宋体"/>
          <w:b/>
          <w:color w:val="auto"/>
          <w:kern w:val="0"/>
          <w:szCs w:val="21"/>
          <w:highlight w:val="none"/>
          <w:shd w:val="clear" w:color="auto" w:fill="auto"/>
        </w:rPr>
      </w:pPr>
      <w:r>
        <w:rPr>
          <w:rFonts w:hint="eastAsia" w:ascii="宋体" w:hAnsi="宋体" w:cs="宋体"/>
          <w:b/>
          <w:color w:val="auto"/>
          <w:kern w:val="0"/>
          <w:szCs w:val="21"/>
          <w:highlight w:val="none"/>
          <w:shd w:val="clear" w:color="auto" w:fill="auto"/>
        </w:rPr>
        <w:t>②不按工程性质，直接按以下方式支付：</w:t>
      </w:r>
    </w:p>
    <w:p w14:paraId="475EDECA">
      <w:pPr>
        <w:spacing w:line="540" w:lineRule="exact"/>
        <w:ind w:firstLine="420" w:firstLineChars="200"/>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所有项目</w:t>
      </w:r>
      <w:r>
        <w:rPr>
          <w:rFonts w:hint="eastAsia"/>
          <w:color w:val="auto"/>
          <w:highlight w:val="none"/>
          <w:shd w:val="clear" w:color="auto" w:fill="auto"/>
        </w:rPr>
        <w:t>竣工验收投运并交清相关资料</w:t>
      </w:r>
      <w:r>
        <w:rPr>
          <w:rFonts w:hint="eastAsia" w:ascii="宋体" w:hAnsi="宋体" w:cs="宋体"/>
          <w:color w:val="auto"/>
          <w:kern w:val="0"/>
          <w:szCs w:val="21"/>
          <w:highlight w:val="none"/>
          <w:shd w:val="clear" w:color="auto" w:fill="auto"/>
        </w:rPr>
        <w:t>，付至合同监理费的</w:t>
      </w:r>
      <w:permStart w:id="121" w:edGrp="everyone"/>
      <w:r>
        <w:rPr>
          <w:rFonts w:hint="eastAsia" w:ascii="宋体" w:hAnsi="宋体" w:cs="宋体"/>
          <w:color w:val="auto"/>
          <w:kern w:val="0"/>
          <w:szCs w:val="21"/>
          <w:highlight w:val="none"/>
          <w:u w:val="single"/>
          <w:shd w:val="clear" w:color="auto" w:fill="auto"/>
        </w:rPr>
        <w:t>97％</w:t>
      </w:r>
      <w:permEnd w:id="121"/>
      <w:r>
        <w:rPr>
          <w:rFonts w:hint="eastAsia" w:ascii="宋体" w:hAnsi="宋体" w:cs="宋体"/>
          <w:color w:val="auto"/>
          <w:kern w:val="0"/>
          <w:szCs w:val="21"/>
          <w:highlight w:val="none"/>
          <w:shd w:val="clear" w:color="auto" w:fill="auto"/>
        </w:rPr>
        <w:t>（10万元及以下合同支付完总结算监理报酬），在监理人提供等额增值税专用发票后</w:t>
      </w:r>
      <w:r>
        <w:rPr>
          <w:rFonts w:hint="eastAsia" w:ascii="宋体" w:hAnsi="宋体" w:cs="宋体"/>
          <w:color w:val="auto"/>
          <w:kern w:val="0"/>
          <w:szCs w:val="21"/>
          <w:highlight w:val="none"/>
          <w:u w:val="single"/>
          <w:shd w:val="clear" w:color="auto" w:fill="auto"/>
        </w:rPr>
        <w:t>45</w:t>
      </w:r>
      <w:r>
        <w:rPr>
          <w:rFonts w:hint="eastAsia" w:ascii="宋体" w:hAnsi="宋体" w:cs="宋体"/>
          <w:color w:val="auto"/>
          <w:kern w:val="0"/>
          <w:szCs w:val="21"/>
          <w:highlight w:val="none"/>
          <w:shd w:val="clear" w:color="auto" w:fill="auto"/>
        </w:rPr>
        <w:t>日内，委托人予以支付。</w:t>
      </w:r>
    </w:p>
    <w:p w14:paraId="73F1D1B7">
      <w:pPr>
        <w:spacing w:line="540" w:lineRule="exact"/>
        <w:ind w:firstLine="420" w:firstLineChars="200"/>
        <w:rPr>
          <w:color w:val="auto"/>
          <w:highlight w:val="none"/>
          <w:shd w:val="clear" w:color="auto" w:fill="auto"/>
        </w:rPr>
      </w:pPr>
      <w:r>
        <w:rPr>
          <w:rFonts w:hint="eastAsia"/>
          <w:color w:val="auto"/>
          <w:highlight w:val="none"/>
          <w:shd w:val="clear" w:color="auto" w:fill="auto"/>
        </w:rPr>
        <w:t>（4）最终支付：所有项目最终成果等完成，考虑增加或减少单项工程引起的监理单位报酬增减，结算项目总监理费报酬。监理费用结算批复后，监理人提交金额为结算监理费用3%的质量保证金担保（担保的形式包括银行提供的保函、央企财务公司提供的保函、保险公司提供的国家认可的具有法律效力的保险等，格式自定，担保有效期与工程缺陷责任期一致），由委托人负责审查付款条件并办理结算余款的支付；</w:t>
      </w:r>
    </w:p>
    <w:p w14:paraId="2153721F">
      <w:pPr>
        <w:spacing w:line="540" w:lineRule="exact"/>
        <w:ind w:firstLine="420" w:firstLineChars="200"/>
        <w:rPr>
          <w:rFonts w:hint="eastAsia"/>
          <w:color w:val="auto"/>
          <w:highlight w:val="none"/>
          <w:shd w:val="clear" w:color="auto" w:fill="auto"/>
        </w:rPr>
      </w:pPr>
      <w:r>
        <w:rPr>
          <w:rFonts w:hint="eastAsia"/>
          <w:color w:val="auto"/>
          <w:highlight w:val="none"/>
          <w:shd w:val="clear" w:color="auto" w:fill="auto"/>
        </w:rPr>
        <w:t>（5）</w:t>
      </w:r>
      <w:r>
        <w:rPr>
          <w:rFonts w:hint="eastAsia" w:ascii="宋体" w:hAnsi="宋体" w:cs="宋体"/>
          <w:color w:val="auto"/>
          <w:kern w:val="0"/>
          <w:szCs w:val="21"/>
          <w:highlight w:val="none"/>
          <w:shd w:val="clear" w:color="auto" w:fill="auto"/>
        </w:rPr>
        <w:t>工程缺陷责任期如有需要延续的，监理人应确保质量保证金保函在缺陷责任期的延续期内有效。质量保证金支付执行《关于印发中国南方电网有限责任公司工程项目质量保证金管理工作指引的通知》。</w:t>
      </w:r>
    </w:p>
    <w:p w14:paraId="688062B3">
      <w:pPr>
        <w:spacing w:line="540" w:lineRule="exact"/>
        <w:ind w:firstLine="420" w:firstLineChars="200"/>
        <w:rPr>
          <w:color w:val="auto"/>
          <w:highlight w:val="none"/>
          <w:shd w:val="clear" w:color="auto" w:fill="auto"/>
        </w:rPr>
      </w:pPr>
      <w:r>
        <w:rPr>
          <w:rFonts w:hint="eastAsia"/>
          <w:color w:val="auto"/>
          <w:highlight w:val="none"/>
          <w:shd w:val="clear" w:color="auto" w:fill="auto"/>
        </w:rPr>
        <w:t>（6）每次付款前监理人需提供等额增值税专用发票。</w:t>
      </w:r>
    </w:p>
    <w:p w14:paraId="2ED9E436">
      <w:pPr>
        <w:spacing w:line="540" w:lineRule="exact"/>
        <w:ind w:firstLine="420" w:firstLineChars="200"/>
        <w:rPr>
          <w:rFonts w:hint="eastAsia" w:ascii="Times New Roman" w:hAnsi="Times New Roman" w:eastAsia="宋体" w:cs="Times New Roman"/>
          <w:color w:val="auto"/>
          <w:highlight w:val="none"/>
          <w:shd w:val="clear" w:color="auto" w:fill="auto"/>
          <w:lang w:val="en-US" w:eastAsia="zh-CN"/>
        </w:rPr>
      </w:pPr>
      <w:r>
        <w:rPr>
          <w:rFonts w:hint="eastAsia" w:ascii="Times New Roman" w:hAnsi="Times New Roman" w:eastAsia="宋体" w:cs="Times New Roman"/>
          <w:color w:val="auto"/>
          <w:highlight w:val="none"/>
          <w:shd w:val="clear" w:color="auto" w:fill="auto"/>
        </w:rPr>
        <w:t>（7）支付方式：</w:t>
      </w:r>
      <w:r>
        <w:rPr>
          <w:rFonts w:hint="eastAsia" w:ascii="Times New Roman" w:hAnsi="Times New Roman" w:eastAsia="宋体" w:cs="Times New Roman"/>
          <w:color w:val="auto"/>
          <w:highlight w:val="none"/>
          <w:shd w:val="clear" w:color="auto" w:fill="auto"/>
          <w:lang w:val="en-US" w:eastAsia="zh-CN"/>
        </w:rPr>
        <w:t>包括电汇、转账、汇票、票据、支票和双方认可的其他支付方式。如需使用商业汇票进行支付的，由款项支付方承担资金成本（买方付息贴现）。</w:t>
      </w:r>
    </w:p>
    <w:p w14:paraId="10B407BB">
      <w:pPr>
        <w:spacing w:line="540" w:lineRule="exact"/>
        <w:ind w:firstLine="420" w:firstLineChars="200"/>
        <w:rPr>
          <w:rFonts w:ascii="宋体" w:hAnsi="宋体" w:cs="宋体"/>
          <w:color w:val="auto"/>
          <w:kern w:val="0"/>
          <w:szCs w:val="21"/>
          <w:highlight w:val="none"/>
          <w:shd w:val="clear" w:color="auto" w:fill="auto"/>
        </w:rPr>
      </w:pPr>
      <w:r>
        <w:rPr>
          <w:rFonts w:hint="eastAsia" w:ascii="Times New Roman" w:hAnsi="Times New Roman" w:eastAsia="宋体" w:cs="Times New Roman"/>
          <w:color w:val="auto"/>
          <w:highlight w:val="none"/>
          <w:shd w:val="clear" w:color="auto" w:fill="auto"/>
        </w:rPr>
        <w:t>（</w:t>
      </w:r>
      <w:r>
        <w:rPr>
          <w:rFonts w:hint="default" w:ascii="Times New Roman" w:hAnsi="Times New Roman" w:eastAsia="宋体" w:cs="Times New Roman"/>
          <w:color w:val="auto"/>
          <w:highlight w:val="none"/>
          <w:shd w:val="clear" w:color="auto" w:fill="auto"/>
          <w:lang w:val="en-US"/>
        </w:rPr>
        <w:t>8</w:t>
      </w:r>
      <w:r>
        <w:rPr>
          <w:rFonts w:hint="eastAsia" w:ascii="Times New Roman" w:hAnsi="Times New Roman" w:eastAsia="宋体" w:cs="Times New Roman"/>
          <w:color w:val="auto"/>
          <w:highlight w:val="none"/>
          <w:shd w:val="clear" w:color="auto" w:fill="auto"/>
        </w:rPr>
        <w:t>）监理人应在满足付款条件的前提下，提交书面付款申请并递交等额增值税专用发票等财务票据，因监理人未开具发票、</w:t>
      </w:r>
      <w:r>
        <w:rPr>
          <w:rFonts w:hint="eastAsia" w:ascii="宋体" w:hAnsi="宋体" w:cs="宋体"/>
          <w:color w:val="auto"/>
          <w:kern w:val="0"/>
          <w:szCs w:val="21"/>
          <w:highlight w:val="none"/>
          <w:shd w:val="clear" w:color="auto" w:fill="auto"/>
        </w:rPr>
        <w:t>提交付款申请或开具的发票不符合规定导致委托人迟延支付上述款项的，委托人可以在监理人提供发票后付款，损失由监理人承担，委托人不负违约责任和损害赔偿责任。</w:t>
      </w:r>
    </w:p>
    <w:p w14:paraId="5A3166F1">
      <w:pPr>
        <w:spacing w:line="540" w:lineRule="exact"/>
        <w:ind w:firstLine="420" w:firstLineChars="200"/>
        <w:rPr>
          <w:color w:val="auto"/>
          <w:highlight w:val="none"/>
          <w:shd w:val="clear" w:color="auto" w:fill="auto"/>
        </w:rPr>
      </w:pPr>
      <w:r>
        <w:rPr>
          <w:rFonts w:hint="eastAsia" w:ascii="宋体" w:hAnsi="宋体" w:cs="宋体"/>
          <w:color w:val="auto"/>
          <w:kern w:val="0"/>
          <w:szCs w:val="21"/>
          <w:highlight w:val="none"/>
          <w:shd w:val="clear" w:color="auto" w:fill="auto"/>
        </w:rPr>
        <w:t>（</w:t>
      </w:r>
      <w:r>
        <w:rPr>
          <w:rFonts w:hint="default" w:ascii="宋体" w:hAnsi="宋体" w:cs="宋体"/>
          <w:color w:val="auto"/>
          <w:kern w:val="0"/>
          <w:szCs w:val="21"/>
          <w:highlight w:val="none"/>
          <w:shd w:val="clear" w:color="auto" w:fill="auto"/>
          <w:lang w:val="en-US"/>
        </w:rPr>
        <w:t>9</w:t>
      </w:r>
      <w:r>
        <w:rPr>
          <w:rFonts w:hint="eastAsia" w:ascii="宋体" w:hAnsi="宋体" w:cs="宋体"/>
          <w:color w:val="auto"/>
          <w:kern w:val="0"/>
          <w:szCs w:val="21"/>
          <w:highlight w:val="none"/>
          <w:shd w:val="clear" w:color="auto" w:fill="auto"/>
        </w:rPr>
        <w:t>）其他</w:t>
      </w:r>
      <w:permStart w:id="122" w:edGrp="everyone"/>
      <w:r>
        <w:rPr>
          <w:rFonts w:hint="eastAsia" w:ascii="宋体" w:hAnsi="宋体" w:cs="宋体"/>
          <w:color w:val="auto"/>
          <w:kern w:val="0"/>
          <w:szCs w:val="21"/>
          <w:highlight w:val="none"/>
          <w:shd w:val="clear" w:color="auto" w:fill="auto"/>
        </w:rPr>
        <w:t>：</w:t>
      </w:r>
      <w:r>
        <w:rPr>
          <w:rFonts w:hint="eastAsia"/>
          <w:color w:val="auto"/>
          <w:szCs w:val="21"/>
          <w:highlight w:val="none"/>
          <w:u w:val="single"/>
          <w:shd w:val="clear" w:color="auto" w:fill="auto"/>
        </w:rPr>
        <w:t xml:space="preserve">            </w:t>
      </w:r>
      <w:r>
        <w:rPr>
          <w:color w:val="auto"/>
          <w:szCs w:val="21"/>
          <w:highlight w:val="none"/>
          <w:shd w:val="clear" w:color="auto" w:fill="auto"/>
        </w:rPr>
        <w:t>。</w:t>
      </w:r>
      <w:permEnd w:id="122"/>
    </w:p>
    <w:p w14:paraId="5114B5D1">
      <w:pPr>
        <w:pStyle w:val="6"/>
        <w:spacing w:line="540" w:lineRule="exact"/>
        <w:ind w:firstLine="137"/>
        <w:rPr>
          <w:rFonts w:ascii="Times New Roman"/>
          <w:color w:val="auto"/>
          <w:highlight w:val="none"/>
          <w:shd w:val="clear" w:color="auto" w:fill="auto"/>
        </w:rPr>
      </w:pPr>
      <w:bookmarkStart w:id="240" w:name="_Toc4164"/>
      <w:r>
        <w:rPr>
          <w:rFonts w:hint="eastAsia" w:ascii="Times New Roman"/>
          <w:color w:val="auto"/>
          <w:highlight w:val="none"/>
          <w:shd w:val="clear" w:color="auto" w:fill="auto"/>
        </w:rPr>
        <w:t>9</w:t>
      </w:r>
      <w:r>
        <w:rPr>
          <w:rFonts w:ascii="Times New Roman"/>
          <w:color w:val="auto"/>
          <w:highlight w:val="none"/>
          <w:shd w:val="clear" w:color="auto" w:fill="auto"/>
        </w:rPr>
        <w:t xml:space="preserve">.4 </w:t>
      </w:r>
      <w:r>
        <w:rPr>
          <w:rFonts w:hint="eastAsia" w:ascii="Times New Roman"/>
          <w:color w:val="auto"/>
          <w:highlight w:val="none"/>
          <w:shd w:val="clear" w:color="auto" w:fill="auto"/>
        </w:rPr>
        <w:t>费用结算</w:t>
      </w:r>
      <w:bookmarkEnd w:id="240"/>
    </w:p>
    <w:p w14:paraId="410A7FA8">
      <w:pPr>
        <w:spacing w:line="540" w:lineRule="exact"/>
        <w:ind w:firstLine="420" w:firstLineChars="200"/>
        <w:rPr>
          <w:color w:val="auto"/>
          <w:szCs w:val="21"/>
          <w:highlight w:val="none"/>
          <w:shd w:val="clear" w:color="auto" w:fill="auto"/>
        </w:rPr>
      </w:pPr>
      <w:r>
        <w:rPr>
          <w:rFonts w:hint="eastAsia"/>
          <w:color w:val="auto"/>
          <w:highlight w:val="none"/>
          <w:shd w:val="clear" w:color="auto" w:fill="auto"/>
        </w:rPr>
        <w:t>增加以下内容到第9.4款：</w:t>
      </w:r>
    </w:p>
    <w:p w14:paraId="10D6E2A3">
      <w:pPr>
        <w:pStyle w:val="18"/>
        <w:spacing w:line="540" w:lineRule="exact"/>
        <w:ind w:left="0" w:leftChars="0" w:firstLine="420" w:firstLineChars="200"/>
        <w:rPr>
          <w:rFonts w:hAnsi="宋体"/>
          <w:color w:val="auto"/>
          <w:szCs w:val="21"/>
          <w:highlight w:val="none"/>
          <w:u w:val="single"/>
          <w:shd w:val="clear" w:color="auto" w:fill="auto"/>
        </w:rPr>
      </w:pPr>
      <w:r>
        <w:rPr>
          <w:rFonts w:hint="eastAsia" w:hAnsi="宋体"/>
          <w:color w:val="auto"/>
          <w:szCs w:val="21"/>
          <w:highlight w:val="none"/>
          <w:shd w:val="clear" w:color="auto" w:fill="auto"/>
        </w:rPr>
        <w:t>12.4.5 本合同</w:t>
      </w:r>
      <w:r>
        <w:rPr>
          <w:rFonts w:hAnsi="宋体"/>
          <w:color w:val="auto"/>
          <w:szCs w:val="21"/>
          <w:highlight w:val="none"/>
          <w:shd w:val="clear" w:color="auto" w:fill="auto"/>
        </w:rPr>
        <w:t>采用</w:t>
      </w:r>
      <w:permStart w:id="123" w:edGrp="everyone"/>
      <w:r>
        <w:rPr>
          <w:rFonts w:hint="eastAsia" w:hAnsi="宋体"/>
          <w:color w:val="auto"/>
          <w:szCs w:val="21"/>
          <w:highlight w:val="none"/>
          <w:u w:val="single"/>
          <w:shd w:val="clear" w:color="auto" w:fill="auto"/>
        </w:rPr>
        <w:t xml:space="preserve">  </w:t>
      </w:r>
      <w:r>
        <w:rPr>
          <w:rFonts w:hAnsi="宋体"/>
          <w:color w:val="auto"/>
          <w:szCs w:val="21"/>
          <w:highlight w:val="none"/>
          <w:u w:val="single"/>
          <w:shd w:val="clear" w:color="auto" w:fill="auto"/>
        </w:rPr>
        <w:t>总价</w:t>
      </w:r>
      <w:r>
        <w:rPr>
          <w:rFonts w:hint="eastAsia" w:hAnsi="宋体"/>
          <w:color w:val="auto"/>
          <w:szCs w:val="21"/>
          <w:highlight w:val="none"/>
          <w:u w:val="single"/>
          <w:shd w:val="clear" w:color="auto" w:fill="auto"/>
        </w:rPr>
        <w:t xml:space="preserve"> </w:t>
      </w:r>
      <w:permEnd w:id="123"/>
      <w:r>
        <w:rPr>
          <w:rFonts w:hint="eastAsia" w:hAnsi="宋体"/>
          <w:color w:val="auto"/>
          <w:szCs w:val="21"/>
          <w:highlight w:val="none"/>
          <w:u w:val="single"/>
          <w:shd w:val="clear" w:color="auto" w:fill="auto"/>
        </w:rPr>
        <w:t xml:space="preserve"> </w:t>
      </w:r>
      <w:r>
        <w:rPr>
          <w:rFonts w:hAnsi="宋体"/>
          <w:color w:val="auto"/>
          <w:szCs w:val="21"/>
          <w:highlight w:val="none"/>
          <w:shd w:val="clear" w:color="auto" w:fill="auto"/>
        </w:rPr>
        <w:t>形式，</w:t>
      </w:r>
      <w:r>
        <w:rPr>
          <w:rFonts w:hint="eastAsia" w:hAnsi="宋体"/>
          <w:color w:val="auto"/>
          <w:szCs w:val="21"/>
          <w:highlight w:val="none"/>
          <w:shd w:val="clear" w:color="auto" w:fill="auto"/>
        </w:rPr>
        <w:t>最终合同结算价为：</w:t>
      </w:r>
      <w:permStart w:id="124" w:edGrp="everyone"/>
      <w:r>
        <w:rPr>
          <w:rFonts w:hint="eastAsia" w:hAnsi="宋体"/>
          <w:color w:val="auto"/>
          <w:szCs w:val="21"/>
          <w:highlight w:val="none"/>
          <w:u w:val="single"/>
          <w:shd w:val="clear" w:color="auto" w:fill="auto"/>
        </w:rPr>
        <w:t>审定的初步设计概算</w:t>
      </w:r>
      <w:r>
        <w:rPr>
          <w:rFonts w:hint="eastAsia"/>
          <w:color w:val="auto"/>
          <w:szCs w:val="21"/>
          <w:highlight w:val="none"/>
          <w:u w:val="single"/>
          <w:shd w:val="clear" w:color="auto" w:fill="auto"/>
        </w:rPr>
        <w:t>（或施工图设计预算）</w:t>
      </w:r>
      <w:r>
        <w:rPr>
          <w:rFonts w:hint="eastAsia" w:hAnsi="宋体"/>
          <w:color w:val="auto"/>
          <w:szCs w:val="21"/>
          <w:highlight w:val="none"/>
          <w:u w:val="single"/>
          <w:shd w:val="clear" w:color="auto" w:fill="auto"/>
        </w:rPr>
        <w:t>为基数计算出的监理费×（1-投标下浮率 ）。</w:t>
      </w:r>
    </w:p>
    <w:p w14:paraId="270F097C">
      <w:pPr>
        <w:pStyle w:val="18"/>
        <w:spacing w:line="540" w:lineRule="exact"/>
        <w:ind w:left="0" w:leftChars="0" w:firstLine="420" w:firstLineChars="200"/>
        <w:rPr>
          <w:rFonts w:hint="eastAsia" w:hAnsi="宋体"/>
          <w:color w:val="auto"/>
          <w:szCs w:val="21"/>
          <w:highlight w:val="none"/>
          <w:shd w:val="clear" w:color="auto" w:fill="auto"/>
        </w:rPr>
      </w:pPr>
      <w:r>
        <w:rPr>
          <w:rFonts w:hint="eastAsia" w:hAnsi="宋体"/>
          <w:color w:val="auto"/>
          <w:szCs w:val="21"/>
          <w:highlight w:val="none"/>
          <w:u w:val="single"/>
          <w:shd w:val="clear" w:color="auto" w:fill="auto"/>
        </w:rPr>
        <w:t>因规模变化需要调整可研、初设、施工图的，结算价按调整后批复的初设概算</w:t>
      </w:r>
      <w:r>
        <w:rPr>
          <w:rFonts w:hint="eastAsia"/>
          <w:color w:val="auto"/>
          <w:szCs w:val="21"/>
          <w:highlight w:val="none"/>
          <w:u w:val="single"/>
          <w:shd w:val="clear" w:color="auto" w:fill="auto"/>
        </w:rPr>
        <w:t>（或施工图设计预算）</w:t>
      </w:r>
      <w:r>
        <w:rPr>
          <w:rFonts w:hint="eastAsia" w:hAnsi="宋体"/>
          <w:color w:val="auto"/>
          <w:szCs w:val="21"/>
          <w:highlight w:val="none"/>
          <w:u w:val="single"/>
          <w:shd w:val="clear" w:color="auto" w:fill="auto"/>
        </w:rPr>
        <w:t>对应的监理费用×（1-投标下浮率）进行结算</w:t>
      </w:r>
      <w:r>
        <w:rPr>
          <w:rFonts w:hint="eastAsia" w:hAnsi="宋体"/>
          <w:color w:val="auto"/>
          <w:szCs w:val="21"/>
          <w:highlight w:val="none"/>
          <w:shd w:val="clear" w:color="auto" w:fill="auto"/>
        </w:rPr>
        <w:t>。</w:t>
      </w:r>
    </w:p>
    <w:permEnd w:id="124"/>
    <w:p w14:paraId="76E891A6">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增加以下内容到第9款：</w:t>
      </w:r>
    </w:p>
    <w:p w14:paraId="73934690">
      <w:pPr>
        <w:pStyle w:val="6"/>
        <w:spacing w:line="540" w:lineRule="exact"/>
        <w:ind w:firstLine="137"/>
        <w:rPr>
          <w:rFonts w:ascii="Times New Roman"/>
          <w:color w:val="auto"/>
          <w:highlight w:val="none"/>
          <w:shd w:val="clear" w:color="auto" w:fill="auto"/>
        </w:rPr>
      </w:pPr>
      <w:bookmarkStart w:id="241" w:name="_Toc9309"/>
      <w:r>
        <w:rPr>
          <w:rFonts w:hint="eastAsia" w:ascii="Times New Roman"/>
          <w:color w:val="auto"/>
          <w:highlight w:val="none"/>
          <w:shd w:val="clear" w:color="auto" w:fill="auto"/>
        </w:rPr>
        <w:t>9</w:t>
      </w:r>
      <w:r>
        <w:rPr>
          <w:rFonts w:ascii="Times New Roman"/>
          <w:color w:val="auto"/>
          <w:highlight w:val="none"/>
          <w:shd w:val="clear" w:color="auto" w:fill="auto"/>
        </w:rPr>
        <w:t>.</w:t>
      </w:r>
      <w:r>
        <w:rPr>
          <w:rFonts w:hint="eastAsia" w:ascii="Times New Roman"/>
          <w:color w:val="auto"/>
          <w:highlight w:val="none"/>
          <w:shd w:val="clear" w:color="auto" w:fill="auto"/>
        </w:rPr>
        <w:t>5</w:t>
      </w:r>
      <w:r>
        <w:rPr>
          <w:rFonts w:ascii="Times New Roman"/>
          <w:color w:val="auto"/>
          <w:highlight w:val="none"/>
          <w:shd w:val="clear" w:color="auto" w:fill="auto"/>
        </w:rPr>
        <w:t xml:space="preserve"> </w:t>
      </w:r>
      <w:r>
        <w:rPr>
          <w:rFonts w:hint="eastAsia" w:ascii="Times New Roman"/>
          <w:color w:val="auto"/>
          <w:highlight w:val="none"/>
          <w:shd w:val="clear" w:color="auto" w:fill="auto"/>
        </w:rPr>
        <w:t>其他</w:t>
      </w:r>
      <w:bookmarkEnd w:id="241"/>
    </w:p>
    <w:p w14:paraId="62718BC3">
      <w:pPr>
        <w:pStyle w:val="18"/>
        <w:spacing w:line="540" w:lineRule="exact"/>
        <w:rPr>
          <w:rFonts w:hAnsi="宋体"/>
          <w:b/>
          <w:bCs/>
          <w:color w:val="auto"/>
          <w:szCs w:val="21"/>
          <w:highlight w:val="none"/>
          <w:shd w:val="clear" w:color="auto" w:fill="auto"/>
        </w:rPr>
      </w:pPr>
      <w:r>
        <w:rPr>
          <w:rFonts w:hint="eastAsia" w:hAnsi="宋体"/>
          <w:b/>
          <w:bCs/>
          <w:color w:val="auto"/>
          <w:szCs w:val="21"/>
          <w:highlight w:val="none"/>
          <w:shd w:val="clear" w:color="auto" w:fill="auto"/>
        </w:rPr>
        <w:t>9.5.1</w:t>
      </w:r>
      <w:r>
        <w:rPr>
          <w:rFonts w:hint="eastAsia" w:hAnsi="宋体"/>
          <w:b/>
          <w:bCs/>
          <w:color w:val="auto"/>
          <w:szCs w:val="21"/>
          <w:highlight w:val="none"/>
          <w:shd w:val="clear" w:color="auto" w:fill="auto"/>
          <w:lang w:val="zh-CN"/>
        </w:rPr>
        <w:t xml:space="preserve"> 第三方向监理人的收费</w:t>
      </w:r>
    </w:p>
    <w:p w14:paraId="6BBFC401">
      <w:pPr>
        <w:spacing w:line="540" w:lineRule="exact"/>
        <w:ind w:firstLine="420" w:firstLineChars="200"/>
        <w:rPr>
          <w:rFonts w:ascii="宋体" w:hAnsi="宋体" w:cs="宋体"/>
          <w:color w:val="auto"/>
          <w:kern w:val="0"/>
          <w:szCs w:val="21"/>
          <w:highlight w:val="none"/>
          <w:u w:val="single"/>
          <w:shd w:val="clear" w:color="auto" w:fill="auto"/>
          <w:lang w:val="zh-CN"/>
        </w:rPr>
      </w:pPr>
      <w:permStart w:id="125" w:edGrp="everyone"/>
      <w:r>
        <w:rPr>
          <w:rFonts w:hint="eastAsia" w:ascii="宋体" w:hAnsi="宋体" w:cs="宋体"/>
          <w:color w:val="auto"/>
          <w:kern w:val="0"/>
          <w:szCs w:val="21"/>
          <w:highlight w:val="none"/>
          <w:u w:val="single"/>
          <w:shd w:val="clear" w:color="auto" w:fill="auto"/>
          <w:lang w:val="zh-CN"/>
        </w:rPr>
        <w:t>合同印花税、公证费双方各半，其余双方各自交纳己方税费。</w:t>
      </w:r>
    </w:p>
    <w:permEnd w:id="125"/>
    <w:p w14:paraId="2C875A1A">
      <w:pPr>
        <w:pStyle w:val="18"/>
        <w:spacing w:line="540" w:lineRule="exact"/>
        <w:rPr>
          <w:rFonts w:hAnsi="宋体"/>
          <w:b/>
          <w:bCs/>
          <w:color w:val="auto"/>
          <w:szCs w:val="21"/>
          <w:highlight w:val="none"/>
          <w:shd w:val="clear" w:color="auto" w:fill="auto"/>
        </w:rPr>
      </w:pPr>
      <w:r>
        <w:rPr>
          <w:rFonts w:hint="eastAsia" w:hAnsi="宋体"/>
          <w:b/>
          <w:bCs/>
          <w:color w:val="auto"/>
          <w:szCs w:val="21"/>
          <w:highlight w:val="none"/>
          <w:shd w:val="clear" w:color="auto" w:fill="auto"/>
        </w:rPr>
        <w:t>9.5.2 有争议的请款申请</w:t>
      </w:r>
    </w:p>
    <w:p w14:paraId="0BEE064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委托人如果对于监理人提交的请款申请中任何一项或其一部分提出异议，应迅速发出通知说明理由，但不得推迟对请款申请中的其余各项的付款。对最终确定应支付给监理人的所有有争议的款额，应执行第11</w:t>
      </w:r>
      <w:r>
        <w:rPr>
          <w:rFonts w:ascii="宋体" w:hAnsi="宋体" w:cs="宋体"/>
          <w:color w:val="auto"/>
          <w:kern w:val="0"/>
          <w:szCs w:val="21"/>
          <w:highlight w:val="none"/>
          <w:shd w:val="clear" w:color="auto" w:fill="auto"/>
        </w:rPr>
        <w:t>款的规定。</w:t>
      </w:r>
    </w:p>
    <w:p w14:paraId="06FC7744">
      <w:pPr>
        <w:pStyle w:val="18"/>
        <w:spacing w:line="540" w:lineRule="exact"/>
        <w:rPr>
          <w:rFonts w:hAnsi="宋体"/>
          <w:b/>
          <w:bCs/>
          <w:color w:val="auto"/>
          <w:szCs w:val="21"/>
          <w:highlight w:val="none"/>
          <w:shd w:val="clear" w:color="auto" w:fill="auto"/>
        </w:rPr>
      </w:pPr>
      <w:r>
        <w:rPr>
          <w:rFonts w:hint="eastAsia" w:hAnsi="宋体"/>
          <w:b/>
          <w:bCs/>
          <w:color w:val="auto"/>
          <w:szCs w:val="21"/>
          <w:highlight w:val="none"/>
          <w:shd w:val="clear" w:color="auto" w:fill="auto"/>
        </w:rPr>
        <w:t>9.5.3 独立审计</w:t>
      </w:r>
    </w:p>
    <w:p w14:paraId="3F9DD33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监理人应保存能清楚证明有关时间和费用的最新记录。</w:t>
      </w:r>
    </w:p>
    <w:p w14:paraId="364EC3F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除了合同规定固定总价支付外，在完成或终止服务后12个月内，委托人在提前7日以上发出通知，要求由委托人指定一家有声誉的会计师事务所对监理人申报的任何金额进行审计，该审计应在正常工作时间内到保存记录的办公室内进行。</w:t>
      </w:r>
    </w:p>
    <w:p w14:paraId="79E9BDCB">
      <w:pPr>
        <w:pStyle w:val="18"/>
        <w:spacing w:line="540" w:lineRule="exact"/>
        <w:rPr>
          <w:rFonts w:hint="eastAsia" w:hAnsi="宋体"/>
          <w:color w:val="auto"/>
          <w:szCs w:val="21"/>
          <w:highlight w:val="none"/>
          <w:u w:val="single"/>
          <w:shd w:val="clear" w:color="auto" w:fill="auto"/>
        </w:rPr>
      </w:pPr>
      <w:r>
        <w:rPr>
          <w:rFonts w:hint="eastAsia" w:hAnsi="宋体"/>
          <w:color w:val="auto"/>
          <w:szCs w:val="21"/>
          <w:highlight w:val="none"/>
          <w:shd w:val="clear" w:color="auto" w:fill="auto"/>
        </w:rPr>
        <w:t>9.5.4 其他：</w:t>
      </w:r>
      <w:permStart w:id="126" w:edGrp="everyone"/>
      <w:r>
        <w:rPr>
          <w:rFonts w:hint="eastAsia" w:hAnsi="宋体"/>
          <w:color w:val="auto"/>
          <w:szCs w:val="21"/>
          <w:highlight w:val="none"/>
          <w:u w:val="single"/>
          <w:shd w:val="clear" w:color="auto" w:fill="auto"/>
        </w:rPr>
        <w:t xml:space="preserve">        。</w:t>
      </w:r>
      <w:permEnd w:id="126"/>
    </w:p>
    <w:p w14:paraId="40A8045B">
      <w:pPr>
        <w:pStyle w:val="5"/>
        <w:spacing w:line="540" w:lineRule="exact"/>
        <w:rPr>
          <w:rFonts w:ascii="Times New Roman" w:hAnsi="Times New Roman"/>
          <w:color w:val="auto"/>
          <w:highlight w:val="none"/>
          <w:shd w:val="clear" w:color="auto" w:fill="auto"/>
        </w:rPr>
      </w:pPr>
      <w:bookmarkStart w:id="242" w:name="_Toc14343"/>
      <w:r>
        <w:rPr>
          <w:rFonts w:ascii="Times New Roman" w:hAnsi="Times New Roman"/>
          <w:color w:val="auto"/>
          <w:highlight w:val="none"/>
          <w:shd w:val="clear" w:color="auto" w:fill="auto"/>
        </w:rPr>
        <w:t>1</w:t>
      </w:r>
      <w:r>
        <w:rPr>
          <w:rFonts w:hint="eastAsia" w:ascii="Times New Roman" w:hAnsi="Times New Roman"/>
          <w:color w:val="auto"/>
          <w:highlight w:val="none"/>
          <w:shd w:val="clear" w:color="auto" w:fill="auto"/>
        </w:rPr>
        <w:t>0</w:t>
      </w:r>
      <w:r>
        <w:rPr>
          <w:rFonts w:ascii="Times New Roman" w:hAnsi="Times New Roman"/>
          <w:color w:val="auto"/>
          <w:highlight w:val="none"/>
          <w:shd w:val="clear" w:color="auto" w:fill="auto"/>
        </w:rPr>
        <w:t>. 不可抗力</w:t>
      </w:r>
      <w:bookmarkEnd w:id="242"/>
    </w:p>
    <w:p w14:paraId="1CED4ACD">
      <w:pPr>
        <w:pStyle w:val="6"/>
        <w:spacing w:line="540" w:lineRule="exact"/>
        <w:ind w:firstLine="137"/>
        <w:rPr>
          <w:rFonts w:ascii="Times New Roman"/>
          <w:color w:val="auto"/>
          <w:highlight w:val="none"/>
          <w:shd w:val="clear" w:color="auto" w:fill="auto"/>
        </w:rPr>
      </w:pPr>
      <w:bookmarkStart w:id="243" w:name="_Toc8475"/>
      <w:r>
        <w:rPr>
          <w:rFonts w:ascii="Times New Roman"/>
          <w:color w:val="auto"/>
          <w:highlight w:val="none"/>
          <w:shd w:val="clear" w:color="auto" w:fill="auto"/>
        </w:rPr>
        <w:t>1</w:t>
      </w:r>
      <w:r>
        <w:rPr>
          <w:rFonts w:hint="eastAsia" w:ascii="Times New Roman"/>
          <w:color w:val="auto"/>
          <w:highlight w:val="none"/>
          <w:shd w:val="clear" w:color="auto" w:fill="auto"/>
        </w:rPr>
        <w:t>0</w:t>
      </w:r>
      <w:r>
        <w:rPr>
          <w:rFonts w:ascii="Times New Roman"/>
          <w:color w:val="auto"/>
          <w:highlight w:val="none"/>
          <w:shd w:val="clear" w:color="auto" w:fill="auto"/>
        </w:rPr>
        <w:t xml:space="preserve">.1 </w:t>
      </w:r>
      <w:r>
        <w:rPr>
          <w:rFonts w:hint="eastAsia" w:ascii="Times New Roman"/>
          <w:color w:val="auto"/>
          <w:highlight w:val="none"/>
          <w:shd w:val="clear" w:color="auto" w:fill="auto"/>
        </w:rPr>
        <w:t>不可抗力的确认</w:t>
      </w:r>
      <w:bookmarkEnd w:id="243"/>
    </w:p>
    <w:p w14:paraId="7DE5BB2F">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增加以下内容到第10.1.1款：</w:t>
      </w:r>
    </w:p>
    <w:p w14:paraId="49932827">
      <w:pPr>
        <w:spacing w:line="540" w:lineRule="exact"/>
        <w:ind w:firstLine="420" w:firstLineChars="200"/>
        <w:rPr>
          <w:color w:val="auto"/>
          <w:szCs w:val="21"/>
          <w:highlight w:val="none"/>
          <w:shd w:val="clear" w:color="auto" w:fill="auto"/>
        </w:rPr>
      </w:pPr>
      <w:r>
        <w:rPr>
          <w:color w:val="auto"/>
          <w:szCs w:val="21"/>
          <w:highlight w:val="none"/>
          <w:shd w:val="clear" w:color="auto" w:fill="auto"/>
        </w:rPr>
        <w:t>不可抗力</w:t>
      </w:r>
      <w:r>
        <w:rPr>
          <w:rFonts w:hint="eastAsia"/>
          <w:color w:val="auto"/>
          <w:szCs w:val="21"/>
          <w:highlight w:val="none"/>
          <w:shd w:val="clear" w:color="auto" w:fill="auto"/>
        </w:rPr>
        <w:t>的其他情形：</w:t>
      </w:r>
      <w:permStart w:id="127" w:edGrp="everyone"/>
      <w:r>
        <w:rPr>
          <w:rFonts w:hint="eastAsia"/>
          <w:color w:val="auto"/>
          <w:szCs w:val="21"/>
          <w:highlight w:val="none"/>
          <w:u w:val="single"/>
          <w:shd w:val="clear" w:color="auto" w:fill="auto"/>
        </w:rPr>
        <w:t xml:space="preserve">            </w:t>
      </w:r>
      <w:r>
        <w:rPr>
          <w:color w:val="auto"/>
          <w:szCs w:val="21"/>
          <w:highlight w:val="none"/>
          <w:shd w:val="clear" w:color="auto" w:fill="auto"/>
        </w:rPr>
        <w:t>。</w:t>
      </w:r>
      <w:permEnd w:id="127"/>
    </w:p>
    <w:p w14:paraId="0E211E0D">
      <w:pPr>
        <w:pStyle w:val="5"/>
        <w:spacing w:line="540" w:lineRule="exact"/>
        <w:rPr>
          <w:rFonts w:ascii="Times New Roman" w:hAnsi="Times New Roman"/>
          <w:color w:val="auto"/>
          <w:highlight w:val="none"/>
          <w:shd w:val="clear" w:color="auto" w:fill="auto"/>
        </w:rPr>
      </w:pPr>
      <w:bookmarkStart w:id="244" w:name="_Toc32213"/>
      <w:r>
        <w:rPr>
          <w:rFonts w:ascii="Times New Roman" w:hAnsi="Times New Roman"/>
          <w:color w:val="auto"/>
          <w:highlight w:val="none"/>
          <w:shd w:val="clear" w:color="auto" w:fill="auto"/>
        </w:rPr>
        <w:t>1</w:t>
      </w:r>
      <w:r>
        <w:rPr>
          <w:rFonts w:hint="eastAsia" w:ascii="Times New Roman" w:hAnsi="Times New Roman"/>
          <w:color w:val="auto"/>
          <w:highlight w:val="none"/>
          <w:shd w:val="clear" w:color="auto" w:fill="auto"/>
        </w:rPr>
        <w:t>1</w:t>
      </w:r>
      <w:r>
        <w:rPr>
          <w:rFonts w:ascii="Times New Roman" w:hAnsi="Times New Roman"/>
          <w:color w:val="auto"/>
          <w:highlight w:val="none"/>
          <w:shd w:val="clear" w:color="auto" w:fill="auto"/>
        </w:rPr>
        <w:t>. 违约</w:t>
      </w:r>
      <w:bookmarkEnd w:id="244"/>
    </w:p>
    <w:p w14:paraId="442D90EE">
      <w:pPr>
        <w:spacing w:line="540" w:lineRule="exact"/>
        <w:ind w:firstLine="420" w:firstLineChars="200"/>
        <w:rPr>
          <w:color w:val="auto"/>
          <w:highlight w:val="none"/>
          <w:shd w:val="clear" w:color="auto" w:fill="auto"/>
        </w:rPr>
      </w:pPr>
      <w:r>
        <w:rPr>
          <w:rFonts w:hint="eastAsia"/>
          <w:color w:val="auto"/>
          <w:highlight w:val="none"/>
          <w:shd w:val="clear" w:color="auto" w:fill="auto"/>
        </w:rPr>
        <w:t>增加以下内容到第11款：</w:t>
      </w:r>
    </w:p>
    <w:p w14:paraId="637A4758">
      <w:pPr>
        <w:pStyle w:val="6"/>
        <w:spacing w:line="540" w:lineRule="exact"/>
        <w:ind w:firstLine="137"/>
        <w:rPr>
          <w:rFonts w:ascii="Times New Roman"/>
          <w:color w:val="auto"/>
          <w:highlight w:val="none"/>
          <w:shd w:val="clear" w:color="auto" w:fill="auto"/>
        </w:rPr>
      </w:pPr>
      <w:bookmarkStart w:id="245" w:name="_Toc21300"/>
      <w:r>
        <w:rPr>
          <w:rFonts w:ascii="Times New Roman"/>
          <w:color w:val="auto"/>
          <w:highlight w:val="none"/>
          <w:shd w:val="clear" w:color="auto" w:fill="auto"/>
        </w:rPr>
        <w:t>1</w:t>
      </w:r>
      <w:r>
        <w:rPr>
          <w:rFonts w:hint="eastAsia" w:ascii="Times New Roman"/>
          <w:color w:val="auto"/>
          <w:highlight w:val="none"/>
          <w:shd w:val="clear" w:color="auto" w:fill="auto"/>
        </w:rPr>
        <w:t>1</w:t>
      </w:r>
      <w:r>
        <w:rPr>
          <w:rFonts w:ascii="Times New Roman"/>
          <w:color w:val="auto"/>
          <w:highlight w:val="none"/>
          <w:shd w:val="clear" w:color="auto" w:fill="auto"/>
        </w:rPr>
        <w:t>.</w:t>
      </w:r>
      <w:r>
        <w:rPr>
          <w:rFonts w:hint="eastAsia" w:ascii="Times New Roman"/>
          <w:color w:val="auto"/>
          <w:highlight w:val="none"/>
          <w:shd w:val="clear" w:color="auto" w:fill="auto"/>
        </w:rPr>
        <w:t>4</w:t>
      </w:r>
      <w:r>
        <w:rPr>
          <w:rFonts w:ascii="Times New Roman"/>
          <w:color w:val="auto"/>
          <w:highlight w:val="none"/>
          <w:shd w:val="clear" w:color="auto" w:fill="auto"/>
        </w:rPr>
        <w:t xml:space="preserve"> </w:t>
      </w:r>
      <w:r>
        <w:rPr>
          <w:rFonts w:hint="eastAsia" w:ascii="Times New Roman"/>
          <w:color w:val="auto"/>
          <w:highlight w:val="none"/>
          <w:shd w:val="clear" w:color="auto" w:fill="auto"/>
        </w:rPr>
        <w:t>违约的处理</w:t>
      </w:r>
      <w:bookmarkEnd w:id="245"/>
    </w:p>
    <w:p w14:paraId="5749A82A">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rPr>
        <w:t xml:space="preserve">11.4.1 </w:t>
      </w:r>
      <w:r>
        <w:rPr>
          <w:rFonts w:hint="eastAsia"/>
          <w:color w:val="auto"/>
          <w:szCs w:val="21"/>
          <w:highlight w:val="none"/>
          <w:shd w:val="clear" w:color="auto" w:fill="auto"/>
          <w:lang w:val="zh-CN"/>
        </w:rPr>
        <w:t>如果认为任何一方对另一方负有违约责任时，则仅应按下列条件支付赔偿：</w:t>
      </w:r>
    </w:p>
    <w:p w14:paraId="2A187A22">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lang w:val="zh-CN"/>
        </w:rPr>
        <w:t>（</w:t>
      </w:r>
      <w:r>
        <w:rPr>
          <w:rFonts w:hint="eastAsia"/>
          <w:color w:val="auto"/>
          <w:szCs w:val="21"/>
          <w:highlight w:val="none"/>
          <w:shd w:val="clear" w:color="auto" w:fill="auto"/>
        </w:rPr>
        <w:t>1）</w:t>
      </w:r>
      <w:r>
        <w:rPr>
          <w:rFonts w:hint="eastAsia"/>
          <w:color w:val="auto"/>
          <w:szCs w:val="21"/>
          <w:highlight w:val="none"/>
          <w:shd w:val="clear" w:color="auto" w:fill="auto"/>
          <w:lang w:val="zh-CN"/>
        </w:rPr>
        <w:t>此类赔偿应限于由此违约所造成的可合理预见到的损失或损害的数额，而不牵连其他方面；</w:t>
      </w:r>
    </w:p>
    <w:p w14:paraId="748EC381">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lang w:val="zh-CN"/>
        </w:rPr>
        <w:t>（</w:t>
      </w:r>
      <w:r>
        <w:rPr>
          <w:rFonts w:hint="eastAsia"/>
          <w:color w:val="auto"/>
          <w:szCs w:val="21"/>
          <w:highlight w:val="none"/>
          <w:shd w:val="clear" w:color="auto" w:fill="auto"/>
        </w:rPr>
        <w:t>2</w:t>
      </w:r>
      <w:r>
        <w:rPr>
          <w:rFonts w:hint="eastAsia"/>
          <w:color w:val="auto"/>
          <w:szCs w:val="21"/>
          <w:highlight w:val="none"/>
          <w:shd w:val="clear" w:color="auto" w:fill="auto"/>
          <w:lang w:val="zh-CN"/>
        </w:rPr>
        <w:t>）在任何情况下，此类赔偿的数额应限制在第</w:t>
      </w:r>
      <w:r>
        <w:rPr>
          <w:rFonts w:hint="eastAsia"/>
          <w:color w:val="auto"/>
          <w:szCs w:val="21"/>
          <w:highlight w:val="none"/>
          <w:shd w:val="clear" w:color="auto" w:fill="auto"/>
        </w:rPr>
        <w:t>11.4.3</w:t>
      </w:r>
      <w:r>
        <w:rPr>
          <w:rFonts w:hint="eastAsia"/>
          <w:color w:val="auto"/>
          <w:szCs w:val="21"/>
          <w:highlight w:val="none"/>
          <w:shd w:val="clear" w:color="auto" w:fill="auto"/>
          <w:lang w:val="zh-CN"/>
        </w:rPr>
        <w:t>款规定的数额；</w:t>
      </w:r>
    </w:p>
    <w:p w14:paraId="6BA836C9">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lang w:val="zh-CN"/>
        </w:rPr>
        <w:t>（</w:t>
      </w:r>
      <w:r>
        <w:rPr>
          <w:rFonts w:hint="eastAsia"/>
          <w:color w:val="auto"/>
          <w:szCs w:val="21"/>
          <w:highlight w:val="none"/>
          <w:shd w:val="clear" w:color="auto" w:fill="auto"/>
        </w:rPr>
        <w:t>3</w:t>
      </w:r>
      <w:r>
        <w:rPr>
          <w:rFonts w:hint="eastAsia"/>
          <w:color w:val="auto"/>
          <w:szCs w:val="21"/>
          <w:highlight w:val="none"/>
          <w:shd w:val="clear" w:color="auto" w:fill="auto"/>
          <w:lang w:val="zh-CN"/>
        </w:rPr>
        <w:t>）如果认为任何一方与第三方共同对另一方负有责任时，任何一方有义务承担违约的全部责任。</w:t>
      </w:r>
    </w:p>
    <w:p w14:paraId="3A5B0F35">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lang w:val="zh-CN"/>
        </w:rPr>
        <w:t>（</w:t>
      </w:r>
      <w:r>
        <w:rPr>
          <w:rFonts w:hint="eastAsia"/>
          <w:color w:val="auto"/>
          <w:szCs w:val="21"/>
          <w:highlight w:val="none"/>
          <w:shd w:val="clear" w:color="auto" w:fill="auto"/>
        </w:rPr>
        <w:t>4</w:t>
      </w:r>
      <w:r>
        <w:rPr>
          <w:rFonts w:hint="eastAsia"/>
          <w:color w:val="auto"/>
          <w:szCs w:val="21"/>
          <w:highlight w:val="none"/>
          <w:shd w:val="clear" w:color="auto" w:fill="auto"/>
          <w:lang w:val="zh-CN"/>
        </w:rPr>
        <w:t>）监理人不为在其服务范围外的由于委托人等他方的任何行为造成的任何损失承担责任；</w:t>
      </w:r>
    </w:p>
    <w:p w14:paraId="39DA2F81">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（5）监理人应在知道或应当知道索赔事件发生后28 天内，向委托人递交索赔意向通知书，并说明发生索赔事件的事由。</w:t>
      </w:r>
    </w:p>
    <w:p w14:paraId="09EA5203">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除赔偿外，委托人有权根据监理人违约的严重程度采取以下措施，监理人应予以接受：</w:t>
      </w:r>
    </w:p>
    <w:p w14:paraId="3B2CA888">
      <w:pPr>
        <w:spacing w:line="540" w:lineRule="exact"/>
        <w:ind w:firstLine="422" w:firstLineChars="200"/>
        <w:rPr>
          <w:b/>
          <w:bCs/>
          <w:color w:val="auto"/>
          <w:szCs w:val="21"/>
          <w:highlight w:val="none"/>
          <w:shd w:val="clear" w:color="auto" w:fill="auto"/>
        </w:rPr>
      </w:pPr>
      <w:r>
        <w:rPr>
          <w:rFonts w:cs="Calibri"/>
          <w:b/>
          <w:bCs/>
          <w:color w:val="auto"/>
          <w:szCs w:val="21"/>
          <w:highlight w:val="none"/>
          <w:shd w:val="clear" w:color="auto" w:fill="auto"/>
        </w:rPr>
        <w:t>①</w:t>
      </w:r>
      <w:r>
        <w:rPr>
          <w:rFonts w:hint="eastAsia"/>
          <w:b/>
          <w:bCs/>
          <w:color w:val="auto"/>
          <w:szCs w:val="21"/>
          <w:highlight w:val="none"/>
          <w:shd w:val="clear" w:color="auto" w:fill="auto"/>
        </w:rPr>
        <w:t>书面警告</w:t>
      </w:r>
    </w:p>
    <w:p w14:paraId="4D2971F6">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如果监理人有下列行为，委托人应有权向监理人发出书面</w:t>
      </w:r>
      <w:r>
        <w:rPr>
          <w:color w:val="auto"/>
          <w:szCs w:val="21"/>
          <w:highlight w:val="none"/>
          <w:shd w:val="clear" w:color="auto" w:fill="auto"/>
        </w:rPr>
        <w:t>警告</w:t>
      </w:r>
      <w:r>
        <w:rPr>
          <w:rFonts w:hint="eastAsia"/>
          <w:color w:val="auto"/>
          <w:szCs w:val="21"/>
          <w:highlight w:val="none"/>
          <w:shd w:val="clear" w:color="auto" w:fill="auto"/>
        </w:rPr>
        <w:t>：</w:t>
      </w:r>
    </w:p>
    <w:p w14:paraId="34D29772">
      <w:pPr>
        <w:spacing w:line="540" w:lineRule="exact"/>
        <w:ind w:firstLine="422" w:firstLineChars="200"/>
        <w:rPr>
          <w:b/>
          <w:bCs/>
          <w:color w:val="auto"/>
          <w:szCs w:val="21"/>
          <w:highlight w:val="none"/>
          <w:shd w:val="clear" w:color="auto" w:fill="auto"/>
        </w:rPr>
      </w:pPr>
      <w:r>
        <w:rPr>
          <w:rFonts w:hint="eastAsia"/>
          <w:b/>
          <w:bCs/>
          <w:color w:val="auto"/>
          <w:szCs w:val="21"/>
          <w:highlight w:val="none"/>
          <w:shd w:val="clear" w:color="auto" w:fill="auto"/>
        </w:rPr>
        <w:t>A</w:t>
      </w:r>
      <w:r>
        <w:rPr>
          <w:b/>
          <w:bCs/>
          <w:color w:val="auto"/>
          <w:szCs w:val="21"/>
          <w:highlight w:val="none"/>
          <w:shd w:val="clear" w:color="auto" w:fill="auto"/>
        </w:rPr>
        <w:t xml:space="preserve"> </w:t>
      </w:r>
      <w:r>
        <w:rPr>
          <w:rFonts w:hint="eastAsia"/>
          <w:b/>
          <w:bCs/>
          <w:color w:val="auto"/>
          <w:szCs w:val="21"/>
          <w:highlight w:val="none"/>
          <w:shd w:val="clear" w:color="auto" w:fill="auto"/>
        </w:rPr>
        <w:t>采购</w:t>
      </w:r>
      <w:r>
        <w:rPr>
          <w:b/>
          <w:bCs/>
          <w:color w:val="auto"/>
          <w:szCs w:val="21"/>
          <w:highlight w:val="none"/>
          <w:shd w:val="clear" w:color="auto" w:fill="auto"/>
        </w:rPr>
        <w:t>管理</w:t>
      </w:r>
    </w:p>
    <w:p w14:paraId="779ABF80">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 若监理人连续两年呈红灯状态(N≥12分),除书面警告外,还可以停止其12个月以上参与</w:t>
      </w:r>
      <w:r>
        <w:rPr>
          <w:rFonts w:hint="eastAsia"/>
          <w:color w:val="auto"/>
          <w:szCs w:val="21"/>
          <w:highlight w:val="none"/>
          <w:shd w:val="clear" w:color="auto" w:fill="auto"/>
          <w:lang w:val="en-US" w:eastAsia="zh-CN"/>
        </w:rPr>
        <w:t>中国</w:t>
      </w:r>
      <w:r>
        <w:rPr>
          <w:rFonts w:hint="eastAsia"/>
          <w:color w:val="auto"/>
          <w:szCs w:val="21"/>
          <w:highlight w:val="none"/>
          <w:shd w:val="clear" w:color="auto" w:fill="auto"/>
        </w:rPr>
        <w:t>南方电网</w:t>
      </w:r>
      <w:r>
        <w:rPr>
          <w:rFonts w:hint="eastAsia"/>
          <w:color w:val="auto"/>
          <w:szCs w:val="21"/>
          <w:highlight w:val="none"/>
          <w:shd w:val="clear" w:color="auto" w:fill="auto"/>
          <w:lang w:val="en-US" w:eastAsia="zh-CN"/>
        </w:rPr>
        <w:t>有限责任</w:t>
      </w:r>
      <w:r>
        <w:rPr>
          <w:rFonts w:hint="eastAsia"/>
          <w:color w:val="auto"/>
          <w:szCs w:val="21"/>
          <w:highlight w:val="none"/>
          <w:shd w:val="clear" w:color="auto" w:fill="auto"/>
        </w:rPr>
        <w:t>公司</w:t>
      </w:r>
      <w:r>
        <w:rPr>
          <w:rFonts w:hint="eastAsia"/>
          <w:color w:val="auto"/>
          <w:szCs w:val="21"/>
          <w:highlight w:val="none"/>
          <w:shd w:val="clear" w:color="auto" w:fill="auto"/>
          <w:lang w:val="en-US" w:eastAsia="zh-CN"/>
        </w:rPr>
        <w:t>范围内</w:t>
      </w:r>
      <w:r>
        <w:rPr>
          <w:rFonts w:hint="eastAsia"/>
          <w:color w:val="auto"/>
          <w:szCs w:val="21"/>
          <w:highlight w:val="none"/>
          <w:shd w:val="clear" w:color="auto" w:fill="auto"/>
        </w:rPr>
        <w:t>基建工程投标资格（或经公司决定延长）以外，同时进行以下处罚：</w:t>
      </w:r>
    </w:p>
    <w:p w14:paraId="53042FBB">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（a）不认可原审核钻级；</w:t>
      </w:r>
    </w:p>
    <w:p w14:paraId="790CCAFF">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（b）停止本年度及下一年度前6个月审核安排；</w:t>
      </w:r>
    </w:p>
    <w:p w14:paraId="0015E3E2">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（c）取消原钻级招标加分。</w:t>
      </w:r>
    </w:p>
    <w:p w14:paraId="7CB7AF20">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b. 若监理人一年呈红灯状态(N≥12分)，除书面警告外,还可以立即取消其评价结果，待处罚期满验收合格后，由原评价单位对该</w:t>
      </w:r>
      <w:r>
        <w:rPr>
          <w:rFonts w:hint="eastAsia"/>
          <w:color w:val="auto"/>
          <w:szCs w:val="21"/>
          <w:highlight w:val="none"/>
          <w:shd w:val="clear" w:color="auto" w:fill="auto"/>
          <w:lang w:val="en-US" w:eastAsia="zh-CN"/>
        </w:rPr>
        <w:t>监理人</w:t>
      </w:r>
      <w:r>
        <w:rPr>
          <w:rFonts w:hint="eastAsia"/>
          <w:color w:val="auto"/>
          <w:szCs w:val="21"/>
          <w:highlight w:val="none"/>
          <w:shd w:val="clear" w:color="auto" w:fill="auto"/>
        </w:rPr>
        <w:t>上一年度评价结果进行修正，并停止其3-12个月内参与</w:t>
      </w:r>
      <w:r>
        <w:rPr>
          <w:rFonts w:hint="eastAsia"/>
          <w:color w:val="auto"/>
          <w:szCs w:val="21"/>
          <w:highlight w:val="none"/>
          <w:shd w:val="clear" w:color="auto" w:fill="auto"/>
          <w:lang w:val="en-US" w:eastAsia="zh-CN"/>
        </w:rPr>
        <w:t>中国</w:t>
      </w:r>
      <w:r>
        <w:rPr>
          <w:rFonts w:hint="eastAsia"/>
          <w:color w:val="auto"/>
          <w:szCs w:val="21"/>
          <w:highlight w:val="none"/>
          <w:shd w:val="clear" w:color="auto" w:fill="auto"/>
        </w:rPr>
        <w:t>南方电网</w:t>
      </w:r>
      <w:r>
        <w:rPr>
          <w:rFonts w:hint="eastAsia"/>
          <w:color w:val="auto"/>
          <w:szCs w:val="21"/>
          <w:highlight w:val="none"/>
          <w:shd w:val="clear" w:color="auto" w:fill="auto"/>
          <w:lang w:val="en-US" w:eastAsia="zh-CN"/>
        </w:rPr>
        <w:t>有限责任</w:t>
      </w:r>
      <w:r>
        <w:rPr>
          <w:rFonts w:hint="eastAsia"/>
          <w:color w:val="auto"/>
          <w:szCs w:val="21"/>
          <w:highlight w:val="none"/>
          <w:shd w:val="clear" w:color="auto" w:fill="auto"/>
        </w:rPr>
        <w:t>公司</w:t>
      </w:r>
      <w:r>
        <w:rPr>
          <w:rFonts w:hint="eastAsia"/>
          <w:color w:val="auto"/>
          <w:szCs w:val="21"/>
          <w:highlight w:val="none"/>
          <w:shd w:val="clear" w:color="auto" w:fill="auto"/>
          <w:lang w:val="en-US" w:eastAsia="zh-CN"/>
        </w:rPr>
        <w:t>范围内</w:t>
      </w:r>
      <w:r>
        <w:rPr>
          <w:rFonts w:hint="eastAsia"/>
          <w:color w:val="auto"/>
          <w:szCs w:val="21"/>
          <w:highlight w:val="none"/>
          <w:shd w:val="clear" w:color="auto" w:fill="auto"/>
        </w:rPr>
        <w:t>基建工程投标资格（情节严重的，经公司决定可延长），同时进行以下处罚：</w:t>
      </w:r>
    </w:p>
    <w:p w14:paraId="5F832B36">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（a）所认可的审核钻级降两级；</w:t>
      </w:r>
    </w:p>
    <w:p w14:paraId="337D72CA">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（b）停止本年度审核安排；</w:t>
      </w:r>
    </w:p>
    <w:p w14:paraId="75E74E61">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（c）一年内取消招标加分。</w:t>
      </w:r>
    </w:p>
    <w:p w14:paraId="5FD76E98">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c. 若监理人连续两年呈黄灯状态（6分≤N＜12分）, 除书面警告外,还可以停止其3-12个月内参与</w:t>
      </w:r>
      <w:r>
        <w:rPr>
          <w:rFonts w:hint="eastAsia"/>
          <w:color w:val="auto"/>
          <w:szCs w:val="21"/>
          <w:highlight w:val="none"/>
          <w:shd w:val="clear" w:color="auto" w:fill="auto"/>
          <w:lang w:val="en-US" w:eastAsia="zh-CN"/>
        </w:rPr>
        <w:t>中国</w:t>
      </w:r>
      <w:r>
        <w:rPr>
          <w:rFonts w:hint="eastAsia"/>
          <w:color w:val="auto"/>
          <w:szCs w:val="21"/>
          <w:highlight w:val="none"/>
          <w:shd w:val="clear" w:color="auto" w:fill="auto"/>
        </w:rPr>
        <w:t>南方电网</w:t>
      </w:r>
      <w:r>
        <w:rPr>
          <w:rFonts w:hint="eastAsia"/>
          <w:color w:val="auto"/>
          <w:szCs w:val="21"/>
          <w:highlight w:val="none"/>
          <w:shd w:val="clear" w:color="auto" w:fill="auto"/>
          <w:lang w:val="en-US" w:eastAsia="zh-CN"/>
        </w:rPr>
        <w:t>有限责任</w:t>
      </w:r>
      <w:r>
        <w:rPr>
          <w:rFonts w:hint="eastAsia"/>
          <w:color w:val="auto"/>
          <w:szCs w:val="21"/>
          <w:highlight w:val="none"/>
          <w:shd w:val="clear" w:color="auto" w:fill="auto"/>
        </w:rPr>
        <w:t>公司</w:t>
      </w:r>
      <w:r>
        <w:rPr>
          <w:rFonts w:hint="eastAsia"/>
          <w:color w:val="auto"/>
          <w:szCs w:val="21"/>
          <w:highlight w:val="none"/>
          <w:shd w:val="clear" w:color="auto" w:fill="auto"/>
          <w:lang w:val="en-US" w:eastAsia="zh-CN"/>
        </w:rPr>
        <w:t>范围内</w:t>
      </w:r>
      <w:r>
        <w:rPr>
          <w:rFonts w:hint="eastAsia"/>
          <w:color w:val="auto"/>
          <w:szCs w:val="21"/>
          <w:highlight w:val="none"/>
          <w:shd w:val="clear" w:color="auto" w:fill="auto"/>
        </w:rPr>
        <w:t>基建工程投标资格以外，同时进行以下处罚：</w:t>
      </w:r>
    </w:p>
    <w:p w14:paraId="6BA1C813">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（a）所认可的审核钻级降一级；</w:t>
      </w:r>
    </w:p>
    <w:p w14:paraId="3C8078AF">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（b）停止本年度审核安排；</w:t>
      </w:r>
    </w:p>
    <w:p w14:paraId="4C8F701B">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（c）一年内取消招标加分。</w:t>
      </w:r>
    </w:p>
    <w:p w14:paraId="6B620ED4">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d. 若监理人一年呈黄灯状态（6分≤N＜12分）, 除书面警告外,还可以要求企业安全第一责任人及分管负责人参加公司组织的安全教育以及在专题会议上发言，不按要求参加安全教育或未通过考核的将对该承包商处以暂停承接电网建设工程资格三个月的处罚（从处罚生效之日起计算），同时进行以下处罚：</w:t>
      </w:r>
    </w:p>
    <w:p w14:paraId="5EC09ADC">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（a）对原审核钻级进行复核；</w:t>
      </w:r>
    </w:p>
    <w:p w14:paraId="7A9F3F84">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（b）停止本年度审核安排；</w:t>
      </w:r>
    </w:p>
    <w:p w14:paraId="7BDE810C">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（c）一年内在复核钻级招标加分基础上扣减0.5分。</w:t>
      </w:r>
    </w:p>
    <w:p w14:paraId="22586F4B">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e. 监理人未根据南方电网公司基建承包商管理要求做好登记建档工作。</w:t>
      </w:r>
    </w:p>
    <w:p w14:paraId="3D81249E">
      <w:pPr>
        <w:spacing w:line="540" w:lineRule="exact"/>
        <w:ind w:firstLine="422" w:firstLineChars="200"/>
        <w:rPr>
          <w:b/>
          <w:bCs/>
          <w:color w:val="auto"/>
          <w:szCs w:val="21"/>
          <w:highlight w:val="none"/>
          <w:shd w:val="clear" w:color="auto" w:fill="auto"/>
        </w:rPr>
      </w:pPr>
      <w:r>
        <w:rPr>
          <w:rFonts w:hint="eastAsia"/>
          <w:b/>
          <w:bCs/>
          <w:color w:val="auto"/>
          <w:szCs w:val="21"/>
          <w:highlight w:val="none"/>
          <w:shd w:val="clear" w:color="auto" w:fill="auto"/>
        </w:rPr>
        <w:t>B</w:t>
      </w:r>
      <w:r>
        <w:rPr>
          <w:b/>
          <w:bCs/>
          <w:color w:val="auto"/>
          <w:szCs w:val="21"/>
          <w:highlight w:val="none"/>
          <w:shd w:val="clear" w:color="auto" w:fill="auto"/>
        </w:rPr>
        <w:t xml:space="preserve"> </w:t>
      </w:r>
      <w:r>
        <w:rPr>
          <w:rFonts w:hint="eastAsia"/>
          <w:b/>
          <w:bCs/>
          <w:color w:val="auto"/>
          <w:szCs w:val="21"/>
          <w:highlight w:val="none"/>
          <w:shd w:val="clear" w:color="auto" w:fill="auto"/>
        </w:rPr>
        <w:t>安全质量</w:t>
      </w:r>
      <w:r>
        <w:rPr>
          <w:b/>
          <w:bCs/>
          <w:color w:val="auto"/>
          <w:szCs w:val="21"/>
          <w:highlight w:val="none"/>
          <w:shd w:val="clear" w:color="auto" w:fill="auto"/>
        </w:rPr>
        <w:t>管理</w:t>
      </w:r>
    </w:p>
    <w:p w14:paraId="4B3B6B34">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 工程建设过程中发生一、二级电力安全事件；除进行书面警告，还需</w:t>
      </w:r>
      <w:r>
        <w:rPr>
          <w:color w:val="auto"/>
          <w:szCs w:val="21"/>
          <w:highlight w:val="none"/>
          <w:shd w:val="clear" w:color="auto" w:fill="auto"/>
        </w:rPr>
        <w:t>在</w:t>
      </w:r>
      <w:r>
        <w:rPr>
          <w:rFonts w:hint="eastAsia"/>
          <w:color w:val="auto"/>
          <w:szCs w:val="21"/>
          <w:highlight w:val="none"/>
          <w:shd w:val="clear" w:color="auto" w:fill="auto"/>
        </w:rPr>
        <w:t>其</w:t>
      </w:r>
      <w:r>
        <w:rPr>
          <w:color w:val="auto"/>
          <w:szCs w:val="21"/>
          <w:highlight w:val="none"/>
          <w:shd w:val="clear" w:color="auto" w:fill="auto"/>
        </w:rPr>
        <w:t>3-6个月内评标中扣1-3分，或停止其3-6个月内参与投标资格</w:t>
      </w:r>
      <w:r>
        <w:rPr>
          <w:rFonts w:hint="eastAsia"/>
          <w:color w:val="auto"/>
          <w:szCs w:val="21"/>
          <w:highlight w:val="none"/>
          <w:shd w:val="clear" w:color="auto" w:fill="auto"/>
        </w:rPr>
        <w:t>。</w:t>
      </w:r>
    </w:p>
    <w:p w14:paraId="2215BFBC">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b. 监理人在基建安全管理中未贯彻安全生产方针，未制定安全生产责任制，未将安全责任制落实到项目总监、安全监理工程师、现场监理人员等具体岗位；</w:t>
      </w:r>
    </w:p>
    <w:p w14:paraId="647BCA7D">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c. 监理人未按照要求的时间审查承包人报审的施工组织设计、施工方案、专项方案等技术文件，并签署监理意见，导致工程无法开工而影响工程进度；</w:t>
      </w:r>
    </w:p>
    <w:p w14:paraId="606AED78">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d. 监理人未监督承包人执行基建安全“四步法”或对执行基建安全“四步法”不到位的承包人未采取有效措施；</w:t>
      </w:r>
    </w:p>
    <w:p w14:paraId="0EAC19AD">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e. 监理人未督促承包人对施工机具开展“八步骤”管理或对施工机具“八步骤”管理不到位的承包人未采取有效措施；</w:t>
      </w:r>
    </w:p>
    <w:p w14:paraId="5AA66E12">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f. 监理人未监督承包人在基建项目现场推进“7S”管理，或对“7S”管理不到位的承包人未采取有效措施；</w:t>
      </w:r>
    </w:p>
    <w:p w14:paraId="0B4EE55C">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g. 监理人未按照相关规定设置安全管理机构，不服从委托人管理；缺席安全会议三次；</w:t>
      </w:r>
    </w:p>
    <w:p w14:paraId="2C9B7CF4">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h. 监理人未建立有效的应急机构，未按照项目管理部门发布的工作要求开展应急响应工作；</w:t>
      </w:r>
    </w:p>
    <w:p w14:paraId="62A83E28">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i. 监理人未监督承包人按照最新的《中国南方电网有限责任公司电网建设施工作业指导书》、《10kV～500kV输变电及配电工程质量验收与评定标准》开展施工、安装、验收等工作，对落实不到位的承包人未采取有效措施。</w:t>
      </w:r>
    </w:p>
    <w:p w14:paraId="2DC6B7A8">
      <w:pPr>
        <w:spacing w:line="540" w:lineRule="exact"/>
        <w:ind w:firstLine="422" w:firstLineChars="200"/>
        <w:rPr>
          <w:b/>
          <w:bCs/>
          <w:color w:val="auto"/>
          <w:szCs w:val="21"/>
          <w:highlight w:val="none"/>
          <w:shd w:val="clear" w:color="auto" w:fill="auto"/>
        </w:rPr>
      </w:pPr>
      <w:r>
        <w:rPr>
          <w:rFonts w:hint="eastAsia"/>
          <w:b/>
          <w:bCs/>
          <w:color w:val="auto"/>
          <w:szCs w:val="21"/>
          <w:highlight w:val="none"/>
          <w:shd w:val="clear" w:color="auto" w:fill="auto"/>
        </w:rPr>
        <w:t>C</w:t>
      </w:r>
      <w:r>
        <w:rPr>
          <w:b/>
          <w:bCs/>
          <w:color w:val="auto"/>
          <w:szCs w:val="21"/>
          <w:highlight w:val="none"/>
          <w:shd w:val="clear" w:color="auto" w:fill="auto"/>
        </w:rPr>
        <w:t xml:space="preserve"> </w:t>
      </w:r>
      <w:r>
        <w:rPr>
          <w:rFonts w:hint="eastAsia"/>
          <w:b/>
          <w:bCs/>
          <w:color w:val="auto"/>
          <w:szCs w:val="21"/>
          <w:highlight w:val="none"/>
          <w:shd w:val="clear" w:color="auto" w:fill="auto"/>
        </w:rPr>
        <w:t>造价</w:t>
      </w:r>
      <w:r>
        <w:rPr>
          <w:b/>
          <w:bCs/>
          <w:color w:val="auto"/>
          <w:szCs w:val="21"/>
          <w:highlight w:val="none"/>
          <w:shd w:val="clear" w:color="auto" w:fill="auto"/>
        </w:rPr>
        <w:t>管理</w:t>
      </w:r>
    </w:p>
    <w:p w14:paraId="67F45F6D">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监理人未履行合同约定造价管理义务。</w:t>
      </w:r>
    </w:p>
    <w:p w14:paraId="5A787554">
      <w:pPr>
        <w:spacing w:line="540" w:lineRule="exact"/>
        <w:ind w:firstLine="422" w:firstLineChars="200"/>
        <w:rPr>
          <w:b/>
          <w:bCs/>
          <w:color w:val="auto"/>
          <w:szCs w:val="21"/>
          <w:highlight w:val="none"/>
          <w:shd w:val="clear" w:color="auto" w:fill="auto"/>
        </w:rPr>
      </w:pPr>
      <w:r>
        <w:rPr>
          <w:rFonts w:hint="eastAsia"/>
          <w:b/>
          <w:bCs/>
          <w:color w:val="auto"/>
          <w:szCs w:val="21"/>
          <w:highlight w:val="none"/>
          <w:shd w:val="clear" w:color="auto" w:fill="auto"/>
        </w:rPr>
        <w:t>D 综合</w:t>
      </w:r>
      <w:r>
        <w:rPr>
          <w:b/>
          <w:bCs/>
          <w:color w:val="auto"/>
          <w:szCs w:val="21"/>
          <w:highlight w:val="none"/>
          <w:shd w:val="clear" w:color="auto" w:fill="auto"/>
        </w:rPr>
        <w:t>管理</w:t>
      </w:r>
    </w:p>
    <w:p w14:paraId="0AED2ADF">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监理</w:t>
      </w:r>
      <w:r>
        <w:rPr>
          <w:color w:val="auto"/>
          <w:szCs w:val="21"/>
          <w:highlight w:val="none"/>
          <w:shd w:val="clear" w:color="auto" w:fill="auto"/>
        </w:rPr>
        <w:t>人</w:t>
      </w:r>
      <w:r>
        <w:rPr>
          <w:rFonts w:hint="eastAsia"/>
          <w:color w:val="auto"/>
          <w:szCs w:val="21"/>
          <w:highlight w:val="none"/>
          <w:shd w:val="clear" w:color="auto" w:fill="auto"/>
        </w:rPr>
        <w:t>未</w:t>
      </w:r>
      <w:r>
        <w:rPr>
          <w:color w:val="auto"/>
          <w:szCs w:val="21"/>
          <w:highlight w:val="none"/>
          <w:shd w:val="clear" w:color="auto" w:fill="auto"/>
        </w:rPr>
        <w:t>根据工程进展实际情况，及时更新信息系统数据，并保证数据质量</w:t>
      </w:r>
      <w:r>
        <w:rPr>
          <w:rFonts w:hint="eastAsia"/>
          <w:color w:val="auto"/>
          <w:szCs w:val="21"/>
          <w:highlight w:val="none"/>
          <w:shd w:val="clear" w:color="auto" w:fill="auto"/>
        </w:rPr>
        <w:t>，详见第11.1款规定。</w:t>
      </w:r>
    </w:p>
    <w:p w14:paraId="6E543B99">
      <w:pPr>
        <w:spacing w:line="540" w:lineRule="exact"/>
        <w:ind w:firstLine="422" w:firstLineChars="200"/>
        <w:rPr>
          <w:b/>
          <w:bCs/>
          <w:color w:val="auto"/>
          <w:szCs w:val="21"/>
          <w:highlight w:val="none"/>
          <w:shd w:val="clear" w:color="auto" w:fill="auto"/>
        </w:rPr>
      </w:pPr>
      <w:r>
        <w:rPr>
          <w:rFonts w:cs="Calibri"/>
          <w:b/>
          <w:bCs/>
          <w:color w:val="auto"/>
          <w:szCs w:val="21"/>
          <w:highlight w:val="none"/>
          <w:shd w:val="clear" w:color="auto" w:fill="auto"/>
        </w:rPr>
        <w:t>②</w:t>
      </w:r>
      <w:r>
        <w:rPr>
          <w:rFonts w:hint="eastAsia"/>
          <w:b/>
          <w:bCs/>
          <w:color w:val="auto"/>
          <w:szCs w:val="21"/>
          <w:highlight w:val="none"/>
          <w:shd w:val="clear" w:color="auto" w:fill="auto"/>
        </w:rPr>
        <w:t xml:space="preserve">经济索赔 </w:t>
      </w:r>
    </w:p>
    <w:p w14:paraId="36BD811C">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如果监理人有下列行为，委托人应有权向监理人提出</w:t>
      </w:r>
      <w:r>
        <w:rPr>
          <w:color w:val="auto"/>
          <w:szCs w:val="21"/>
          <w:highlight w:val="none"/>
          <w:shd w:val="clear" w:color="auto" w:fill="auto"/>
        </w:rPr>
        <w:t>经济索赔</w:t>
      </w:r>
      <w:r>
        <w:rPr>
          <w:rFonts w:hint="eastAsia"/>
          <w:color w:val="auto"/>
          <w:szCs w:val="21"/>
          <w:highlight w:val="none"/>
          <w:shd w:val="clear" w:color="auto" w:fill="auto"/>
        </w:rPr>
        <w:t>，每发生一次扣除合同总额的0.2%，累计最多可扣除合同总额的1%：</w:t>
      </w:r>
    </w:p>
    <w:p w14:paraId="3B1D399C">
      <w:pPr>
        <w:spacing w:line="540" w:lineRule="exact"/>
        <w:ind w:firstLine="422" w:firstLineChars="200"/>
        <w:rPr>
          <w:b/>
          <w:bCs/>
          <w:color w:val="auto"/>
          <w:szCs w:val="21"/>
          <w:highlight w:val="none"/>
          <w:shd w:val="clear" w:color="auto" w:fill="auto"/>
        </w:rPr>
      </w:pPr>
      <w:r>
        <w:rPr>
          <w:rFonts w:hint="eastAsia"/>
          <w:b/>
          <w:bCs/>
          <w:color w:val="auto"/>
          <w:szCs w:val="21"/>
          <w:highlight w:val="none"/>
          <w:shd w:val="clear" w:color="auto" w:fill="auto"/>
        </w:rPr>
        <w:t>A采购管理</w:t>
      </w:r>
    </w:p>
    <w:p w14:paraId="3E8E6DC3">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 监理人</w:t>
      </w:r>
      <w:r>
        <w:rPr>
          <w:rFonts w:hint="eastAsia"/>
          <w:color w:val="auto"/>
          <w:szCs w:val="21"/>
          <w:highlight w:val="none"/>
          <w:shd w:val="clear" w:color="auto" w:fill="auto"/>
          <w:lang w:val="en-US" w:eastAsia="zh-CN"/>
        </w:rPr>
        <w:t>未</w:t>
      </w:r>
      <w:r>
        <w:rPr>
          <w:rFonts w:hint="eastAsia"/>
          <w:color w:val="auto"/>
          <w:szCs w:val="21"/>
          <w:highlight w:val="none"/>
          <w:shd w:val="clear" w:color="auto" w:fill="auto"/>
        </w:rPr>
        <w:t>根据南方电网公司基建承包商管理要求做好登记建档工作，经三次警告后仍未按要求完成登记建档工作的，最多可扣罚监理人合同总额的1%。</w:t>
      </w:r>
    </w:p>
    <w:p w14:paraId="732BCAA3">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b. </w:t>
      </w:r>
      <w:r>
        <w:rPr>
          <w:color w:val="auto"/>
          <w:szCs w:val="21"/>
          <w:highlight w:val="none"/>
          <w:shd w:val="clear" w:color="auto" w:fill="auto"/>
        </w:rPr>
        <w:t>在工程建设过程中</w:t>
      </w:r>
      <w:r>
        <w:rPr>
          <w:rFonts w:hint="eastAsia"/>
          <w:color w:val="auto"/>
          <w:szCs w:val="21"/>
          <w:highlight w:val="none"/>
          <w:shd w:val="clear" w:color="auto" w:fill="auto"/>
        </w:rPr>
        <w:t>监理人</w:t>
      </w:r>
      <w:r>
        <w:rPr>
          <w:color w:val="auto"/>
          <w:szCs w:val="21"/>
          <w:highlight w:val="none"/>
          <w:shd w:val="clear" w:color="auto" w:fill="auto"/>
        </w:rPr>
        <w:t>存在转包、</w:t>
      </w:r>
      <w:r>
        <w:rPr>
          <w:rFonts w:hint="eastAsia"/>
          <w:color w:val="auto"/>
          <w:szCs w:val="21"/>
          <w:highlight w:val="none"/>
          <w:shd w:val="clear" w:color="auto" w:fill="auto"/>
        </w:rPr>
        <w:t>违法</w:t>
      </w:r>
      <w:r>
        <w:rPr>
          <w:color w:val="auto"/>
          <w:szCs w:val="21"/>
          <w:highlight w:val="none"/>
          <w:shd w:val="clear" w:color="auto" w:fill="auto"/>
        </w:rPr>
        <w:t>分包及以包代管等触犯基建安全的行为</w:t>
      </w:r>
      <w:r>
        <w:rPr>
          <w:rFonts w:hint="eastAsia"/>
          <w:color w:val="auto"/>
          <w:szCs w:val="21"/>
          <w:highlight w:val="none"/>
          <w:shd w:val="clear" w:color="auto" w:fill="auto"/>
        </w:rPr>
        <w:t>；</w:t>
      </w:r>
    </w:p>
    <w:p w14:paraId="162870A4">
      <w:pPr>
        <w:spacing w:line="540" w:lineRule="exact"/>
        <w:ind w:firstLine="422" w:firstLineChars="200"/>
        <w:rPr>
          <w:b/>
          <w:bCs/>
          <w:color w:val="auto"/>
          <w:szCs w:val="21"/>
          <w:highlight w:val="none"/>
          <w:shd w:val="clear" w:color="auto" w:fill="auto"/>
        </w:rPr>
      </w:pPr>
      <w:r>
        <w:rPr>
          <w:rFonts w:hint="eastAsia"/>
          <w:b/>
          <w:bCs/>
          <w:color w:val="auto"/>
          <w:szCs w:val="21"/>
          <w:highlight w:val="none"/>
          <w:shd w:val="clear" w:color="auto" w:fill="auto"/>
        </w:rPr>
        <w:t>B安全质量管理</w:t>
      </w:r>
    </w:p>
    <w:p w14:paraId="26230B69">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 发生较大及以上安全质量事故；对监理人除上述经济索赔外，还进行如下惩罚：</w:t>
      </w:r>
    </w:p>
    <w:p w14:paraId="14B950FC">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w:t>
      </w:r>
      <w:r>
        <w:rPr>
          <w:color w:val="auto"/>
          <w:szCs w:val="21"/>
          <w:highlight w:val="none"/>
          <w:shd w:val="clear" w:color="auto" w:fill="auto"/>
        </w:rPr>
        <w:t>停止其12- 24个月内参与投标资格</w:t>
      </w:r>
      <w:r>
        <w:rPr>
          <w:rFonts w:hint="eastAsia"/>
          <w:color w:val="auto"/>
          <w:szCs w:val="21"/>
          <w:highlight w:val="none"/>
          <w:shd w:val="clear" w:color="auto" w:fill="auto"/>
        </w:rPr>
        <w:t>；</w:t>
      </w:r>
    </w:p>
    <w:p w14:paraId="667EB3F6">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（b）不认可其安全生产风险管理体系原审核钻级，取消原钻级招标加分；</w:t>
      </w:r>
    </w:p>
    <w:p w14:paraId="713EA59A">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（c）停止其本年度及下一年度前6个月安全生产风险管理体系审核安排。</w:t>
      </w:r>
    </w:p>
    <w:p w14:paraId="0AC4DBB8">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b. </w:t>
      </w:r>
      <w:r>
        <w:rPr>
          <w:color w:val="auto"/>
          <w:szCs w:val="21"/>
          <w:highlight w:val="none"/>
          <w:shd w:val="clear" w:color="auto" w:fill="auto"/>
        </w:rPr>
        <w:t>发生一般</w:t>
      </w:r>
      <w:r>
        <w:rPr>
          <w:rFonts w:hint="eastAsia"/>
          <w:color w:val="auto"/>
          <w:szCs w:val="21"/>
          <w:highlight w:val="none"/>
          <w:shd w:val="clear" w:color="auto" w:fill="auto"/>
        </w:rPr>
        <w:t>电力</w:t>
      </w:r>
      <w:r>
        <w:rPr>
          <w:color w:val="auto"/>
          <w:szCs w:val="21"/>
          <w:highlight w:val="none"/>
          <w:shd w:val="clear" w:color="auto" w:fill="auto"/>
        </w:rPr>
        <w:t>安全</w:t>
      </w:r>
      <w:r>
        <w:rPr>
          <w:rFonts w:hint="eastAsia"/>
          <w:color w:val="auto"/>
          <w:szCs w:val="21"/>
          <w:highlight w:val="none"/>
          <w:shd w:val="clear" w:color="auto" w:fill="auto"/>
        </w:rPr>
        <w:t>质量</w:t>
      </w:r>
      <w:r>
        <w:rPr>
          <w:color w:val="auto"/>
          <w:szCs w:val="21"/>
          <w:highlight w:val="none"/>
          <w:shd w:val="clear" w:color="auto" w:fill="auto"/>
        </w:rPr>
        <w:t>事故</w:t>
      </w:r>
      <w:r>
        <w:rPr>
          <w:rFonts w:hint="eastAsia"/>
          <w:color w:val="auto"/>
          <w:szCs w:val="21"/>
          <w:highlight w:val="none"/>
          <w:shd w:val="clear" w:color="auto" w:fill="auto"/>
        </w:rPr>
        <w:t>；对监理人除上述经济索赔外，还进行如下惩罚：</w:t>
      </w:r>
    </w:p>
    <w:p w14:paraId="6D8FFFED">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w:t>
      </w:r>
      <w:r>
        <w:rPr>
          <w:color w:val="auto"/>
          <w:szCs w:val="21"/>
          <w:highlight w:val="none"/>
          <w:shd w:val="clear" w:color="auto" w:fill="auto"/>
        </w:rPr>
        <w:t>停止其3- 12个月内参与投标资格</w:t>
      </w:r>
      <w:r>
        <w:rPr>
          <w:rFonts w:hint="eastAsia"/>
          <w:color w:val="auto"/>
          <w:szCs w:val="21"/>
          <w:highlight w:val="none"/>
          <w:shd w:val="clear" w:color="auto" w:fill="auto"/>
        </w:rPr>
        <w:t>；</w:t>
      </w:r>
    </w:p>
    <w:p w14:paraId="29867577">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（b）不认可其安全生产风险管理体系原审核钻级，取消原钻级招标加分；</w:t>
      </w:r>
    </w:p>
    <w:p w14:paraId="48F421D1">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（c）停止其本年度及下一年度前6个月安全生产风险管理体系审核安排。</w:t>
      </w:r>
    </w:p>
    <w:p w14:paraId="79AFBDEF">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c. 在上级单位对监理人进行检查发现严重问题时；除上述经济索赔外，还进行如下惩罚：</w:t>
      </w:r>
    </w:p>
    <w:p w14:paraId="417270D0">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（a）国家层面检查发现的严重安全问题，直接扣减安全生产风险管理体系审核结1.5分；</w:t>
      </w:r>
    </w:p>
    <w:p w14:paraId="4A0B966B">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（b）</w:t>
      </w:r>
      <w:r>
        <w:rPr>
          <w:rFonts w:hint="eastAsia"/>
          <w:color w:val="auto"/>
          <w:szCs w:val="21"/>
          <w:highlight w:val="none"/>
          <w:shd w:val="clear" w:color="auto" w:fill="auto"/>
          <w:lang w:val="en-US" w:eastAsia="zh-CN"/>
        </w:rPr>
        <w:t>中国南方电网有限责任</w:t>
      </w:r>
      <w:r>
        <w:rPr>
          <w:rFonts w:hint="eastAsia"/>
          <w:color w:val="auto"/>
          <w:szCs w:val="21"/>
          <w:highlight w:val="none"/>
          <w:shd w:val="clear" w:color="auto" w:fill="auto"/>
        </w:rPr>
        <w:t>公司检查发现的严重安全问题，直接扣减安全生产风险管理体系审核结1.0分；</w:t>
      </w:r>
    </w:p>
    <w:p w14:paraId="2F10718A">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（c）</w:t>
      </w:r>
      <w:r>
        <w:rPr>
          <w:rFonts w:hint="eastAsia"/>
          <w:color w:val="auto"/>
          <w:szCs w:val="21"/>
          <w:highlight w:val="none"/>
          <w:shd w:val="clear" w:color="auto" w:fill="auto"/>
          <w:lang w:val="en-US" w:eastAsia="zh-CN"/>
        </w:rPr>
        <w:t>广东电网有限责任</w:t>
      </w:r>
      <w:r>
        <w:rPr>
          <w:rFonts w:hint="eastAsia"/>
          <w:color w:val="auto"/>
          <w:szCs w:val="21"/>
          <w:highlight w:val="none"/>
          <w:shd w:val="clear" w:color="auto" w:fill="auto"/>
        </w:rPr>
        <w:t>公司检查发现的严重安全问题，直接扣减安全生产风险管理体系审核结0.5分。</w:t>
      </w:r>
    </w:p>
    <w:p w14:paraId="2938F125">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d. 监理人出现违章情况，不接受《中国南方电网公司基建承包商违章处罚通知单》处罚；</w:t>
      </w:r>
    </w:p>
    <w:p w14:paraId="2EBDA629">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e. 总监理工程师等管理人员长期无法到岗、到位，长期由他人代行使职责，缺岗、缺位时间累计超过45个合同日；</w:t>
      </w:r>
    </w:p>
    <w:p w14:paraId="3C6C5C77">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f. 监理人未对风险等级为“可接受”、“低”、“中” 的风险进行监督、管控，未对风险等级为“高”及以上风险等级的施工作业任务进行安全旁站监理，并拍摄数码照片和填写监理旁站记录，对发现的施工违规作业行为及安全事故隐患未进行有效管控；</w:t>
      </w:r>
    </w:p>
    <w:p w14:paraId="566300E5">
      <w:pPr>
        <w:spacing w:line="540" w:lineRule="exact"/>
        <w:ind w:firstLine="422" w:firstLineChars="200"/>
        <w:rPr>
          <w:b/>
          <w:bCs/>
          <w:color w:val="auto"/>
          <w:szCs w:val="21"/>
          <w:highlight w:val="none"/>
          <w:shd w:val="clear" w:color="auto" w:fill="auto"/>
        </w:rPr>
      </w:pPr>
      <w:r>
        <w:rPr>
          <w:rFonts w:hint="eastAsia"/>
          <w:b/>
          <w:bCs/>
          <w:color w:val="auto"/>
          <w:szCs w:val="21"/>
          <w:highlight w:val="none"/>
          <w:shd w:val="clear" w:color="auto" w:fill="auto"/>
        </w:rPr>
        <w:t>C造价管理</w:t>
      </w:r>
    </w:p>
    <w:p w14:paraId="00CE0C0F">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 监理人未履行合同约定造价管理义务，经三次书面警告仍未履行的；</w:t>
      </w:r>
    </w:p>
    <w:p w14:paraId="086F530A">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b. 未按要求及时完成完工工程量审核或审核错误；</w:t>
      </w:r>
    </w:p>
    <w:p w14:paraId="7C91C430">
      <w:pPr>
        <w:spacing w:line="540" w:lineRule="exact"/>
        <w:ind w:firstLine="422" w:firstLineChars="200"/>
        <w:rPr>
          <w:b/>
          <w:bCs/>
          <w:color w:val="auto"/>
          <w:szCs w:val="21"/>
          <w:highlight w:val="none"/>
          <w:shd w:val="clear" w:color="auto" w:fill="auto"/>
        </w:rPr>
      </w:pPr>
      <w:r>
        <w:rPr>
          <w:rFonts w:hint="eastAsia"/>
          <w:b/>
          <w:bCs/>
          <w:color w:val="auto"/>
          <w:szCs w:val="21"/>
          <w:highlight w:val="none"/>
          <w:shd w:val="clear" w:color="auto" w:fill="auto"/>
        </w:rPr>
        <w:t>D综合管理</w:t>
      </w:r>
    </w:p>
    <w:p w14:paraId="75BB0B76">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监理人</w:t>
      </w:r>
      <w:r>
        <w:rPr>
          <w:rFonts w:hint="eastAsia"/>
          <w:color w:val="auto"/>
          <w:szCs w:val="21"/>
          <w:highlight w:val="none"/>
          <w:shd w:val="clear" w:color="auto" w:fill="auto"/>
          <w:lang w:val="en-US" w:eastAsia="zh-CN"/>
        </w:rPr>
        <w:t>未</w:t>
      </w:r>
      <w:r>
        <w:rPr>
          <w:rFonts w:hint="eastAsia"/>
          <w:color w:val="auto"/>
          <w:szCs w:val="21"/>
          <w:highlight w:val="none"/>
          <w:shd w:val="clear" w:color="auto" w:fill="auto"/>
        </w:rPr>
        <w:t>根据南方电网公司基建承包商管理要求做好登记建档工作，经三次警告后仍未按要求完成登记建档工作的；</w:t>
      </w:r>
    </w:p>
    <w:p w14:paraId="701F25FE">
      <w:pPr>
        <w:spacing w:line="540" w:lineRule="exact"/>
        <w:ind w:firstLine="422" w:firstLineChars="200"/>
        <w:rPr>
          <w:b/>
          <w:bCs/>
          <w:color w:val="auto"/>
          <w:szCs w:val="21"/>
          <w:highlight w:val="none"/>
          <w:shd w:val="clear" w:color="auto" w:fill="auto"/>
        </w:rPr>
      </w:pPr>
      <w:r>
        <w:rPr>
          <w:rFonts w:cs="Calibri"/>
          <w:b/>
          <w:bCs/>
          <w:color w:val="auto"/>
          <w:szCs w:val="21"/>
          <w:highlight w:val="none"/>
          <w:shd w:val="clear" w:color="auto" w:fill="auto"/>
        </w:rPr>
        <w:t>③</w:t>
      </w:r>
      <w:r>
        <w:rPr>
          <w:rFonts w:hint="eastAsia"/>
          <w:b/>
          <w:bCs/>
          <w:color w:val="auto"/>
          <w:szCs w:val="21"/>
          <w:highlight w:val="none"/>
          <w:shd w:val="clear" w:color="auto" w:fill="auto"/>
        </w:rPr>
        <w:t>暂停合同</w:t>
      </w:r>
    </w:p>
    <w:p w14:paraId="2EC584CE">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如果监理人有下列行为，委托人应有权向监理人提出暂停合同：</w:t>
      </w:r>
    </w:p>
    <w:p w14:paraId="7707D99A">
      <w:pPr>
        <w:spacing w:line="540" w:lineRule="exact"/>
        <w:ind w:firstLine="422" w:firstLineChars="200"/>
        <w:rPr>
          <w:b/>
          <w:bCs/>
          <w:color w:val="auto"/>
          <w:szCs w:val="21"/>
          <w:highlight w:val="none"/>
          <w:shd w:val="clear" w:color="auto" w:fill="auto"/>
        </w:rPr>
      </w:pPr>
      <w:r>
        <w:rPr>
          <w:rFonts w:hint="eastAsia"/>
          <w:b/>
          <w:bCs/>
          <w:color w:val="auto"/>
          <w:szCs w:val="21"/>
          <w:highlight w:val="none"/>
          <w:shd w:val="clear" w:color="auto" w:fill="auto"/>
        </w:rPr>
        <w:t>A采购管理</w:t>
      </w:r>
    </w:p>
    <w:p w14:paraId="099BCAD4">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 若发现监理人有伪造、变造企业资质资料、工程结算文件等不诚信行为。</w:t>
      </w:r>
    </w:p>
    <w:p w14:paraId="7BD36888">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b. </w:t>
      </w:r>
      <w:r>
        <w:rPr>
          <w:color w:val="auto"/>
          <w:szCs w:val="21"/>
          <w:highlight w:val="none"/>
          <w:shd w:val="clear" w:color="auto" w:fill="auto"/>
        </w:rPr>
        <w:t>在工程建设过程中</w:t>
      </w:r>
      <w:r>
        <w:rPr>
          <w:rFonts w:hint="eastAsia"/>
          <w:color w:val="auto"/>
          <w:szCs w:val="21"/>
          <w:highlight w:val="none"/>
          <w:shd w:val="clear" w:color="auto" w:fill="auto"/>
        </w:rPr>
        <w:t>监理人</w:t>
      </w:r>
      <w:r>
        <w:rPr>
          <w:color w:val="auto"/>
          <w:szCs w:val="21"/>
          <w:highlight w:val="none"/>
          <w:shd w:val="clear" w:color="auto" w:fill="auto"/>
        </w:rPr>
        <w:t>存在转包、</w:t>
      </w:r>
      <w:r>
        <w:rPr>
          <w:rFonts w:hint="eastAsia"/>
          <w:color w:val="auto"/>
          <w:szCs w:val="21"/>
          <w:highlight w:val="none"/>
          <w:shd w:val="clear" w:color="auto" w:fill="auto"/>
        </w:rPr>
        <w:t>违法</w:t>
      </w:r>
      <w:r>
        <w:rPr>
          <w:color w:val="auto"/>
          <w:szCs w:val="21"/>
          <w:highlight w:val="none"/>
          <w:shd w:val="clear" w:color="auto" w:fill="auto"/>
        </w:rPr>
        <w:t>分包及以包代管等触犯基建安全的行为</w:t>
      </w:r>
      <w:r>
        <w:rPr>
          <w:rFonts w:hint="eastAsia"/>
          <w:color w:val="auto"/>
          <w:szCs w:val="21"/>
          <w:highlight w:val="none"/>
          <w:shd w:val="clear" w:color="auto" w:fill="auto"/>
        </w:rPr>
        <w:t>，且拒不整改；，除进行上述处罚外，还</w:t>
      </w:r>
      <w:r>
        <w:rPr>
          <w:color w:val="auto"/>
          <w:szCs w:val="21"/>
          <w:highlight w:val="none"/>
          <w:shd w:val="clear" w:color="auto" w:fill="auto"/>
        </w:rPr>
        <w:t>停止其3- 12个月内参与投标资格</w:t>
      </w:r>
      <w:r>
        <w:rPr>
          <w:rFonts w:hint="eastAsia"/>
          <w:color w:val="auto"/>
          <w:szCs w:val="21"/>
          <w:highlight w:val="none"/>
          <w:shd w:val="clear" w:color="auto" w:fill="auto"/>
        </w:rPr>
        <w:t>。</w:t>
      </w:r>
    </w:p>
    <w:p w14:paraId="4B50F35A">
      <w:pPr>
        <w:spacing w:line="540" w:lineRule="exact"/>
        <w:ind w:firstLine="422" w:firstLineChars="200"/>
        <w:rPr>
          <w:b/>
          <w:bCs/>
          <w:color w:val="auto"/>
          <w:szCs w:val="21"/>
          <w:highlight w:val="none"/>
          <w:shd w:val="clear" w:color="auto" w:fill="auto"/>
        </w:rPr>
      </w:pPr>
      <w:r>
        <w:rPr>
          <w:rFonts w:hint="eastAsia"/>
          <w:b/>
          <w:bCs/>
          <w:color w:val="auto"/>
          <w:szCs w:val="21"/>
          <w:highlight w:val="none"/>
          <w:shd w:val="clear" w:color="auto" w:fill="auto"/>
        </w:rPr>
        <w:t>B安全质量管理</w:t>
      </w:r>
    </w:p>
    <w:p w14:paraId="51487E5F">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 发生较大及以上安全质量事故，并不配合事故调查的；</w:t>
      </w:r>
    </w:p>
    <w:p w14:paraId="44FCFB57">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b. </w:t>
      </w:r>
      <w:r>
        <w:rPr>
          <w:color w:val="auto"/>
          <w:szCs w:val="21"/>
          <w:highlight w:val="none"/>
          <w:shd w:val="clear" w:color="auto" w:fill="auto"/>
        </w:rPr>
        <w:t>发生一般</w:t>
      </w:r>
      <w:r>
        <w:rPr>
          <w:rFonts w:hint="eastAsia"/>
          <w:color w:val="auto"/>
          <w:szCs w:val="21"/>
          <w:highlight w:val="none"/>
          <w:shd w:val="clear" w:color="auto" w:fill="auto"/>
        </w:rPr>
        <w:t>电力</w:t>
      </w:r>
      <w:r>
        <w:rPr>
          <w:color w:val="auto"/>
          <w:szCs w:val="21"/>
          <w:highlight w:val="none"/>
          <w:shd w:val="clear" w:color="auto" w:fill="auto"/>
        </w:rPr>
        <w:t>安全</w:t>
      </w:r>
      <w:r>
        <w:rPr>
          <w:rFonts w:hint="eastAsia"/>
          <w:color w:val="auto"/>
          <w:szCs w:val="21"/>
          <w:highlight w:val="none"/>
          <w:shd w:val="clear" w:color="auto" w:fill="auto"/>
        </w:rPr>
        <w:t>质量</w:t>
      </w:r>
      <w:r>
        <w:rPr>
          <w:color w:val="auto"/>
          <w:szCs w:val="21"/>
          <w:highlight w:val="none"/>
          <w:shd w:val="clear" w:color="auto" w:fill="auto"/>
        </w:rPr>
        <w:t>事故</w:t>
      </w:r>
      <w:r>
        <w:rPr>
          <w:rFonts w:hint="eastAsia"/>
          <w:color w:val="auto"/>
          <w:szCs w:val="21"/>
          <w:highlight w:val="none"/>
          <w:shd w:val="clear" w:color="auto" w:fill="auto"/>
        </w:rPr>
        <w:t>，并不配合事故调查的；</w:t>
      </w:r>
    </w:p>
    <w:p w14:paraId="763F8143">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c. 监理人隐瞒、包庇承包人</w:t>
      </w:r>
      <w:r>
        <w:rPr>
          <w:color w:val="auto"/>
          <w:szCs w:val="21"/>
          <w:highlight w:val="none"/>
          <w:shd w:val="clear" w:color="auto" w:fill="auto"/>
        </w:rPr>
        <w:t>转包、</w:t>
      </w:r>
      <w:r>
        <w:rPr>
          <w:rFonts w:hint="eastAsia"/>
          <w:color w:val="auto"/>
          <w:szCs w:val="21"/>
          <w:highlight w:val="none"/>
          <w:shd w:val="clear" w:color="auto" w:fill="auto"/>
        </w:rPr>
        <w:t>违法</w:t>
      </w:r>
      <w:r>
        <w:rPr>
          <w:color w:val="auto"/>
          <w:szCs w:val="21"/>
          <w:highlight w:val="none"/>
          <w:shd w:val="clear" w:color="auto" w:fill="auto"/>
        </w:rPr>
        <w:t>分包等触犯基建安全行为</w:t>
      </w:r>
      <w:r>
        <w:rPr>
          <w:rFonts w:hint="eastAsia"/>
          <w:color w:val="auto"/>
          <w:szCs w:val="21"/>
          <w:highlight w:val="none"/>
          <w:shd w:val="clear" w:color="auto" w:fill="auto"/>
        </w:rPr>
        <w:t>；</w:t>
      </w:r>
    </w:p>
    <w:p w14:paraId="5171FC25">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d. 监理人在发生电力安全质量事故、事件后,瞒报、虚报安全事件、事故。</w:t>
      </w:r>
    </w:p>
    <w:p w14:paraId="3B3F84E3">
      <w:pPr>
        <w:spacing w:line="540" w:lineRule="exact"/>
        <w:ind w:firstLine="422" w:firstLineChars="200"/>
        <w:rPr>
          <w:b/>
          <w:bCs/>
          <w:color w:val="auto"/>
          <w:szCs w:val="21"/>
          <w:highlight w:val="none"/>
          <w:shd w:val="clear" w:color="auto" w:fill="auto"/>
        </w:rPr>
      </w:pPr>
      <w:r>
        <w:rPr>
          <w:rFonts w:hint="eastAsia"/>
          <w:b/>
          <w:bCs/>
          <w:color w:val="auto"/>
          <w:szCs w:val="21"/>
          <w:highlight w:val="none"/>
          <w:shd w:val="clear" w:color="auto" w:fill="auto"/>
        </w:rPr>
        <w:t>C综合管理</w:t>
      </w:r>
    </w:p>
    <w:p w14:paraId="4DEEAA86">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 在工程建设过程中，由于监理人未按合同约定履行职责，给委托人造成巨大经济损失。</w:t>
      </w:r>
    </w:p>
    <w:p w14:paraId="3C120F96">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b. 监理人造成恶劣影响的社会事件的。</w:t>
      </w:r>
    </w:p>
    <w:p w14:paraId="2E10B3B1">
      <w:pPr>
        <w:spacing w:line="540" w:lineRule="exact"/>
        <w:ind w:firstLine="420" w:firstLineChars="200"/>
        <w:rPr>
          <w:b/>
          <w:bCs/>
          <w:color w:val="auto"/>
          <w:szCs w:val="21"/>
          <w:highlight w:val="none"/>
          <w:shd w:val="clear" w:color="auto" w:fill="auto"/>
        </w:rPr>
      </w:pPr>
      <w:r>
        <w:rPr>
          <w:rFonts w:eastAsia="微软雅黑" w:cs="Calibri"/>
          <w:b/>
          <w:bCs/>
          <w:color w:val="auto"/>
          <w:szCs w:val="21"/>
          <w:highlight w:val="none"/>
          <w:shd w:val="clear" w:color="auto" w:fill="auto"/>
        </w:rPr>
        <w:t>④</w:t>
      </w:r>
      <w:r>
        <w:rPr>
          <w:rFonts w:hint="eastAsia"/>
          <w:b/>
          <w:bCs/>
          <w:color w:val="auto"/>
          <w:szCs w:val="21"/>
          <w:highlight w:val="none"/>
          <w:shd w:val="clear" w:color="auto" w:fill="auto"/>
        </w:rPr>
        <w:t>终止合同</w:t>
      </w:r>
    </w:p>
    <w:p w14:paraId="3AA5FC39">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如果监理人有下列行为，委托人应有权终止合同：</w:t>
      </w:r>
    </w:p>
    <w:p w14:paraId="3D5B890D">
      <w:pPr>
        <w:spacing w:line="540" w:lineRule="exact"/>
        <w:ind w:firstLine="422" w:firstLineChars="200"/>
        <w:rPr>
          <w:b/>
          <w:bCs/>
          <w:color w:val="auto"/>
          <w:szCs w:val="21"/>
          <w:highlight w:val="none"/>
          <w:shd w:val="clear" w:color="auto" w:fill="auto"/>
        </w:rPr>
      </w:pPr>
      <w:r>
        <w:rPr>
          <w:rFonts w:hint="eastAsia"/>
          <w:b/>
          <w:bCs/>
          <w:color w:val="auto"/>
          <w:szCs w:val="21"/>
          <w:highlight w:val="none"/>
          <w:shd w:val="clear" w:color="auto" w:fill="auto"/>
        </w:rPr>
        <w:t>A采购管理</w:t>
      </w:r>
    </w:p>
    <w:p w14:paraId="6C1518D5">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监理人被建设行政主管部门给予处罚，因企业资质等级降低或被吊销资质证书，导致</w:t>
      </w:r>
      <w:r>
        <w:rPr>
          <w:color w:val="auto"/>
          <w:szCs w:val="21"/>
          <w:highlight w:val="none"/>
          <w:shd w:val="clear" w:color="auto" w:fill="auto"/>
        </w:rPr>
        <w:t>资质</w:t>
      </w:r>
      <w:r>
        <w:rPr>
          <w:rFonts w:hint="eastAsia"/>
          <w:color w:val="auto"/>
          <w:szCs w:val="21"/>
          <w:highlight w:val="none"/>
          <w:shd w:val="clear" w:color="auto" w:fill="auto"/>
        </w:rPr>
        <w:t>等级已不满足</w:t>
      </w:r>
      <w:r>
        <w:rPr>
          <w:color w:val="auto"/>
          <w:szCs w:val="21"/>
          <w:highlight w:val="none"/>
          <w:shd w:val="clear" w:color="auto" w:fill="auto"/>
        </w:rPr>
        <w:t>承揽</w:t>
      </w:r>
      <w:r>
        <w:rPr>
          <w:rFonts w:hint="eastAsia"/>
          <w:color w:val="auto"/>
          <w:szCs w:val="21"/>
          <w:highlight w:val="none"/>
          <w:shd w:val="clear" w:color="auto" w:fill="auto"/>
        </w:rPr>
        <w:t>本合同</w:t>
      </w:r>
      <w:r>
        <w:rPr>
          <w:color w:val="auto"/>
          <w:szCs w:val="21"/>
          <w:highlight w:val="none"/>
          <w:shd w:val="clear" w:color="auto" w:fill="auto"/>
        </w:rPr>
        <w:t>业务范围</w:t>
      </w:r>
      <w:r>
        <w:rPr>
          <w:rFonts w:hint="eastAsia"/>
          <w:color w:val="auto"/>
          <w:szCs w:val="21"/>
          <w:highlight w:val="none"/>
          <w:shd w:val="clear" w:color="auto" w:fill="auto"/>
        </w:rPr>
        <w:t>；</w:t>
      </w:r>
    </w:p>
    <w:p w14:paraId="2BA0F569">
      <w:pPr>
        <w:spacing w:line="540" w:lineRule="exact"/>
        <w:ind w:firstLine="422" w:firstLineChars="200"/>
        <w:rPr>
          <w:b/>
          <w:bCs/>
          <w:color w:val="auto"/>
          <w:szCs w:val="21"/>
          <w:highlight w:val="none"/>
          <w:shd w:val="clear" w:color="auto" w:fill="auto"/>
        </w:rPr>
      </w:pPr>
      <w:r>
        <w:rPr>
          <w:rFonts w:hint="eastAsia"/>
          <w:b/>
          <w:bCs/>
          <w:color w:val="auto"/>
          <w:szCs w:val="21"/>
          <w:highlight w:val="none"/>
          <w:shd w:val="clear" w:color="auto" w:fill="auto"/>
        </w:rPr>
        <w:t>B质量安全管理</w:t>
      </w:r>
    </w:p>
    <w:p w14:paraId="28239859">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 监理人在施工中发生较大及以上电力安全质量事故，且恶意隐瞒事故或破坏现场；</w:t>
      </w:r>
    </w:p>
    <w:p w14:paraId="7D0ED2B4">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b. 监理人在施工中发生一般电力安全质量事故，且恶意隐瞒事故或破坏现场，后果严重的；</w:t>
      </w:r>
    </w:p>
    <w:p w14:paraId="4930AD33">
      <w:pPr>
        <w:spacing w:line="540" w:lineRule="exact"/>
        <w:ind w:firstLine="422" w:firstLineChars="200"/>
        <w:rPr>
          <w:b/>
          <w:bCs/>
          <w:color w:val="auto"/>
          <w:szCs w:val="21"/>
          <w:highlight w:val="none"/>
          <w:shd w:val="clear" w:color="auto" w:fill="auto"/>
        </w:rPr>
      </w:pPr>
      <w:r>
        <w:rPr>
          <w:rFonts w:hint="eastAsia"/>
          <w:b/>
          <w:bCs/>
          <w:color w:val="auto"/>
          <w:szCs w:val="21"/>
          <w:highlight w:val="none"/>
          <w:shd w:val="clear" w:color="auto" w:fill="auto"/>
        </w:rPr>
        <w:t>C综合管理</w:t>
      </w:r>
    </w:p>
    <w:p w14:paraId="280578F1">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a. 监理人因违反国家有关的法律法规，并被政府部门追究民事责任、行政责任和刑事责任，不具备执行合同能力；</w:t>
      </w:r>
    </w:p>
    <w:p w14:paraId="079380DC">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b. 监理人造成恶劣影响社会事件，且不能容忍的。</w:t>
      </w:r>
    </w:p>
    <w:p w14:paraId="06D2C990">
      <w:pPr>
        <w:spacing w:line="540" w:lineRule="exact"/>
        <w:ind w:firstLine="420" w:firstLineChars="200"/>
        <w:rPr>
          <w:rFonts w:ascii="宋体" w:hAnsi="宋体" w:cs="宋体"/>
          <w:color w:val="auto"/>
          <w:kern w:val="0"/>
          <w:szCs w:val="21"/>
          <w:highlight w:val="none"/>
          <w:shd w:val="clear" w:color="auto" w:fill="auto"/>
        </w:rPr>
      </w:pPr>
      <w:r>
        <w:rPr>
          <w:rFonts w:hint="eastAsia"/>
          <w:color w:val="auto"/>
          <w:szCs w:val="21"/>
          <w:highlight w:val="none"/>
          <w:shd w:val="clear" w:color="auto" w:fill="auto"/>
        </w:rPr>
        <w:t xml:space="preserve">11.4.2 </w:t>
      </w:r>
      <w:r>
        <w:rPr>
          <w:rFonts w:hint="eastAsia" w:ascii="宋体" w:hAnsi="宋体" w:cs="宋体"/>
          <w:color w:val="auto"/>
          <w:kern w:val="0"/>
          <w:szCs w:val="21"/>
          <w:highlight w:val="none"/>
          <w:shd w:val="clear" w:color="auto" w:fill="auto"/>
        </w:rPr>
        <w:t>对过期应付而未付的商定赔偿款：</w:t>
      </w:r>
      <w:permStart w:id="128" w:edGrp="everyone"/>
      <w:r>
        <w:rPr>
          <w:rFonts w:hint="eastAsia"/>
          <w:color w:val="auto"/>
          <w:szCs w:val="21"/>
          <w:highlight w:val="none"/>
          <w:u w:val="single"/>
          <w:shd w:val="clear" w:color="auto" w:fill="auto"/>
        </w:rPr>
        <w:t xml:space="preserve">            </w:t>
      </w:r>
      <w:r>
        <w:rPr>
          <w:rFonts w:hint="eastAsia" w:ascii="宋体" w:hAnsi="宋体" w:cs="宋体"/>
          <w:color w:val="auto"/>
          <w:kern w:val="0"/>
          <w:szCs w:val="21"/>
          <w:highlight w:val="none"/>
          <w:shd w:val="clear" w:color="auto" w:fill="auto"/>
        </w:rPr>
        <w:t>。</w:t>
      </w:r>
    </w:p>
    <w:permEnd w:id="128"/>
    <w:p w14:paraId="641E10A3">
      <w:pPr>
        <w:spacing w:line="540" w:lineRule="exact"/>
        <w:ind w:firstLine="420" w:firstLineChars="200"/>
        <w:rPr>
          <w:color w:val="auto"/>
          <w:szCs w:val="21"/>
          <w:highlight w:val="none"/>
          <w:shd w:val="clear" w:color="auto" w:fill="auto"/>
          <w:lang w:val="zh-CN"/>
        </w:rPr>
      </w:pPr>
      <w:r>
        <w:rPr>
          <w:rFonts w:hint="eastAsia"/>
          <w:color w:val="auto"/>
          <w:szCs w:val="21"/>
          <w:highlight w:val="none"/>
          <w:shd w:val="clear" w:color="auto" w:fill="auto"/>
        </w:rPr>
        <w:t xml:space="preserve">11.4.3 </w:t>
      </w:r>
      <w:r>
        <w:rPr>
          <w:rFonts w:hint="eastAsia"/>
          <w:color w:val="auto"/>
          <w:szCs w:val="21"/>
          <w:highlight w:val="none"/>
          <w:shd w:val="clear" w:color="auto" w:fill="auto"/>
          <w:lang w:val="zh-CN"/>
        </w:rPr>
        <w:t>赔偿的限额：</w:t>
      </w:r>
      <w:permStart w:id="129" w:edGrp="everyone"/>
      <w:r>
        <w:rPr>
          <w:rFonts w:hint="eastAsia"/>
          <w:color w:val="auto"/>
          <w:szCs w:val="21"/>
          <w:highlight w:val="none"/>
          <w:u w:val="single"/>
          <w:shd w:val="clear" w:color="auto" w:fill="auto"/>
        </w:rPr>
        <w:t xml:space="preserve">            </w:t>
      </w:r>
      <w:r>
        <w:rPr>
          <w:rFonts w:hint="eastAsia"/>
          <w:color w:val="auto"/>
          <w:szCs w:val="21"/>
          <w:highlight w:val="none"/>
          <w:shd w:val="clear" w:color="auto" w:fill="auto"/>
          <w:lang w:val="zh-CN"/>
        </w:rPr>
        <w:t>。</w:t>
      </w:r>
      <w:permEnd w:id="129"/>
    </w:p>
    <w:p w14:paraId="5F04F70F">
      <w:pPr>
        <w:autoSpaceDE w:val="0"/>
        <w:autoSpaceDN w:val="0"/>
        <w:adjustRightInd w:val="0"/>
        <w:spacing w:line="540" w:lineRule="exact"/>
        <w:ind w:firstLine="420" w:firstLineChars="200"/>
        <w:jc w:val="left"/>
        <w:rPr>
          <w:color w:val="auto"/>
          <w:szCs w:val="21"/>
          <w:highlight w:val="none"/>
          <w:shd w:val="clear" w:color="auto" w:fill="auto"/>
        </w:rPr>
      </w:pPr>
      <w:r>
        <w:rPr>
          <w:rFonts w:hint="eastAsia"/>
          <w:color w:val="auto"/>
          <w:szCs w:val="21"/>
          <w:highlight w:val="none"/>
          <w:shd w:val="clear" w:color="auto" w:fill="auto"/>
        </w:rPr>
        <w:t xml:space="preserve">11.4.4 </w:t>
      </w:r>
      <w:r>
        <w:rPr>
          <w:rFonts w:hint="eastAsia" w:ascii="宋体" w:hAnsi="宋体" w:cs="宋体"/>
          <w:color w:val="auto"/>
          <w:kern w:val="0"/>
          <w:szCs w:val="21"/>
          <w:highlight w:val="none"/>
          <w:shd w:val="clear" w:color="auto" w:fill="auto"/>
          <w:lang w:val="zh-CN"/>
        </w:rPr>
        <w:t>除非在</w:t>
      </w:r>
      <w:permStart w:id="130" w:edGrp="everyone"/>
      <w:r>
        <w:rPr>
          <w:rFonts w:hint="eastAsia" w:ascii="宋体" w:hAnsi="宋体" w:cs="宋体"/>
          <w:color w:val="auto"/>
          <w:kern w:val="0"/>
          <w:szCs w:val="21"/>
          <w:highlight w:val="none"/>
          <w:u w:val="single"/>
          <w:shd w:val="clear" w:color="auto" w:fill="auto"/>
        </w:rPr>
        <w:t>由索赔事件发生之日起，至本合同执行完毕</w:t>
      </w:r>
      <w:r>
        <w:rPr>
          <w:rFonts w:ascii="宋体" w:hAnsi="宋体" w:cs="宋体"/>
          <w:color w:val="auto"/>
          <w:kern w:val="0"/>
          <w:szCs w:val="21"/>
          <w:highlight w:val="none"/>
          <w:u w:val="single"/>
          <w:shd w:val="clear" w:color="auto" w:fill="auto"/>
        </w:rPr>
        <w:t>180</w:t>
      </w:r>
      <w:r>
        <w:rPr>
          <w:rFonts w:hint="eastAsia" w:ascii="宋体" w:hAnsi="宋体" w:cs="宋体"/>
          <w:color w:val="auto"/>
          <w:kern w:val="0"/>
          <w:szCs w:val="21"/>
          <w:highlight w:val="none"/>
          <w:u w:val="single"/>
          <w:shd w:val="clear" w:color="auto" w:fill="auto"/>
        </w:rPr>
        <w:t>日之内</w:t>
      </w:r>
      <w:r>
        <w:rPr>
          <w:rFonts w:hint="eastAsia" w:ascii="宋体" w:hAnsi="宋体" w:cs="宋体"/>
          <w:color w:val="auto"/>
          <w:kern w:val="0"/>
          <w:szCs w:val="21"/>
          <w:highlight w:val="none"/>
          <w:shd w:val="clear" w:color="auto" w:fill="auto"/>
          <w:lang w:val="zh-CN"/>
        </w:rPr>
        <w:t>或</w:t>
      </w:r>
      <w:permEnd w:id="130"/>
      <w:r>
        <w:rPr>
          <w:rFonts w:hint="eastAsia" w:ascii="宋体" w:hAnsi="宋体" w:cs="宋体"/>
          <w:color w:val="auto"/>
          <w:kern w:val="0"/>
          <w:szCs w:val="21"/>
          <w:highlight w:val="none"/>
          <w:shd w:val="clear" w:color="auto" w:fill="auto"/>
          <w:lang w:val="zh-CN"/>
        </w:rPr>
        <w:t>法律可能规定的更早日期之前，正式向委托人或监理人提出索赔，否则无论是委托人还是监理人均不应对由任何事件所引起的任何损失或损害负责。</w:t>
      </w:r>
    </w:p>
    <w:p w14:paraId="00A15DDC">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 xml:space="preserve">11.4.5 </w:t>
      </w:r>
      <w:r>
        <w:rPr>
          <w:rFonts w:hint="eastAsia"/>
          <w:color w:val="auto"/>
          <w:szCs w:val="21"/>
          <w:highlight w:val="none"/>
          <w:shd w:val="clear" w:color="auto" w:fill="auto"/>
          <w:lang w:val="zh-CN"/>
        </w:rPr>
        <w:t>监理人发生以下情形时，在工程竣工结算时，最高扣减结算价款</w:t>
      </w:r>
      <w:sdt>
        <w:sdtPr>
          <w:rPr>
            <w:rFonts w:hint="eastAsia" w:asciiTheme="minorHAnsi" w:hAnsiTheme="minorHAnsi" w:eastAsiaTheme="minorEastAsia" w:cstheme="minorBidi"/>
            <w:color w:val="auto"/>
            <w:kern w:val="2"/>
            <w:sz w:val="28"/>
            <w:szCs w:val="36"/>
            <w:highlight w:val="none"/>
            <w:shd w:val="clear" w:color="auto" w:fill="auto"/>
            <w:lang w:val="en-US" w:eastAsia="zh-CN" w:bidi="ar-SA"/>
          </w:rPr>
          <w:alias w:val="违约金不应过分高于或低于实际损失。"/>
          <w:tag w:val="违约金金额"/>
          <w:id w:val="147471471"/>
          <w:placeholder>
            <w:docPart w:val="{f1e7378d-6f73-44ab-95ea-5710ae8abb1a}"/>
          </w:placeholder>
          <w:text w:multiLine="1"/>
        </w:sdtPr>
        <w:sdtEndPr>
          <w:rPr>
            <w:rFonts w:hint="eastAsia" w:asciiTheme="minorHAnsi" w:hAnsiTheme="minorHAnsi" w:eastAsiaTheme="minorEastAsia" w:cstheme="minorBidi"/>
            <w:color w:val="auto"/>
            <w:kern w:val="2"/>
            <w:sz w:val="28"/>
            <w:szCs w:val="36"/>
            <w:highlight w:val="none"/>
            <w:shd w:val="clear" w:color="auto" w:fill="auto"/>
            <w:lang w:val="en-US" w:eastAsia="zh-CN" w:bidi="ar-SA"/>
          </w:rPr>
        </w:sdtEndPr>
        <w:sdtContent>
          <w:permStart w:id="131" w:edGrp="everyone"/>
          <w:r>
            <w:rPr>
              <w:rFonts w:hint="eastAsia" w:ascii="宋体" w:hAnsi="宋体" w:eastAsia="宋体" w:cs="宋体"/>
              <w:color w:val="auto"/>
              <w:kern w:val="2"/>
              <w:sz w:val="21"/>
              <w:szCs w:val="21"/>
              <w:highlight w:val="none"/>
              <w:u w:val="single"/>
              <w:shd w:val="clear" w:color="auto" w:fill="auto"/>
              <w:lang w:val="en-US" w:eastAsia="zh-CN" w:bidi="ar-SA"/>
            </w:rPr>
            <w:t xml:space="preserve"> 5万元</w:t>
          </w:r>
          <w:permEnd w:id="131"/>
        </w:sdtContent>
      </w:sdt>
      <w:r>
        <w:rPr>
          <w:rFonts w:hint="eastAsia"/>
          <w:color w:val="auto"/>
          <w:szCs w:val="21"/>
          <w:highlight w:val="none"/>
          <w:shd w:val="clear" w:color="auto" w:fill="auto"/>
        </w:rPr>
        <w:t>。</w:t>
      </w:r>
    </w:p>
    <w:p w14:paraId="4956A28A">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（1）监理人未能及时、准确、完整地将项目档案移交至委托人并经书面警告的，不能执行工程竣工结算。</w:t>
      </w:r>
    </w:p>
    <w:p w14:paraId="6C3BD379">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（2）已归档项目文件不满足档案归档要求，且不进行整改的。</w:t>
      </w:r>
    </w:p>
    <w:p w14:paraId="154764FC">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（3）工程实施过程中若因监理人过失造成重大安全、质量事故的。</w:t>
      </w:r>
    </w:p>
    <w:p w14:paraId="26327770">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（4）由于监理人原因，未能及时、准确、完整地在企业级资产管理系统中录入、审批数据并经书面警告的。</w:t>
      </w:r>
    </w:p>
    <w:p w14:paraId="2EE01CA2">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11.4.6 其他扣罚情形：以下扣罚属于单独的项目管理行为，与本条款外的合同条款其他处罚可分别进行。以下扣罚累计最多不超过</w:t>
      </w:r>
      <w:permStart w:id="132" w:edGrp="everyone"/>
      <w:r>
        <w:rPr>
          <w:rFonts w:hint="eastAsia"/>
          <w:color w:val="auto"/>
          <w:szCs w:val="21"/>
          <w:highlight w:val="none"/>
          <w:u w:val="single"/>
          <w:shd w:val="clear" w:color="auto" w:fill="auto"/>
        </w:rPr>
        <w:t>合同总额的</w:t>
      </w:r>
      <w:sdt>
        <w:sdtPr>
          <w:rPr>
            <w:rFonts w:hint="eastAsia"/>
            <w:color w:val="auto"/>
            <w:szCs w:val="21"/>
            <w:highlight w:val="none"/>
            <w:u w:val="single"/>
            <w:shd w:val="clear" w:color="auto" w:fill="auto"/>
            <w:lang w:val="en-US" w:eastAsia="zh-CN"/>
          </w:rPr>
          <w:alias w:val="违约金不应过分高于或低于实际损失。"/>
          <w:tag w:val="违约金比例"/>
          <w:id w:val="601498372"/>
          <w:placeholder>
            <w:docPart w:val="{1e423f1b-893a-4f94-80e7-7cac0ddbe03b}"/>
          </w:placeholder>
          <w:text w:multiLine="1"/>
        </w:sdtPr>
        <w:sdtEndPr>
          <w:rPr>
            <w:rFonts w:hint="eastAsia"/>
            <w:color w:val="auto"/>
            <w:szCs w:val="21"/>
            <w:highlight w:val="none"/>
            <w:u w:val="single"/>
            <w:shd w:val="clear" w:color="auto" w:fill="auto"/>
            <w:lang w:val="en-US" w:eastAsia="zh-CN"/>
          </w:rPr>
        </w:sdtEndPr>
        <w:sdtContent>
          <w:r>
            <w:rPr>
              <w:rFonts w:hint="eastAsia"/>
              <w:color w:val="auto"/>
              <w:szCs w:val="21"/>
              <w:highlight w:val="none"/>
              <w:u w:val="single"/>
              <w:shd w:val="clear" w:color="auto" w:fill="auto"/>
              <w:lang w:val="en-US" w:eastAsia="zh-CN"/>
            </w:rPr>
            <w:t>1%</w:t>
          </w:r>
          <w:permEnd w:id="132"/>
        </w:sdtContent>
      </w:sdt>
      <w:r>
        <w:rPr>
          <w:rFonts w:hint="eastAsia"/>
          <w:color w:val="auto"/>
          <w:szCs w:val="21"/>
          <w:highlight w:val="none"/>
          <w:shd w:val="clear" w:color="auto" w:fill="auto"/>
        </w:rPr>
        <w:t>。</w:t>
      </w:r>
    </w:p>
    <w:p w14:paraId="2C609DE8">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（1）监理人根据工程进展实际情况，及时更新信息系统数据，并保证数据质量，如发生监理人不配合完成信息系统填报的情况，每发生一次扣除合同总额的0.2%，最多可考核监理人合同总额的1%。</w:t>
      </w:r>
    </w:p>
    <w:p w14:paraId="76ACFF7F">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（2）监理人根据</w:t>
      </w:r>
      <w:r>
        <w:rPr>
          <w:rFonts w:hint="eastAsia"/>
          <w:color w:val="auto"/>
          <w:szCs w:val="21"/>
          <w:highlight w:val="none"/>
          <w:shd w:val="clear" w:color="auto" w:fill="auto"/>
          <w:lang w:val="en-US" w:eastAsia="zh-CN"/>
        </w:rPr>
        <w:t>中国</w:t>
      </w:r>
      <w:r>
        <w:rPr>
          <w:rFonts w:hint="eastAsia"/>
          <w:color w:val="auto"/>
          <w:szCs w:val="21"/>
          <w:highlight w:val="none"/>
          <w:shd w:val="clear" w:color="auto" w:fill="auto"/>
        </w:rPr>
        <w:t>南方电网</w:t>
      </w:r>
      <w:r>
        <w:rPr>
          <w:rFonts w:hint="eastAsia"/>
          <w:color w:val="auto"/>
          <w:szCs w:val="21"/>
          <w:highlight w:val="none"/>
          <w:shd w:val="clear" w:color="auto" w:fill="auto"/>
          <w:lang w:val="en-US" w:eastAsia="zh-CN"/>
        </w:rPr>
        <w:t>有限责任</w:t>
      </w:r>
      <w:r>
        <w:rPr>
          <w:rFonts w:hint="eastAsia"/>
          <w:color w:val="auto"/>
          <w:szCs w:val="21"/>
          <w:highlight w:val="none"/>
          <w:shd w:val="clear" w:color="auto" w:fill="auto"/>
        </w:rPr>
        <w:t>公司基建管理相关规定，参与编制、督促执行二级进度计划，如因监理人原因发生工程进度失控，每发生一次扣除合同总额的0.2%，最多可考核监理人合同总额的1%。</w:t>
      </w:r>
    </w:p>
    <w:p w14:paraId="5DEFD19F">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3）输变电工程投产后一个月内，业主项目部负责组织工程各参建单位审查工程竣工资料，审查通过后移交建设档案部门。建设单位档案部门在收到资料后15个工作日内提出需要整改的问题，业主项目部负责督促参建单位，在收到整改问题后在15个工作日内整改完毕并移交，未向委托人档案管理部门移交项目档案，档案资料不齐全，根据情节严重程度，最多可考核监理人合同总额的1%。</w:t>
      </w:r>
    </w:p>
    <w:p w14:paraId="6D7E33E9">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（4）确保工程安全、质量管理措施到位，如发生一般及以上事故，根据情节严重程度，最多可扣除合同额的1%。</w:t>
      </w:r>
    </w:p>
    <w:p w14:paraId="68A89F8C">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11.4.7 监理人未履行责任构成违约的，每项违约责任扣减合同总额的</w:t>
      </w:r>
      <w:sdt>
        <w:sdtP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alias w:val="违约金不应过分高于或低于实际损失。"/>
          <w:tag w:val="违约金比例"/>
          <w:id w:val="177611775"/>
          <w:placeholder>
            <w:docPart w:val="{c7ae8a37-64ae-43f6-b203-d14e71b36e72}"/>
          </w:placeholder>
          <w:text w:multiLine="1"/>
        </w:sdtPr>
        <w:sdtEndPr>
          <w:rPr>
            <w:rFonts w:hint="eastAsia" w:asciiTheme="minorHAnsi" w:hAnsiTheme="minorHAnsi" w:eastAsiaTheme="minorEastAsia" w:cstheme="minorBidi"/>
            <w:color w:val="auto"/>
            <w:kern w:val="2"/>
            <w:sz w:val="28"/>
            <w:szCs w:val="21"/>
            <w:highlight w:val="none"/>
            <w:u w:val="single"/>
            <w:shd w:val="clear" w:color="auto" w:fill="auto"/>
            <w:lang w:val="en-US" w:eastAsia="zh-CN" w:bidi="ar-SA"/>
          </w:rPr>
        </w:sdtEndPr>
        <w:sdtContent>
          <w:permStart w:id="133" w:edGrp="everyone"/>
          <w:r>
            <w:rPr>
              <w:rFonts w:hint="eastAsia"/>
              <w:color w:val="auto"/>
              <w:szCs w:val="21"/>
              <w:highlight w:val="none"/>
              <w:u w:val="single"/>
              <w:shd w:val="clear" w:color="auto" w:fill="auto"/>
              <w:lang w:val="en-US" w:eastAsia="zh-CN"/>
            </w:rPr>
            <w:t xml:space="preserve">  %</w:t>
          </w:r>
          <w:permEnd w:id="133"/>
        </w:sdtContent>
      </w:sdt>
      <w:r>
        <w:rPr>
          <w:rFonts w:hint="eastAsia"/>
          <w:color w:val="auto"/>
          <w:szCs w:val="21"/>
          <w:highlight w:val="none"/>
          <w:shd w:val="clear" w:color="auto" w:fill="auto"/>
        </w:rPr>
        <w:t>。</w:t>
      </w:r>
    </w:p>
    <w:p w14:paraId="16E0C4F1">
      <w:pPr>
        <w:spacing w:line="540" w:lineRule="exact"/>
        <w:ind w:firstLine="420" w:firstLineChars="200"/>
        <w:rPr>
          <w:color w:val="auto"/>
          <w:szCs w:val="21"/>
          <w:highlight w:val="none"/>
          <w:shd w:val="clear" w:color="auto" w:fill="auto"/>
        </w:rPr>
      </w:pPr>
      <w:r>
        <w:rPr>
          <w:rFonts w:hint="eastAsia"/>
          <w:color w:val="auto"/>
          <w:szCs w:val="21"/>
          <w:highlight w:val="none"/>
          <w:shd w:val="clear" w:color="auto" w:fill="auto"/>
        </w:rPr>
        <w:t>11.4.8 未按要求及时完成完工工程量审核或审核错误，扣减合同总额</w:t>
      </w:r>
      <w:sdt>
        <w:sdtP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alias w:val="违约金不应过分高于或低于实际损失。"/>
          <w:tag w:val="违约金比例"/>
          <w:id w:val="911811673"/>
          <w:placeholder>
            <w:docPart w:val="{e332e9b4-8f9d-4d3c-8b26-cae0a52c1e42}"/>
          </w:placeholder>
          <w:text w:multiLine="1"/>
        </w:sdtPr>
        <w:sdtEndPr>
          <w:rPr>
            <w:rFonts w:hint="eastAsia" w:asciiTheme="minorHAnsi" w:hAnsiTheme="minorHAnsi" w:eastAsiaTheme="minorEastAsia" w:cstheme="minorBidi"/>
            <w:color w:val="auto"/>
            <w:kern w:val="2"/>
            <w:sz w:val="28"/>
            <w:szCs w:val="21"/>
            <w:highlight w:val="none"/>
            <w:u w:val="single"/>
            <w:shd w:val="clear" w:color="auto" w:fill="auto"/>
            <w:lang w:val="en-US" w:eastAsia="zh-CN" w:bidi="ar-SA"/>
          </w:rPr>
        </w:sdtEndPr>
        <w:sdtContent>
          <w:permStart w:id="134" w:edGrp="everyone"/>
          <w:r>
            <w:rPr>
              <w:rFonts w:hint="eastAsia"/>
              <w:color w:val="auto"/>
              <w:szCs w:val="21"/>
              <w:highlight w:val="none"/>
              <w:u w:val="single"/>
              <w:shd w:val="clear" w:color="auto" w:fill="auto"/>
              <w:lang w:val="en-US" w:eastAsia="zh-CN"/>
            </w:rPr>
            <w:t xml:space="preserve">  %</w:t>
          </w:r>
          <w:permEnd w:id="134"/>
        </w:sdtContent>
      </w:sdt>
      <w:r>
        <w:rPr>
          <w:rFonts w:hint="eastAsia"/>
          <w:color w:val="auto"/>
          <w:szCs w:val="21"/>
          <w:highlight w:val="none"/>
          <w:shd w:val="clear" w:color="auto" w:fill="auto"/>
        </w:rPr>
        <w:t>。</w:t>
      </w:r>
    </w:p>
    <w:p w14:paraId="2D8D8878">
      <w:pPr>
        <w:pStyle w:val="5"/>
        <w:spacing w:line="540" w:lineRule="exact"/>
        <w:rPr>
          <w:rFonts w:hint="eastAsia" w:ascii="Times New Roman" w:hAnsi="Times New Roman"/>
          <w:color w:val="auto"/>
          <w:highlight w:val="none"/>
          <w:shd w:val="clear" w:color="auto" w:fill="auto"/>
        </w:rPr>
      </w:pPr>
      <w:r>
        <w:rPr>
          <w:rFonts w:ascii="Times New Roman" w:hAnsi="Times New Roman"/>
          <w:color w:val="auto"/>
          <w:highlight w:val="none"/>
          <w:shd w:val="clear" w:color="auto" w:fill="auto"/>
        </w:rPr>
        <w:t>1</w:t>
      </w:r>
      <w:r>
        <w:rPr>
          <w:rFonts w:hint="eastAsia" w:ascii="Times New Roman" w:hAnsi="Times New Roman"/>
          <w:color w:val="auto"/>
          <w:highlight w:val="none"/>
          <w:shd w:val="clear" w:color="auto" w:fill="auto"/>
        </w:rPr>
        <w:t>3</w:t>
      </w:r>
      <w:r>
        <w:rPr>
          <w:rFonts w:ascii="Times New Roman" w:hAnsi="Times New Roman"/>
          <w:color w:val="auto"/>
          <w:highlight w:val="none"/>
          <w:shd w:val="clear" w:color="auto" w:fill="auto"/>
        </w:rPr>
        <w:t xml:space="preserve">. </w:t>
      </w:r>
      <w:r>
        <w:rPr>
          <w:rFonts w:hint="eastAsia" w:ascii="Times New Roman" w:hAnsi="Times New Roman"/>
          <w:color w:val="auto"/>
          <w:highlight w:val="none"/>
          <w:shd w:val="clear" w:color="auto" w:fill="auto"/>
        </w:rPr>
        <w:t>其他</w:t>
      </w:r>
    </w:p>
    <w:p w14:paraId="4C14C652">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sdt>
        <w:sdtPr>
          <w:rPr>
            <w:rFonts w:hint="eastAsia" w:ascii="宋体" w:hAnsi="宋体" w:eastAsia="宋体" w:cs="宋体"/>
            <w:color w:val="auto"/>
            <w:kern w:val="2"/>
            <w:sz w:val="28"/>
            <w:szCs w:val="28"/>
            <w:highlight w:val="none"/>
            <w:u w:val="none"/>
            <w:lang w:val="en-US" w:eastAsia="zh-CN" w:bidi="ar-SA"/>
          </w:rPr>
          <w:alias w:val="不填其他的，请划“/”"/>
          <w:id w:val="147472383"/>
          <w:placeholder>
            <w:docPart w:val="{961464eb-f4cb-4125-bb21-b332358d8247}"/>
          </w:placeholder>
          <w:text w:multiLine="1"/>
        </w:sdtPr>
        <w:sdtEndPr>
          <w:rPr>
            <w:rFonts w:hint="eastAsia" w:ascii="宋体" w:hAnsi="宋体" w:eastAsia="宋体" w:cs="宋体"/>
            <w:color w:val="auto"/>
            <w:kern w:val="2"/>
            <w:sz w:val="28"/>
            <w:szCs w:val="28"/>
            <w:highlight w:val="none"/>
            <w:u w:val="single"/>
            <w:lang w:val="en-US" w:eastAsia="zh-CN" w:bidi="ar-SA"/>
          </w:rPr>
        </w:sdtEndPr>
        <w:sdtContent>
          <w:permStart w:id="135" w:edGrp="everyone"/>
          <w:r>
            <w:rPr>
              <w:rFonts w:hint="eastAsia" w:ascii="宋体" w:hAnsi="宋体" w:eastAsia="宋体" w:cs="宋体"/>
              <w:color w:val="auto"/>
              <w:sz w:val="28"/>
              <w:szCs w:val="28"/>
              <w:highlight w:val="none"/>
              <w:u w:val="single"/>
              <w:lang w:val="en-US" w:eastAsia="zh-CN"/>
            </w:rPr>
            <w:t xml:space="preserve">     </w:t>
          </w:r>
          <w:permEnd w:id="135"/>
        </w:sdtContent>
      </w:sdt>
    </w:p>
    <w:p w14:paraId="00027067">
      <w:pPr>
        <w:spacing w:line="540" w:lineRule="exact"/>
        <w:ind w:firstLine="420" w:firstLineChars="200"/>
        <w:rPr>
          <w:color w:val="auto"/>
          <w:highlight w:val="none"/>
          <w:shd w:val="clear" w:color="auto" w:fill="auto"/>
        </w:rPr>
      </w:pPr>
      <w:r>
        <w:rPr>
          <w:color w:val="auto"/>
          <w:highlight w:val="none"/>
          <w:shd w:val="clear" w:color="auto" w:fill="auto"/>
        </w:rPr>
        <w:br w:type="page"/>
      </w:r>
      <w:bookmarkStart w:id="246" w:name="_Toc29298"/>
      <w:bookmarkEnd w:id="246"/>
      <w:bookmarkStart w:id="247" w:name="_Toc296602565"/>
      <w:bookmarkEnd w:id="247"/>
      <w:bookmarkStart w:id="248" w:name="_Toc247085834"/>
      <w:bookmarkEnd w:id="248"/>
      <w:bookmarkStart w:id="249" w:name="_Toc184635117"/>
      <w:bookmarkEnd w:id="249"/>
      <w:bookmarkStart w:id="250" w:name="_Toc246996319"/>
      <w:bookmarkEnd w:id="250"/>
      <w:bookmarkStart w:id="251" w:name="_Toc369531676"/>
      <w:bookmarkEnd w:id="251"/>
      <w:bookmarkStart w:id="252" w:name="_Toc9766"/>
      <w:bookmarkEnd w:id="252"/>
      <w:bookmarkStart w:id="253" w:name="_Toc246997062"/>
      <w:bookmarkEnd w:id="253"/>
      <w:bookmarkStart w:id="254" w:name="_Toc369531675"/>
      <w:bookmarkEnd w:id="254"/>
    </w:p>
    <w:p w14:paraId="6BA47B87">
      <w:pPr>
        <w:pStyle w:val="4"/>
        <w:spacing w:line="540" w:lineRule="exact"/>
        <w:ind w:firstLine="883" w:firstLineChars="200"/>
        <w:jc w:val="center"/>
        <w:rPr>
          <w:rFonts w:ascii="Times New Roman" w:hAnsi="Times New Roman"/>
          <w:color w:val="auto"/>
          <w:highlight w:val="none"/>
          <w:shd w:val="clear" w:color="auto" w:fill="auto"/>
        </w:rPr>
      </w:pPr>
      <w:permStart w:id="136" w:edGrp="everyone"/>
      <w:bookmarkStart w:id="255" w:name="_Toc13114"/>
      <w:r>
        <w:rPr>
          <w:rFonts w:ascii="Times New Roman" w:hAnsi="Times New Roman"/>
          <w:color w:val="auto"/>
          <w:highlight w:val="none"/>
          <w:shd w:val="clear" w:color="auto" w:fill="auto"/>
        </w:rPr>
        <w:t>第</w:t>
      </w:r>
      <w:r>
        <w:rPr>
          <w:rFonts w:hint="eastAsia"/>
          <w:color w:val="auto"/>
          <w:highlight w:val="none"/>
          <w:shd w:val="clear" w:color="auto" w:fill="auto"/>
          <w:lang w:val="en-US" w:eastAsia="zh-CN"/>
        </w:rPr>
        <w:t>四</w:t>
      </w:r>
      <w:r>
        <w:rPr>
          <w:rFonts w:ascii="Times New Roman" w:hAnsi="Times New Roman"/>
          <w:color w:val="auto"/>
          <w:highlight w:val="none"/>
          <w:shd w:val="clear" w:color="auto" w:fill="auto"/>
        </w:rPr>
        <w:t>节</w:t>
      </w:r>
      <w:r>
        <w:rPr>
          <w:rFonts w:hint="eastAsia"/>
          <w:color w:val="auto"/>
          <w:highlight w:val="none"/>
          <w:shd w:val="clear" w:color="auto" w:fill="auto"/>
          <w:lang w:val="en-US" w:eastAsia="zh-CN"/>
        </w:rPr>
        <w:t xml:space="preserve"> </w:t>
      </w:r>
      <w:r>
        <w:rPr>
          <w:rFonts w:ascii="Times New Roman" w:hAnsi="Times New Roman"/>
          <w:color w:val="auto"/>
          <w:highlight w:val="none"/>
          <w:shd w:val="clear" w:color="auto" w:fill="auto"/>
        </w:rPr>
        <w:t>合同附件格式</w:t>
      </w:r>
      <w:bookmarkEnd w:id="255"/>
    </w:p>
    <w:p w14:paraId="3898D797">
      <w:pPr>
        <w:pStyle w:val="5"/>
        <w:spacing w:line="540" w:lineRule="exact"/>
        <w:ind w:firstLine="137"/>
        <w:jc w:val="left"/>
        <w:rPr>
          <w:rFonts w:ascii="Times New Roman"/>
          <w:color w:val="auto"/>
          <w:highlight w:val="none"/>
          <w:shd w:val="clear" w:color="auto" w:fill="auto"/>
        </w:rPr>
      </w:pPr>
      <w:r>
        <w:rPr>
          <w:rFonts w:ascii="Times New Roman"/>
          <w:color w:val="auto"/>
          <w:highlight w:val="none"/>
          <w:shd w:val="clear" w:color="auto" w:fill="auto"/>
        </w:rPr>
        <w:br w:type="page"/>
      </w:r>
      <w:bookmarkStart w:id="256" w:name="_Toc48"/>
      <w:bookmarkStart w:id="257" w:name="_Toc491798523"/>
      <w:r>
        <w:rPr>
          <w:rFonts w:hint="eastAsia" w:ascii="Times New Roman"/>
          <w:color w:val="auto"/>
          <w:highlight w:val="none"/>
          <w:shd w:val="clear" w:color="auto" w:fill="auto"/>
        </w:rPr>
        <w:t>附件</w:t>
      </w:r>
      <w:r>
        <w:rPr>
          <w:rFonts w:hint="eastAsia" w:ascii="Times New Roman"/>
          <w:color w:val="auto"/>
          <w:highlight w:val="none"/>
          <w:shd w:val="clear" w:color="auto" w:fill="auto"/>
          <w:lang w:val="en-US" w:eastAsia="zh-CN"/>
        </w:rPr>
        <w:t>一</w:t>
      </w:r>
      <w:r>
        <w:rPr>
          <w:rFonts w:hint="eastAsia" w:ascii="Times New Roman"/>
          <w:color w:val="auto"/>
          <w:highlight w:val="none"/>
          <w:shd w:val="clear" w:color="auto" w:fill="auto"/>
        </w:rPr>
        <w:t>：</w:t>
      </w:r>
      <w:r>
        <w:rPr>
          <w:rFonts w:hint="eastAsia" w:ascii="宋体" w:hAnsi="宋体" w:cs="仿宋_GB2312"/>
          <w:color w:val="auto"/>
          <w:kern w:val="0"/>
          <w:szCs w:val="21"/>
          <w:highlight w:val="none"/>
          <w:shd w:val="clear" w:color="auto" w:fill="auto"/>
        </w:rPr>
        <w:t>监理服务范围、内容和要求</w:t>
      </w:r>
      <w:bookmarkEnd w:id="256"/>
    </w:p>
    <w:p w14:paraId="5769562E">
      <w:pPr>
        <w:spacing w:line="540" w:lineRule="exact"/>
        <w:jc w:val="center"/>
        <w:rPr>
          <w:rFonts w:eastAsia="黑体"/>
          <w:color w:val="auto"/>
          <w:sz w:val="28"/>
          <w:highlight w:val="none"/>
          <w:shd w:val="clear" w:color="auto" w:fill="auto"/>
        </w:rPr>
      </w:pPr>
      <w:r>
        <w:rPr>
          <w:rFonts w:hint="eastAsia" w:eastAsia="黑体"/>
          <w:color w:val="auto"/>
          <w:sz w:val="28"/>
          <w:highlight w:val="none"/>
          <w:shd w:val="clear" w:color="auto" w:fill="auto"/>
        </w:rPr>
        <w:t>监理服务范围、内容和要求</w:t>
      </w:r>
    </w:p>
    <w:p w14:paraId="61520470">
      <w:pPr>
        <w:autoSpaceDE w:val="0"/>
        <w:autoSpaceDN w:val="0"/>
        <w:adjustRightInd w:val="0"/>
        <w:spacing w:line="540" w:lineRule="exact"/>
        <w:jc w:val="left"/>
        <w:rPr>
          <w:rFonts w:ascii="宋体" w:hAnsi="宋体"/>
          <w:color w:val="auto"/>
          <w:szCs w:val="21"/>
          <w:highlight w:val="none"/>
          <w:shd w:val="clear" w:color="auto" w:fill="auto"/>
        </w:rPr>
      </w:pPr>
    </w:p>
    <w:p w14:paraId="24F119EA">
      <w:pPr>
        <w:spacing w:line="540" w:lineRule="exact"/>
        <w:ind w:firstLine="422" w:firstLineChars="200"/>
        <w:rPr>
          <w:rFonts w:ascii="宋体" w:hAnsi="宋体" w:cs="宋体"/>
          <w:color w:val="auto"/>
          <w:szCs w:val="21"/>
          <w:highlight w:val="none"/>
          <w:u w:val="single"/>
          <w:shd w:val="clear" w:color="auto" w:fill="auto"/>
        </w:rPr>
      </w:pPr>
      <w:r>
        <w:rPr>
          <w:rFonts w:hint="eastAsia" w:ascii="宋体" w:hAnsi="宋体" w:cs="宋体"/>
          <w:b/>
          <w:bCs/>
          <w:color w:val="auto"/>
          <w:szCs w:val="21"/>
          <w:highlight w:val="none"/>
          <w:shd w:val="clear" w:color="auto" w:fill="auto"/>
        </w:rPr>
        <w:t>1 监理服务范围</w:t>
      </w:r>
      <w:r>
        <w:rPr>
          <w:rFonts w:hint="eastAsia" w:ascii="宋体" w:hAnsi="宋体" w:cs="宋体"/>
          <w:color w:val="auto"/>
          <w:szCs w:val="21"/>
          <w:highlight w:val="none"/>
          <w:shd w:val="clear" w:color="auto" w:fill="auto"/>
        </w:rPr>
        <w:t>：</w:t>
      </w:r>
      <w:r>
        <w:rPr>
          <w:rFonts w:hint="eastAsia" w:ascii="宋体" w:hAnsi="宋体" w:cs="宋体"/>
          <w:color w:val="auto"/>
          <w:szCs w:val="21"/>
          <w:highlight w:val="none"/>
          <w:u w:val="single"/>
          <w:shd w:val="clear" w:color="auto" w:fill="auto"/>
        </w:rPr>
        <w:t xml:space="preserve">           </w:t>
      </w:r>
      <w:r>
        <w:rPr>
          <w:rFonts w:hint="eastAsia" w:ascii="宋体" w:hAnsi="宋体" w:cs="宋体"/>
          <w:color w:val="auto"/>
          <w:szCs w:val="21"/>
          <w:highlight w:val="none"/>
          <w:shd w:val="clear" w:color="auto" w:fill="auto"/>
        </w:rPr>
        <w:t>。</w:t>
      </w:r>
    </w:p>
    <w:p w14:paraId="58282362">
      <w:pPr>
        <w:spacing w:line="540" w:lineRule="exact"/>
        <w:ind w:firstLine="422" w:firstLineChars="200"/>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2 监理服务内容和要求</w:t>
      </w:r>
    </w:p>
    <w:p w14:paraId="14ECC9C0">
      <w:pPr>
        <w:spacing w:line="540" w:lineRule="exact"/>
        <w:ind w:firstLine="422" w:firstLineChars="200"/>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2.1 监理工作职责</w:t>
      </w:r>
    </w:p>
    <w:p w14:paraId="46983F55">
      <w:pPr>
        <w:spacing w:line="540" w:lineRule="exact"/>
        <w:ind w:firstLine="420" w:firstLineChars="200"/>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2.1.1职责</w:t>
      </w:r>
    </w:p>
    <w:p w14:paraId="4F00B3FA">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2.1.1.1 委托人（业主项目部）负责对监理项目部进行监督、检查和评价。</w:t>
      </w:r>
    </w:p>
    <w:p w14:paraId="7D5131F8">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2.1.1.2 监理项目部应严格执行本手册，对发现的问题及时通过监理人向委托人和有关单位反馈。</w:t>
      </w:r>
    </w:p>
    <w:p w14:paraId="42F27CC1">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2.1.1.3</w:t>
      </w:r>
      <w:r>
        <w:rPr>
          <w:rFonts w:hint="eastAsia" w:ascii="宋体" w:hAnsi="宋体" w:cs="宋体"/>
          <w:color w:val="auto"/>
          <w:szCs w:val="21"/>
          <w:highlight w:val="none"/>
          <w:shd w:val="clear" w:color="auto" w:fill="auto"/>
        </w:rPr>
        <w:t>监理项目部资源配置</w:t>
      </w:r>
    </w:p>
    <w:p w14:paraId="09BBC02F">
      <w:pPr>
        <w:spacing w:line="540" w:lineRule="exact"/>
        <w:ind w:firstLine="420" w:firstLineChars="200"/>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r>
        <w:rPr>
          <w:rFonts w:hint="eastAsia" w:ascii="宋体" w:hAnsi="宋体" w:cs="宋体"/>
          <w:color w:val="auto"/>
          <w:kern w:val="0"/>
          <w:szCs w:val="21"/>
          <w:highlight w:val="none"/>
          <w:shd w:val="clear" w:color="auto" w:fill="auto"/>
        </w:rPr>
        <w:t>）</w:t>
      </w:r>
      <w:r>
        <w:rPr>
          <w:rFonts w:hint="eastAsia" w:ascii="宋体" w:hAnsi="宋体" w:cs="宋体"/>
          <w:color w:val="auto"/>
          <w:szCs w:val="21"/>
          <w:highlight w:val="none"/>
          <w:shd w:val="clear" w:color="auto" w:fill="auto"/>
        </w:rPr>
        <w:t>监理项目部人员配置</w:t>
      </w:r>
    </w:p>
    <w:p w14:paraId="5D0325DD">
      <w:pPr>
        <w:spacing w:line="540" w:lineRule="exact"/>
        <w:ind w:firstLine="420" w:firstLineChars="200"/>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监理人应在建设工程监理合同订立后，及时将总监理工程师任命书及监理项目部人员组成一览表和相关设施配置一览表书面报送委托人。</w:t>
      </w:r>
    </w:p>
    <w:p w14:paraId="7F745A23">
      <w:pPr>
        <w:spacing w:line="540" w:lineRule="exact"/>
        <w:ind w:firstLine="420" w:firstLineChars="200"/>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监理人需要调整总监理工程师的，应征得委托人同意并书面通知；需要调整专业监理工程师的，总监理工程师应书面通知委托人和施工项目部。监理项目部的人员配置应遵守监理人投标的承诺和满足工程建设的需要。</w:t>
      </w:r>
    </w:p>
    <w:p w14:paraId="389B18F9">
      <w:pPr>
        <w:spacing w:line="540" w:lineRule="exact"/>
        <w:ind w:firstLine="420" w:firstLineChars="200"/>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（1）主网变电站、换流站工程监理人员配置基本要求</w:t>
      </w:r>
    </w:p>
    <w:p w14:paraId="1D53C248">
      <w:pPr>
        <w:spacing w:line="540" w:lineRule="exact"/>
        <w:ind w:firstLine="420" w:firstLineChars="200"/>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主网变电站、换流站工程监理人员配置基本要求见表1。</w:t>
      </w:r>
    </w:p>
    <w:p w14:paraId="4F931941">
      <w:pPr>
        <w:autoSpaceDE w:val="0"/>
        <w:autoSpaceDN w:val="0"/>
        <w:adjustRightInd w:val="0"/>
        <w:spacing w:line="540" w:lineRule="exact"/>
        <w:jc w:val="center"/>
        <w:rPr>
          <w:rFonts w:ascii="宋体" w:hAnsi="宋体" w:cs="宋体"/>
          <w:b/>
          <w:bCs/>
          <w:color w:val="auto"/>
          <w:kern w:val="0"/>
          <w:szCs w:val="21"/>
          <w:highlight w:val="none"/>
          <w:shd w:val="clear" w:color="auto" w:fill="auto"/>
        </w:rPr>
      </w:pPr>
      <w:r>
        <w:rPr>
          <w:rFonts w:hint="eastAsia" w:ascii="宋体" w:hAnsi="宋体" w:cs="宋体"/>
          <w:b/>
          <w:bCs/>
          <w:color w:val="auto"/>
          <w:kern w:val="0"/>
          <w:szCs w:val="21"/>
          <w:highlight w:val="none"/>
          <w:shd w:val="clear" w:color="auto" w:fill="auto"/>
        </w:rPr>
        <w:t>表1 主网变电站、换流站工程监理人员配置基本要求</w:t>
      </w:r>
    </w:p>
    <w:tbl>
      <w:tblPr>
        <w:tblStyle w:val="4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354"/>
        <w:gridCol w:w="1379"/>
        <w:gridCol w:w="700"/>
        <w:gridCol w:w="1596"/>
        <w:gridCol w:w="874"/>
        <w:gridCol w:w="808"/>
        <w:gridCol w:w="817"/>
        <w:gridCol w:w="999"/>
        <w:gridCol w:w="868"/>
        <w:gridCol w:w="706"/>
      </w:tblGrid>
      <w:tr w14:paraId="30AB5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354" w:type="dxa"/>
            <w:vMerge w:val="restart"/>
            <w:noWrap w:val="0"/>
            <w:vAlign w:val="center"/>
          </w:tcPr>
          <w:p w14:paraId="0F441AFA">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序号</w:t>
            </w:r>
          </w:p>
        </w:tc>
        <w:tc>
          <w:tcPr>
            <w:tcW w:w="1379" w:type="dxa"/>
            <w:vMerge w:val="restart"/>
            <w:noWrap w:val="0"/>
            <w:vAlign w:val="center"/>
          </w:tcPr>
          <w:p w14:paraId="2BC27BDD">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监理项目部名称</w:t>
            </w:r>
          </w:p>
        </w:tc>
        <w:tc>
          <w:tcPr>
            <w:tcW w:w="700" w:type="dxa"/>
            <w:vMerge w:val="restart"/>
            <w:noWrap w:val="0"/>
            <w:vAlign w:val="center"/>
          </w:tcPr>
          <w:p w14:paraId="5212C511">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总监理工程师</w:t>
            </w:r>
          </w:p>
        </w:tc>
        <w:tc>
          <w:tcPr>
            <w:tcW w:w="1596" w:type="dxa"/>
            <w:vMerge w:val="restart"/>
            <w:noWrap w:val="0"/>
            <w:vAlign w:val="center"/>
          </w:tcPr>
          <w:p w14:paraId="550CA6C2">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总监理工程师代表或副总监理工程师</w:t>
            </w:r>
          </w:p>
        </w:tc>
        <w:tc>
          <w:tcPr>
            <w:tcW w:w="1682" w:type="dxa"/>
            <w:gridSpan w:val="2"/>
            <w:noWrap w:val="0"/>
            <w:vAlign w:val="center"/>
          </w:tcPr>
          <w:p w14:paraId="0C78ED81">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专业监理工程师</w:t>
            </w:r>
          </w:p>
        </w:tc>
        <w:tc>
          <w:tcPr>
            <w:tcW w:w="817" w:type="dxa"/>
            <w:vMerge w:val="restart"/>
            <w:noWrap w:val="0"/>
            <w:vAlign w:val="center"/>
          </w:tcPr>
          <w:p w14:paraId="7D474200">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安全监理工程师</w:t>
            </w:r>
          </w:p>
        </w:tc>
        <w:tc>
          <w:tcPr>
            <w:tcW w:w="999" w:type="dxa"/>
            <w:vMerge w:val="restart"/>
            <w:noWrap w:val="0"/>
            <w:vAlign w:val="center"/>
          </w:tcPr>
          <w:p w14:paraId="1D0E70FC">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监理员</w:t>
            </w:r>
          </w:p>
        </w:tc>
        <w:tc>
          <w:tcPr>
            <w:tcW w:w="868" w:type="dxa"/>
            <w:vMerge w:val="restart"/>
            <w:noWrap w:val="0"/>
            <w:vAlign w:val="center"/>
          </w:tcPr>
          <w:p w14:paraId="3F46AC5A">
            <w:pPr>
              <w:spacing w:line="540" w:lineRule="exact"/>
              <w:jc w:val="center"/>
              <w:rPr>
                <w:rFonts w:hint="eastAsia" w:ascii="宋体" w:hAnsi="宋体" w:eastAsia="宋体" w:cs="宋体"/>
                <w:b/>
                <w:bCs/>
                <w:color w:val="auto"/>
                <w:szCs w:val="21"/>
                <w:highlight w:val="none"/>
                <w:shd w:val="clear" w:color="auto" w:fill="auto"/>
                <w:lang w:eastAsia="zh-CN"/>
              </w:rPr>
            </w:pPr>
            <w:r>
              <w:rPr>
                <w:rFonts w:hint="eastAsia" w:ascii="宋体" w:hAnsi="宋体" w:cs="宋体"/>
                <w:b/>
                <w:bCs/>
                <w:color w:val="auto"/>
                <w:szCs w:val="21"/>
                <w:highlight w:val="none"/>
                <w:shd w:val="clear" w:color="auto" w:fill="auto"/>
              </w:rPr>
              <w:t>造价</w:t>
            </w:r>
          </w:p>
          <w:p w14:paraId="704109D9">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人员</w:t>
            </w:r>
          </w:p>
        </w:tc>
        <w:tc>
          <w:tcPr>
            <w:tcW w:w="706" w:type="dxa"/>
            <w:vMerge w:val="restart"/>
            <w:noWrap w:val="0"/>
            <w:vAlign w:val="center"/>
          </w:tcPr>
          <w:p w14:paraId="2F96AEF4">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信息管理人员</w:t>
            </w:r>
          </w:p>
        </w:tc>
      </w:tr>
      <w:tr w14:paraId="168466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tblHeader/>
          <w:jc w:val="center"/>
        </w:trPr>
        <w:tc>
          <w:tcPr>
            <w:tcW w:w="354" w:type="dxa"/>
            <w:vMerge w:val="continue"/>
            <w:noWrap w:val="0"/>
            <w:vAlign w:val="center"/>
          </w:tcPr>
          <w:p w14:paraId="528FCD1D">
            <w:pPr>
              <w:spacing w:line="540" w:lineRule="exact"/>
              <w:jc w:val="center"/>
              <w:rPr>
                <w:rFonts w:ascii="宋体" w:hAnsi="宋体" w:cs="宋体"/>
                <w:color w:val="auto"/>
                <w:szCs w:val="21"/>
                <w:highlight w:val="none"/>
                <w:shd w:val="clear" w:color="auto" w:fill="auto"/>
              </w:rPr>
            </w:pPr>
          </w:p>
        </w:tc>
        <w:tc>
          <w:tcPr>
            <w:tcW w:w="1379" w:type="dxa"/>
            <w:vMerge w:val="continue"/>
            <w:noWrap w:val="0"/>
            <w:vAlign w:val="center"/>
          </w:tcPr>
          <w:p w14:paraId="0AEBFA36">
            <w:pPr>
              <w:spacing w:line="540" w:lineRule="exact"/>
              <w:jc w:val="center"/>
              <w:rPr>
                <w:rFonts w:ascii="宋体" w:hAnsi="宋体" w:cs="宋体"/>
                <w:color w:val="auto"/>
                <w:szCs w:val="21"/>
                <w:highlight w:val="none"/>
                <w:shd w:val="clear" w:color="auto" w:fill="auto"/>
              </w:rPr>
            </w:pPr>
          </w:p>
        </w:tc>
        <w:tc>
          <w:tcPr>
            <w:tcW w:w="700" w:type="dxa"/>
            <w:vMerge w:val="continue"/>
            <w:noWrap w:val="0"/>
            <w:vAlign w:val="center"/>
          </w:tcPr>
          <w:p w14:paraId="14ED85E0">
            <w:pPr>
              <w:spacing w:line="540" w:lineRule="exact"/>
              <w:jc w:val="center"/>
              <w:rPr>
                <w:rFonts w:ascii="宋体" w:hAnsi="宋体" w:cs="宋体"/>
                <w:color w:val="auto"/>
                <w:szCs w:val="21"/>
                <w:highlight w:val="none"/>
                <w:shd w:val="clear" w:color="auto" w:fill="auto"/>
              </w:rPr>
            </w:pPr>
          </w:p>
        </w:tc>
        <w:tc>
          <w:tcPr>
            <w:tcW w:w="1596" w:type="dxa"/>
            <w:vMerge w:val="continue"/>
            <w:noWrap w:val="0"/>
            <w:vAlign w:val="center"/>
          </w:tcPr>
          <w:p w14:paraId="1157F154">
            <w:pPr>
              <w:spacing w:line="540" w:lineRule="exact"/>
              <w:jc w:val="center"/>
              <w:rPr>
                <w:rFonts w:ascii="宋体" w:hAnsi="宋体" w:cs="宋体"/>
                <w:color w:val="auto"/>
                <w:szCs w:val="21"/>
                <w:highlight w:val="none"/>
                <w:shd w:val="clear" w:color="auto" w:fill="auto"/>
              </w:rPr>
            </w:pPr>
          </w:p>
        </w:tc>
        <w:tc>
          <w:tcPr>
            <w:tcW w:w="874" w:type="dxa"/>
            <w:noWrap w:val="0"/>
            <w:vAlign w:val="center"/>
          </w:tcPr>
          <w:p w14:paraId="7DB83CCA">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土建</w:t>
            </w:r>
          </w:p>
        </w:tc>
        <w:tc>
          <w:tcPr>
            <w:tcW w:w="808" w:type="dxa"/>
            <w:noWrap w:val="0"/>
            <w:vAlign w:val="center"/>
          </w:tcPr>
          <w:p w14:paraId="6DBFBE56">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电气</w:t>
            </w:r>
          </w:p>
        </w:tc>
        <w:tc>
          <w:tcPr>
            <w:tcW w:w="817" w:type="dxa"/>
            <w:vMerge w:val="continue"/>
            <w:noWrap w:val="0"/>
            <w:vAlign w:val="center"/>
          </w:tcPr>
          <w:p w14:paraId="37452B2B">
            <w:pPr>
              <w:spacing w:line="540" w:lineRule="exact"/>
              <w:jc w:val="center"/>
              <w:rPr>
                <w:rFonts w:ascii="宋体" w:hAnsi="宋体" w:cs="宋体"/>
                <w:color w:val="auto"/>
                <w:szCs w:val="21"/>
                <w:highlight w:val="none"/>
                <w:shd w:val="clear" w:color="auto" w:fill="auto"/>
              </w:rPr>
            </w:pPr>
          </w:p>
        </w:tc>
        <w:tc>
          <w:tcPr>
            <w:tcW w:w="999" w:type="dxa"/>
            <w:vMerge w:val="continue"/>
            <w:noWrap w:val="0"/>
            <w:vAlign w:val="center"/>
          </w:tcPr>
          <w:p w14:paraId="45E61035">
            <w:pPr>
              <w:spacing w:line="540" w:lineRule="exact"/>
              <w:jc w:val="center"/>
              <w:rPr>
                <w:rFonts w:ascii="宋体" w:hAnsi="宋体" w:cs="宋体"/>
                <w:color w:val="auto"/>
                <w:szCs w:val="21"/>
                <w:highlight w:val="none"/>
                <w:shd w:val="clear" w:color="auto" w:fill="auto"/>
              </w:rPr>
            </w:pPr>
          </w:p>
        </w:tc>
        <w:tc>
          <w:tcPr>
            <w:tcW w:w="868" w:type="dxa"/>
            <w:vMerge w:val="continue"/>
            <w:noWrap w:val="0"/>
            <w:vAlign w:val="center"/>
          </w:tcPr>
          <w:p w14:paraId="2035DCAA">
            <w:pPr>
              <w:spacing w:line="540" w:lineRule="exact"/>
              <w:jc w:val="center"/>
              <w:rPr>
                <w:rFonts w:ascii="宋体" w:hAnsi="宋体" w:cs="宋体"/>
                <w:color w:val="auto"/>
                <w:szCs w:val="21"/>
                <w:highlight w:val="none"/>
                <w:shd w:val="clear" w:color="auto" w:fill="auto"/>
              </w:rPr>
            </w:pPr>
          </w:p>
        </w:tc>
        <w:tc>
          <w:tcPr>
            <w:tcW w:w="706" w:type="dxa"/>
            <w:vMerge w:val="continue"/>
            <w:noWrap w:val="0"/>
            <w:vAlign w:val="center"/>
          </w:tcPr>
          <w:p w14:paraId="78F65205">
            <w:pPr>
              <w:spacing w:line="540" w:lineRule="exact"/>
              <w:jc w:val="center"/>
              <w:rPr>
                <w:rFonts w:ascii="宋体" w:hAnsi="宋体" w:cs="宋体"/>
                <w:color w:val="auto"/>
                <w:szCs w:val="21"/>
                <w:highlight w:val="none"/>
                <w:shd w:val="clear" w:color="auto" w:fill="auto"/>
              </w:rPr>
            </w:pPr>
          </w:p>
        </w:tc>
      </w:tr>
      <w:tr w14:paraId="3E9182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54" w:type="dxa"/>
            <w:noWrap w:val="0"/>
            <w:vAlign w:val="center"/>
          </w:tcPr>
          <w:p w14:paraId="14696D00">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1379" w:type="dxa"/>
            <w:noWrap w:val="0"/>
            <w:vAlign w:val="center"/>
          </w:tcPr>
          <w:p w14:paraId="68CCEA2F">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±800kV及以下换流站工程</w:t>
            </w:r>
          </w:p>
        </w:tc>
        <w:tc>
          <w:tcPr>
            <w:tcW w:w="700" w:type="dxa"/>
            <w:noWrap w:val="0"/>
            <w:vAlign w:val="center"/>
          </w:tcPr>
          <w:p w14:paraId="1C0A657A">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1596" w:type="dxa"/>
            <w:noWrap w:val="0"/>
            <w:vAlign w:val="center"/>
          </w:tcPr>
          <w:p w14:paraId="6DCCC3A6">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根据需要配备</w:t>
            </w:r>
          </w:p>
        </w:tc>
        <w:tc>
          <w:tcPr>
            <w:tcW w:w="874" w:type="dxa"/>
            <w:noWrap w:val="0"/>
            <w:vAlign w:val="center"/>
          </w:tcPr>
          <w:p w14:paraId="1557C18F">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3</w:t>
            </w:r>
          </w:p>
        </w:tc>
        <w:tc>
          <w:tcPr>
            <w:tcW w:w="808" w:type="dxa"/>
            <w:noWrap w:val="0"/>
            <w:vAlign w:val="center"/>
          </w:tcPr>
          <w:p w14:paraId="09B36C21">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3</w:t>
            </w:r>
          </w:p>
        </w:tc>
        <w:tc>
          <w:tcPr>
            <w:tcW w:w="817" w:type="dxa"/>
            <w:noWrap w:val="0"/>
            <w:vAlign w:val="center"/>
          </w:tcPr>
          <w:p w14:paraId="6A7E177A">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999" w:type="dxa"/>
            <w:noWrap w:val="0"/>
            <w:vAlign w:val="center"/>
          </w:tcPr>
          <w:p w14:paraId="219A5CC8">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按专业需要配置</w:t>
            </w:r>
          </w:p>
        </w:tc>
        <w:tc>
          <w:tcPr>
            <w:tcW w:w="868" w:type="dxa"/>
            <w:noWrap w:val="0"/>
            <w:vAlign w:val="center"/>
          </w:tcPr>
          <w:p w14:paraId="285BA129">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706" w:type="dxa"/>
            <w:noWrap w:val="0"/>
            <w:vAlign w:val="center"/>
          </w:tcPr>
          <w:p w14:paraId="180D3D1C">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r>
      <w:tr w14:paraId="4651DB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54" w:type="dxa"/>
            <w:noWrap w:val="0"/>
            <w:vAlign w:val="center"/>
          </w:tcPr>
          <w:p w14:paraId="2A8DAF61">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2</w:t>
            </w:r>
          </w:p>
        </w:tc>
        <w:tc>
          <w:tcPr>
            <w:tcW w:w="1379" w:type="dxa"/>
            <w:noWrap w:val="0"/>
            <w:vAlign w:val="center"/>
          </w:tcPr>
          <w:p w14:paraId="65689C6D">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500kV及以上交流变电工程</w:t>
            </w:r>
          </w:p>
        </w:tc>
        <w:tc>
          <w:tcPr>
            <w:tcW w:w="700" w:type="dxa"/>
            <w:noWrap w:val="0"/>
            <w:vAlign w:val="center"/>
          </w:tcPr>
          <w:p w14:paraId="53A6699F">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1596" w:type="dxa"/>
            <w:noWrap w:val="0"/>
            <w:vAlign w:val="center"/>
          </w:tcPr>
          <w:p w14:paraId="696EFD69">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根据需要配备</w:t>
            </w:r>
          </w:p>
        </w:tc>
        <w:tc>
          <w:tcPr>
            <w:tcW w:w="874" w:type="dxa"/>
            <w:noWrap w:val="0"/>
            <w:vAlign w:val="center"/>
          </w:tcPr>
          <w:p w14:paraId="5070F3A8">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2</w:t>
            </w:r>
          </w:p>
        </w:tc>
        <w:tc>
          <w:tcPr>
            <w:tcW w:w="808" w:type="dxa"/>
            <w:noWrap w:val="0"/>
            <w:vAlign w:val="center"/>
          </w:tcPr>
          <w:p w14:paraId="57E7E0BE">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2</w:t>
            </w:r>
          </w:p>
        </w:tc>
        <w:tc>
          <w:tcPr>
            <w:tcW w:w="817" w:type="dxa"/>
            <w:noWrap w:val="0"/>
            <w:vAlign w:val="center"/>
          </w:tcPr>
          <w:p w14:paraId="0E1C682C">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999" w:type="dxa"/>
            <w:noWrap w:val="0"/>
            <w:vAlign w:val="center"/>
          </w:tcPr>
          <w:p w14:paraId="45A14BA0">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按专业需要配置</w:t>
            </w:r>
          </w:p>
        </w:tc>
        <w:tc>
          <w:tcPr>
            <w:tcW w:w="868" w:type="dxa"/>
            <w:noWrap w:val="0"/>
            <w:vAlign w:val="center"/>
          </w:tcPr>
          <w:p w14:paraId="56734F7F">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c>
          <w:tcPr>
            <w:tcW w:w="706" w:type="dxa"/>
            <w:noWrap w:val="0"/>
            <w:vAlign w:val="center"/>
          </w:tcPr>
          <w:p w14:paraId="44595DEF">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r>
      <w:tr w14:paraId="54E4DB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54" w:type="dxa"/>
            <w:noWrap w:val="0"/>
            <w:vAlign w:val="center"/>
          </w:tcPr>
          <w:p w14:paraId="0EB1471A">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3</w:t>
            </w:r>
          </w:p>
        </w:tc>
        <w:tc>
          <w:tcPr>
            <w:tcW w:w="1379" w:type="dxa"/>
            <w:noWrap w:val="0"/>
            <w:vAlign w:val="center"/>
          </w:tcPr>
          <w:p w14:paraId="79EC5AF2">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220kV变电站工程</w:t>
            </w:r>
          </w:p>
        </w:tc>
        <w:tc>
          <w:tcPr>
            <w:tcW w:w="700" w:type="dxa"/>
            <w:noWrap w:val="0"/>
            <w:vAlign w:val="center"/>
          </w:tcPr>
          <w:p w14:paraId="314E4D70">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1596" w:type="dxa"/>
            <w:noWrap w:val="0"/>
            <w:vAlign w:val="center"/>
          </w:tcPr>
          <w:p w14:paraId="31389787">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根据需要配备</w:t>
            </w:r>
          </w:p>
        </w:tc>
        <w:tc>
          <w:tcPr>
            <w:tcW w:w="874" w:type="dxa"/>
            <w:noWrap w:val="0"/>
            <w:vAlign w:val="center"/>
          </w:tcPr>
          <w:p w14:paraId="393636DD">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808" w:type="dxa"/>
            <w:noWrap w:val="0"/>
            <w:vAlign w:val="center"/>
          </w:tcPr>
          <w:p w14:paraId="5E1A93C4">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817" w:type="dxa"/>
            <w:noWrap w:val="0"/>
            <w:vAlign w:val="center"/>
          </w:tcPr>
          <w:p w14:paraId="3A6DDC76">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c>
          <w:tcPr>
            <w:tcW w:w="999" w:type="dxa"/>
            <w:noWrap w:val="0"/>
            <w:vAlign w:val="center"/>
          </w:tcPr>
          <w:p w14:paraId="13356E2E">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按专业需要配置</w:t>
            </w:r>
          </w:p>
        </w:tc>
        <w:tc>
          <w:tcPr>
            <w:tcW w:w="868" w:type="dxa"/>
            <w:noWrap w:val="0"/>
            <w:vAlign w:val="center"/>
          </w:tcPr>
          <w:p w14:paraId="327DC66F">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c>
          <w:tcPr>
            <w:tcW w:w="706" w:type="dxa"/>
            <w:noWrap w:val="0"/>
            <w:vAlign w:val="center"/>
          </w:tcPr>
          <w:p w14:paraId="3926A06E">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r>
      <w:tr w14:paraId="55AD40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54" w:type="dxa"/>
            <w:noWrap w:val="0"/>
            <w:vAlign w:val="center"/>
          </w:tcPr>
          <w:p w14:paraId="20CF78AD">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4</w:t>
            </w:r>
          </w:p>
        </w:tc>
        <w:tc>
          <w:tcPr>
            <w:tcW w:w="1379" w:type="dxa"/>
            <w:noWrap w:val="0"/>
            <w:vAlign w:val="center"/>
          </w:tcPr>
          <w:p w14:paraId="15D58AE0">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110kV变电站工程</w:t>
            </w:r>
          </w:p>
        </w:tc>
        <w:tc>
          <w:tcPr>
            <w:tcW w:w="700" w:type="dxa"/>
            <w:noWrap w:val="0"/>
            <w:vAlign w:val="center"/>
          </w:tcPr>
          <w:p w14:paraId="698B713F">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1596" w:type="dxa"/>
            <w:noWrap w:val="0"/>
            <w:vAlign w:val="center"/>
          </w:tcPr>
          <w:p w14:paraId="08A1F299">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根据需要配备</w:t>
            </w:r>
          </w:p>
        </w:tc>
        <w:tc>
          <w:tcPr>
            <w:tcW w:w="874" w:type="dxa"/>
            <w:noWrap w:val="0"/>
            <w:vAlign w:val="center"/>
          </w:tcPr>
          <w:p w14:paraId="31F28A99">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808" w:type="dxa"/>
            <w:noWrap w:val="0"/>
            <w:vAlign w:val="center"/>
          </w:tcPr>
          <w:p w14:paraId="6903C6E4">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817" w:type="dxa"/>
            <w:noWrap w:val="0"/>
            <w:vAlign w:val="center"/>
          </w:tcPr>
          <w:p w14:paraId="10BF946E">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c>
          <w:tcPr>
            <w:tcW w:w="999" w:type="dxa"/>
            <w:noWrap w:val="0"/>
            <w:vAlign w:val="center"/>
          </w:tcPr>
          <w:p w14:paraId="76C78868">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按专业需要配置</w:t>
            </w:r>
          </w:p>
        </w:tc>
        <w:tc>
          <w:tcPr>
            <w:tcW w:w="868" w:type="dxa"/>
            <w:noWrap w:val="0"/>
            <w:vAlign w:val="center"/>
          </w:tcPr>
          <w:p w14:paraId="4A5A2D22">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c>
          <w:tcPr>
            <w:tcW w:w="706" w:type="dxa"/>
            <w:noWrap w:val="0"/>
            <w:vAlign w:val="center"/>
          </w:tcPr>
          <w:p w14:paraId="22B5078C">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r>
      <w:tr w14:paraId="373A2C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54" w:type="dxa"/>
            <w:noWrap w:val="0"/>
            <w:vAlign w:val="center"/>
          </w:tcPr>
          <w:p w14:paraId="136A1C06">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5</w:t>
            </w:r>
          </w:p>
        </w:tc>
        <w:tc>
          <w:tcPr>
            <w:tcW w:w="1379" w:type="dxa"/>
            <w:noWrap w:val="0"/>
            <w:vAlign w:val="center"/>
          </w:tcPr>
          <w:p w14:paraId="1C9792EC">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35kV变电站工程</w:t>
            </w:r>
          </w:p>
        </w:tc>
        <w:tc>
          <w:tcPr>
            <w:tcW w:w="700" w:type="dxa"/>
            <w:noWrap w:val="0"/>
            <w:vAlign w:val="center"/>
          </w:tcPr>
          <w:p w14:paraId="135D7509">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1596" w:type="dxa"/>
            <w:noWrap w:val="0"/>
            <w:vAlign w:val="center"/>
          </w:tcPr>
          <w:p w14:paraId="634DB263">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根据需要配备</w:t>
            </w:r>
          </w:p>
        </w:tc>
        <w:tc>
          <w:tcPr>
            <w:tcW w:w="874" w:type="dxa"/>
            <w:noWrap w:val="0"/>
            <w:vAlign w:val="center"/>
          </w:tcPr>
          <w:p w14:paraId="4077AC17">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808" w:type="dxa"/>
            <w:noWrap w:val="0"/>
            <w:vAlign w:val="center"/>
          </w:tcPr>
          <w:p w14:paraId="67D51512">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817" w:type="dxa"/>
            <w:noWrap w:val="0"/>
            <w:vAlign w:val="center"/>
          </w:tcPr>
          <w:p w14:paraId="0E48FA93">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c>
          <w:tcPr>
            <w:tcW w:w="999" w:type="dxa"/>
            <w:noWrap w:val="0"/>
            <w:vAlign w:val="center"/>
          </w:tcPr>
          <w:p w14:paraId="1D19C4CD">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按专业需要配置</w:t>
            </w:r>
          </w:p>
        </w:tc>
        <w:tc>
          <w:tcPr>
            <w:tcW w:w="868" w:type="dxa"/>
            <w:noWrap w:val="0"/>
            <w:vAlign w:val="center"/>
          </w:tcPr>
          <w:p w14:paraId="3A449A21">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c>
          <w:tcPr>
            <w:tcW w:w="706" w:type="dxa"/>
            <w:noWrap w:val="0"/>
            <w:vAlign w:val="center"/>
          </w:tcPr>
          <w:p w14:paraId="68DC6EF0">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r>
    </w:tbl>
    <w:p w14:paraId="4BC155F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注1．上表为主网变电站、换流站工程监理人员配置基本要求，改扩建工程监理人员配置参照执行。</w:t>
      </w:r>
    </w:p>
    <w:p w14:paraId="30F548F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2．当总监理工程师需同时兼任多个监理项目部总监工作时，应征得委托人同意。</w:t>
      </w:r>
    </w:p>
    <w:p w14:paraId="0031867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3．监理人应根据工程进展情况和工程施工强度及时派驻人员进场。在施工高峰期或针对特殊工程项目应适当增加监理人员数量。</w:t>
      </w:r>
    </w:p>
    <w:p w14:paraId="7945E63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（2）主网线路工程监理人员配置基本要求</w:t>
      </w:r>
    </w:p>
    <w:p w14:paraId="6566248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主网线路工程监理人员配置基本要求见表2。</w:t>
      </w:r>
    </w:p>
    <w:p w14:paraId="37C12279">
      <w:pPr>
        <w:autoSpaceDE w:val="0"/>
        <w:autoSpaceDN w:val="0"/>
        <w:adjustRightInd w:val="0"/>
        <w:spacing w:line="540" w:lineRule="exact"/>
        <w:jc w:val="center"/>
        <w:rPr>
          <w:rFonts w:ascii="宋体" w:hAnsi="宋体" w:cs="宋体"/>
          <w:b/>
          <w:bCs/>
          <w:color w:val="auto"/>
          <w:kern w:val="0"/>
          <w:szCs w:val="21"/>
          <w:highlight w:val="none"/>
          <w:shd w:val="clear" w:color="auto" w:fill="auto"/>
        </w:rPr>
      </w:pPr>
      <w:r>
        <w:rPr>
          <w:rFonts w:hint="eastAsia" w:ascii="宋体" w:hAnsi="宋体" w:cs="宋体"/>
          <w:b/>
          <w:bCs/>
          <w:color w:val="auto"/>
          <w:kern w:val="0"/>
          <w:szCs w:val="21"/>
          <w:highlight w:val="none"/>
          <w:shd w:val="clear" w:color="auto" w:fill="auto"/>
        </w:rPr>
        <w:t>表2 主网线路工程监理人员配置基本要求</w:t>
      </w:r>
    </w:p>
    <w:tbl>
      <w:tblPr>
        <w:tblStyle w:val="4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1870"/>
        <w:gridCol w:w="887"/>
        <w:gridCol w:w="1595"/>
        <w:gridCol w:w="863"/>
        <w:gridCol w:w="754"/>
        <w:gridCol w:w="1520"/>
        <w:gridCol w:w="497"/>
        <w:gridCol w:w="691"/>
      </w:tblGrid>
      <w:tr w14:paraId="4D9081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517" w:type="dxa"/>
            <w:noWrap w:val="0"/>
            <w:vAlign w:val="center"/>
          </w:tcPr>
          <w:p w14:paraId="6C876744">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序号</w:t>
            </w:r>
          </w:p>
        </w:tc>
        <w:tc>
          <w:tcPr>
            <w:tcW w:w="1870" w:type="dxa"/>
            <w:noWrap w:val="0"/>
            <w:vAlign w:val="center"/>
          </w:tcPr>
          <w:p w14:paraId="222585D2">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监理项目部名称</w:t>
            </w:r>
          </w:p>
        </w:tc>
        <w:tc>
          <w:tcPr>
            <w:tcW w:w="887" w:type="dxa"/>
            <w:noWrap w:val="0"/>
            <w:vAlign w:val="center"/>
          </w:tcPr>
          <w:p w14:paraId="58C9990D">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总监理工程师</w:t>
            </w:r>
          </w:p>
        </w:tc>
        <w:tc>
          <w:tcPr>
            <w:tcW w:w="1595" w:type="dxa"/>
            <w:noWrap w:val="0"/>
            <w:vAlign w:val="center"/>
          </w:tcPr>
          <w:p w14:paraId="5858C495">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总监理工程师代表或副总监理工程师</w:t>
            </w:r>
          </w:p>
        </w:tc>
        <w:tc>
          <w:tcPr>
            <w:tcW w:w="863" w:type="dxa"/>
            <w:noWrap w:val="0"/>
            <w:tcMar>
              <w:top w:w="57" w:type="dxa"/>
              <w:left w:w="0" w:type="dxa"/>
              <w:bottom w:w="57" w:type="dxa"/>
              <w:right w:w="0" w:type="dxa"/>
            </w:tcMar>
            <w:vAlign w:val="center"/>
          </w:tcPr>
          <w:p w14:paraId="02BB745F">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专业监理工程师</w:t>
            </w:r>
          </w:p>
        </w:tc>
        <w:tc>
          <w:tcPr>
            <w:tcW w:w="754" w:type="dxa"/>
            <w:noWrap w:val="0"/>
            <w:tcMar>
              <w:top w:w="57" w:type="dxa"/>
              <w:left w:w="0" w:type="dxa"/>
              <w:bottom w:w="57" w:type="dxa"/>
              <w:right w:w="0" w:type="dxa"/>
            </w:tcMar>
            <w:vAlign w:val="center"/>
          </w:tcPr>
          <w:p w14:paraId="4F1B0BD2">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安全监理</w:t>
            </w:r>
          </w:p>
          <w:p w14:paraId="2D6710C4">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工程师</w:t>
            </w:r>
          </w:p>
        </w:tc>
        <w:tc>
          <w:tcPr>
            <w:tcW w:w="1520" w:type="dxa"/>
            <w:noWrap w:val="0"/>
            <w:tcMar>
              <w:top w:w="57" w:type="dxa"/>
              <w:left w:w="0" w:type="dxa"/>
              <w:bottom w:w="57" w:type="dxa"/>
              <w:right w:w="0" w:type="dxa"/>
            </w:tcMar>
            <w:vAlign w:val="center"/>
          </w:tcPr>
          <w:p w14:paraId="6C6994B8">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监理员</w:t>
            </w:r>
          </w:p>
        </w:tc>
        <w:tc>
          <w:tcPr>
            <w:tcW w:w="497" w:type="dxa"/>
            <w:noWrap w:val="0"/>
            <w:tcMar>
              <w:top w:w="57" w:type="dxa"/>
              <w:left w:w="0" w:type="dxa"/>
              <w:bottom w:w="57" w:type="dxa"/>
              <w:right w:w="0" w:type="dxa"/>
            </w:tcMar>
            <w:vAlign w:val="center"/>
          </w:tcPr>
          <w:p w14:paraId="1ABAFD7C">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造价人员</w:t>
            </w:r>
          </w:p>
        </w:tc>
        <w:tc>
          <w:tcPr>
            <w:tcW w:w="691" w:type="dxa"/>
            <w:noWrap w:val="0"/>
            <w:tcMar>
              <w:top w:w="57" w:type="dxa"/>
              <w:left w:w="0" w:type="dxa"/>
              <w:bottom w:w="57" w:type="dxa"/>
              <w:right w:w="0" w:type="dxa"/>
            </w:tcMar>
            <w:vAlign w:val="center"/>
          </w:tcPr>
          <w:p w14:paraId="07E56D18">
            <w:pPr>
              <w:spacing w:line="540" w:lineRule="exact"/>
              <w:jc w:val="center"/>
              <w:rPr>
                <w:rFonts w:ascii="宋体" w:hAnsi="宋体" w:cs="宋体"/>
                <w:b/>
                <w:bCs/>
                <w:color w:val="auto"/>
                <w:szCs w:val="21"/>
                <w:highlight w:val="none"/>
                <w:shd w:val="clear" w:color="auto" w:fill="auto"/>
              </w:rPr>
            </w:pPr>
            <w:r>
              <w:rPr>
                <w:rFonts w:hint="eastAsia" w:ascii="宋体" w:hAnsi="宋体" w:cs="宋体"/>
                <w:b/>
                <w:bCs/>
                <w:color w:val="auto"/>
                <w:szCs w:val="21"/>
                <w:highlight w:val="none"/>
                <w:shd w:val="clear" w:color="auto" w:fill="auto"/>
              </w:rPr>
              <w:t>信息管理人员</w:t>
            </w:r>
          </w:p>
        </w:tc>
      </w:tr>
      <w:tr w14:paraId="0A7AC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17" w:type="dxa"/>
            <w:noWrap w:val="0"/>
            <w:vAlign w:val="center"/>
          </w:tcPr>
          <w:p w14:paraId="3347B3AA">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1870" w:type="dxa"/>
            <w:noWrap w:val="0"/>
            <w:vAlign w:val="center"/>
          </w:tcPr>
          <w:p w14:paraId="0AA5216F">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±800kV及以下直流输电线路工程</w:t>
            </w:r>
          </w:p>
        </w:tc>
        <w:tc>
          <w:tcPr>
            <w:tcW w:w="887" w:type="dxa"/>
            <w:noWrap w:val="0"/>
            <w:vAlign w:val="center"/>
          </w:tcPr>
          <w:p w14:paraId="5C7B9A79">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1595" w:type="dxa"/>
            <w:noWrap w:val="0"/>
            <w:vAlign w:val="center"/>
          </w:tcPr>
          <w:p w14:paraId="39B81228">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根据需要配备</w:t>
            </w:r>
          </w:p>
        </w:tc>
        <w:tc>
          <w:tcPr>
            <w:tcW w:w="863" w:type="dxa"/>
            <w:noWrap w:val="0"/>
            <w:tcMar>
              <w:top w:w="57" w:type="dxa"/>
              <w:left w:w="0" w:type="dxa"/>
              <w:bottom w:w="57" w:type="dxa"/>
              <w:right w:w="0" w:type="dxa"/>
            </w:tcMar>
            <w:vAlign w:val="center"/>
          </w:tcPr>
          <w:p w14:paraId="20A4CFF4">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每30km配1名</w:t>
            </w:r>
          </w:p>
        </w:tc>
        <w:tc>
          <w:tcPr>
            <w:tcW w:w="754" w:type="dxa"/>
            <w:noWrap w:val="0"/>
            <w:tcMar>
              <w:top w:w="57" w:type="dxa"/>
              <w:left w:w="0" w:type="dxa"/>
              <w:bottom w:w="57" w:type="dxa"/>
              <w:right w:w="0" w:type="dxa"/>
            </w:tcMar>
            <w:vAlign w:val="center"/>
          </w:tcPr>
          <w:p w14:paraId="73341E2A">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1520" w:type="dxa"/>
            <w:noWrap w:val="0"/>
            <w:tcMar>
              <w:top w:w="57" w:type="dxa"/>
              <w:left w:w="0" w:type="dxa"/>
              <w:bottom w:w="57" w:type="dxa"/>
              <w:right w:w="0" w:type="dxa"/>
            </w:tcMar>
            <w:vAlign w:val="center"/>
          </w:tcPr>
          <w:p w14:paraId="4C6B295B">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原则上每10km配备1名监理员</w:t>
            </w:r>
          </w:p>
        </w:tc>
        <w:tc>
          <w:tcPr>
            <w:tcW w:w="497" w:type="dxa"/>
            <w:noWrap w:val="0"/>
            <w:tcMar>
              <w:top w:w="57" w:type="dxa"/>
              <w:left w:w="0" w:type="dxa"/>
              <w:bottom w:w="57" w:type="dxa"/>
              <w:right w:w="0" w:type="dxa"/>
            </w:tcMar>
            <w:vAlign w:val="center"/>
          </w:tcPr>
          <w:p w14:paraId="50989FB2">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c>
          <w:tcPr>
            <w:tcW w:w="691" w:type="dxa"/>
            <w:noWrap w:val="0"/>
            <w:tcMar>
              <w:top w:w="57" w:type="dxa"/>
              <w:left w:w="0" w:type="dxa"/>
              <w:bottom w:w="57" w:type="dxa"/>
              <w:right w:w="0" w:type="dxa"/>
            </w:tcMar>
            <w:vAlign w:val="center"/>
          </w:tcPr>
          <w:p w14:paraId="301AD803">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r>
      <w:tr w14:paraId="4B7C22C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17" w:type="dxa"/>
            <w:noWrap w:val="0"/>
            <w:vAlign w:val="center"/>
          </w:tcPr>
          <w:p w14:paraId="5983DB59">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2</w:t>
            </w:r>
          </w:p>
        </w:tc>
        <w:tc>
          <w:tcPr>
            <w:tcW w:w="1870" w:type="dxa"/>
            <w:noWrap w:val="0"/>
            <w:vAlign w:val="center"/>
          </w:tcPr>
          <w:p w14:paraId="0AD95ED1">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500kV及以上交流输电线路工程</w:t>
            </w:r>
          </w:p>
        </w:tc>
        <w:tc>
          <w:tcPr>
            <w:tcW w:w="887" w:type="dxa"/>
            <w:noWrap w:val="0"/>
            <w:vAlign w:val="center"/>
          </w:tcPr>
          <w:p w14:paraId="29F19D28">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1595" w:type="dxa"/>
            <w:noWrap w:val="0"/>
            <w:vAlign w:val="center"/>
          </w:tcPr>
          <w:p w14:paraId="35CB6638">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根据需要配备</w:t>
            </w:r>
          </w:p>
        </w:tc>
        <w:tc>
          <w:tcPr>
            <w:tcW w:w="863" w:type="dxa"/>
            <w:noWrap w:val="0"/>
            <w:tcMar>
              <w:top w:w="57" w:type="dxa"/>
              <w:left w:w="0" w:type="dxa"/>
              <w:bottom w:w="57" w:type="dxa"/>
              <w:right w:w="0" w:type="dxa"/>
            </w:tcMar>
            <w:vAlign w:val="center"/>
          </w:tcPr>
          <w:p w14:paraId="3FC59C84">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每30km配1名</w:t>
            </w:r>
          </w:p>
        </w:tc>
        <w:tc>
          <w:tcPr>
            <w:tcW w:w="754" w:type="dxa"/>
            <w:noWrap w:val="0"/>
            <w:tcMar>
              <w:top w:w="57" w:type="dxa"/>
              <w:left w:w="0" w:type="dxa"/>
              <w:bottom w:w="57" w:type="dxa"/>
              <w:right w:w="0" w:type="dxa"/>
            </w:tcMar>
            <w:vAlign w:val="center"/>
          </w:tcPr>
          <w:p w14:paraId="47B8B73C">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1520" w:type="dxa"/>
            <w:noWrap w:val="0"/>
            <w:tcMar>
              <w:top w:w="57" w:type="dxa"/>
              <w:left w:w="0" w:type="dxa"/>
              <w:bottom w:w="57" w:type="dxa"/>
              <w:right w:w="0" w:type="dxa"/>
            </w:tcMar>
            <w:vAlign w:val="center"/>
          </w:tcPr>
          <w:p w14:paraId="617ACDA4">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原则上每10km配备1名监理员</w:t>
            </w:r>
          </w:p>
        </w:tc>
        <w:tc>
          <w:tcPr>
            <w:tcW w:w="497" w:type="dxa"/>
            <w:noWrap w:val="0"/>
            <w:tcMar>
              <w:top w:w="57" w:type="dxa"/>
              <w:left w:w="0" w:type="dxa"/>
              <w:bottom w:w="57" w:type="dxa"/>
              <w:right w:w="0" w:type="dxa"/>
            </w:tcMar>
            <w:vAlign w:val="center"/>
          </w:tcPr>
          <w:p w14:paraId="7C7F403C">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c>
          <w:tcPr>
            <w:tcW w:w="691" w:type="dxa"/>
            <w:noWrap w:val="0"/>
            <w:tcMar>
              <w:top w:w="57" w:type="dxa"/>
              <w:left w:w="0" w:type="dxa"/>
              <w:bottom w:w="57" w:type="dxa"/>
              <w:right w:w="0" w:type="dxa"/>
            </w:tcMar>
            <w:vAlign w:val="center"/>
          </w:tcPr>
          <w:p w14:paraId="58A908FB">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r>
      <w:tr w14:paraId="3A211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17" w:type="dxa"/>
            <w:noWrap w:val="0"/>
            <w:vAlign w:val="center"/>
          </w:tcPr>
          <w:p w14:paraId="429DA1EF">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3</w:t>
            </w:r>
          </w:p>
        </w:tc>
        <w:tc>
          <w:tcPr>
            <w:tcW w:w="1870" w:type="dxa"/>
            <w:noWrap w:val="0"/>
            <w:vAlign w:val="center"/>
          </w:tcPr>
          <w:p w14:paraId="07D6153A">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220kV输电线路工程</w:t>
            </w:r>
          </w:p>
        </w:tc>
        <w:tc>
          <w:tcPr>
            <w:tcW w:w="887" w:type="dxa"/>
            <w:noWrap w:val="0"/>
            <w:vAlign w:val="center"/>
          </w:tcPr>
          <w:p w14:paraId="205C0B3F">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1595" w:type="dxa"/>
            <w:noWrap w:val="0"/>
            <w:vAlign w:val="center"/>
          </w:tcPr>
          <w:p w14:paraId="59533BC7">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根据需要配备</w:t>
            </w:r>
          </w:p>
        </w:tc>
        <w:tc>
          <w:tcPr>
            <w:tcW w:w="863" w:type="dxa"/>
            <w:noWrap w:val="0"/>
            <w:tcMar>
              <w:top w:w="57" w:type="dxa"/>
              <w:left w:w="0" w:type="dxa"/>
              <w:bottom w:w="57" w:type="dxa"/>
              <w:right w:w="0" w:type="dxa"/>
            </w:tcMar>
            <w:vAlign w:val="center"/>
          </w:tcPr>
          <w:p w14:paraId="4465B9CE">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每30km配1名</w:t>
            </w:r>
          </w:p>
        </w:tc>
        <w:tc>
          <w:tcPr>
            <w:tcW w:w="754" w:type="dxa"/>
            <w:noWrap w:val="0"/>
            <w:tcMar>
              <w:top w:w="57" w:type="dxa"/>
              <w:left w:w="0" w:type="dxa"/>
              <w:bottom w:w="57" w:type="dxa"/>
              <w:right w:w="0" w:type="dxa"/>
            </w:tcMar>
            <w:vAlign w:val="center"/>
          </w:tcPr>
          <w:p w14:paraId="31D47495">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c>
          <w:tcPr>
            <w:tcW w:w="1520" w:type="dxa"/>
            <w:noWrap w:val="0"/>
            <w:tcMar>
              <w:top w:w="57" w:type="dxa"/>
              <w:left w:w="0" w:type="dxa"/>
              <w:bottom w:w="57" w:type="dxa"/>
              <w:right w:w="0" w:type="dxa"/>
            </w:tcMar>
            <w:vAlign w:val="center"/>
          </w:tcPr>
          <w:p w14:paraId="75BF1D46">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原则上每15km配备1名监理员</w:t>
            </w:r>
          </w:p>
        </w:tc>
        <w:tc>
          <w:tcPr>
            <w:tcW w:w="497" w:type="dxa"/>
            <w:noWrap w:val="0"/>
            <w:tcMar>
              <w:top w:w="57" w:type="dxa"/>
              <w:left w:w="0" w:type="dxa"/>
              <w:bottom w:w="57" w:type="dxa"/>
              <w:right w:w="0" w:type="dxa"/>
            </w:tcMar>
            <w:vAlign w:val="center"/>
          </w:tcPr>
          <w:p w14:paraId="4066BBA1">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c>
          <w:tcPr>
            <w:tcW w:w="691" w:type="dxa"/>
            <w:noWrap w:val="0"/>
            <w:tcMar>
              <w:top w:w="57" w:type="dxa"/>
              <w:left w:w="0" w:type="dxa"/>
              <w:bottom w:w="57" w:type="dxa"/>
              <w:right w:w="0" w:type="dxa"/>
            </w:tcMar>
            <w:vAlign w:val="center"/>
          </w:tcPr>
          <w:p w14:paraId="233A84C8">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r>
      <w:tr w14:paraId="089415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17" w:type="dxa"/>
            <w:noWrap w:val="0"/>
            <w:vAlign w:val="center"/>
          </w:tcPr>
          <w:p w14:paraId="62925313">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4</w:t>
            </w:r>
          </w:p>
        </w:tc>
        <w:tc>
          <w:tcPr>
            <w:tcW w:w="1870" w:type="dxa"/>
            <w:noWrap w:val="0"/>
            <w:vAlign w:val="center"/>
          </w:tcPr>
          <w:p w14:paraId="04D368FD">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110kV输电线路工程</w:t>
            </w:r>
          </w:p>
        </w:tc>
        <w:tc>
          <w:tcPr>
            <w:tcW w:w="887" w:type="dxa"/>
            <w:noWrap w:val="0"/>
            <w:vAlign w:val="center"/>
          </w:tcPr>
          <w:p w14:paraId="5843F7F8">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1595" w:type="dxa"/>
            <w:noWrap w:val="0"/>
            <w:vAlign w:val="center"/>
          </w:tcPr>
          <w:p w14:paraId="3CDAA8F8">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根据需要配备</w:t>
            </w:r>
          </w:p>
        </w:tc>
        <w:tc>
          <w:tcPr>
            <w:tcW w:w="863" w:type="dxa"/>
            <w:noWrap w:val="0"/>
            <w:tcMar>
              <w:top w:w="57" w:type="dxa"/>
              <w:left w:w="0" w:type="dxa"/>
              <w:bottom w:w="57" w:type="dxa"/>
              <w:right w:w="0" w:type="dxa"/>
            </w:tcMar>
            <w:vAlign w:val="center"/>
          </w:tcPr>
          <w:p w14:paraId="3B536D8F">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每30km配1名</w:t>
            </w:r>
          </w:p>
        </w:tc>
        <w:tc>
          <w:tcPr>
            <w:tcW w:w="754" w:type="dxa"/>
            <w:noWrap w:val="0"/>
            <w:tcMar>
              <w:top w:w="57" w:type="dxa"/>
              <w:left w:w="0" w:type="dxa"/>
              <w:bottom w:w="57" w:type="dxa"/>
              <w:right w:w="0" w:type="dxa"/>
            </w:tcMar>
            <w:vAlign w:val="center"/>
          </w:tcPr>
          <w:p w14:paraId="68E640D6">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c>
          <w:tcPr>
            <w:tcW w:w="1520" w:type="dxa"/>
            <w:noWrap w:val="0"/>
            <w:tcMar>
              <w:top w:w="57" w:type="dxa"/>
              <w:left w:w="0" w:type="dxa"/>
              <w:bottom w:w="57" w:type="dxa"/>
              <w:right w:w="0" w:type="dxa"/>
            </w:tcMar>
            <w:vAlign w:val="center"/>
          </w:tcPr>
          <w:p w14:paraId="6E421F2B">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根据需要配备</w:t>
            </w:r>
          </w:p>
        </w:tc>
        <w:tc>
          <w:tcPr>
            <w:tcW w:w="497" w:type="dxa"/>
            <w:noWrap w:val="0"/>
            <w:tcMar>
              <w:top w:w="57" w:type="dxa"/>
              <w:left w:w="0" w:type="dxa"/>
              <w:bottom w:w="57" w:type="dxa"/>
              <w:right w:w="0" w:type="dxa"/>
            </w:tcMar>
            <w:vAlign w:val="center"/>
          </w:tcPr>
          <w:p w14:paraId="44AAA6CB">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c>
          <w:tcPr>
            <w:tcW w:w="691" w:type="dxa"/>
            <w:noWrap w:val="0"/>
            <w:tcMar>
              <w:top w:w="57" w:type="dxa"/>
              <w:left w:w="0" w:type="dxa"/>
              <w:bottom w:w="57" w:type="dxa"/>
              <w:right w:w="0" w:type="dxa"/>
            </w:tcMar>
            <w:vAlign w:val="center"/>
          </w:tcPr>
          <w:p w14:paraId="527CD738">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r>
      <w:tr w14:paraId="3607C2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17" w:type="dxa"/>
            <w:noWrap w:val="0"/>
            <w:vAlign w:val="center"/>
          </w:tcPr>
          <w:p w14:paraId="27135C1B">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5</w:t>
            </w:r>
          </w:p>
        </w:tc>
        <w:tc>
          <w:tcPr>
            <w:tcW w:w="1870" w:type="dxa"/>
            <w:noWrap w:val="0"/>
            <w:vAlign w:val="center"/>
          </w:tcPr>
          <w:p w14:paraId="0AFC7BAA">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35kV输电线路工程</w:t>
            </w:r>
          </w:p>
        </w:tc>
        <w:tc>
          <w:tcPr>
            <w:tcW w:w="887" w:type="dxa"/>
            <w:noWrap w:val="0"/>
            <w:vAlign w:val="center"/>
          </w:tcPr>
          <w:p w14:paraId="29DCC507">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1</w:t>
            </w:r>
          </w:p>
        </w:tc>
        <w:tc>
          <w:tcPr>
            <w:tcW w:w="1595" w:type="dxa"/>
            <w:noWrap w:val="0"/>
            <w:vAlign w:val="center"/>
          </w:tcPr>
          <w:p w14:paraId="0C7C9F4F">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根据需要配备</w:t>
            </w:r>
          </w:p>
        </w:tc>
        <w:tc>
          <w:tcPr>
            <w:tcW w:w="863" w:type="dxa"/>
            <w:noWrap w:val="0"/>
            <w:tcMar>
              <w:top w:w="57" w:type="dxa"/>
              <w:left w:w="0" w:type="dxa"/>
              <w:bottom w:w="57" w:type="dxa"/>
              <w:right w:w="0" w:type="dxa"/>
            </w:tcMar>
            <w:vAlign w:val="center"/>
          </w:tcPr>
          <w:p w14:paraId="1904BAC8">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每30km配1名</w:t>
            </w:r>
          </w:p>
        </w:tc>
        <w:tc>
          <w:tcPr>
            <w:tcW w:w="754" w:type="dxa"/>
            <w:noWrap w:val="0"/>
            <w:tcMar>
              <w:top w:w="57" w:type="dxa"/>
              <w:left w:w="0" w:type="dxa"/>
              <w:bottom w:w="57" w:type="dxa"/>
              <w:right w:w="0" w:type="dxa"/>
            </w:tcMar>
            <w:vAlign w:val="center"/>
          </w:tcPr>
          <w:p w14:paraId="11FD9260">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c>
          <w:tcPr>
            <w:tcW w:w="1520" w:type="dxa"/>
            <w:noWrap w:val="0"/>
            <w:tcMar>
              <w:top w:w="57" w:type="dxa"/>
              <w:left w:w="0" w:type="dxa"/>
              <w:bottom w:w="57" w:type="dxa"/>
              <w:right w:w="0" w:type="dxa"/>
            </w:tcMar>
            <w:vAlign w:val="center"/>
          </w:tcPr>
          <w:p w14:paraId="76CDC9AD">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根据需要配备</w:t>
            </w:r>
          </w:p>
        </w:tc>
        <w:tc>
          <w:tcPr>
            <w:tcW w:w="497" w:type="dxa"/>
            <w:noWrap w:val="0"/>
            <w:tcMar>
              <w:top w:w="57" w:type="dxa"/>
              <w:left w:w="0" w:type="dxa"/>
              <w:bottom w:w="57" w:type="dxa"/>
              <w:right w:w="0" w:type="dxa"/>
            </w:tcMar>
            <w:vAlign w:val="center"/>
          </w:tcPr>
          <w:p w14:paraId="2EE7AA6B">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c>
          <w:tcPr>
            <w:tcW w:w="691" w:type="dxa"/>
            <w:noWrap w:val="0"/>
            <w:tcMar>
              <w:top w:w="57" w:type="dxa"/>
              <w:left w:w="0" w:type="dxa"/>
              <w:bottom w:w="57" w:type="dxa"/>
              <w:right w:w="0" w:type="dxa"/>
            </w:tcMar>
            <w:vAlign w:val="center"/>
          </w:tcPr>
          <w:p w14:paraId="72C2C5AE">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兼1</w:t>
            </w:r>
          </w:p>
        </w:tc>
      </w:tr>
    </w:tbl>
    <w:p w14:paraId="3A298D6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注1．上表为主网线路工程监理人员配置基本要求，改线、加固工程监理人员配置参照执行。</w:t>
      </w:r>
    </w:p>
    <w:p w14:paraId="6033DA9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2．当总监理工程师需同时兼任多个监理项目部总监工作时，应征得委托人同意。</w:t>
      </w:r>
    </w:p>
    <w:p w14:paraId="4916DCE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3．监理人应根据工程进展情况和工程施工强度及时派驻人员进场。在施工高峰期或针对特殊工程项目应适当增加监理员数量。</w:t>
      </w:r>
    </w:p>
    <w:p w14:paraId="2AB2C57F">
      <w:pPr>
        <w:autoSpaceDE w:val="0"/>
        <w:autoSpaceDN w:val="0"/>
        <w:adjustRightInd w:val="0"/>
        <w:spacing w:line="540" w:lineRule="exact"/>
        <w:ind w:firstLine="420" w:firstLineChars="200"/>
        <w:jc w:val="left"/>
        <w:rPr>
          <w:rFonts w:ascii="宋体" w:hAnsi="宋体" w:cs="宋体"/>
          <w:bCs/>
          <w:color w:val="auto"/>
          <w:kern w:val="0"/>
          <w:szCs w:val="21"/>
          <w:highlight w:val="none"/>
          <w:shd w:val="clear" w:color="auto" w:fill="auto"/>
        </w:rPr>
      </w:pPr>
      <w:r>
        <w:rPr>
          <w:rFonts w:hint="eastAsia" w:ascii="宋体" w:hAnsi="宋体" w:cs="宋体"/>
          <w:bCs/>
          <w:color w:val="auto"/>
          <w:kern w:val="0"/>
          <w:szCs w:val="21"/>
          <w:highlight w:val="none"/>
          <w:shd w:val="clear" w:color="auto" w:fill="auto"/>
        </w:rPr>
        <w:t>2）监理项目部各岗位人员任职资格及条件</w:t>
      </w:r>
    </w:p>
    <w:p w14:paraId="3CDB431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（1）总监理工程师的任职资格及条件：具有《注册监理工程师执业资格证》，年龄在65周岁以下，身体健康，并具有三年及以上同类工程监理工作经验。</w:t>
      </w:r>
    </w:p>
    <w:p w14:paraId="177FA41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（2）总监理工程师代表或副总监理工程师任职资格及条件：具有《注册监理工程师执业资格证》，年龄在65周岁以下，身体健康，并具有三年以上同类工程监理工作经验。</w:t>
      </w:r>
    </w:p>
    <w:p w14:paraId="65966FC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（3）专业监理工程师任职资格及条件：具有《注册监理工程师执业资格证》或工程类注册执业资格或中级及以上专业技术职称，年龄在65周岁以下，身体健康，并具有两年以上同类工程监理工作经验。</w:t>
      </w:r>
    </w:p>
    <w:p w14:paraId="7E0D9CF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（4）安全监理工程师任职资格及条件：具有《注册监理工程师执业资格证》或《注册安全工程师执业资格证》,年龄在60周岁以下，身体健康，熟悉电力建设工程管理，并具有两年以上工程管理工作经验。</w:t>
      </w:r>
    </w:p>
    <w:p w14:paraId="53C0C48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（5）造价人员任职资格及条件：具有国家注册造价工程师执业资格或具有电力工程造价工程师执业资格证书，年龄在65周岁以下，身体健康，并具有一年以上同类工程造价工作经验。</w:t>
      </w:r>
    </w:p>
    <w:p w14:paraId="04255AC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（6）监理员任职资格及条件：具有中专及以上学历并经过电力建设工程监理业务培训，并取得电力工程监理从业人员培训合格证书或省级建设监理协会颁发的监理员岗位证书，年龄在65周岁以下，身体健康。</w:t>
      </w:r>
    </w:p>
    <w:p w14:paraId="2F66BFA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（7）信息管理员任职资格及条件：熟悉电力建设监理信息档案管理知识，具备熟练的计算机操作技能，经监理公司内部培训合格。</w:t>
      </w:r>
    </w:p>
    <w:p w14:paraId="12B3A111">
      <w:pPr>
        <w:autoSpaceDE w:val="0"/>
        <w:autoSpaceDN w:val="0"/>
        <w:adjustRightInd w:val="0"/>
        <w:spacing w:line="540" w:lineRule="exact"/>
        <w:ind w:firstLine="420" w:firstLineChars="200"/>
        <w:jc w:val="left"/>
        <w:rPr>
          <w:rFonts w:ascii="宋体" w:hAnsi="宋体" w:cs="宋体"/>
          <w:bCs/>
          <w:color w:val="auto"/>
          <w:kern w:val="0"/>
          <w:szCs w:val="21"/>
          <w:highlight w:val="none"/>
          <w:shd w:val="clear" w:color="auto" w:fill="auto"/>
        </w:rPr>
      </w:pPr>
      <w:r>
        <w:rPr>
          <w:rFonts w:hint="eastAsia" w:ascii="宋体" w:hAnsi="宋体" w:cs="宋体"/>
          <w:bCs/>
          <w:color w:val="auto"/>
          <w:kern w:val="0"/>
          <w:szCs w:val="21"/>
          <w:highlight w:val="none"/>
          <w:shd w:val="clear" w:color="auto" w:fill="auto"/>
        </w:rPr>
        <w:t>3）监理项目部基本设备配置</w:t>
      </w:r>
    </w:p>
    <w:p w14:paraId="2FBBCA7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监理项目部应根据工程项目类别、规模、技术复杂程度、工程项目所在地的环境条件，按建设工程监理合同的约定，配备满足监理工作需要的常规检测设备、工具和办公设备。</w:t>
      </w:r>
    </w:p>
    <w:p w14:paraId="524E9653">
      <w:pPr>
        <w:autoSpaceDE w:val="0"/>
        <w:autoSpaceDN w:val="0"/>
        <w:adjustRightInd w:val="0"/>
        <w:spacing w:line="540" w:lineRule="exact"/>
        <w:ind w:firstLine="420" w:firstLineChars="200"/>
        <w:jc w:val="left"/>
        <w:rPr>
          <w:rFonts w:ascii="宋体" w:hAnsi="宋体" w:cs="宋体"/>
          <w:bCs/>
          <w:color w:val="auto"/>
          <w:kern w:val="0"/>
          <w:szCs w:val="21"/>
          <w:highlight w:val="none"/>
          <w:shd w:val="clear" w:color="auto" w:fill="auto"/>
        </w:rPr>
      </w:pPr>
      <w:r>
        <w:rPr>
          <w:rFonts w:hint="eastAsia" w:ascii="宋体" w:hAnsi="宋体" w:cs="宋体"/>
          <w:bCs/>
          <w:color w:val="auto"/>
          <w:kern w:val="0"/>
          <w:szCs w:val="21"/>
          <w:highlight w:val="none"/>
          <w:shd w:val="clear" w:color="auto" w:fill="auto"/>
        </w:rPr>
        <w:t>4）监理项目部技术标准基本配置</w:t>
      </w:r>
    </w:p>
    <w:p w14:paraId="66769E9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监理项目部应配置基本的法律法规、规程规章规范、技术标准。在工程实施前监理项目部根据工程实际情况及建设工程监理合同的约定，在此基础上进行补充，并建立监理项目部具体的《监理项目部法律、法规、规程规章规范、技术标准配置清单》。相应的法律、法规、规程规章规范、技术标准可用纸质版或电子版，同时应对其实施动态管理，以保证使用最新版本。</w:t>
      </w:r>
    </w:p>
    <w:p w14:paraId="6052AC5C">
      <w:pPr>
        <w:autoSpaceDE w:val="0"/>
        <w:autoSpaceDN w:val="0"/>
        <w:adjustRightInd w:val="0"/>
        <w:spacing w:line="540" w:lineRule="exact"/>
        <w:ind w:firstLine="420" w:firstLineChars="200"/>
        <w:jc w:val="left"/>
        <w:rPr>
          <w:rFonts w:ascii="宋体" w:hAnsi="宋体" w:cs="宋体"/>
          <w:bCs/>
          <w:color w:val="auto"/>
          <w:kern w:val="0"/>
          <w:szCs w:val="21"/>
          <w:highlight w:val="none"/>
          <w:shd w:val="clear" w:color="auto" w:fill="auto"/>
        </w:rPr>
      </w:pPr>
      <w:r>
        <w:rPr>
          <w:rFonts w:hint="eastAsia" w:ascii="宋体" w:hAnsi="宋体" w:cs="宋体"/>
          <w:bCs/>
          <w:color w:val="auto"/>
          <w:kern w:val="0"/>
          <w:szCs w:val="21"/>
          <w:highlight w:val="none"/>
          <w:shd w:val="clear" w:color="auto" w:fill="auto"/>
        </w:rPr>
        <w:t>5） 监理项目部标识标志</w:t>
      </w:r>
    </w:p>
    <w:p w14:paraId="5A9CCA6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（1）监理项目部应在办公室门外悬挂监理项目部铭牌，规格（600*400mm)。铭牌应清晰、简洁，并有监理人标志及名称、监理项目部名称。</w:t>
      </w:r>
    </w:p>
    <w:p w14:paraId="26FBE9F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（2）监理项目部办公室内墙标识标志主要应有：</w:t>
      </w:r>
    </w:p>
    <w:p w14:paraId="16091A9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a）监理项目部组织机构及人员分工图，规格（400*600mm)。</w:t>
      </w:r>
    </w:p>
    <w:p w14:paraId="167B436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b）监理人员工作守则，规格（400*600mm)。</w:t>
      </w:r>
    </w:p>
    <w:p w14:paraId="4630DE6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c）二级进度计划控制图（动态）。</w:t>
      </w:r>
    </w:p>
    <w:p w14:paraId="4817B13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d）质量控制点（WHS）设置表（动态）。</w:t>
      </w:r>
    </w:p>
    <w:p w14:paraId="0310AE8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e）安全风险评价表（动态）。</w:t>
      </w:r>
    </w:p>
    <w:p w14:paraId="19A44E1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2.1.2 管理组织关系</w:t>
      </w:r>
    </w:p>
    <w:p w14:paraId="0076AA4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2.1.2.1 监理人受委托人委托，根据建设工程监理合同约定的监理服务期限、监理范围和监理工作内容开展监理工作。委托人和监理人应依据建设工程监理合同履行双方的权利、责任和义务。</w:t>
      </w:r>
    </w:p>
    <w:p w14:paraId="15304BC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2.1.2.2 监理项目部与业主项目部根据相关工作规则履行职能。</w:t>
      </w:r>
    </w:p>
    <w:p w14:paraId="11D01F0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2.1.2.3 监理项目部与施工项目部：监理与被监理的关系。监理项目部根据建设工程监理合同和施工合同，围绕工程开展协调工作并对建设工程的质量、安全风险、进度、造价进行控制，对合同、信息进行管理。</w:t>
      </w:r>
    </w:p>
    <w:p w14:paraId="4E62F55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2.1.2.</w:t>
      </w:r>
      <w:r>
        <w:rPr>
          <w:rFonts w:hint="eastAsia" w:ascii="宋体" w:hAnsi="宋体" w:cs="宋体"/>
          <w:color w:val="auto"/>
          <w:kern w:val="0"/>
          <w:szCs w:val="21"/>
          <w:highlight w:val="none"/>
          <w:shd w:val="clear" w:color="auto" w:fill="auto"/>
        </w:rPr>
        <w:t>4</w:t>
      </w:r>
      <w:r>
        <w:rPr>
          <w:rFonts w:hint="eastAsia" w:ascii="宋体" w:hAnsi="宋体" w:cs="宋体"/>
          <w:color w:val="auto"/>
          <w:kern w:val="0"/>
          <w:szCs w:val="21"/>
          <w:highlight w:val="none"/>
          <w:shd w:val="clear" w:color="auto" w:fill="auto"/>
          <w:lang w:val="zh-CN"/>
        </w:rPr>
        <w:t xml:space="preserve"> 监理项目部与设计人：监理项目部协助委托人协调设计文件的提交进度以满足工程建设的需要。在工程实施阶段及时提出所发现的设计问题，经设计人确认后监督落实。</w:t>
      </w:r>
    </w:p>
    <w:p w14:paraId="7011FF5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2.1.2.5 监理项目部与物资供应商：通过委托人围绕工程建设开展的协调关系。监理项目部参加由物流中心组织的主要设备开箱检验，重点关注甲供物资的供货进度、到达现场物资的质量。</w:t>
      </w:r>
    </w:p>
    <w:p w14:paraId="0754D6D6">
      <w:pPr>
        <w:autoSpaceDE w:val="0"/>
        <w:autoSpaceDN w:val="0"/>
        <w:adjustRightInd w:val="0"/>
        <w:spacing w:line="540" w:lineRule="exact"/>
        <w:ind w:firstLine="420" w:firstLineChars="200"/>
        <w:jc w:val="left"/>
        <w:rPr>
          <w:rFonts w:ascii="宋体" w:hAnsi="宋体" w:cs="宋体"/>
          <w:bCs/>
          <w:color w:val="auto"/>
          <w:kern w:val="0"/>
          <w:szCs w:val="21"/>
          <w:highlight w:val="none"/>
          <w:shd w:val="clear" w:color="auto" w:fill="auto"/>
          <w:lang w:val="zh-CN"/>
        </w:rPr>
      </w:pPr>
      <w:r>
        <w:rPr>
          <w:rFonts w:hint="eastAsia" w:ascii="宋体" w:hAnsi="宋体" w:cs="宋体"/>
          <w:bCs/>
          <w:color w:val="auto"/>
          <w:kern w:val="0"/>
          <w:szCs w:val="21"/>
          <w:highlight w:val="none"/>
          <w:shd w:val="clear" w:color="auto" w:fill="auto"/>
          <w:lang w:val="zh-CN"/>
        </w:rPr>
        <w:t>2.1.3 监理项目部职责</w:t>
      </w:r>
    </w:p>
    <w:p w14:paraId="2F51FC9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2.1.3.1 严格履行建设工程监理合同赋予的职责、权利和义务，负责组织实施工程项目监理服务的具体工作。确保工程各项目标的实现。</w:t>
      </w:r>
    </w:p>
    <w:p w14:paraId="655F415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2.1.3.2 按照法律法规和工程建设强制性标准实施监理，履行电力建设工程安全生产管理的监理职责。监理单位资源配置应当满足工程监理要求，依据合同约定履行电力建设工程施工安全监理职责。</w:t>
      </w:r>
    </w:p>
    <w:p w14:paraId="26B5161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2.1.3.3 建立健全安全监理工作制度，编制含有安全监理内容的监理规划和监理实施细则，明确监理人员安全职责以及相关工作安全监理措施和目标。</w:t>
      </w:r>
    </w:p>
    <w:p w14:paraId="28BE02E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 xml:space="preserve">2.1.3.4 组织或参加各类安全检查活动，掌握现场安全生产动态，建立安全管理台帐。重点审查、监督下列工作： </w:t>
      </w:r>
    </w:p>
    <w:p w14:paraId="1EF198D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 xml:space="preserve">a按照工程建设强制性标准和安全生产标准及时审查施工组织设计中的安全技术措施和专项施工方案； </w:t>
      </w:r>
    </w:p>
    <w:p w14:paraId="79495E3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b审查和验证分包单位的资质文件和拟签订的分包合同、人员资质、安全协议；</w:t>
      </w:r>
    </w:p>
    <w:p w14:paraId="4640C55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 xml:space="preserve">c审查安全管理人员、特种作业人员、特种设备操作人员资格证明文件和主要施工机械、工器具、安全用具的安全性能证明文件是否符合国家有关标准；检查现场作业人员及设备配置是否满足安全施工的要求； </w:t>
      </w:r>
    </w:p>
    <w:p w14:paraId="1A8B729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d对大中型起重机械、脚手架、跨越架、施工用电、危险品库房等重要施工设施投入使用前进行安全检查签证。土建交付安装、安装交付调试及整套启动等重大工序交接前进行安全检查签证；</w:t>
      </w:r>
    </w:p>
    <w:p w14:paraId="3DF7C2D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e对工程关键部位、关键工序、特殊作业和危险作业进行旁站监理；对复杂自然条件、复杂结构、技术难度大及危险性较大分部分项工程专项施工方案的实施进行现场监理；监督交叉作业和工序交接中的安全施工措施的落实；</w:t>
      </w:r>
    </w:p>
    <w:p w14:paraId="186DAD0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f监督施工单位安全生产费的使用、安全教育培训情况。</w:t>
      </w:r>
    </w:p>
    <w:p w14:paraId="4418389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2.1.3.5在实施监理过程中，发现存在生产安全事故隐患的，应当要求施工单位及时整改；情节严重的，应当要求施工单位暂时或部分停止施工，并及时报告委托人。施工单位拒不整改或者不停止施工的，监理单位应当及时向国家能源局派出机构和政府有关部门报告。</w:t>
      </w:r>
    </w:p>
    <w:p w14:paraId="4F60D6F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2.1.3.6按照相关规定设置安全管理机构，配置符合要求的安全管理人员，服从委托人管理，定期参加安全会议，协调解决项目建设中的安全管理问题，并及时督促各参建单位贯彻落实安委会会议纪要的要求。</w:t>
      </w:r>
    </w:p>
    <w:p w14:paraId="449A5D7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2.1.3.7必须依据中国南方电网公司安全风险管理文件中的有关规定，开展基建项目监理安全工作。建立健全安全风险管理体系，落实监理项目部的安全责任制及岗位职责，进行危险源和环境因素的辨识、评价与控制。在安委会领导下或自主开展各项安全活动，履行安全风险管理职能，做好安全预控措施。按规定程序上报安全事故，参加安全事故调查。</w:t>
      </w:r>
    </w:p>
    <w:p w14:paraId="0F6C5C6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2.1.3.8监理项目部在基建安全管理中须贯彻安全生产方针，制定安全生产责任制。</w:t>
      </w:r>
    </w:p>
    <w:p w14:paraId="5247627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2.1.3.9建立健全质量管理体系，落实质量责任制及岗位职责，履行质量管理职能。严格执行国家及行业施工规范、规程、标准、强制性条文件, 根据质量验收评定标准落实质量控制工作，保证工序质量。按规定程序上报质量事故，参加质量事故调查。</w:t>
      </w:r>
    </w:p>
    <w:p w14:paraId="13E3C64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2.1.3.10按照国家、电力行业和中国南方电网公司的有关质量标准和规定，建立、健全质量管理体系并有效运转，监理项目部从组织机构、质量管理、技术管理制度等方面审查承包人的质量管理体系，满足要求时予以确认。</w:t>
      </w:r>
    </w:p>
    <w:p w14:paraId="79BFB8D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2.1.3.11监理单位承诺建立工程质量责任终身制，并层层分解质量管理责任。</w:t>
      </w:r>
    </w:p>
    <w:p w14:paraId="6173309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2.1.3.12进行工程造价控制，严格执行工程变更的管理程序；审核工程进度款支付申请，配合建设单位进行竣工结算；按索赔的管理程序，收集参建各方索赔的证据和资料。</w:t>
      </w:r>
    </w:p>
    <w:p w14:paraId="2CA8BAD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2.1.3.13审查施工项目部编制的三级施工进度计划，并督促实施；分析进度偏差的原因，提出监理意见，督促施工项目部落实进度纠偏措施。</w:t>
      </w:r>
    </w:p>
    <w:p w14:paraId="4E17716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2.1.3.14在建设单位的委托范围内进行合同管理。督促施工项目部严格按照施工合同履行义务。</w:t>
      </w:r>
    </w:p>
    <w:p w14:paraId="4AD1533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2.1.3.15进行工程信息管理，完成工程监理资料的收集、整理、上报、移交工作，督促施工资料的归档移交工作。</w:t>
      </w:r>
    </w:p>
    <w:p w14:paraId="4F4261D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2.1.3.16做好与业主项目部、施工项目部、设计单位的协调工作，协助做好物资供应商的协调工作。</w:t>
      </w:r>
    </w:p>
    <w:p w14:paraId="4DE4EC0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2.1.3.17 鼓励监理项目部在施工现场积极推进QC小组活动，进行质量管理思路、方法创新。</w:t>
      </w:r>
    </w:p>
    <w:p w14:paraId="4F0F2264">
      <w:pPr>
        <w:autoSpaceDE w:val="0"/>
        <w:autoSpaceDN w:val="0"/>
        <w:adjustRightInd w:val="0"/>
        <w:spacing w:line="540" w:lineRule="exact"/>
        <w:ind w:firstLine="422" w:firstLineChars="200"/>
        <w:jc w:val="left"/>
        <w:rPr>
          <w:rFonts w:ascii="宋体" w:hAnsi="宋体" w:cs="宋体"/>
          <w:b/>
          <w:color w:val="auto"/>
          <w:kern w:val="0"/>
          <w:szCs w:val="21"/>
          <w:highlight w:val="none"/>
          <w:shd w:val="clear" w:color="auto" w:fill="auto"/>
          <w:lang w:val="zh-CN"/>
        </w:rPr>
      </w:pPr>
      <w:r>
        <w:rPr>
          <w:rFonts w:hint="eastAsia" w:ascii="宋体" w:hAnsi="宋体" w:cs="宋体"/>
          <w:b/>
          <w:color w:val="auto"/>
          <w:kern w:val="0"/>
          <w:szCs w:val="21"/>
          <w:highlight w:val="none"/>
          <w:shd w:val="clear" w:color="auto" w:fill="auto"/>
          <w:lang w:val="zh-CN"/>
        </w:rPr>
        <w:t>2.2</w:t>
      </w:r>
      <w:r>
        <w:rPr>
          <w:rFonts w:hint="eastAsia" w:ascii="宋体" w:hAnsi="宋体" w:cs="宋体"/>
          <w:b/>
          <w:color w:val="auto"/>
          <w:kern w:val="0"/>
          <w:szCs w:val="21"/>
          <w:highlight w:val="none"/>
          <w:shd w:val="clear" w:color="auto" w:fill="auto"/>
        </w:rPr>
        <w:t xml:space="preserve"> </w:t>
      </w:r>
      <w:r>
        <w:rPr>
          <w:rFonts w:hint="eastAsia" w:ascii="宋体" w:hAnsi="宋体" w:cs="宋体"/>
          <w:b/>
          <w:color w:val="auto"/>
          <w:kern w:val="0"/>
          <w:szCs w:val="21"/>
          <w:highlight w:val="none"/>
          <w:shd w:val="clear" w:color="auto" w:fill="auto"/>
          <w:lang w:val="zh-CN"/>
        </w:rPr>
        <w:t>安全管理</w:t>
      </w:r>
    </w:p>
    <w:p w14:paraId="78B1E09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监理项目部应根据法律法规、工程建设强制性标准，履行建设工程安全生产管理的监理职责，监理工作的主要内容包括危害辨识与风险评估、安全监理策划、风险管控（含防风防汛）、分包安全管理、文明施工管理（含“</w:t>
      </w:r>
      <w:r>
        <w:rPr>
          <w:rFonts w:hint="eastAsia" w:ascii="宋体" w:hAnsi="宋体" w:cs="宋体"/>
          <w:color w:val="auto"/>
          <w:kern w:val="0"/>
          <w:szCs w:val="21"/>
          <w:highlight w:val="none"/>
          <w:shd w:val="clear" w:color="auto" w:fill="auto"/>
        </w:rPr>
        <w:t>7</w:t>
      </w:r>
      <w:r>
        <w:rPr>
          <w:rFonts w:hint="eastAsia" w:ascii="宋体" w:hAnsi="宋体" w:cs="宋体"/>
          <w:color w:val="auto"/>
          <w:kern w:val="0"/>
          <w:szCs w:val="21"/>
          <w:highlight w:val="none"/>
          <w:shd w:val="clear" w:color="auto" w:fill="auto"/>
          <w:lang w:val="zh-CN"/>
        </w:rPr>
        <w:t>S”管理）、环保与水保管理、征地移民、应急与事故事件管理、安全监理总结等。</w:t>
      </w:r>
    </w:p>
    <w:p w14:paraId="306EDA8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2.2.1 施工准备阶段</w:t>
      </w:r>
    </w:p>
    <w:p w14:paraId="7E72B77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（1）危害辨识与风险评估</w:t>
      </w:r>
    </w:p>
    <w:p w14:paraId="6D3231B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监理项目部应督促施工项目部以电网建设施工作业指导书为主线，结合工程实际情况开展项目作业危害辨识与风险评估，并初步制定预控措施。</w:t>
      </w:r>
    </w:p>
    <w:p w14:paraId="7A70369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（2）工作策划</w:t>
      </w:r>
    </w:p>
    <w:p w14:paraId="36734DA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总监理工程师根据国家现行的法律、法规、规定及项目监理合同、项目特点、施工现场实际情况在监理规划及监理实施细则中明确安全监理的目标、范围、内容、工作程序、方法和措施，并重点阐述危险性较大分部分项工程或“高风险”及以上风险的监理管控要求。</w:t>
      </w:r>
    </w:p>
    <w:p w14:paraId="79D4A4F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2）依据</w:t>
      </w:r>
      <w:r>
        <w:rPr>
          <w:rFonts w:hint="eastAsia" w:ascii="宋体" w:hAnsi="宋体" w:cs="宋体"/>
          <w:color w:val="auto"/>
          <w:kern w:val="0"/>
          <w:szCs w:val="21"/>
          <w:highlight w:val="none"/>
          <w:shd w:val="clear" w:color="auto" w:fill="auto"/>
          <w:lang w:val="en-US" w:eastAsia="zh-CN"/>
        </w:rPr>
        <w:t>中国南方电网有限责任</w:t>
      </w:r>
      <w:r>
        <w:rPr>
          <w:rFonts w:hint="eastAsia" w:ascii="宋体" w:hAnsi="宋体" w:cs="宋体"/>
          <w:color w:val="auto"/>
          <w:kern w:val="0"/>
          <w:szCs w:val="21"/>
          <w:highlight w:val="none"/>
          <w:shd w:val="clear" w:color="auto" w:fill="auto"/>
          <w:lang w:val="zh-CN"/>
        </w:rPr>
        <w:t>公司《基建项目作业环境管理（7S）工作指引》编制项目现场7S管理措施，融入监理规划和监理细则中。</w:t>
      </w:r>
    </w:p>
    <w:p w14:paraId="7F6E63C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3）制订《监理项目部应急处置方案》，报业主项目部备案。</w:t>
      </w:r>
    </w:p>
    <w:p w14:paraId="7F9DE1C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4）基于现场监理风险为监理人员配备满足监理工作需要的个人防护用品。</w:t>
      </w:r>
    </w:p>
    <w:p w14:paraId="6207582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5）总监理工程师应根据项目危害辨识与风险评估情况组织监理项目部人员学习并进行交底，并形成安全风险监理工作交底记录。</w:t>
      </w:r>
    </w:p>
    <w:p w14:paraId="112007D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（3）施工安全准备工作审查</w:t>
      </w:r>
    </w:p>
    <w:p w14:paraId="645C66E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1）总监理工程师应组织监理项目部人员审查施工单位提交的施工组织设计或专项方案中的安全技术措施是否符合工程建设强制性标准，符合要求的由总监理工程师签字确认报建设单位审批。</w:t>
      </w:r>
    </w:p>
    <w:p w14:paraId="3A4B176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2）审查施工项目部报送的《人员资格报审表》，主要包括项目经理、专职安全生产管理人员、特殊工种人员和特种作业人员等资格证明文件，证件应合法有效，符合要求后才准予上岗。</w:t>
      </w:r>
    </w:p>
    <w:p w14:paraId="3EEF61C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3）依据公司《施工机械（具）和设备管理业务指导书》审查施工单位报送的《主要施工机械/工器具/安全用具报审表》中主要施工机械/工器具/安全用具安全性能文件。</w:t>
      </w:r>
    </w:p>
    <w:p w14:paraId="5CBB4BD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4）核查施工项目部人员“三级”安全生产培训记录,督促施工项目部对施工人员进行安全产生教育培训，培训考试合格方能进场。</w:t>
      </w:r>
    </w:p>
    <w:p w14:paraId="2DF3AB9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5）审查施工单位的《安全文明施工措施费使用计划》，安全生产投入计划是否符合安全生产要求。</w:t>
      </w:r>
    </w:p>
    <w:p w14:paraId="1A9CE8C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6）审查施工单位报送的《工程建设强制性条文实施计划》中安全方面的“强条”内容，应符合工程实际要求，条文正确、完整。</w:t>
      </w:r>
    </w:p>
    <w:p w14:paraId="31C86B5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（4）分包单位资质审查</w:t>
      </w:r>
    </w:p>
    <w:p w14:paraId="212D929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 xml:space="preserve">工程有分包的，监理项目部应在分包项目开工前，依据国家相关法律、法规及公司《基建项目承包商管理业务指导书》、《分包管理业务指导书》进行分包资质审查，审查施工单位报送《分包单位资格报审表》及附件，符合规定后由总监理工程师签认，报业主项目部审批。施工项目部应对所报送分包单位的资质文件真实性负责。 </w:t>
      </w:r>
    </w:p>
    <w:p w14:paraId="7873703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2.2.2 施工阶段</w:t>
      </w:r>
    </w:p>
    <w:p w14:paraId="0DBD543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（1）风险管控</w:t>
      </w:r>
    </w:p>
    <w:p w14:paraId="34EAB4E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监理项目部应基于项目危害辨识与风险评估情况，有针对性的开展安全监理工作，督促施工项目部针对不同的风险种类、风险等级采取有效的风险防范措施。对一般风险的施工作业任务，监理项目部通过安全巡查、会议、评价等方式实施管控，督促施工项目部落实安全风险管理工作。对“高风险”施工作业任务或危险性较大分部分项工程进行安全旁站，并拍摄数码照片和填写检查记录。</w:t>
      </w:r>
    </w:p>
    <w:p w14:paraId="132CC8D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（2）“四步法”管理</w:t>
      </w:r>
    </w:p>
    <w:p w14:paraId="1A16B33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监理项目部日常应坚持对施工单位“四步法”实施情况进行监督，重点关注是否正确使用作业指导书并进行差异化分析；风险辨识与分析是否符合实际，预控措施是否有效；是否正确使用施工安全作业票，签字齐全；并检查施工项目部是否按规定召开“站班会”，督促施工项目部对参加作业人员进行“三交”和“三查”。</w:t>
      </w:r>
    </w:p>
    <w:p w14:paraId="7FFA5B5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（3）施工机械（具）和设备管理</w:t>
      </w:r>
    </w:p>
    <w:p w14:paraId="2C7135A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核查施工项目部执行施工机（具）和设备管理情况，督促施工项目部按公司《施工机械（具）和设备管理业务指导书》做好施工机械（具）和设备的管理工作，由专人管理并建立档案。</w:t>
      </w:r>
    </w:p>
    <w:p w14:paraId="0BEB348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（4）人员持证管理</w:t>
      </w:r>
    </w:p>
    <w:p w14:paraId="30895D2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施工过程中，通过文件审查、现场抽查等方式，对施工人员持证情况进行管理，按照公司基建承包商人员持证上岗工作要求，现场检查特殊工种、特种作业人员持证上岗情况。</w:t>
      </w:r>
    </w:p>
    <w:p w14:paraId="2759936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（5）7S管理</w:t>
      </w:r>
    </w:p>
    <w:p w14:paraId="35079A5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监理项目部依据公司《基建项目作业环境管理（7S）工作指引》开展5S管理巡视与评价。</w:t>
      </w:r>
    </w:p>
    <w:p w14:paraId="72BE94A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（6）日常安全管理及检查</w:t>
      </w:r>
    </w:p>
    <w:p w14:paraId="6CE08D6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施工过程中，通过文件审查、现场巡视检查、定期检查与评价等方式开展日常安全监理工作，填写安全检查记录，督促施工单位进行安全自查工作，核查施工项目部是否按施工组织设计、施工方案、作业指导书等组织施工。</w:t>
      </w:r>
    </w:p>
    <w:p w14:paraId="143BEC1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（7）分包安全管理</w:t>
      </w:r>
    </w:p>
    <w:p w14:paraId="721789A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工程存在分包时，监理项目部应按照公司《基建工程安全管理业务指导书》及《分包管理业务指导书》的要求做好分包人员、机具、材料、社会保险、现场管理等工作。</w:t>
      </w:r>
    </w:p>
    <w:p w14:paraId="3F3CCA6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（8）环保与水保管理</w:t>
      </w:r>
    </w:p>
    <w:p w14:paraId="1C7377F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1）环保与水保工作内容按监理合同要求执行。</w:t>
      </w:r>
    </w:p>
    <w:p w14:paraId="1C98124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2）项目区环境保护与水土保持措施及运行应执行“同时设计、同时建设、同时投运”的三同时原则，实施与运行情况应符合施工合同规定和设计技术要求。</w:t>
      </w:r>
    </w:p>
    <w:p w14:paraId="065D722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3）根据相关行政主管部门批复的水土保持和环境保护方案，督促施工项目部实施水土保持和环境保护措施。</w:t>
      </w:r>
    </w:p>
    <w:p w14:paraId="0196991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4）加强施工环保与水保的监督检查，督促施工项目部采取有效措施减少临时占地，严格按照设计施工，避免大开挖，采取表土剥离单独堆放，做到工完料尽场地清，不发生环境二次污染。</w:t>
      </w:r>
    </w:p>
    <w:p w14:paraId="21DCE87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5）在有水土流失的地方施工时，按照“先防护后施工”的原则对施工项目部的施工情况进行监督。</w:t>
      </w:r>
    </w:p>
    <w:p w14:paraId="3775EC4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6）施工用水宜循环利用，防止地表水土流失而引起下游河床淤积，必须排放的施工弃水、生产废水、生活污水、施工粉尘、废气、废油等，应按规定进行处理。</w:t>
      </w:r>
    </w:p>
    <w:p w14:paraId="052B22D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7）督促施工项目部按照承包合同约定，做好施工界区之内的施工环境保护工作。</w:t>
      </w:r>
    </w:p>
    <w:p w14:paraId="0F2DADD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8）督促施工项目部按照批准的弃土方案施工，取弃土结束后要采取有效的排水、植被恢复等措施。</w:t>
      </w:r>
    </w:p>
    <w:p w14:paraId="74406BF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9）督促施工项目部进入现场的材料和设备有序地放置，防止任意堆放，污染环境。</w:t>
      </w:r>
    </w:p>
    <w:p w14:paraId="10C7152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10）督促施工项目部遵守有关环境保护法律法规，在施工现场采取措施，防止或减少粉尘、废气、废水、废油、固体废物、噪声、振动和施工照明对人和环境的危害和污染。</w:t>
      </w:r>
    </w:p>
    <w:p w14:paraId="3F6D1D6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11）督促施工项目部在完工后按照合同约定或相关规定，拆除不需要保留的施工临时设施，清理场地，恢复植被，并办理移交手续。</w:t>
      </w:r>
    </w:p>
    <w:p w14:paraId="17F3A4D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12）配合环保与水保的专项验收。</w:t>
      </w:r>
    </w:p>
    <w:p w14:paraId="197A4A4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（9）应急与事故事件管理</w:t>
      </w:r>
    </w:p>
    <w:p w14:paraId="1CEDB9E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1）制订《应急处置方案》，并报业主项目部备案。</w:t>
      </w:r>
    </w:p>
    <w:p w14:paraId="493D660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督促施工项目部定期检查应急物资，并按应急处置预案要求定期演练，针对不足及时制定改进措施，确保应急处置预案的有效性；当发生安全事故事件时，监理项目部应按《中国南方电网有限责任公司电力事故事件调查规程》规定程序及时上报，保护现场、取证收集资料，配合事故事件调查，根据处理意见督促施工单位整改落实。</w:t>
      </w:r>
    </w:p>
    <w:p w14:paraId="660C504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2.2.3 总结评价阶段</w:t>
      </w:r>
    </w:p>
    <w:p w14:paraId="2CB061A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在《监理工作总结》中对工程安全风险控制工作进行总结评价。</w:t>
      </w:r>
    </w:p>
    <w:p w14:paraId="41C4A1AA">
      <w:pPr>
        <w:autoSpaceDE w:val="0"/>
        <w:autoSpaceDN w:val="0"/>
        <w:adjustRightInd w:val="0"/>
        <w:spacing w:line="540" w:lineRule="exact"/>
        <w:ind w:firstLine="422" w:firstLineChars="200"/>
        <w:jc w:val="left"/>
        <w:rPr>
          <w:rFonts w:ascii="宋体" w:hAnsi="宋体" w:cs="宋体"/>
          <w:b/>
          <w:bCs/>
          <w:color w:val="auto"/>
          <w:kern w:val="0"/>
          <w:szCs w:val="21"/>
          <w:highlight w:val="none"/>
          <w:shd w:val="clear" w:color="auto" w:fill="auto"/>
          <w:lang w:val="zh-CN"/>
        </w:rPr>
      </w:pPr>
      <w:r>
        <w:rPr>
          <w:rFonts w:hint="eastAsia" w:ascii="宋体" w:hAnsi="宋体" w:cs="宋体"/>
          <w:b/>
          <w:bCs/>
          <w:color w:val="auto"/>
          <w:kern w:val="0"/>
          <w:szCs w:val="21"/>
          <w:highlight w:val="none"/>
          <w:shd w:val="clear" w:color="auto" w:fill="auto"/>
          <w:lang w:val="zh-CN"/>
        </w:rPr>
        <w:t>2.3 质量控制</w:t>
      </w:r>
    </w:p>
    <w:p w14:paraId="69F75F2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质量控制范围主要包括项目建设施工准备阶段质量控制、施工阶段质量控制、工程竣工验收阶段质量控制、总结评价阶段质量控制等四方面内容。</w:t>
      </w:r>
    </w:p>
    <w:p w14:paraId="2B2FB65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258" w:name="_Toc295815732"/>
      <w:bookmarkStart w:id="259" w:name="_Toc296669140"/>
      <w:bookmarkStart w:id="260" w:name="_Toc295810502"/>
      <w:bookmarkStart w:id="261" w:name="_Toc298848085"/>
      <w:r>
        <w:rPr>
          <w:rFonts w:hint="eastAsia" w:ascii="宋体" w:hAnsi="宋体" w:cs="宋体"/>
          <w:color w:val="auto"/>
          <w:kern w:val="0"/>
          <w:szCs w:val="21"/>
          <w:highlight w:val="none"/>
          <w:shd w:val="clear" w:color="auto" w:fill="auto"/>
          <w:lang w:val="zh-CN"/>
        </w:rPr>
        <w:t>2.3.1 施工准备阶段</w:t>
      </w:r>
      <w:bookmarkEnd w:id="258"/>
      <w:bookmarkEnd w:id="259"/>
      <w:bookmarkEnd w:id="260"/>
      <w:bookmarkEnd w:id="261"/>
    </w:p>
    <w:p w14:paraId="1FDB67C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（1）质量监理工作策划</w:t>
      </w:r>
    </w:p>
    <w:p w14:paraId="3ACF282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在签订建设工程监理合同及收到设计文件后，监理项目部应依据《建设工程监理合同》、设计文件、《监理大纲》,由总监理工程师主持、专业监理工程师参加编制《监理规划》，并经监理单位技术负责人批准后报建设单位备案后实施。</w:t>
      </w:r>
    </w:p>
    <w:p w14:paraId="75D72E2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专业监理工程师按照已批准的《监理规划》、与专业工程相关的标准、设计文件、技术资料及施工组织设计编制《专业监理实施细则》、《旁站监理实施细则》、《工程建设标准强制性条文监理实施细则》、《安全风险及文明施工监理实施细则》等监理实施细则，由总监理工程师审批后下发执行。对于规模较小、技术较简单的工程且有成熟管理经验和措施的配网工程、改扩建（技改）工程可不必单独编制《监理实施细则》。</w:t>
      </w:r>
    </w:p>
    <w:p w14:paraId="1AA8DAC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（2）施工项目部质量管理体系审查</w:t>
      </w:r>
    </w:p>
    <w:p w14:paraId="0335C23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由总监理工程师组织审查施工项目部的质量管理体系，应审查以下内容：</w:t>
      </w:r>
    </w:p>
    <w:p w14:paraId="5D8BF6E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1）组织机构；</w:t>
      </w:r>
    </w:p>
    <w:p w14:paraId="61F5609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2）质量管理、技术管理制度；</w:t>
      </w:r>
    </w:p>
    <w:p w14:paraId="3566BC3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3）主要管理人员资格证，特别是项目经理和专职质量管理人员。</w:t>
      </w:r>
    </w:p>
    <w:p w14:paraId="40A22C6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（3）施工图审查、图纸会审及设计交底</w:t>
      </w:r>
    </w:p>
    <w:p w14:paraId="5463BAA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1）应业主要求参加施工图审查。根据施工图设计文件审查制度，监理工作应当以施工图审查机构审查合格的施工图为依据。</w:t>
      </w:r>
    </w:p>
    <w:p w14:paraId="273C12E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2）参加由业主项目部组织的设计交底会议。</w:t>
      </w:r>
    </w:p>
    <w:p w14:paraId="3A31142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3）参加业主项目部组织的图纸会审会议。在会审前，总监理工程师应组织监理项目部人员对施工图进行预审，并形成《施工图纸预审意见》。监理项目部负责编写《施工图纸会审纪要》。</w:t>
      </w:r>
    </w:p>
    <w:p w14:paraId="3933B56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（4）施工组织设计、（专项）施工方案审查</w:t>
      </w:r>
    </w:p>
    <w:p w14:paraId="04C3D63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审查施工项目部报送的《施工组织设计》，编审程序应符合相关规定，施工进度、施工方案及工程质量保证措施应符合施工合同要求，资源（资金、劳动力、材料、设备）供应计划应满足工程施工需要，安全技术措施应符合工程建设强制性标准，施工总平面布置应科学合理</w:t>
      </w:r>
      <w:bookmarkStart w:id="262" w:name="_Toc277843116"/>
      <w:bookmarkStart w:id="263" w:name="_Toc277853436"/>
      <w:r>
        <w:rPr>
          <w:rFonts w:hint="eastAsia" w:ascii="宋体" w:hAnsi="宋体" w:cs="宋体"/>
          <w:color w:val="auto"/>
          <w:kern w:val="0"/>
          <w:szCs w:val="21"/>
          <w:highlight w:val="none"/>
          <w:shd w:val="clear" w:color="auto" w:fill="auto"/>
          <w:lang w:val="zh-CN"/>
        </w:rPr>
        <w:t>。</w:t>
      </w:r>
      <w:bookmarkEnd w:id="262"/>
      <w:bookmarkEnd w:id="263"/>
    </w:p>
    <w:p w14:paraId="6EDB4D0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2）审核施工项目部报审的重要作业、重点部位、关键工序的《专项施工方案》、《特殊试验方案》，主要审核编审程序应符合相关规定、安全技术措施应符合工程建设强制性标准。</w:t>
      </w:r>
    </w:p>
    <w:p w14:paraId="3C95731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3）审查施工项目部报送的工程建设标准强制性条文实施方案。</w:t>
      </w:r>
    </w:p>
    <w:p w14:paraId="1DAF195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（5）其他施工准备审查</w:t>
      </w:r>
    </w:p>
    <w:p w14:paraId="7C196EC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监理项目部组织审查《施工质量验收及评定项目划分报审表》、《试验/供货单位资质报审表》、《主要测量计量器具/试验设备检验报审表》、《施工控制测量成果报验表》《人员资格报审表》，审查要点可参考“典表”的“填写说明及要求”。</w:t>
      </w:r>
    </w:p>
    <w:p w14:paraId="2EA58A4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（6）WHS质量控制点设置</w:t>
      </w:r>
    </w:p>
    <w:p w14:paraId="3B41C87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工程开工前，监理项目部应根据基建工程质量控制点设置要求和工程实际，筛选确定适用于本工程的WHS质量控制点（并可根据现场需要适当增设），分专业编制完成WHS质量控制点设置表。</w:t>
      </w:r>
    </w:p>
    <w:p w14:paraId="100D339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（7）工程创优策划</w:t>
      </w:r>
    </w:p>
    <w:p w14:paraId="6F1DB7D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对于有创行优、国优工程奖要求的工程项目，依据监理合同的约定和公司《优质工程评选管理规定》以及业主项目部下发的《项目总体策划》，总监理工程师组织编写《工程创优监理实施细则》。</w:t>
      </w:r>
    </w:p>
    <w:p w14:paraId="6964119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（8）开工条件确认</w:t>
      </w:r>
    </w:p>
    <w:p w14:paraId="2E2D49B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专业监理工程师审查施工项目部报审的《工程开工报审表》及附件，并进行现场核查，符合条件时，由总监理工程师签认，报业主项目部批准。</w:t>
      </w:r>
    </w:p>
    <w:p w14:paraId="7628671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总监理工程师应在业主项目部批准《工程开工报审表》后，签发《工程开工令》。</w:t>
      </w:r>
    </w:p>
    <w:p w14:paraId="4E9D9D7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264" w:name="_Toc298848086"/>
      <w:bookmarkStart w:id="265" w:name="_Toc295810503"/>
      <w:bookmarkStart w:id="266" w:name="_Toc296669141"/>
      <w:bookmarkStart w:id="267" w:name="_Toc295815733"/>
      <w:r>
        <w:rPr>
          <w:rFonts w:hint="eastAsia" w:ascii="宋体" w:hAnsi="宋体" w:cs="宋体"/>
          <w:color w:val="auto"/>
          <w:kern w:val="0"/>
          <w:szCs w:val="21"/>
          <w:highlight w:val="none"/>
          <w:shd w:val="clear" w:color="auto" w:fill="auto"/>
          <w:lang w:val="zh-CN"/>
        </w:rPr>
        <w:t>2.3.2  施工阶段</w:t>
      </w:r>
      <w:bookmarkEnd w:id="264"/>
      <w:bookmarkEnd w:id="265"/>
      <w:bookmarkEnd w:id="266"/>
      <w:bookmarkEnd w:id="267"/>
    </w:p>
    <w:p w14:paraId="49853CC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（1）落实标准设计</w:t>
      </w:r>
    </w:p>
    <w:p w14:paraId="1DB2D70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督促落实标准设计，履行施工图和工程变更管理职责，加强设计质量管理。</w:t>
      </w:r>
    </w:p>
    <w:p w14:paraId="071E404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1）审查《设计变更联系单》，从技术、造价等方面进行判断是否需要变更；《设计变更联系单》经业主项目部审批后，由设计单位出具《设计变更通知单》。</w:t>
      </w:r>
    </w:p>
    <w:p w14:paraId="1B54E78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2）审查《设计变更通知单》，审查对质量、造价和工期的影响是否在可控范围内。</w:t>
      </w:r>
    </w:p>
    <w:p w14:paraId="4694544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3）监督设计变更的实施，根据实施情况审核已完成的《设计变更通知单》，并提交业主项目部。</w:t>
      </w:r>
    </w:p>
    <w:p w14:paraId="2B88E9B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（2）施工作业指导书应用</w:t>
      </w:r>
    </w:p>
    <w:p w14:paraId="4A3E7E1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落实南方电网施工作业指导书的全面应用，监督施工单位执行施工作业指导书“筛选—分析—审批—应用”四步骤。</w:t>
      </w:r>
    </w:p>
    <w:p w14:paraId="0DA548C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（3）工程WHS质量控制点应用</w:t>
      </w:r>
    </w:p>
    <w:p w14:paraId="62AF1BD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1）WHS质量控制点实施检查</w:t>
      </w:r>
    </w:p>
    <w:p w14:paraId="6D733DA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 xml:space="preserve">工程施工过程中，专业监理工程师应根据工程实际进度，按基建工程质量控制（WHS）标准及时检查WHS质量控制点的实体质量，填写相应的检查表，及时组卷、存档。 </w:t>
      </w:r>
    </w:p>
    <w:p w14:paraId="0D00544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（4）施工过程质量检查</w:t>
      </w:r>
    </w:p>
    <w:p w14:paraId="274B88B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根据施工进展，对施工现场进行巡视，重点检查施工质量管理是否到位、施工作业是否满足规范和设计要求，发现问题及时纠正。监理人员应将检查情况记录在《监理日志》中。</w:t>
      </w:r>
    </w:p>
    <w:p w14:paraId="7B0B569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（5）工程建设强制性条文执行</w:t>
      </w:r>
    </w:p>
    <w:p w14:paraId="22A242D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督促施工项目部落实《工程建设标准强制性条文实施方案》，施工单位相关责任人应根据工程进展按分项工程及时记录强制条文的执行情况，如实填写《工程施工强制性条文执行检查表》，并由专业监理工程师同步对施工单位强制性条文执行情况进行核查，签填核查情况及整改要求，存在整改要求的，应及时下达《监理通知单》，要求责任单位限期整改，完成整改后报监理项目部复检，闭环。</w:t>
      </w:r>
    </w:p>
    <w:p w14:paraId="445A5A4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（6）工程质量验收与评定标准应用</w:t>
      </w:r>
    </w:p>
    <w:p w14:paraId="597DC29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监理项目部按照《基建项目投产及移交管理业务指导书》、《10kV～500kV输变电及配电工程质量验收与评定标准》、《基建验收管理业务指导书》组织或参与验收工作，并完成各阶段（中间）验收及竣工验收所需监理资料。监理项目部应要求各施工项目部使用统一的验评表格。</w:t>
      </w:r>
    </w:p>
    <w:p w14:paraId="48E4117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（7）缺陷管理</w:t>
      </w:r>
    </w:p>
    <w:p w14:paraId="3BB8604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监理项目部按《10kV～500kV输变电及配电工程质量验收及评定标准》等相关标准进行检查验收，检查出属于《南方电网公司输变电设备缺陷定级标准》的质量缺陷，应向责任单位发出《质量缺陷通知单》。责任单位应按照整改要求在规定的时限内对质量缺陷进行整改，并使用《质量缺陷整改回复》（包括佐证影像资料）报监理项目部复查。监理项目部对质量缺陷初验合格后，由设计/物资单位验收（必要时），并报建设单位（业主项目部）确认。</w:t>
      </w:r>
    </w:p>
    <w:p w14:paraId="34A0765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（8）质量事故调查与处理</w:t>
      </w:r>
    </w:p>
    <w:p w14:paraId="27B4241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当发现施工中存在重大质量隐患时，监理项目部首先口头指令暂停施工，然后在报业主项目部同意后，及时签发《工程暂停令》，要求施工项目部停工整改并报送整改方案，整改完毕后填报《工程复工报审表》,并经监理人员复查，符合规定要求后，监理项目部及时报业主项目部同意后签署《工程复工报审表》，总监理工程师应在经业主项目部批准复工后签发《工程复工令》。</w:t>
      </w:r>
    </w:p>
    <w:p w14:paraId="4D45527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当发生质量事故/事件时，监理项目部应立即向业主项目部经理上报有关事故/事件情况，并协助业主项目部经理按照《中国南方电网有限责任公司电力事故事件调查规程》的相关要求上报上级主管部门。同时监理项目部应督促事故责任单位立即采取措施，防止事故扩大，并参加有关部门组织的质量事故调查，提出监理处理建议，并监督事故处理方案的实施。</w:t>
      </w:r>
    </w:p>
    <w:p w14:paraId="7164071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（9）基建承包商日常检查扣分管理</w:t>
      </w:r>
    </w:p>
    <w:p w14:paraId="2FE1867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根据《基建项目承包商管理业务指导书》的相关要求做好以下工作：</w:t>
      </w:r>
    </w:p>
    <w:p w14:paraId="03D57B8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1）对施工现场有违反承包商违章扣分处罚条款的质量方面行为需立即责令整改，并发出《监理通知单》，情节严重的可建议业主项目部对责任单位进行违章扣分。</w:t>
      </w:r>
    </w:p>
    <w:p w14:paraId="32EC558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2）按照时间承包商评价的时间节点要求，负责对承包商进行项目履约评价。</w:t>
      </w:r>
    </w:p>
    <w:p w14:paraId="467B9F5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（10）QC管理</w:t>
      </w:r>
    </w:p>
    <w:p w14:paraId="1AE9D63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监理项目部可联合各参建单位或独立开展QC活动，持续开展基建质量改进活动，形成QC成果。</w:t>
      </w:r>
    </w:p>
    <w:p w14:paraId="3847E1B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268" w:name="_Toc298848087"/>
      <w:bookmarkStart w:id="269" w:name="_Toc295815734"/>
      <w:bookmarkStart w:id="270" w:name="_Toc296669142"/>
      <w:bookmarkStart w:id="271" w:name="_Toc295810504"/>
      <w:r>
        <w:rPr>
          <w:rFonts w:hint="eastAsia" w:ascii="宋体" w:hAnsi="宋体" w:cs="宋体"/>
          <w:color w:val="auto"/>
          <w:kern w:val="0"/>
          <w:szCs w:val="21"/>
          <w:highlight w:val="none"/>
          <w:shd w:val="clear" w:color="auto" w:fill="auto"/>
          <w:lang w:val="zh-CN"/>
        </w:rPr>
        <w:t>2.3.3  工程竣工验收阶段</w:t>
      </w:r>
      <w:bookmarkEnd w:id="268"/>
      <w:bookmarkEnd w:id="269"/>
      <w:bookmarkEnd w:id="270"/>
      <w:bookmarkEnd w:id="271"/>
    </w:p>
    <w:p w14:paraId="0F42E40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（1）工程竣工验收程序</w:t>
      </w:r>
    </w:p>
    <w:p w14:paraId="2C17628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按照公司《基建验收管理业务指导书》，监理项目部在收到《工程启动/竣工验收报审表》后对施工项目部报送的竣工资料进行审查，于7日内组织工程竣工阶段初检工作，并按照《10kV～500kV输变电及配电工程质量验收与评定标准》/《水电站基本建设工程验收规程》DL /T5123-2000进行验收。对发现属于《南方电网公司输变电设备缺陷定级标准》的质量缺陷，发出《质量缺陷通知单》,由施工项目部编制整改措施并实施，整改完毕后使用《质量缺陷整改回复单》报监理项目部组织复查。</w:t>
      </w:r>
    </w:p>
    <w:p w14:paraId="7A2D231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2）监理初检合格后，由监理项目部提交《工程监理竣工初检报告》和施工项目部《工程竣工验收报审表》报业主项目部审批。</w:t>
      </w:r>
    </w:p>
    <w:p w14:paraId="0547FF6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3）依据公司《基建验收管理业务指导书》参加启动验收及竣工验收，对验收中提出的问题和缺陷，督促责任单位进行整改后复检；参加工程启动会议，提交汇报资料。</w:t>
      </w:r>
    </w:p>
    <w:p w14:paraId="3EE9F8F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4）参加工程项目系统调试、启动、试运行。</w:t>
      </w:r>
    </w:p>
    <w:p w14:paraId="55291C3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（2）工程总体质量评估</w:t>
      </w:r>
    </w:p>
    <w:p w14:paraId="4E1F79D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在监理初检的同时进行整体工程质量验收汇总工作，审查施工项目部报审的《工程质量验评记录汇总报审表》（小型基建工程除外），并形成《工程质量评估报告》。</w:t>
      </w:r>
    </w:p>
    <w:p w14:paraId="3D9356A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（3）专项工程验收</w:t>
      </w:r>
    </w:p>
    <w:p w14:paraId="44DA430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1）特种设备安装完毕后，配合特种设备安全监督管理部门（技术监督局）检查、检验，督促处理存在的问题。</w:t>
      </w:r>
    </w:p>
    <w:p w14:paraId="6E212C5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2）消防工程完成后，配合公安消防部门检查验收，督促处理存在的问题。</w:t>
      </w:r>
    </w:p>
    <w:p w14:paraId="12D88F2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272" w:name="_Toc295810505"/>
      <w:bookmarkStart w:id="273" w:name="_Toc298848088"/>
      <w:bookmarkStart w:id="274" w:name="_Toc295815735"/>
      <w:bookmarkStart w:id="275" w:name="_Toc296669143"/>
      <w:r>
        <w:rPr>
          <w:rFonts w:hint="eastAsia" w:ascii="宋体" w:hAnsi="宋体" w:cs="宋体"/>
          <w:color w:val="auto"/>
          <w:kern w:val="0"/>
          <w:szCs w:val="21"/>
          <w:highlight w:val="none"/>
          <w:shd w:val="clear" w:color="auto" w:fill="auto"/>
          <w:lang w:val="zh-CN"/>
        </w:rPr>
        <w:t>2.3.4  总结评价阶段</w:t>
      </w:r>
      <w:bookmarkEnd w:id="272"/>
      <w:bookmarkEnd w:id="273"/>
      <w:bookmarkEnd w:id="274"/>
      <w:bookmarkEnd w:id="275"/>
    </w:p>
    <w:p w14:paraId="30EDCA3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（1）质量总结</w:t>
      </w:r>
    </w:p>
    <w:p w14:paraId="0BEF9DE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总结质量监理工作经验，对质量控制工作进行评价，并按要求完成《监理工作总结》质量控制部分的编写。</w:t>
      </w:r>
    </w:p>
    <w:p w14:paraId="76243E5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（2）质量保修</w:t>
      </w:r>
    </w:p>
    <w:p w14:paraId="5258569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1）对工程质量缺陷进行检查、记录、调查分析，并与建设单位及参建单位共同确定责任归属。</w:t>
      </w:r>
    </w:p>
    <w:p w14:paraId="6BD68B1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2）对施工原因造成的工程质量缺陷，监理项目部应督促施工项目部及时修复，对无法修复部分进行重建。</w:t>
      </w:r>
    </w:p>
    <w:p w14:paraId="2A37022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3）参与修复和重建工程的质量验收。</w:t>
      </w:r>
    </w:p>
    <w:p w14:paraId="0DACD90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（3）资料、档案移交</w:t>
      </w:r>
    </w:p>
    <w:p w14:paraId="49C9062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工程竣工后，监理项目部负责整理、移交监理档案资料，督促施工项目部及时编制完整、准确的竣工草图，对竣工图进行审核、签认。</w:t>
      </w:r>
    </w:p>
    <w:p w14:paraId="3698C3D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（4）达标创优</w:t>
      </w:r>
    </w:p>
    <w:p w14:paraId="23D7846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1）对于有达标投产、创优要求的工程，按照建设工程监理合同的要求以及公司《基建达标投产及工程评优管理业务指导书》，进行自检并参加达标投产、创优工作。</w:t>
      </w:r>
    </w:p>
    <w:p w14:paraId="0E96D35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2）按照建设工程监理合同的要求参加相关单位组织的后评价工作。</w:t>
      </w:r>
    </w:p>
    <w:p w14:paraId="2CB5019A">
      <w:pPr>
        <w:autoSpaceDE w:val="0"/>
        <w:autoSpaceDN w:val="0"/>
        <w:adjustRightInd w:val="0"/>
        <w:spacing w:line="540" w:lineRule="exact"/>
        <w:ind w:firstLine="422" w:firstLineChars="200"/>
        <w:jc w:val="left"/>
        <w:rPr>
          <w:rFonts w:ascii="宋体" w:hAnsi="宋体" w:cs="宋体"/>
          <w:b/>
          <w:bCs/>
          <w:color w:val="auto"/>
          <w:kern w:val="0"/>
          <w:szCs w:val="21"/>
          <w:highlight w:val="none"/>
          <w:shd w:val="clear" w:color="auto" w:fill="auto"/>
          <w:lang w:val="zh-CN"/>
        </w:rPr>
      </w:pPr>
      <w:r>
        <w:rPr>
          <w:rFonts w:hint="eastAsia" w:ascii="宋体" w:hAnsi="宋体" w:cs="宋体"/>
          <w:b/>
          <w:bCs/>
          <w:color w:val="auto"/>
          <w:kern w:val="0"/>
          <w:szCs w:val="21"/>
          <w:highlight w:val="none"/>
          <w:shd w:val="clear" w:color="auto" w:fill="auto"/>
          <w:lang w:val="zh-CN"/>
        </w:rPr>
        <w:t>2.4 进度控制</w:t>
      </w:r>
    </w:p>
    <w:p w14:paraId="4E4E923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276" w:name="_Toc278372200"/>
      <w:bookmarkStart w:id="277" w:name="_Toc278621096"/>
      <w:bookmarkStart w:id="278" w:name="_Toc278988461"/>
      <w:bookmarkStart w:id="279" w:name="_Toc278619713"/>
      <w:bookmarkStart w:id="280" w:name="_Toc278629419"/>
      <w:r>
        <w:rPr>
          <w:rFonts w:hint="eastAsia" w:ascii="宋体" w:hAnsi="宋体" w:cs="宋体"/>
          <w:color w:val="auto"/>
          <w:kern w:val="0"/>
          <w:szCs w:val="21"/>
          <w:highlight w:val="none"/>
          <w:shd w:val="clear" w:color="auto" w:fill="auto"/>
          <w:lang w:val="zh-CN"/>
        </w:rPr>
        <w:t>建设工程进度控制是指对工程项目建设施工阶段的工作内容、工作程序、持续时间和衔接关系根据进度控制里程碑计划及资源优化配置的原则编制计划并付诸实施，在进度计划的实施过程中检查实际进度是否按计划要求进行，对出现的偏差情况进行分析，要求施工项目部采取补救措施或调整、修改原计划后再付诸实施，如此循环直到建设工程竣工验收交付使用。项目实施过程中，工程进度和质量、成本、安全等因素相互影响、息息相关，是工程项目实施中的重点控制内容之一。进度控制的目的是在保证工程安全与质量的前提下，按资源优化配置的原则合理安排资源供应、节约工程成本，确保工程项目的既定目标工期的实现。</w:t>
      </w:r>
    </w:p>
    <w:p w14:paraId="27B7D01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281" w:name="_Toc298848113"/>
      <w:bookmarkStart w:id="282" w:name="_Toc304925811"/>
      <w:bookmarkStart w:id="283" w:name="_Toc295815759"/>
      <w:r>
        <w:rPr>
          <w:rFonts w:hint="eastAsia" w:ascii="宋体" w:hAnsi="宋体" w:cs="宋体"/>
          <w:color w:val="auto"/>
          <w:kern w:val="0"/>
          <w:szCs w:val="21"/>
          <w:highlight w:val="none"/>
          <w:shd w:val="clear" w:color="auto" w:fill="auto"/>
          <w:lang w:val="zh-CN"/>
        </w:rPr>
        <w:t xml:space="preserve">2.4.1 </w:t>
      </w:r>
      <w:bookmarkEnd w:id="281"/>
      <w:r>
        <w:rPr>
          <w:rFonts w:hint="eastAsia" w:ascii="宋体" w:hAnsi="宋体" w:cs="宋体"/>
          <w:color w:val="auto"/>
          <w:kern w:val="0"/>
          <w:szCs w:val="21"/>
          <w:highlight w:val="none"/>
          <w:shd w:val="clear" w:color="auto" w:fill="auto"/>
          <w:lang w:val="zh-CN"/>
        </w:rPr>
        <w:t>工作内容与方法</w:t>
      </w:r>
      <w:bookmarkEnd w:id="282"/>
    </w:p>
    <w:p w14:paraId="7D3E0F7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284" w:name="_Toc298848114"/>
      <w:r>
        <w:rPr>
          <w:rFonts w:hint="eastAsia" w:ascii="宋体" w:hAnsi="宋体" w:cs="宋体"/>
          <w:color w:val="auto"/>
          <w:kern w:val="0"/>
          <w:szCs w:val="21"/>
          <w:highlight w:val="none"/>
          <w:shd w:val="clear" w:color="auto" w:fill="auto"/>
          <w:lang w:val="zh-CN"/>
        </w:rPr>
        <w:t>2.4.1.1 监理项目部应依据施工合同有关条款、设计文件及经过批准的施工组织设计制定施工进度控制方案，对进度目标进行风险分析，制定防范性对策。</w:t>
      </w:r>
      <w:bookmarkEnd w:id="283"/>
      <w:bookmarkEnd w:id="284"/>
      <w:bookmarkStart w:id="285" w:name="_Toc298848157"/>
      <w:bookmarkStart w:id="286" w:name="_Toc295815802"/>
    </w:p>
    <w:p w14:paraId="1DB4F3A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2.4.1.2 进度控制准备</w:t>
      </w:r>
      <w:bookmarkEnd w:id="285"/>
      <w:bookmarkEnd w:id="286"/>
    </w:p>
    <w:p w14:paraId="05180F3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1）收集、整理进度控制依据，如施工合同、工程前期资料、工程内容、范围、工程性质、工程量及工程地点、交通、环境、气候等。</w:t>
      </w:r>
    </w:p>
    <w:p w14:paraId="48E5993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2）根据业主项目部一级进度计划和工程项目关键节点控制的要求，审核施工项目部编制的二级进度计划，确定进度控制目标。</w:t>
      </w:r>
    </w:p>
    <w:p w14:paraId="65FCE44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在《监理实施细则》中应编写进度控制的内容，结合工程实际，从设计、施工技术、自然环境、社会环境、组织管理、材料、设备供应、资金投入等方面分析可能影响工程进度的因素，提出预控措施；明确进度检查、统计周期、数据采集方式、进度报表格式（《业主项目部工作手册》7B04附件）、统计分析方法、控制网络图等要素。</w:t>
      </w:r>
    </w:p>
    <w:p w14:paraId="6121BA3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4）监理项目部应根据开工条件审查情况，对满足开工要求的，及时签署《工程开工报审表》的审查意见。</w:t>
      </w:r>
    </w:p>
    <w:p w14:paraId="3C44199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287" w:name="_Toc295815803"/>
      <w:bookmarkStart w:id="288" w:name="_Toc298848158"/>
      <w:r>
        <w:rPr>
          <w:rFonts w:hint="eastAsia" w:ascii="宋体" w:hAnsi="宋体" w:cs="宋体"/>
          <w:color w:val="auto"/>
          <w:kern w:val="0"/>
          <w:szCs w:val="21"/>
          <w:highlight w:val="none"/>
          <w:shd w:val="clear" w:color="auto" w:fill="auto"/>
          <w:lang w:val="zh-CN"/>
        </w:rPr>
        <w:t>2.4.1.3 进度计划审查</w:t>
      </w:r>
      <w:bookmarkEnd w:id="287"/>
      <w:bookmarkEnd w:id="288"/>
    </w:p>
    <w:p w14:paraId="7736D77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1）施工单位在监理转达二级进度计划后，根据二级计划编制三级进度计划并上报监理人审批。</w:t>
      </w:r>
    </w:p>
    <w:p w14:paraId="1AF1315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2）审核物资供应商提出的供货计划，并协助业主项目部督促其执行。</w:t>
      </w:r>
    </w:p>
    <w:p w14:paraId="56F6F65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3）督促施工项目部根据停电作业的需求，及时编制停电计划，并及时上报相应单位审批。</w:t>
      </w:r>
    </w:p>
    <w:p w14:paraId="2463D13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4）督促施工项目部就冬雨季施工编制合理的施工方案与施工计划，充分考虑天气、温度等自然因素对施工的影响，提前进行合理安排。</w:t>
      </w:r>
    </w:p>
    <w:p w14:paraId="22DD7B1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289" w:name="_Toc295815804"/>
      <w:bookmarkStart w:id="290" w:name="_Toc298848159"/>
      <w:r>
        <w:rPr>
          <w:rFonts w:hint="eastAsia" w:ascii="宋体" w:hAnsi="宋体" w:cs="宋体"/>
          <w:color w:val="auto"/>
          <w:kern w:val="0"/>
          <w:szCs w:val="21"/>
          <w:highlight w:val="none"/>
          <w:shd w:val="clear" w:color="auto" w:fill="auto"/>
          <w:lang w:val="zh-CN"/>
        </w:rPr>
        <w:t>2.4.1.4 进度计划检查与调整</w:t>
      </w:r>
      <w:bookmarkEnd w:id="289"/>
      <w:bookmarkEnd w:id="290"/>
    </w:p>
    <w:p w14:paraId="2BC5CD8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1）监理项目部应根据审批的施工进度计划和设计图纸交付计划对工程实际进度进行跟踪检查，掌握现场人员、材料、设备、机械、环境等情况，并做好相应记录。</w:t>
      </w:r>
    </w:p>
    <w:p w14:paraId="60F0D95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2）专业监理工程师注意收集工程进度信息，了解工程进度计划中各分项、分部工程施工的实际进度情况，并与计划对比分析。</w:t>
      </w:r>
    </w:p>
    <w:p w14:paraId="658AB74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3）对进度检查结果与进度计划进行比较、分析，发生偏差（不影响工程关键节点进度）时应发出《监理通知单》或召开协调会，要求责任单位及时采取调整措施，以实现进度目标。</w:t>
      </w:r>
    </w:p>
    <w:p w14:paraId="0588ADD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4）工程实际进度与计划进度发生严重偏差时，监理项目部应召集参建各方召开专题会议分析偏差产生原因，提出改善意见及建议，督促施工项目部调整施工计划采取有效措施保证进度目标的实现。</w:t>
      </w:r>
    </w:p>
    <w:p w14:paraId="436C675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5）在每月的《监理月报》中应向业主项目部报告工程实际进展情况，分析实际情况与计划进度的偏差，叙述本月监理所采取的控制措施，以及措施的执行情况。</w:t>
      </w:r>
    </w:p>
    <w:p w14:paraId="16E90D2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6）工程实施过程中，应避免施工项目部因抢工期而出现安全隐患或工程质量下降，甚至不合格的情况出现；否则应发出《监理通知单》，要求施工项目部整改，整改完成后向监理项目部报送《监理通知回复单》，经监理项目部复查合格后签字闭环；必要时总监理工程师可发出《工程暂停令》，要求施工项目部停工整改，整改完毕并经监理人员复查，符合规定要求后，总监理工程师应及时签署《工程复工报审表》，经业主项目部审批同意后复工。</w:t>
      </w:r>
    </w:p>
    <w:p w14:paraId="155F945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7）由非施工项目部原因引起的工程延期，监理项目部应根据施工合同中有关工程延期的约定，根据工期延期原因和实际影响工期的程度，对工期事件进行量化，审查《费用索赔报审表》。</w:t>
      </w:r>
    </w:p>
    <w:p w14:paraId="5E255B7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291" w:name="_Toc298848160"/>
      <w:bookmarkStart w:id="292" w:name="_Toc295815805"/>
      <w:r>
        <w:rPr>
          <w:rFonts w:hint="eastAsia" w:ascii="宋体" w:hAnsi="宋体" w:cs="宋体"/>
          <w:color w:val="auto"/>
          <w:kern w:val="0"/>
          <w:szCs w:val="21"/>
          <w:highlight w:val="none"/>
          <w:shd w:val="clear" w:color="auto" w:fill="auto"/>
          <w:lang w:val="zh-CN"/>
        </w:rPr>
        <w:t>2.4.1.5 进度文件管理</w:t>
      </w:r>
      <w:bookmarkEnd w:id="291"/>
      <w:bookmarkEnd w:id="292"/>
    </w:p>
    <w:p w14:paraId="176E912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1）及时整理、收集工程进度有关资料，按公司文件管理的规定做好监理资料的归档。</w:t>
      </w:r>
    </w:p>
    <w:p w14:paraId="5362FD9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2）工程结束后，总监理工程师应及时组织项目监理人员进行总结，编写工程进度控制监理工作总结。</w:t>
      </w:r>
    </w:p>
    <w:p w14:paraId="7B93C4B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3）工程竣工后根据竣工档案资料移交的要求，督促设计人编制竣工图，并及时交付。</w:t>
      </w:r>
    </w:p>
    <w:bookmarkEnd w:id="276"/>
    <w:bookmarkEnd w:id="277"/>
    <w:bookmarkEnd w:id="278"/>
    <w:bookmarkEnd w:id="279"/>
    <w:bookmarkEnd w:id="280"/>
    <w:p w14:paraId="77FA9C96">
      <w:pPr>
        <w:autoSpaceDE w:val="0"/>
        <w:autoSpaceDN w:val="0"/>
        <w:adjustRightInd w:val="0"/>
        <w:spacing w:line="540" w:lineRule="exact"/>
        <w:ind w:firstLine="422" w:firstLineChars="200"/>
        <w:jc w:val="left"/>
        <w:rPr>
          <w:rFonts w:ascii="宋体" w:hAnsi="宋体" w:cs="宋体"/>
          <w:b/>
          <w:bCs/>
          <w:color w:val="auto"/>
          <w:kern w:val="0"/>
          <w:szCs w:val="21"/>
          <w:highlight w:val="none"/>
          <w:shd w:val="clear" w:color="auto" w:fill="auto"/>
          <w:lang w:val="zh-CN"/>
        </w:rPr>
      </w:pPr>
      <w:r>
        <w:rPr>
          <w:rFonts w:hint="eastAsia" w:ascii="宋体" w:hAnsi="宋体" w:cs="宋体"/>
          <w:b/>
          <w:bCs/>
          <w:color w:val="auto"/>
          <w:kern w:val="0"/>
          <w:szCs w:val="21"/>
          <w:highlight w:val="none"/>
          <w:shd w:val="clear" w:color="auto" w:fill="auto"/>
          <w:lang w:val="zh-CN"/>
        </w:rPr>
        <w:t>2.5  造价控制</w:t>
      </w:r>
    </w:p>
    <w:p w14:paraId="0178D3E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293" w:name="_Toc298848101"/>
      <w:bookmarkStart w:id="294" w:name="_Toc296669152"/>
      <w:bookmarkStart w:id="295" w:name="_Toc295815746"/>
      <w:bookmarkStart w:id="296" w:name="_Toc304925807"/>
      <w:bookmarkStart w:id="297" w:name="_Toc295810516"/>
      <w:r>
        <w:rPr>
          <w:rFonts w:hint="eastAsia" w:ascii="宋体" w:hAnsi="宋体" w:cs="宋体"/>
          <w:color w:val="auto"/>
          <w:kern w:val="0"/>
          <w:szCs w:val="21"/>
          <w:highlight w:val="none"/>
          <w:shd w:val="clear" w:color="auto" w:fill="auto"/>
          <w:lang w:val="zh-CN"/>
        </w:rPr>
        <w:t>2.5.</w:t>
      </w:r>
      <w:r>
        <w:rPr>
          <w:color w:val="auto"/>
          <w:highlight w:val="none"/>
          <w:shd w:val="clear" w:color="auto" w:fill="auto"/>
        </w:rPr>
        <w:fldChar w:fldCharType="begin"/>
      </w:r>
      <w:r>
        <w:rPr>
          <w:color w:val="auto"/>
          <w:highlight w:val="none"/>
          <w:shd w:val="clear" w:color="auto" w:fill="auto"/>
        </w:rPr>
        <w:instrText xml:space="preserve"> HYPERLINK "file:///C:\\Documents%20and%20Settings\\talhm\\桌面\\南网监理项目部标准化工作手册\\《监理项目部标准化工作手册》编写造价控制部分.doc" \l "_Toc255562809" </w:instrText>
      </w:r>
      <w:r>
        <w:rPr>
          <w:color w:val="auto"/>
          <w:highlight w:val="none"/>
          <w:shd w:val="clear" w:color="auto" w:fill="auto"/>
        </w:rPr>
        <w:fldChar w:fldCharType="separate"/>
      </w:r>
      <w:r>
        <w:rPr>
          <w:rFonts w:hint="eastAsia" w:ascii="宋体" w:hAnsi="宋体" w:cs="宋体"/>
          <w:color w:val="auto"/>
          <w:kern w:val="0"/>
          <w:szCs w:val="21"/>
          <w:highlight w:val="none"/>
          <w:shd w:val="clear" w:color="auto" w:fill="auto"/>
          <w:lang w:val="zh-CN"/>
        </w:rPr>
        <w:t>1 工作内容</w:t>
      </w:r>
      <w:r>
        <w:rPr>
          <w:rFonts w:ascii="宋体" w:hAnsi="宋体" w:cs="宋体"/>
          <w:color w:val="auto"/>
          <w:kern w:val="0"/>
          <w:szCs w:val="21"/>
          <w:highlight w:val="none"/>
          <w:shd w:val="clear" w:color="auto" w:fill="auto"/>
          <w:lang w:val="zh-CN"/>
        </w:rPr>
        <w:fldChar w:fldCharType="end"/>
      </w:r>
      <w:r>
        <w:rPr>
          <w:rFonts w:hint="eastAsia" w:ascii="宋体" w:hAnsi="宋体" w:cs="宋体"/>
          <w:color w:val="auto"/>
          <w:kern w:val="0"/>
          <w:szCs w:val="21"/>
          <w:highlight w:val="none"/>
          <w:shd w:val="clear" w:color="auto" w:fill="auto"/>
          <w:lang w:val="zh-CN"/>
        </w:rPr>
        <w:t>与方法</w:t>
      </w:r>
      <w:bookmarkEnd w:id="293"/>
      <w:bookmarkEnd w:id="294"/>
      <w:bookmarkEnd w:id="295"/>
      <w:bookmarkEnd w:id="296"/>
      <w:bookmarkEnd w:id="297"/>
    </w:p>
    <w:p w14:paraId="4DEF46A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298" w:name="_Toc298848102"/>
      <w:bookmarkStart w:id="299" w:name="_Toc295810517"/>
      <w:bookmarkStart w:id="300" w:name="_Toc296669153"/>
      <w:bookmarkStart w:id="301" w:name="_Toc295815747"/>
      <w:bookmarkStart w:id="302" w:name="_Toc295810521"/>
      <w:bookmarkStart w:id="303" w:name="_Toc296669157"/>
      <w:bookmarkStart w:id="304" w:name="_Toc295815751"/>
      <w:r>
        <w:rPr>
          <w:rFonts w:hint="eastAsia" w:ascii="宋体" w:hAnsi="宋体" w:cs="宋体"/>
          <w:color w:val="auto"/>
          <w:kern w:val="0"/>
          <w:szCs w:val="21"/>
          <w:highlight w:val="none"/>
          <w:shd w:val="clear" w:color="auto" w:fill="auto"/>
          <w:lang w:val="zh-CN"/>
        </w:rPr>
        <w:t>2.5.1.1 施工准备阶段</w:t>
      </w:r>
      <w:bookmarkEnd w:id="298"/>
      <w:bookmarkEnd w:id="299"/>
      <w:bookmarkEnd w:id="300"/>
      <w:bookmarkEnd w:id="301"/>
    </w:p>
    <w:p w14:paraId="5A2779A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1）依据中国南方电网有限责任公司《基建项目造价管理业务指导书》在《监理规划》中编制造价控制的内容。</w:t>
      </w:r>
    </w:p>
    <w:p w14:paraId="281BD7D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2）建立工程计量、工程款支付签证制度。</w:t>
      </w:r>
    </w:p>
    <w:p w14:paraId="1772D4A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3）收集造价控制方面的基础资料。依据施工合同有关条款、设计及施工文件，对工程造价进行风险分析，并向业主项目部提出防范性对策和建议。</w:t>
      </w:r>
    </w:p>
    <w:p w14:paraId="79A64B4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05" w:name="_Toc295810518"/>
      <w:bookmarkStart w:id="306" w:name="_Toc295815748"/>
      <w:bookmarkStart w:id="307" w:name="_Toc298848103"/>
      <w:bookmarkStart w:id="308" w:name="_Toc296669154"/>
      <w:r>
        <w:rPr>
          <w:rFonts w:hint="eastAsia" w:ascii="宋体" w:hAnsi="宋体" w:cs="宋体"/>
          <w:color w:val="auto"/>
          <w:kern w:val="0"/>
          <w:szCs w:val="21"/>
          <w:highlight w:val="none"/>
          <w:shd w:val="clear" w:color="auto" w:fill="auto"/>
          <w:lang w:val="zh-CN"/>
        </w:rPr>
        <w:t>2.5.1.2 施工阶段</w:t>
      </w:r>
      <w:bookmarkEnd w:id="305"/>
      <w:bookmarkEnd w:id="306"/>
      <w:bookmarkEnd w:id="307"/>
      <w:bookmarkEnd w:id="308"/>
    </w:p>
    <w:p w14:paraId="767A796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1）工程计量与工程款支付审核</w:t>
      </w:r>
    </w:p>
    <w:p w14:paraId="2A93B4D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（1）依据施工合同约定，对施工项目部提交的《工程款支付报审表》进行审核和签认，报业主项目部审批。</w:t>
      </w:r>
    </w:p>
    <w:p w14:paraId="768C479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专业监理工程师依据清单报价和设计图纸对已经验收合格的工程实施工程计量，审核施工项目部填报的工程量清单和《工程款支付报审表》，报总监理工程师；总监理工程师审核和签认，并同《工程支付证书》一起报业主项目部审批。</w:t>
      </w:r>
    </w:p>
    <w:p w14:paraId="33A8FA2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工程款支付申请的审查要点：审查申报完成的工程量是否为已报监理项目部质量验收合格；审查工程量统计是否准确，工程款计算是否正确；对施工项目部超出设计图纸范围和因施工项目部原因造成返工的工程量，监理项目部不予计量；未经监理项目部质量验收合格的工程量或不符合承包合同约定的工程量，监理项目部应拒绝计量和拒绝签认该部分的工程款支付申请。</w:t>
      </w:r>
    </w:p>
    <w:p w14:paraId="622E454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（4）依据有关合同规定审核其它费用付款申请。</w:t>
      </w:r>
    </w:p>
    <w:p w14:paraId="1AB292A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2）工程变更费用审查</w:t>
      </w:r>
    </w:p>
    <w:p w14:paraId="4813A58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（1）依据施工合同及在业主项目部授权范围内，在工程变更实施前对《设计变更通知单》的变更费用预算进行审查。</w:t>
      </w:r>
    </w:p>
    <w:p w14:paraId="73A306A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（2）施工项目部提出的工程变更应按照施工合同的约定，编制工程变更预算书，报送监理项目部审核，经业主项目部认可后，方可进入计量和工程款支付程序。</w:t>
      </w:r>
    </w:p>
    <w:p w14:paraId="293D8F0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依据工程变更文件，查验现场执行情况并对工程量实施计量，该工程变更项目完成后，在施工合同约定的限期内，业主项目部、施工项目部和监理项目部三方共同会签《工程量签证单》(见附表2)。逾期办理的《工程量签证单》，监理项目部不得予以计量。未经总监理工程师审查同意而实施的工程变更，监理项目部不得予以计量。</w:t>
      </w:r>
    </w:p>
    <w:p w14:paraId="5433617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在业主项目部和施工项目部未能就工程变更的费用等方面达成协议时，监理项目部可以协调提出一个暂定的价格，作为临时支付工程进度款的依据。该项工程款最终结算时，应以业主项目部和施工项目部达成的协议为依据。</w:t>
      </w:r>
    </w:p>
    <w:p w14:paraId="1027F23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3）工程造价控制分析</w:t>
      </w:r>
    </w:p>
    <w:p w14:paraId="0D5921D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建立工程量统计报表，对实际完成情况和计划完成情况进行比较、分析，向委托人提出调整建议。</w:t>
      </w:r>
    </w:p>
    <w:p w14:paraId="6417A46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09" w:name="_Toc295810519"/>
      <w:bookmarkStart w:id="310" w:name="_Toc304925808"/>
      <w:bookmarkStart w:id="311" w:name="_Toc296669155"/>
      <w:bookmarkStart w:id="312" w:name="_Toc295815749"/>
      <w:bookmarkStart w:id="313" w:name="_Toc298848104"/>
      <w:r>
        <w:rPr>
          <w:rFonts w:hint="eastAsia" w:ascii="宋体" w:hAnsi="宋体" w:cs="宋体"/>
          <w:color w:val="auto"/>
          <w:kern w:val="0"/>
          <w:szCs w:val="21"/>
          <w:highlight w:val="none"/>
          <w:shd w:val="clear" w:color="auto" w:fill="auto"/>
          <w:lang w:val="zh-CN"/>
        </w:rPr>
        <w:t>2.5.1.3 竣工验收阶段</w:t>
      </w:r>
      <w:bookmarkEnd w:id="309"/>
      <w:bookmarkEnd w:id="310"/>
      <w:bookmarkEnd w:id="311"/>
      <w:bookmarkEnd w:id="312"/>
      <w:bookmarkEnd w:id="313"/>
    </w:p>
    <w:p w14:paraId="49640F5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1）监理费用结算</w:t>
      </w:r>
    </w:p>
    <w:p w14:paraId="19948CA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按合同规定定期申报监理费，竣工结算时申请结清监理费。</w:t>
      </w:r>
    </w:p>
    <w:p w14:paraId="5FCAB76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2）工程结算审核</w:t>
      </w:r>
    </w:p>
    <w:p w14:paraId="704AF34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依据施工合同以及中国南方电网有限责任公司《基建项目造价管理业务指导书》审核施工项目部提交的《工程竣工结算报告》，提出监理书面意见和建议，报业主项目审批。</w:t>
      </w:r>
    </w:p>
    <w:p w14:paraId="3392450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14" w:name="_Toc295815750"/>
      <w:bookmarkStart w:id="315" w:name="_Toc296669156"/>
      <w:bookmarkStart w:id="316" w:name="_Toc295810520"/>
      <w:bookmarkStart w:id="317" w:name="_Toc298848105"/>
      <w:r>
        <w:rPr>
          <w:rFonts w:hint="eastAsia" w:ascii="宋体" w:hAnsi="宋体" w:cs="宋体"/>
          <w:color w:val="auto"/>
          <w:kern w:val="0"/>
          <w:szCs w:val="21"/>
          <w:highlight w:val="none"/>
          <w:shd w:val="clear" w:color="auto" w:fill="auto"/>
          <w:lang w:val="zh-CN"/>
        </w:rPr>
        <w:t>2.5.1.4 工程总结评价阶段</w:t>
      </w:r>
      <w:bookmarkEnd w:id="314"/>
      <w:bookmarkEnd w:id="315"/>
      <w:bookmarkEnd w:id="316"/>
      <w:bookmarkEnd w:id="317"/>
    </w:p>
    <w:p w14:paraId="0AE2116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在监理工作总结中对造价控制工作进行总结，并整理归档造价控制的相关资料。</w:t>
      </w:r>
    </w:p>
    <w:bookmarkEnd w:id="302"/>
    <w:bookmarkEnd w:id="303"/>
    <w:bookmarkEnd w:id="304"/>
    <w:p w14:paraId="0A428D57">
      <w:pPr>
        <w:autoSpaceDE w:val="0"/>
        <w:autoSpaceDN w:val="0"/>
        <w:adjustRightInd w:val="0"/>
        <w:spacing w:line="540" w:lineRule="exact"/>
        <w:ind w:firstLine="422" w:firstLineChars="200"/>
        <w:jc w:val="left"/>
        <w:rPr>
          <w:rFonts w:ascii="宋体" w:hAnsi="宋体" w:cs="宋体"/>
          <w:b/>
          <w:bCs/>
          <w:color w:val="auto"/>
          <w:kern w:val="0"/>
          <w:szCs w:val="21"/>
          <w:highlight w:val="none"/>
          <w:shd w:val="clear" w:color="auto" w:fill="auto"/>
          <w:lang w:val="zh-CN"/>
        </w:rPr>
      </w:pPr>
      <w:r>
        <w:rPr>
          <w:rFonts w:hint="eastAsia" w:ascii="宋体" w:hAnsi="宋体" w:cs="宋体"/>
          <w:b/>
          <w:bCs/>
          <w:color w:val="auto"/>
          <w:kern w:val="0"/>
          <w:szCs w:val="21"/>
          <w:highlight w:val="none"/>
          <w:shd w:val="clear" w:color="auto" w:fill="auto"/>
          <w:lang w:val="zh-CN"/>
        </w:rPr>
        <w:t>2.6 合同管理</w:t>
      </w:r>
    </w:p>
    <w:p w14:paraId="2EBF566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18" w:name="_Toc296669221"/>
      <w:bookmarkStart w:id="319" w:name="_Toc295810536"/>
      <w:bookmarkStart w:id="320" w:name="_Toc295815816"/>
      <w:r>
        <w:rPr>
          <w:rFonts w:hint="eastAsia" w:ascii="宋体" w:hAnsi="宋体" w:cs="宋体"/>
          <w:color w:val="auto"/>
          <w:kern w:val="0"/>
          <w:szCs w:val="21"/>
          <w:highlight w:val="none"/>
          <w:shd w:val="clear" w:color="auto" w:fill="auto"/>
          <w:lang w:val="zh-CN"/>
        </w:rPr>
        <w:t>监理项目部应根据国家法律法规和中国南方电网有限责任公司的有关规定，促使工程参建各方依法履行合同，对合同的争议和纠纷进行调解，使工程项目顺利进行。</w:t>
      </w:r>
    </w:p>
    <w:p w14:paraId="1E1AF27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监理项目部在合同管理方面的工作包括：代表委托人对工程质量、进度、造价、安全等进行监督管理；工程暂停及复工的管理；工程延期及工程延误的处理；费用索赔的处理；合同争议的调解和合同的解除、分包合同的管理。</w:t>
      </w:r>
    </w:p>
    <w:p w14:paraId="5CBE7EB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21" w:name="_Toc296669214"/>
      <w:bookmarkStart w:id="322" w:name="_Toc295810529"/>
      <w:bookmarkStart w:id="323" w:name="_Toc295815809"/>
      <w:bookmarkStart w:id="324" w:name="_Toc298848163"/>
      <w:bookmarkStart w:id="325" w:name="_Toc304925814"/>
      <w:r>
        <w:rPr>
          <w:rFonts w:hint="eastAsia" w:ascii="宋体" w:hAnsi="宋体" w:cs="宋体"/>
          <w:color w:val="auto"/>
          <w:kern w:val="0"/>
          <w:szCs w:val="21"/>
          <w:highlight w:val="none"/>
          <w:shd w:val="clear" w:color="auto" w:fill="auto"/>
          <w:lang w:val="zh-CN"/>
        </w:rPr>
        <w:t xml:space="preserve">2.6.1 </w:t>
      </w:r>
      <w:bookmarkEnd w:id="321"/>
      <w:bookmarkEnd w:id="322"/>
      <w:bookmarkEnd w:id="323"/>
      <w:bookmarkEnd w:id="324"/>
      <w:r>
        <w:rPr>
          <w:rFonts w:hint="eastAsia" w:ascii="宋体" w:hAnsi="宋体" w:cs="宋体"/>
          <w:color w:val="auto"/>
          <w:kern w:val="0"/>
          <w:szCs w:val="21"/>
          <w:highlight w:val="none"/>
          <w:shd w:val="clear" w:color="auto" w:fill="auto"/>
          <w:lang w:val="zh-CN"/>
        </w:rPr>
        <w:t>工作内容与方法</w:t>
      </w:r>
      <w:bookmarkEnd w:id="325"/>
    </w:p>
    <w:p w14:paraId="361DAFA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26" w:name="_Toc295815812"/>
      <w:bookmarkStart w:id="327" w:name="_Toc296669217"/>
      <w:bookmarkStart w:id="328" w:name="_Toc298848166"/>
      <w:bookmarkStart w:id="329" w:name="_Toc295810532"/>
      <w:r>
        <w:rPr>
          <w:rFonts w:hint="eastAsia" w:ascii="宋体" w:hAnsi="宋体" w:cs="宋体"/>
          <w:color w:val="auto"/>
          <w:kern w:val="0"/>
          <w:szCs w:val="21"/>
          <w:highlight w:val="none"/>
          <w:shd w:val="clear" w:color="auto" w:fill="auto"/>
          <w:lang w:val="zh-CN"/>
        </w:rPr>
        <w:t>2.6.1.1 施工准备阶段的合同管理</w:t>
      </w:r>
      <w:bookmarkEnd w:id="326"/>
      <w:bookmarkEnd w:id="327"/>
      <w:bookmarkEnd w:id="328"/>
      <w:bookmarkEnd w:id="329"/>
    </w:p>
    <w:p w14:paraId="5CB3FBD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1）在《监理规划》等文件中明确各级监理人员合同管理职责和工作内容。</w:t>
      </w:r>
    </w:p>
    <w:p w14:paraId="61EBFF7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 xml:space="preserve">2）总监理工程师向监理项目部成员进行监理合同和施工合同交底，组织学习合同关键条款，形成书面交底记录。监理合同交底的主要内容是监理合同中的合同协议书和专用条款。施工合同交底的主要内容如下： </w:t>
      </w:r>
    </w:p>
    <w:p w14:paraId="094AECC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（1）工程概况及施工项目部的承包方式。</w:t>
      </w:r>
    </w:p>
    <w:p w14:paraId="304F36A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（2）合同工期控制总目标及阶段控制目标。</w:t>
      </w:r>
    </w:p>
    <w:p w14:paraId="3B824CA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（3）合同质量控制目标及合同规定执行的规范、标准和验收程序。</w:t>
      </w:r>
    </w:p>
    <w:p w14:paraId="2E0B491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（4）合同对本工程的材料、设备采购、验收的规定。</w:t>
      </w:r>
    </w:p>
    <w:p w14:paraId="27180B5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（5）造价及成本控制目标，特别是合同价款的支付及调整的条件、方式和程序。</w:t>
      </w:r>
    </w:p>
    <w:p w14:paraId="253984D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（6）安全控制目标及安全风险管理要求。</w:t>
      </w:r>
    </w:p>
    <w:p w14:paraId="6F7D493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（7）合同争议的调解方式、程序和要求。</w:t>
      </w:r>
    </w:p>
    <w:p w14:paraId="3A6DD9C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（8）索赔的处理。</w:t>
      </w:r>
    </w:p>
    <w:p w14:paraId="09A7038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（9）甲供材料和设备的品种、规格、型号、数量、质量等级、提供时间、地点等。</w:t>
      </w:r>
    </w:p>
    <w:p w14:paraId="29D5911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（10）约定由施工项目部采购的材料、设备明细。</w:t>
      </w:r>
    </w:p>
    <w:p w14:paraId="67E5ABE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30" w:name="_Toc298848167"/>
      <w:bookmarkStart w:id="331" w:name="_Toc295810533"/>
      <w:bookmarkStart w:id="332" w:name="_Toc295815813"/>
      <w:bookmarkStart w:id="333" w:name="_Toc296669218"/>
      <w:r>
        <w:rPr>
          <w:rFonts w:hint="eastAsia" w:ascii="宋体" w:hAnsi="宋体" w:cs="宋体"/>
          <w:color w:val="auto"/>
          <w:kern w:val="0"/>
          <w:szCs w:val="21"/>
          <w:highlight w:val="none"/>
          <w:shd w:val="clear" w:color="auto" w:fill="auto"/>
          <w:lang w:val="zh-CN"/>
        </w:rPr>
        <w:t>2.6.1.2 施工阶段的合同管理</w:t>
      </w:r>
      <w:bookmarkEnd w:id="330"/>
      <w:bookmarkEnd w:id="331"/>
      <w:bookmarkEnd w:id="332"/>
      <w:bookmarkEnd w:id="333"/>
    </w:p>
    <w:p w14:paraId="53F03F8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1）督促施工项目部严格按照建设工程施工合同履行责任和义务。</w:t>
      </w:r>
    </w:p>
    <w:p w14:paraId="4BAEEE9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2）要求施工项目部严格按照分包合同管理分包单位，分包单位所有文件须经施工项目部签认后报监理项目部。</w:t>
      </w:r>
    </w:p>
    <w:p w14:paraId="15761BF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34" w:name="_Toc298848168"/>
      <w:bookmarkStart w:id="335" w:name="_Toc296669219"/>
      <w:bookmarkStart w:id="336" w:name="_Toc295815814"/>
      <w:bookmarkStart w:id="337" w:name="_Toc295810534"/>
      <w:r>
        <w:rPr>
          <w:rFonts w:hint="eastAsia" w:ascii="宋体" w:hAnsi="宋体" w:cs="宋体"/>
          <w:color w:val="auto"/>
          <w:kern w:val="0"/>
          <w:szCs w:val="21"/>
          <w:highlight w:val="none"/>
          <w:shd w:val="clear" w:color="auto" w:fill="auto"/>
          <w:lang w:val="zh-CN"/>
        </w:rPr>
        <w:t>2.6.1.3 竣工阶段的合同管理</w:t>
      </w:r>
      <w:bookmarkEnd w:id="334"/>
      <w:bookmarkEnd w:id="335"/>
      <w:bookmarkEnd w:id="336"/>
      <w:bookmarkEnd w:id="337"/>
    </w:p>
    <w:p w14:paraId="46AF325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在《监理工作总结》中对工程合同履行情况进行总结评价。</w:t>
      </w:r>
    </w:p>
    <w:p w14:paraId="0B3E8B2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38" w:name="_Toc295810535"/>
      <w:bookmarkStart w:id="339" w:name="_Toc298848169"/>
      <w:bookmarkStart w:id="340" w:name="_Toc295815815"/>
      <w:bookmarkStart w:id="341" w:name="_Toc296669220"/>
      <w:r>
        <w:rPr>
          <w:rFonts w:hint="eastAsia" w:ascii="宋体" w:hAnsi="宋体" w:cs="宋体"/>
          <w:color w:val="auto"/>
          <w:kern w:val="0"/>
          <w:szCs w:val="21"/>
          <w:highlight w:val="none"/>
          <w:shd w:val="clear" w:color="auto" w:fill="auto"/>
          <w:lang w:val="zh-CN"/>
        </w:rPr>
        <w:t>2.6.1.4 合同管理的其他工作</w:t>
      </w:r>
      <w:bookmarkEnd w:id="338"/>
      <w:bookmarkEnd w:id="339"/>
      <w:bookmarkEnd w:id="340"/>
      <w:bookmarkEnd w:id="341"/>
    </w:p>
    <w:p w14:paraId="6EA9EE0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1）工程暂停及复工</w:t>
      </w:r>
    </w:p>
    <w:p w14:paraId="3AEE471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（1）出现下列情形之一的，总监理工程师应签发《工程暂停令》：</w:t>
      </w:r>
    </w:p>
    <w:p w14:paraId="36A3168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a 业主项目部要求暂停施工的；</w:t>
      </w:r>
    </w:p>
    <w:p w14:paraId="0D64B47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b 为保证工程质量而需要进行停工处理的；</w:t>
      </w:r>
    </w:p>
    <w:p w14:paraId="72C9FE0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c 发现生产安全事故隐患，有必要停工以消除隐患的；</w:t>
      </w:r>
    </w:p>
    <w:p w14:paraId="2347BF0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d 超过一定规模的危险性较大的分部分项工程未按照已通过专家论证的方案施工的；</w:t>
      </w:r>
    </w:p>
    <w:p w14:paraId="652426A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e 发生必须暂时停止施工的紧急事件的；</w:t>
      </w:r>
    </w:p>
    <w:p w14:paraId="2C21B0D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f 施工项目部未经许可擅自施工，或拒绝执行监理项目部指令的。</w:t>
      </w:r>
    </w:p>
    <w:p w14:paraId="50D04BE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（2）总监理工程师签发工程暂停令时，应根据停工原因的影响范围和影响程度，确定工程项目停工范围。</w:t>
      </w:r>
    </w:p>
    <w:p w14:paraId="6CD5FE2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（3）总监理工程师签发工程暂停令，应事先征得业主项目部同意，在紧急情况下未能事先报告的，则应在24小时内向业主项目部作出书面报告。</w:t>
      </w:r>
    </w:p>
    <w:p w14:paraId="707117B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（4）因非施工项目部原因造成施工暂停的，总监理工程师应协助业主项目部与施工项目部协商有关工期和费用索赔等事宜。</w:t>
      </w:r>
    </w:p>
    <w:p w14:paraId="002157A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5）因非施工项目部原因暂停施工的，监理项目部应如实记录所发生的实际情况。总监理工程师应在暂停施工原因消失，具备复工条件时，及时签署《工程复工报审表》和《工程复工令》。或指令施工项目部恢复施工。</w:t>
      </w:r>
    </w:p>
    <w:p w14:paraId="08DE1F5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6）因施工项目部原因暂停施工，具备复工条件的，监理项目部应审查施工项目部报送的复工申请及有关材料，满足要求后由总监理工程师签署《工程复工报审表》和《工程复工令，经业主项目部同意后，施工项目部继续施工。</w:t>
      </w:r>
    </w:p>
    <w:p w14:paraId="7F8F47A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2）工程变更的管理</w:t>
      </w:r>
    </w:p>
    <w:p w14:paraId="05ECD8A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工程变更是指在工程项目实施过程中，按照合同约定的程序对部分或全部在材料、结构、工艺、功能、尺寸、技术指标、工程量等方面做出的改变。</w:t>
      </w:r>
    </w:p>
    <w:p w14:paraId="719BB37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（1）工程变更的一般规定</w:t>
      </w:r>
    </w:p>
    <w:p w14:paraId="2DFA48A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a 工程变更可以由业主项目部、也可以由监理项目部、设计人或施工项目部提出，并填写《设计变更联系单》。</w:t>
      </w:r>
    </w:p>
    <w:p w14:paraId="0041871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b 工程变更的申报、审查、批准等过程与依据文件，必须是有效的书面文件。</w:t>
      </w:r>
    </w:p>
    <w:p w14:paraId="2594F04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c 监理项目部对工程变更的审查、批准权限及审批程序，应根据建设工程监理合同和业主项目部的授权进行。</w:t>
      </w:r>
    </w:p>
    <w:p w14:paraId="44AF22D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d 工程变更指令由监理项目部审查、总监理工程师签署，业主项目部批准后发出。</w:t>
      </w:r>
    </w:p>
    <w:p w14:paraId="5168D7F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e 当工程变更完工后，监理项目部必须在完工后5日内签字确认，如属隐蔽工程，必须在其覆盖之前在《工程变更通知单》上签字确认。</w:t>
      </w:r>
    </w:p>
    <w:p w14:paraId="08DE218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 xml:space="preserve">（2）监理项目部按下列程序处理工程变更。 </w:t>
      </w:r>
    </w:p>
    <w:p w14:paraId="63C4FB5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a 由施工项目部或物资供应商提出的工程变更应填报《设计变更联系单》，由总监理工程师组织专业监理工程师审查后报业主项目部，由业主项目部转交设计人编制设计变更单。</w:t>
      </w:r>
    </w:p>
    <w:p w14:paraId="310D2F1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b 当工程变更涉及消防、安全、环境保护等内容时，应按规定报有关部门审批。</w:t>
      </w:r>
    </w:p>
    <w:p w14:paraId="325F378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 xml:space="preserve">c 监理工程师应了解实际情况并收集与工程变更有关的资料。 </w:t>
      </w:r>
    </w:p>
    <w:p w14:paraId="354F036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d 总监理工程师必须根据实际情况、设计变更文件和其它有关资料，按照施工合同的有关条款，在指定专业监理工程师完成确定工程变更项目与原工程项目之间的类似程度和难易程度、确定工程变更项目的工程量以及确定工程变更的单价或总价后，对工程变更的费用和工期做出评估。</w:t>
      </w:r>
    </w:p>
    <w:p w14:paraId="45B0AA7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e 总监理工程师就工程变更费用及工期的评估情况与施工项目部和业主项目部进行协调。</w:t>
      </w:r>
    </w:p>
    <w:p w14:paraId="7B5ABAE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f 总监理工程师签发工程变更申请单。工程变更应包括工程变更要求、工程变更说明、工程变更费用和工期、必要的附件等内容。</w:t>
      </w:r>
    </w:p>
    <w:p w14:paraId="3B30514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g 监理项目部根据《工程变更通知单》监督施工项目部实施工程变更。监理项目部应监督施工项目部执行《工程变更通知单》，并要求施工项目部填写《工程变更汇总表》。</w:t>
      </w:r>
    </w:p>
    <w:p w14:paraId="46B16B7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（3）监理项目部处理工程变更应符合下列要求：</w:t>
      </w:r>
    </w:p>
    <w:p w14:paraId="3E44070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 xml:space="preserve">a 监理项目部在工程变更的质量、费用和工期方面取得业主项目部授权后，总监理工程师按施工合同规定与施工项目部进行协商，经协商达成一致后，将协商结果向业主项目部通报，并由业主项目部与施工项目部在变更文件上签字。 </w:t>
      </w:r>
    </w:p>
    <w:p w14:paraId="1E50E7D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 xml:space="preserve">b 在监理项目部未能就工程变更的质量、费用和工期方面取得业主项目部授权时，总监理工程师应协助业主项目部和施工项目部进行协商。 </w:t>
      </w:r>
    </w:p>
    <w:p w14:paraId="6EF2119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c 在业主项目部和施工项目部未能就工程变更的费用等方面达成协议时，监理项目部应提出一个暂定的价格，作为临时支付工程进度款的依据。该项工程款最终结算时，应以业主项目部和施工项目部达成的书面协议为依据。</w:t>
      </w:r>
    </w:p>
    <w:p w14:paraId="46F4E7A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 xml:space="preserve">e 在总监理工程师签发工程变更单之前，施工项目部不得实施工程变更。 </w:t>
      </w:r>
    </w:p>
    <w:p w14:paraId="1B2297D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f 未经总监理工程师审查同意而实施的工程变更，监理项目部不得予以计量。</w:t>
      </w:r>
    </w:p>
    <w:p w14:paraId="24A236C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g 施工项目部对原设计提出的变更包括合理化建议、修改施工方案、原设计材料代用等的变更应在征得总监理工程师、业主项目部同意后，送设计人审查，在取得相应的变更图纸和说明后执行。</w:t>
      </w:r>
    </w:p>
    <w:p w14:paraId="668E61E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h 由于设计错漏发生的设计变更，设计人应及时出具设计变更通知单。设计人对原设计提出的工程变更，要编制设计变更文件和施工预算。</w:t>
      </w:r>
    </w:p>
    <w:p w14:paraId="17A8772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 xml:space="preserve">j 由于工程建设过程中实际情况变化等原因，业主项目部可直接以《工程联系单》（见附表1）的形式提出设计变更，设计人据此开展设计变更。 </w:t>
      </w:r>
    </w:p>
    <w:p w14:paraId="153D53C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（4）监理项目部应及时组织有关单位审核设计变更图纸等文件。现场监理人员须对变更全过程进行监督和管理。如属隐蔽工程，必须在其覆盖之前在设计变更通知单上签字确认。</w:t>
      </w:r>
    </w:p>
    <w:p w14:paraId="1ADEDA1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3）费用索赔的处理</w:t>
      </w:r>
    </w:p>
    <w:p w14:paraId="5C48393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（1）监理项目部处理合同索赔应依据下列内容：</w:t>
      </w:r>
    </w:p>
    <w:p w14:paraId="3DBFB38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a 国家的有关法律、法规和工程项目所在地的地方法规。</w:t>
      </w:r>
    </w:p>
    <w:p w14:paraId="4DFDA2C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b 本工程的勘察、设计文件，施工合同文件。</w:t>
      </w:r>
    </w:p>
    <w:p w14:paraId="45F4A26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c 国家、部门和地方有关的标准和定额。</w:t>
      </w:r>
    </w:p>
    <w:p w14:paraId="78C7EA5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d 施工合同履行过程中与索赔事件有关的凭证。</w:t>
      </w:r>
    </w:p>
    <w:p w14:paraId="17611BE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（2）当提出合同索赔的理由同时满足以下条件时，监理项目部应予受理：</w:t>
      </w:r>
    </w:p>
    <w:p w14:paraId="7212D08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a 索赔事件造成了索赔方直接经济损失。</w:t>
      </w:r>
    </w:p>
    <w:p w14:paraId="323A59A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b 索赔事件是由于非索赔方的责任发生的。</w:t>
      </w:r>
    </w:p>
    <w:p w14:paraId="5D7DFDD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c《费用索赔报审表》。</w:t>
      </w:r>
    </w:p>
    <w:p w14:paraId="13AC807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（3）监理项目部接到索赔报告后，应在建设工程监理合同规定的时限进行审核，并提出处理意见。</w:t>
      </w:r>
    </w:p>
    <w:p w14:paraId="1C374A3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（4）施工项目部向业主项目部提出费用索赔，监理项目部按下列程序处理：</w:t>
      </w:r>
    </w:p>
    <w:p w14:paraId="6650A8F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 xml:space="preserve">a 施工项目部在施工合同规定的期限内向监理提交对业主项目部的费用索赔意向通知书。 </w:t>
      </w:r>
    </w:p>
    <w:p w14:paraId="18258E7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 xml:space="preserve">b 总监理工程师指定专业监理工程师收集与索赔有关的资料。 </w:t>
      </w:r>
    </w:p>
    <w:p w14:paraId="2F83BB6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 xml:space="preserve">c 施工项目部在施工合同规定的期限内向监理项目部提交对业主项目部的费用索赔申请表和相关证明材料。 </w:t>
      </w:r>
    </w:p>
    <w:p w14:paraId="5EF50AC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d 总监理工程师初步审查费用索赔申请，同时满足2.6.1.4  3）费用索赔的处理的第（2）条所规定的三个条件时予以受理。</w:t>
      </w:r>
    </w:p>
    <w:p w14:paraId="64840DB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e 总监理工程师进行费用索赔审查，并在初步确定一个额度后，与施工项目部和业主项目部进行协商。</w:t>
      </w:r>
    </w:p>
    <w:p w14:paraId="63B8A4B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f 总监理工程师应在施工合同规定的期限内签署费用索赔审批表，或在施工合同规定的期限内发出要求施工项目部提交有关索赔报告的进一步详细资料的通知。待收到施工项目部提交的详细资料后，再按以上费用索赔审批的程序进行。</w:t>
      </w:r>
    </w:p>
    <w:p w14:paraId="0DC4591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（5）当施工项目部的费用索赔要求与工程延期要求相关联时，总监理工程师综合提出费用索赔和工程延期的处理意见。</w:t>
      </w:r>
    </w:p>
    <w:p w14:paraId="4AEFFF3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（6）由于施工项目部的原因造成业主项目部的额外损失，业主项目部向施工项目部提出费用索赔时，总监理工程师在审查索赔报告后，应公平地与业主项目部和施工项目部进行协商，并及时提出处理意见。</w:t>
      </w:r>
    </w:p>
    <w:p w14:paraId="764B20E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4）工程延期及工期延误的处理</w:t>
      </w:r>
    </w:p>
    <w:p w14:paraId="2173DF7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（1）当施工项目部提出工程延期要求符合施工合同文件的规定条件时，监理项目部应予以受理。</w:t>
      </w:r>
    </w:p>
    <w:p w14:paraId="0770B71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当影响工期事件具有持续性时，监理项目部可在收到施工项目部提交的《工程临时/最终延期报审表》并经过审查后，由总监理工程师签署《工程临时/最终延期报审表》后报业主项目部批准。当施工项目部提交最终的工程延期申请表后，监理项目部应复查工程延期及临时延期情况，由总监理工程师签署《工程最终延期审批表》后报业主项目部批准。工程延期或临时延期获得批准后使用《施工进度计划报审表》重新报审。</w:t>
      </w:r>
    </w:p>
    <w:p w14:paraId="28206DE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（3）监理项目部在作出临时工程延期批准或最终工程延期获得批准之前，均应与业主项目部和施工项目部进行协商。</w:t>
      </w:r>
    </w:p>
    <w:p w14:paraId="5C45720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（4）监理项目部在审查工程延期时，应依下列情况审核工程延期的时间：</w:t>
      </w:r>
    </w:p>
    <w:p w14:paraId="54167DA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a 施工合同中有关工程延期的约定。</w:t>
      </w:r>
    </w:p>
    <w:p w14:paraId="49E7B7E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b 工期拖延和影响工期事件的事实和程度。</w:t>
      </w:r>
    </w:p>
    <w:p w14:paraId="48EF0A7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c 影响工期事件对工期影响的量化程度。</w:t>
      </w:r>
    </w:p>
    <w:p w14:paraId="4BB1D0A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（5）工程延期造成施工项目部提出费用索赔时，监理项目部应按2.6.1.4 3）费用索赔的处理的第（4）条规定处理。</w:t>
      </w:r>
    </w:p>
    <w:p w14:paraId="17DE921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（6）当施工项目部未能按照施工合同要求的工期竣工交付造成工期延误时，监理项目部应按施工合同规定从施工项目部应得款项中扣除误期损害赔偿费。</w:t>
      </w:r>
    </w:p>
    <w:p w14:paraId="7CC589F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 xml:space="preserve">5）合同争议的调解  </w:t>
      </w:r>
    </w:p>
    <w:p w14:paraId="312D577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（1）监理项目部接到合同争议的调解要求后应进行以下工作：</w:t>
      </w:r>
    </w:p>
    <w:p w14:paraId="0F17D3F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a 调查和取证、及时了解合同争议的全部情况。</w:t>
      </w:r>
    </w:p>
    <w:p w14:paraId="048AA8B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b 及时与合同争议的双方进行磋商。</w:t>
      </w:r>
    </w:p>
    <w:p w14:paraId="6EC5BAC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c 在监理项目部提出调解方案后，由总监理工程师进行争议调解。</w:t>
      </w:r>
    </w:p>
    <w:p w14:paraId="6C11981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d 当调解未能达成一致时，总监理工程师应在施工合同规定的期限内提出处理该合同争议的意见。</w:t>
      </w:r>
    </w:p>
    <w:p w14:paraId="214936E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e 在争议调解过程中，除已达到了施工合同规定的暂停履行合同的条件之外，监理项目部应要求施工合同的双方继续履行施工合同。</w:t>
      </w:r>
    </w:p>
    <w:p w14:paraId="1CF158A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（2）在总监理工程师签署合同争议处理意见后，业主项目部或施工项目部在施工合同规定的期限内未对合同争议处理决定提出异议，在符合施工合同的前提下，此意见应成为最后的决定，双方必须执行。</w:t>
      </w:r>
    </w:p>
    <w:p w14:paraId="37BE619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（3）在合同争议的仲裁或诉讼过程中，监理项目部接到仲裁机关或法院要求提供有关证据的通知后，应向仲裁机关或法院提供与争议有关的证据。</w:t>
      </w:r>
    </w:p>
    <w:p w14:paraId="0F57CEA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6）合同的解除</w:t>
      </w:r>
    </w:p>
    <w:p w14:paraId="4E6F1EF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（1）施工合同的解除必须符合法律程序。</w:t>
      </w:r>
    </w:p>
    <w:p w14:paraId="5A1F08F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当业主项目部违约导致施工合同最终解除时，监理项目部应就施工项目部按施工合同规定应得到的款项与业主项目部和施工项目部进行协商，并应按施工合同的规定从下列应得的款项中确定施工项目部应得到的全部款项，并书面通知业主项目部和施工项目部：</w:t>
      </w:r>
    </w:p>
    <w:p w14:paraId="14085C3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a 施工项目部已完成的工程量表中所列的各项工作所应得的款项。</w:t>
      </w:r>
    </w:p>
    <w:p w14:paraId="65B87CF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b 按批准的采购计划订购工程材料、设备、半成品、构配件的款项。</w:t>
      </w:r>
    </w:p>
    <w:p w14:paraId="3230E3C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c 施工项目部撤离施工设备至原基地或其他目的地的合理费用。</w:t>
      </w:r>
    </w:p>
    <w:p w14:paraId="4BF12BB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d 施工项目部所有人员的合理遣返费用。</w:t>
      </w:r>
    </w:p>
    <w:p w14:paraId="1F8AA8F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e 合理的利润补偿。</w:t>
      </w:r>
    </w:p>
    <w:p w14:paraId="11EAC34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f 施工合同约定的业主项目部应支付的违约金。</w:t>
      </w:r>
    </w:p>
    <w:p w14:paraId="2BEF576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（3）由于施工项目部违约导致施工合同终止后，监理项目部应按下列程序清理施工项目部的应得款项，或偿还业主项目部的相关款项，并书面通知业主项目部和施工项目部：</w:t>
      </w:r>
    </w:p>
    <w:p w14:paraId="33C1C86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a 施工合同终止时，清理施工项目部已按施工合同规定实际完成的工作所应得的款项和已经得到支付的款项。</w:t>
      </w:r>
    </w:p>
    <w:p w14:paraId="2738EDD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b 施工现场余留的材料、设备及临时工程的价值。</w:t>
      </w:r>
    </w:p>
    <w:p w14:paraId="2EAE31C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c 对已完工程进行检查和验收、移交工程资料、该部分工程的清理、质量缺陷修复等所需的费用。</w:t>
      </w:r>
    </w:p>
    <w:p w14:paraId="22B522C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d 施工合同约定的施工项目部应支付的违约金；</w:t>
      </w:r>
    </w:p>
    <w:p w14:paraId="097A726F">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e 总监理工程师按照承包合同的约定，在与业主项目部和施工项目部协商后，书面提交施工项目部应得款项或偿还业主项目部款项的证明。</w:t>
      </w:r>
    </w:p>
    <w:p w14:paraId="031E97A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（4）由于不可抗力或非业主项目部、施工项目部原因导致施工合同终止时，监理项目部应按施工合同规定处理合同解除后的有关事宜。</w:t>
      </w:r>
    </w:p>
    <w:bookmarkEnd w:id="318"/>
    <w:bookmarkEnd w:id="319"/>
    <w:bookmarkEnd w:id="320"/>
    <w:p w14:paraId="7C055942">
      <w:pPr>
        <w:autoSpaceDE w:val="0"/>
        <w:autoSpaceDN w:val="0"/>
        <w:adjustRightInd w:val="0"/>
        <w:spacing w:line="540" w:lineRule="exact"/>
        <w:ind w:firstLine="422" w:firstLineChars="200"/>
        <w:jc w:val="left"/>
        <w:rPr>
          <w:rFonts w:ascii="宋体" w:hAnsi="宋体" w:cs="宋体"/>
          <w:b/>
          <w:bCs/>
          <w:color w:val="auto"/>
          <w:kern w:val="0"/>
          <w:szCs w:val="21"/>
          <w:highlight w:val="none"/>
          <w:shd w:val="clear" w:color="auto" w:fill="auto"/>
          <w:lang w:val="zh-CN"/>
        </w:rPr>
      </w:pPr>
      <w:r>
        <w:rPr>
          <w:rFonts w:hint="eastAsia" w:ascii="宋体" w:hAnsi="宋体" w:cs="宋体"/>
          <w:b/>
          <w:bCs/>
          <w:color w:val="auto"/>
          <w:kern w:val="0"/>
          <w:szCs w:val="21"/>
          <w:highlight w:val="none"/>
          <w:shd w:val="clear" w:color="auto" w:fill="auto"/>
          <w:lang w:val="zh-CN"/>
        </w:rPr>
        <w:t>2.7 环保、水保</w:t>
      </w:r>
    </w:p>
    <w:p w14:paraId="319D813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2.7.1 负责识别环境因素，并制定相应的监理措施，建立环保管理体系和制度，监督环评报告及其批复意见在设计、施工中落实，控制施工过程对环境的影响。</w:t>
      </w:r>
    </w:p>
    <w:p w14:paraId="1E0B1E8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2.7.2 选派的管理和作业人员应符合环保、水保管理工作的要求，环保、水保管理应指定专人。</w:t>
      </w:r>
    </w:p>
    <w:p w14:paraId="485017F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2.7.3 监理规划、监理实施细则中要写入环保、水保的相关内容，并编制环保、水保控制实施方案。分部工程开工前，结合现场的实际情况进行环境因素识别，制定控制措施。</w:t>
      </w:r>
    </w:p>
    <w:p w14:paraId="597A428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2.7.4 将环境保护教育纳入教育培训计划，在各层次技术交底中，要对环保、水保措施交底。</w:t>
      </w:r>
    </w:p>
    <w:p w14:paraId="020DE798">
      <w:pPr>
        <w:autoSpaceDE w:val="0"/>
        <w:autoSpaceDN w:val="0"/>
        <w:adjustRightInd w:val="0"/>
        <w:spacing w:line="540" w:lineRule="exact"/>
        <w:ind w:firstLine="422" w:firstLineChars="200"/>
        <w:jc w:val="left"/>
        <w:rPr>
          <w:rFonts w:ascii="宋体" w:hAnsi="宋体" w:cs="宋体"/>
          <w:b/>
          <w:bCs/>
          <w:color w:val="auto"/>
          <w:kern w:val="0"/>
          <w:szCs w:val="21"/>
          <w:highlight w:val="none"/>
          <w:shd w:val="clear" w:color="auto" w:fill="auto"/>
          <w:lang w:val="zh-CN"/>
        </w:rPr>
      </w:pPr>
      <w:r>
        <w:rPr>
          <w:rFonts w:hint="eastAsia" w:ascii="宋体" w:hAnsi="宋体" w:cs="宋体"/>
          <w:b/>
          <w:bCs/>
          <w:color w:val="auto"/>
          <w:kern w:val="0"/>
          <w:szCs w:val="21"/>
          <w:highlight w:val="none"/>
          <w:shd w:val="clear" w:color="auto" w:fill="auto"/>
          <w:lang w:val="zh-CN"/>
        </w:rPr>
        <w:t>2.8信息管理</w:t>
      </w:r>
    </w:p>
    <w:p w14:paraId="37AE6E2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42" w:name="_Toc295810551"/>
      <w:bookmarkStart w:id="343" w:name="_Toc296669235"/>
      <w:bookmarkStart w:id="344" w:name="_Toc295815831"/>
      <w:r>
        <w:rPr>
          <w:rFonts w:hint="eastAsia" w:ascii="宋体" w:hAnsi="宋体" w:cs="宋体"/>
          <w:color w:val="auto"/>
          <w:kern w:val="0"/>
          <w:szCs w:val="21"/>
          <w:highlight w:val="none"/>
          <w:shd w:val="clear" w:color="auto" w:fill="auto"/>
          <w:lang w:val="zh-CN"/>
        </w:rPr>
        <w:t>监理项目部按照《建设工程监理合同》及基建信息与档案管理规定履行监理的信息与档案管理职责，主动配合业主项目部基建信息系统管理工作，满足业主项目部的数字化、电子化信息管理、WHS运行资料要求。</w:t>
      </w:r>
    </w:p>
    <w:p w14:paraId="3C0D731E">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45" w:name="_Toc295810542"/>
      <w:bookmarkStart w:id="346" w:name="_Toc296669226"/>
      <w:bookmarkStart w:id="347" w:name="_Toc298848173"/>
      <w:bookmarkStart w:id="348" w:name="_Toc295815822"/>
      <w:bookmarkStart w:id="349" w:name="_Toc304925817"/>
      <w:r>
        <w:rPr>
          <w:rFonts w:hint="eastAsia" w:ascii="宋体" w:hAnsi="宋体" w:cs="宋体"/>
          <w:color w:val="auto"/>
          <w:kern w:val="0"/>
          <w:szCs w:val="21"/>
          <w:highlight w:val="none"/>
          <w:shd w:val="clear" w:color="auto" w:fill="auto"/>
          <w:lang w:val="zh-CN"/>
        </w:rPr>
        <w:t xml:space="preserve">2.8.1 </w:t>
      </w:r>
      <w:bookmarkEnd w:id="345"/>
      <w:bookmarkEnd w:id="346"/>
      <w:bookmarkEnd w:id="347"/>
      <w:bookmarkEnd w:id="348"/>
      <w:r>
        <w:rPr>
          <w:rFonts w:hint="eastAsia" w:ascii="宋体" w:hAnsi="宋体" w:cs="宋体"/>
          <w:color w:val="auto"/>
          <w:kern w:val="0"/>
          <w:szCs w:val="21"/>
          <w:highlight w:val="none"/>
          <w:shd w:val="clear" w:color="auto" w:fill="auto"/>
          <w:lang w:val="zh-CN"/>
        </w:rPr>
        <w:t>工作内容与方法</w:t>
      </w:r>
      <w:bookmarkEnd w:id="349"/>
    </w:p>
    <w:p w14:paraId="1CCBF82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50" w:name="_Toc298848174"/>
      <w:bookmarkStart w:id="351" w:name="_Toc296669227"/>
      <w:bookmarkStart w:id="352" w:name="_Toc295810543"/>
      <w:bookmarkStart w:id="353" w:name="_Toc295815823"/>
      <w:r>
        <w:rPr>
          <w:rFonts w:hint="eastAsia" w:ascii="宋体" w:hAnsi="宋体" w:cs="宋体"/>
          <w:color w:val="auto"/>
          <w:kern w:val="0"/>
          <w:szCs w:val="21"/>
          <w:highlight w:val="none"/>
          <w:shd w:val="clear" w:color="auto" w:fill="auto"/>
          <w:lang w:val="zh-CN"/>
        </w:rPr>
        <w:t>2.8.1.1 信息管理</w:t>
      </w:r>
      <w:bookmarkEnd w:id="350"/>
    </w:p>
    <w:bookmarkEnd w:id="351"/>
    <w:bookmarkEnd w:id="352"/>
    <w:bookmarkEnd w:id="353"/>
    <w:p w14:paraId="7CD8F1C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1）落实工程信息文件传递流程和包括质量、安全风险、造价、进度控制及合同管理的信息管理制度。</w:t>
      </w:r>
    </w:p>
    <w:p w14:paraId="61C54B5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工程开工前，监理项目部参加的第一次工地例会应含有信息管理内容，明确信息管理分工与职责、收集方式、信息范围、记录要求及提交的份数，要求各参建单位确定工程信息管理负责人及沟通方式，形成具有地址、姓名、职务、手机、电话、电子邮箱等详细信息的通信录。</w:t>
      </w:r>
    </w:p>
    <w:p w14:paraId="3ADF6BD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3）监理项目部应要求施工项目部将信息管理人员作为主要施工管理人员，信息管理人员宜具有档案管理岗位证书，必须参加业主项目部组织的工程信息管理培训，并不得随意变动。</w:t>
      </w:r>
    </w:p>
    <w:p w14:paraId="3162620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4）采集整理工程建设过程中质量、安全风险、造价、进度控制及合同管理等信息，按照建设工程监理合同的要求协助做好基建信息系统相关信息的录入和业务流转，确保提供的监理数据及时、准确和完整。</w:t>
      </w:r>
    </w:p>
    <w:p w14:paraId="04D28C0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5）采集工程信息介质包括监理工作范围内的文字、图形、图像、语言和数字信息。</w:t>
      </w:r>
    </w:p>
    <w:p w14:paraId="6979F03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6）督促参建单位及时报送工程报表和工程信息文件，配合业主项目部完成工程数据信息统计报送。</w:t>
      </w:r>
    </w:p>
    <w:p w14:paraId="6F27329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7）存贮于计算机中的重要工程信息每月定期需进行备份，或传递到中国南方电网有限责任公司信息管理部门异地备份，以防遗失。</w:t>
      </w:r>
    </w:p>
    <w:p w14:paraId="5A309D1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8）每月25日前编制《监理月报》报送业主项目部，总监理工程师应定期对《监理日志》记录的真实性、完整性进行检查并签认；监理文件格式应统一，形成标准化模式。</w:t>
      </w:r>
    </w:p>
    <w:p w14:paraId="5F7F013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9）信息管理人员应参加现场工地例会、专题会议，及时掌握工程动态。</w:t>
      </w:r>
    </w:p>
    <w:p w14:paraId="42B8011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10）工程信息传递应及时、真实、准确和全面，信息分类管理，实施文件的收发登记，填写《接收文件登记表》及《发出文件登记表》，建立健全信息资源利用制度。</w:t>
      </w:r>
    </w:p>
    <w:p w14:paraId="1478BDD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11）对具有密级的工程信息应按公司保密制度妥善管理。</w:t>
      </w:r>
    </w:p>
    <w:p w14:paraId="3C741D5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54" w:name="_Toc298848175"/>
      <w:r>
        <w:rPr>
          <w:rFonts w:hint="eastAsia" w:ascii="宋体" w:hAnsi="宋体" w:cs="宋体"/>
          <w:color w:val="auto"/>
          <w:kern w:val="0"/>
          <w:szCs w:val="21"/>
          <w:highlight w:val="none"/>
          <w:shd w:val="clear" w:color="auto" w:fill="auto"/>
          <w:lang w:val="zh-CN"/>
        </w:rPr>
        <w:t>2.8.1.2 档案管理</w:t>
      </w:r>
      <w:bookmarkEnd w:id="354"/>
    </w:p>
    <w:p w14:paraId="41E0DD1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总监理工程师是工程监理文件管理第一责任人，各专业监理工程师对工作范围内的监理文件的完整性、真实性、是否符合归档质量要求承担主要责任，信息管理人员根据工程建设进展进行监理文件的收集整理和流转工作，并对监理文件质量进行检查，不符合归档要求的文件，及时向责任人提出，整改落实后再进行文件处理。</w:t>
      </w:r>
    </w:p>
    <w:p w14:paraId="40494D7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2）监理项目部根据业主项目部的基建项目档案管理要求，建立预立卷制度。</w:t>
      </w:r>
    </w:p>
    <w:p w14:paraId="615072B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3）预立卷方式是按照工程档案来源性原则设置若干预立卷盒，预立卷盒背脊上有明显标识，设有卷内目录，分类放置在资料柜中；预立卷盒标识、卷内目录格式应统一，形成标准化模式。</w:t>
      </w:r>
    </w:p>
    <w:p w14:paraId="55D497D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专业监理工程师分阶段对施工项目部形成的施工文件和记录进行检查，对不符合项目档案管理要求和发生错、漏或延迟归入预立卷盒的文件和记录应责成施工项目部及时补充完整，在《监理日志》上写好检查记录。</w:t>
      </w:r>
    </w:p>
    <w:p w14:paraId="6961A6F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5）对工程建设过程档案中间检查中发现缺失、造假等重大违反项目档案管理的问题，项目总监理工程师应结合工程进度情况签发工程暂停令，当日通知业主项目部，必须整改落实后才予以继续施工。</w:t>
      </w:r>
    </w:p>
    <w:p w14:paraId="2668B47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6）参与委托人、业主项目部组织的档案资料中间检查及验收，并根据意见在规定时间内进行整改和完善。</w:t>
      </w:r>
    </w:p>
    <w:p w14:paraId="3FDFB51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7）在文件传递过程中，对符合归档要求的文件经各级签审后，按程序及时分发到相关参建方。对不符合归档要求的文件，填写收发文表后及时退回提交方。</w:t>
      </w:r>
    </w:p>
    <w:p w14:paraId="62BF3AD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8）监理文件应保存电子和纸质介质文件。项目总监理工程师、专业监理工程师应及时提供纸质文件记录、电子文件、数码工程图片及相片等满足档案管理六要素要求的信息给信息管理员统一管理，信息管理员每月进行自查和备份，按类别建立监理文件、资料分类台账，以方便查询、归档。</w:t>
      </w:r>
    </w:p>
    <w:p w14:paraId="0018A3A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9）总监理工程师组织各专业监理工程师对照设计变更通知、工程联系单等记录审核施工项目部和设计人编制的竣工文件及竣工图的真实性、完整性和准确性。</w:t>
      </w:r>
    </w:p>
    <w:p w14:paraId="50666C8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10）对施工项目部移交的档案进行监理初步验收，同意移交后在施工项目部的《基建项目档案移交表》（《基建项目档案管理规定》附录1）上签署监理意见。</w:t>
      </w:r>
    </w:p>
    <w:p w14:paraId="574CAAE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11）监理项目部按照中国南方电网有限责任公司基建项目档案管理规定对监理资料进行分类整理、组卷，归档范围和案卷质量必须满足中国南方电网有限责任公司基建项目档案管理规定，录入各分子公司工程档案信息管理系统，编写监理档案信息管理说明。监理文件自检合格后，在工程投产后45天内提交委托人验收，验收合格才能移交归档。</w:t>
      </w:r>
    </w:p>
    <w:p w14:paraId="7C7F65D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12）填写《基建项目档案移交表》并附移交清册，一式三份。经核对无误后各方签字盖章确认后，移交手续完成。</w:t>
      </w:r>
    </w:p>
    <w:p w14:paraId="1141F25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13）监理项目部完成工程监理档案向委托人归档后15天内，整理监理内部档案及印章，同时向监理人档案部门移交纸质档案和电子档案各一份。工程竣工签证书、竣工报告、获奖材料等后续文件由项目总监理工程师继续收集整理，及时向监理人归档。</w:t>
      </w:r>
    </w:p>
    <w:p w14:paraId="4FE5DBB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55" w:name="_Toc296669232"/>
      <w:bookmarkStart w:id="356" w:name="_Toc295815828"/>
      <w:bookmarkStart w:id="357" w:name="_Toc295810548"/>
      <w:r>
        <w:rPr>
          <w:rFonts w:hint="eastAsia" w:ascii="宋体" w:hAnsi="宋体" w:cs="宋体"/>
          <w:color w:val="auto"/>
          <w:kern w:val="0"/>
          <w:szCs w:val="21"/>
          <w:highlight w:val="none"/>
          <w:shd w:val="clear" w:color="auto" w:fill="auto"/>
          <w:lang w:val="zh-CN"/>
        </w:rPr>
        <w:t>14）监理项目部全面</w:t>
      </w:r>
      <w:bookmarkEnd w:id="355"/>
      <w:bookmarkEnd w:id="356"/>
      <w:bookmarkEnd w:id="357"/>
      <w:r>
        <w:rPr>
          <w:rFonts w:hint="eastAsia" w:ascii="宋体" w:hAnsi="宋体" w:cs="宋体"/>
          <w:color w:val="auto"/>
          <w:kern w:val="0"/>
          <w:szCs w:val="21"/>
          <w:highlight w:val="none"/>
          <w:shd w:val="clear" w:color="auto" w:fill="auto"/>
          <w:lang w:val="zh-CN"/>
        </w:rPr>
        <w:t>应用中国南方电网有限责任公司工程信息管理系统，监理人</w:t>
      </w:r>
      <w:bookmarkStart w:id="358" w:name="_Toc295815829"/>
      <w:bookmarkStart w:id="359" w:name="_Toc296669233"/>
      <w:bookmarkStart w:id="360" w:name="_Toc295810549"/>
      <w:r>
        <w:rPr>
          <w:rFonts w:hint="eastAsia" w:ascii="宋体" w:hAnsi="宋体" w:cs="宋体"/>
          <w:color w:val="auto"/>
          <w:kern w:val="0"/>
          <w:szCs w:val="21"/>
          <w:highlight w:val="none"/>
          <w:shd w:val="clear" w:color="auto" w:fill="auto"/>
          <w:lang w:val="zh-CN"/>
        </w:rPr>
        <w:t xml:space="preserve">的监理信息管理系统应与中国南方电网工程信息管理系统相适应。 </w:t>
      </w:r>
    </w:p>
    <w:p w14:paraId="6D8FD39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（15）监理人按要求参加南网基建管理信息系统使用培训，并按南方电网公司管理要求，及时、准确的在管理信息系统中录入监理人负责的相关数据，并通过审核,具体需使用的功能要求见下表:</w:t>
      </w:r>
    </w:p>
    <w:tbl>
      <w:tblPr>
        <w:tblStyle w:val="42"/>
        <w:tblW w:w="0" w:type="auto"/>
        <w:jc w:val="center"/>
        <w:tblLayout w:type="fixed"/>
        <w:tblCellMar>
          <w:top w:w="0" w:type="dxa"/>
          <w:left w:w="108" w:type="dxa"/>
          <w:bottom w:w="0" w:type="dxa"/>
          <w:right w:w="108" w:type="dxa"/>
        </w:tblCellMar>
      </w:tblPr>
      <w:tblGrid>
        <w:gridCol w:w="700"/>
        <w:gridCol w:w="760"/>
        <w:gridCol w:w="2123"/>
        <w:gridCol w:w="2477"/>
        <w:gridCol w:w="2059"/>
        <w:gridCol w:w="1399"/>
      </w:tblGrid>
      <w:tr w14:paraId="231F2132">
        <w:tblPrEx>
          <w:tblCellMar>
            <w:top w:w="0" w:type="dxa"/>
            <w:left w:w="108" w:type="dxa"/>
            <w:bottom w:w="0" w:type="dxa"/>
            <w:right w:w="108" w:type="dxa"/>
          </w:tblCellMar>
        </w:tblPrEx>
        <w:trPr>
          <w:trHeight w:val="585" w:hRule="atLeast"/>
          <w:jc w:val="center"/>
        </w:trPr>
        <w:tc>
          <w:tcPr>
            <w:tcW w:w="700" w:type="dxa"/>
            <w:tcBorders>
              <w:top w:val="single" w:color="auto" w:sz="4" w:space="0"/>
              <w:left w:val="single" w:color="auto" w:sz="4" w:space="0"/>
              <w:bottom w:val="single" w:color="auto" w:sz="4" w:space="0"/>
              <w:right w:val="single" w:color="auto" w:sz="4" w:space="0"/>
            </w:tcBorders>
            <w:noWrap w:val="0"/>
            <w:vAlign w:val="center"/>
          </w:tcPr>
          <w:p w14:paraId="390F5635">
            <w:pPr>
              <w:spacing w:line="540" w:lineRule="exact"/>
              <w:jc w:val="center"/>
              <w:rPr>
                <w:rFonts w:ascii="宋体" w:hAnsi="宋体" w:cs="宋体"/>
                <w:b/>
                <w:bCs/>
                <w:color w:val="auto"/>
                <w:kern w:val="0"/>
                <w:sz w:val="22"/>
                <w:highlight w:val="none"/>
                <w:shd w:val="clear" w:color="auto" w:fill="auto"/>
              </w:rPr>
            </w:pPr>
            <w:r>
              <w:rPr>
                <w:rFonts w:hint="eastAsia" w:ascii="宋体" w:hAnsi="宋体" w:cs="宋体"/>
                <w:b/>
                <w:bCs/>
                <w:color w:val="auto"/>
                <w:kern w:val="0"/>
                <w:sz w:val="22"/>
                <w:highlight w:val="none"/>
                <w:shd w:val="clear" w:color="auto" w:fill="auto"/>
              </w:rPr>
              <w:t>编号</w:t>
            </w:r>
          </w:p>
        </w:tc>
        <w:tc>
          <w:tcPr>
            <w:tcW w:w="760" w:type="dxa"/>
            <w:tcBorders>
              <w:top w:val="single" w:color="auto" w:sz="4" w:space="0"/>
              <w:left w:val="single" w:color="auto" w:sz="4" w:space="0"/>
              <w:bottom w:val="single" w:color="auto" w:sz="4" w:space="0"/>
              <w:right w:val="single" w:color="auto" w:sz="4" w:space="0"/>
            </w:tcBorders>
            <w:noWrap w:val="0"/>
            <w:vAlign w:val="center"/>
          </w:tcPr>
          <w:p w14:paraId="5CCF8FC6">
            <w:pPr>
              <w:spacing w:line="540" w:lineRule="exact"/>
              <w:jc w:val="center"/>
              <w:rPr>
                <w:rFonts w:ascii="宋体" w:hAnsi="宋体" w:cs="宋体"/>
                <w:b/>
                <w:bCs/>
                <w:color w:val="auto"/>
                <w:kern w:val="0"/>
                <w:sz w:val="22"/>
                <w:highlight w:val="none"/>
                <w:shd w:val="clear" w:color="auto" w:fill="auto"/>
              </w:rPr>
            </w:pPr>
            <w:r>
              <w:rPr>
                <w:rFonts w:hint="eastAsia" w:ascii="宋体" w:hAnsi="宋体" w:cs="宋体"/>
                <w:b/>
                <w:bCs/>
                <w:color w:val="auto"/>
                <w:kern w:val="0"/>
                <w:sz w:val="22"/>
                <w:highlight w:val="none"/>
                <w:shd w:val="clear" w:color="auto" w:fill="auto"/>
              </w:rPr>
              <w:t>主/配网</w:t>
            </w:r>
          </w:p>
        </w:tc>
        <w:tc>
          <w:tcPr>
            <w:tcW w:w="2123" w:type="dxa"/>
            <w:tcBorders>
              <w:top w:val="single" w:color="auto" w:sz="4" w:space="0"/>
              <w:left w:val="single" w:color="auto" w:sz="4" w:space="0"/>
              <w:bottom w:val="single" w:color="auto" w:sz="4" w:space="0"/>
              <w:right w:val="single" w:color="auto" w:sz="4" w:space="0"/>
            </w:tcBorders>
            <w:noWrap w:val="0"/>
            <w:vAlign w:val="center"/>
          </w:tcPr>
          <w:p w14:paraId="50C967FD">
            <w:pPr>
              <w:spacing w:line="540" w:lineRule="exact"/>
              <w:jc w:val="center"/>
              <w:rPr>
                <w:rFonts w:ascii="宋体" w:hAnsi="宋体" w:cs="宋体"/>
                <w:b/>
                <w:bCs/>
                <w:color w:val="auto"/>
                <w:kern w:val="0"/>
                <w:sz w:val="22"/>
                <w:highlight w:val="none"/>
                <w:shd w:val="clear" w:color="auto" w:fill="auto"/>
              </w:rPr>
            </w:pPr>
            <w:r>
              <w:rPr>
                <w:rFonts w:hint="eastAsia" w:ascii="宋体" w:hAnsi="宋体" w:cs="宋体"/>
                <w:b/>
                <w:bCs/>
                <w:color w:val="auto"/>
                <w:kern w:val="0"/>
                <w:sz w:val="22"/>
                <w:highlight w:val="none"/>
                <w:shd w:val="clear" w:color="auto" w:fill="auto"/>
              </w:rPr>
              <w:t>功能名称</w:t>
            </w:r>
          </w:p>
        </w:tc>
        <w:tc>
          <w:tcPr>
            <w:tcW w:w="2477" w:type="dxa"/>
            <w:tcBorders>
              <w:top w:val="single" w:color="auto" w:sz="4" w:space="0"/>
              <w:left w:val="single" w:color="auto" w:sz="4" w:space="0"/>
              <w:bottom w:val="single" w:color="auto" w:sz="4" w:space="0"/>
              <w:right w:val="single" w:color="auto" w:sz="4" w:space="0"/>
            </w:tcBorders>
            <w:noWrap w:val="0"/>
            <w:vAlign w:val="center"/>
          </w:tcPr>
          <w:p w14:paraId="36440E2C">
            <w:pPr>
              <w:spacing w:line="540" w:lineRule="exact"/>
              <w:jc w:val="center"/>
              <w:rPr>
                <w:rFonts w:ascii="宋体" w:hAnsi="宋体" w:cs="宋体"/>
                <w:b/>
                <w:bCs/>
                <w:color w:val="auto"/>
                <w:kern w:val="0"/>
                <w:sz w:val="22"/>
                <w:highlight w:val="none"/>
                <w:shd w:val="clear" w:color="auto" w:fill="auto"/>
              </w:rPr>
            </w:pPr>
            <w:r>
              <w:rPr>
                <w:rFonts w:hint="eastAsia" w:ascii="宋体" w:hAnsi="宋体" w:cs="宋体"/>
                <w:b/>
                <w:bCs/>
                <w:color w:val="auto"/>
                <w:kern w:val="0"/>
                <w:sz w:val="22"/>
                <w:highlight w:val="none"/>
                <w:shd w:val="clear" w:color="auto" w:fill="auto"/>
              </w:rPr>
              <w:t>需操作内容</w:t>
            </w:r>
          </w:p>
        </w:tc>
        <w:tc>
          <w:tcPr>
            <w:tcW w:w="2059" w:type="dxa"/>
            <w:tcBorders>
              <w:top w:val="single" w:color="auto" w:sz="4" w:space="0"/>
              <w:left w:val="single" w:color="auto" w:sz="4" w:space="0"/>
              <w:bottom w:val="single" w:color="auto" w:sz="4" w:space="0"/>
              <w:right w:val="single" w:color="auto" w:sz="4" w:space="0"/>
            </w:tcBorders>
            <w:noWrap w:val="0"/>
            <w:vAlign w:val="center"/>
          </w:tcPr>
          <w:p w14:paraId="7A34892B">
            <w:pPr>
              <w:spacing w:line="540" w:lineRule="exact"/>
              <w:jc w:val="center"/>
              <w:rPr>
                <w:rFonts w:ascii="宋体" w:hAnsi="宋体" w:cs="宋体"/>
                <w:b/>
                <w:bCs/>
                <w:color w:val="auto"/>
                <w:kern w:val="0"/>
                <w:sz w:val="22"/>
                <w:highlight w:val="none"/>
                <w:shd w:val="clear" w:color="auto" w:fill="auto"/>
              </w:rPr>
            </w:pPr>
            <w:r>
              <w:rPr>
                <w:rFonts w:hint="eastAsia" w:ascii="宋体" w:hAnsi="宋体" w:cs="宋体"/>
                <w:b/>
                <w:bCs/>
                <w:color w:val="auto"/>
                <w:kern w:val="0"/>
                <w:sz w:val="22"/>
                <w:highlight w:val="none"/>
                <w:shd w:val="clear" w:color="auto" w:fill="auto"/>
              </w:rPr>
              <w:t>录入时间要求</w:t>
            </w:r>
          </w:p>
        </w:tc>
        <w:tc>
          <w:tcPr>
            <w:tcW w:w="1399" w:type="dxa"/>
            <w:tcBorders>
              <w:top w:val="single" w:color="auto" w:sz="4" w:space="0"/>
              <w:left w:val="single" w:color="auto" w:sz="4" w:space="0"/>
              <w:bottom w:val="single" w:color="auto" w:sz="4" w:space="0"/>
              <w:right w:val="single" w:color="auto" w:sz="4" w:space="0"/>
            </w:tcBorders>
            <w:noWrap w:val="0"/>
            <w:vAlign w:val="center"/>
          </w:tcPr>
          <w:p w14:paraId="3EA554B5">
            <w:pPr>
              <w:spacing w:line="540" w:lineRule="exact"/>
              <w:jc w:val="center"/>
              <w:rPr>
                <w:rFonts w:ascii="宋体" w:hAnsi="宋体" w:cs="宋体"/>
                <w:b/>
                <w:bCs/>
                <w:color w:val="auto"/>
                <w:kern w:val="0"/>
                <w:sz w:val="22"/>
                <w:highlight w:val="none"/>
                <w:shd w:val="clear" w:color="auto" w:fill="auto"/>
              </w:rPr>
            </w:pPr>
            <w:r>
              <w:rPr>
                <w:rFonts w:hint="eastAsia" w:ascii="宋体" w:hAnsi="宋体" w:cs="宋体"/>
                <w:b/>
                <w:bCs/>
                <w:color w:val="auto"/>
                <w:kern w:val="0"/>
                <w:sz w:val="22"/>
                <w:highlight w:val="none"/>
                <w:shd w:val="clear" w:color="auto" w:fill="auto"/>
              </w:rPr>
              <w:t>录入质量</w:t>
            </w:r>
          </w:p>
        </w:tc>
      </w:tr>
      <w:tr w14:paraId="73AFE36C">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14D75165">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1</w:t>
            </w:r>
          </w:p>
        </w:tc>
        <w:tc>
          <w:tcPr>
            <w:tcW w:w="760" w:type="dxa"/>
            <w:tcBorders>
              <w:top w:val="nil"/>
              <w:left w:val="nil"/>
              <w:bottom w:val="single" w:color="auto" w:sz="4" w:space="0"/>
              <w:right w:val="single" w:color="auto" w:sz="4" w:space="0"/>
            </w:tcBorders>
            <w:noWrap w:val="0"/>
            <w:vAlign w:val="center"/>
          </w:tcPr>
          <w:p w14:paraId="647C92D0">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主网</w:t>
            </w:r>
          </w:p>
        </w:tc>
        <w:tc>
          <w:tcPr>
            <w:tcW w:w="2123" w:type="dxa"/>
            <w:tcBorders>
              <w:top w:val="nil"/>
              <w:left w:val="nil"/>
              <w:bottom w:val="single" w:color="auto" w:sz="4" w:space="0"/>
              <w:right w:val="single" w:color="auto" w:sz="4" w:space="0"/>
            </w:tcBorders>
            <w:noWrap w:val="0"/>
            <w:vAlign w:val="center"/>
          </w:tcPr>
          <w:p w14:paraId="7C680631">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合同录入</w:t>
            </w:r>
          </w:p>
        </w:tc>
        <w:tc>
          <w:tcPr>
            <w:tcW w:w="2477" w:type="dxa"/>
            <w:tcBorders>
              <w:top w:val="nil"/>
              <w:left w:val="nil"/>
              <w:bottom w:val="single" w:color="auto" w:sz="4" w:space="0"/>
              <w:right w:val="single" w:color="auto" w:sz="4" w:space="0"/>
            </w:tcBorders>
            <w:noWrap w:val="0"/>
            <w:vAlign w:val="center"/>
          </w:tcPr>
          <w:p w14:paraId="09F027B6">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录入合同</w:t>
            </w:r>
          </w:p>
        </w:tc>
        <w:tc>
          <w:tcPr>
            <w:tcW w:w="2059" w:type="dxa"/>
            <w:tcBorders>
              <w:top w:val="nil"/>
              <w:left w:val="nil"/>
              <w:bottom w:val="single" w:color="auto" w:sz="4" w:space="0"/>
              <w:right w:val="single" w:color="auto" w:sz="4" w:space="0"/>
            </w:tcBorders>
            <w:noWrap w:val="0"/>
            <w:vAlign w:val="center"/>
          </w:tcPr>
          <w:p w14:paraId="7C5F4136">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合同签订后3天</w:t>
            </w:r>
          </w:p>
        </w:tc>
        <w:tc>
          <w:tcPr>
            <w:tcW w:w="1399" w:type="dxa"/>
            <w:tcBorders>
              <w:top w:val="nil"/>
              <w:left w:val="nil"/>
              <w:bottom w:val="single" w:color="auto" w:sz="4" w:space="0"/>
              <w:right w:val="single" w:color="auto" w:sz="4" w:space="0"/>
            </w:tcBorders>
            <w:noWrap w:val="0"/>
            <w:vAlign w:val="center"/>
          </w:tcPr>
          <w:p w14:paraId="2A559368">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与实际相符</w:t>
            </w:r>
          </w:p>
        </w:tc>
      </w:tr>
      <w:tr w14:paraId="3AFB70C2">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0D398771">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2</w:t>
            </w:r>
          </w:p>
        </w:tc>
        <w:tc>
          <w:tcPr>
            <w:tcW w:w="760" w:type="dxa"/>
            <w:tcBorders>
              <w:top w:val="nil"/>
              <w:left w:val="nil"/>
              <w:bottom w:val="single" w:color="auto" w:sz="4" w:space="0"/>
              <w:right w:val="single" w:color="auto" w:sz="4" w:space="0"/>
            </w:tcBorders>
            <w:noWrap w:val="0"/>
            <w:vAlign w:val="center"/>
          </w:tcPr>
          <w:p w14:paraId="40B56BF5">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主网</w:t>
            </w:r>
          </w:p>
        </w:tc>
        <w:tc>
          <w:tcPr>
            <w:tcW w:w="2123" w:type="dxa"/>
            <w:tcBorders>
              <w:top w:val="nil"/>
              <w:left w:val="nil"/>
              <w:bottom w:val="single" w:color="auto" w:sz="4" w:space="0"/>
              <w:right w:val="single" w:color="auto" w:sz="4" w:space="0"/>
            </w:tcBorders>
            <w:noWrap w:val="0"/>
            <w:vAlign w:val="center"/>
          </w:tcPr>
          <w:p w14:paraId="39529C64">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合同补充管理</w:t>
            </w:r>
          </w:p>
        </w:tc>
        <w:tc>
          <w:tcPr>
            <w:tcW w:w="2477" w:type="dxa"/>
            <w:tcBorders>
              <w:top w:val="nil"/>
              <w:left w:val="nil"/>
              <w:bottom w:val="single" w:color="auto" w:sz="4" w:space="0"/>
              <w:right w:val="single" w:color="auto" w:sz="4" w:space="0"/>
            </w:tcBorders>
            <w:noWrap w:val="0"/>
            <w:vAlign w:val="center"/>
          </w:tcPr>
          <w:p w14:paraId="273679B4">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录入合同</w:t>
            </w:r>
          </w:p>
        </w:tc>
        <w:tc>
          <w:tcPr>
            <w:tcW w:w="2059" w:type="dxa"/>
            <w:tcBorders>
              <w:top w:val="nil"/>
              <w:left w:val="nil"/>
              <w:bottom w:val="single" w:color="auto" w:sz="4" w:space="0"/>
              <w:right w:val="single" w:color="auto" w:sz="4" w:space="0"/>
            </w:tcBorders>
            <w:noWrap w:val="0"/>
            <w:vAlign w:val="center"/>
          </w:tcPr>
          <w:p w14:paraId="568F89D1">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合同签订后3天</w:t>
            </w:r>
          </w:p>
        </w:tc>
        <w:tc>
          <w:tcPr>
            <w:tcW w:w="1399" w:type="dxa"/>
            <w:tcBorders>
              <w:top w:val="nil"/>
              <w:left w:val="nil"/>
              <w:bottom w:val="single" w:color="auto" w:sz="4" w:space="0"/>
              <w:right w:val="single" w:color="auto" w:sz="4" w:space="0"/>
            </w:tcBorders>
            <w:noWrap w:val="0"/>
            <w:vAlign w:val="center"/>
          </w:tcPr>
          <w:p w14:paraId="46FBAD77">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与实际相符</w:t>
            </w:r>
          </w:p>
        </w:tc>
      </w:tr>
      <w:tr w14:paraId="7BBBC3DC">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1A29F413">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3</w:t>
            </w:r>
          </w:p>
        </w:tc>
        <w:tc>
          <w:tcPr>
            <w:tcW w:w="760" w:type="dxa"/>
            <w:tcBorders>
              <w:top w:val="nil"/>
              <w:left w:val="nil"/>
              <w:bottom w:val="single" w:color="auto" w:sz="4" w:space="0"/>
              <w:right w:val="single" w:color="auto" w:sz="4" w:space="0"/>
            </w:tcBorders>
            <w:noWrap w:val="0"/>
            <w:vAlign w:val="center"/>
          </w:tcPr>
          <w:p w14:paraId="1AB278FA">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主网</w:t>
            </w:r>
          </w:p>
        </w:tc>
        <w:tc>
          <w:tcPr>
            <w:tcW w:w="2123" w:type="dxa"/>
            <w:tcBorders>
              <w:top w:val="nil"/>
              <w:left w:val="nil"/>
              <w:bottom w:val="single" w:color="auto" w:sz="4" w:space="0"/>
              <w:right w:val="single" w:color="auto" w:sz="4" w:space="0"/>
            </w:tcBorders>
            <w:noWrap w:val="0"/>
            <w:vAlign w:val="center"/>
          </w:tcPr>
          <w:p w14:paraId="287EABFB">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分包检查</w:t>
            </w:r>
          </w:p>
        </w:tc>
        <w:tc>
          <w:tcPr>
            <w:tcW w:w="2477" w:type="dxa"/>
            <w:tcBorders>
              <w:top w:val="nil"/>
              <w:left w:val="nil"/>
              <w:bottom w:val="single" w:color="auto" w:sz="4" w:space="0"/>
              <w:right w:val="single" w:color="auto" w:sz="4" w:space="0"/>
            </w:tcBorders>
            <w:noWrap w:val="0"/>
            <w:vAlign w:val="center"/>
          </w:tcPr>
          <w:p w14:paraId="755E5247">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录入分包检查</w:t>
            </w:r>
          </w:p>
        </w:tc>
        <w:tc>
          <w:tcPr>
            <w:tcW w:w="2059" w:type="dxa"/>
            <w:tcBorders>
              <w:top w:val="nil"/>
              <w:left w:val="nil"/>
              <w:bottom w:val="single" w:color="auto" w:sz="4" w:space="0"/>
              <w:right w:val="single" w:color="auto" w:sz="4" w:space="0"/>
            </w:tcBorders>
            <w:noWrap w:val="0"/>
            <w:vAlign w:val="center"/>
          </w:tcPr>
          <w:p w14:paraId="0BC5C981">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施工合同签订后，开工前30天</w:t>
            </w:r>
          </w:p>
        </w:tc>
        <w:tc>
          <w:tcPr>
            <w:tcW w:w="1399" w:type="dxa"/>
            <w:tcBorders>
              <w:top w:val="nil"/>
              <w:left w:val="nil"/>
              <w:bottom w:val="single" w:color="auto" w:sz="4" w:space="0"/>
              <w:right w:val="single" w:color="auto" w:sz="4" w:space="0"/>
            </w:tcBorders>
            <w:noWrap w:val="0"/>
            <w:vAlign w:val="center"/>
          </w:tcPr>
          <w:p w14:paraId="1DAFBBC2">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与实际相符</w:t>
            </w:r>
          </w:p>
        </w:tc>
      </w:tr>
      <w:tr w14:paraId="1E56F4D0">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76AD5416">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4</w:t>
            </w:r>
          </w:p>
        </w:tc>
        <w:tc>
          <w:tcPr>
            <w:tcW w:w="760" w:type="dxa"/>
            <w:tcBorders>
              <w:top w:val="nil"/>
              <w:left w:val="nil"/>
              <w:bottom w:val="single" w:color="auto" w:sz="4" w:space="0"/>
              <w:right w:val="single" w:color="auto" w:sz="4" w:space="0"/>
            </w:tcBorders>
            <w:noWrap w:val="0"/>
            <w:vAlign w:val="center"/>
          </w:tcPr>
          <w:p w14:paraId="484925CD">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主网</w:t>
            </w:r>
          </w:p>
        </w:tc>
        <w:tc>
          <w:tcPr>
            <w:tcW w:w="2123" w:type="dxa"/>
            <w:tcBorders>
              <w:top w:val="nil"/>
              <w:left w:val="nil"/>
              <w:bottom w:val="single" w:color="auto" w:sz="4" w:space="0"/>
              <w:right w:val="single" w:color="auto" w:sz="4" w:space="0"/>
            </w:tcBorders>
            <w:noWrap w:val="0"/>
            <w:vAlign w:val="center"/>
          </w:tcPr>
          <w:p w14:paraId="79E992EA">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施工单位项目履约情况评价</w:t>
            </w:r>
          </w:p>
        </w:tc>
        <w:tc>
          <w:tcPr>
            <w:tcW w:w="2477" w:type="dxa"/>
            <w:tcBorders>
              <w:top w:val="nil"/>
              <w:left w:val="nil"/>
              <w:bottom w:val="single" w:color="auto" w:sz="4" w:space="0"/>
              <w:right w:val="single" w:color="auto" w:sz="4" w:space="0"/>
            </w:tcBorders>
            <w:noWrap w:val="0"/>
            <w:vAlign w:val="center"/>
          </w:tcPr>
          <w:p w14:paraId="6011C5C6">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录入评价内容</w:t>
            </w:r>
          </w:p>
        </w:tc>
        <w:tc>
          <w:tcPr>
            <w:tcW w:w="2059" w:type="dxa"/>
            <w:tcBorders>
              <w:top w:val="nil"/>
              <w:left w:val="nil"/>
              <w:bottom w:val="single" w:color="auto" w:sz="4" w:space="0"/>
              <w:right w:val="single" w:color="auto" w:sz="4" w:space="0"/>
            </w:tcBorders>
            <w:noWrap w:val="0"/>
            <w:vAlign w:val="center"/>
          </w:tcPr>
          <w:p w14:paraId="38879F66">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业主项目部对施工单位履约评价完成后5个工作日内</w:t>
            </w:r>
          </w:p>
        </w:tc>
        <w:tc>
          <w:tcPr>
            <w:tcW w:w="1399" w:type="dxa"/>
            <w:tcBorders>
              <w:top w:val="nil"/>
              <w:left w:val="nil"/>
              <w:bottom w:val="single" w:color="auto" w:sz="4" w:space="0"/>
              <w:right w:val="single" w:color="auto" w:sz="4" w:space="0"/>
            </w:tcBorders>
            <w:noWrap w:val="0"/>
            <w:vAlign w:val="center"/>
          </w:tcPr>
          <w:p w14:paraId="63121470">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与实际相符</w:t>
            </w:r>
          </w:p>
        </w:tc>
      </w:tr>
      <w:tr w14:paraId="0C57C6F8">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2B37A6F2">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5</w:t>
            </w:r>
          </w:p>
        </w:tc>
        <w:tc>
          <w:tcPr>
            <w:tcW w:w="760" w:type="dxa"/>
            <w:tcBorders>
              <w:top w:val="nil"/>
              <w:left w:val="nil"/>
              <w:bottom w:val="single" w:color="auto" w:sz="4" w:space="0"/>
              <w:right w:val="single" w:color="auto" w:sz="4" w:space="0"/>
            </w:tcBorders>
            <w:noWrap w:val="0"/>
            <w:vAlign w:val="center"/>
          </w:tcPr>
          <w:p w14:paraId="37514560">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主网</w:t>
            </w:r>
          </w:p>
        </w:tc>
        <w:tc>
          <w:tcPr>
            <w:tcW w:w="2123" w:type="dxa"/>
            <w:tcBorders>
              <w:top w:val="nil"/>
              <w:left w:val="nil"/>
              <w:bottom w:val="single" w:color="auto" w:sz="4" w:space="0"/>
              <w:right w:val="single" w:color="auto" w:sz="4" w:space="0"/>
            </w:tcBorders>
            <w:noWrap w:val="0"/>
            <w:vAlign w:val="center"/>
          </w:tcPr>
          <w:p w14:paraId="5D881BAE">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处罚通知单录入与整改</w:t>
            </w:r>
          </w:p>
        </w:tc>
        <w:tc>
          <w:tcPr>
            <w:tcW w:w="2477" w:type="dxa"/>
            <w:tcBorders>
              <w:top w:val="nil"/>
              <w:left w:val="nil"/>
              <w:bottom w:val="single" w:color="auto" w:sz="4" w:space="0"/>
              <w:right w:val="single" w:color="auto" w:sz="4" w:space="0"/>
            </w:tcBorders>
            <w:noWrap w:val="0"/>
            <w:vAlign w:val="center"/>
          </w:tcPr>
          <w:p w14:paraId="212E7858">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审核处罚单数据</w:t>
            </w:r>
          </w:p>
        </w:tc>
        <w:tc>
          <w:tcPr>
            <w:tcW w:w="2059" w:type="dxa"/>
            <w:tcBorders>
              <w:top w:val="nil"/>
              <w:left w:val="nil"/>
              <w:bottom w:val="single" w:color="auto" w:sz="4" w:space="0"/>
              <w:right w:val="single" w:color="auto" w:sz="4" w:space="0"/>
            </w:tcBorders>
            <w:noWrap w:val="0"/>
            <w:vAlign w:val="center"/>
          </w:tcPr>
          <w:p w14:paraId="22073567">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整改完成时间之前</w:t>
            </w:r>
          </w:p>
        </w:tc>
        <w:tc>
          <w:tcPr>
            <w:tcW w:w="1399" w:type="dxa"/>
            <w:tcBorders>
              <w:top w:val="nil"/>
              <w:left w:val="nil"/>
              <w:bottom w:val="single" w:color="auto" w:sz="4" w:space="0"/>
              <w:right w:val="single" w:color="auto" w:sz="4" w:space="0"/>
            </w:tcBorders>
            <w:noWrap w:val="0"/>
            <w:vAlign w:val="center"/>
          </w:tcPr>
          <w:p w14:paraId="49C0CB6C">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与实际相符</w:t>
            </w:r>
          </w:p>
        </w:tc>
      </w:tr>
      <w:tr w14:paraId="2DF84E58">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4B6159F1">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6</w:t>
            </w:r>
          </w:p>
        </w:tc>
        <w:tc>
          <w:tcPr>
            <w:tcW w:w="760" w:type="dxa"/>
            <w:tcBorders>
              <w:top w:val="nil"/>
              <w:left w:val="nil"/>
              <w:bottom w:val="single" w:color="auto" w:sz="4" w:space="0"/>
              <w:right w:val="single" w:color="auto" w:sz="4" w:space="0"/>
            </w:tcBorders>
            <w:noWrap w:val="0"/>
            <w:vAlign w:val="center"/>
          </w:tcPr>
          <w:p w14:paraId="3ED0F5BF">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主网</w:t>
            </w:r>
          </w:p>
        </w:tc>
        <w:tc>
          <w:tcPr>
            <w:tcW w:w="2123" w:type="dxa"/>
            <w:tcBorders>
              <w:top w:val="nil"/>
              <w:left w:val="nil"/>
              <w:bottom w:val="single" w:color="auto" w:sz="4" w:space="0"/>
              <w:right w:val="single" w:color="auto" w:sz="4" w:space="0"/>
            </w:tcBorders>
            <w:noWrap w:val="0"/>
            <w:vAlign w:val="center"/>
          </w:tcPr>
          <w:p w14:paraId="27CE8E77">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安全文明检查评价</w:t>
            </w:r>
          </w:p>
        </w:tc>
        <w:tc>
          <w:tcPr>
            <w:tcW w:w="2477" w:type="dxa"/>
            <w:tcBorders>
              <w:top w:val="nil"/>
              <w:left w:val="nil"/>
              <w:bottom w:val="single" w:color="auto" w:sz="4" w:space="0"/>
              <w:right w:val="single" w:color="auto" w:sz="4" w:space="0"/>
            </w:tcBorders>
            <w:noWrap w:val="0"/>
            <w:vAlign w:val="center"/>
          </w:tcPr>
          <w:p w14:paraId="246C9CE1">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录入及审核</w:t>
            </w:r>
          </w:p>
        </w:tc>
        <w:tc>
          <w:tcPr>
            <w:tcW w:w="2059" w:type="dxa"/>
            <w:tcBorders>
              <w:top w:val="nil"/>
              <w:left w:val="nil"/>
              <w:bottom w:val="single" w:color="auto" w:sz="4" w:space="0"/>
              <w:right w:val="single" w:color="auto" w:sz="4" w:space="0"/>
            </w:tcBorders>
            <w:noWrap w:val="0"/>
            <w:vAlign w:val="center"/>
          </w:tcPr>
          <w:p w14:paraId="1F8B8A5A">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检查评价发生后</w:t>
            </w:r>
          </w:p>
        </w:tc>
        <w:tc>
          <w:tcPr>
            <w:tcW w:w="1399" w:type="dxa"/>
            <w:tcBorders>
              <w:top w:val="nil"/>
              <w:left w:val="nil"/>
              <w:bottom w:val="single" w:color="auto" w:sz="4" w:space="0"/>
              <w:right w:val="single" w:color="auto" w:sz="4" w:space="0"/>
            </w:tcBorders>
            <w:noWrap w:val="0"/>
            <w:vAlign w:val="center"/>
          </w:tcPr>
          <w:p w14:paraId="438939BB">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与实际相符</w:t>
            </w:r>
          </w:p>
        </w:tc>
      </w:tr>
      <w:tr w14:paraId="19EE4ECA">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7EAE6429">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7</w:t>
            </w:r>
          </w:p>
        </w:tc>
        <w:tc>
          <w:tcPr>
            <w:tcW w:w="760" w:type="dxa"/>
            <w:tcBorders>
              <w:top w:val="nil"/>
              <w:left w:val="nil"/>
              <w:bottom w:val="single" w:color="auto" w:sz="4" w:space="0"/>
              <w:right w:val="single" w:color="auto" w:sz="4" w:space="0"/>
            </w:tcBorders>
            <w:noWrap w:val="0"/>
            <w:vAlign w:val="center"/>
          </w:tcPr>
          <w:p w14:paraId="1E55AF90">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主网</w:t>
            </w:r>
          </w:p>
        </w:tc>
        <w:tc>
          <w:tcPr>
            <w:tcW w:w="2123" w:type="dxa"/>
            <w:tcBorders>
              <w:top w:val="nil"/>
              <w:left w:val="nil"/>
              <w:bottom w:val="single" w:color="auto" w:sz="4" w:space="0"/>
              <w:right w:val="single" w:color="auto" w:sz="4" w:space="0"/>
            </w:tcBorders>
            <w:noWrap w:val="0"/>
            <w:vAlign w:val="center"/>
          </w:tcPr>
          <w:p w14:paraId="1011F779">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安全文明检查整改通知</w:t>
            </w:r>
          </w:p>
        </w:tc>
        <w:tc>
          <w:tcPr>
            <w:tcW w:w="2477" w:type="dxa"/>
            <w:tcBorders>
              <w:top w:val="nil"/>
              <w:left w:val="nil"/>
              <w:bottom w:val="single" w:color="auto" w:sz="4" w:space="0"/>
              <w:right w:val="single" w:color="auto" w:sz="4" w:space="0"/>
            </w:tcBorders>
            <w:noWrap w:val="0"/>
            <w:vAlign w:val="center"/>
          </w:tcPr>
          <w:p w14:paraId="3BA26F28">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录入</w:t>
            </w:r>
          </w:p>
        </w:tc>
        <w:tc>
          <w:tcPr>
            <w:tcW w:w="2059" w:type="dxa"/>
            <w:tcBorders>
              <w:top w:val="nil"/>
              <w:left w:val="nil"/>
              <w:bottom w:val="single" w:color="auto" w:sz="4" w:space="0"/>
              <w:right w:val="single" w:color="auto" w:sz="4" w:space="0"/>
            </w:tcBorders>
            <w:noWrap w:val="0"/>
            <w:vAlign w:val="center"/>
          </w:tcPr>
          <w:p w14:paraId="7C6A3D64">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整改完成时间之前</w:t>
            </w:r>
          </w:p>
        </w:tc>
        <w:tc>
          <w:tcPr>
            <w:tcW w:w="1399" w:type="dxa"/>
            <w:tcBorders>
              <w:top w:val="nil"/>
              <w:left w:val="nil"/>
              <w:bottom w:val="single" w:color="auto" w:sz="4" w:space="0"/>
              <w:right w:val="single" w:color="auto" w:sz="4" w:space="0"/>
            </w:tcBorders>
            <w:noWrap w:val="0"/>
            <w:vAlign w:val="center"/>
          </w:tcPr>
          <w:p w14:paraId="4F498EA5">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与实际相符</w:t>
            </w:r>
          </w:p>
        </w:tc>
      </w:tr>
      <w:tr w14:paraId="7264F4A1">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1832DE63">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8</w:t>
            </w:r>
          </w:p>
        </w:tc>
        <w:tc>
          <w:tcPr>
            <w:tcW w:w="760" w:type="dxa"/>
            <w:tcBorders>
              <w:top w:val="nil"/>
              <w:left w:val="nil"/>
              <w:bottom w:val="single" w:color="auto" w:sz="4" w:space="0"/>
              <w:right w:val="single" w:color="auto" w:sz="4" w:space="0"/>
            </w:tcBorders>
            <w:noWrap w:val="0"/>
            <w:vAlign w:val="center"/>
          </w:tcPr>
          <w:p w14:paraId="220ECC28">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主网</w:t>
            </w:r>
          </w:p>
        </w:tc>
        <w:tc>
          <w:tcPr>
            <w:tcW w:w="2123" w:type="dxa"/>
            <w:tcBorders>
              <w:top w:val="nil"/>
              <w:left w:val="nil"/>
              <w:bottom w:val="single" w:color="auto" w:sz="4" w:space="0"/>
              <w:right w:val="single" w:color="auto" w:sz="4" w:space="0"/>
            </w:tcBorders>
            <w:noWrap w:val="0"/>
            <w:vAlign w:val="center"/>
          </w:tcPr>
          <w:p w14:paraId="657BCF0A">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设备检查</w:t>
            </w:r>
          </w:p>
        </w:tc>
        <w:tc>
          <w:tcPr>
            <w:tcW w:w="2477" w:type="dxa"/>
            <w:tcBorders>
              <w:top w:val="nil"/>
              <w:left w:val="nil"/>
              <w:bottom w:val="single" w:color="auto" w:sz="4" w:space="0"/>
              <w:right w:val="single" w:color="auto" w:sz="4" w:space="0"/>
            </w:tcBorders>
            <w:noWrap w:val="0"/>
            <w:vAlign w:val="center"/>
          </w:tcPr>
          <w:p w14:paraId="7D2A98E3">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审核</w:t>
            </w:r>
          </w:p>
        </w:tc>
        <w:tc>
          <w:tcPr>
            <w:tcW w:w="2059" w:type="dxa"/>
            <w:tcBorders>
              <w:top w:val="nil"/>
              <w:left w:val="nil"/>
              <w:bottom w:val="single" w:color="auto" w:sz="4" w:space="0"/>
              <w:right w:val="single" w:color="auto" w:sz="4" w:space="0"/>
            </w:tcBorders>
            <w:noWrap w:val="0"/>
            <w:vAlign w:val="center"/>
          </w:tcPr>
          <w:p w14:paraId="34DFC8C9">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检查合格有效期满前1个月</w:t>
            </w:r>
          </w:p>
        </w:tc>
        <w:tc>
          <w:tcPr>
            <w:tcW w:w="1399" w:type="dxa"/>
            <w:tcBorders>
              <w:top w:val="nil"/>
              <w:left w:val="nil"/>
              <w:bottom w:val="single" w:color="auto" w:sz="4" w:space="0"/>
              <w:right w:val="single" w:color="auto" w:sz="4" w:space="0"/>
            </w:tcBorders>
            <w:noWrap w:val="0"/>
            <w:vAlign w:val="center"/>
          </w:tcPr>
          <w:p w14:paraId="7DA8BD3E">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与实际相符</w:t>
            </w:r>
          </w:p>
        </w:tc>
      </w:tr>
      <w:tr w14:paraId="122B939F">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21ECD852">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9</w:t>
            </w:r>
          </w:p>
        </w:tc>
        <w:tc>
          <w:tcPr>
            <w:tcW w:w="760" w:type="dxa"/>
            <w:tcBorders>
              <w:top w:val="nil"/>
              <w:left w:val="nil"/>
              <w:bottom w:val="single" w:color="auto" w:sz="4" w:space="0"/>
              <w:right w:val="single" w:color="auto" w:sz="4" w:space="0"/>
            </w:tcBorders>
            <w:noWrap w:val="0"/>
            <w:vAlign w:val="center"/>
          </w:tcPr>
          <w:p w14:paraId="1F47F296">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主网</w:t>
            </w:r>
          </w:p>
        </w:tc>
        <w:tc>
          <w:tcPr>
            <w:tcW w:w="2123" w:type="dxa"/>
            <w:tcBorders>
              <w:top w:val="nil"/>
              <w:left w:val="nil"/>
              <w:bottom w:val="single" w:color="auto" w:sz="4" w:space="0"/>
              <w:right w:val="single" w:color="auto" w:sz="4" w:space="0"/>
            </w:tcBorders>
            <w:noWrap w:val="0"/>
            <w:vAlign w:val="center"/>
          </w:tcPr>
          <w:p w14:paraId="73230EFE">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安全应急预案与演练</w:t>
            </w:r>
          </w:p>
        </w:tc>
        <w:tc>
          <w:tcPr>
            <w:tcW w:w="2477" w:type="dxa"/>
            <w:tcBorders>
              <w:top w:val="nil"/>
              <w:left w:val="nil"/>
              <w:bottom w:val="single" w:color="auto" w:sz="4" w:space="0"/>
              <w:right w:val="single" w:color="auto" w:sz="4" w:space="0"/>
            </w:tcBorders>
            <w:noWrap w:val="0"/>
            <w:vAlign w:val="center"/>
          </w:tcPr>
          <w:p w14:paraId="7FC4BFD8">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审核</w:t>
            </w:r>
          </w:p>
        </w:tc>
        <w:tc>
          <w:tcPr>
            <w:tcW w:w="2059" w:type="dxa"/>
            <w:tcBorders>
              <w:top w:val="nil"/>
              <w:left w:val="nil"/>
              <w:bottom w:val="single" w:color="auto" w:sz="4" w:space="0"/>
              <w:right w:val="single" w:color="auto" w:sz="4" w:space="0"/>
            </w:tcBorders>
            <w:noWrap w:val="0"/>
            <w:vAlign w:val="center"/>
          </w:tcPr>
          <w:p w14:paraId="1569BDB0">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应急预案上报到监理节点后3个工作日内</w:t>
            </w:r>
          </w:p>
        </w:tc>
        <w:tc>
          <w:tcPr>
            <w:tcW w:w="1399" w:type="dxa"/>
            <w:tcBorders>
              <w:top w:val="nil"/>
              <w:left w:val="nil"/>
              <w:bottom w:val="single" w:color="auto" w:sz="4" w:space="0"/>
              <w:right w:val="single" w:color="auto" w:sz="4" w:space="0"/>
            </w:tcBorders>
            <w:noWrap w:val="0"/>
            <w:vAlign w:val="center"/>
          </w:tcPr>
          <w:p w14:paraId="782DDB7D">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与实际相符</w:t>
            </w:r>
          </w:p>
        </w:tc>
      </w:tr>
      <w:tr w14:paraId="04699817">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4683CFC2">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10</w:t>
            </w:r>
          </w:p>
        </w:tc>
        <w:tc>
          <w:tcPr>
            <w:tcW w:w="760" w:type="dxa"/>
            <w:tcBorders>
              <w:top w:val="nil"/>
              <w:left w:val="nil"/>
              <w:bottom w:val="single" w:color="auto" w:sz="4" w:space="0"/>
              <w:right w:val="single" w:color="auto" w:sz="4" w:space="0"/>
            </w:tcBorders>
            <w:noWrap w:val="0"/>
            <w:vAlign w:val="center"/>
          </w:tcPr>
          <w:p w14:paraId="66318B20">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主网</w:t>
            </w:r>
          </w:p>
        </w:tc>
        <w:tc>
          <w:tcPr>
            <w:tcW w:w="2123" w:type="dxa"/>
            <w:tcBorders>
              <w:top w:val="nil"/>
              <w:left w:val="nil"/>
              <w:bottom w:val="single" w:color="auto" w:sz="4" w:space="0"/>
              <w:right w:val="single" w:color="auto" w:sz="4" w:space="0"/>
            </w:tcBorders>
            <w:noWrap w:val="0"/>
            <w:vAlign w:val="center"/>
          </w:tcPr>
          <w:p w14:paraId="6FC7D893">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质量控制点设置</w:t>
            </w:r>
          </w:p>
        </w:tc>
        <w:tc>
          <w:tcPr>
            <w:tcW w:w="2477" w:type="dxa"/>
            <w:tcBorders>
              <w:top w:val="nil"/>
              <w:left w:val="nil"/>
              <w:bottom w:val="single" w:color="auto" w:sz="4" w:space="0"/>
              <w:right w:val="single" w:color="auto" w:sz="4" w:space="0"/>
            </w:tcBorders>
            <w:noWrap w:val="0"/>
            <w:vAlign w:val="center"/>
          </w:tcPr>
          <w:p w14:paraId="60C667BF">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审核</w:t>
            </w:r>
          </w:p>
        </w:tc>
        <w:tc>
          <w:tcPr>
            <w:tcW w:w="2059" w:type="dxa"/>
            <w:tcBorders>
              <w:top w:val="nil"/>
              <w:left w:val="nil"/>
              <w:bottom w:val="single" w:color="auto" w:sz="4" w:space="0"/>
              <w:right w:val="single" w:color="auto" w:sz="4" w:space="0"/>
            </w:tcBorders>
            <w:noWrap w:val="0"/>
            <w:vAlign w:val="center"/>
          </w:tcPr>
          <w:p w14:paraId="724DF9B0">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工程开工前</w:t>
            </w:r>
          </w:p>
        </w:tc>
        <w:tc>
          <w:tcPr>
            <w:tcW w:w="1399" w:type="dxa"/>
            <w:tcBorders>
              <w:top w:val="nil"/>
              <w:left w:val="nil"/>
              <w:bottom w:val="single" w:color="auto" w:sz="4" w:space="0"/>
              <w:right w:val="single" w:color="auto" w:sz="4" w:space="0"/>
            </w:tcBorders>
            <w:noWrap w:val="0"/>
            <w:vAlign w:val="center"/>
          </w:tcPr>
          <w:p w14:paraId="4485E505">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与实际相符</w:t>
            </w:r>
          </w:p>
        </w:tc>
      </w:tr>
      <w:tr w14:paraId="5619B5F9">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01C21629">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11</w:t>
            </w:r>
          </w:p>
        </w:tc>
        <w:tc>
          <w:tcPr>
            <w:tcW w:w="760" w:type="dxa"/>
            <w:tcBorders>
              <w:top w:val="nil"/>
              <w:left w:val="nil"/>
              <w:bottom w:val="single" w:color="auto" w:sz="4" w:space="0"/>
              <w:right w:val="single" w:color="auto" w:sz="4" w:space="0"/>
            </w:tcBorders>
            <w:noWrap w:val="0"/>
            <w:vAlign w:val="center"/>
          </w:tcPr>
          <w:p w14:paraId="3D9A574A">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主网</w:t>
            </w:r>
          </w:p>
        </w:tc>
        <w:tc>
          <w:tcPr>
            <w:tcW w:w="2123" w:type="dxa"/>
            <w:tcBorders>
              <w:top w:val="nil"/>
              <w:left w:val="nil"/>
              <w:bottom w:val="single" w:color="auto" w:sz="4" w:space="0"/>
              <w:right w:val="single" w:color="auto" w:sz="4" w:space="0"/>
            </w:tcBorders>
            <w:noWrap w:val="0"/>
            <w:vAlign w:val="center"/>
          </w:tcPr>
          <w:p w14:paraId="7918AFA2">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WHS执行检查及评价</w:t>
            </w:r>
          </w:p>
        </w:tc>
        <w:tc>
          <w:tcPr>
            <w:tcW w:w="2477" w:type="dxa"/>
            <w:tcBorders>
              <w:top w:val="nil"/>
              <w:left w:val="nil"/>
              <w:bottom w:val="single" w:color="auto" w:sz="4" w:space="0"/>
              <w:right w:val="single" w:color="auto" w:sz="4" w:space="0"/>
            </w:tcBorders>
            <w:noWrap w:val="0"/>
            <w:vAlign w:val="center"/>
          </w:tcPr>
          <w:p w14:paraId="47FBC95E">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录入</w:t>
            </w:r>
          </w:p>
        </w:tc>
        <w:tc>
          <w:tcPr>
            <w:tcW w:w="2059" w:type="dxa"/>
            <w:tcBorders>
              <w:top w:val="nil"/>
              <w:left w:val="nil"/>
              <w:bottom w:val="single" w:color="auto" w:sz="4" w:space="0"/>
              <w:right w:val="single" w:color="auto" w:sz="4" w:space="0"/>
            </w:tcBorders>
            <w:noWrap w:val="0"/>
            <w:vAlign w:val="center"/>
          </w:tcPr>
          <w:p w14:paraId="2F08D215">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每月30号前</w:t>
            </w:r>
          </w:p>
        </w:tc>
        <w:tc>
          <w:tcPr>
            <w:tcW w:w="1399" w:type="dxa"/>
            <w:tcBorders>
              <w:top w:val="nil"/>
              <w:left w:val="nil"/>
              <w:bottom w:val="single" w:color="auto" w:sz="4" w:space="0"/>
              <w:right w:val="single" w:color="auto" w:sz="4" w:space="0"/>
            </w:tcBorders>
            <w:noWrap w:val="0"/>
            <w:vAlign w:val="center"/>
          </w:tcPr>
          <w:p w14:paraId="3ED875EB">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与实际相符</w:t>
            </w:r>
          </w:p>
        </w:tc>
      </w:tr>
      <w:tr w14:paraId="21D8CDC9">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61F61E27">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12</w:t>
            </w:r>
          </w:p>
        </w:tc>
        <w:tc>
          <w:tcPr>
            <w:tcW w:w="760" w:type="dxa"/>
            <w:tcBorders>
              <w:top w:val="nil"/>
              <w:left w:val="nil"/>
              <w:bottom w:val="single" w:color="auto" w:sz="4" w:space="0"/>
              <w:right w:val="single" w:color="auto" w:sz="4" w:space="0"/>
            </w:tcBorders>
            <w:noWrap w:val="0"/>
            <w:vAlign w:val="center"/>
          </w:tcPr>
          <w:p w14:paraId="4536E02B">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主网</w:t>
            </w:r>
          </w:p>
        </w:tc>
        <w:tc>
          <w:tcPr>
            <w:tcW w:w="2123" w:type="dxa"/>
            <w:tcBorders>
              <w:top w:val="nil"/>
              <w:left w:val="nil"/>
              <w:bottom w:val="single" w:color="auto" w:sz="4" w:space="0"/>
              <w:right w:val="single" w:color="auto" w:sz="4" w:space="0"/>
            </w:tcBorders>
            <w:noWrap w:val="0"/>
            <w:vAlign w:val="center"/>
          </w:tcPr>
          <w:p w14:paraId="32238614">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Qc活动</w:t>
            </w:r>
          </w:p>
        </w:tc>
        <w:tc>
          <w:tcPr>
            <w:tcW w:w="2477" w:type="dxa"/>
            <w:tcBorders>
              <w:top w:val="nil"/>
              <w:left w:val="nil"/>
              <w:bottom w:val="single" w:color="auto" w:sz="4" w:space="0"/>
              <w:right w:val="single" w:color="auto" w:sz="4" w:space="0"/>
            </w:tcBorders>
            <w:noWrap w:val="0"/>
            <w:vAlign w:val="center"/>
          </w:tcPr>
          <w:p w14:paraId="2BC72B16">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录入</w:t>
            </w:r>
          </w:p>
        </w:tc>
        <w:tc>
          <w:tcPr>
            <w:tcW w:w="2059" w:type="dxa"/>
            <w:tcBorders>
              <w:top w:val="nil"/>
              <w:left w:val="nil"/>
              <w:bottom w:val="single" w:color="auto" w:sz="4" w:space="0"/>
              <w:right w:val="single" w:color="auto" w:sz="4" w:space="0"/>
            </w:tcBorders>
            <w:noWrap w:val="0"/>
            <w:vAlign w:val="center"/>
          </w:tcPr>
          <w:p w14:paraId="2AD33655">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业务发生后5个工作日内</w:t>
            </w:r>
          </w:p>
        </w:tc>
        <w:tc>
          <w:tcPr>
            <w:tcW w:w="1399" w:type="dxa"/>
            <w:tcBorders>
              <w:top w:val="nil"/>
              <w:left w:val="nil"/>
              <w:bottom w:val="single" w:color="auto" w:sz="4" w:space="0"/>
              <w:right w:val="single" w:color="auto" w:sz="4" w:space="0"/>
            </w:tcBorders>
            <w:noWrap w:val="0"/>
            <w:vAlign w:val="center"/>
          </w:tcPr>
          <w:p w14:paraId="4C0F6C73">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与实际相符</w:t>
            </w:r>
          </w:p>
        </w:tc>
      </w:tr>
      <w:tr w14:paraId="2493CAC1">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472665AF">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13</w:t>
            </w:r>
          </w:p>
        </w:tc>
        <w:tc>
          <w:tcPr>
            <w:tcW w:w="760" w:type="dxa"/>
            <w:tcBorders>
              <w:top w:val="nil"/>
              <w:left w:val="nil"/>
              <w:bottom w:val="single" w:color="auto" w:sz="4" w:space="0"/>
              <w:right w:val="single" w:color="auto" w:sz="4" w:space="0"/>
            </w:tcBorders>
            <w:noWrap w:val="0"/>
            <w:vAlign w:val="center"/>
          </w:tcPr>
          <w:p w14:paraId="3352FCEE">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主网</w:t>
            </w:r>
          </w:p>
        </w:tc>
        <w:tc>
          <w:tcPr>
            <w:tcW w:w="2123" w:type="dxa"/>
            <w:tcBorders>
              <w:top w:val="nil"/>
              <w:left w:val="nil"/>
              <w:bottom w:val="single" w:color="auto" w:sz="4" w:space="0"/>
              <w:right w:val="single" w:color="auto" w:sz="4" w:space="0"/>
            </w:tcBorders>
            <w:noWrap w:val="0"/>
            <w:vAlign w:val="center"/>
          </w:tcPr>
          <w:p w14:paraId="42BAA165">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质量教育培训</w:t>
            </w:r>
          </w:p>
        </w:tc>
        <w:tc>
          <w:tcPr>
            <w:tcW w:w="2477" w:type="dxa"/>
            <w:tcBorders>
              <w:top w:val="nil"/>
              <w:left w:val="nil"/>
              <w:bottom w:val="single" w:color="auto" w:sz="4" w:space="0"/>
              <w:right w:val="single" w:color="auto" w:sz="4" w:space="0"/>
            </w:tcBorders>
            <w:noWrap w:val="0"/>
            <w:vAlign w:val="center"/>
          </w:tcPr>
          <w:p w14:paraId="555BDBAC">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录入</w:t>
            </w:r>
          </w:p>
        </w:tc>
        <w:tc>
          <w:tcPr>
            <w:tcW w:w="2059" w:type="dxa"/>
            <w:tcBorders>
              <w:top w:val="nil"/>
              <w:left w:val="nil"/>
              <w:bottom w:val="single" w:color="auto" w:sz="4" w:space="0"/>
              <w:right w:val="single" w:color="auto" w:sz="4" w:space="0"/>
            </w:tcBorders>
            <w:noWrap w:val="0"/>
            <w:vAlign w:val="center"/>
          </w:tcPr>
          <w:p w14:paraId="3CECE6E2">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业务发生后5个工作日内</w:t>
            </w:r>
          </w:p>
        </w:tc>
        <w:tc>
          <w:tcPr>
            <w:tcW w:w="1399" w:type="dxa"/>
            <w:tcBorders>
              <w:top w:val="nil"/>
              <w:left w:val="nil"/>
              <w:bottom w:val="single" w:color="auto" w:sz="4" w:space="0"/>
              <w:right w:val="single" w:color="auto" w:sz="4" w:space="0"/>
            </w:tcBorders>
            <w:noWrap w:val="0"/>
            <w:vAlign w:val="center"/>
          </w:tcPr>
          <w:p w14:paraId="72B08586">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与实际相符</w:t>
            </w:r>
          </w:p>
        </w:tc>
      </w:tr>
      <w:tr w14:paraId="5660855E">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1FE29850">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14</w:t>
            </w:r>
          </w:p>
        </w:tc>
        <w:tc>
          <w:tcPr>
            <w:tcW w:w="760" w:type="dxa"/>
            <w:tcBorders>
              <w:top w:val="nil"/>
              <w:left w:val="nil"/>
              <w:bottom w:val="single" w:color="auto" w:sz="4" w:space="0"/>
              <w:right w:val="single" w:color="auto" w:sz="4" w:space="0"/>
            </w:tcBorders>
            <w:noWrap w:val="0"/>
            <w:vAlign w:val="center"/>
          </w:tcPr>
          <w:p w14:paraId="50FD2100">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主网</w:t>
            </w:r>
          </w:p>
        </w:tc>
        <w:tc>
          <w:tcPr>
            <w:tcW w:w="2123" w:type="dxa"/>
            <w:tcBorders>
              <w:top w:val="nil"/>
              <w:left w:val="nil"/>
              <w:bottom w:val="single" w:color="auto" w:sz="4" w:space="0"/>
              <w:right w:val="single" w:color="auto" w:sz="4" w:space="0"/>
            </w:tcBorders>
            <w:noWrap w:val="0"/>
            <w:vAlign w:val="center"/>
          </w:tcPr>
          <w:p w14:paraId="3A6DBE18">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标准表式管理</w:t>
            </w:r>
          </w:p>
        </w:tc>
        <w:tc>
          <w:tcPr>
            <w:tcW w:w="2477" w:type="dxa"/>
            <w:tcBorders>
              <w:top w:val="nil"/>
              <w:left w:val="nil"/>
              <w:bottom w:val="single" w:color="auto" w:sz="4" w:space="0"/>
              <w:right w:val="single" w:color="auto" w:sz="4" w:space="0"/>
            </w:tcBorders>
            <w:noWrap w:val="0"/>
            <w:vAlign w:val="center"/>
          </w:tcPr>
          <w:p w14:paraId="6197AA4A">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审核</w:t>
            </w:r>
          </w:p>
        </w:tc>
        <w:tc>
          <w:tcPr>
            <w:tcW w:w="2059" w:type="dxa"/>
            <w:tcBorders>
              <w:top w:val="nil"/>
              <w:left w:val="nil"/>
              <w:bottom w:val="single" w:color="auto" w:sz="4" w:space="0"/>
              <w:right w:val="single" w:color="auto" w:sz="4" w:space="0"/>
            </w:tcBorders>
            <w:noWrap w:val="0"/>
            <w:vAlign w:val="center"/>
          </w:tcPr>
          <w:p w14:paraId="0F7517F9">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单据上报到监理节点后3个工作日内</w:t>
            </w:r>
          </w:p>
        </w:tc>
        <w:tc>
          <w:tcPr>
            <w:tcW w:w="1399" w:type="dxa"/>
            <w:tcBorders>
              <w:top w:val="nil"/>
              <w:left w:val="nil"/>
              <w:bottom w:val="single" w:color="auto" w:sz="4" w:space="0"/>
              <w:right w:val="single" w:color="auto" w:sz="4" w:space="0"/>
            </w:tcBorders>
            <w:noWrap w:val="0"/>
            <w:vAlign w:val="center"/>
          </w:tcPr>
          <w:p w14:paraId="60281400">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与实际相符</w:t>
            </w:r>
          </w:p>
        </w:tc>
      </w:tr>
      <w:tr w14:paraId="05C01FCC">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4CC6FD07">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15</w:t>
            </w:r>
          </w:p>
        </w:tc>
        <w:tc>
          <w:tcPr>
            <w:tcW w:w="760" w:type="dxa"/>
            <w:tcBorders>
              <w:top w:val="nil"/>
              <w:left w:val="nil"/>
              <w:bottom w:val="single" w:color="auto" w:sz="4" w:space="0"/>
              <w:right w:val="single" w:color="auto" w:sz="4" w:space="0"/>
            </w:tcBorders>
            <w:noWrap w:val="0"/>
            <w:vAlign w:val="center"/>
          </w:tcPr>
          <w:p w14:paraId="112E2EA4">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主网</w:t>
            </w:r>
          </w:p>
        </w:tc>
        <w:tc>
          <w:tcPr>
            <w:tcW w:w="2123" w:type="dxa"/>
            <w:tcBorders>
              <w:top w:val="nil"/>
              <w:left w:val="nil"/>
              <w:bottom w:val="single" w:color="auto" w:sz="4" w:space="0"/>
              <w:right w:val="single" w:color="auto" w:sz="4" w:space="0"/>
            </w:tcBorders>
            <w:noWrap w:val="0"/>
            <w:vAlign w:val="center"/>
          </w:tcPr>
          <w:p w14:paraId="417D47DB">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缺陷管理填报（在建阶段）</w:t>
            </w:r>
          </w:p>
        </w:tc>
        <w:tc>
          <w:tcPr>
            <w:tcW w:w="2477" w:type="dxa"/>
            <w:tcBorders>
              <w:top w:val="nil"/>
              <w:left w:val="nil"/>
              <w:bottom w:val="single" w:color="auto" w:sz="4" w:space="0"/>
              <w:right w:val="single" w:color="auto" w:sz="4" w:space="0"/>
            </w:tcBorders>
            <w:noWrap w:val="0"/>
            <w:vAlign w:val="center"/>
          </w:tcPr>
          <w:p w14:paraId="1B2276BC">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录入</w:t>
            </w:r>
          </w:p>
        </w:tc>
        <w:tc>
          <w:tcPr>
            <w:tcW w:w="2059" w:type="dxa"/>
            <w:tcBorders>
              <w:top w:val="nil"/>
              <w:left w:val="nil"/>
              <w:bottom w:val="single" w:color="auto" w:sz="4" w:space="0"/>
              <w:right w:val="single" w:color="auto" w:sz="4" w:space="0"/>
            </w:tcBorders>
            <w:noWrap w:val="0"/>
            <w:vAlign w:val="center"/>
          </w:tcPr>
          <w:p w14:paraId="3012B1F7">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缺陷发现后，整改日期前</w:t>
            </w:r>
          </w:p>
        </w:tc>
        <w:tc>
          <w:tcPr>
            <w:tcW w:w="1399" w:type="dxa"/>
            <w:tcBorders>
              <w:top w:val="nil"/>
              <w:left w:val="nil"/>
              <w:bottom w:val="single" w:color="auto" w:sz="4" w:space="0"/>
              <w:right w:val="single" w:color="auto" w:sz="4" w:space="0"/>
            </w:tcBorders>
            <w:noWrap w:val="0"/>
            <w:vAlign w:val="center"/>
          </w:tcPr>
          <w:p w14:paraId="1F113EE9">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与实际相符</w:t>
            </w:r>
          </w:p>
        </w:tc>
      </w:tr>
      <w:tr w14:paraId="20077327">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075C5A8F">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16</w:t>
            </w:r>
          </w:p>
        </w:tc>
        <w:tc>
          <w:tcPr>
            <w:tcW w:w="760" w:type="dxa"/>
            <w:tcBorders>
              <w:top w:val="nil"/>
              <w:left w:val="nil"/>
              <w:bottom w:val="single" w:color="auto" w:sz="4" w:space="0"/>
              <w:right w:val="single" w:color="auto" w:sz="4" w:space="0"/>
            </w:tcBorders>
            <w:noWrap w:val="0"/>
            <w:vAlign w:val="center"/>
          </w:tcPr>
          <w:p w14:paraId="0784F2C8">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主网</w:t>
            </w:r>
          </w:p>
        </w:tc>
        <w:tc>
          <w:tcPr>
            <w:tcW w:w="2123" w:type="dxa"/>
            <w:tcBorders>
              <w:top w:val="nil"/>
              <w:left w:val="nil"/>
              <w:bottom w:val="single" w:color="auto" w:sz="4" w:space="0"/>
              <w:right w:val="single" w:color="auto" w:sz="4" w:space="0"/>
            </w:tcBorders>
            <w:noWrap w:val="0"/>
            <w:vAlign w:val="center"/>
          </w:tcPr>
          <w:p w14:paraId="70256E8F">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项目组织结构</w:t>
            </w:r>
          </w:p>
        </w:tc>
        <w:tc>
          <w:tcPr>
            <w:tcW w:w="2477" w:type="dxa"/>
            <w:tcBorders>
              <w:top w:val="nil"/>
              <w:left w:val="nil"/>
              <w:bottom w:val="single" w:color="auto" w:sz="4" w:space="0"/>
              <w:right w:val="single" w:color="auto" w:sz="4" w:space="0"/>
            </w:tcBorders>
            <w:noWrap w:val="0"/>
            <w:vAlign w:val="center"/>
          </w:tcPr>
          <w:p w14:paraId="3C393238">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录入</w:t>
            </w:r>
          </w:p>
        </w:tc>
        <w:tc>
          <w:tcPr>
            <w:tcW w:w="2059" w:type="dxa"/>
            <w:tcBorders>
              <w:top w:val="nil"/>
              <w:left w:val="nil"/>
              <w:bottom w:val="single" w:color="auto" w:sz="4" w:space="0"/>
              <w:right w:val="single" w:color="auto" w:sz="4" w:space="0"/>
            </w:tcBorders>
            <w:noWrap w:val="0"/>
            <w:vAlign w:val="center"/>
          </w:tcPr>
          <w:p w14:paraId="68E1B06F">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监理合同签订后5个工作日</w:t>
            </w:r>
          </w:p>
        </w:tc>
        <w:tc>
          <w:tcPr>
            <w:tcW w:w="1399" w:type="dxa"/>
            <w:tcBorders>
              <w:top w:val="nil"/>
              <w:left w:val="nil"/>
              <w:bottom w:val="single" w:color="auto" w:sz="4" w:space="0"/>
              <w:right w:val="single" w:color="auto" w:sz="4" w:space="0"/>
            </w:tcBorders>
            <w:noWrap w:val="0"/>
            <w:vAlign w:val="center"/>
          </w:tcPr>
          <w:p w14:paraId="7132527E">
            <w:pPr>
              <w:spacing w:line="540" w:lineRule="exact"/>
              <w:jc w:val="center"/>
              <w:rPr>
                <w:rFonts w:ascii="宋体" w:hAnsi="宋体" w:cs="宋体"/>
                <w:color w:val="auto"/>
                <w:kern w:val="0"/>
                <w:sz w:val="22"/>
                <w:highlight w:val="none"/>
                <w:shd w:val="clear" w:color="auto" w:fill="auto"/>
              </w:rPr>
            </w:pPr>
            <w:r>
              <w:rPr>
                <w:rFonts w:hint="eastAsia" w:ascii="宋体" w:hAnsi="宋体" w:cs="宋体"/>
                <w:color w:val="auto"/>
                <w:kern w:val="0"/>
                <w:sz w:val="22"/>
                <w:highlight w:val="none"/>
                <w:shd w:val="clear" w:color="auto" w:fill="auto"/>
              </w:rPr>
              <w:t>与实际相符</w:t>
            </w:r>
          </w:p>
        </w:tc>
      </w:tr>
    </w:tbl>
    <w:p w14:paraId="3D9D619E">
      <w:pPr>
        <w:spacing w:line="540" w:lineRule="exact"/>
        <w:ind w:firstLine="315" w:firstLineChars="150"/>
        <w:rPr>
          <w:rFonts w:ascii="宋体" w:hAnsi="宋体" w:cs="宋体"/>
          <w:color w:val="auto"/>
          <w:kern w:val="0"/>
          <w:szCs w:val="21"/>
          <w:highlight w:val="none"/>
          <w:shd w:val="clear" w:color="auto" w:fill="auto"/>
          <w:lang w:val="zh-CN"/>
        </w:rPr>
      </w:pPr>
    </w:p>
    <w:bookmarkEnd w:id="342"/>
    <w:bookmarkEnd w:id="343"/>
    <w:bookmarkEnd w:id="344"/>
    <w:bookmarkEnd w:id="358"/>
    <w:bookmarkEnd w:id="359"/>
    <w:bookmarkEnd w:id="360"/>
    <w:p w14:paraId="51395736">
      <w:pPr>
        <w:autoSpaceDE w:val="0"/>
        <w:autoSpaceDN w:val="0"/>
        <w:adjustRightInd w:val="0"/>
        <w:spacing w:line="540" w:lineRule="exact"/>
        <w:ind w:firstLine="422" w:firstLineChars="200"/>
        <w:jc w:val="left"/>
        <w:rPr>
          <w:rFonts w:ascii="宋体" w:hAnsi="宋体" w:cs="宋体"/>
          <w:b/>
          <w:bCs/>
          <w:color w:val="auto"/>
          <w:kern w:val="0"/>
          <w:szCs w:val="21"/>
          <w:highlight w:val="none"/>
          <w:shd w:val="clear" w:color="auto" w:fill="auto"/>
          <w:lang w:val="zh-CN"/>
        </w:rPr>
      </w:pPr>
      <w:r>
        <w:rPr>
          <w:rFonts w:hint="eastAsia" w:ascii="宋体" w:hAnsi="宋体" w:cs="宋体"/>
          <w:b/>
          <w:bCs/>
          <w:color w:val="auto"/>
          <w:kern w:val="0"/>
          <w:szCs w:val="21"/>
          <w:highlight w:val="none"/>
          <w:shd w:val="clear" w:color="auto" w:fill="auto"/>
          <w:lang w:val="zh-CN"/>
        </w:rPr>
        <w:t>2.9组织协调</w:t>
      </w:r>
    </w:p>
    <w:p w14:paraId="27439B9D">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监理项目部和监理人员运用书面文件、召开会议、口头交流等方法，围绕工程项目，协调所有参建单位的活动，促使各方协同一致，以实现工程目标。</w:t>
      </w:r>
    </w:p>
    <w:p w14:paraId="1EC177A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61" w:name="_Toc298848178"/>
      <w:bookmarkStart w:id="362" w:name="_Toc304925820"/>
      <w:bookmarkStart w:id="363" w:name="_Toc295815834"/>
      <w:bookmarkStart w:id="364" w:name="_Toc295810554"/>
      <w:r>
        <w:rPr>
          <w:rFonts w:hint="eastAsia" w:ascii="宋体" w:hAnsi="宋体" w:cs="宋体"/>
          <w:color w:val="auto"/>
          <w:kern w:val="0"/>
          <w:szCs w:val="21"/>
          <w:highlight w:val="none"/>
          <w:shd w:val="clear" w:color="auto" w:fill="auto"/>
          <w:lang w:val="zh-CN"/>
        </w:rPr>
        <w:t xml:space="preserve">2.9.1 </w:t>
      </w:r>
      <w:bookmarkEnd w:id="361"/>
      <w:r>
        <w:rPr>
          <w:rFonts w:hint="eastAsia" w:ascii="宋体" w:hAnsi="宋体" w:cs="宋体"/>
          <w:color w:val="auto"/>
          <w:kern w:val="0"/>
          <w:szCs w:val="21"/>
          <w:highlight w:val="none"/>
          <w:shd w:val="clear" w:color="auto" w:fill="auto"/>
          <w:lang w:val="zh-CN"/>
        </w:rPr>
        <w:t>工作内容与方法</w:t>
      </w:r>
      <w:bookmarkEnd w:id="362"/>
    </w:p>
    <w:p w14:paraId="5D5E494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65" w:name="_Toc298848179"/>
      <w:r>
        <w:rPr>
          <w:rFonts w:hint="eastAsia" w:ascii="宋体" w:hAnsi="宋体" w:cs="宋体"/>
          <w:color w:val="auto"/>
          <w:kern w:val="0"/>
          <w:szCs w:val="21"/>
          <w:highlight w:val="none"/>
          <w:shd w:val="clear" w:color="auto" w:fill="auto"/>
          <w:lang w:val="zh-CN"/>
        </w:rPr>
        <w:t>2.9.1.1 监理项目部应主动与所属监理公司职能部门进行沟通和协调，以取得资源、技术和后勤保障上的支持。</w:t>
      </w:r>
    </w:p>
    <w:bookmarkEnd w:id="363"/>
    <w:bookmarkEnd w:id="364"/>
    <w:bookmarkEnd w:id="365"/>
    <w:p w14:paraId="74399F9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2.9.1.2 总监理工程师在开工前主持召开监理项目部内部交底会，介绍工程监理合同、施工合同的主要内容，介绍工程主要特点和委托人的要求，对监理人员提出工作要求。在监理过程中协调监理人员，以促进有效协作。</w:t>
      </w:r>
    </w:p>
    <w:p w14:paraId="2559EDA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66" w:name="_Toc295810557"/>
      <w:bookmarkStart w:id="367" w:name="_Toc295815837"/>
      <w:bookmarkStart w:id="368" w:name="_Toc298848181"/>
      <w:r>
        <w:rPr>
          <w:rFonts w:hint="eastAsia" w:ascii="宋体" w:hAnsi="宋体" w:cs="宋体"/>
          <w:color w:val="auto"/>
          <w:kern w:val="0"/>
          <w:szCs w:val="21"/>
          <w:highlight w:val="none"/>
          <w:shd w:val="clear" w:color="auto" w:fill="auto"/>
          <w:lang w:val="zh-CN"/>
        </w:rPr>
        <w:t>2.9.1.3</w:t>
      </w:r>
      <w:bookmarkEnd w:id="366"/>
      <w:bookmarkEnd w:id="367"/>
      <w:bookmarkEnd w:id="368"/>
      <w:r>
        <w:rPr>
          <w:rFonts w:hint="eastAsia" w:ascii="宋体" w:hAnsi="宋体" w:cs="宋体"/>
          <w:color w:val="auto"/>
          <w:kern w:val="0"/>
          <w:szCs w:val="21"/>
          <w:highlight w:val="none"/>
          <w:shd w:val="clear" w:color="auto" w:fill="auto"/>
          <w:lang w:val="zh-CN"/>
        </w:rPr>
        <w:t xml:space="preserve"> 监理项目部应主动了解建设工程的目标和要求，理解设计意图和委托人的管理要求；在项目建设过程中，及时向业主项目部报告过程建设的相关情况。</w:t>
      </w:r>
    </w:p>
    <w:p w14:paraId="6F04EBE5">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69" w:name="_Toc295810559"/>
      <w:bookmarkStart w:id="370" w:name="_Toc295815839"/>
      <w:r>
        <w:rPr>
          <w:rFonts w:hint="eastAsia" w:ascii="宋体" w:hAnsi="宋体" w:cs="宋体"/>
          <w:color w:val="auto"/>
          <w:kern w:val="0"/>
          <w:szCs w:val="21"/>
          <w:highlight w:val="none"/>
          <w:shd w:val="clear" w:color="auto" w:fill="auto"/>
          <w:lang w:val="zh-CN"/>
        </w:rPr>
        <w:t>2.9.1.4</w:t>
      </w:r>
      <w:bookmarkEnd w:id="369"/>
      <w:bookmarkEnd w:id="370"/>
      <w:r>
        <w:rPr>
          <w:rFonts w:hint="eastAsia" w:ascii="宋体" w:hAnsi="宋体" w:cs="宋体"/>
          <w:color w:val="auto"/>
          <w:kern w:val="0"/>
          <w:szCs w:val="21"/>
          <w:highlight w:val="none"/>
          <w:shd w:val="clear" w:color="auto" w:fill="auto"/>
          <w:lang w:val="zh-CN"/>
        </w:rPr>
        <w:t xml:space="preserve"> 协助协调甲供设备、材料到货计划，以满足施工进度的要求。</w:t>
      </w:r>
    </w:p>
    <w:p w14:paraId="1AAA8DE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2.9.1.5 依据合同合理地协调解决工程纠纷。</w:t>
      </w:r>
    </w:p>
    <w:p w14:paraId="43078472">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71" w:name="_Toc295815840"/>
      <w:bookmarkStart w:id="372" w:name="_Toc295810560"/>
      <w:r>
        <w:rPr>
          <w:rFonts w:hint="eastAsia" w:ascii="宋体" w:hAnsi="宋体" w:cs="宋体"/>
          <w:color w:val="auto"/>
          <w:kern w:val="0"/>
          <w:szCs w:val="21"/>
          <w:highlight w:val="none"/>
          <w:shd w:val="clear" w:color="auto" w:fill="auto"/>
          <w:lang w:val="zh-CN"/>
        </w:rPr>
        <w:t>2.9.1.6 协调设计人的交图进度，以满足施工进度的要求。</w:t>
      </w:r>
      <w:bookmarkEnd w:id="371"/>
      <w:bookmarkEnd w:id="372"/>
      <w:r>
        <w:rPr>
          <w:rFonts w:hint="eastAsia" w:ascii="宋体" w:hAnsi="宋体" w:cs="宋体"/>
          <w:color w:val="auto"/>
          <w:kern w:val="0"/>
          <w:szCs w:val="21"/>
          <w:highlight w:val="none"/>
          <w:shd w:val="clear" w:color="auto" w:fill="auto"/>
          <w:lang w:val="zh-CN"/>
        </w:rPr>
        <w:t>及时沟通施工中发现的设计问题。</w:t>
      </w:r>
    </w:p>
    <w:p w14:paraId="7E66E1F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73" w:name="_Toc295815841"/>
      <w:bookmarkStart w:id="374" w:name="_Toc295810561"/>
      <w:r>
        <w:rPr>
          <w:rFonts w:hint="eastAsia" w:ascii="宋体" w:hAnsi="宋体" w:cs="宋体"/>
          <w:color w:val="auto"/>
          <w:kern w:val="0"/>
          <w:szCs w:val="21"/>
          <w:highlight w:val="none"/>
          <w:shd w:val="clear" w:color="auto" w:fill="auto"/>
          <w:lang w:val="zh-CN"/>
        </w:rPr>
        <w:t>2.9.1.7 协调多个施工项目部之间的关系</w:t>
      </w:r>
      <w:bookmarkEnd w:id="373"/>
      <w:bookmarkEnd w:id="374"/>
    </w:p>
    <w:p w14:paraId="5A5D9CB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1）督促做好工程控制高程和坐标位置交接；明确各自临时设施场地划分和定位；明确工程施工界面的划分与衔接。</w:t>
      </w:r>
    </w:p>
    <w:p w14:paraId="5A8AFC8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2）督促做好各专业之间的平衡对接，各工种之间施工工艺、施工穿插搭接、施工过程中的成品保护，相互协作支持。</w:t>
      </w:r>
    </w:p>
    <w:p w14:paraId="78963BB1">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3）督促项目交接单位做好对应交接项目有关技术资料及实物的交接，并形成交接文件。</w:t>
      </w:r>
    </w:p>
    <w:p w14:paraId="5815BCF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bookmarkStart w:id="375" w:name="_Toc298848182"/>
      <w:bookmarkStart w:id="376" w:name="_Toc295810564"/>
      <w:bookmarkStart w:id="377" w:name="_Toc295815844"/>
      <w:r>
        <w:rPr>
          <w:rFonts w:hint="eastAsia" w:ascii="宋体" w:hAnsi="宋体" w:cs="宋体"/>
          <w:color w:val="auto"/>
          <w:kern w:val="0"/>
          <w:szCs w:val="21"/>
          <w:highlight w:val="none"/>
          <w:shd w:val="clear" w:color="auto" w:fill="auto"/>
          <w:lang w:val="zh-CN"/>
        </w:rPr>
        <w:t>2.9.1.8 第一次工地会议</w:t>
      </w:r>
      <w:bookmarkEnd w:id="375"/>
      <w:bookmarkEnd w:id="376"/>
      <w:bookmarkEnd w:id="377"/>
    </w:p>
    <w:p w14:paraId="69442F3A">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第一次工地会议由业主项目部主持，监理项目部、设计人、施工项目部、分包单位（如有）及重要的物资供应商（有必要时）参加，内容包括：</w:t>
      </w:r>
    </w:p>
    <w:p w14:paraId="2BC44F3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1）委托人、业主项目部、监理项目部、施工项目部和设计人分别介绍各自驻现场的组织机构、人员及其分工；</w:t>
      </w:r>
    </w:p>
    <w:p w14:paraId="763B282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2）委托人根据建设工程监理合同宣布对总监理工程师的授权；</w:t>
      </w:r>
    </w:p>
    <w:p w14:paraId="688FC06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3）业主项目部介绍工程开工准备情况；</w:t>
      </w:r>
    </w:p>
    <w:p w14:paraId="56D8A18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4）施工项目部介绍施工准备情况；</w:t>
      </w:r>
    </w:p>
    <w:p w14:paraId="2FDCA42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5）业主项目部和总监理工程师对施工准备情况提出意见和要求；</w:t>
      </w:r>
    </w:p>
    <w:p w14:paraId="616A460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6）总监理工程师介绍监理规划的主要内容；</w:t>
      </w:r>
    </w:p>
    <w:p w14:paraId="641C7CB3">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7）研究确定各方在施工过程中参加监理例会的主要人员，召开监理例会周期、地点及主要议题。</w:t>
      </w:r>
    </w:p>
    <w:p w14:paraId="1FCFB21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2.9.1.9 工地例会</w:t>
      </w:r>
    </w:p>
    <w:p w14:paraId="1296DBA7">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在施工过程中，总监理工程师应定期主持召开工地例会，并形成《工地例会纪要》。《工地例会纪要》应由项目监理机构负责整理，并经与会各方代表确认。内容包括：</w:t>
      </w:r>
    </w:p>
    <w:p w14:paraId="787EE18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1）检查上次监理例会议定事项的落实情况，分析未完事项原因；</w:t>
      </w:r>
    </w:p>
    <w:p w14:paraId="5044B0A4">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2）检查分析工程进度计划完成情况，提出下一阶段进度目标及其落实措施；</w:t>
      </w:r>
    </w:p>
    <w:p w14:paraId="7E566DB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3）分析工程质量和安全风险控制情况，针对存在的质量问题和安全隐患提出改进措施；</w:t>
      </w:r>
    </w:p>
    <w:p w14:paraId="5B50FC20">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4）检查工程计量及工程款支付证书签发情况；</w:t>
      </w:r>
    </w:p>
    <w:p w14:paraId="7C3517C9">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5）需要协调的有关事项；</w:t>
      </w:r>
    </w:p>
    <w:p w14:paraId="3E5B7E3C">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2.9.1.10 专题会议</w:t>
      </w:r>
    </w:p>
    <w:p w14:paraId="5B74BD8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对于工程中的重大问题和紧急事项需要开专题会议研究讨论。会前应与有关单位一起做好充分的准备，预先磋商。会后形成《专题会议纪要》，督促各与会单位遵照纪要执行。</w:t>
      </w:r>
    </w:p>
    <w:p w14:paraId="327EA4F0">
      <w:pPr>
        <w:autoSpaceDE w:val="0"/>
        <w:autoSpaceDN w:val="0"/>
        <w:adjustRightInd w:val="0"/>
        <w:spacing w:line="540" w:lineRule="exact"/>
        <w:ind w:firstLine="422" w:firstLineChars="200"/>
        <w:jc w:val="left"/>
        <w:rPr>
          <w:rFonts w:ascii="宋体" w:hAnsi="宋体" w:cs="宋体"/>
          <w:b/>
          <w:bCs/>
          <w:color w:val="auto"/>
          <w:kern w:val="0"/>
          <w:szCs w:val="21"/>
          <w:highlight w:val="none"/>
          <w:shd w:val="clear" w:color="auto" w:fill="auto"/>
          <w:lang w:val="zh-CN"/>
        </w:rPr>
      </w:pPr>
      <w:r>
        <w:rPr>
          <w:rFonts w:hint="eastAsia" w:ascii="宋体" w:hAnsi="宋体" w:cs="宋体"/>
          <w:b/>
          <w:bCs/>
          <w:color w:val="auto"/>
          <w:kern w:val="0"/>
          <w:szCs w:val="21"/>
          <w:highlight w:val="none"/>
          <w:shd w:val="clear" w:color="auto" w:fill="auto"/>
          <w:lang w:val="zh-CN"/>
        </w:rPr>
        <w:t>2.10达标投产和创优管理</w:t>
      </w:r>
    </w:p>
    <w:p w14:paraId="1185C90B">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2.10.1 按照中国南方电网公司《基建达标投产及工程评优管理业务指导书》的要求进行过程控制：工程投运后，在工程管理单位的组织下，参加工程项目的达标投产自检，配合复检；监督设计、施工、调试和供货商的消缺整改。</w:t>
      </w:r>
    </w:p>
    <w:p w14:paraId="158FF256">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2.10.2 按照委托人的创优质工程的要求开展监理和施工工作。</w:t>
      </w:r>
    </w:p>
    <w:p w14:paraId="66244C48">
      <w:pPr>
        <w:autoSpaceDE w:val="0"/>
        <w:autoSpaceDN w:val="0"/>
        <w:adjustRightInd w:val="0"/>
        <w:spacing w:line="540" w:lineRule="exact"/>
        <w:ind w:firstLine="420" w:firstLineChars="200"/>
        <w:jc w:val="left"/>
        <w:rPr>
          <w:rFonts w:ascii="宋体" w:hAnsi="宋体" w:cs="宋体"/>
          <w:color w:val="auto"/>
          <w:kern w:val="0"/>
          <w:szCs w:val="21"/>
          <w:highlight w:val="none"/>
          <w:shd w:val="clear" w:color="auto" w:fill="auto"/>
          <w:lang w:val="zh-CN"/>
        </w:rPr>
      </w:pPr>
      <w:r>
        <w:rPr>
          <w:rFonts w:hint="eastAsia" w:ascii="宋体" w:hAnsi="宋体" w:cs="宋体"/>
          <w:color w:val="auto"/>
          <w:kern w:val="0"/>
          <w:szCs w:val="21"/>
          <w:highlight w:val="none"/>
          <w:shd w:val="clear" w:color="auto" w:fill="auto"/>
          <w:lang w:val="zh-CN"/>
        </w:rPr>
        <w:t>2.10.3 工程完工后组织设计、施工等承包商对工程“新技术、新设备、新材料、新工艺”的应用进行总结，组织形成报告。</w:t>
      </w:r>
    </w:p>
    <w:p w14:paraId="46265A71">
      <w:pPr>
        <w:autoSpaceDE w:val="0"/>
        <w:autoSpaceDN w:val="0"/>
        <w:adjustRightInd w:val="0"/>
        <w:spacing w:line="540" w:lineRule="exact"/>
        <w:ind w:firstLine="422" w:firstLineChars="200"/>
        <w:jc w:val="left"/>
        <w:rPr>
          <w:rFonts w:ascii="宋体" w:hAnsi="宋体" w:cs="宋体"/>
          <w:b/>
          <w:bCs/>
          <w:color w:val="auto"/>
          <w:kern w:val="0"/>
          <w:szCs w:val="21"/>
          <w:highlight w:val="none"/>
          <w:shd w:val="clear" w:color="auto" w:fill="auto"/>
          <w:lang w:val="zh-CN"/>
        </w:rPr>
      </w:pPr>
      <w:r>
        <w:rPr>
          <w:rFonts w:hint="eastAsia" w:ascii="宋体" w:hAnsi="宋体" w:cs="宋体"/>
          <w:b/>
          <w:bCs/>
          <w:color w:val="auto"/>
          <w:kern w:val="0"/>
          <w:szCs w:val="21"/>
          <w:highlight w:val="none"/>
          <w:shd w:val="clear" w:color="auto" w:fill="auto"/>
          <w:lang w:val="zh-CN"/>
        </w:rPr>
        <w:t xml:space="preserve">2.11 </w:t>
      </w:r>
      <w:r>
        <w:rPr>
          <w:rFonts w:hint="eastAsia" w:ascii="宋体" w:hAnsi="宋体" w:cs="宋体"/>
          <w:color w:val="auto"/>
          <w:kern w:val="0"/>
          <w:szCs w:val="21"/>
          <w:highlight w:val="none"/>
          <w:shd w:val="clear" w:color="auto" w:fill="auto"/>
          <w:lang w:val="zh-CN"/>
        </w:rPr>
        <w:t>协助组织工程评比、劳动竞赛和精神文明建设等项活动，提出奖惩建议。</w:t>
      </w:r>
    </w:p>
    <w:p w14:paraId="2F4D78BF">
      <w:pPr>
        <w:spacing w:line="540" w:lineRule="exact"/>
        <w:rPr>
          <w:color w:val="auto"/>
          <w:highlight w:val="none"/>
          <w:shd w:val="clear" w:color="auto" w:fill="auto"/>
        </w:rPr>
      </w:pPr>
    </w:p>
    <w:p w14:paraId="7730103C">
      <w:pPr>
        <w:spacing w:line="540" w:lineRule="exact"/>
        <w:rPr>
          <w:color w:val="auto"/>
          <w:highlight w:val="none"/>
          <w:shd w:val="clear" w:color="auto" w:fill="auto"/>
        </w:rPr>
      </w:pPr>
      <w:r>
        <w:rPr>
          <w:color w:val="auto"/>
          <w:highlight w:val="none"/>
          <w:shd w:val="clear" w:color="auto" w:fill="auto"/>
        </w:rPr>
        <w:br w:type="page"/>
      </w:r>
    </w:p>
    <w:p w14:paraId="572AC676">
      <w:pPr>
        <w:pStyle w:val="5"/>
        <w:spacing w:line="540" w:lineRule="exact"/>
        <w:ind w:firstLine="137"/>
        <w:jc w:val="left"/>
        <w:rPr>
          <w:rFonts w:ascii="Times New Roman"/>
          <w:color w:val="auto"/>
          <w:highlight w:val="none"/>
          <w:shd w:val="clear" w:color="auto" w:fill="auto"/>
        </w:rPr>
      </w:pPr>
      <w:bookmarkStart w:id="378" w:name="_Toc24623"/>
      <w:r>
        <w:rPr>
          <w:rFonts w:hint="eastAsia" w:ascii="Times New Roman"/>
          <w:color w:val="auto"/>
          <w:highlight w:val="none"/>
          <w:shd w:val="clear" w:color="auto" w:fill="auto"/>
        </w:rPr>
        <w:t>附件</w:t>
      </w:r>
      <w:r>
        <w:rPr>
          <w:rFonts w:hint="eastAsia" w:ascii="Times New Roman"/>
          <w:color w:val="auto"/>
          <w:highlight w:val="none"/>
          <w:shd w:val="clear" w:color="auto" w:fill="auto"/>
          <w:lang w:val="en-US" w:eastAsia="zh-CN"/>
        </w:rPr>
        <w:t>二</w:t>
      </w:r>
      <w:r>
        <w:rPr>
          <w:rFonts w:hint="eastAsia" w:ascii="Times New Roman"/>
          <w:color w:val="auto"/>
          <w:highlight w:val="none"/>
          <w:shd w:val="clear" w:color="auto" w:fill="auto"/>
        </w:rPr>
        <w:t>：</w:t>
      </w:r>
      <w:r>
        <w:rPr>
          <w:rFonts w:hint="eastAsia" w:ascii="宋体" w:hAnsi="宋体"/>
          <w:color w:val="auto"/>
          <w:szCs w:val="21"/>
          <w:highlight w:val="none"/>
          <w:shd w:val="clear" w:color="auto" w:fill="auto"/>
        </w:rPr>
        <w:t>由委托人提供的人员、设备、设施和其他服务</w:t>
      </w:r>
      <w:bookmarkEnd w:id="378"/>
    </w:p>
    <w:p w14:paraId="123C1E97">
      <w:pPr>
        <w:spacing w:line="540" w:lineRule="exact"/>
        <w:rPr>
          <w:color w:val="auto"/>
          <w:highlight w:val="none"/>
          <w:shd w:val="clear" w:color="auto" w:fill="auto"/>
        </w:rPr>
      </w:pPr>
      <w:r>
        <w:rPr>
          <w:color w:val="auto"/>
          <w:highlight w:val="none"/>
          <w:shd w:val="clear" w:color="auto" w:fill="auto"/>
        </w:rPr>
        <w:br w:type="page"/>
      </w:r>
    </w:p>
    <w:p w14:paraId="0F928345">
      <w:pPr>
        <w:pStyle w:val="5"/>
        <w:spacing w:line="540" w:lineRule="exact"/>
        <w:ind w:firstLine="137"/>
        <w:rPr>
          <w:rFonts w:ascii="宋体" w:hAnsi="宋体"/>
          <w:color w:val="auto"/>
          <w:szCs w:val="21"/>
          <w:highlight w:val="none"/>
          <w:shd w:val="clear" w:color="auto" w:fill="auto"/>
        </w:rPr>
      </w:pPr>
      <w:bookmarkStart w:id="379" w:name="_Toc8769"/>
      <w:r>
        <w:rPr>
          <w:rFonts w:ascii="Times New Roman"/>
          <w:color w:val="auto"/>
          <w:highlight w:val="none"/>
          <w:shd w:val="clear" w:color="auto" w:fill="auto"/>
        </w:rPr>
        <w:t>附件</w:t>
      </w:r>
      <w:r>
        <w:rPr>
          <w:rFonts w:hint="eastAsia" w:ascii="Times New Roman"/>
          <w:color w:val="auto"/>
          <w:highlight w:val="none"/>
          <w:shd w:val="clear" w:color="auto" w:fill="auto"/>
          <w:lang w:val="en-US" w:eastAsia="zh-CN"/>
        </w:rPr>
        <w:t>三</w:t>
      </w:r>
      <w:r>
        <w:rPr>
          <w:rFonts w:ascii="Times New Roman"/>
          <w:color w:val="auto"/>
          <w:highlight w:val="none"/>
          <w:shd w:val="clear" w:color="auto" w:fill="auto"/>
        </w:rPr>
        <w:t>：</w:t>
      </w:r>
      <w:r>
        <w:rPr>
          <w:rFonts w:hint="eastAsia" w:ascii="宋体" w:hAnsi="宋体"/>
          <w:color w:val="auto"/>
          <w:szCs w:val="21"/>
          <w:highlight w:val="none"/>
          <w:shd w:val="clear" w:color="auto" w:fill="auto"/>
        </w:rPr>
        <w:t>主要监理人员名单</w:t>
      </w:r>
      <w:bookmarkEnd w:id="379"/>
    </w:p>
    <w:p w14:paraId="3AE43081">
      <w:pPr>
        <w:spacing w:line="540" w:lineRule="exact"/>
        <w:jc w:val="center"/>
        <w:rPr>
          <w:rFonts w:eastAsia="黑体"/>
          <w:color w:val="auto"/>
          <w:sz w:val="28"/>
          <w:highlight w:val="none"/>
          <w:shd w:val="clear" w:color="auto" w:fill="auto"/>
        </w:rPr>
      </w:pPr>
      <w:r>
        <w:rPr>
          <w:rFonts w:hint="eastAsia" w:eastAsia="黑体"/>
          <w:color w:val="auto"/>
          <w:sz w:val="28"/>
          <w:highlight w:val="none"/>
          <w:shd w:val="clear" w:color="auto" w:fill="auto"/>
        </w:rPr>
        <w:t>派驻本工程项目负责人及主要管理人员</w:t>
      </w:r>
    </w:p>
    <w:p w14:paraId="62AEF254">
      <w:pPr>
        <w:spacing w:line="540" w:lineRule="exact"/>
        <w:jc w:val="center"/>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  】单位【  】工程（监理）项目监理人员名单</w:t>
      </w:r>
    </w:p>
    <w:tbl>
      <w:tblPr>
        <w:tblStyle w:val="42"/>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924"/>
        <w:gridCol w:w="1260"/>
        <w:gridCol w:w="1080"/>
        <w:gridCol w:w="1539"/>
        <w:gridCol w:w="1190"/>
        <w:gridCol w:w="978"/>
        <w:gridCol w:w="1182"/>
      </w:tblGrid>
      <w:tr w14:paraId="154B564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924" w:type="dxa"/>
            <w:vMerge w:val="restart"/>
            <w:tcBorders>
              <w:top w:val="single" w:color="000000" w:sz="4" w:space="0"/>
              <w:left w:val="single" w:color="000000" w:sz="4" w:space="0"/>
              <w:right w:val="single" w:color="000000" w:sz="4" w:space="0"/>
            </w:tcBorders>
            <w:noWrap w:val="0"/>
            <w:vAlign w:val="center"/>
          </w:tcPr>
          <w:p w14:paraId="1F069B27">
            <w:pPr>
              <w:pStyle w:val="22"/>
              <w:spacing w:line="540" w:lineRule="exact"/>
              <w:jc w:val="center"/>
              <w:rPr>
                <w:rFonts w:hAnsi="宋体"/>
                <w:color w:val="auto"/>
                <w:szCs w:val="21"/>
                <w:highlight w:val="none"/>
                <w:shd w:val="clear" w:color="auto" w:fill="auto"/>
              </w:rPr>
            </w:pPr>
            <w:r>
              <w:rPr>
                <w:rFonts w:hAnsi="宋体"/>
                <w:color w:val="auto"/>
                <w:szCs w:val="21"/>
                <w:highlight w:val="none"/>
                <w:shd w:val="clear" w:color="auto" w:fill="auto"/>
              </w:rPr>
              <w:t>序号</w:t>
            </w:r>
          </w:p>
        </w:tc>
        <w:tc>
          <w:tcPr>
            <w:tcW w:w="1260" w:type="dxa"/>
            <w:vMerge w:val="restart"/>
            <w:tcBorders>
              <w:top w:val="single" w:color="000000" w:sz="4" w:space="0"/>
              <w:left w:val="single" w:color="000000" w:sz="4" w:space="0"/>
              <w:right w:val="single" w:color="000000" w:sz="4" w:space="0"/>
            </w:tcBorders>
            <w:noWrap w:val="0"/>
            <w:vAlign w:val="center"/>
          </w:tcPr>
          <w:p w14:paraId="34D0B9DC">
            <w:pPr>
              <w:pStyle w:val="22"/>
              <w:spacing w:line="540" w:lineRule="exact"/>
              <w:jc w:val="center"/>
              <w:rPr>
                <w:rFonts w:hAnsi="宋体"/>
                <w:color w:val="auto"/>
                <w:szCs w:val="21"/>
                <w:highlight w:val="none"/>
                <w:shd w:val="clear" w:color="auto" w:fill="auto"/>
              </w:rPr>
            </w:pPr>
            <w:r>
              <w:rPr>
                <w:rFonts w:hAnsi="宋体"/>
                <w:color w:val="auto"/>
                <w:szCs w:val="21"/>
                <w:highlight w:val="none"/>
                <w:shd w:val="clear" w:color="auto" w:fill="auto"/>
              </w:rPr>
              <w:t>姓名</w:t>
            </w:r>
          </w:p>
        </w:tc>
        <w:tc>
          <w:tcPr>
            <w:tcW w:w="1080" w:type="dxa"/>
            <w:vMerge w:val="restart"/>
            <w:tcBorders>
              <w:top w:val="single" w:color="000000" w:sz="4" w:space="0"/>
              <w:left w:val="single" w:color="000000" w:sz="4" w:space="0"/>
              <w:right w:val="single" w:color="000000" w:sz="4" w:space="0"/>
            </w:tcBorders>
            <w:noWrap w:val="0"/>
            <w:vAlign w:val="center"/>
          </w:tcPr>
          <w:p w14:paraId="4FF03A40">
            <w:pPr>
              <w:pStyle w:val="22"/>
              <w:spacing w:line="540" w:lineRule="exact"/>
              <w:jc w:val="center"/>
              <w:rPr>
                <w:rFonts w:hAnsi="宋体"/>
                <w:color w:val="auto"/>
                <w:szCs w:val="21"/>
                <w:highlight w:val="none"/>
                <w:shd w:val="clear" w:color="auto" w:fill="auto"/>
              </w:rPr>
            </w:pPr>
            <w:r>
              <w:rPr>
                <w:rFonts w:hAnsi="宋体"/>
                <w:color w:val="auto"/>
                <w:szCs w:val="21"/>
                <w:highlight w:val="none"/>
                <w:shd w:val="clear" w:color="auto" w:fill="auto"/>
              </w:rPr>
              <w:t>工作岗位</w:t>
            </w:r>
          </w:p>
        </w:tc>
        <w:tc>
          <w:tcPr>
            <w:tcW w:w="1539" w:type="dxa"/>
            <w:vMerge w:val="restart"/>
            <w:tcBorders>
              <w:top w:val="single" w:color="000000" w:sz="4" w:space="0"/>
              <w:left w:val="single" w:color="000000" w:sz="4" w:space="0"/>
              <w:right w:val="single" w:color="000000" w:sz="4" w:space="0"/>
            </w:tcBorders>
            <w:noWrap w:val="0"/>
            <w:vAlign w:val="center"/>
          </w:tcPr>
          <w:p w14:paraId="24425101">
            <w:pPr>
              <w:pStyle w:val="22"/>
              <w:spacing w:line="540" w:lineRule="exact"/>
              <w:jc w:val="center"/>
              <w:rPr>
                <w:rFonts w:hAnsi="宋体"/>
                <w:color w:val="auto"/>
                <w:szCs w:val="21"/>
                <w:highlight w:val="none"/>
                <w:shd w:val="clear" w:color="auto" w:fill="auto"/>
              </w:rPr>
            </w:pPr>
            <w:r>
              <w:rPr>
                <w:rFonts w:hAnsi="宋体"/>
                <w:color w:val="auto"/>
                <w:szCs w:val="21"/>
                <w:highlight w:val="none"/>
                <w:shd w:val="clear" w:color="auto" w:fill="auto"/>
              </w:rPr>
              <w:t>执业资格</w:t>
            </w:r>
          </w:p>
          <w:p w14:paraId="466C8677">
            <w:pPr>
              <w:pStyle w:val="22"/>
              <w:spacing w:line="540" w:lineRule="exact"/>
              <w:jc w:val="center"/>
              <w:rPr>
                <w:rFonts w:hAnsi="宋体"/>
                <w:color w:val="auto"/>
                <w:szCs w:val="21"/>
                <w:highlight w:val="none"/>
                <w:shd w:val="clear" w:color="auto" w:fill="auto"/>
              </w:rPr>
            </w:pPr>
            <w:r>
              <w:rPr>
                <w:rFonts w:hAnsi="宋体"/>
                <w:color w:val="auto"/>
                <w:szCs w:val="21"/>
                <w:highlight w:val="none"/>
                <w:shd w:val="clear" w:color="auto" w:fill="auto"/>
              </w:rPr>
              <w:t>及证书号</w:t>
            </w:r>
          </w:p>
        </w:tc>
        <w:tc>
          <w:tcPr>
            <w:tcW w:w="3350" w:type="dxa"/>
            <w:gridSpan w:val="3"/>
            <w:tcBorders>
              <w:top w:val="single" w:color="000000" w:sz="4" w:space="0"/>
              <w:left w:val="single" w:color="000000" w:sz="4" w:space="0"/>
              <w:bottom w:val="single" w:color="000000" w:sz="4" w:space="0"/>
              <w:right w:val="single" w:color="000000" w:sz="4" w:space="0"/>
            </w:tcBorders>
            <w:noWrap w:val="0"/>
            <w:vAlign w:val="center"/>
          </w:tcPr>
          <w:p w14:paraId="051DE5B0">
            <w:pPr>
              <w:pStyle w:val="22"/>
              <w:spacing w:line="540" w:lineRule="exact"/>
              <w:jc w:val="center"/>
              <w:rPr>
                <w:rFonts w:hAnsi="宋体"/>
                <w:color w:val="auto"/>
                <w:szCs w:val="21"/>
                <w:highlight w:val="none"/>
                <w:shd w:val="clear" w:color="auto" w:fill="auto"/>
              </w:rPr>
            </w:pPr>
            <w:r>
              <w:rPr>
                <w:rFonts w:hAnsi="宋体"/>
                <w:color w:val="auto"/>
                <w:szCs w:val="21"/>
                <w:highlight w:val="none"/>
                <w:shd w:val="clear" w:color="auto" w:fill="auto"/>
              </w:rPr>
              <w:t>职业资格</w:t>
            </w:r>
          </w:p>
        </w:tc>
      </w:tr>
      <w:tr w14:paraId="11A2AC4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24" w:type="dxa"/>
            <w:vMerge w:val="continue"/>
            <w:tcBorders>
              <w:left w:val="single" w:color="000000" w:sz="4" w:space="0"/>
              <w:bottom w:val="single" w:color="000000" w:sz="4" w:space="0"/>
              <w:right w:val="single" w:color="000000" w:sz="4" w:space="0"/>
            </w:tcBorders>
            <w:noWrap w:val="0"/>
            <w:vAlign w:val="center"/>
          </w:tcPr>
          <w:p w14:paraId="3EF3BF03">
            <w:pPr>
              <w:spacing w:line="540" w:lineRule="exact"/>
              <w:jc w:val="center"/>
              <w:rPr>
                <w:rFonts w:ascii="宋体" w:hAnsi="宋体"/>
                <w:color w:val="auto"/>
                <w:szCs w:val="21"/>
                <w:highlight w:val="none"/>
                <w:shd w:val="clear" w:color="auto" w:fill="auto"/>
              </w:rPr>
            </w:pPr>
          </w:p>
        </w:tc>
        <w:tc>
          <w:tcPr>
            <w:tcW w:w="1260" w:type="dxa"/>
            <w:vMerge w:val="continue"/>
            <w:tcBorders>
              <w:left w:val="single" w:color="000000" w:sz="4" w:space="0"/>
              <w:bottom w:val="single" w:color="000000" w:sz="4" w:space="0"/>
              <w:right w:val="single" w:color="000000" w:sz="4" w:space="0"/>
            </w:tcBorders>
            <w:noWrap w:val="0"/>
            <w:vAlign w:val="center"/>
          </w:tcPr>
          <w:p w14:paraId="3E261BDD">
            <w:pPr>
              <w:pStyle w:val="22"/>
              <w:spacing w:line="540" w:lineRule="exact"/>
              <w:jc w:val="center"/>
              <w:rPr>
                <w:rFonts w:hAnsi="宋体"/>
                <w:color w:val="auto"/>
                <w:szCs w:val="21"/>
                <w:highlight w:val="none"/>
                <w:shd w:val="clear" w:color="auto" w:fill="auto"/>
              </w:rPr>
            </w:pPr>
          </w:p>
        </w:tc>
        <w:tc>
          <w:tcPr>
            <w:tcW w:w="1080" w:type="dxa"/>
            <w:vMerge w:val="continue"/>
            <w:tcBorders>
              <w:left w:val="single" w:color="000000" w:sz="4" w:space="0"/>
              <w:bottom w:val="single" w:color="000000" w:sz="4" w:space="0"/>
              <w:right w:val="single" w:color="000000" w:sz="4" w:space="0"/>
            </w:tcBorders>
            <w:noWrap w:val="0"/>
            <w:vAlign w:val="center"/>
          </w:tcPr>
          <w:p w14:paraId="5255D855">
            <w:pPr>
              <w:pStyle w:val="22"/>
              <w:spacing w:line="540" w:lineRule="exact"/>
              <w:jc w:val="center"/>
              <w:rPr>
                <w:rFonts w:hAnsi="宋体"/>
                <w:color w:val="auto"/>
                <w:szCs w:val="21"/>
                <w:highlight w:val="none"/>
                <w:shd w:val="clear" w:color="auto" w:fill="auto"/>
              </w:rPr>
            </w:pPr>
          </w:p>
        </w:tc>
        <w:tc>
          <w:tcPr>
            <w:tcW w:w="1539" w:type="dxa"/>
            <w:vMerge w:val="continue"/>
            <w:tcBorders>
              <w:left w:val="single" w:color="000000" w:sz="4" w:space="0"/>
              <w:bottom w:val="single" w:color="000000" w:sz="4" w:space="0"/>
              <w:right w:val="single" w:color="000000" w:sz="4" w:space="0"/>
            </w:tcBorders>
            <w:noWrap w:val="0"/>
            <w:vAlign w:val="center"/>
          </w:tcPr>
          <w:p w14:paraId="73E70853">
            <w:pPr>
              <w:pStyle w:val="22"/>
              <w:spacing w:line="540" w:lineRule="exact"/>
              <w:jc w:val="center"/>
              <w:rPr>
                <w:rFonts w:hAnsi="宋体"/>
                <w:color w:val="auto"/>
                <w:szCs w:val="21"/>
                <w:highlight w:val="none"/>
                <w:shd w:val="clear" w:color="auto" w:fill="auto"/>
              </w:rPr>
            </w:pPr>
          </w:p>
        </w:tc>
        <w:tc>
          <w:tcPr>
            <w:tcW w:w="1190" w:type="dxa"/>
            <w:tcBorders>
              <w:top w:val="single" w:color="000000" w:sz="4" w:space="0"/>
              <w:left w:val="single" w:color="000000" w:sz="4" w:space="0"/>
              <w:bottom w:val="single" w:color="000000" w:sz="4" w:space="0"/>
              <w:right w:val="single" w:color="000000" w:sz="4" w:space="0"/>
            </w:tcBorders>
            <w:noWrap w:val="0"/>
            <w:vAlign w:val="center"/>
          </w:tcPr>
          <w:p w14:paraId="76258778">
            <w:pPr>
              <w:pStyle w:val="22"/>
              <w:spacing w:line="540" w:lineRule="exact"/>
              <w:jc w:val="center"/>
              <w:rPr>
                <w:rFonts w:hAnsi="宋体"/>
                <w:color w:val="auto"/>
                <w:szCs w:val="21"/>
                <w:highlight w:val="none"/>
                <w:shd w:val="clear" w:color="auto" w:fill="auto"/>
              </w:rPr>
            </w:pPr>
            <w:r>
              <w:rPr>
                <w:rFonts w:hAnsi="宋体"/>
                <w:color w:val="auto"/>
                <w:szCs w:val="21"/>
                <w:highlight w:val="none"/>
                <w:shd w:val="clear" w:color="auto" w:fill="auto"/>
              </w:rPr>
              <w:t>职称</w:t>
            </w:r>
          </w:p>
        </w:tc>
        <w:tc>
          <w:tcPr>
            <w:tcW w:w="978" w:type="dxa"/>
            <w:tcBorders>
              <w:top w:val="single" w:color="000000" w:sz="4" w:space="0"/>
              <w:left w:val="single" w:color="000000" w:sz="4" w:space="0"/>
              <w:bottom w:val="single" w:color="000000" w:sz="4" w:space="0"/>
              <w:right w:val="single" w:color="000000" w:sz="4" w:space="0"/>
            </w:tcBorders>
            <w:noWrap w:val="0"/>
            <w:vAlign w:val="center"/>
          </w:tcPr>
          <w:p w14:paraId="27E065D5">
            <w:pPr>
              <w:pStyle w:val="22"/>
              <w:spacing w:line="540" w:lineRule="exact"/>
              <w:jc w:val="center"/>
              <w:rPr>
                <w:rFonts w:hAnsi="宋体"/>
                <w:color w:val="auto"/>
                <w:szCs w:val="21"/>
                <w:highlight w:val="none"/>
                <w:shd w:val="clear" w:color="auto" w:fill="auto"/>
              </w:rPr>
            </w:pPr>
            <w:r>
              <w:rPr>
                <w:rFonts w:hAnsi="宋体"/>
                <w:color w:val="auto"/>
                <w:szCs w:val="21"/>
                <w:highlight w:val="none"/>
                <w:shd w:val="clear" w:color="auto" w:fill="auto"/>
              </w:rPr>
              <w:t>专业</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14:paraId="02087C65">
            <w:pPr>
              <w:pStyle w:val="22"/>
              <w:spacing w:line="540" w:lineRule="exact"/>
              <w:jc w:val="center"/>
              <w:rPr>
                <w:rFonts w:hAnsi="宋体"/>
                <w:color w:val="auto"/>
                <w:szCs w:val="21"/>
                <w:highlight w:val="none"/>
                <w:shd w:val="clear" w:color="auto" w:fill="auto"/>
              </w:rPr>
            </w:pPr>
            <w:r>
              <w:rPr>
                <w:rFonts w:hAnsi="宋体"/>
                <w:color w:val="auto"/>
                <w:szCs w:val="21"/>
                <w:highlight w:val="none"/>
                <w:shd w:val="clear" w:color="auto" w:fill="auto"/>
              </w:rPr>
              <w:t>证书号</w:t>
            </w:r>
          </w:p>
        </w:tc>
      </w:tr>
      <w:tr w14:paraId="13726AA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24" w:type="dxa"/>
            <w:tcBorders>
              <w:top w:val="single" w:color="000000" w:sz="4" w:space="0"/>
              <w:left w:val="single" w:color="000000" w:sz="4" w:space="0"/>
              <w:bottom w:val="single" w:color="000000" w:sz="4" w:space="0"/>
              <w:right w:val="single" w:color="000000" w:sz="4" w:space="0"/>
            </w:tcBorders>
            <w:noWrap w:val="0"/>
            <w:vAlign w:val="center"/>
          </w:tcPr>
          <w:p w14:paraId="0537AB51">
            <w:pPr>
              <w:spacing w:line="540" w:lineRule="exact"/>
              <w:jc w:val="center"/>
              <w:rPr>
                <w:rFonts w:ascii="宋体" w:hAnsi="宋体"/>
                <w:color w:val="auto"/>
                <w:szCs w:val="21"/>
                <w:highlight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noWrap w:val="0"/>
            <w:vAlign w:val="top"/>
          </w:tcPr>
          <w:p w14:paraId="32F118CF">
            <w:pPr>
              <w:pStyle w:val="22"/>
              <w:spacing w:line="540" w:lineRule="exact"/>
              <w:jc w:val="center"/>
              <w:rPr>
                <w:rFonts w:hAnsi="宋体"/>
                <w:color w:val="auto"/>
                <w:szCs w:val="21"/>
                <w:highlight w:val="none"/>
                <w:shd w:val="clear" w:color="auto" w:fill="auto"/>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20C11900">
            <w:pPr>
              <w:pStyle w:val="22"/>
              <w:spacing w:line="540" w:lineRule="exact"/>
              <w:jc w:val="center"/>
              <w:rPr>
                <w:rFonts w:hAnsi="宋体"/>
                <w:color w:val="auto"/>
                <w:szCs w:val="21"/>
                <w:highlight w:val="none"/>
                <w:shd w:val="clear" w:color="auto" w:fill="auto"/>
              </w:rPr>
            </w:pPr>
          </w:p>
        </w:tc>
        <w:tc>
          <w:tcPr>
            <w:tcW w:w="1539" w:type="dxa"/>
            <w:tcBorders>
              <w:top w:val="single" w:color="000000" w:sz="4" w:space="0"/>
              <w:left w:val="single" w:color="000000" w:sz="4" w:space="0"/>
              <w:bottom w:val="single" w:color="000000" w:sz="4" w:space="0"/>
              <w:right w:val="single" w:color="000000" w:sz="4" w:space="0"/>
            </w:tcBorders>
            <w:noWrap w:val="0"/>
            <w:vAlign w:val="top"/>
          </w:tcPr>
          <w:p w14:paraId="0375FC39">
            <w:pPr>
              <w:pStyle w:val="22"/>
              <w:spacing w:line="540" w:lineRule="exact"/>
              <w:jc w:val="center"/>
              <w:rPr>
                <w:rFonts w:hAnsi="宋体"/>
                <w:color w:val="auto"/>
                <w:szCs w:val="21"/>
                <w:highlight w:val="none"/>
                <w:shd w:val="clear" w:color="auto" w:fill="auto"/>
              </w:rPr>
            </w:pPr>
          </w:p>
        </w:tc>
        <w:tc>
          <w:tcPr>
            <w:tcW w:w="1190" w:type="dxa"/>
            <w:tcBorders>
              <w:top w:val="single" w:color="000000" w:sz="4" w:space="0"/>
              <w:left w:val="single" w:color="000000" w:sz="4" w:space="0"/>
              <w:bottom w:val="single" w:color="000000" w:sz="4" w:space="0"/>
              <w:right w:val="single" w:color="000000" w:sz="4" w:space="0"/>
            </w:tcBorders>
            <w:noWrap w:val="0"/>
            <w:vAlign w:val="top"/>
          </w:tcPr>
          <w:p w14:paraId="57DA48E6">
            <w:pPr>
              <w:pStyle w:val="22"/>
              <w:spacing w:line="540" w:lineRule="exact"/>
              <w:jc w:val="center"/>
              <w:rPr>
                <w:rFonts w:hAnsi="宋体"/>
                <w:color w:val="auto"/>
                <w:szCs w:val="21"/>
                <w:highlight w:val="none"/>
                <w:shd w:val="clear" w:color="auto" w:fill="auto"/>
              </w:rPr>
            </w:pPr>
          </w:p>
        </w:tc>
        <w:tc>
          <w:tcPr>
            <w:tcW w:w="978" w:type="dxa"/>
            <w:tcBorders>
              <w:top w:val="single" w:color="000000" w:sz="4" w:space="0"/>
              <w:left w:val="single" w:color="000000" w:sz="4" w:space="0"/>
              <w:bottom w:val="single" w:color="000000" w:sz="4" w:space="0"/>
              <w:right w:val="single" w:color="000000" w:sz="4" w:space="0"/>
            </w:tcBorders>
            <w:noWrap w:val="0"/>
            <w:vAlign w:val="top"/>
          </w:tcPr>
          <w:p w14:paraId="79F20D7D">
            <w:pPr>
              <w:pStyle w:val="22"/>
              <w:spacing w:line="540" w:lineRule="exact"/>
              <w:jc w:val="center"/>
              <w:rPr>
                <w:rFonts w:hAnsi="宋体"/>
                <w:color w:val="auto"/>
                <w:szCs w:val="21"/>
                <w:highlight w:val="none"/>
                <w:shd w:val="clear" w:color="auto" w:fill="auto"/>
              </w:rPr>
            </w:pPr>
          </w:p>
        </w:tc>
        <w:tc>
          <w:tcPr>
            <w:tcW w:w="1182" w:type="dxa"/>
            <w:tcBorders>
              <w:top w:val="single" w:color="000000" w:sz="4" w:space="0"/>
              <w:left w:val="single" w:color="000000" w:sz="4" w:space="0"/>
              <w:bottom w:val="single" w:color="000000" w:sz="4" w:space="0"/>
              <w:right w:val="single" w:color="000000" w:sz="4" w:space="0"/>
            </w:tcBorders>
            <w:noWrap w:val="0"/>
            <w:vAlign w:val="top"/>
          </w:tcPr>
          <w:p w14:paraId="0E9855F2">
            <w:pPr>
              <w:pStyle w:val="22"/>
              <w:spacing w:line="540" w:lineRule="exact"/>
              <w:jc w:val="center"/>
              <w:rPr>
                <w:rFonts w:hAnsi="宋体"/>
                <w:color w:val="auto"/>
                <w:szCs w:val="21"/>
                <w:highlight w:val="none"/>
                <w:shd w:val="clear" w:color="auto" w:fill="auto"/>
              </w:rPr>
            </w:pPr>
          </w:p>
        </w:tc>
      </w:tr>
      <w:tr w14:paraId="705EDE3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24" w:type="dxa"/>
            <w:tcBorders>
              <w:top w:val="single" w:color="000000" w:sz="4" w:space="0"/>
              <w:left w:val="single" w:color="000000" w:sz="4" w:space="0"/>
              <w:bottom w:val="single" w:color="000000" w:sz="4" w:space="0"/>
              <w:right w:val="single" w:color="000000" w:sz="4" w:space="0"/>
            </w:tcBorders>
            <w:noWrap w:val="0"/>
            <w:vAlign w:val="center"/>
          </w:tcPr>
          <w:p w14:paraId="7C6A13A1">
            <w:pPr>
              <w:spacing w:line="540" w:lineRule="exact"/>
              <w:jc w:val="center"/>
              <w:rPr>
                <w:rFonts w:ascii="宋体" w:hAnsi="宋体"/>
                <w:color w:val="auto"/>
                <w:szCs w:val="21"/>
                <w:highlight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noWrap w:val="0"/>
            <w:vAlign w:val="top"/>
          </w:tcPr>
          <w:p w14:paraId="1038135D">
            <w:pPr>
              <w:pStyle w:val="22"/>
              <w:spacing w:line="540" w:lineRule="exact"/>
              <w:jc w:val="center"/>
              <w:rPr>
                <w:rFonts w:hAnsi="宋体"/>
                <w:color w:val="auto"/>
                <w:szCs w:val="21"/>
                <w:highlight w:val="none"/>
                <w:shd w:val="clear" w:color="auto" w:fill="auto"/>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0D97EB00">
            <w:pPr>
              <w:pStyle w:val="22"/>
              <w:spacing w:line="540" w:lineRule="exact"/>
              <w:jc w:val="center"/>
              <w:rPr>
                <w:rFonts w:hAnsi="宋体"/>
                <w:color w:val="auto"/>
                <w:szCs w:val="21"/>
                <w:highlight w:val="none"/>
                <w:shd w:val="clear" w:color="auto" w:fill="auto"/>
              </w:rPr>
            </w:pPr>
          </w:p>
        </w:tc>
        <w:tc>
          <w:tcPr>
            <w:tcW w:w="1539" w:type="dxa"/>
            <w:tcBorders>
              <w:top w:val="single" w:color="000000" w:sz="4" w:space="0"/>
              <w:left w:val="single" w:color="000000" w:sz="4" w:space="0"/>
              <w:bottom w:val="single" w:color="000000" w:sz="4" w:space="0"/>
              <w:right w:val="single" w:color="000000" w:sz="4" w:space="0"/>
            </w:tcBorders>
            <w:noWrap w:val="0"/>
            <w:vAlign w:val="top"/>
          </w:tcPr>
          <w:p w14:paraId="20A77AEE">
            <w:pPr>
              <w:pStyle w:val="22"/>
              <w:spacing w:line="540" w:lineRule="exact"/>
              <w:jc w:val="center"/>
              <w:rPr>
                <w:rFonts w:hAnsi="宋体"/>
                <w:color w:val="auto"/>
                <w:szCs w:val="21"/>
                <w:highlight w:val="none"/>
                <w:shd w:val="clear" w:color="auto" w:fill="auto"/>
              </w:rPr>
            </w:pPr>
          </w:p>
        </w:tc>
        <w:tc>
          <w:tcPr>
            <w:tcW w:w="1190" w:type="dxa"/>
            <w:tcBorders>
              <w:top w:val="single" w:color="000000" w:sz="4" w:space="0"/>
              <w:left w:val="single" w:color="000000" w:sz="4" w:space="0"/>
              <w:bottom w:val="single" w:color="000000" w:sz="4" w:space="0"/>
              <w:right w:val="single" w:color="000000" w:sz="4" w:space="0"/>
            </w:tcBorders>
            <w:noWrap w:val="0"/>
            <w:vAlign w:val="top"/>
          </w:tcPr>
          <w:p w14:paraId="28C6F1C2">
            <w:pPr>
              <w:pStyle w:val="22"/>
              <w:spacing w:line="540" w:lineRule="exact"/>
              <w:jc w:val="center"/>
              <w:rPr>
                <w:rFonts w:hAnsi="宋体"/>
                <w:color w:val="auto"/>
                <w:szCs w:val="21"/>
                <w:highlight w:val="none"/>
                <w:shd w:val="clear" w:color="auto" w:fill="auto"/>
              </w:rPr>
            </w:pPr>
          </w:p>
        </w:tc>
        <w:tc>
          <w:tcPr>
            <w:tcW w:w="978" w:type="dxa"/>
            <w:tcBorders>
              <w:top w:val="single" w:color="000000" w:sz="4" w:space="0"/>
              <w:left w:val="single" w:color="000000" w:sz="4" w:space="0"/>
              <w:bottom w:val="single" w:color="000000" w:sz="4" w:space="0"/>
              <w:right w:val="single" w:color="000000" w:sz="4" w:space="0"/>
            </w:tcBorders>
            <w:noWrap w:val="0"/>
            <w:vAlign w:val="top"/>
          </w:tcPr>
          <w:p w14:paraId="3D7FF72D">
            <w:pPr>
              <w:pStyle w:val="22"/>
              <w:spacing w:line="540" w:lineRule="exact"/>
              <w:jc w:val="center"/>
              <w:rPr>
                <w:rFonts w:hAnsi="宋体"/>
                <w:color w:val="auto"/>
                <w:szCs w:val="21"/>
                <w:highlight w:val="none"/>
                <w:shd w:val="clear" w:color="auto" w:fill="auto"/>
              </w:rPr>
            </w:pPr>
          </w:p>
        </w:tc>
        <w:tc>
          <w:tcPr>
            <w:tcW w:w="1182" w:type="dxa"/>
            <w:tcBorders>
              <w:top w:val="single" w:color="000000" w:sz="4" w:space="0"/>
              <w:left w:val="single" w:color="000000" w:sz="4" w:space="0"/>
              <w:bottom w:val="single" w:color="000000" w:sz="4" w:space="0"/>
              <w:right w:val="single" w:color="000000" w:sz="4" w:space="0"/>
            </w:tcBorders>
            <w:noWrap w:val="0"/>
            <w:vAlign w:val="top"/>
          </w:tcPr>
          <w:p w14:paraId="576D35BE">
            <w:pPr>
              <w:pStyle w:val="22"/>
              <w:spacing w:line="540" w:lineRule="exact"/>
              <w:jc w:val="center"/>
              <w:rPr>
                <w:rFonts w:hAnsi="宋体"/>
                <w:color w:val="auto"/>
                <w:szCs w:val="21"/>
                <w:highlight w:val="none"/>
                <w:shd w:val="clear" w:color="auto" w:fill="auto"/>
              </w:rPr>
            </w:pPr>
          </w:p>
        </w:tc>
      </w:tr>
      <w:tr w14:paraId="2693CA1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24" w:type="dxa"/>
            <w:tcBorders>
              <w:top w:val="single" w:color="000000" w:sz="4" w:space="0"/>
              <w:left w:val="single" w:color="000000" w:sz="4" w:space="0"/>
              <w:bottom w:val="single" w:color="000000" w:sz="4" w:space="0"/>
              <w:right w:val="single" w:color="000000" w:sz="4" w:space="0"/>
            </w:tcBorders>
            <w:noWrap w:val="0"/>
            <w:vAlign w:val="center"/>
          </w:tcPr>
          <w:p w14:paraId="6F67550B">
            <w:pPr>
              <w:spacing w:line="540" w:lineRule="exact"/>
              <w:jc w:val="center"/>
              <w:rPr>
                <w:rFonts w:ascii="宋体" w:hAnsi="宋体"/>
                <w:color w:val="auto"/>
                <w:szCs w:val="21"/>
                <w:highlight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noWrap w:val="0"/>
            <w:vAlign w:val="top"/>
          </w:tcPr>
          <w:p w14:paraId="5D61F1EE">
            <w:pPr>
              <w:pStyle w:val="22"/>
              <w:spacing w:line="540" w:lineRule="exact"/>
              <w:jc w:val="center"/>
              <w:rPr>
                <w:rFonts w:hAnsi="宋体"/>
                <w:color w:val="auto"/>
                <w:szCs w:val="21"/>
                <w:highlight w:val="none"/>
                <w:shd w:val="clear" w:color="auto" w:fill="auto"/>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3215966D">
            <w:pPr>
              <w:pStyle w:val="22"/>
              <w:spacing w:line="540" w:lineRule="exact"/>
              <w:jc w:val="center"/>
              <w:rPr>
                <w:rFonts w:hAnsi="宋体"/>
                <w:color w:val="auto"/>
                <w:szCs w:val="21"/>
                <w:highlight w:val="none"/>
                <w:shd w:val="clear" w:color="auto" w:fill="auto"/>
              </w:rPr>
            </w:pPr>
          </w:p>
        </w:tc>
        <w:tc>
          <w:tcPr>
            <w:tcW w:w="1539" w:type="dxa"/>
            <w:tcBorders>
              <w:top w:val="single" w:color="000000" w:sz="4" w:space="0"/>
              <w:left w:val="single" w:color="000000" w:sz="4" w:space="0"/>
              <w:bottom w:val="single" w:color="000000" w:sz="4" w:space="0"/>
              <w:right w:val="single" w:color="000000" w:sz="4" w:space="0"/>
            </w:tcBorders>
            <w:noWrap w:val="0"/>
            <w:vAlign w:val="top"/>
          </w:tcPr>
          <w:p w14:paraId="1916DDA7">
            <w:pPr>
              <w:pStyle w:val="22"/>
              <w:spacing w:line="540" w:lineRule="exact"/>
              <w:jc w:val="center"/>
              <w:rPr>
                <w:rFonts w:hAnsi="宋体"/>
                <w:color w:val="auto"/>
                <w:szCs w:val="21"/>
                <w:highlight w:val="none"/>
                <w:shd w:val="clear" w:color="auto" w:fill="auto"/>
              </w:rPr>
            </w:pPr>
          </w:p>
        </w:tc>
        <w:tc>
          <w:tcPr>
            <w:tcW w:w="1190" w:type="dxa"/>
            <w:tcBorders>
              <w:top w:val="single" w:color="000000" w:sz="4" w:space="0"/>
              <w:left w:val="single" w:color="000000" w:sz="4" w:space="0"/>
              <w:bottom w:val="single" w:color="000000" w:sz="4" w:space="0"/>
              <w:right w:val="single" w:color="000000" w:sz="4" w:space="0"/>
            </w:tcBorders>
            <w:noWrap w:val="0"/>
            <w:vAlign w:val="top"/>
          </w:tcPr>
          <w:p w14:paraId="5D2CCAA2">
            <w:pPr>
              <w:pStyle w:val="22"/>
              <w:spacing w:line="540" w:lineRule="exact"/>
              <w:jc w:val="center"/>
              <w:rPr>
                <w:rFonts w:hAnsi="宋体"/>
                <w:color w:val="auto"/>
                <w:szCs w:val="21"/>
                <w:highlight w:val="none"/>
                <w:shd w:val="clear" w:color="auto" w:fill="auto"/>
              </w:rPr>
            </w:pPr>
          </w:p>
        </w:tc>
        <w:tc>
          <w:tcPr>
            <w:tcW w:w="978" w:type="dxa"/>
            <w:tcBorders>
              <w:top w:val="single" w:color="000000" w:sz="4" w:space="0"/>
              <w:left w:val="single" w:color="000000" w:sz="4" w:space="0"/>
              <w:bottom w:val="single" w:color="000000" w:sz="4" w:space="0"/>
              <w:right w:val="single" w:color="000000" w:sz="4" w:space="0"/>
            </w:tcBorders>
            <w:noWrap w:val="0"/>
            <w:vAlign w:val="top"/>
          </w:tcPr>
          <w:p w14:paraId="54B92F28">
            <w:pPr>
              <w:pStyle w:val="22"/>
              <w:spacing w:line="540" w:lineRule="exact"/>
              <w:jc w:val="center"/>
              <w:rPr>
                <w:rFonts w:hAnsi="宋体"/>
                <w:color w:val="auto"/>
                <w:szCs w:val="21"/>
                <w:highlight w:val="none"/>
                <w:shd w:val="clear" w:color="auto" w:fill="auto"/>
              </w:rPr>
            </w:pPr>
          </w:p>
        </w:tc>
        <w:tc>
          <w:tcPr>
            <w:tcW w:w="1182" w:type="dxa"/>
            <w:tcBorders>
              <w:top w:val="single" w:color="000000" w:sz="4" w:space="0"/>
              <w:left w:val="single" w:color="000000" w:sz="4" w:space="0"/>
              <w:bottom w:val="single" w:color="000000" w:sz="4" w:space="0"/>
              <w:right w:val="single" w:color="000000" w:sz="4" w:space="0"/>
            </w:tcBorders>
            <w:noWrap w:val="0"/>
            <w:vAlign w:val="top"/>
          </w:tcPr>
          <w:p w14:paraId="1AC60E62">
            <w:pPr>
              <w:pStyle w:val="22"/>
              <w:spacing w:line="540" w:lineRule="exact"/>
              <w:jc w:val="center"/>
              <w:rPr>
                <w:rFonts w:hAnsi="宋体"/>
                <w:color w:val="auto"/>
                <w:szCs w:val="21"/>
                <w:highlight w:val="none"/>
                <w:shd w:val="clear" w:color="auto" w:fill="auto"/>
              </w:rPr>
            </w:pPr>
          </w:p>
        </w:tc>
      </w:tr>
      <w:tr w14:paraId="36CADF0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24" w:type="dxa"/>
            <w:tcBorders>
              <w:top w:val="single" w:color="000000" w:sz="4" w:space="0"/>
              <w:left w:val="single" w:color="000000" w:sz="4" w:space="0"/>
              <w:bottom w:val="single" w:color="000000" w:sz="4" w:space="0"/>
              <w:right w:val="single" w:color="000000" w:sz="4" w:space="0"/>
            </w:tcBorders>
            <w:noWrap w:val="0"/>
            <w:vAlign w:val="center"/>
          </w:tcPr>
          <w:p w14:paraId="361991A3">
            <w:pPr>
              <w:spacing w:line="540" w:lineRule="exact"/>
              <w:jc w:val="center"/>
              <w:rPr>
                <w:rFonts w:ascii="宋体" w:hAnsi="宋体"/>
                <w:color w:val="auto"/>
                <w:szCs w:val="21"/>
                <w:highlight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noWrap w:val="0"/>
            <w:vAlign w:val="top"/>
          </w:tcPr>
          <w:p w14:paraId="5A75BFF0">
            <w:pPr>
              <w:pStyle w:val="22"/>
              <w:spacing w:line="540" w:lineRule="exact"/>
              <w:jc w:val="center"/>
              <w:rPr>
                <w:rFonts w:hAnsi="宋体"/>
                <w:color w:val="auto"/>
                <w:szCs w:val="21"/>
                <w:highlight w:val="none"/>
                <w:shd w:val="clear" w:color="auto" w:fill="auto"/>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5A30E88F">
            <w:pPr>
              <w:pStyle w:val="22"/>
              <w:spacing w:line="540" w:lineRule="exact"/>
              <w:jc w:val="center"/>
              <w:rPr>
                <w:rFonts w:hAnsi="宋体"/>
                <w:color w:val="auto"/>
                <w:szCs w:val="21"/>
                <w:highlight w:val="none"/>
                <w:shd w:val="clear" w:color="auto" w:fill="auto"/>
              </w:rPr>
            </w:pPr>
          </w:p>
        </w:tc>
        <w:tc>
          <w:tcPr>
            <w:tcW w:w="1539" w:type="dxa"/>
            <w:tcBorders>
              <w:top w:val="single" w:color="000000" w:sz="4" w:space="0"/>
              <w:left w:val="single" w:color="000000" w:sz="4" w:space="0"/>
              <w:bottom w:val="single" w:color="000000" w:sz="4" w:space="0"/>
              <w:right w:val="single" w:color="000000" w:sz="4" w:space="0"/>
            </w:tcBorders>
            <w:noWrap w:val="0"/>
            <w:vAlign w:val="top"/>
          </w:tcPr>
          <w:p w14:paraId="2920957A">
            <w:pPr>
              <w:pStyle w:val="22"/>
              <w:spacing w:line="540" w:lineRule="exact"/>
              <w:jc w:val="center"/>
              <w:rPr>
                <w:rFonts w:hAnsi="宋体"/>
                <w:color w:val="auto"/>
                <w:szCs w:val="21"/>
                <w:highlight w:val="none"/>
                <w:shd w:val="clear" w:color="auto" w:fill="auto"/>
              </w:rPr>
            </w:pPr>
          </w:p>
        </w:tc>
        <w:tc>
          <w:tcPr>
            <w:tcW w:w="1190" w:type="dxa"/>
            <w:tcBorders>
              <w:top w:val="single" w:color="000000" w:sz="4" w:space="0"/>
              <w:left w:val="single" w:color="000000" w:sz="4" w:space="0"/>
              <w:bottom w:val="single" w:color="000000" w:sz="4" w:space="0"/>
              <w:right w:val="single" w:color="000000" w:sz="4" w:space="0"/>
            </w:tcBorders>
            <w:noWrap w:val="0"/>
            <w:vAlign w:val="top"/>
          </w:tcPr>
          <w:p w14:paraId="0480D2B3">
            <w:pPr>
              <w:pStyle w:val="22"/>
              <w:spacing w:line="540" w:lineRule="exact"/>
              <w:jc w:val="center"/>
              <w:rPr>
                <w:rFonts w:hAnsi="宋体"/>
                <w:color w:val="auto"/>
                <w:szCs w:val="21"/>
                <w:highlight w:val="none"/>
                <w:shd w:val="clear" w:color="auto" w:fill="auto"/>
              </w:rPr>
            </w:pPr>
          </w:p>
        </w:tc>
        <w:tc>
          <w:tcPr>
            <w:tcW w:w="978" w:type="dxa"/>
            <w:tcBorders>
              <w:top w:val="single" w:color="000000" w:sz="4" w:space="0"/>
              <w:left w:val="single" w:color="000000" w:sz="4" w:space="0"/>
              <w:bottom w:val="single" w:color="000000" w:sz="4" w:space="0"/>
              <w:right w:val="single" w:color="000000" w:sz="4" w:space="0"/>
            </w:tcBorders>
            <w:noWrap w:val="0"/>
            <w:vAlign w:val="top"/>
          </w:tcPr>
          <w:p w14:paraId="52C865B1">
            <w:pPr>
              <w:pStyle w:val="22"/>
              <w:spacing w:line="540" w:lineRule="exact"/>
              <w:jc w:val="center"/>
              <w:rPr>
                <w:rFonts w:hAnsi="宋体"/>
                <w:color w:val="auto"/>
                <w:szCs w:val="21"/>
                <w:highlight w:val="none"/>
                <w:shd w:val="clear" w:color="auto" w:fill="auto"/>
              </w:rPr>
            </w:pPr>
          </w:p>
        </w:tc>
        <w:tc>
          <w:tcPr>
            <w:tcW w:w="1182" w:type="dxa"/>
            <w:tcBorders>
              <w:top w:val="single" w:color="000000" w:sz="4" w:space="0"/>
              <w:left w:val="single" w:color="000000" w:sz="4" w:space="0"/>
              <w:bottom w:val="single" w:color="000000" w:sz="4" w:space="0"/>
              <w:right w:val="single" w:color="000000" w:sz="4" w:space="0"/>
            </w:tcBorders>
            <w:noWrap w:val="0"/>
            <w:vAlign w:val="top"/>
          </w:tcPr>
          <w:p w14:paraId="71840616">
            <w:pPr>
              <w:pStyle w:val="22"/>
              <w:spacing w:line="540" w:lineRule="exact"/>
              <w:jc w:val="center"/>
              <w:rPr>
                <w:rFonts w:hAnsi="宋体"/>
                <w:color w:val="auto"/>
                <w:szCs w:val="21"/>
                <w:highlight w:val="none"/>
                <w:shd w:val="clear" w:color="auto" w:fill="auto"/>
              </w:rPr>
            </w:pPr>
          </w:p>
        </w:tc>
      </w:tr>
    </w:tbl>
    <w:p w14:paraId="4F86E8FB">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注：1、执业资格为注册监理工程师。职称为高、中、初级工程师。</w:t>
      </w:r>
    </w:p>
    <w:p w14:paraId="37CF40AC">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2、同时要求提交项目总监理工程师、项目副总监理工程师、监理工程师、专业工种人员、法人代表等相关资料。</w:t>
      </w:r>
    </w:p>
    <w:p w14:paraId="249AAAA1">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3、必须填入投标文件中所登记的相关人员，项目实施过程以上人员不能到位，须按要求办理人员变更手续。</w:t>
      </w:r>
    </w:p>
    <w:p w14:paraId="36A384ED">
      <w:pPr>
        <w:spacing w:line="540" w:lineRule="exact"/>
        <w:rPr>
          <w:color w:val="auto"/>
          <w:highlight w:val="none"/>
          <w:shd w:val="clear" w:color="auto" w:fill="auto"/>
        </w:rPr>
      </w:pPr>
    </w:p>
    <w:p w14:paraId="1B619C72">
      <w:pPr>
        <w:spacing w:line="540" w:lineRule="exact"/>
        <w:rPr>
          <w:color w:val="auto"/>
          <w:highlight w:val="none"/>
          <w:shd w:val="clear" w:color="auto" w:fill="auto"/>
        </w:rPr>
      </w:pPr>
      <w:r>
        <w:rPr>
          <w:color w:val="auto"/>
          <w:highlight w:val="none"/>
          <w:shd w:val="clear" w:color="auto" w:fill="auto"/>
        </w:rPr>
        <w:br w:type="page"/>
      </w:r>
    </w:p>
    <w:p w14:paraId="53F01262">
      <w:pPr>
        <w:pStyle w:val="5"/>
        <w:spacing w:line="540" w:lineRule="exact"/>
        <w:ind w:firstLine="137"/>
        <w:rPr>
          <w:rFonts w:ascii="Times New Roman"/>
          <w:color w:val="auto"/>
          <w:highlight w:val="none"/>
          <w:shd w:val="clear" w:color="auto" w:fill="auto"/>
        </w:rPr>
      </w:pPr>
      <w:bookmarkStart w:id="380" w:name="_Toc2061"/>
      <w:r>
        <w:rPr>
          <w:rFonts w:ascii="Times New Roman"/>
          <w:color w:val="auto"/>
          <w:highlight w:val="none"/>
          <w:shd w:val="clear" w:color="auto" w:fill="auto"/>
        </w:rPr>
        <w:t>附件</w:t>
      </w:r>
      <w:r>
        <w:rPr>
          <w:rFonts w:hint="eastAsia" w:ascii="Times New Roman"/>
          <w:color w:val="auto"/>
          <w:highlight w:val="none"/>
          <w:shd w:val="clear" w:color="auto" w:fill="auto"/>
          <w:lang w:val="en-US" w:eastAsia="zh-CN"/>
        </w:rPr>
        <w:t>四</w:t>
      </w:r>
      <w:r>
        <w:rPr>
          <w:rFonts w:ascii="Times New Roman"/>
          <w:color w:val="auto"/>
          <w:highlight w:val="none"/>
          <w:shd w:val="clear" w:color="auto" w:fill="auto"/>
        </w:rPr>
        <w:t>：</w:t>
      </w:r>
      <w:r>
        <w:rPr>
          <w:rFonts w:hint="eastAsia" w:ascii="宋体" w:hAnsi="宋体"/>
          <w:color w:val="auto"/>
          <w:szCs w:val="21"/>
          <w:highlight w:val="none"/>
          <w:shd w:val="clear" w:color="auto" w:fill="auto"/>
        </w:rPr>
        <w:t>合同价格组成明细表</w:t>
      </w:r>
      <w:bookmarkEnd w:id="380"/>
    </w:p>
    <w:p w14:paraId="31A9CC39">
      <w:pPr>
        <w:spacing w:line="540" w:lineRule="exact"/>
        <w:rPr>
          <w:color w:val="auto"/>
          <w:highlight w:val="none"/>
          <w:shd w:val="clear" w:color="auto" w:fill="auto"/>
        </w:rPr>
      </w:pPr>
    </w:p>
    <w:p w14:paraId="486EC096">
      <w:pPr>
        <w:spacing w:line="540" w:lineRule="exact"/>
        <w:rPr>
          <w:color w:val="auto"/>
          <w:highlight w:val="none"/>
          <w:shd w:val="clear" w:color="auto" w:fill="auto"/>
        </w:rPr>
      </w:pPr>
      <w:r>
        <w:rPr>
          <w:color w:val="auto"/>
          <w:highlight w:val="none"/>
          <w:shd w:val="clear" w:color="auto" w:fill="auto"/>
        </w:rPr>
        <w:br w:type="page"/>
      </w:r>
    </w:p>
    <w:p w14:paraId="5B2C30D1">
      <w:pPr>
        <w:pStyle w:val="5"/>
        <w:spacing w:line="540" w:lineRule="exact"/>
        <w:ind w:firstLine="137"/>
        <w:rPr>
          <w:rFonts w:ascii="Times New Roman"/>
          <w:color w:val="auto"/>
          <w:highlight w:val="none"/>
          <w:shd w:val="clear" w:color="auto" w:fill="auto"/>
        </w:rPr>
      </w:pPr>
      <w:bookmarkStart w:id="381" w:name="_Toc7183"/>
      <w:r>
        <w:rPr>
          <w:rFonts w:hint="eastAsia" w:ascii="Times New Roman"/>
          <w:color w:val="auto"/>
          <w:highlight w:val="none"/>
          <w:shd w:val="clear" w:color="auto" w:fill="auto"/>
        </w:rPr>
        <w:t>附件</w:t>
      </w:r>
      <w:r>
        <w:rPr>
          <w:rFonts w:hint="eastAsia" w:ascii="Times New Roman"/>
          <w:color w:val="auto"/>
          <w:highlight w:val="none"/>
          <w:shd w:val="clear" w:color="auto" w:fill="auto"/>
          <w:lang w:val="en-US" w:eastAsia="zh-CN"/>
        </w:rPr>
        <w:t>五</w:t>
      </w:r>
      <w:r>
        <w:rPr>
          <w:rFonts w:hint="eastAsia" w:ascii="Times New Roman"/>
          <w:color w:val="auto"/>
          <w:highlight w:val="none"/>
          <w:shd w:val="clear" w:color="auto" w:fill="auto"/>
        </w:rPr>
        <w:t>：廉洁协议书</w:t>
      </w:r>
      <w:bookmarkEnd w:id="381"/>
    </w:p>
    <w:p w14:paraId="6EF6C23D">
      <w:pPr>
        <w:spacing w:line="540" w:lineRule="exact"/>
        <w:jc w:val="center"/>
        <w:rPr>
          <w:rFonts w:eastAsia="黑体"/>
          <w:color w:val="auto"/>
          <w:sz w:val="28"/>
          <w:highlight w:val="none"/>
          <w:shd w:val="clear" w:color="auto" w:fill="auto"/>
        </w:rPr>
      </w:pPr>
      <w:r>
        <w:rPr>
          <w:rFonts w:hint="eastAsia" w:eastAsia="黑体"/>
          <w:color w:val="auto"/>
          <w:sz w:val="28"/>
          <w:highlight w:val="none"/>
          <w:shd w:val="clear" w:color="auto" w:fill="auto"/>
        </w:rPr>
        <w:t>廉洁协议书</w:t>
      </w:r>
    </w:p>
    <w:p w14:paraId="0200DFDF">
      <w:pPr>
        <w:spacing w:line="540" w:lineRule="exact"/>
        <w:jc w:val="center"/>
        <w:rPr>
          <w:rFonts w:eastAsia="黑体"/>
          <w:color w:val="auto"/>
          <w:sz w:val="28"/>
          <w:highlight w:val="none"/>
          <w:shd w:val="clear" w:color="auto" w:fill="auto"/>
        </w:rPr>
      </w:pPr>
    </w:p>
    <w:p w14:paraId="1A068C98">
      <w:pPr>
        <w:autoSpaceDE w:val="0"/>
        <w:autoSpaceDN w:val="0"/>
        <w:spacing w:line="540" w:lineRule="exact"/>
        <w:rPr>
          <w:rFonts w:ascii="宋体" w:hAnsi="宋体" w:cs="仿宋_GB2312"/>
          <w:color w:val="auto"/>
          <w:szCs w:val="21"/>
          <w:highlight w:val="none"/>
          <w:u w:val="single"/>
          <w:shd w:val="clear" w:color="auto" w:fill="auto"/>
        </w:rPr>
      </w:pPr>
      <w:r>
        <w:rPr>
          <w:rFonts w:hint="eastAsia" w:ascii="宋体" w:hAnsi="宋体" w:cs="仿宋_GB2312"/>
          <w:color w:val="auto"/>
          <w:szCs w:val="21"/>
          <w:highlight w:val="none"/>
          <w:shd w:val="clear" w:color="auto" w:fill="auto"/>
        </w:rPr>
        <w:t>对应合同编号：</w:t>
      </w:r>
      <w:r>
        <w:rPr>
          <w:rFonts w:hint="eastAsia" w:ascii="宋体" w:hAnsi="宋体" w:cs="仿宋_GB2312"/>
          <w:color w:val="auto"/>
          <w:szCs w:val="21"/>
          <w:highlight w:val="none"/>
          <w:u w:val="single"/>
          <w:shd w:val="clear" w:color="auto" w:fill="auto"/>
        </w:rPr>
        <w:t xml:space="preserve">                    </w:t>
      </w:r>
    </w:p>
    <w:p w14:paraId="4BCE77DA">
      <w:pPr>
        <w:spacing w:line="540" w:lineRule="exact"/>
        <w:rPr>
          <w:rFonts w:ascii="宋体" w:hAnsi="宋体"/>
          <w:color w:val="auto"/>
          <w:szCs w:val="21"/>
          <w:highlight w:val="none"/>
          <w:u w:val="single"/>
          <w:shd w:val="clear" w:color="auto" w:fill="auto"/>
        </w:rPr>
      </w:pPr>
      <w:r>
        <w:rPr>
          <w:rFonts w:hint="eastAsia" w:ascii="宋体" w:hAnsi="宋体"/>
          <w:color w:val="auto"/>
          <w:szCs w:val="21"/>
          <w:highlight w:val="none"/>
          <w:shd w:val="clear" w:color="auto" w:fill="auto"/>
        </w:rPr>
        <w:t>工程名称：</w:t>
      </w:r>
      <w:r>
        <w:rPr>
          <w:rFonts w:ascii="宋体" w:hAnsi="宋体"/>
          <w:color w:val="auto"/>
          <w:szCs w:val="21"/>
          <w:highlight w:val="none"/>
          <w:u w:val="single"/>
          <w:shd w:val="clear" w:color="auto" w:fill="auto"/>
        </w:rPr>
        <w:t xml:space="preserve">                 </w:t>
      </w:r>
    </w:p>
    <w:p w14:paraId="4A478CCA">
      <w:pPr>
        <w:spacing w:line="540" w:lineRule="exact"/>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工程地址：</w:t>
      </w:r>
      <w:r>
        <w:rPr>
          <w:rFonts w:ascii="宋体" w:hAnsi="宋体"/>
          <w:color w:val="auto"/>
          <w:szCs w:val="21"/>
          <w:highlight w:val="none"/>
          <w:u w:val="single"/>
          <w:shd w:val="clear" w:color="auto" w:fill="auto"/>
        </w:rPr>
        <w:t xml:space="preserve">                 </w:t>
      </w:r>
    </w:p>
    <w:p w14:paraId="7E9DF613">
      <w:pPr>
        <w:spacing w:line="540" w:lineRule="exact"/>
        <w:rPr>
          <w:rFonts w:ascii="宋体" w:hAnsi="宋体"/>
          <w:color w:val="auto"/>
          <w:szCs w:val="21"/>
          <w:highlight w:val="none"/>
          <w:shd w:val="clear" w:color="auto" w:fill="auto"/>
        </w:rPr>
      </w:pPr>
      <w:r>
        <w:rPr>
          <w:rFonts w:hint="eastAsia" w:ascii="宋体" w:hAnsi="宋体" w:cs="宋体"/>
          <w:color w:val="auto"/>
          <w:szCs w:val="21"/>
          <w:highlight w:val="none"/>
          <w:shd w:val="clear" w:color="auto" w:fill="auto"/>
        </w:rPr>
        <w:t>建设单位</w:t>
      </w:r>
      <w:r>
        <w:rPr>
          <w:rFonts w:hint="eastAsia" w:ascii="宋体" w:hAnsi="宋体"/>
          <w:color w:val="auto"/>
          <w:szCs w:val="21"/>
          <w:highlight w:val="none"/>
          <w:shd w:val="clear" w:color="auto" w:fill="auto"/>
        </w:rPr>
        <w:t>（以下称甲方）：</w:t>
      </w:r>
      <w:r>
        <w:rPr>
          <w:rFonts w:ascii="宋体" w:hAnsi="宋体"/>
          <w:color w:val="auto"/>
          <w:szCs w:val="21"/>
          <w:highlight w:val="none"/>
          <w:u w:val="single"/>
          <w:shd w:val="clear" w:color="auto" w:fill="auto"/>
        </w:rPr>
        <w:t xml:space="preserve">                       </w:t>
      </w:r>
    </w:p>
    <w:p w14:paraId="36F7BBF4">
      <w:pPr>
        <w:spacing w:line="540" w:lineRule="exact"/>
        <w:rPr>
          <w:rFonts w:ascii="宋体" w:hAnsi="宋体" w:cs="仿宋_GB2312"/>
          <w:color w:val="auto"/>
          <w:szCs w:val="21"/>
          <w:highlight w:val="none"/>
          <w:u w:val="single"/>
          <w:shd w:val="clear" w:color="auto" w:fill="auto"/>
        </w:rPr>
      </w:pPr>
      <w:r>
        <w:rPr>
          <w:rFonts w:hint="eastAsia" w:ascii="宋体" w:hAnsi="宋体"/>
          <w:color w:val="auto"/>
          <w:szCs w:val="21"/>
          <w:highlight w:val="none"/>
          <w:shd w:val="clear" w:color="auto" w:fill="auto"/>
        </w:rPr>
        <w:t>监理人（以下称乙方）：</w:t>
      </w:r>
      <w:r>
        <w:rPr>
          <w:rFonts w:ascii="宋体" w:hAnsi="宋体"/>
          <w:color w:val="auto"/>
          <w:szCs w:val="21"/>
          <w:highlight w:val="none"/>
          <w:u w:val="single"/>
          <w:shd w:val="clear" w:color="auto" w:fill="auto"/>
        </w:rPr>
        <w:t xml:space="preserve">                       </w:t>
      </w:r>
    </w:p>
    <w:p w14:paraId="5ED12CFA">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14:paraId="11A88050">
      <w:pPr>
        <w:autoSpaceDE w:val="0"/>
        <w:autoSpaceDN w:val="0"/>
        <w:spacing w:line="540" w:lineRule="exact"/>
        <w:ind w:firstLine="422" w:firstLineChars="200"/>
        <w:rPr>
          <w:rFonts w:ascii="宋体" w:hAnsi="宋体" w:cs="TimesNewRomanPSMT"/>
          <w:b/>
          <w:bCs/>
          <w:color w:val="auto"/>
          <w:szCs w:val="21"/>
          <w:highlight w:val="none"/>
          <w:shd w:val="clear" w:color="auto" w:fill="auto"/>
        </w:rPr>
      </w:pPr>
      <w:r>
        <w:rPr>
          <w:rFonts w:hint="eastAsia" w:ascii="宋体" w:hAnsi="宋体" w:cs="TimesNewRomanPSMT"/>
          <w:b/>
          <w:bCs/>
          <w:color w:val="auto"/>
          <w:szCs w:val="21"/>
          <w:highlight w:val="none"/>
          <w:shd w:val="clear" w:color="auto" w:fill="auto"/>
        </w:rPr>
        <w:t>第一条 甲、乙双方的共同责任</w:t>
      </w:r>
    </w:p>
    <w:p w14:paraId="4C4F591B">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（一）严格遵守国家关于市场准入、招标投标、工程建设、物资采购等市场经济活动的法律法规、政策以及廉洁建设规定。</w:t>
      </w:r>
    </w:p>
    <w:p w14:paraId="2F1667F2">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（二）严格履行合同约定，自觉承担合同义务。</w:t>
      </w:r>
    </w:p>
    <w:p w14:paraId="4C1F6770">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（三）业务活动必须坚持公平、公正、公开和诚实守信的原则（除法律法规另有规定者外），不得为获取不正当利益，损害国家、集体和对方利益，不违反招标投标、工程建设管理、物资采购等方面的规章制度。</w:t>
      </w:r>
    </w:p>
    <w:p w14:paraId="7A3533E2">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（四）建立健全自我制约制度，开展廉洁教育，公布举报方式，监督并认真查处违法违纪行为。</w:t>
      </w:r>
    </w:p>
    <w:p w14:paraId="558AEBEB">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（五）发现对方在业务活动中有违规、违纪、违法行为的，应及时提醒对方，情节严重的，应向有关纪检监察部门举报。</w:t>
      </w:r>
    </w:p>
    <w:p w14:paraId="681D8BED">
      <w:pPr>
        <w:autoSpaceDE w:val="0"/>
        <w:autoSpaceDN w:val="0"/>
        <w:spacing w:line="540" w:lineRule="exact"/>
        <w:ind w:firstLine="422" w:firstLineChars="200"/>
        <w:rPr>
          <w:rFonts w:ascii="宋体" w:hAnsi="宋体" w:cs="TimesNewRomanPSMT"/>
          <w:b/>
          <w:bCs/>
          <w:color w:val="auto"/>
          <w:szCs w:val="21"/>
          <w:highlight w:val="none"/>
          <w:shd w:val="clear" w:color="auto" w:fill="auto"/>
        </w:rPr>
      </w:pPr>
      <w:r>
        <w:rPr>
          <w:rFonts w:hint="eastAsia" w:ascii="宋体" w:hAnsi="宋体" w:cs="TimesNewRomanPSMT"/>
          <w:b/>
          <w:bCs/>
          <w:color w:val="auto"/>
          <w:szCs w:val="21"/>
          <w:highlight w:val="none"/>
          <w:shd w:val="clear" w:color="auto" w:fill="auto"/>
        </w:rPr>
        <w:t>第二条 甲方的责任</w:t>
      </w:r>
    </w:p>
    <w:p w14:paraId="1433C974">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甲方相关工作人员，在业务活动的事前、事中、事后，应遵守以下规定：</w:t>
      </w:r>
    </w:p>
    <w:p w14:paraId="50F607D7">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 xml:space="preserve">（一）贯彻落实中国南方电网有限责任公司有关党风廉政建设责任制及廉洁从业的规定，建立企业诚信档案； </w:t>
      </w:r>
    </w:p>
    <w:p w14:paraId="33625CB4">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 xml:space="preserve">（二）按照公平、公正、公开和诚实守信的原则开展各项业务活动，为乙方提供公平的竞争环境与平台； </w:t>
      </w:r>
    </w:p>
    <w:p w14:paraId="56028679">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 xml:space="preserve">（三）不准向乙方泄漏涉及有关业务活动的秘密； </w:t>
      </w:r>
    </w:p>
    <w:p w14:paraId="6D30C875">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 xml:space="preserve">（四）不准向乙方和相关单位索要或接受回扣、红包、礼金、购物卡、有价证券、贵重物品和好处费、感谢费等； </w:t>
      </w:r>
    </w:p>
    <w:p w14:paraId="1CEB517B">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（五）不准在乙方和相关单位报销任何应由甲方或个人支付的费用；</w:t>
      </w:r>
    </w:p>
    <w:p w14:paraId="43333442">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（六）不准要求、暗示或接受乙方和相关单位为个人装修住房、婚丧嫁娶、配偶子女的工作安排以及境内外旅游等提供方便；</w:t>
      </w:r>
    </w:p>
    <w:p w14:paraId="794F4C0D">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（七）不准向乙方介绍配偶、子女、亲属参与与甲方有关的经济活动，不得以任何理由向乙方和相关单位推荐第三方单位；</w:t>
      </w:r>
    </w:p>
    <w:p w14:paraId="51815765">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（八）不准参与影响相关工作正常和公正开展的其他活动；</w:t>
      </w:r>
    </w:p>
    <w:p w14:paraId="2C00BE4D">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（九）不准违反《中共中央纪委关于严格禁止利用职务上的便利谋取不正当利益的若干规定》的内容。</w:t>
      </w:r>
    </w:p>
    <w:p w14:paraId="0DA08B53">
      <w:pPr>
        <w:autoSpaceDE w:val="0"/>
        <w:autoSpaceDN w:val="0"/>
        <w:spacing w:line="540" w:lineRule="exact"/>
        <w:ind w:firstLine="422" w:firstLineChars="200"/>
        <w:rPr>
          <w:rFonts w:ascii="宋体" w:hAnsi="宋体" w:cs="TimesNewRomanPSMT"/>
          <w:b/>
          <w:bCs/>
          <w:color w:val="auto"/>
          <w:szCs w:val="21"/>
          <w:highlight w:val="none"/>
          <w:shd w:val="clear" w:color="auto" w:fill="auto"/>
        </w:rPr>
      </w:pPr>
      <w:r>
        <w:rPr>
          <w:rFonts w:hint="eastAsia" w:ascii="宋体" w:hAnsi="宋体" w:cs="TimesNewRomanPSMT"/>
          <w:b/>
          <w:bCs/>
          <w:color w:val="auto"/>
          <w:szCs w:val="21"/>
          <w:highlight w:val="none"/>
          <w:shd w:val="clear" w:color="auto" w:fill="auto"/>
        </w:rPr>
        <w:t>第三条 乙方的责任</w:t>
      </w:r>
    </w:p>
    <w:p w14:paraId="66FE2D06">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在与甲方业务交往过程中，按照有关法律法规和程序开展工作，严格执行国家的有关方针、政策，并遵守以下规定：</w:t>
      </w:r>
    </w:p>
    <w:p w14:paraId="4E8E1BB8">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（一）不准以任何理由为甲方和相关单位报销应由对方或个人支付的费用；</w:t>
      </w:r>
    </w:p>
    <w:p w14:paraId="54817B12">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（二）不准以任何理由向甲方负责人及其工作人员赠送回扣、红包、礼金、购物卡、有价证券、贵重物品和好处费、感谢费等；</w:t>
      </w:r>
    </w:p>
    <w:p w14:paraId="122B96CB">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（三）不准以任何理由为甲方、与甲方相关的单位或个人提供高消费宴请及娱乐活动；</w:t>
      </w:r>
    </w:p>
    <w:p w14:paraId="1192BF28">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（四）不准以任何理由为甲方、与甲方相关的单位或个人购置或提供通讯工具、交通工具和高档办公用品；</w:t>
      </w:r>
    </w:p>
    <w:p w14:paraId="4039521F">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（五）不准接受或暗示为甲方、与甲方相关的单位或个人装修住房、婚丧嫁取、配偶子女的工作安排以及境内外旅游等提供方便；</w:t>
      </w:r>
    </w:p>
    <w:p w14:paraId="5E06643D">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（六）不准以谋取非正当利益为目的，擅自与甲方工作人员就业务问题进行私下商谈或者达成利益默契；</w:t>
      </w:r>
    </w:p>
    <w:p w14:paraId="4F279D46">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（七）发现甲方工作人员有违反本廉洁协议书规定的，应向甲方单位举报。</w:t>
      </w:r>
      <w:r>
        <w:rPr>
          <w:rFonts w:hint="eastAsia" w:ascii="宋体" w:hAnsi="宋体" w:cs="TimesNewRomanPSMT"/>
          <w:color w:val="auto"/>
          <w:szCs w:val="21"/>
          <w:highlight w:val="none"/>
          <w:shd w:val="clear" w:color="auto" w:fill="auto"/>
          <w:lang w:val="en-US" w:eastAsia="zh-CN"/>
        </w:rPr>
        <w:t>中国</w:t>
      </w:r>
      <w:r>
        <w:rPr>
          <w:rFonts w:hint="eastAsia" w:ascii="宋体" w:hAnsi="宋体" w:cs="TimesNewRomanPSMT"/>
          <w:color w:val="auto"/>
          <w:szCs w:val="21"/>
          <w:highlight w:val="none"/>
          <w:u w:val="single"/>
          <w:shd w:val="clear" w:color="auto" w:fill="auto"/>
        </w:rPr>
        <w:t>南方电网</w:t>
      </w:r>
      <w:r>
        <w:rPr>
          <w:rFonts w:hint="eastAsia" w:ascii="宋体" w:hAnsi="宋体" w:cs="TimesNewRomanPSMT"/>
          <w:color w:val="auto"/>
          <w:szCs w:val="21"/>
          <w:highlight w:val="none"/>
          <w:u w:val="single"/>
          <w:shd w:val="clear" w:color="auto" w:fill="auto"/>
          <w:lang w:val="en-US" w:eastAsia="zh-CN"/>
        </w:rPr>
        <w:t>有限责任</w:t>
      </w:r>
      <w:r>
        <w:rPr>
          <w:rFonts w:hint="eastAsia" w:ascii="宋体" w:hAnsi="宋体" w:cs="TimesNewRomanPSMT"/>
          <w:color w:val="auto"/>
          <w:szCs w:val="21"/>
          <w:highlight w:val="none"/>
          <w:u w:val="single"/>
          <w:shd w:val="clear" w:color="auto" w:fill="auto"/>
        </w:rPr>
        <w:t>公司（或XX电网公司、XX供电局）</w:t>
      </w:r>
      <w:r>
        <w:rPr>
          <w:rFonts w:hint="eastAsia" w:ascii="宋体" w:hAnsi="宋体" w:cs="TimesNewRomanPSMT"/>
          <w:color w:val="auto"/>
          <w:szCs w:val="21"/>
          <w:highlight w:val="none"/>
          <w:u w:val="single"/>
          <w:shd w:val="clear" w:color="auto" w:fill="auto"/>
          <w:lang w:val="en-US" w:eastAsia="zh-CN"/>
        </w:rPr>
        <w:t>受理部门：</w:t>
      </w:r>
      <w:r>
        <w:rPr>
          <w:rFonts w:hint="eastAsia" w:ascii="宋体" w:hAnsi="宋体" w:cs="TimesNewRomanPSMT"/>
          <w:color w:val="auto"/>
          <w:szCs w:val="21"/>
          <w:highlight w:val="none"/>
          <w:u w:val="single"/>
          <w:shd w:val="clear" w:color="auto" w:fill="auto"/>
        </w:rPr>
        <w:t>纪检监察部门。通讯地址：     ，邮政编码：     ；举报网站(邮箱)：     。</w:t>
      </w:r>
    </w:p>
    <w:p w14:paraId="614632E7">
      <w:pPr>
        <w:autoSpaceDE w:val="0"/>
        <w:autoSpaceDN w:val="0"/>
        <w:spacing w:line="540" w:lineRule="exact"/>
        <w:ind w:firstLine="422" w:firstLineChars="200"/>
        <w:rPr>
          <w:rFonts w:ascii="宋体" w:hAnsi="宋体" w:cs="TimesNewRomanPSMT"/>
          <w:b/>
          <w:bCs/>
          <w:color w:val="auto"/>
          <w:szCs w:val="21"/>
          <w:highlight w:val="none"/>
          <w:shd w:val="clear" w:color="auto" w:fill="auto"/>
        </w:rPr>
      </w:pPr>
      <w:r>
        <w:rPr>
          <w:rFonts w:hint="eastAsia" w:ascii="宋体" w:hAnsi="宋体" w:cs="TimesNewRomanPSMT"/>
          <w:b/>
          <w:bCs/>
          <w:color w:val="auto"/>
          <w:szCs w:val="21"/>
          <w:highlight w:val="none"/>
          <w:shd w:val="clear" w:color="auto" w:fill="auto"/>
        </w:rPr>
        <w:t>第四条 相关责任</w:t>
      </w:r>
    </w:p>
    <w:p w14:paraId="458FE163">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一）甲方有违反本廉洁协议书第一、二条规定的，严格按照管理权限，依据有关法律法规和规章制度给予纪律处分或组织处理；涉嫌犯罪的，移送司法机关依法追究刑事责任；给乙方单位造成经济损失的，应依法予以赔偿。</w:t>
      </w:r>
    </w:p>
    <w:p w14:paraId="471A8BFF">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（二）乙方违反本廉洁协议书第一、三条规定的，根据国家和南方电网公司招投标等有关规定，对乙方进行处理；涉嫌犯罪的，移送司法机关依法追究刑事责任；给甲方单位造成经济损失的，应依法予以赔偿。</w:t>
      </w:r>
    </w:p>
    <w:p w14:paraId="604FD6AD">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三）乙方违反本廉洁协议书第一、三条规定，发生行贿行为，经政府有关执纪执法部门或甲方纪检监察机构查证属实，甲方根据《中国南方电网有限责任公司供应商行贿行为信息记录及处置办法》（已在电子商务平台公布）及其它有关规定，视情节轻重对乙方实施一定期限的市场禁入。乙方的委托人、代理人或与乙方有销售、劳务或服务关系的其他主体在参加南方电网公司系统的招投标活动或经济往来等过程中发生行贿行为的，视同乙方单位行为。</w:t>
      </w:r>
    </w:p>
    <w:p w14:paraId="0A2876D6">
      <w:pPr>
        <w:autoSpaceDE w:val="0"/>
        <w:autoSpaceDN w:val="0"/>
        <w:spacing w:line="540" w:lineRule="exact"/>
        <w:ind w:firstLine="422" w:firstLineChars="200"/>
        <w:rPr>
          <w:rFonts w:ascii="宋体" w:hAnsi="宋体" w:cs="TimesNewRomanPSMT"/>
          <w:b/>
          <w:bCs/>
          <w:color w:val="auto"/>
          <w:szCs w:val="21"/>
          <w:highlight w:val="none"/>
          <w:shd w:val="clear" w:color="auto" w:fill="auto"/>
        </w:rPr>
      </w:pPr>
      <w:r>
        <w:rPr>
          <w:rFonts w:hint="eastAsia" w:ascii="宋体" w:hAnsi="宋体" w:cs="TimesNewRomanPSMT"/>
          <w:b/>
          <w:bCs/>
          <w:color w:val="auto"/>
          <w:szCs w:val="21"/>
          <w:highlight w:val="none"/>
          <w:shd w:val="clear" w:color="auto" w:fill="auto"/>
        </w:rPr>
        <w:t>第五条 协议书生效及法律效力</w:t>
      </w:r>
    </w:p>
    <w:p w14:paraId="1C8C409E">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（一）本廉洁协议书作为合同的附件，与合同具有同等法律效力，</w:t>
      </w:r>
      <w:r>
        <w:rPr>
          <w:rFonts w:hint="eastAsia" w:ascii="宋体" w:hAnsi="宋体" w:cs="TimesNewRomanPSMT"/>
          <w:color w:val="auto"/>
          <w:szCs w:val="21"/>
          <w:highlight w:val="none"/>
          <w:shd w:val="clear" w:color="auto" w:fill="auto"/>
          <w:lang w:val="en-US" w:eastAsia="zh-CN"/>
        </w:rPr>
        <w:t>与合同同时生效</w:t>
      </w:r>
      <w:r>
        <w:rPr>
          <w:rFonts w:hint="eastAsia" w:ascii="宋体" w:hAnsi="宋体" w:cs="TimesNewRomanPSMT"/>
          <w:color w:val="auto"/>
          <w:szCs w:val="21"/>
          <w:highlight w:val="none"/>
          <w:shd w:val="clear" w:color="auto" w:fill="auto"/>
        </w:rPr>
        <w:t>。</w:t>
      </w:r>
    </w:p>
    <w:p w14:paraId="2C72D0C3">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（二）除非甲乙双方另行签订新的廉洁协议书，否则本廉洁协议书在甲方与乙方存在业务关系期间均对双方产生约束力。</w:t>
      </w:r>
    </w:p>
    <w:p w14:paraId="30E2A719">
      <w:pPr>
        <w:autoSpaceDE w:val="0"/>
        <w:autoSpaceDN w:val="0"/>
        <w:spacing w:line="540" w:lineRule="exact"/>
        <w:ind w:firstLine="422" w:firstLineChars="200"/>
        <w:rPr>
          <w:rFonts w:ascii="宋体" w:hAnsi="宋体" w:cs="TimesNewRomanPSMT"/>
          <w:b/>
          <w:bCs/>
          <w:color w:val="auto"/>
          <w:szCs w:val="21"/>
          <w:highlight w:val="none"/>
          <w:shd w:val="clear" w:color="auto" w:fill="auto"/>
        </w:rPr>
      </w:pPr>
      <w:r>
        <w:rPr>
          <w:rFonts w:hint="eastAsia" w:ascii="宋体" w:hAnsi="宋体" w:cs="TimesNewRomanPSMT"/>
          <w:b/>
          <w:bCs/>
          <w:color w:val="auto"/>
          <w:szCs w:val="21"/>
          <w:highlight w:val="none"/>
          <w:shd w:val="clear" w:color="auto" w:fill="auto"/>
        </w:rPr>
        <w:t>第六条 协议书份数</w:t>
      </w:r>
    </w:p>
    <w:p w14:paraId="523B0CF5">
      <w:pPr>
        <w:autoSpaceDE w:val="0"/>
        <w:autoSpaceDN w:val="0"/>
        <w:spacing w:line="540" w:lineRule="exact"/>
        <w:ind w:firstLine="420" w:firstLineChars="200"/>
        <w:rPr>
          <w:rFonts w:ascii="宋体" w:hAnsi="宋体" w:cs="TimesNewRomanPSMT"/>
          <w:color w:val="auto"/>
          <w:szCs w:val="21"/>
          <w:highlight w:val="none"/>
          <w:shd w:val="clear" w:color="auto" w:fill="auto"/>
        </w:rPr>
      </w:pPr>
      <w:r>
        <w:rPr>
          <w:rFonts w:hint="eastAsia" w:ascii="宋体" w:hAnsi="宋体" w:cs="TimesNewRomanPSMT"/>
          <w:color w:val="auto"/>
          <w:szCs w:val="21"/>
          <w:highlight w:val="none"/>
          <w:shd w:val="clear" w:color="auto" w:fill="auto"/>
        </w:rPr>
        <w:t>本廉洁协议书一式</w:t>
      </w:r>
      <w:r>
        <w:rPr>
          <w:rFonts w:hint="eastAsia" w:ascii="宋体" w:hAnsi="宋体" w:cs="TimesNewRomanPSMT"/>
          <w:color w:val="auto"/>
          <w:szCs w:val="21"/>
          <w:highlight w:val="none"/>
          <w:u w:val="single"/>
          <w:shd w:val="clear" w:color="auto" w:fill="auto"/>
        </w:rPr>
        <w:t xml:space="preserve">    </w:t>
      </w:r>
      <w:r>
        <w:rPr>
          <w:rFonts w:hint="eastAsia" w:ascii="宋体" w:hAnsi="宋体" w:cs="TimesNewRomanPSMT"/>
          <w:color w:val="auto"/>
          <w:szCs w:val="21"/>
          <w:highlight w:val="none"/>
          <w:shd w:val="clear" w:color="auto" w:fill="auto"/>
        </w:rPr>
        <w:t>份，甲方</w:t>
      </w:r>
      <w:r>
        <w:rPr>
          <w:rFonts w:hint="eastAsia" w:ascii="宋体" w:hAnsi="宋体" w:cs="TimesNewRomanPSMT"/>
          <w:color w:val="auto"/>
          <w:szCs w:val="21"/>
          <w:highlight w:val="none"/>
          <w:u w:val="single"/>
          <w:shd w:val="clear" w:color="auto" w:fill="auto"/>
        </w:rPr>
        <w:t xml:space="preserve">    </w:t>
      </w:r>
      <w:r>
        <w:rPr>
          <w:rFonts w:hint="eastAsia" w:ascii="宋体" w:hAnsi="宋体" w:cs="TimesNewRomanPSMT"/>
          <w:color w:val="auto"/>
          <w:szCs w:val="21"/>
          <w:highlight w:val="none"/>
          <w:shd w:val="clear" w:color="auto" w:fill="auto"/>
        </w:rPr>
        <w:t>份，乙方</w:t>
      </w:r>
      <w:r>
        <w:rPr>
          <w:rFonts w:hint="eastAsia" w:ascii="宋体" w:hAnsi="宋体" w:cs="TimesNewRomanPSMT"/>
          <w:color w:val="auto"/>
          <w:szCs w:val="21"/>
          <w:highlight w:val="none"/>
          <w:u w:val="single"/>
          <w:shd w:val="clear" w:color="auto" w:fill="auto"/>
        </w:rPr>
        <w:t xml:space="preserve">    </w:t>
      </w:r>
      <w:r>
        <w:rPr>
          <w:rFonts w:hint="eastAsia" w:ascii="宋体" w:hAnsi="宋体" w:cs="TimesNewRomanPSMT"/>
          <w:color w:val="auto"/>
          <w:szCs w:val="21"/>
          <w:highlight w:val="none"/>
          <w:shd w:val="clear" w:color="auto" w:fill="auto"/>
        </w:rPr>
        <w:t>份。</w:t>
      </w:r>
    </w:p>
    <w:p w14:paraId="4083CC46">
      <w:pPr>
        <w:autoSpaceDE w:val="0"/>
        <w:autoSpaceDN w:val="0"/>
        <w:spacing w:line="540" w:lineRule="exact"/>
        <w:ind w:firstLine="422" w:firstLineChars="200"/>
        <w:rPr>
          <w:rFonts w:hint="default" w:ascii="宋体" w:hAnsi="宋体" w:eastAsia="宋体" w:cs="TimesNewRomanPSMT"/>
          <w:color w:val="auto"/>
          <w:szCs w:val="21"/>
          <w:highlight w:val="none"/>
          <w:shd w:val="clear" w:color="auto" w:fill="auto"/>
          <w:lang w:val="en-US" w:eastAsia="zh-CN"/>
        </w:rPr>
      </w:pPr>
      <w:r>
        <w:rPr>
          <w:rFonts w:hint="eastAsia" w:ascii="宋体" w:hAnsi="宋体" w:cs="TimesNewRomanPSMT"/>
          <w:b/>
          <w:bCs/>
          <w:color w:val="auto"/>
          <w:szCs w:val="21"/>
          <w:highlight w:val="none"/>
          <w:shd w:val="clear" w:color="auto" w:fill="auto"/>
        </w:rPr>
        <w:t>甲乙双方确认对</w:t>
      </w:r>
      <w:r>
        <w:rPr>
          <w:rFonts w:hint="eastAsia" w:ascii="宋体" w:hAnsi="宋体" w:cs="TimesNewRomanPSMT"/>
          <w:b/>
          <w:bCs/>
          <w:color w:val="auto"/>
          <w:szCs w:val="21"/>
          <w:highlight w:val="none"/>
          <w:shd w:val="clear" w:color="auto" w:fill="auto"/>
          <w:lang w:val="en-US" w:eastAsia="zh-CN"/>
        </w:rPr>
        <w:t>违反</w:t>
      </w:r>
      <w:r>
        <w:rPr>
          <w:rFonts w:hint="eastAsia" w:ascii="宋体" w:hAnsi="宋体" w:cs="TimesNewRomanPSMT"/>
          <w:b/>
          <w:bCs/>
          <w:color w:val="auto"/>
          <w:szCs w:val="21"/>
          <w:highlight w:val="none"/>
          <w:shd w:val="clear" w:color="auto" w:fill="auto"/>
        </w:rPr>
        <w:t>本廉洁协议书所产生的法律责任已清楚知悉并承诺遵守。</w:t>
      </w:r>
      <w:r>
        <w:rPr>
          <w:rFonts w:hint="eastAsia" w:ascii="宋体" w:hAnsi="宋体" w:cs="TimesNewRomanPSMT"/>
          <w:b/>
          <w:bCs/>
          <w:color w:val="auto"/>
          <w:szCs w:val="21"/>
          <w:highlight w:val="none"/>
          <w:shd w:val="clear" w:color="auto" w:fill="auto"/>
          <w:lang w:val="en-US" w:eastAsia="zh-CN"/>
        </w:rPr>
        <w:t>本协议与本监理合同为同一整体合同文件。</w:t>
      </w:r>
    </w:p>
    <w:p w14:paraId="0E40F29F">
      <w:pPr>
        <w:spacing w:line="540" w:lineRule="exact"/>
        <w:ind w:firstLine="420" w:firstLineChars="200"/>
        <w:rPr>
          <w:rFonts w:hAnsi="宋体"/>
          <w:color w:val="auto"/>
          <w:szCs w:val="21"/>
          <w:highlight w:val="none"/>
          <w:shd w:val="clear" w:color="auto" w:fill="auto"/>
        </w:rPr>
      </w:pPr>
    </w:p>
    <w:p w14:paraId="3EEFE68A">
      <w:pPr>
        <w:spacing w:line="540" w:lineRule="exact"/>
        <w:ind w:firstLine="420" w:firstLineChars="200"/>
        <w:rPr>
          <w:rFonts w:hAnsi="宋体"/>
          <w:color w:val="auto"/>
          <w:szCs w:val="21"/>
          <w:highlight w:val="none"/>
          <w:shd w:val="clear" w:color="auto" w:fill="auto"/>
        </w:rPr>
      </w:pPr>
    </w:p>
    <w:p w14:paraId="5BF572EB">
      <w:pPr>
        <w:pStyle w:val="5"/>
        <w:spacing w:line="540" w:lineRule="exact"/>
        <w:ind w:firstLine="137"/>
        <w:rPr>
          <w:rFonts w:ascii="Times New Roman"/>
          <w:color w:val="auto"/>
          <w:highlight w:val="none"/>
          <w:shd w:val="clear" w:color="auto" w:fill="auto"/>
        </w:rPr>
      </w:pPr>
      <w:bookmarkStart w:id="382" w:name="_Toc29578"/>
      <w:r>
        <w:rPr>
          <w:rFonts w:ascii="Times New Roman"/>
          <w:color w:val="auto"/>
          <w:highlight w:val="none"/>
          <w:shd w:val="clear" w:color="auto" w:fill="auto"/>
        </w:rPr>
        <w:t>附件</w:t>
      </w:r>
      <w:r>
        <w:rPr>
          <w:rFonts w:hint="eastAsia" w:ascii="Times New Roman"/>
          <w:color w:val="auto"/>
          <w:highlight w:val="none"/>
          <w:shd w:val="clear" w:color="auto" w:fill="auto"/>
          <w:lang w:val="en-US" w:eastAsia="zh-CN"/>
        </w:rPr>
        <w:t>六</w:t>
      </w:r>
      <w:r>
        <w:rPr>
          <w:rFonts w:ascii="Times New Roman"/>
          <w:color w:val="auto"/>
          <w:highlight w:val="none"/>
          <w:shd w:val="clear" w:color="auto" w:fill="auto"/>
        </w:rPr>
        <w:t>：</w:t>
      </w:r>
      <w:r>
        <w:rPr>
          <w:rFonts w:hint="eastAsia" w:ascii="Times New Roman"/>
          <w:color w:val="auto"/>
          <w:highlight w:val="none"/>
          <w:shd w:val="clear" w:color="auto" w:fill="auto"/>
        </w:rPr>
        <w:t>监理安全协议书</w:t>
      </w:r>
      <w:bookmarkEnd w:id="382"/>
    </w:p>
    <w:p w14:paraId="307149CE">
      <w:pPr>
        <w:spacing w:line="540" w:lineRule="exact"/>
        <w:jc w:val="center"/>
        <w:rPr>
          <w:rFonts w:eastAsia="黑体"/>
          <w:color w:val="auto"/>
          <w:sz w:val="28"/>
          <w:highlight w:val="none"/>
          <w:shd w:val="clear" w:color="auto" w:fill="auto"/>
        </w:rPr>
      </w:pPr>
      <w:r>
        <w:rPr>
          <w:rFonts w:hint="eastAsia" w:eastAsia="黑体"/>
          <w:color w:val="auto"/>
          <w:sz w:val="28"/>
          <w:highlight w:val="none"/>
          <w:shd w:val="clear" w:color="auto" w:fill="auto"/>
        </w:rPr>
        <w:t>监理安全协议书</w:t>
      </w:r>
    </w:p>
    <w:p w14:paraId="3ECBA8F5">
      <w:pPr>
        <w:spacing w:line="540" w:lineRule="exact"/>
        <w:jc w:val="center"/>
        <w:rPr>
          <w:rFonts w:eastAsia="黑体"/>
          <w:color w:val="auto"/>
          <w:sz w:val="28"/>
          <w:highlight w:val="none"/>
          <w:shd w:val="clear" w:color="auto" w:fill="auto"/>
        </w:rPr>
      </w:pPr>
    </w:p>
    <w:p w14:paraId="4058ED7F">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委托人：</w:t>
      </w:r>
      <w:r>
        <w:rPr>
          <w:rFonts w:hint="eastAsia" w:ascii="宋体" w:hAnsi="宋体" w:cs="宋体"/>
          <w:color w:val="auto"/>
          <w:szCs w:val="21"/>
          <w:highlight w:val="none"/>
          <w:u w:val="single"/>
          <w:shd w:val="clear" w:color="auto" w:fill="auto"/>
          <w:lang w:val="zh-CN"/>
        </w:rPr>
        <w:t xml:space="preserve">                                </w:t>
      </w:r>
      <w:r>
        <w:rPr>
          <w:rFonts w:hint="eastAsia" w:ascii="宋体" w:hAnsi="宋体" w:cs="宋体"/>
          <w:color w:val="auto"/>
          <w:szCs w:val="21"/>
          <w:highlight w:val="none"/>
          <w:shd w:val="clear" w:color="auto" w:fill="auto"/>
          <w:lang w:val="zh-CN"/>
        </w:rPr>
        <w:t>（以下简称“甲方”）</w:t>
      </w:r>
    </w:p>
    <w:p w14:paraId="6D5215A9">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监理人：</w:t>
      </w:r>
      <w:r>
        <w:rPr>
          <w:rFonts w:hint="eastAsia" w:ascii="宋体" w:hAnsi="宋体" w:cs="宋体"/>
          <w:color w:val="auto"/>
          <w:szCs w:val="21"/>
          <w:highlight w:val="none"/>
          <w:u w:val="single"/>
          <w:shd w:val="clear" w:color="auto" w:fill="auto"/>
          <w:lang w:val="zh-CN"/>
        </w:rPr>
        <w:t xml:space="preserve">                                </w:t>
      </w:r>
      <w:r>
        <w:rPr>
          <w:rFonts w:hint="eastAsia" w:ascii="宋体" w:hAnsi="宋体" w:cs="宋体"/>
          <w:color w:val="auto"/>
          <w:szCs w:val="21"/>
          <w:highlight w:val="none"/>
          <w:shd w:val="clear" w:color="auto" w:fill="auto"/>
          <w:lang w:val="zh-CN"/>
        </w:rPr>
        <w:t>（以下简称“乙方”）</w:t>
      </w:r>
    </w:p>
    <w:p w14:paraId="39779930">
      <w:pPr>
        <w:spacing w:line="540" w:lineRule="exact"/>
        <w:ind w:firstLine="420" w:firstLineChars="200"/>
        <w:rPr>
          <w:rFonts w:ascii="宋体" w:hAnsi="宋体" w:cs="宋体"/>
          <w:color w:val="auto"/>
          <w:szCs w:val="21"/>
          <w:highlight w:val="none"/>
          <w:u w:val="single"/>
          <w:shd w:val="clear" w:color="auto" w:fill="auto"/>
          <w:lang w:val="zh-CN"/>
        </w:rPr>
      </w:pPr>
      <w:r>
        <w:rPr>
          <w:rFonts w:hint="eastAsia" w:ascii="宋体" w:hAnsi="宋体" w:cs="宋体"/>
          <w:color w:val="auto"/>
          <w:szCs w:val="21"/>
          <w:highlight w:val="none"/>
          <w:shd w:val="clear" w:color="auto" w:fill="auto"/>
          <w:lang w:val="zh-CN"/>
        </w:rPr>
        <w:t>合同名称：</w:t>
      </w:r>
      <w:r>
        <w:rPr>
          <w:rFonts w:hint="eastAsia" w:ascii="宋体" w:hAnsi="宋体" w:cs="宋体"/>
          <w:color w:val="auto"/>
          <w:szCs w:val="21"/>
          <w:highlight w:val="none"/>
          <w:u w:val="single"/>
          <w:shd w:val="clear" w:color="auto" w:fill="auto"/>
          <w:lang w:val="zh-CN"/>
        </w:rPr>
        <w:t xml:space="preserve">                                </w:t>
      </w:r>
    </w:p>
    <w:p w14:paraId="5B820BE7">
      <w:pPr>
        <w:spacing w:line="540" w:lineRule="exact"/>
        <w:ind w:firstLine="420" w:firstLineChars="200"/>
        <w:rPr>
          <w:rFonts w:ascii="宋体" w:hAnsi="宋体" w:cs="宋体"/>
          <w:color w:val="auto"/>
          <w:szCs w:val="21"/>
          <w:highlight w:val="none"/>
          <w:u w:val="single"/>
          <w:shd w:val="clear" w:color="auto" w:fill="auto"/>
          <w:lang w:val="zh-CN"/>
        </w:rPr>
      </w:pPr>
      <w:r>
        <w:rPr>
          <w:rFonts w:hint="eastAsia" w:ascii="宋体" w:hAnsi="宋体" w:cs="宋体"/>
          <w:color w:val="auto"/>
          <w:szCs w:val="21"/>
          <w:highlight w:val="none"/>
          <w:shd w:val="clear" w:color="auto" w:fill="auto"/>
          <w:lang w:val="zh-CN"/>
        </w:rPr>
        <w:t>工程地点：</w:t>
      </w:r>
      <w:r>
        <w:rPr>
          <w:rFonts w:hint="eastAsia" w:ascii="宋体" w:hAnsi="宋体" w:cs="宋体"/>
          <w:color w:val="auto"/>
          <w:szCs w:val="21"/>
          <w:highlight w:val="none"/>
          <w:u w:val="single"/>
          <w:shd w:val="clear" w:color="auto" w:fill="auto"/>
          <w:lang w:val="zh-CN"/>
        </w:rPr>
        <w:t xml:space="preserve">                                </w:t>
      </w:r>
    </w:p>
    <w:p w14:paraId="6FC1D451">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竣工日期：</w:t>
      </w:r>
      <w:r>
        <w:rPr>
          <w:rFonts w:hint="eastAsia" w:ascii="宋体" w:hAnsi="宋体" w:cs="宋体"/>
          <w:color w:val="auto"/>
          <w:szCs w:val="21"/>
          <w:highlight w:val="none"/>
          <w:u w:val="single"/>
          <w:shd w:val="clear" w:color="auto" w:fill="auto"/>
          <w:lang w:val="zh-CN"/>
        </w:rPr>
        <w:t xml:space="preserve">                                </w:t>
      </w:r>
    </w:p>
    <w:p w14:paraId="6C173576">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㈠、甲方的安全责任</w:t>
      </w:r>
    </w:p>
    <w:p w14:paraId="30F92FCA">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1．贯彻落实《中华人民共和国安全生产法》、《中华人民共和国特种设备安全法》、《建设工程安全生产管理条例》、《电力监管条例》、《生产安全事故报告和调查处理条例》、《电力建设工程施工安全监督管理办法》等国家法律法规、行业标准及南方电网公司管理规定。</w:t>
      </w:r>
    </w:p>
    <w:p w14:paraId="3B947CA3">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2．建立健全安全生产保证体系和监督体系，建立安全生产责任制和安全生产规章制度，并逐级落实，保证电力建设工程施工安全。</w:t>
      </w:r>
    </w:p>
    <w:p w14:paraId="22F2BCD2">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3．建立健全安全生产组织和管理机制，负责电力建设工程安全生产组织、协调、监督职责。</w:t>
      </w:r>
    </w:p>
    <w:p w14:paraId="25604AFF">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4．对乙方进行资质审查，确认乙方符合承包本工程的各项要求。</w:t>
      </w:r>
    </w:p>
    <w:p w14:paraId="24D6DFA8">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5．应当审查确认乙方项目总监工程师、专职安全生产管理人员等项目管理人员满足国家规定的资格要求。</w:t>
      </w:r>
    </w:p>
    <w:p w14:paraId="02FC0C4A">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6．建立健全安全生产应急响应和事故处置机制，实施突发事件应急抢险和事故救援。</w:t>
      </w:r>
    </w:p>
    <w:p w14:paraId="123E6314">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7．组织对乙方现场安全生产监管工作情况的检查，监督乙方加强所辖工程安全隐患的监管。</w:t>
      </w:r>
    </w:p>
    <w:p w14:paraId="0E738EBB">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8．开工前向乙方进行全面的安全技术交底，并留存有双方签名的、完整的记录或资料。</w:t>
      </w:r>
    </w:p>
    <w:p w14:paraId="7FB87B9F">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㈡、乙方的安全责任</w:t>
      </w:r>
    </w:p>
    <w:p w14:paraId="149F4820">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1．应当按照法律法规、工程建设强制性标准及行业、南方电网公司管理规定实施监理，履行电力建设工程安全生产管理的监理职责。乙方资源配置应当满足工程监理要求，依据合同约定履行电力建设工程施工安全监理职责，确保安全生产监理与工程质量控制、工期控制、投资控制的同步实施。</w:t>
      </w:r>
    </w:p>
    <w:p w14:paraId="3ED73F42">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2．乙方应当建立健全安全监理工作制度，编制含有安全监理内容的监理规划和监理实施细则等文件，明确监理人员安全职责以及相关工作的安全监理措施和目标。</w:t>
      </w:r>
    </w:p>
    <w:p w14:paraId="7AE24249">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 xml:space="preserve">3.乙方应当组织或参加各类安全检查活动，掌握现场安全生产动态，建立安全管理台帐。重点审查、监督下列工作： </w:t>
      </w:r>
    </w:p>
    <w:p w14:paraId="01E229C8">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 xml:space="preserve">（1）按照工程建设强制性标准和安全生产标准及时审查施工组织设计中的安全技术措施和专项施工方案； </w:t>
      </w:r>
    </w:p>
    <w:p w14:paraId="54D3EE37">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 xml:space="preserve">（2）审查和验证分包单位的资质文件和拟签订的分包合同、人员资质、安全协议； </w:t>
      </w:r>
    </w:p>
    <w:p w14:paraId="50376BCF">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 xml:space="preserve">（3）审查安全管理人员、特种作业人员、特种设备操作人员资格证明文件和主要施工机械、工器具、安全用具的安全性能证明文件是否符合国家有关标准；检查现场作业人员及设备配置是否满足安全施工的要求； </w:t>
      </w:r>
    </w:p>
    <w:p w14:paraId="4DC13D12">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 xml:space="preserve">4.对大中型起重机械、脚手架、跨越架、施工用电、危险品库房等重要施工设施投入使用前进行安全检查签证。土建交付安装、安装交付调试及整套启动等重大工序交接前进行安全检查签证； </w:t>
      </w:r>
    </w:p>
    <w:p w14:paraId="6C0CC0FE">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 xml:space="preserve">5.对工程关键部位、关键工序、特殊作业和危险作业进行旁站监理；对复杂自然条件、复杂结构、技术难度大及危险性较大分部分项工程专项施工方案的实施进行现场监理；监督交叉作业和工序交接中的安全施工措施的落实。 </w:t>
      </w:r>
    </w:p>
    <w:p w14:paraId="711CDDCF">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6.在实施监理过程中，发现存在安全隐患的，应当要求施工单位及时整改；情节严重的，应当要求施工单位暂时或部分停止施工，并及时报告建设单位。施工单位拒不整改或者不停止施工的,应及时采取措施并向建设单位报告。</w:t>
      </w:r>
    </w:p>
    <w:p w14:paraId="28E09313">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7、在任何时候都应监督施工单位采取各种合理的预防措施，防止发生任何违法、违禁、暴力或妨碍治安的行为。</w:t>
      </w:r>
    </w:p>
    <w:p w14:paraId="046A72F9">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8、监督施工单位必须持证施工，持证上岗，遵守各项安全技术操作规程，定期进行安全工作督查，严禁无证施工或无证上岗。</w:t>
      </w:r>
    </w:p>
    <w:p w14:paraId="020465D8">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9、督查操作人员上岗，必须按规定穿戴防护用品。不按规定穿戴防护用品的人员不得上岗。</w:t>
      </w:r>
    </w:p>
    <w:p w14:paraId="5721E8E7">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10、督促施工单位对所有进场的施工机械与机具设备和高空作业设备进行定期检查，并完整记录，签字确认，保证其处于完好状态，不合格的施工机械与机具、设备和个人防护用品严禁使用。</w:t>
      </w:r>
    </w:p>
    <w:p w14:paraId="0ADC9039">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11、对施工中采用新技术、新工艺、新设备、新材料时，督促施工单位必须制定相应的安全技术措施，并检查施工现场相关的安全标志牌是否设立。</w:t>
      </w:r>
    </w:p>
    <w:p w14:paraId="180351D8">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10、督查施工单位的生产安全事故应急救援预案制定和落实；如果发生安全事故，应按照《国务院关于特大安全事故行政责任追究的规定》以及其它有关规定，及时上报有关部门，并坚持“三不放过”的原则，及时采取整改措施。</w:t>
      </w:r>
    </w:p>
    <w:p w14:paraId="3D13429B">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㈢、违约责任</w:t>
      </w:r>
    </w:p>
    <w:p w14:paraId="53F1E685">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如因甲方或乙方违约造成安全事故，将依法追究责任。</w:t>
      </w:r>
    </w:p>
    <w:p w14:paraId="228BC8BA">
      <w:pPr>
        <w:pageBreakBefore w:val="0"/>
        <w:kinsoku/>
        <w:wordWrap/>
        <w:overflowPunct/>
        <w:topLinePunct w:val="0"/>
        <w:bidi w:val="0"/>
        <w:adjustRightInd/>
        <w:snapToGrid/>
        <w:spacing w:line="540" w:lineRule="exact"/>
        <w:ind w:firstLine="420" w:firstLineChars="200"/>
        <w:rPr>
          <w:rFonts w:hint="eastAsia" w:ascii="宋体" w:hAnsi="宋体" w:eastAsia="宋体" w:cs="宋体"/>
          <w:color w:val="auto"/>
          <w:sz w:val="21"/>
          <w:szCs w:val="21"/>
          <w:highlight w:val="none"/>
          <w:shd w:val="clear" w:color="auto" w:fill="auto"/>
          <w:lang w:val="zh-CN"/>
        </w:rPr>
      </w:pPr>
      <w:r>
        <w:rPr>
          <w:rFonts w:hint="eastAsia" w:ascii="宋体" w:hAnsi="宋体" w:cs="宋体"/>
          <w:color w:val="auto"/>
          <w:sz w:val="21"/>
          <w:szCs w:val="21"/>
          <w:highlight w:val="none"/>
          <w:shd w:val="clear" w:color="auto" w:fill="auto"/>
          <w:lang w:val="zh-CN" w:eastAsia="zh-CN"/>
        </w:rPr>
        <w:t>本监理安全协议书作为工程监理合同的附件，与工程监理合同具有同等法律效力。与工程监理合同同时生效</w:t>
      </w:r>
      <w:r>
        <w:rPr>
          <w:rFonts w:hint="eastAsia" w:ascii="宋体" w:hAnsi="宋体" w:eastAsia="宋体" w:cs="宋体"/>
          <w:color w:val="auto"/>
          <w:sz w:val="21"/>
          <w:szCs w:val="21"/>
          <w:highlight w:val="none"/>
          <w:shd w:val="clear" w:color="auto" w:fill="auto"/>
          <w:lang w:val="zh-CN"/>
        </w:rPr>
        <w:t>。</w:t>
      </w:r>
    </w:p>
    <w:p w14:paraId="4FD31E57">
      <w:pPr>
        <w:spacing w:line="540" w:lineRule="exact"/>
        <w:ind w:firstLine="420" w:firstLineChars="200"/>
        <w:rPr>
          <w:rFonts w:ascii="宋体" w:hAnsi="宋体" w:cs="宋体"/>
          <w:color w:val="auto"/>
          <w:szCs w:val="21"/>
          <w:highlight w:val="none"/>
          <w:shd w:val="clear" w:color="auto" w:fill="auto"/>
          <w:lang w:val="zh-CN"/>
        </w:rPr>
      </w:pPr>
      <w:r>
        <w:rPr>
          <w:rFonts w:hint="eastAsia" w:ascii="宋体" w:hAnsi="宋体" w:cs="宋体"/>
          <w:color w:val="auto"/>
          <w:szCs w:val="21"/>
          <w:highlight w:val="none"/>
          <w:shd w:val="clear" w:color="auto" w:fill="auto"/>
          <w:lang w:val="zh-CN"/>
        </w:rPr>
        <w:t>。</w:t>
      </w:r>
    </w:p>
    <w:p w14:paraId="56AD404E">
      <w:pPr>
        <w:spacing w:line="540" w:lineRule="exact"/>
        <w:rPr>
          <w:color w:val="auto"/>
          <w:highlight w:val="none"/>
          <w:shd w:val="clear" w:color="auto" w:fill="auto"/>
        </w:rPr>
      </w:pPr>
    </w:p>
    <w:p w14:paraId="1CF90504">
      <w:pPr>
        <w:spacing w:line="540" w:lineRule="exact"/>
        <w:rPr>
          <w:color w:val="auto"/>
          <w:highlight w:val="none"/>
          <w:shd w:val="clear" w:color="auto" w:fill="auto"/>
        </w:rPr>
      </w:pPr>
      <w:r>
        <w:rPr>
          <w:color w:val="auto"/>
          <w:highlight w:val="none"/>
          <w:shd w:val="clear" w:color="auto" w:fill="auto"/>
        </w:rPr>
        <w:br w:type="page"/>
      </w:r>
    </w:p>
    <w:p w14:paraId="5392879C">
      <w:pPr>
        <w:pStyle w:val="5"/>
        <w:spacing w:line="540" w:lineRule="exact"/>
        <w:ind w:firstLine="137"/>
        <w:rPr>
          <w:rFonts w:ascii="Times New Roman"/>
          <w:color w:val="auto"/>
          <w:highlight w:val="none"/>
          <w:shd w:val="clear" w:color="auto" w:fill="auto"/>
        </w:rPr>
      </w:pPr>
      <w:bookmarkStart w:id="383" w:name="_Toc18309"/>
      <w:r>
        <w:rPr>
          <w:rFonts w:ascii="Times New Roman"/>
          <w:color w:val="auto"/>
          <w:highlight w:val="none"/>
          <w:shd w:val="clear" w:color="auto" w:fill="auto"/>
        </w:rPr>
        <w:t>附件</w:t>
      </w:r>
      <w:r>
        <w:rPr>
          <w:rFonts w:hint="eastAsia" w:ascii="Times New Roman"/>
          <w:color w:val="auto"/>
          <w:highlight w:val="none"/>
          <w:shd w:val="clear" w:color="auto" w:fill="auto"/>
          <w:lang w:val="en-US" w:eastAsia="zh-CN"/>
        </w:rPr>
        <w:t>七</w:t>
      </w:r>
      <w:r>
        <w:rPr>
          <w:rFonts w:ascii="Times New Roman"/>
          <w:color w:val="auto"/>
          <w:highlight w:val="none"/>
          <w:shd w:val="clear" w:color="auto" w:fill="auto"/>
        </w:rPr>
        <w:t>：履约保证金格式</w:t>
      </w:r>
      <w:bookmarkEnd w:id="257"/>
      <w:bookmarkEnd w:id="383"/>
      <w:r>
        <w:rPr>
          <w:rFonts w:hint="eastAsia" w:ascii="宋体" w:hAnsi="宋体"/>
          <w:color w:val="auto"/>
          <w:sz w:val="18"/>
          <w:szCs w:val="18"/>
          <w:highlight w:val="none"/>
          <w:shd w:val="clear" w:color="auto" w:fill="auto"/>
        </w:rPr>
        <w:t>（担保的形式包括银行提供的保函、央企财务公司提供的保函、保险公司提供的国家认可的具有法律效力的保险等，格式自定）</w:t>
      </w:r>
    </w:p>
    <w:p w14:paraId="6CDB1A58">
      <w:pPr>
        <w:spacing w:line="540" w:lineRule="exact"/>
        <w:rPr>
          <w:color w:val="auto"/>
          <w:szCs w:val="21"/>
          <w:highlight w:val="none"/>
          <w:shd w:val="clear" w:color="auto" w:fill="auto"/>
        </w:rPr>
      </w:pPr>
      <w:r>
        <w:rPr>
          <w:color w:val="auto"/>
          <w:szCs w:val="21"/>
          <w:highlight w:val="none"/>
          <w:shd w:val="clear" w:color="auto" w:fill="auto"/>
        </w:rPr>
        <w:t>如采用银行保函，格式如下。</w:t>
      </w:r>
    </w:p>
    <w:p w14:paraId="51F8E2C7">
      <w:pPr>
        <w:spacing w:line="540" w:lineRule="exact"/>
        <w:jc w:val="center"/>
        <w:rPr>
          <w:rFonts w:eastAsia="黑体"/>
          <w:color w:val="auto"/>
          <w:sz w:val="28"/>
          <w:highlight w:val="none"/>
          <w:shd w:val="clear" w:color="auto" w:fill="auto"/>
        </w:rPr>
      </w:pPr>
      <w:r>
        <w:rPr>
          <w:rFonts w:eastAsia="黑体"/>
          <w:color w:val="auto"/>
          <w:sz w:val="28"/>
          <w:highlight w:val="none"/>
          <w:shd w:val="clear" w:color="auto" w:fill="auto"/>
        </w:rPr>
        <w:t>履约保证金</w:t>
      </w:r>
    </w:p>
    <w:p w14:paraId="6898C5E7">
      <w:pPr>
        <w:spacing w:line="540" w:lineRule="exact"/>
        <w:rPr>
          <w:color w:val="auto"/>
          <w:highlight w:val="none"/>
          <w:u w:val="single"/>
          <w:shd w:val="clear" w:color="auto" w:fill="auto"/>
        </w:rPr>
      </w:pPr>
    </w:p>
    <w:bookmarkEnd w:id="188"/>
    <w:bookmarkEnd w:id="189"/>
    <w:bookmarkEnd w:id="190"/>
    <w:bookmarkEnd w:id="191"/>
    <w:p w14:paraId="1B8C9115">
      <w:pPr>
        <w:spacing w:line="540" w:lineRule="exact"/>
        <w:ind w:right="420"/>
        <w:jc w:val="center"/>
        <w:rPr>
          <w:rFonts w:ascii="宋体" w:hAnsi="宋体"/>
          <w:color w:val="auto"/>
          <w:szCs w:val="21"/>
          <w:highlight w:val="none"/>
          <w:shd w:val="clear" w:color="auto" w:fill="auto"/>
        </w:rPr>
      </w:pPr>
      <w:bookmarkStart w:id="384" w:name="_Toc179632787"/>
      <w:bookmarkStart w:id="385" w:name="_Toc144974829"/>
      <w:bookmarkStart w:id="386" w:name="_Toc247085853"/>
      <w:bookmarkStart w:id="387" w:name="_Toc246997081"/>
      <w:bookmarkStart w:id="388" w:name="_Toc246996338"/>
      <w:bookmarkStart w:id="389" w:name="_Toc152042549"/>
      <w:r>
        <w:rPr>
          <w:rFonts w:ascii="宋体" w:hAnsi="宋体"/>
          <w:color w:val="auto"/>
          <w:szCs w:val="21"/>
          <w:highlight w:val="none"/>
          <w:shd w:val="clear" w:color="auto" w:fill="auto"/>
        </w:rPr>
        <w:t xml:space="preserve">                                                     编号：</w:t>
      </w:r>
    </w:p>
    <w:p w14:paraId="596E864E">
      <w:pPr>
        <w:spacing w:line="540" w:lineRule="exact"/>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致受益人（委托人）</w:t>
      </w:r>
      <w:r>
        <w:rPr>
          <w:rFonts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w:t>
      </w:r>
    </w:p>
    <w:p w14:paraId="360733A2">
      <w:pPr>
        <w:spacing w:line="540" w:lineRule="exact"/>
        <w:rPr>
          <w:rFonts w:ascii="宋体" w:hAnsi="宋体"/>
          <w:color w:val="auto"/>
          <w:szCs w:val="21"/>
          <w:highlight w:val="none"/>
          <w:shd w:val="clear" w:color="auto" w:fill="auto"/>
        </w:rPr>
      </w:pPr>
      <w:r>
        <w:rPr>
          <w:rFonts w:ascii="宋体" w:hAnsi="宋体"/>
          <w:color w:val="auto"/>
          <w:szCs w:val="21"/>
          <w:highlight w:val="none"/>
          <w:shd w:val="clear" w:color="auto" w:fill="auto"/>
        </w:rPr>
        <w:t xml:space="preserve">    </w:t>
      </w:r>
      <w:r>
        <w:rPr>
          <w:rFonts w:hint="eastAsia" w:ascii="宋体" w:hAnsi="宋体"/>
          <w:color w:val="auto"/>
          <w:szCs w:val="21"/>
          <w:highlight w:val="none"/>
          <w:shd w:val="clear" w:color="auto" w:fill="auto"/>
        </w:rPr>
        <w:t>因保函申请人</w:t>
      </w:r>
      <w:r>
        <w:rPr>
          <w:rFonts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与你方签订</w:t>
      </w:r>
      <w:r>
        <w:rPr>
          <w:rFonts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（合同或协议）编号</w:t>
      </w:r>
      <w:r>
        <w:rPr>
          <w:rFonts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，我行已接受保函申请人的请求，愿就保函申请人履行上述合同（或协议）约定的义务向你方提供如下保证：</w:t>
      </w:r>
    </w:p>
    <w:p w14:paraId="5987734C">
      <w:pPr>
        <w:spacing w:line="540" w:lineRule="exact"/>
        <w:rPr>
          <w:rFonts w:ascii="宋体" w:hAnsi="宋体"/>
          <w:color w:val="auto"/>
          <w:szCs w:val="21"/>
          <w:highlight w:val="none"/>
          <w:shd w:val="clear" w:color="auto" w:fill="auto"/>
        </w:rPr>
      </w:pPr>
      <w:r>
        <w:rPr>
          <w:rFonts w:ascii="宋体" w:hAnsi="宋体"/>
          <w:color w:val="auto"/>
          <w:szCs w:val="21"/>
          <w:highlight w:val="none"/>
          <w:shd w:val="clear" w:color="auto" w:fill="auto"/>
        </w:rPr>
        <w:t xml:space="preserve">    </w:t>
      </w:r>
      <w:r>
        <w:rPr>
          <w:rFonts w:hint="eastAsia" w:ascii="宋体" w:hAnsi="宋体"/>
          <w:color w:val="auto"/>
          <w:szCs w:val="21"/>
          <w:highlight w:val="none"/>
          <w:shd w:val="clear" w:color="auto" w:fill="auto"/>
        </w:rPr>
        <w:t>一、本保函担保的金额最高不超过</w:t>
      </w:r>
      <w:r>
        <w:rPr>
          <w:rFonts w:ascii="宋体" w:hAnsi="宋体"/>
          <w:color w:val="auto"/>
          <w:szCs w:val="21"/>
          <w:highlight w:val="none"/>
          <w:shd w:val="clear" w:color="auto" w:fill="auto"/>
        </w:rPr>
        <w:t>(</w:t>
      </w:r>
      <w:r>
        <w:rPr>
          <w:rFonts w:hint="eastAsia" w:ascii="宋体" w:hAnsi="宋体"/>
          <w:color w:val="auto"/>
          <w:szCs w:val="21"/>
          <w:highlight w:val="none"/>
          <w:shd w:val="clear" w:color="auto" w:fill="auto"/>
        </w:rPr>
        <w:t>币种、金额大写</w:t>
      </w:r>
      <w:r>
        <w:rPr>
          <w:rFonts w:ascii="宋体" w:hAnsi="宋体"/>
          <w:color w:val="auto"/>
          <w:szCs w:val="21"/>
          <w:highlight w:val="none"/>
          <w:shd w:val="clear" w:color="auto" w:fill="auto"/>
        </w:rPr>
        <w:t>)</w:t>
      </w:r>
      <w:r>
        <w:rPr>
          <w:rFonts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w:t>
      </w:r>
      <w:r>
        <w:rPr>
          <w:rFonts w:ascii="宋体" w:hAnsi="宋体"/>
          <w:color w:val="auto"/>
          <w:szCs w:val="21"/>
          <w:highlight w:val="none"/>
          <w:shd w:val="clear" w:color="auto" w:fill="auto"/>
        </w:rPr>
        <w:t xml:space="preserve">    </w:t>
      </w:r>
    </w:p>
    <w:p w14:paraId="3A5CC4A9">
      <w:pPr>
        <w:spacing w:line="540" w:lineRule="exact"/>
        <w:ind w:firstLine="42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二、本保函担保的方式为连带责任保证。</w:t>
      </w:r>
    </w:p>
    <w:p w14:paraId="4CF48038">
      <w:pPr>
        <w:spacing w:line="540" w:lineRule="exact"/>
        <w:ind w:firstLine="42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三、本保函的保证期间自</w:t>
      </w:r>
      <w:r>
        <w:rPr>
          <w:rFonts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年</w:t>
      </w:r>
      <w:r>
        <w:rPr>
          <w:rFonts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月</w:t>
      </w:r>
      <w:r>
        <w:rPr>
          <w:rFonts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日至</w:t>
      </w:r>
      <w:r>
        <w:rPr>
          <w:rFonts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年</w:t>
      </w:r>
      <w:r>
        <w:rPr>
          <w:rFonts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月</w:t>
      </w:r>
      <w:r>
        <w:rPr>
          <w:rFonts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日。</w:t>
      </w:r>
    </w:p>
    <w:p w14:paraId="30612CAA">
      <w:pPr>
        <w:spacing w:line="540" w:lineRule="exact"/>
        <w:ind w:firstLine="42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四、在本保函的有效期内，如保函申请人违反上述合同或协议约定的义务，我行将在收到你方符合下列条件的索赔通知后</w:t>
      </w:r>
      <w:r>
        <w:rPr>
          <w:rFonts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个银行工作日内，凭本保函向你方支付本保函担保范围内你方索赔的金额：</w:t>
      </w:r>
    </w:p>
    <w:p w14:paraId="4864D9BD">
      <w:pPr>
        <w:spacing w:line="540" w:lineRule="exact"/>
        <w:rPr>
          <w:rFonts w:ascii="宋体" w:hAnsi="宋体"/>
          <w:color w:val="auto"/>
          <w:szCs w:val="21"/>
          <w:highlight w:val="none"/>
          <w:shd w:val="clear" w:color="auto" w:fill="auto"/>
        </w:rPr>
      </w:pPr>
      <w:r>
        <w:rPr>
          <w:rFonts w:ascii="宋体" w:hAnsi="宋体"/>
          <w:color w:val="auto"/>
          <w:szCs w:val="21"/>
          <w:highlight w:val="none"/>
          <w:shd w:val="clear" w:color="auto" w:fill="auto"/>
        </w:rPr>
        <w:t xml:space="preserve">    </w:t>
      </w:r>
      <w:r>
        <w:rPr>
          <w:rFonts w:hint="eastAsia" w:ascii="宋体" w:hAnsi="宋体"/>
          <w:color w:val="auto"/>
          <w:szCs w:val="21"/>
          <w:highlight w:val="none"/>
          <w:shd w:val="clear" w:color="auto" w:fill="auto"/>
        </w:rPr>
        <w:t>（一）你方的索赔通知必须以书面形式提出，索赔通知应由你方法定代表人（负责人）或授权代理人签字并加盖单位公章；</w:t>
      </w:r>
    </w:p>
    <w:p w14:paraId="680D1124">
      <w:pPr>
        <w:spacing w:line="540" w:lineRule="exact"/>
        <w:rPr>
          <w:rFonts w:ascii="宋体" w:hAnsi="宋体"/>
          <w:color w:val="auto"/>
          <w:szCs w:val="21"/>
          <w:highlight w:val="none"/>
          <w:shd w:val="clear" w:color="auto" w:fill="auto"/>
        </w:rPr>
      </w:pPr>
      <w:r>
        <w:rPr>
          <w:rFonts w:ascii="宋体" w:hAnsi="宋体"/>
          <w:color w:val="auto"/>
          <w:szCs w:val="21"/>
          <w:highlight w:val="none"/>
          <w:shd w:val="clear" w:color="auto" w:fill="auto"/>
        </w:rPr>
        <w:t xml:space="preserve">    </w:t>
      </w:r>
      <w:r>
        <w:rPr>
          <w:rFonts w:hint="eastAsia" w:ascii="宋体" w:hAnsi="宋体"/>
          <w:color w:val="auto"/>
          <w:szCs w:val="21"/>
          <w:highlight w:val="none"/>
          <w:shd w:val="clear" w:color="auto" w:fill="auto"/>
        </w:rPr>
        <w:t>（二）你方的索赔通知必须在本保函有效期内送达我行；</w:t>
      </w:r>
    </w:p>
    <w:p w14:paraId="655C469F">
      <w:pPr>
        <w:spacing w:line="540" w:lineRule="exact"/>
        <w:rPr>
          <w:rFonts w:ascii="宋体" w:hAnsi="宋体"/>
          <w:color w:val="auto"/>
          <w:szCs w:val="21"/>
          <w:highlight w:val="none"/>
          <w:shd w:val="clear" w:color="auto" w:fill="auto"/>
        </w:rPr>
      </w:pPr>
      <w:r>
        <w:rPr>
          <w:rFonts w:ascii="宋体" w:hAnsi="宋体"/>
          <w:color w:val="auto"/>
          <w:szCs w:val="21"/>
          <w:highlight w:val="none"/>
          <w:shd w:val="clear" w:color="auto" w:fill="auto"/>
        </w:rPr>
        <w:t xml:space="preserve">    </w:t>
      </w:r>
      <w:r>
        <w:rPr>
          <w:rFonts w:hint="eastAsia" w:ascii="宋体" w:hAnsi="宋体"/>
          <w:color w:val="auto"/>
          <w:szCs w:val="21"/>
          <w:highlight w:val="none"/>
          <w:shd w:val="clear" w:color="auto" w:fill="auto"/>
        </w:rPr>
        <w:t>（三）你方的索赔通知必须同时附有：</w:t>
      </w:r>
    </w:p>
    <w:p w14:paraId="5B2A82ED">
      <w:pPr>
        <w:spacing w:line="540" w:lineRule="exact"/>
        <w:rPr>
          <w:rFonts w:ascii="宋体" w:hAnsi="宋体"/>
          <w:color w:val="auto"/>
          <w:szCs w:val="21"/>
          <w:highlight w:val="none"/>
          <w:shd w:val="clear" w:color="auto" w:fill="auto"/>
        </w:rPr>
      </w:pPr>
      <w:r>
        <w:rPr>
          <w:rFonts w:ascii="宋体" w:hAnsi="宋体"/>
          <w:color w:val="auto"/>
          <w:szCs w:val="21"/>
          <w:highlight w:val="none"/>
          <w:shd w:val="clear" w:color="auto" w:fill="auto"/>
        </w:rPr>
        <w:t xml:space="preserve">    1.声明你方索赔的款额并未由保函申请人或其代理人以其他方式直接或间接地支付给你方</w:t>
      </w:r>
      <w:r>
        <w:rPr>
          <w:rFonts w:hint="eastAsia" w:ascii="宋体" w:hAnsi="宋体"/>
          <w:color w:val="auto"/>
          <w:szCs w:val="21"/>
          <w:highlight w:val="none"/>
          <w:shd w:val="clear" w:color="auto" w:fill="auto"/>
        </w:rPr>
        <w:t>。</w:t>
      </w:r>
    </w:p>
    <w:p w14:paraId="0ADDF237">
      <w:pPr>
        <w:spacing w:line="540" w:lineRule="exact"/>
        <w:rPr>
          <w:rFonts w:ascii="宋体" w:hAnsi="宋体"/>
          <w:color w:val="auto"/>
          <w:szCs w:val="21"/>
          <w:highlight w:val="none"/>
          <w:shd w:val="clear" w:color="auto" w:fill="auto"/>
        </w:rPr>
      </w:pPr>
      <w:r>
        <w:rPr>
          <w:rFonts w:ascii="宋体" w:hAnsi="宋体"/>
          <w:color w:val="auto"/>
          <w:szCs w:val="21"/>
          <w:highlight w:val="none"/>
          <w:shd w:val="clear" w:color="auto" w:fill="auto"/>
        </w:rPr>
        <w:t xml:space="preserve">    </w:t>
      </w:r>
      <w:r>
        <w:rPr>
          <w:rFonts w:hint="eastAsia" w:ascii="宋体" w:hAnsi="宋体"/>
          <w:color w:val="auto"/>
          <w:szCs w:val="21"/>
          <w:highlight w:val="none"/>
          <w:shd w:val="clear" w:color="auto" w:fill="auto"/>
        </w:rPr>
        <w:t>五、本保函所附声明条款系本保函的不可撤销、不可变更的组成部分。</w:t>
      </w:r>
    </w:p>
    <w:p w14:paraId="15143BF7">
      <w:pPr>
        <w:spacing w:line="540" w:lineRule="exact"/>
        <w:rPr>
          <w:rFonts w:ascii="宋体" w:hAnsi="宋体"/>
          <w:color w:val="auto"/>
          <w:szCs w:val="21"/>
          <w:highlight w:val="none"/>
          <w:shd w:val="clear" w:color="auto" w:fill="auto"/>
        </w:rPr>
      </w:pPr>
      <w:r>
        <w:rPr>
          <w:rFonts w:ascii="宋体" w:hAnsi="宋体"/>
          <w:color w:val="auto"/>
          <w:szCs w:val="21"/>
          <w:highlight w:val="none"/>
          <w:shd w:val="clear" w:color="auto" w:fill="auto"/>
        </w:rPr>
        <w:t xml:space="preserve">    </w:t>
      </w:r>
      <w:r>
        <w:rPr>
          <w:rFonts w:hint="eastAsia" w:ascii="宋体" w:hAnsi="宋体"/>
          <w:color w:val="auto"/>
          <w:szCs w:val="21"/>
          <w:highlight w:val="none"/>
          <w:shd w:val="clear" w:color="auto" w:fill="auto"/>
        </w:rPr>
        <w:t>六、本保函自本行负责人或授权代理人签字并加盖公章之日起生效。</w:t>
      </w:r>
    </w:p>
    <w:p w14:paraId="2376392D">
      <w:pPr>
        <w:spacing w:line="540" w:lineRule="exact"/>
        <w:rPr>
          <w:rFonts w:ascii="宋体" w:hAnsi="宋体"/>
          <w:color w:val="auto"/>
          <w:szCs w:val="21"/>
          <w:highlight w:val="none"/>
          <w:shd w:val="clear" w:color="auto" w:fill="auto"/>
        </w:rPr>
      </w:pPr>
      <w:r>
        <w:rPr>
          <w:rFonts w:ascii="宋体" w:hAnsi="宋体"/>
          <w:color w:val="auto"/>
          <w:szCs w:val="21"/>
          <w:highlight w:val="none"/>
          <w:shd w:val="clear" w:color="auto" w:fill="auto"/>
        </w:rPr>
        <w:t xml:space="preserve">                                  保证人（盖章）：</w:t>
      </w:r>
    </w:p>
    <w:p w14:paraId="480F6707">
      <w:pPr>
        <w:spacing w:line="540" w:lineRule="exact"/>
        <w:rPr>
          <w:rFonts w:ascii="宋体" w:hAnsi="宋体"/>
          <w:color w:val="auto"/>
          <w:szCs w:val="21"/>
          <w:highlight w:val="none"/>
          <w:shd w:val="clear" w:color="auto" w:fill="auto"/>
        </w:rPr>
      </w:pPr>
      <w:r>
        <w:rPr>
          <w:rFonts w:ascii="宋体" w:hAnsi="宋体"/>
          <w:color w:val="auto"/>
          <w:szCs w:val="21"/>
          <w:highlight w:val="none"/>
          <w:shd w:val="clear" w:color="auto" w:fill="auto"/>
        </w:rPr>
        <w:t xml:space="preserve">                                  负责人或授权代理人（签字）：</w:t>
      </w:r>
    </w:p>
    <w:p w14:paraId="5CBDA1D1">
      <w:pPr>
        <w:autoSpaceDE w:val="0"/>
        <w:autoSpaceDN w:val="0"/>
        <w:spacing w:line="540" w:lineRule="exact"/>
        <w:ind w:firstLine="3465" w:firstLineChars="1650"/>
        <w:rPr>
          <w:rFonts w:ascii="宋体" w:hAnsi="宋体"/>
          <w:color w:val="auto"/>
          <w:szCs w:val="21"/>
          <w:highlight w:val="none"/>
          <w:shd w:val="clear" w:color="auto" w:fill="auto"/>
        </w:rPr>
      </w:pPr>
      <w:r>
        <w:rPr>
          <w:rFonts w:ascii="宋体" w:hAnsi="宋体"/>
          <w:color w:val="auto"/>
          <w:szCs w:val="21"/>
          <w:highlight w:val="none"/>
          <w:shd w:val="clear" w:color="auto" w:fill="auto"/>
        </w:rPr>
        <w:t xml:space="preserve"> 签发日期</w:t>
      </w:r>
      <w:r>
        <w:rPr>
          <w:rFonts w:hint="eastAsia" w:ascii="宋体" w:hAnsi="宋体"/>
          <w:color w:val="auto"/>
          <w:szCs w:val="21"/>
          <w:highlight w:val="none"/>
          <w:shd w:val="clear" w:color="auto" w:fill="auto"/>
        </w:rPr>
        <w:t>：</w:t>
      </w:r>
      <w:r>
        <w:rPr>
          <w:rFonts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rPr>
        <w:t xml:space="preserve">  </w:t>
      </w:r>
      <w:r>
        <w:rPr>
          <w:rFonts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年</w:t>
      </w:r>
      <w:r>
        <w:rPr>
          <w:rFonts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月</w:t>
      </w:r>
      <w:r>
        <w:rPr>
          <w:rFonts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日</w:t>
      </w:r>
    </w:p>
    <w:p w14:paraId="03851F59">
      <w:pPr>
        <w:autoSpaceDE w:val="0"/>
        <w:autoSpaceDN w:val="0"/>
        <w:spacing w:line="540" w:lineRule="exact"/>
        <w:ind w:firstLine="3465" w:firstLineChars="165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br w:type="page"/>
      </w:r>
    </w:p>
    <w:p w14:paraId="57B5F9EB">
      <w:pPr>
        <w:pStyle w:val="5"/>
        <w:spacing w:line="540" w:lineRule="exact"/>
        <w:ind w:firstLine="137"/>
        <w:rPr>
          <w:rFonts w:hint="eastAsia" w:ascii="宋体" w:hAnsi="宋体"/>
          <w:strike/>
          <w:color w:val="auto"/>
          <w:sz w:val="18"/>
          <w:szCs w:val="18"/>
          <w:highlight w:val="none"/>
          <w:shd w:val="clear" w:color="auto" w:fill="auto"/>
        </w:rPr>
      </w:pPr>
      <w:r>
        <w:rPr>
          <w:rFonts w:hint="eastAsia" w:ascii="Times New Roman"/>
          <w:color w:val="auto"/>
          <w:highlight w:val="none"/>
          <w:shd w:val="clear" w:color="auto" w:fill="auto"/>
        </w:rPr>
        <w:t>附件</w:t>
      </w:r>
      <w:r>
        <w:rPr>
          <w:rFonts w:hint="eastAsia" w:ascii="Times New Roman"/>
          <w:color w:val="auto"/>
          <w:highlight w:val="none"/>
          <w:shd w:val="clear" w:color="auto" w:fill="auto"/>
          <w:lang w:val="en-US" w:eastAsia="zh-CN"/>
        </w:rPr>
        <w:t>八</w:t>
      </w:r>
      <w:r>
        <w:rPr>
          <w:rFonts w:hint="eastAsia" w:ascii="Times New Roman"/>
          <w:color w:val="auto"/>
          <w:highlight w:val="none"/>
          <w:shd w:val="clear" w:color="auto" w:fill="auto"/>
        </w:rPr>
        <w:t>：质量保证金担保格式</w:t>
      </w:r>
      <w:r>
        <w:rPr>
          <w:rFonts w:hint="eastAsia" w:ascii="宋体" w:hAnsi="宋体"/>
          <w:color w:val="auto"/>
          <w:sz w:val="18"/>
          <w:szCs w:val="18"/>
          <w:highlight w:val="none"/>
          <w:shd w:val="clear" w:color="auto" w:fill="auto"/>
        </w:rPr>
        <w:t>（担保的形式包括银行提供的保函、央企财务公司提供的保函、保险公司提供的国家认可的具有法律效力的保险等，格式自定）</w:t>
      </w:r>
    </w:p>
    <w:p w14:paraId="0E3B1979">
      <w:pPr>
        <w:autoSpaceDE w:val="0"/>
        <w:autoSpaceDN w:val="0"/>
        <w:spacing w:line="540" w:lineRule="exact"/>
        <w:ind w:firstLine="3465" w:firstLineChars="1650"/>
        <w:rPr>
          <w:rFonts w:ascii="宋体" w:hAnsi="宋体"/>
          <w:color w:val="auto"/>
          <w:szCs w:val="21"/>
          <w:highlight w:val="none"/>
          <w:shd w:val="clear" w:color="auto" w:fill="auto"/>
        </w:rPr>
      </w:pPr>
    </w:p>
    <w:p w14:paraId="664CF0AC">
      <w:pPr>
        <w:spacing w:line="540" w:lineRule="exact"/>
        <w:jc w:val="left"/>
        <w:rPr>
          <w:rFonts w:hint="eastAsia" w:ascii="宋体" w:hAnsi="宋体"/>
          <w:color w:val="auto"/>
          <w:szCs w:val="21"/>
          <w:highlight w:val="none"/>
          <w:shd w:val="clear" w:color="auto" w:fill="auto"/>
        </w:rPr>
      </w:pPr>
    </w:p>
    <w:p w14:paraId="24EE791C">
      <w:pPr>
        <w:spacing w:line="540" w:lineRule="exact"/>
        <w:jc w:val="center"/>
        <w:rPr>
          <w:rFonts w:hint="eastAsia" w:ascii="宋体" w:hAnsi="宋体"/>
          <w:b/>
          <w:color w:val="auto"/>
          <w:szCs w:val="21"/>
          <w:highlight w:val="none"/>
          <w:shd w:val="clear" w:color="auto" w:fill="auto"/>
        </w:rPr>
      </w:pPr>
      <w:r>
        <w:rPr>
          <w:rFonts w:hint="eastAsia" w:ascii="宋体" w:hAnsi="宋体"/>
          <w:b/>
          <w:color w:val="auto"/>
          <w:szCs w:val="21"/>
          <w:highlight w:val="none"/>
          <w:shd w:val="clear" w:color="auto" w:fill="auto"/>
        </w:rPr>
        <w:t>质量保证金保函</w:t>
      </w:r>
    </w:p>
    <w:p w14:paraId="779EA635">
      <w:pPr>
        <w:autoSpaceDE w:val="0"/>
        <w:autoSpaceDN w:val="0"/>
        <w:spacing w:line="540" w:lineRule="exact"/>
        <w:rPr>
          <w:rFonts w:hint="eastAsia" w:ascii="宋体" w:hAnsi="宋体" w:cs="仿宋_GB2312"/>
          <w:color w:val="auto"/>
          <w:szCs w:val="21"/>
          <w:highlight w:val="none"/>
          <w:u w:val="single"/>
          <w:shd w:val="clear" w:color="auto" w:fill="auto"/>
        </w:rPr>
      </w:pPr>
      <w:r>
        <w:rPr>
          <w:rFonts w:hint="eastAsia" w:ascii="宋体" w:hAnsi="宋体" w:cs="仿宋_GB2312"/>
          <w:color w:val="auto"/>
          <w:szCs w:val="21"/>
          <w:highlight w:val="none"/>
          <w:shd w:val="clear" w:color="auto" w:fill="auto"/>
        </w:rPr>
        <w:t>（发包人名称）：</w:t>
      </w:r>
      <w:r>
        <w:rPr>
          <w:rFonts w:hint="eastAsia" w:ascii="宋体" w:hAnsi="宋体" w:cs="仿宋_GB2312"/>
          <w:color w:val="auto"/>
          <w:szCs w:val="21"/>
          <w:highlight w:val="none"/>
          <w:u w:val="single"/>
          <w:shd w:val="clear" w:color="auto" w:fill="auto"/>
        </w:rPr>
        <w:t xml:space="preserve">               </w:t>
      </w:r>
    </w:p>
    <w:p w14:paraId="190F4715">
      <w:pPr>
        <w:autoSpaceDE w:val="0"/>
        <w:autoSpaceDN w:val="0"/>
        <w:spacing w:line="540" w:lineRule="exact"/>
        <w:ind w:firstLine="420" w:firstLineChars="200"/>
        <w:rPr>
          <w:rFonts w:hint="eastAsia" w:ascii="宋体" w:hAnsi="宋体" w:cs="仿宋_GB2312"/>
          <w:color w:val="auto"/>
          <w:szCs w:val="21"/>
          <w:highlight w:val="none"/>
          <w:shd w:val="clear" w:color="auto" w:fill="auto"/>
        </w:rPr>
      </w:pPr>
      <w:r>
        <w:rPr>
          <w:rFonts w:hint="eastAsia" w:ascii="宋体" w:hAnsi="宋体" w:cs="仿宋_GB2312"/>
          <w:color w:val="auto"/>
          <w:szCs w:val="21"/>
          <w:highlight w:val="none"/>
          <w:shd w:val="clear" w:color="auto" w:fill="auto"/>
        </w:rPr>
        <w:t>根据</w:t>
      </w:r>
      <w:r>
        <w:rPr>
          <w:rFonts w:hint="eastAsia" w:ascii="宋体" w:hAnsi="宋体" w:cs="仿宋_GB2312"/>
          <w:color w:val="auto"/>
          <w:szCs w:val="21"/>
          <w:highlight w:val="none"/>
          <w:u w:val="single"/>
          <w:shd w:val="clear" w:color="auto" w:fill="auto"/>
        </w:rPr>
        <w:t xml:space="preserve">           </w:t>
      </w:r>
      <w:r>
        <w:rPr>
          <w:rFonts w:hint="eastAsia" w:ascii="宋体" w:hAnsi="宋体" w:cs="仿宋_GB2312"/>
          <w:color w:val="auto"/>
          <w:szCs w:val="21"/>
          <w:highlight w:val="none"/>
          <w:shd w:val="clear" w:color="auto" w:fill="auto"/>
        </w:rPr>
        <w:t>（承包人名称）（以下称</w:t>
      </w:r>
      <w:r>
        <w:rPr>
          <w:rFonts w:ascii="宋体" w:hAnsi="宋体" w:cs="TimesNewRomanPSMT"/>
          <w:color w:val="auto"/>
          <w:szCs w:val="21"/>
          <w:highlight w:val="none"/>
          <w:shd w:val="clear" w:color="auto" w:fill="auto"/>
        </w:rPr>
        <w:t>“</w:t>
      </w:r>
      <w:r>
        <w:rPr>
          <w:rFonts w:hint="eastAsia" w:ascii="宋体" w:hAnsi="宋体" w:cs="仿宋_GB2312"/>
          <w:color w:val="auto"/>
          <w:szCs w:val="21"/>
          <w:highlight w:val="none"/>
          <w:shd w:val="clear" w:color="auto" w:fill="auto"/>
        </w:rPr>
        <w:t>承包人</w:t>
      </w:r>
      <w:r>
        <w:rPr>
          <w:rFonts w:ascii="宋体" w:hAnsi="宋体" w:cs="TimesNewRomanPSMT"/>
          <w:color w:val="auto"/>
          <w:szCs w:val="21"/>
          <w:highlight w:val="none"/>
          <w:shd w:val="clear" w:color="auto" w:fill="auto"/>
        </w:rPr>
        <w:t>”</w:t>
      </w:r>
      <w:r>
        <w:rPr>
          <w:rFonts w:hint="eastAsia" w:ascii="宋体" w:hAnsi="宋体" w:cs="仿宋_GB2312"/>
          <w:color w:val="auto"/>
          <w:szCs w:val="21"/>
          <w:highlight w:val="none"/>
          <w:shd w:val="clear" w:color="auto" w:fill="auto"/>
        </w:rPr>
        <w:t>）与</w:t>
      </w:r>
      <w:r>
        <w:rPr>
          <w:rFonts w:hint="eastAsia" w:ascii="宋体" w:hAnsi="宋体" w:cs="仿宋_GB2312"/>
          <w:color w:val="auto"/>
          <w:szCs w:val="21"/>
          <w:highlight w:val="none"/>
          <w:u w:val="single"/>
          <w:shd w:val="clear" w:color="auto" w:fill="auto"/>
        </w:rPr>
        <w:t xml:space="preserve">         </w:t>
      </w:r>
      <w:r>
        <w:rPr>
          <w:rFonts w:hint="eastAsia" w:ascii="宋体" w:hAnsi="宋体" w:cs="仿宋_GB2312"/>
          <w:color w:val="auto"/>
          <w:szCs w:val="21"/>
          <w:highlight w:val="none"/>
          <w:shd w:val="clear" w:color="auto" w:fill="auto"/>
        </w:rPr>
        <w:t>（发包人名称）（以下简称</w:t>
      </w:r>
      <w:r>
        <w:rPr>
          <w:rFonts w:ascii="宋体" w:hAnsi="宋体" w:cs="TimesNewRomanPSMT"/>
          <w:color w:val="auto"/>
          <w:szCs w:val="21"/>
          <w:highlight w:val="none"/>
          <w:shd w:val="clear" w:color="auto" w:fill="auto"/>
        </w:rPr>
        <w:t>“</w:t>
      </w:r>
      <w:r>
        <w:rPr>
          <w:rFonts w:hint="eastAsia" w:ascii="宋体" w:hAnsi="宋体" w:cs="仿宋_GB2312"/>
          <w:color w:val="auto"/>
          <w:szCs w:val="21"/>
          <w:highlight w:val="none"/>
          <w:shd w:val="clear" w:color="auto" w:fill="auto"/>
        </w:rPr>
        <w:t>发包人</w:t>
      </w:r>
      <w:r>
        <w:rPr>
          <w:rFonts w:ascii="宋体" w:hAnsi="宋体" w:cs="TimesNewRomanPSMT"/>
          <w:color w:val="auto"/>
          <w:szCs w:val="21"/>
          <w:highlight w:val="none"/>
          <w:shd w:val="clear" w:color="auto" w:fill="auto"/>
        </w:rPr>
        <w:t>”</w:t>
      </w:r>
      <w:r>
        <w:rPr>
          <w:rFonts w:hint="eastAsia" w:ascii="宋体" w:hAnsi="宋体" w:cs="仿宋_GB2312"/>
          <w:color w:val="auto"/>
          <w:szCs w:val="21"/>
          <w:highlight w:val="none"/>
          <w:shd w:val="clear" w:color="auto" w:fill="auto"/>
        </w:rPr>
        <w:t>）于</w:t>
      </w:r>
      <w:r>
        <w:rPr>
          <w:rFonts w:hint="eastAsia" w:ascii="宋体" w:hAnsi="宋体" w:cs="仿宋_GB2312"/>
          <w:color w:val="auto"/>
          <w:szCs w:val="21"/>
          <w:highlight w:val="none"/>
          <w:u w:val="single"/>
          <w:shd w:val="clear" w:color="auto" w:fill="auto"/>
        </w:rPr>
        <w:t xml:space="preserve">    </w:t>
      </w:r>
      <w:r>
        <w:rPr>
          <w:rFonts w:hint="eastAsia" w:ascii="宋体" w:hAnsi="宋体" w:cs="仿宋_GB2312"/>
          <w:color w:val="auto"/>
          <w:szCs w:val="21"/>
          <w:highlight w:val="none"/>
          <w:shd w:val="clear" w:color="auto" w:fill="auto"/>
        </w:rPr>
        <w:t>年</w:t>
      </w:r>
      <w:r>
        <w:rPr>
          <w:rFonts w:hint="eastAsia" w:ascii="宋体" w:hAnsi="宋体" w:cs="仿宋_GB2312"/>
          <w:color w:val="auto"/>
          <w:szCs w:val="21"/>
          <w:highlight w:val="none"/>
          <w:u w:val="single"/>
          <w:shd w:val="clear" w:color="auto" w:fill="auto"/>
        </w:rPr>
        <w:t xml:space="preserve">    </w:t>
      </w:r>
      <w:r>
        <w:rPr>
          <w:rFonts w:hint="eastAsia" w:ascii="宋体" w:hAnsi="宋体" w:cs="仿宋_GB2312"/>
          <w:color w:val="auto"/>
          <w:szCs w:val="21"/>
          <w:highlight w:val="none"/>
          <w:shd w:val="clear" w:color="auto" w:fill="auto"/>
        </w:rPr>
        <w:t>月</w:t>
      </w:r>
      <w:r>
        <w:rPr>
          <w:rFonts w:hint="eastAsia" w:ascii="宋体" w:hAnsi="宋体" w:cs="仿宋_GB2312"/>
          <w:color w:val="auto"/>
          <w:szCs w:val="21"/>
          <w:highlight w:val="none"/>
          <w:u w:val="single"/>
          <w:shd w:val="clear" w:color="auto" w:fill="auto"/>
        </w:rPr>
        <w:t xml:space="preserve">    </w:t>
      </w:r>
      <w:r>
        <w:rPr>
          <w:rFonts w:hint="eastAsia" w:ascii="宋体" w:hAnsi="宋体" w:cs="仿宋_GB2312"/>
          <w:color w:val="auto"/>
          <w:szCs w:val="21"/>
          <w:highlight w:val="none"/>
          <w:shd w:val="clear" w:color="auto" w:fill="auto"/>
        </w:rPr>
        <w:t>日签订的</w:t>
      </w:r>
      <w:r>
        <w:rPr>
          <w:rFonts w:hint="eastAsia" w:ascii="宋体" w:hAnsi="宋体" w:cs="仿宋_GB2312"/>
          <w:color w:val="auto"/>
          <w:szCs w:val="21"/>
          <w:highlight w:val="none"/>
          <w:u w:val="single"/>
          <w:shd w:val="clear" w:color="auto" w:fill="auto"/>
        </w:rPr>
        <w:t xml:space="preserve">    </w:t>
      </w:r>
      <w:r>
        <w:rPr>
          <w:rFonts w:hint="eastAsia" w:ascii="宋体" w:hAnsi="宋体" w:cs="仿宋_GB2312"/>
          <w:color w:val="auto"/>
          <w:szCs w:val="21"/>
          <w:highlight w:val="none"/>
          <w:shd w:val="clear" w:color="auto" w:fill="auto"/>
        </w:rPr>
        <w:t>（项目名称）监理承包合同，承包人按约定的金额向发包人提交一份质量保证金担保，即有权得到发包人支付相等金额的质量保证金。我方愿意就你方提供给承包人的质量保证金提供担保。</w:t>
      </w:r>
    </w:p>
    <w:p w14:paraId="2541767C">
      <w:pPr>
        <w:autoSpaceDE w:val="0"/>
        <w:autoSpaceDN w:val="0"/>
        <w:spacing w:line="540" w:lineRule="exact"/>
        <w:ind w:firstLine="420" w:firstLineChars="200"/>
        <w:rPr>
          <w:rFonts w:hint="eastAsia" w:ascii="宋体" w:hAnsi="宋体" w:cs="仿宋_GB2312"/>
          <w:color w:val="auto"/>
          <w:szCs w:val="21"/>
          <w:highlight w:val="none"/>
          <w:shd w:val="clear" w:color="auto" w:fill="auto"/>
        </w:rPr>
      </w:pPr>
      <w:r>
        <w:rPr>
          <w:rFonts w:ascii="宋体" w:hAnsi="宋体" w:cs="TimesNewRomanPSMT"/>
          <w:color w:val="auto"/>
          <w:szCs w:val="21"/>
          <w:highlight w:val="none"/>
          <w:shd w:val="clear" w:color="auto" w:fill="auto"/>
        </w:rPr>
        <w:t xml:space="preserve">1. </w:t>
      </w:r>
      <w:r>
        <w:rPr>
          <w:rFonts w:hint="eastAsia" w:ascii="宋体" w:hAnsi="宋体" w:cs="仿宋_GB2312"/>
          <w:color w:val="auto"/>
          <w:szCs w:val="21"/>
          <w:highlight w:val="none"/>
          <w:shd w:val="clear" w:color="auto" w:fill="auto"/>
        </w:rPr>
        <w:t>担保金额人民币（大写）</w:t>
      </w:r>
      <w:r>
        <w:rPr>
          <w:rFonts w:hint="eastAsia" w:ascii="宋体" w:hAnsi="宋体" w:cs="仿宋_GB2312"/>
          <w:color w:val="auto"/>
          <w:szCs w:val="21"/>
          <w:highlight w:val="none"/>
          <w:u w:val="single"/>
          <w:shd w:val="clear" w:color="auto" w:fill="auto"/>
        </w:rPr>
        <w:t xml:space="preserve">           </w:t>
      </w:r>
      <w:r>
        <w:rPr>
          <w:rFonts w:hint="eastAsia" w:ascii="宋体" w:hAnsi="宋体" w:cs="仿宋_GB2312"/>
          <w:color w:val="auto"/>
          <w:szCs w:val="21"/>
          <w:highlight w:val="none"/>
          <w:shd w:val="clear" w:color="auto" w:fill="auto"/>
        </w:rPr>
        <w:t>元（</w:t>
      </w:r>
      <w:r>
        <w:rPr>
          <w:rFonts w:ascii="宋体" w:hAnsi="宋体" w:cs="TimesNewRomanPSMT"/>
          <w:color w:val="auto"/>
          <w:szCs w:val="21"/>
          <w:highlight w:val="none"/>
          <w:shd w:val="clear" w:color="auto" w:fill="auto"/>
        </w:rPr>
        <w:t>¥</w:t>
      </w:r>
      <w:r>
        <w:rPr>
          <w:rFonts w:hint="eastAsia" w:ascii="宋体" w:hAnsi="宋体" w:cs="TimesNewRomanPSMT"/>
          <w:color w:val="auto"/>
          <w:szCs w:val="21"/>
          <w:highlight w:val="none"/>
          <w:u w:val="single"/>
          <w:shd w:val="clear" w:color="auto" w:fill="auto"/>
        </w:rPr>
        <w:t xml:space="preserve">         </w:t>
      </w:r>
      <w:r>
        <w:rPr>
          <w:rFonts w:ascii="宋体" w:hAnsi="宋体" w:cs="TimesNewRomanPSMT"/>
          <w:color w:val="auto"/>
          <w:szCs w:val="21"/>
          <w:highlight w:val="none"/>
          <w:shd w:val="clear" w:color="auto" w:fill="auto"/>
        </w:rPr>
        <w:t xml:space="preserve"> </w:t>
      </w:r>
      <w:r>
        <w:rPr>
          <w:rFonts w:hint="eastAsia" w:ascii="宋体" w:hAnsi="宋体" w:cs="仿宋_GB2312"/>
          <w:color w:val="auto"/>
          <w:szCs w:val="21"/>
          <w:highlight w:val="none"/>
          <w:shd w:val="clear" w:color="auto" w:fill="auto"/>
        </w:rPr>
        <w:t>）。</w:t>
      </w:r>
    </w:p>
    <w:p w14:paraId="7654254E">
      <w:pPr>
        <w:autoSpaceDE w:val="0"/>
        <w:autoSpaceDN w:val="0"/>
        <w:spacing w:line="540" w:lineRule="exact"/>
        <w:ind w:firstLine="420" w:firstLineChars="200"/>
        <w:rPr>
          <w:rFonts w:hint="eastAsia" w:ascii="宋体" w:hAnsi="宋体" w:cs="仿宋_GB2312"/>
          <w:color w:val="auto"/>
          <w:szCs w:val="21"/>
          <w:highlight w:val="none"/>
          <w:shd w:val="clear" w:color="auto" w:fill="auto"/>
        </w:rPr>
      </w:pPr>
      <w:r>
        <w:rPr>
          <w:rFonts w:ascii="宋体" w:hAnsi="宋体" w:cs="TimesNewRomanPSMT"/>
          <w:color w:val="auto"/>
          <w:szCs w:val="21"/>
          <w:highlight w:val="none"/>
          <w:shd w:val="clear" w:color="auto" w:fill="auto"/>
        </w:rPr>
        <w:t xml:space="preserve">2. </w:t>
      </w:r>
      <w:r>
        <w:rPr>
          <w:rFonts w:hint="eastAsia" w:ascii="宋体" w:hAnsi="宋体" w:cs="仿宋_GB2312"/>
          <w:color w:val="auto"/>
          <w:szCs w:val="21"/>
          <w:highlight w:val="none"/>
          <w:shd w:val="clear" w:color="auto" w:fill="auto"/>
        </w:rPr>
        <w:t>担保有效期自质量保证金支付给承包人起生效，至质保期结束止。</w:t>
      </w:r>
    </w:p>
    <w:p w14:paraId="3D148DEF">
      <w:pPr>
        <w:autoSpaceDE w:val="0"/>
        <w:autoSpaceDN w:val="0"/>
        <w:spacing w:line="540" w:lineRule="exact"/>
        <w:ind w:firstLine="420" w:firstLineChars="200"/>
        <w:rPr>
          <w:rFonts w:hint="eastAsia" w:ascii="宋体" w:hAnsi="宋体" w:cs="仿宋_GB2312"/>
          <w:color w:val="auto"/>
          <w:szCs w:val="21"/>
          <w:highlight w:val="none"/>
          <w:shd w:val="clear" w:color="auto" w:fill="auto"/>
        </w:rPr>
      </w:pPr>
      <w:r>
        <w:rPr>
          <w:rFonts w:ascii="宋体" w:hAnsi="宋体" w:cs="TimesNewRomanPSMT"/>
          <w:color w:val="auto"/>
          <w:szCs w:val="21"/>
          <w:highlight w:val="none"/>
          <w:shd w:val="clear" w:color="auto" w:fill="auto"/>
        </w:rPr>
        <w:t xml:space="preserve">3. </w:t>
      </w:r>
      <w:r>
        <w:rPr>
          <w:rFonts w:hint="eastAsia" w:ascii="宋体" w:hAnsi="宋体" w:cs="仿宋_GB2312"/>
          <w:color w:val="auto"/>
          <w:szCs w:val="21"/>
          <w:highlight w:val="none"/>
          <w:shd w:val="clear" w:color="auto" w:fill="auto"/>
        </w:rPr>
        <w:t>在本保函有效期内，因承包人违反合同约定而拒绝履行质保期相关义务时，我方在收到你方的书面通知后，在７天内无条件支付。但本保函的担保金额，在任何时候不应超过质保金金额。</w:t>
      </w:r>
    </w:p>
    <w:p w14:paraId="69AFAEDA">
      <w:pPr>
        <w:autoSpaceDE w:val="0"/>
        <w:autoSpaceDN w:val="0"/>
        <w:spacing w:line="540" w:lineRule="exact"/>
        <w:ind w:firstLine="420" w:firstLineChars="200"/>
        <w:rPr>
          <w:rFonts w:hint="eastAsia" w:ascii="宋体" w:hAnsi="宋体" w:cs="仿宋_GB2312"/>
          <w:color w:val="auto"/>
          <w:szCs w:val="21"/>
          <w:highlight w:val="none"/>
          <w:shd w:val="clear" w:color="auto" w:fill="auto"/>
        </w:rPr>
      </w:pPr>
      <w:r>
        <w:rPr>
          <w:rFonts w:ascii="宋体" w:hAnsi="宋体" w:cs="TimesNewRomanPSMT"/>
          <w:color w:val="auto"/>
          <w:szCs w:val="21"/>
          <w:highlight w:val="none"/>
          <w:shd w:val="clear" w:color="auto" w:fill="auto"/>
        </w:rPr>
        <w:t xml:space="preserve">4. </w:t>
      </w:r>
      <w:r>
        <w:rPr>
          <w:rFonts w:hint="eastAsia" w:ascii="宋体" w:hAnsi="宋体" w:cs="仿宋_GB2312"/>
          <w:color w:val="auto"/>
          <w:szCs w:val="21"/>
          <w:highlight w:val="none"/>
          <w:shd w:val="clear" w:color="auto" w:fill="auto"/>
        </w:rPr>
        <w:t>发包人和承包人变更合同时，我方承担本保函规定的义务不变。</w:t>
      </w:r>
    </w:p>
    <w:p w14:paraId="1C3590F0">
      <w:pPr>
        <w:autoSpaceDE w:val="0"/>
        <w:autoSpaceDN w:val="0"/>
        <w:spacing w:line="540" w:lineRule="exact"/>
        <w:ind w:firstLine="420" w:firstLineChars="200"/>
        <w:jc w:val="right"/>
        <w:rPr>
          <w:rFonts w:hint="eastAsia" w:ascii="宋体" w:hAnsi="宋体" w:cs="仿宋_GB2312"/>
          <w:color w:val="auto"/>
          <w:szCs w:val="21"/>
          <w:highlight w:val="none"/>
          <w:shd w:val="clear" w:color="auto" w:fill="auto"/>
        </w:rPr>
      </w:pPr>
    </w:p>
    <w:p w14:paraId="1911ADA6">
      <w:pPr>
        <w:autoSpaceDE w:val="0"/>
        <w:autoSpaceDN w:val="0"/>
        <w:spacing w:line="540" w:lineRule="exact"/>
        <w:ind w:firstLine="420" w:firstLineChars="200"/>
        <w:jc w:val="right"/>
        <w:rPr>
          <w:rFonts w:ascii="宋体" w:hAnsi="宋体" w:cs="仿宋_GB2312"/>
          <w:color w:val="auto"/>
          <w:szCs w:val="21"/>
          <w:highlight w:val="none"/>
          <w:shd w:val="clear" w:color="auto" w:fill="auto"/>
        </w:rPr>
      </w:pPr>
      <w:r>
        <w:rPr>
          <w:rFonts w:hint="eastAsia" w:ascii="宋体" w:hAnsi="宋体" w:cs="仿宋_GB2312"/>
          <w:color w:val="auto"/>
          <w:szCs w:val="21"/>
          <w:highlight w:val="none"/>
          <w:shd w:val="clear" w:color="auto" w:fill="auto"/>
        </w:rPr>
        <w:t>担</w:t>
      </w:r>
      <w:r>
        <w:rPr>
          <w:rFonts w:ascii="宋体" w:hAnsi="宋体" w:cs="仿宋_GB2312"/>
          <w:color w:val="auto"/>
          <w:szCs w:val="21"/>
          <w:highlight w:val="none"/>
          <w:shd w:val="clear" w:color="auto" w:fill="auto"/>
        </w:rPr>
        <w:t xml:space="preserve"> </w:t>
      </w:r>
      <w:r>
        <w:rPr>
          <w:rFonts w:hint="eastAsia" w:ascii="宋体" w:hAnsi="宋体" w:cs="仿宋_GB2312"/>
          <w:color w:val="auto"/>
          <w:szCs w:val="21"/>
          <w:highlight w:val="none"/>
          <w:shd w:val="clear" w:color="auto" w:fill="auto"/>
        </w:rPr>
        <w:t>保</w:t>
      </w:r>
      <w:r>
        <w:rPr>
          <w:rFonts w:ascii="宋体" w:hAnsi="宋体" w:cs="仿宋_GB2312"/>
          <w:color w:val="auto"/>
          <w:szCs w:val="21"/>
          <w:highlight w:val="none"/>
          <w:shd w:val="clear" w:color="auto" w:fill="auto"/>
        </w:rPr>
        <w:t xml:space="preserve"> </w:t>
      </w:r>
      <w:r>
        <w:rPr>
          <w:rFonts w:hint="eastAsia" w:ascii="宋体" w:hAnsi="宋体" w:cs="仿宋_GB2312"/>
          <w:color w:val="auto"/>
          <w:szCs w:val="21"/>
          <w:highlight w:val="none"/>
          <w:shd w:val="clear" w:color="auto" w:fill="auto"/>
        </w:rPr>
        <w:t>人：</w:t>
      </w:r>
      <w:r>
        <w:rPr>
          <w:rFonts w:hint="eastAsia" w:ascii="宋体" w:hAnsi="宋体" w:cs="仿宋_GB2312"/>
          <w:color w:val="auto"/>
          <w:szCs w:val="21"/>
          <w:highlight w:val="none"/>
          <w:u w:val="single"/>
          <w:shd w:val="clear" w:color="auto" w:fill="auto"/>
        </w:rPr>
        <w:t xml:space="preserve">                            </w:t>
      </w:r>
      <w:r>
        <w:rPr>
          <w:rFonts w:hint="eastAsia" w:ascii="宋体" w:hAnsi="宋体" w:cs="仿宋_GB2312"/>
          <w:color w:val="auto"/>
          <w:szCs w:val="21"/>
          <w:highlight w:val="none"/>
          <w:shd w:val="clear" w:color="auto" w:fill="auto"/>
        </w:rPr>
        <w:t>（盖单位章）</w:t>
      </w:r>
    </w:p>
    <w:p w14:paraId="393148E7">
      <w:pPr>
        <w:autoSpaceDE w:val="0"/>
        <w:autoSpaceDN w:val="0"/>
        <w:spacing w:line="540" w:lineRule="exact"/>
        <w:jc w:val="right"/>
        <w:rPr>
          <w:rFonts w:ascii="宋体" w:hAnsi="宋体" w:cs="仿宋_GB2312"/>
          <w:color w:val="auto"/>
          <w:szCs w:val="21"/>
          <w:highlight w:val="none"/>
          <w:shd w:val="clear" w:color="auto" w:fill="auto"/>
        </w:rPr>
      </w:pPr>
      <w:r>
        <w:rPr>
          <w:rFonts w:hint="eastAsia" w:ascii="宋体" w:hAnsi="宋体" w:cs="仿宋_GB2312"/>
          <w:color w:val="auto"/>
          <w:szCs w:val="21"/>
          <w:highlight w:val="none"/>
          <w:shd w:val="clear" w:color="auto" w:fill="auto"/>
        </w:rPr>
        <w:t>法定代表人或其委托代理人：</w:t>
      </w:r>
      <w:r>
        <w:rPr>
          <w:rFonts w:hint="eastAsia" w:ascii="宋体" w:hAnsi="宋体" w:cs="仿宋_GB2312"/>
          <w:color w:val="auto"/>
          <w:szCs w:val="21"/>
          <w:highlight w:val="none"/>
          <w:u w:val="single"/>
          <w:shd w:val="clear" w:color="auto" w:fill="auto"/>
        </w:rPr>
        <w:t xml:space="preserve">                </w:t>
      </w:r>
      <w:r>
        <w:rPr>
          <w:rFonts w:hint="eastAsia" w:ascii="宋体" w:hAnsi="宋体" w:cs="仿宋_GB2312"/>
          <w:color w:val="auto"/>
          <w:szCs w:val="21"/>
          <w:highlight w:val="none"/>
          <w:shd w:val="clear" w:color="auto" w:fill="auto"/>
        </w:rPr>
        <w:t>（签字）</w:t>
      </w:r>
    </w:p>
    <w:p w14:paraId="0D3F1525">
      <w:pPr>
        <w:autoSpaceDE w:val="0"/>
        <w:autoSpaceDN w:val="0"/>
        <w:spacing w:line="540" w:lineRule="exact"/>
        <w:ind w:firstLine="3780" w:firstLineChars="1800"/>
        <w:rPr>
          <w:rFonts w:ascii="宋体" w:hAnsi="宋体" w:cs="仿宋_GB2312"/>
          <w:color w:val="auto"/>
          <w:szCs w:val="21"/>
          <w:highlight w:val="none"/>
          <w:u w:val="single"/>
          <w:shd w:val="clear" w:color="auto" w:fill="auto"/>
        </w:rPr>
      </w:pPr>
      <w:r>
        <w:rPr>
          <w:rFonts w:hint="eastAsia" w:ascii="宋体" w:hAnsi="宋体" w:cs="仿宋_GB2312"/>
          <w:color w:val="auto"/>
          <w:szCs w:val="21"/>
          <w:highlight w:val="none"/>
          <w:shd w:val="clear" w:color="auto" w:fill="auto"/>
        </w:rPr>
        <w:t>地</w:t>
      </w:r>
      <w:r>
        <w:rPr>
          <w:rFonts w:ascii="宋体" w:hAnsi="宋体" w:cs="仿宋_GB2312"/>
          <w:color w:val="auto"/>
          <w:szCs w:val="21"/>
          <w:highlight w:val="none"/>
          <w:shd w:val="clear" w:color="auto" w:fill="auto"/>
        </w:rPr>
        <w:t xml:space="preserve"> </w:t>
      </w:r>
      <w:r>
        <w:rPr>
          <w:rFonts w:hint="eastAsia" w:ascii="宋体" w:hAnsi="宋体" w:cs="仿宋_GB2312"/>
          <w:color w:val="auto"/>
          <w:szCs w:val="21"/>
          <w:highlight w:val="none"/>
          <w:shd w:val="clear" w:color="auto" w:fill="auto"/>
        </w:rPr>
        <w:t>址：</w:t>
      </w:r>
      <w:r>
        <w:rPr>
          <w:rFonts w:hint="eastAsia" w:ascii="宋体" w:hAnsi="宋体" w:cs="仿宋_GB2312"/>
          <w:color w:val="auto"/>
          <w:szCs w:val="21"/>
          <w:highlight w:val="none"/>
          <w:u w:val="single"/>
          <w:shd w:val="clear" w:color="auto" w:fill="auto"/>
        </w:rPr>
        <w:t xml:space="preserve">                                         </w:t>
      </w:r>
    </w:p>
    <w:p w14:paraId="25CD3D9C">
      <w:pPr>
        <w:autoSpaceDE w:val="0"/>
        <w:autoSpaceDN w:val="0"/>
        <w:spacing w:line="540" w:lineRule="exact"/>
        <w:ind w:firstLine="3780" w:firstLineChars="1800"/>
        <w:rPr>
          <w:rFonts w:ascii="宋体" w:hAnsi="宋体" w:cs="仿宋_GB2312"/>
          <w:color w:val="auto"/>
          <w:szCs w:val="21"/>
          <w:highlight w:val="none"/>
          <w:u w:val="single"/>
          <w:shd w:val="clear" w:color="auto" w:fill="auto"/>
        </w:rPr>
      </w:pPr>
      <w:r>
        <w:rPr>
          <w:rFonts w:hint="eastAsia" w:ascii="宋体" w:hAnsi="宋体" w:cs="仿宋_GB2312"/>
          <w:color w:val="auto"/>
          <w:szCs w:val="21"/>
          <w:highlight w:val="none"/>
          <w:shd w:val="clear" w:color="auto" w:fill="auto"/>
        </w:rPr>
        <w:t>邮政编码：</w:t>
      </w:r>
      <w:r>
        <w:rPr>
          <w:rFonts w:hint="eastAsia" w:ascii="宋体" w:hAnsi="宋体" w:cs="仿宋_GB2312"/>
          <w:color w:val="auto"/>
          <w:szCs w:val="21"/>
          <w:highlight w:val="none"/>
          <w:u w:val="single"/>
          <w:shd w:val="clear" w:color="auto" w:fill="auto"/>
        </w:rPr>
        <w:t xml:space="preserve">                                      </w:t>
      </w:r>
    </w:p>
    <w:p w14:paraId="1F0943C6">
      <w:pPr>
        <w:autoSpaceDE w:val="0"/>
        <w:autoSpaceDN w:val="0"/>
        <w:spacing w:line="540" w:lineRule="exact"/>
        <w:ind w:firstLine="3780" w:firstLineChars="1800"/>
        <w:rPr>
          <w:rFonts w:ascii="宋体" w:hAnsi="宋体" w:cs="仿宋_GB2312"/>
          <w:color w:val="auto"/>
          <w:szCs w:val="21"/>
          <w:highlight w:val="none"/>
          <w:u w:val="single"/>
          <w:shd w:val="clear" w:color="auto" w:fill="auto"/>
        </w:rPr>
      </w:pPr>
      <w:r>
        <w:rPr>
          <w:rFonts w:hint="eastAsia" w:ascii="宋体" w:hAnsi="宋体" w:cs="仿宋_GB2312"/>
          <w:color w:val="auto"/>
          <w:szCs w:val="21"/>
          <w:highlight w:val="none"/>
          <w:shd w:val="clear" w:color="auto" w:fill="auto"/>
        </w:rPr>
        <w:t>电</w:t>
      </w:r>
      <w:r>
        <w:rPr>
          <w:rFonts w:ascii="宋体" w:hAnsi="宋体" w:cs="仿宋_GB2312"/>
          <w:color w:val="auto"/>
          <w:szCs w:val="21"/>
          <w:highlight w:val="none"/>
          <w:shd w:val="clear" w:color="auto" w:fill="auto"/>
        </w:rPr>
        <w:t xml:space="preserve"> </w:t>
      </w:r>
      <w:r>
        <w:rPr>
          <w:rFonts w:hint="eastAsia" w:ascii="宋体" w:hAnsi="宋体" w:cs="仿宋_GB2312"/>
          <w:color w:val="auto"/>
          <w:szCs w:val="21"/>
          <w:highlight w:val="none"/>
          <w:shd w:val="clear" w:color="auto" w:fill="auto"/>
        </w:rPr>
        <w:t>话：</w:t>
      </w:r>
      <w:r>
        <w:rPr>
          <w:rFonts w:hint="eastAsia" w:ascii="宋体" w:hAnsi="宋体" w:cs="仿宋_GB2312"/>
          <w:color w:val="auto"/>
          <w:szCs w:val="21"/>
          <w:highlight w:val="none"/>
          <w:u w:val="single"/>
          <w:shd w:val="clear" w:color="auto" w:fill="auto"/>
        </w:rPr>
        <w:t xml:space="preserve">                                         </w:t>
      </w:r>
    </w:p>
    <w:p w14:paraId="55A34E84">
      <w:pPr>
        <w:autoSpaceDE w:val="0"/>
        <w:autoSpaceDN w:val="0"/>
        <w:spacing w:line="540" w:lineRule="exact"/>
        <w:ind w:firstLine="3780" w:firstLineChars="1800"/>
        <w:rPr>
          <w:rFonts w:ascii="宋体" w:hAnsi="宋体" w:cs="仿宋_GB2312"/>
          <w:color w:val="auto"/>
          <w:szCs w:val="21"/>
          <w:highlight w:val="none"/>
          <w:u w:val="single"/>
          <w:shd w:val="clear" w:color="auto" w:fill="auto"/>
        </w:rPr>
      </w:pPr>
      <w:r>
        <w:rPr>
          <w:rFonts w:hint="eastAsia" w:ascii="宋体" w:hAnsi="宋体" w:cs="仿宋_GB2312"/>
          <w:color w:val="auto"/>
          <w:szCs w:val="21"/>
          <w:highlight w:val="none"/>
          <w:shd w:val="clear" w:color="auto" w:fill="auto"/>
        </w:rPr>
        <w:t>传</w:t>
      </w:r>
      <w:r>
        <w:rPr>
          <w:rFonts w:ascii="宋体" w:hAnsi="宋体" w:cs="仿宋_GB2312"/>
          <w:color w:val="auto"/>
          <w:szCs w:val="21"/>
          <w:highlight w:val="none"/>
          <w:shd w:val="clear" w:color="auto" w:fill="auto"/>
        </w:rPr>
        <w:t xml:space="preserve"> </w:t>
      </w:r>
      <w:r>
        <w:rPr>
          <w:rFonts w:hint="eastAsia" w:ascii="宋体" w:hAnsi="宋体" w:cs="仿宋_GB2312"/>
          <w:color w:val="auto"/>
          <w:szCs w:val="21"/>
          <w:highlight w:val="none"/>
          <w:shd w:val="clear" w:color="auto" w:fill="auto"/>
        </w:rPr>
        <w:t>真：</w:t>
      </w:r>
      <w:r>
        <w:rPr>
          <w:rFonts w:hint="eastAsia" w:ascii="宋体" w:hAnsi="宋体" w:cs="仿宋_GB2312"/>
          <w:color w:val="auto"/>
          <w:szCs w:val="21"/>
          <w:highlight w:val="none"/>
          <w:u w:val="single"/>
          <w:shd w:val="clear" w:color="auto" w:fill="auto"/>
        </w:rPr>
        <w:t xml:space="preserve">                                         </w:t>
      </w:r>
    </w:p>
    <w:p w14:paraId="56C926A0">
      <w:pPr>
        <w:pStyle w:val="22"/>
        <w:spacing w:line="540" w:lineRule="exact"/>
        <w:ind w:firstLine="420" w:firstLineChars="200"/>
        <w:jc w:val="center"/>
        <w:rPr>
          <w:rFonts w:hint="eastAsia" w:hAnsi="宋体"/>
          <w:color w:val="auto"/>
          <w:szCs w:val="21"/>
          <w:highlight w:val="none"/>
          <w:u w:val="single"/>
          <w:shd w:val="clear" w:color="auto" w:fill="auto"/>
        </w:rPr>
      </w:pPr>
      <w:r>
        <w:rPr>
          <w:rFonts w:hint="eastAsia" w:hAnsi="宋体" w:cs="仿宋_GB2312"/>
          <w:color w:val="auto"/>
          <w:szCs w:val="21"/>
          <w:highlight w:val="none"/>
          <w:shd w:val="clear" w:color="auto" w:fill="auto"/>
        </w:rPr>
        <w:t xml:space="preserve">                                                       </w:t>
      </w:r>
      <w:r>
        <w:rPr>
          <w:rFonts w:hint="eastAsia" w:hAnsi="宋体" w:cs="仿宋_GB2312"/>
          <w:color w:val="auto"/>
          <w:szCs w:val="21"/>
          <w:highlight w:val="none"/>
          <w:u w:val="single"/>
          <w:shd w:val="clear" w:color="auto" w:fill="auto"/>
        </w:rPr>
        <w:t xml:space="preserve">     </w:t>
      </w:r>
      <w:r>
        <w:rPr>
          <w:rFonts w:hint="eastAsia" w:hAnsi="宋体" w:cs="仿宋_GB2312"/>
          <w:color w:val="auto"/>
          <w:szCs w:val="21"/>
          <w:highlight w:val="none"/>
          <w:shd w:val="clear" w:color="auto" w:fill="auto"/>
        </w:rPr>
        <w:t>年</w:t>
      </w:r>
      <w:r>
        <w:rPr>
          <w:rFonts w:hint="eastAsia" w:hAnsi="宋体" w:cs="仿宋_GB2312"/>
          <w:color w:val="auto"/>
          <w:szCs w:val="21"/>
          <w:highlight w:val="none"/>
          <w:u w:val="single"/>
          <w:shd w:val="clear" w:color="auto" w:fill="auto"/>
        </w:rPr>
        <w:t xml:space="preserve">      </w:t>
      </w:r>
      <w:r>
        <w:rPr>
          <w:rFonts w:hint="eastAsia" w:hAnsi="宋体" w:cs="仿宋_GB2312"/>
          <w:color w:val="auto"/>
          <w:szCs w:val="21"/>
          <w:highlight w:val="none"/>
          <w:shd w:val="clear" w:color="auto" w:fill="auto"/>
        </w:rPr>
        <w:t>月</w:t>
      </w:r>
      <w:r>
        <w:rPr>
          <w:rFonts w:hint="eastAsia" w:hAnsi="宋体" w:cs="仿宋_GB2312"/>
          <w:color w:val="auto"/>
          <w:szCs w:val="21"/>
          <w:highlight w:val="none"/>
          <w:u w:val="single"/>
          <w:shd w:val="clear" w:color="auto" w:fill="auto"/>
        </w:rPr>
        <w:t xml:space="preserve">      </w:t>
      </w:r>
      <w:r>
        <w:rPr>
          <w:rFonts w:hint="eastAsia" w:hAnsi="宋体" w:cs="仿宋_GB2312"/>
          <w:color w:val="auto"/>
          <w:szCs w:val="21"/>
          <w:highlight w:val="none"/>
          <w:shd w:val="clear" w:color="auto" w:fill="auto"/>
        </w:rPr>
        <w:t>日</w:t>
      </w:r>
    </w:p>
    <w:p w14:paraId="2A8C9ABA">
      <w:pPr>
        <w:autoSpaceDE w:val="0"/>
        <w:autoSpaceDN w:val="0"/>
        <w:spacing w:line="540" w:lineRule="exact"/>
        <w:rPr>
          <w:rFonts w:ascii="宋体" w:hAnsi="宋体" w:cs="仿宋_GB2312"/>
          <w:color w:val="auto"/>
          <w:szCs w:val="21"/>
          <w:highlight w:val="none"/>
          <w:shd w:val="clear" w:color="auto" w:fill="auto"/>
        </w:rPr>
      </w:pPr>
      <w:r>
        <w:rPr>
          <w:rFonts w:hint="eastAsia" w:ascii="宋体" w:hAnsi="宋体" w:cs="仿宋_GB2312"/>
          <w:color w:val="auto"/>
          <w:szCs w:val="21"/>
          <w:highlight w:val="none"/>
          <w:shd w:val="clear" w:color="auto" w:fill="auto"/>
        </w:rPr>
        <w:br w:type="page"/>
      </w:r>
    </w:p>
    <w:p w14:paraId="62AC0D5F">
      <w:pPr>
        <w:pStyle w:val="5"/>
        <w:spacing w:line="540" w:lineRule="exact"/>
        <w:ind w:firstLine="137"/>
        <w:rPr>
          <w:rFonts w:ascii="Times New Roman"/>
          <w:color w:val="auto"/>
          <w:highlight w:val="none"/>
          <w:shd w:val="clear" w:color="auto" w:fill="auto"/>
        </w:rPr>
      </w:pPr>
      <w:bookmarkStart w:id="390" w:name="_Toc16994"/>
      <w:r>
        <w:rPr>
          <w:rFonts w:hint="eastAsia" w:ascii="Times New Roman"/>
          <w:color w:val="auto"/>
          <w:highlight w:val="none"/>
          <w:shd w:val="clear" w:color="auto" w:fill="auto"/>
        </w:rPr>
        <w:t>附件</w:t>
      </w:r>
      <w:r>
        <w:rPr>
          <w:rFonts w:hint="eastAsia" w:ascii="Times New Roman"/>
          <w:color w:val="auto"/>
          <w:highlight w:val="none"/>
          <w:shd w:val="clear" w:color="auto" w:fill="auto"/>
          <w:lang w:val="en-US" w:eastAsia="zh-CN"/>
        </w:rPr>
        <w:t>九</w:t>
      </w:r>
      <w:r>
        <w:rPr>
          <w:rFonts w:hint="eastAsia" w:ascii="Times New Roman"/>
          <w:color w:val="auto"/>
          <w:highlight w:val="none"/>
          <w:shd w:val="clear" w:color="auto" w:fill="auto"/>
        </w:rPr>
        <w:t>：管理规范和技术（规范）标准</w:t>
      </w:r>
      <w:bookmarkEnd w:id="390"/>
    </w:p>
    <w:p w14:paraId="0D773E87">
      <w:pPr>
        <w:pStyle w:val="22"/>
        <w:spacing w:line="540" w:lineRule="exact"/>
        <w:jc w:val="center"/>
        <w:rPr>
          <w:rFonts w:hAnsi="宋体"/>
          <w:b/>
          <w:color w:val="auto"/>
          <w:szCs w:val="21"/>
          <w:highlight w:val="none"/>
          <w:shd w:val="clear" w:color="auto" w:fill="auto"/>
        </w:rPr>
      </w:pPr>
      <w:r>
        <w:rPr>
          <w:rFonts w:hint="eastAsia"/>
          <w:color w:val="auto"/>
          <w:highlight w:val="none"/>
          <w:shd w:val="clear" w:color="auto" w:fill="auto"/>
        </w:rPr>
        <w:tab/>
      </w:r>
      <w:r>
        <w:rPr>
          <w:rFonts w:hint="eastAsia"/>
          <w:color w:val="auto"/>
          <w:highlight w:val="none"/>
          <w:shd w:val="clear" w:color="auto" w:fill="auto"/>
        </w:rPr>
        <w:tab/>
      </w:r>
      <w:r>
        <w:rPr>
          <w:rFonts w:hint="eastAsia"/>
          <w:color w:val="auto"/>
          <w:highlight w:val="none"/>
          <w:shd w:val="clear" w:color="auto" w:fill="auto"/>
        </w:rPr>
        <w:tab/>
      </w:r>
      <w:r>
        <w:rPr>
          <w:rFonts w:hint="eastAsia" w:hAnsi="宋体"/>
          <w:b/>
          <w:color w:val="auto"/>
          <w:szCs w:val="21"/>
          <w:highlight w:val="none"/>
          <w:shd w:val="clear" w:color="auto" w:fill="auto"/>
        </w:rPr>
        <w:t>管理规范和技术（规范）标准</w:t>
      </w:r>
    </w:p>
    <w:p w14:paraId="3F703BA5">
      <w:pPr>
        <w:pStyle w:val="22"/>
        <w:spacing w:line="540" w:lineRule="exact"/>
        <w:ind w:firstLine="420" w:firstLineChars="200"/>
        <w:rPr>
          <w:rFonts w:hAnsi="宋体"/>
          <w:color w:val="auto"/>
          <w:szCs w:val="21"/>
          <w:highlight w:val="none"/>
          <w:shd w:val="clear" w:color="auto" w:fill="auto"/>
        </w:rPr>
      </w:pPr>
      <w:r>
        <w:rPr>
          <w:rFonts w:hAnsi="宋体"/>
          <w:color w:val="auto"/>
          <w:szCs w:val="21"/>
          <w:highlight w:val="none"/>
          <w:shd w:val="clear" w:color="auto" w:fill="auto"/>
        </w:rPr>
        <w:t>本项目须达到下列现行中华人民共和国以及省、自治区、直辖市或行业的</w:t>
      </w:r>
      <w:r>
        <w:rPr>
          <w:rFonts w:hint="eastAsia" w:hAnsi="宋体"/>
          <w:color w:val="auto"/>
          <w:szCs w:val="21"/>
          <w:highlight w:val="none"/>
          <w:shd w:val="clear" w:color="auto" w:fill="auto"/>
        </w:rPr>
        <w:t>有关法律法规、</w:t>
      </w:r>
      <w:r>
        <w:rPr>
          <w:rFonts w:hAnsi="宋体"/>
          <w:color w:val="auto"/>
          <w:szCs w:val="21"/>
          <w:highlight w:val="none"/>
          <w:shd w:val="clear" w:color="auto" w:fill="auto"/>
        </w:rPr>
        <w:t>标准、规范的要求，</w:t>
      </w:r>
      <w:r>
        <w:rPr>
          <w:rFonts w:hint="eastAsia" w:hAnsi="宋体"/>
          <w:color w:val="auto"/>
          <w:szCs w:val="21"/>
          <w:highlight w:val="none"/>
          <w:shd w:val="clear" w:color="auto" w:fill="auto"/>
        </w:rPr>
        <w:t>满足中国南方电网公司有限责任公司的管理制度和规定、</w:t>
      </w:r>
      <w:r>
        <w:rPr>
          <w:color w:val="auto"/>
          <w:szCs w:val="21"/>
          <w:highlight w:val="none"/>
          <w:shd w:val="clear" w:color="auto" w:fill="auto"/>
        </w:rPr>
        <w:t>技术标准</w:t>
      </w:r>
      <w:r>
        <w:rPr>
          <w:rFonts w:hint="eastAsia" w:hAnsi="宋体"/>
          <w:color w:val="auto"/>
          <w:szCs w:val="21"/>
          <w:highlight w:val="none"/>
          <w:shd w:val="clear" w:color="auto" w:fill="auto"/>
        </w:rPr>
        <w:t>，</w:t>
      </w:r>
      <w:r>
        <w:rPr>
          <w:rFonts w:hAnsi="宋体"/>
          <w:color w:val="auto"/>
          <w:szCs w:val="21"/>
          <w:highlight w:val="none"/>
          <w:shd w:val="clear" w:color="auto" w:fill="auto"/>
        </w:rPr>
        <w:t>至少应包括：</w:t>
      </w:r>
    </w:p>
    <w:tbl>
      <w:tblPr>
        <w:tblStyle w:val="42"/>
        <w:tblW w:w="9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7019"/>
        <w:gridCol w:w="1907"/>
      </w:tblGrid>
      <w:tr w14:paraId="70B05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760" w:type="dxa"/>
            <w:noWrap w:val="0"/>
            <w:vAlign w:val="center"/>
          </w:tcPr>
          <w:p w14:paraId="4C923BC0">
            <w:pPr>
              <w:widowControl/>
              <w:spacing w:line="540" w:lineRule="exact"/>
              <w:jc w:val="center"/>
              <w:rPr>
                <w:rFonts w:ascii="宋体" w:hAnsi="宋体" w:cs="宋体"/>
                <w:b/>
                <w:bCs/>
                <w:color w:val="auto"/>
                <w:kern w:val="0"/>
                <w:szCs w:val="21"/>
                <w:highlight w:val="none"/>
                <w:shd w:val="clear" w:color="auto" w:fill="auto"/>
              </w:rPr>
            </w:pPr>
            <w:r>
              <w:rPr>
                <w:rFonts w:hint="eastAsia" w:ascii="宋体" w:hAnsi="宋体" w:cs="宋体"/>
                <w:b/>
                <w:bCs/>
                <w:color w:val="auto"/>
                <w:kern w:val="0"/>
                <w:szCs w:val="21"/>
                <w:highlight w:val="none"/>
                <w:shd w:val="clear" w:color="auto" w:fill="auto"/>
              </w:rPr>
              <w:t>序号</w:t>
            </w:r>
          </w:p>
        </w:tc>
        <w:tc>
          <w:tcPr>
            <w:tcW w:w="7019" w:type="dxa"/>
            <w:noWrap w:val="0"/>
            <w:vAlign w:val="center"/>
          </w:tcPr>
          <w:p w14:paraId="46D928D9">
            <w:pPr>
              <w:widowControl/>
              <w:spacing w:line="540" w:lineRule="exact"/>
              <w:jc w:val="center"/>
              <w:rPr>
                <w:rFonts w:ascii="宋体" w:hAnsi="宋体" w:cs="宋体"/>
                <w:b/>
                <w:bCs/>
                <w:color w:val="auto"/>
                <w:kern w:val="0"/>
                <w:szCs w:val="21"/>
                <w:highlight w:val="none"/>
                <w:shd w:val="clear" w:color="auto" w:fill="auto"/>
              </w:rPr>
            </w:pPr>
            <w:r>
              <w:rPr>
                <w:rFonts w:hint="eastAsia" w:ascii="宋体" w:hAnsi="宋体" w:cs="宋体"/>
                <w:b/>
                <w:bCs/>
                <w:color w:val="auto"/>
                <w:kern w:val="0"/>
                <w:szCs w:val="21"/>
                <w:highlight w:val="none"/>
                <w:shd w:val="clear" w:color="auto" w:fill="auto"/>
              </w:rPr>
              <w:t>名称</w:t>
            </w:r>
          </w:p>
        </w:tc>
        <w:tc>
          <w:tcPr>
            <w:tcW w:w="1907" w:type="dxa"/>
            <w:noWrap w:val="0"/>
            <w:vAlign w:val="center"/>
          </w:tcPr>
          <w:p w14:paraId="5F8A4EF3">
            <w:pPr>
              <w:widowControl/>
              <w:spacing w:line="540" w:lineRule="exact"/>
              <w:jc w:val="center"/>
              <w:rPr>
                <w:rFonts w:ascii="宋体" w:hAnsi="宋体" w:cs="宋体"/>
                <w:b/>
                <w:bCs/>
                <w:color w:val="auto"/>
                <w:kern w:val="0"/>
                <w:szCs w:val="21"/>
                <w:highlight w:val="none"/>
                <w:shd w:val="clear" w:color="auto" w:fill="auto"/>
              </w:rPr>
            </w:pPr>
            <w:r>
              <w:rPr>
                <w:rFonts w:hint="eastAsia" w:ascii="宋体" w:hAnsi="宋体" w:cs="宋体"/>
                <w:b/>
                <w:bCs/>
                <w:color w:val="auto"/>
                <w:kern w:val="0"/>
                <w:szCs w:val="21"/>
                <w:highlight w:val="none"/>
                <w:shd w:val="clear" w:color="auto" w:fill="auto"/>
              </w:rPr>
              <w:t>备注</w:t>
            </w:r>
          </w:p>
        </w:tc>
      </w:tr>
      <w:tr w14:paraId="27A38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686" w:type="dxa"/>
            <w:gridSpan w:val="3"/>
            <w:noWrap w:val="0"/>
            <w:vAlign w:val="center"/>
          </w:tcPr>
          <w:p w14:paraId="76069E61">
            <w:pPr>
              <w:widowControl/>
              <w:spacing w:line="540" w:lineRule="exact"/>
              <w:jc w:val="center"/>
              <w:rPr>
                <w:rFonts w:ascii="宋体" w:hAnsi="宋体" w:cs="宋体"/>
                <w:b/>
                <w:bCs/>
                <w:color w:val="auto"/>
                <w:kern w:val="0"/>
                <w:szCs w:val="21"/>
                <w:highlight w:val="none"/>
                <w:shd w:val="clear" w:color="auto" w:fill="auto"/>
              </w:rPr>
            </w:pPr>
            <w:r>
              <w:rPr>
                <w:rFonts w:hint="eastAsia" w:ascii="宋体" w:hAnsi="宋体" w:cs="宋体"/>
                <w:b/>
                <w:bCs/>
                <w:color w:val="auto"/>
                <w:kern w:val="0"/>
                <w:szCs w:val="21"/>
                <w:highlight w:val="none"/>
                <w:shd w:val="clear" w:color="auto" w:fill="auto"/>
              </w:rPr>
              <w:t>国家法律、行政法规、规章</w:t>
            </w:r>
          </w:p>
        </w:tc>
      </w:tr>
      <w:tr w14:paraId="42B44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22CB2F0">
            <w:pPr>
              <w:widowControl/>
              <w:spacing w:line="540" w:lineRule="exact"/>
              <w:jc w:val="center"/>
              <w:textAlignment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w:t>
            </w:r>
          </w:p>
        </w:tc>
        <w:tc>
          <w:tcPr>
            <w:tcW w:w="7019" w:type="dxa"/>
            <w:noWrap w:val="0"/>
            <w:vAlign w:val="center"/>
          </w:tcPr>
          <w:p w14:paraId="460EF0BA">
            <w:pPr>
              <w:widowControl/>
              <w:spacing w:line="540" w:lineRule="exact"/>
              <w:jc w:val="left"/>
              <w:textAlignment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《中华人民共和国建筑法》 (主席令</w:t>
            </w:r>
            <w:r>
              <w:rPr>
                <w:rFonts w:hint="eastAsia" w:ascii="宋体" w:hAnsi="宋体" w:cs="宋体"/>
                <w:color w:val="auto"/>
                <w:kern w:val="0"/>
                <w:szCs w:val="21"/>
                <w:highlight w:val="none"/>
                <w:shd w:val="clear" w:color="auto" w:fill="auto"/>
                <w:lang w:val="en-US" w:eastAsia="zh-CN"/>
              </w:rPr>
              <w:t>第29</w:t>
            </w:r>
            <w:r>
              <w:rPr>
                <w:rFonts w:hint="eastAsia" w:ascii="宋体" w:hAnsi="宋体" w:cs="宋体"/>
                <w:color w:val="auto"/>
                <w:kern w:val="0"/>
                <w:szCs w:val="21"/>
                <w:highlight w:val="none"/>
                <w:shd w:val="clear" w:color="auto" w:fill="auto"/>
              </w:rPr>
              <w:t>号，第十三届全国人民代表大会常务委员会第十次会议修改，2019年4月23日施行)</w:t>
            </w:r>
          </w:p>
        </w:tc>
        <w:tc>
          <w:tcPr>
            <w:tcW w:w="1907" w:type="dxa"/>
            <w:noWrap w:val="0"/>
            <w:vAlign w:val="center"/>
          </w:tcPr>
          <w:p w14:paraId="33FB94DB">
            <w:pPr>
              <w:widowControl/>
              <w:spacing w:line="540" w:lineRule="exact"/>
              <w:jc w:val="center"/>
              <w:textAlignment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3678E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A06A08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w:t>
            </w:r>
          </w:p>
        </w:tc>
        <w:tc>
          <w:tcPr>
            <w:tcW w:w="7019" w:type="dxa"/>
            <w:noWrap w:val="0"/>
            <w:vAlign w:val="center"/>
          </w:tcPr>
          <w:p w14:paraId="06ED7BFF">
            <w:pPr>
              <w:widowControl/>
              <w:spacing w:line="540" w:lineRule="exact"/>
              <w:jc w:val="left"/>
              <w:textAlignment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《中华人民共和国</w:t>
            </w:r>
            <w:r>
              <w:rPr>
                <w:rFonts w:hint="eastAsia" w:ascii="宋体" w:hAnsi="宋体" w:cs="宋体"/>
                <w:color w:val="auto"/>
                <w:kern w:val="0"/>
                <w:szCs w:val="21"/>
                <w:highlight w:val="none"/>
                <w:shd w:val="clear" w:color="auto" w:fill="auto"/>
                <w:lang w:val="en-US" w:eastAsia="zh-CN"/>
              </w:rPr>
              <w:t>民法典</w:t>
            </w:r>
            <w:r>
              <w:rPr>
                <w:rFonts w:hint="eastAsia" w:ascii="宋体" w:hAnsi="宋体" w:cs="宋体"/>
                <w:color w:val="auto"/>
                <w:kern w:val="0"/>
                <w:szCs w:val="21"/>
                <w:highlight w:val="none"/>
                <w:shd w:val="clear" w:color="auto" w:fill="auto"/>
              </w:rPr>
              <w:t>》（主席令</w:t>
            </w:r>
            <w:r>
              <w:rPr>
                <w:rFonts w:hint="eastAsia" w:ascii="宋体" w:hAnsi="宋体" w:cs="宋体"/>
                <w:color w:val="auto"/>
                <w:kern w:val="0"/>
                <w:szCs w:val="21"/>
                <w:highlight w:val="none"/>
                <w:shd w:val="clear" w:color="auto" w:fill="auto"/>
                <w:lang w:val="en-US" w:eastAsia="zh-CN"/>
              </w:rPr>
              <w:t>第</w:t>
            </w:r>
            <w:r>
              <w:rPr>
                <w:rFonts w:hint="default" w:ascii="宋体" w:hAnsi="宋体" w:cs="宋体"/>
                <w:color w:val="auto"/>
                <w:kern w:val="0"/>
                <w:szCs w:val="21"/>
                <w:highlight w:val="none"/>
                <w:shd w:val="clear" w:color="auto" w:fill="auto"/>
                <w:lang w:val="en-US"/>
              </w:rPr>
              <w:t>45</w:t>
            </w:r>
            <w:r>
              <w:rPr>
                <w:rFonts w:hint="eastAsia" w:ascii="宋体" w:hAnsi="宋体" w:cs="宋体"/>
                <w:color w:val="auto"/>
                <w:kern w:val="0"/>
                <w:szCs w:val="21"/>
                <w:highlight w:val="none"/>
                <w:shd w:val="clear" w:color="auto" w:fill="auto"/>
              </w:rPr>
              <w:t>号，</w:t>
            </w:r>
            <w:r>
              <w:rPr>
                <w:rFonts w:hint="default" w:ascii="宋体" w:hAnsi="宋体" w:cs="宋体"/>
                <w:color w:val="auto"/>
                <w:kern w:val="0"/>
                <w:szCs w:val="21"/>
                <w:highlight w:val="none"/>
                <w:shd w:val="clear" w:color="auto" w:fill="auto"/>
                <w:lang w:val="en-US"/>
              </w:rPr>
              <w:t>2021</w:t>
            </w:r>
            <w:r>
              <w:rPr>
                <w:rFonts w:hint="eastAsia" w:ascii="宋体" w:hAnsi="宋体" w:cs="宋体"/>
                <w:color w:val="auto"/>
                <w:kern w:val="0"/>
                <w:szCs w:val="21"/>
                <w:highlight w:val="none"/>
                <w:shd w:val="clear" w:color="auto" w:fill="auto"/>
              </w:rPr>
              <w:t>年</w:t>
            </w:r>
            <w:r>
              <w:rPr>
                <w:rFonts w:hint="default" w:ascii="宋体" w:hAnsi="宋体" w:cs="宋体"/>
                <w:color w:val="auto"/>
                <w:kern w:val="0"/>
                <w:szCs w:val="21"/>
                <w:highlight w:val="none"/>
                <w:shd w:val="clear" w:color="auto" w:fill="auto"/>
                <w:lang w:val="en-US"/>
              </w:rPr>
              <w:t>1</w:t>
            </w:r>
            <w:r>
              <w:rPr>
                <w:rFonts w:hint="eastAsia" w:ascii="宋体" w:hAnsi="宋体" w:cs="宋体"/>
                <w:color w:val="auto"/>
                <w:kern w:val="0"/>
                <w:szCs w:val="21"/>
                <w:highlight w:val="none"/>
                <w:shd w:val="clear" w:color="auto" w:fill="auto"/>
              </w:rPr>
              <w:t>月1日施行）</w:t>
            </w:r>
          </w:p>
        </w:tc>
        <w:tc>
          <w:tcPr>
            <w:tcW w:w="1907" w:type="dxa"/>
            <w:noWrap w:val="0"/>
            <w:vAlign w:val="center"/>
          </w:tcPr>
          <w:p w14:paraId="509A719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4E903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3D11FE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w:t>
            </w:r>
          </w:p>
        </w:tc>
        <w:tc>
          <w:tcPr>
            <w:tcW w:w="7019" w:type="dxa"/>
            <w:noWrap w:val="0"/>
            <w:vAlign w:val="center"/>
          </w:tcPr>
          <w:p w14:paraId="02E02CC8">
            <w:pPr>
              <w:widowControl/>
              <w:spacing w:line="540" w:lineRule="exact"/>
              <w:jc w:val="left"/>
              <w:textAlignment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《中华人民共和国安全生产法》(主席令</w:t>
            </w:r>
            <w:r>
              <w:rPr>
                <w:rFonts w:hint="eastAsia" w:ascii="宋体" w:hAnsi="宋体" w:cs="宋体"/>
                <w:color w:val="auto"/>
                <w:kern w:val="0"/>
                <w:szCs w:val="21"/>
                <w:highlight w:val="none"/>
                <w:shd w:val="clear" w:color="auto" w:fill="auto"/>
                <w:lang w:val="en-US" w:eastAsia="zh-CN"/>
              </w:rPr>
              <w:t>第88</w:t>
            </w:r>
            <w:r>
              <w:rPr>
                <w:rFonts w:hint="eastAsia" w:ascii="宋体" w:hAnsi="宋体" w:cs="宋体"/>
                <w:color w:val="auto"/>
                <w:kern w:val="0"/>
                <w:szCs w:val="21"/>
                <w:highlight w:val="none"/>
                <w:shd w:val="clear" w:color="auto" w:fill="auto"/>
              </w:rPr>
              <w:t>号，2021年9月1日施行)</w:t>
            </w:r>
          </w:p>
        </w:tc>
        <w:tc>
          <w:tcPr>
            <w:tcW w:w="1907" w:type="dxa"/>
            <w:noWrap w:val="0"/>
            <w:vAlign w:val="center"/>
          </w:tcPr>
          <w:p w14:paraId="4A1C7DF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5B372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D009C1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4</w:t>
            </w:r>
          </w:p>
        </w:tc>
        <w:tc>
          <w:tcPr>
            <w:tcW w:w="7019" w:type="dxa"/>
            <w:noWrap w:val="0"/>
            <w:vAlign w:val="center"/>
          </w:tcPr>
          <w:p w14:paraId="53AF660D">
            <w:pPr>
              <w:widowControl/>
              <w:spacing w:line="540" w:lineRule="exact"/>
              <w:jc w:val="left"/>
              <w:textAlignment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《中华人民共和国招标投标法》(主席令第86号，2017年12月28日起施行)</w:t>
            </w:r>
          </w:p>
        </w:tc>
        <w:tc>
          <w:tcPr>
            <w:tcW w:w="1907" w:type="dxa"/>
            <w:noWrap w:val="0"/>
            <w:vAlign w:val="center"/>
          </w:tcPr>
          <w:p w14:paraId="0D6E211C">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570BB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C90CBF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5</w:t>
            </w:r>
          </w:p>
        </w:tc>
        <w:tc>
          <w:tcPr>
            <w:tcW w:w="7019" w:type="dxa"/>
            <w:noWrap w:val="0"/>
            <w:vAlign w:val="center"/>
          </w:tcPr>
          <w:p w14:paraId="579B44F7">
            <w:pPr>
              <w:widowControl/>
              <w:spacing w:line="540" w:lineRule="exact"/>
              <w:jc w:val="left"/>
              <w:textAlignment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《中华人民共和国环境保护法》（主席令</w:t>
            </w:r>
            <w:r>
              <w:rPr>
                <w:rFonts w:hint="eastAsia" w:ascii="宋体" w:hAnsi="宋体" w:cs="宋体"/>
                <w:color w:val="auto"/>
                <w:kern w:val="0"/>
                <w:szCs w:val="21"/>
                <w:highlight w:val="none"/>
                <w:shd w:val="clear" w:color="auto" w:fill="auto"/>
                <w:lang w:val="en-US" w:eastAsia="zh-CN"/>
              </w:rPr>
              <w:t>第</w:t>
            </w:r>
            <w:r>
              <w:rPr>
                <w:rFonts w:hint="eastAsia" w:ascii="宋体" w:hAnsi="宋体" w:cs="宋体"/>
                <w:color w:val="auto"/>
                <w:kern w:val="0"/>
                <w:szCs w:val="21"/>
                <w:highlight w:val="none"/>
                <w:shd w:val="clear" w:color="auto" w:fill="auto"/>
              </w:rPr>
              <w:t>9号，2015年1月1日实施）</w:t>
            </w:r>
          </w:p>
        </w:tc>
        <w:tc>
          <w:tcPr>
            <w:tcW w:w="1907" w:type="dxa"/>
            <w:noWrap w:val="0"/>
            <w:vAlign w:val="center"/>
          </w:tcPr>
          <w:p w14:paraId="18C7D27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502F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288CC6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6</w:t>
            </w:r>
          </w:p>
        </w:tc>
        <w:tc>
          <w:tcPr>
            <w:tcW w:w="7019" w:type="dxa"/>
            <w:noWrap w:val="0"/>
            <w:vAlign w:val="center"/>
          </w:tcPr>
          <w:p w14:paraId="02CD9BD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《中华人民共和国电力法》（主席令第</w:t>
            </w:r>
            <w:r>
              <w:rPr>
                <w:rFonts w:hint="eastAsia" w:ascii="宋体" w:hAnsi="宋体" w:cs="宋体"/>
                <w:color w:val="auto"/>
                <w:kern w:val="0"/>
                <w:szCs w:val="21"/>
                <w:highlight w:val="none"/>
                <w:shd w:val="clear" w:color="auto" w:fill="auto"/>
                <w:lang w:val="en-US" w:eastAsia="zh-CN"/>
              </w:rPr>
              <w:t>23</w:t>
            </w:r>
            <w:r>
              <w:rPr>
                <w:rFonts w:hint="eastAsia" w:ascii="宋体" w:hAnsi="宋体" w:cs="宋体"/>
                <w:color w:val="auto"/>
                <w:kern w:val="0"/>
                <w:szCs w:val="21"/>
                <w:highlight w:val="none"/>
                <w:shd w:val="clear" w:color="auto" w:fill="auto"/>
              </w:rPr>
              <w:t>号,,第十三届全国人民代表大会常务委员会第七次会议第三次修订，2018年12月29日施行）</w:t>
            </w:r>
          </w:p>
        </w:tc>
        <w:tc>
          <w:tcPr>
            <w:tcW w:w="1907" w:type="dxa"/>
            <w:noWrap w:val="0"/>
            <w:vAlign w:val="center"/>
          </w:tcPr>
          <w:p w14:paraId="3F294A9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7ACE0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8CC42E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7</w:t>
            </w:r>
          </w:p>
        </w:tc>
        <w:tc>
          <w:tcPr>
            <w:tcW w:w="7019" w:type="dxa"/>
            <w:noWrap w:val="0"/>
            <w:vAlign w:val="center"/>
          </w:tcPr>
          <w:p w14:paraId="4334702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《中华人民共和国劳动法》（主席令第2</w:t>
            </w:r>
            <w:r>
              <w:rPr>
                <w:rFonts w:hint="eastAsia" w:ascii="宋体" w:hAnsi="宋体" w:cs="宋体"/>
                <w:color w:val="auto"/>
                <w:kern w:val="0"/>
                <w:szCs w:val="21"/>
                <w:highlight w:val="none"/>
                <w:shd w:val="clear" w:color="auto" w:fill="auto"/>
                <w:lang w:val="en-US" w:eastAsia="zh-CN"/>
              </w:rPr>
              <w:t>4</w:t>
            </w:r>
            <w:r>
              <w:rPr>
                <w:rFonts w:hint="eastAsia" w:ascii="宋体" w:hAnsi="宋体" w:cs="宋体"/>
                <w:color w:val="auto"/>
                <w:kern w:val="0"/>
                <w:szCs w:val="21"/>
                <w:highlight w:val="none"/>
                <w:shd w:val="clear" w:color="auto" w:fill="auto"/>
              </w:rPr>
              <w:t xml:space="preserve">号，第十三届全国人民代表大会常务委员会第七次会议修订，2018年12月29日施行) </w:t>
            </w:r>
          </w:p>
        </w:tc>
        <w:tc>
          <w:tcPr>
            <w:tcW w:w="1907" w:type="dxa"/>
            <w:noWrap w:val="0"/>
            <w:vAlign w:val="center"/>
          </w:tcPr>
          <w:p w14:paraId="7AE765C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00CA4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210746C">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8</w:t>
            </w:r>
          </w:p>
        </w:tc>
        <w:tc>
          <w:tcPr>
            <w:tcW w:w="7019" w:type="dxa"/>
            <w:noWrap w:val="0"/>
            <w:vAlign w:val="center"/>
          </w:tcPr>
          <w:p w14:paraId="751ECBD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 xml:space="preserve">《中华人民共和国劳动合同法》（主席令第73号，第十一届全国人民代表大会常务委员会第三十次会议修订2013年7月1日起施行) </w:t>
            </w:r>
          </w:p>
        </w:tc>
        <w:tc>
          <w:tcPr>
            <w:tcW w:w="1907" w:type="dxa"/>
            <w:noWrap w:val="0"/>
            <w:vAlign w:val="center"/>
          </w:tcPr>
          <w:p w14:paraId="759782D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1FF61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2DC855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9</w:t>
            </w:r>
          </w:p>
        </w:tc>
        <w:tc>
          <w:tcPr>
            <w:tcW w:w="7019" w:type="dxa"/>
            <w:noWrap w:val="0"/>
            <w:vAlign w:val="center"/>
          </w:tcPr>
          <w:p w14:paraId="7E6456B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《中华人民共和国水土保持法》（主席令</w:t>
            </w:r>
            <w:r>
              <w:rPr>
                <w:rFonts w:hint="eastAsia" w:ascii="宋体" w:hAnsi="宋体" w:cs="宋体"/>
                <w:color w:val="auto"/>
                <w:kern w:val="0"/>
                <w:szCs w:val="21"/>
                <w:highlight w:val="none"/>
                <w:shd w:val="clear" w:color="auto" w:fill="auto"/>
                <w:lang w:val="en-US" w:eastAsia="zh-CN"/>
              </w:rPr>
              <w:t>第</w:t>
            </w:r>
            <w:r>
              <w:rPr>
                <w:rFonts w:hint="eastAsia" w:ascii="宋体" w:hAnsi="宋体" w:cs="宋体"/>
                <w:color w:val="auto"/>
                <w:kern w:val="0"/>
                <w:szCs w:val="21"/>
                <w:highlight w:val="none"/>
                <w:shd w:val="clear" w:color="auto" w:fill="auto"/>
              </w:rPr>
              <w:t>39号，2011年3月1日施行）</w:t>
            </w:r>
          </w:p>
        </w:tc>
        <w:tc>
          <w:tcPr>
            <w:tcW w:w="1907" w:type="dxa"/>
            <w:noWrap w:val="0"/>
            <w:vAlign w:val="center"/>
          </w:tcPr>
          <w:p w14:paraId="4ED83D1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0BFCB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BBE5D1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10</w:t>
            </w:r>
          </w:p>
        </w:tc>
        <w:tc>
          <w:tcPr>
            <w:tcW w:w="7019" w:type="dxa"/>
            <w:noWrap w:val="0"/>
            <w:vAlign w:val="center"/>
          </w:tcPr>
          <w:p w14:paraId="192A095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《建设工程质量管理条例》（国务院令第279号，2000年1月30日发布，2019年修订，国务院令第714号，2019年4月23日施行）</w:t>
            </w:r>
          </w:p>
        </w:tc>
        <w:tc>
          <w:tcPr>
            <w:tcW w:w="1907" w:type="dxa"/>
            <w:noWrap w:val="0"/>
            <w:vAlign w:val="center"/>
          </w:tcPr>
          <w:p w14:paraId="752158A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1DEC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1D4E84D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11</w:t>
            </w:r>
          </w:p>
        </w:tc>
        <w:tc>
          <w:tcPr>
            <w:tcW w:w="7019" w:type="dxa"/>
            <w:noWrap w:val="0"/>
            <w:vAlign w:val="center"/>
          </w:tcPr>
          <w:p w14:paraId="0F1C1F1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《建设工程安全生产管理条例》（国务院令第393号，2004年2月1日起施行）</w:t>
            </w:r>
          </w:p>
        </w:tc>
        <w:tc>
          <w:tcPr>
            <w:tcW w:w="1907" w:type="dxa"/>
            <w:noWrap w:val="0"/>
            <w:vAlign w:val="center"/>
          </w:tcPr>
          <w:p w14:paraId="2035DC3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01AB3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672EDA2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12</w:t>
            </w:r>
          </w:p>
        </w:tc>
        <w:tc>
          <w:tcPr>
            <w:tcW w:w="7019" w:type="dxa"/>
            <w:noWrap w:val="0"/>
            <w:vAlign w:val="center"/>
          </w:tcPr>
          <w:p w14:paraId="58E730C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《建设项目环境保护管理条例》（国务院令第253号，1998年11月29日发布，2017年修订，国务院令第682号,2017年10月1日施行）</w:t>
            </w:r>
          </w:p>
        </w:tc>
        <w:tc>
          <w:tcPr>
            <w:tcW w:w="1907" w:type="dxa"/>
            <w:noWrap w:val="0"/>
            <w:vAlign w:val="center"/>
          </w:tcPr>
          <w:p w14:paraId="462CFC9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40B02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08A83CE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13</w:t>
            </w:r>
          </w:p>
        </w:tc>
        <w:tc>
          <w:tcPr>
            <w:tcW w:w="7019" w:type="dxa"/>
            <w:noWrap w:val="0"/>
            <w:vAlign w:val="center"/>
          </w:tcPr>
          <w:p w14:paraId="1BB90F9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《建设工程勘察设计管理条例》(国务院令第293号，2000年9月20日发布，2017年修订，国务院令第687号，2017年10月7日施行）</w:t>
            </w:r>
          </w:p>
        </w:tc>
        <w:tc>
          <w:tcPr>
            <w:tcW w:w="1907" w:type="dxa"/>
            <w:noWrap w:val="0"/>
            <w:vAlign w:val="center"/>
          </w:tcPr>
          <w:p w14:paraId="0659F2A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3E40F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68ECFD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14</w:t>
            </w:r>
          </w:p>
        </w:tc>
        <w:tc>
          <w:tcPr>
            <w:tcW w:w="7019" w:type="dxa"/>
            <w:noWrap w:val="0"/>
            <w:vAlign w:val="center"/>
          </w:tcPr>
          <w:p w14:paraId="3B7B745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《生产安全事故报告和调查处理条例》(国务院令第493号，2007年6月1日施行)</w:t>
            </w:r>
          </w:p>
        </w:tc>
        <w:tc>
          <w:tcPr>
            <w:tcW w:w="1907" w:type="dxa"/>
            <w:noWrap w:val="0"/>
            <w:vAlign w:val="center"/>
          </w:tcPr>
          <w:p w14:paraId="746D554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4405E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53C1CAA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15</w:t>
            </w:r>
          </w:p>
        </w:tc>
        <w:tc>
          <w:tcPr>
            <w:tcW w:w="7019" w:type="dxa"/>
            <w:noWrap w:val="0"/>
            <w:vAlign w:val="center"/>
          </w:tcPr>
          <w:p w14:paraId="09BB8CA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《电力安全事故应急处置和调查处理条例》(国务院令第599号，2011年9月1日施行)</w:t>
            </w:r>
          </w:p>
        </w:tc>
        <w:tc>
          <w:tcPr>
            <w:tcW w:w="1907" w:type="dxa"/>
            <w:noWrap w:val="0"/>
            <w:vAlign w:val="center"/>
          </w:tcPr>
          <w:p w14:paraId="25C8297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56416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0BC9A24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16</w:t>
            </w:r>
          </w:p>
        </w:tc>
        <w:tc>
          <w:tcPr>
            <w:tcW w:w="7019" w:type="dxa"/>
            <w:noWrap w:val="0"/>
            <w:vAlign w:val="center"/>
          </w:tcPr>
          <w:p w14:paraId="18D67C0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《中华人民共和国招标投标法实施条例》(国务院令第613号，2012年2月1日发布，2019年修订，国务院令第709号，2019年3月2日施行）</w:t>
            </w:r>
          </w:p>
        </w:tc>
        <w:tc>
          <w:tcPr>
            <w:tcW w:w="1907" w:type="dxa"/>
            <w:noWrap w:val="0"/>
            <w:vAlign w:val="center"/>
          </w:tcPr>
          <w:p w14:paraId="59CCD8D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16F0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68FE5EB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17</w:t>
            </w:r>
          </w:p>
        </w:tc>
        <w:tc>
          <w:tcPr>
            <w:tcW w:w="7019" w:type="dxa"/>
            <w:noWrap w:val="0"/>
            <w:vAlign w:val="center"/>
          </w:tcPr>
          <w:p w14:paraId="17B6373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《中共中央纪委关于严格禁止利用职务上的便利谋取不正当利益的若干规定》(2007年6月8日发布)</w:t>
            </w:r>
          </w:p>
        </w:tc>
        <w:tc>
          <w:tcPr>
            <w:tcW w:w="1907" w:type="dxa"/>
            <w:noWrap w:val="0"/>
            <w:vAlign w:val="center"/>
          </w:tcPr>
          <w:p w14:paraId="77F9E7D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77B87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491F2AB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18</w:t>
            </w:r>
          </w:p>
        </w:tc>
        <w:tc>
          <w:tcPr>
            <w:tcW w:w="7019" w:type="dxa"/>
            <w:noWrap w:val="0"/>
            <w:vAlign w:val="center"/>
          </w:tcPr>
          <w:p w14:paraId="2791958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《国务院关于特大安全事故行政责任追究的规定》（国务院令第302号，2001年4月21日起施行)）</w:t>
            </w:r>
          </w:p>
        </w:tc>
        <w:tc>
          <w:tcPr>
            <w:tcW w:w="1907" w:type="dxa"/>
            <w:noWrap w:val="0"/>
            <w:vAlign w:val="center"/>
          </w:tcPr>
          <w:p w14:paraId="5E60A56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1E0F6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3A70582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19</w:t>
            </w:r>
          </w:p>
        </w:tc>
        <w:tc>
          <w:tcPr>
            <w:tcW w:w="7019" w:type="dxa"/>
            <w:noWrap w:val="0"/>
            <w:vAlign w:val="center"/>
          </w:tcPr>
          <w:p w14:paraId="2400EB2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lang w:eastAsia="zh-CN"/>
              </w:rPr>
              <w:t>《</w:t>
            </w:r>
            <w:r>
              <w:rPr>
                <w:rFonts w:hint="eastAsia" w:ascii="宋体" w:hAnsi="宋体" w:cs="宋体"/>
                <w:color w:val="auto"/>
                <w:kern w:val="0"/>
                <w:szCs w:val="21"/>
                <w:highlight w:val="none"/>
                <w:shd w:val="clear" w:color="auto" w:fill="auto"/>
              </w:rPr>
              <w:t>中华人民共和国固体废物污染环境防治法</w:t>
            </w:r>
            <w:r>
              <w:rPr>
                <w:rFonts w:hint="eastAsia" w:ascii="宋体" w:hAnsi="宋体" w:cs="宋体"/>
                <w:color w:val="auto"/>
                <w:kern w:val="0"/>
                <w:szCs w:val="21"/>
                <w:highlight w:val="none"/>
                <w:shd w:val="clear" w:color="auto" w:fill="auto"/>
                <w:lang w:eastAsia="zh-CN"/>
              </w:rPr>
              <w:t>》</w:t>
            </w:r>
            <w:r>
              <w:rPr>
                <w:rFonts w:hint="eastAsia" w:ascii="宋体" w:hAnsi="宋体" w:cs="宋体"/>
                <w:color w:val="auto"/>
                <w:kern w:val="0"/>
                <w:szCs w:val="21"/>
                <w:highlight w:val="none"/>
                <w:shd w:val="clear" w:color="auto" w:fill="auto"/>
              </w:rPr>
              <w:t>（主席令第23号，第十三届全国人民代表大会常务委员会第十七次会议修订，2020年9月1日施行）</w:t>
            </w:r>
          </w:p>
        </w:tc>
        <w:tc>
          <w:tcPr>
            <w:tcW w:w="1907" w:type="dxa"/>
            <w:noWrap w:val="0"/>
            <w:vAlign w:val="center"/>
          </w:tcPr>
          <w:p w14:paraId="6513646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6B373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B274C5C">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20</w:t>
            </w:r>
          </w:p>
        </w:tc>
        <w:tc>
          <w:tcPr>
            <w:tcW w:w="7019" w:type="dxa"/>
            <w:noWrap w:val="0"/>
            <w:vAlign w:val="center"/>
          </w:tcPr>
          <w:p w14:paraId="590259E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lang w:eastAsia="zh-CN"/>
              </w:rPr>
              <w:t>《</w:t>
            </w:r>
            <w:r>
              <w:rPr>
                <w:rFonts w:hint="eastAsia" w:ascii="宋体" w:hAnsi="宋体" w:cs="宋体"/>
                <w:color w:val="auto"/>
                <w:kern w:val="0"/>
                <w:szCs w:val="21"/>
                <w:highlight w:val="none"/>
                <w:shd w:val="clear" w:color="auto" w:fill="auto"/>
              </w:rPr>
              <w:t>中华人民共和国大气污染防治法</w:t>
            </w:r>
            <w:r>
              <w:rPr>
                <w:rFonts w:hint="eastAsia" w:ascii="宋体" w:hAnsi="宋体" w:cs="宋体"/>
                <w:color w:val="auto"/>
                <w:kern w:val="0"/>
                <w:szCs w:val="21"/>
                <w:highlight w:val="none"/>
                <w:shd w:val="clear" w:color="auto" w:fill="auto"/>
                <w:lang w:eastAsia="zh-CN"/>
              </w:rPr>
              <w:t>》</w:t>
            </w:r>
            <w:r>
              <w:rPr>
                <w:rFonts w:hint="eastAsia" w:ascii="宋体" w:hAnsi="宋体" w:cs="宋体"/>
                <w:color w:val="auto"/>
                <w:kern w:val="0"/>
                <w:szCs w:val="21"/>
                <w:highlight w:val="none"/>
                <w:shd w:val="clear" w:color="auto" w:fill="auto"/>
              </w:rPr>
              <w:t>（主席令第31号，第十三届全国人民代表大会常务委员会第六次会议修订，2018年10月26日施行）</w:t>
            </w:r>
          </w:p>
        </w:tc>
        <w:tc>
          <w:tcPr>
            <w:tcW w:w="1907" w:type="dxa"/>
            <w:noWrap w:val="0"/>
            <w:vAlign w:val="center"/>
          </w:tcPr>
          <w:p w14:paraId="3A57277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0F259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45A93F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21</w:t>
            </w:r>
          </w:p>
        </w:tc>
        <w:tc>
          <w:tcPr>
            <w:tcW w:w="7019" w:type="dxa"/>
            <w:noWrap w:val="0"/>
            <w:vAlign w:val="center"/>
          </w:tcPr>
          <w:p w14:paraId="072BC87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lang w:eastAsia="zh-CN"/>
              </w:rPr>
              <w:t>《</w:t>
            </w:r>
            <w:r>
              <w:rPr>
                <w:rFonts w:hint="eastAsia" w:ascii="宋体" w:hAnsi="宋体" w:cs="宋体"/>
                <w:color w:val="auto"/>
                <w:kern w:val="0"/>
                <w:szCs w:val="21"/>
                <w:highlight w:val="none"/>
                <w:shd w:val="clear" w:color="auto" w:fill="auto"/>
              </w:rPr>
              <w:t>中华人民共和国计量法</w:t>
            </w:r>
            <w:r>
              <w:rPr>
                <w:rFonts w:hint="eastAsia" w:ascii="宋体" w:hAnsi="宋体" w:cs="宋体"/>
                <w:color w:val="auto"/>
                <w:kern w:val="0"/>
                <w:szCs w:val="21"/>
                <w:highlight w:val="none"/>
                <w:shd w:val="clear" w:color="auto" w:fill="auto"/>
                <w:lang w:eastAsia="zh-CN"/>
              </w:rPr>
              <w:t>》（主席令第26号，第十三届全国人民代表大会常务委员会第六次会议修订，2018年10月26日起施行</w:t>
            </w:r>
            <w:r>
              <w:rPr>
                <w:rFonts w:hint="eastAsia" w:ascii="宋体" w:hAnsi="宋体" w:cs="宋体"/>
                <w:color w:val="auto"/>
                <w:kern w:val="0"/>
                <w:szCs w:val="21"/>
                <w:highlight w:val="none"/>
                <w:shd w:val="clear" w:color="auto" w:fill="auto"/>
              </w:rPr>
              <w:t>）</w:t>
            </w:r>
          </w:p>
        </w:tc>
        <w:tc>
          <w:tcPr>
            <w:tcW w:w="1907" w:type="dxa"/>
            <w:noWrap w:val="0"/>
            <w:vAlign w:val="center"/>
          </w:tcPr>
          <w:p w14:paraId="2AE03BF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国家法律法规</w:t>
            </w:r>
          </w:p>
        </w:tc>
      </w:tr>
      <w:tr w14:paraId="14E1D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1A447A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22</w:t>
            </w:r>
          </w:p>
        </w:tc>
        <w:tc>
          <w:tcPr>
            <w:tcW w:w="7019" w:type="dxa"/>
            <w:noWrap w:val="0"/>
            <w:vAlign w:val="center"/>
          </w:tcPr>
          <w:p w14:paraId="10626D1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《评标委员会和评标方法暂行规定》（七部委12号令）</w:t>
            </w:r>
          </w:p>
        </w:tc>
        <w:tc>
          <w:tcPr>
            <w:tcW w:w="1907" w:type="dxa"/>
            <w:noWrap w:val="0"/>
            <w:vAlign w:val="center"/>
          </w:tcPr>
          <w:p w14:paraId="65E4549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7ABD6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D63519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23</w:t>
            </w:r>
          </w:p>
        </w:tc>
        <w:tc>
          <w:tcPr>
            <w:tcW w:w="7019" w:type="dxa"/>
            <w:noWrap w:val="0"/>
            <w:vAlign w:val="center"/>
          </w:tcPr>
          <w:p w14:paraId="1C82148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《工程建设项目货物招标投标办法》（七部委27号令）</w:t>
            </w:r>
          </w:p>
        </w:tc>
        <w:tc>
          <w:tcPr>
            <w:tcW w:w="1907" w:type="dxa"/>
            <w:noWrap w:val="0"/>
            <w:vAlign w:val="center"/>
          </w:tcPr>
          <w:p w14:paraId="288BF7A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02CA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9D2035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24</w:t>
            </w:r>
          </w:p>
        </w:tc>
        <w:tc>
          <w:tcPr>
            <w:tcW w:w="7019" w:type="dxa"/>
            <w:noWrap w:val="0"/>
            <w:vAlign w:val="center"/>
          </w:tcPr>
          <w:p w14:paraId="4D79EF0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《工程建设项目施工招标投标办法》（七部委30号令，九部委23号令修订，2013年5月1日施行）</w:t>
            </w:r>
          </w:p>
        </w:tc>
        <w:tc>
          <w:tcPr>
            <w:tcW w:w="1907" w:type="dxa"/>
            <w:noWrap w:val="0"/>
            <w:vAlign w:val="center"/>
          </w:tcPr>
          <w:p w14:paraId="794F39B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24F45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B36686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25</w:t>
            </w:r>
          </w:p>
        </w:tc>
        <w:tc>
          <w:tcPr>
            <w:tcW w:w="7019" w:type="dxa"/>
            <w:noWrap w:val="0"/>
            <w:vAlign w:val="center"/>
          </w:tcPr>
          <w:p w14:paraId="0CFB95A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《工程建设项目勘察设计招标投标办法》（八部委2号令，九部委23号令修订，2013年5月1日施行）</w:t>
            </w:r>
          </w:p>
        </w:tc>
        <w:tc>
          <w:tcPr>
            <w:tcW w:w="1907" w:type="dxa"/>
            <w:noWrap w:val="0"/>
            <w:vAlign w:val="center"/>
          </w:tcPr>
          <w:p w14:paraId="1700576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0809C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FC25AC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26</w:t>
            </w:r>
          </w:p>
        </w:tc>
        <w:tc>
          <w:tcPr>
            <w:tcW w:w="7019" w:type="dxa"/>
            <w:noWrap w:val="0"/>
            <w:vAlign w:val="center"/>
          </w:tcPr>
          <w:p w14:paraId="723E7B5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《关于废止和修改部分招标投标规章和规范性文件的决定》（九部委第23号令）</w:t>
            </w:r>
          </w:p>
        </w:tc>
        <w:tc>
          <w:tcPr>
            <w:tcW w:w="1907" w:type="dxa"/>
            <w:noWrap w:val="0"/>
            <w:vAlign w:val="center"/>
          </w:tcPr>
          <w:p w14:paraId="2D0E1F7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6F5E1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09CA10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27</w:t>
            </w:r>
          </w:p>
        </w:tc>
        <w:tc>
          <w:tcPr>
            <w:tcW w:w="7019" w:type="dxa"/>
            <w:noWrap w:val="0"/>
            <w:vAlign w:val="center"/>
          </w:tcPr>
          <w:p w14:paraId="1133514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《电子招标投标办法》（八部委20号令）</w:t>
            </w:r>
          </w:p>
        </w:tc>
        <w:tc>
          <w:tcPr>
            <w:tcW w:w="1907" w:type="dxa"/>
            <w:noWrap w:val="0"/>
            <w:vAlign w:val="center"/>
          </w:tcPr>
          <w:p w14:paraId="5EF6E25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03B0C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E16D51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28</w:t>
            </w:r>
          </w:p>
        </w:tc>
        <w:tc>
          <w:tcPr>
            <w:tcW w:w="7019" w:type="dxa"/>
            <w:noWrap w:val="0"/>
            <w:vAlign w:val="center"/>
          </w:tcPr>
          <w:p w14:paraId="7044309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《电力建设工程施工安全监督管理办法》（国家发展和改革委员会令第28号）</w:t>
            </w:r>
          </w:p>
        </w:tc>
        <w:tc>
          <w:tcPr>
            <w:tcW w:w="1907" w:type="dxa"/>
            <w:noWrap w:val="0"/>
            <w:vAlign w:val="center"/>
          </w:tcPr>
          <w:p w14:paraId="485D19A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5FB94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66AF9F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29</w:t>
            </w:r>
          </w:p>
        </w:tc>
        <w:tc>
          <w:tcPr>
            <w:tcW w:w="7019" w:type="dxa"/>
            <w:noWrap w:val="0"/>
            <w:vAlign w:val="center"/>
          </w:tcPr>
          <w:p w14:paraId="0CDEBBD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《建筑业企业资质管理规定》（住建部令第22号,2015年3月1日起发布，2018年修订，住建部令第45号，2018年12月22日施行）</w:t>
            </w:r>
          </w:p>
        </w:tc>
        <w:tc>
          <w:tcPr>
            <w:tcW w:w="1907" w:type="dxa"/>
            <w:noWrap w:val="0"/>
            <w:vAlign w:val="center"/>
          </w:tcPr>
          <w:p w14:paraId="220F32A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54DC4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12EB6E2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30</w:t>
            </w:r>
          </w:p>
        </w:tc>
        <w:tc>
          <w:tcPr>
            <w:tcW w:w="7019" w:type="dxa"/>
            <w:noWrap w:val="0"/>
            <w:vAlign w:val="center"/>
          </w:tcPr>
          <w:p w14:paraId="77CFFAC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《房屋建筑工程和市政基础设施工程实行见证取样和送检的规定》(建建[2000]211号)</w:t>
            </w:r>
          </w:p>
        </w:tc>
        <w:tc>
          <w:tcPr>
            <w:tcW w:w="1907" w:type="dxa"/>
            <w:noWrap w:val="0"/>
            <w:vAlign w:val="center"/>
          </w:tcPr>
          <w:p w14:paraId="1EE86BE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59EE6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716BB9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31</w:t>
            </w:r>
          </w:p>
        </w:tc>
        <w:tc>
          <w:tcPr>
            <w:tcW w:w="7019" w:type="dxa"/>
            <w:noWrap w:val="0"/>
            <w:vAlign w:val="center"/>
          </w:tcPr>
          <w:p w14:paraId="5393000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《施工总承包企业特级资质标准》（建市[2007]72号）</w:t>
            </w:r>
          </w:p>
        </w:tc>
        <w:tc>
          <w:tcPr>
            <w:tcW w:w="1907" w:type="dxa"/>
            <w:noWrap w:val="0"/>
            <w:vAlign w:val="center"/>
          </w:tcPr>
          <w:p w14:paraId="3B371F7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0C263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4ED59D3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32</w:t>
            </w:r>
          </w:p>
        </w:tc>
        <w:tc>
          <w:tcPr>
            <w:tcW w:w="7019" w:type="dxa"/>
            <w:noWrap w:val="0"/>
            <w:vAlign w:val="center"/>
          </w:tcPr>
          <w:p w14:paraId="22E586B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《关于进一步加强和完善建筑劳务管理工作的指导意见》（建市[2014]112号）</w:t>
            </w:r>
          </w:p>
        </w:tc>
        <w:tc>
          <w:tcPr>
            <w:tcW w:w="1907" w:type="dxa"/>
            <w:noWrap w:val="0"/>
            <w:vAlign w:val="center"/>
          </w:tcPr>
          <w:p w14:paraId="2C7331E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778DF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1337A41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33</w:t>
            </w:r>
          </w:p>
        </w:tc>
        <w:tc>
          <w:tcPr>
            <w:tcW w:w="7019" w:type="dxa"/>
            <w:noWrap w:val="0"/>
            <w:vAlign w:val="center"/>
          </w:tcPr>
          <w:p w14:paraId="7359718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《建筑工程施工发包与承包违法行为认定查处管理办法》（建市规〔2019〕1号）</w:t>
            </w:r>
          </w:p>
        </w:tc>
        <w:tc>
          <w:tcPr>
            <w:tcW w:w="1907" w:type="dxa"/>
            <w:noWrap w:val="0"/>
            <w:vAlign w:val="center"/>
          </w:tcPr>
          <w:p w14:paraId="227074A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1A949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9F5A0A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34</w:t>
            </w:r>
          </w:p>
        </w:tc>
        <w:tc>
          <w:tcPr>
            <w:tcW w:w="7019" w:type="dxa"/>
            <w:noWrap w:val="0"/>
            <w:vAlign w:val="center"/>
          </w:tcPr>
          <w:p w14:paraId="5B21856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《建筑业企业资质标准》（建市(2014)159号，建市(2016)226号修改，2016年11月1日施行）</w:t>
            </w:r>
          </w:p>
        </w:tc>
        <w:tc>
          <w:tcPr>
            <w:tcW w:w="1907" w:type="dxa"/>
            <w:noWrap w:val="0"/>
            <w:vAlign w:val="center"/>
          </w:tcPr>
          <w:p w14:paraId="2127300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3FB01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6C090E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35</w:t>
            </w:r>
          </w:p>
        </w:tc>
        <w:tc>
          <w:tcPr>
            <w:tcW w:w="7019" w:type="dxa"/>
            <w:noWrap w:val="0"/>
            <w:vAlign w:val="center"/>
          </w:tcPr>
          <w:p w14:paraId="286D48C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《建设单位项目负责人质量安全责任八项规定（试行）》及《建筑工程项目总监理工程师质量安全责任六项规定（试行）》(建市[2015]35号)</w:t>
            </w:r>
          </w:p>
        </w:tc>
        <w:tc>
          <w:tcPr>
            <w:tcW w:w="1907" w:type="dxa"/>
            <w:noWrap w:val="0"/>
            <w:vAlign w:val="center"/>
          </w:tcPr>
          <w:p w14:paraId="3142088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18928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9C4231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36</w:t>
            </w:r>
          </w:p>
        </w:tc>
        <w:tc>
          <w:tcPr>
            <w:tcW w:w="7019" w:type="dxa"/>
            <w:noWrap w:val="0"/>
            <w:vAlign w:val="center"/>
          </w:tcPr>
          <w:p w14:paraId="64115CD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《建设部关于加强建筑意外伤害保险工作的指导意见》（建质[2003]107号）</w:t>
            </w:r>
          </w:p>
        </w:tc>
        <w:tc>
          <w:tcPr>
            <w:tcW w:w="1907" w:type="dxa"/>
            <w:noWrap w:val="0"/>
            <w:vAlign w:val="center"/>
          </w:tcPr>
          <w:p w14:paraId="5C0ACBB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74AF2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36DB919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37</w:t>
            </w:r>
          </w:p>
        </w:tc>
        <w:tc>
          <w:tcPr>
            <w:tcW w:w="7019" w:type="dxa"/>
            <w:noWrap w:val="0"/>
            <w:vAlign w:val="center"/>
          </w:tcPr>
          <w:p w14:paraId="05EFFD3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《建设工程质量责任主体和有关机构不良记录管理办法》（试行）（建质[2003]113号）</w:t>
            </w:r>
          </w:p>
        </w:tc>
        <w:tc>
          <w:tcPr>
            <w:tcW w:w="1907" w:type="dxa"/>
            <w:noWrap w:val="0"/>
            <w:vAlign w:val="center"/>
          </w:tcPr>
          <w:p w14:paraId="0512E9F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1440C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D577FC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38</w:t>
            </w:r>
          </w:p>
        </w:tc>
        <w:tc>
          <w:tcPr>
            <w:tcW w:w="7019" w:type="dxa"/>
            <w:noWrap w:val="0"/>
            <w:vAlign w:val="center"/>
          </w:tcPr>
          <w:p w14:paraId="76133B5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《建筑施工人员个人劳动保护用品使用管理暂行规定》（建质[2007]255号）</w:t>
            </w:r>
          </w:p>
        </w:tc>
        <w:tc>
          <w:tcPr>
            <w:tcW w:w="1907" w:type="dxa"/>
            <w:noWrap w:val="0"/>
            <w:vAlign w:val="center"/>
          </w:tcPr>
          <w:p w14:paraId="6AA19ABC">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1F6CC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1AC7750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39</w:t>
            </w:r>
          </w:p>
        </w:tc>
        <w:tc>
          <w:tcPr>
            <w:tcW w:w="7019" w:type="dxa"/>
            <w:noWrap w:val="0"/>
            <w:vAlign w:val="center"/>
          </w:tcPr>
          <w:p w14:paraId="7ACC75B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《建筑施工特种作业人员管理规定》(建质[2008]75号)</w:t>
            </w:r>
          </w:p>
        </w:tc>
        <w:tc>
          <w:tcPr>
            <w:tcW w:w="1907" w:type="dxa"/>
            <w:noWrap w:val="0"/>
            <w:vAlign w:val="center"/>
          </w:tcPr>
          <w:p w14:paraId="7121A32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4446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4A6623EC">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40</w:t>
            </w:r>
          </w:p>
        </w:tc>
        <w:tc>
          <w:tcPr>
            <w:tcW w:w="7019" w:type="dxa"/>
            <w:noWrap w:val="0"/>
            <w:vAlign w:val="center"/>
          </w:tcPr>
          <w:p w14:paraId="361F216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《建筑施工企业安全生产管理机构设置及专职安全生产管理人员配备办法》（建质[2008]91号）</w:t>
            </w:r>
          </w:p>
        </w:tc>
        <w:tc>
          <w:tcPr>
            <w:tcW w:w="1907" w:type="dxa"/>
            <w:noWrap w:val="0"/>
            <w:vAlign w:val="center"/>
          </w:tcPr>
          <w:p w14:paraId="7BFDA42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43BA0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FDB2A4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41</w:t>
            </w:r>
          </w:p>
        </w:tc>
        <w:tc>
          <w:tcPr>
            <w:tcW w:w="7019" w:type="dxa"/>
            <w:noWrap w:val="0"/>
            <w:vAlign w:val="center"/>
          </w:tcPr>
          <w:p w14:paraId="21C58F9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《建筑施工企业负责人及项目负责人施工现场带班暂行办法》(建质[2011]111号)</w:t>
            </w:r>
          </w:p>
        </w:tc>
        <w:tc>
          <w:tcPr>
            <w:tcW w:w="1907" w:type="dxa"/>
            <w:noWrap w:val="0"/>
            <w:vAlign w:val="center"/>
          </w:tcPr>
          <w:p w14:paraId="11820F6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0215A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729F2F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42</w:t>
            </w:r>
          </w:p>
        </w:tc>
        <w:tc>
          <w:tcPr>
            <w:tcW w:w="7019" w:type="dxa"/>
            <w:noWrap w:val="0"/>
            <w:vAlign w:val="center"/>
          </w:tcPr>
          <w:p w14:paraId="065616E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《房屋建筑和市政基础设施工程竣工验收规定》（建质[2013]171号）</w:t>
            </w:r>
          </w:p>
        </w:tc>
        <w:tc>
          <w:tcPr>
            <w:tcW w:w="1907" w:type="dxa"/>
            <w:noWrap w:val="0"/>
            <w:vAlign w:val="center"/>
          </w:tcPr>
          <w:p w14:paraId="5F8F71A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202B6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093E5B5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43</w:t>
            </w:r>
          </w:p>
        </w:tc>
        <w:tc>
          <w:tcPr>
            <w:tcW w:w="7019" w:type="dxa"/>
            <w:noWrap w:val="0"/>
            <w:vAlign w:val="center"/>
          </w:tcPr>
          <w:p w14:paraId="775DE86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《建筑施工安全生产标准化考评暂行办法》（建质[2014]111号）</w:t>
            </w:r>
          </w:p>
        </w:tc>
        <w:tc>
          <w:tcPr>
            <w:tcW w:w="1907" w:type="dxa"/>
            <w:noWrap w:val="0"/>
            <w:vAlign w:val="center"/>
          </w:tcPr>
          <w:p w14:paraId="6B2443C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7427D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509391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44</w:t>
            </w:r>
          </w:p>
        </w:tc>
        <w:tc>
          <w:tcPr>
            <w:tcW w:w="7019" w:type="dxa"/>
            <w:noWrap w:val="0"/>
            <w:vAlign w:val="center"/>
          </w:tcPr>
          <w:p w14:paraId="513B596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《建筑施工项目经理质量安全责任十项规定（试行）》（建质[2014]123号）</w:t>
            </w:r>
          </w:p>
        </w:tc>
        <w:tc>
          <w:tcPr>
            <w:tcW w:w="1907" w:type="dxa"/>
            <w:noWrap w:val="0"/>
            <w:vAlign w:val="center"/>
          </w:tcPr>
          <w:p w14:paraId="1402B9B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632ED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6289B4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45</w:t>
            </w:r>
          </w:p>
        </w:tc>
        <w:tc>
          <w:tcPr>
            <w:tcW w:w="7019" w:type="dxa"/>
            <w:noWrap w:val="0"/>
            <w:vAlign w:val="center"/>
          </w:tcPr>
          <w:p w14:paraId="345419C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《建筑工程五方责任主体项目负责人质量终身责任追究暂行办法》（建质[2014]124号）</w:t>
            </w:r>
          </w:p>
        </w:tc>
        <w:tc>
          <w:tcPr>
            <w:tcW w:w="1907" w:type="dxa"/>
            <w:noWrap w:val="0"/>
            <w:vAlign w:val="center"/>
          </w:tcPr>
          <w:p w14:paraId="6676298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584AE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86D7C3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46</w:t>
            </w:r>
          </w:p>
        </w:tc>
        <w:tc>
          <w:tcPr>
            <w:tcW w:w="7019" w:type="dxa"/>
            <w:noWrap w:val="0"/>
            <w:vAlign w:val="center"/>
          </w:tcPr>
          <w:p w14:paraId="430FDCE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《房屋建筑和市政基础设施工程施工安全监督规定》（建质[2014]153号）</w:t>
            </w:r>
          </w:p>
        </w:tc>
        <w:tc>
          <w:tcPr>
            <w:tcW w:w="1907" w:type="dxa"/>
            <w:noWrap w:val="0"/>
            <w:vAlign w:val="center"/>
          </w:tcPr>
          <w:p w14:paraId="388396D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7A358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17B1882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47</w:t>
            </w:r>
          </w:p>
        </w:tc>
        <w:tc>
          <w:tcPr>
            <w:tcW w:w="7019" w:type="dxa"/>
            <w:noWrap w:val="0"/>
            <w:vAlign w:val="center"/>
          </w:tcPr>
          <w:p w14:paraId="1C82573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《房屋建筑和市政基础设施工程施工安全监督工作规程》（建质[2014]154号）</w:t>
            </w:r>
          </w:p>
        </w:tc>
        <w:tc>
          <w:tcPr>
            <w:tcW w:w="1907" w:type="dxa"/>
            <w:noWrap w:val="0"/>
            <w:vAlign w:val="center"/>
          </w:tcPr>
          <w:p w14:paraId="5FC8CD1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6891C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07629B5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48</w:t>
            </w:r>
          </w:p>
        </w:tc>
        <w:tc>
          <w:tcPr>
            <w:tcW w:w="7019" w:type="dxa"/>
            <w:noWrap w:val="0"/>
            <w:vAlign w:val="center"/>
          </w:tcPr>
          <w:p w14:paraId="5363FA6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《关于严格落实建筑工程质量终身责任承诺制的通知》（建办质[2014]44号）</w:t>
            </w:r>
          </w:p>
        </w:tc>
        <w:tc>
          <w:tcPr>
            <w:tcW w:w="1907" w:type="dxa"/>
            <w:noWrap w:val="0"/>
            <w:vAlign w:val="center"/>
          </w:tcPr>
          <w:p w14:paraId="4ADCF45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66249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18697C8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49</w:t>
            </w:r>
          </w:p>
        </w:tc>
        <w:tc>
          <w:tcPr>
            <w:tcW w:w="7019" w:type="dxa"/>
            <w:noWrap w:val="0"/>
            <w:vAlign w:val="center"/>
          </w:tcPr>
          <w:p w14:paraId="7767BA1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《房屋建筑工程质量保修办法》(建设部令,第80号)</w:t>
            </w:r>
          </w:p>
        </w:tc>
        <w:tc>
          <w:tcPr>
            <w:tcW w:w="1907" w:type="dxa"/>
            <w:noWrap w:val="0"/>
            <w:vAlign w:val="center"/>
          </w:tcPr>
          <w:p w14:paraId="21E8737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539B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BC7F08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50</w:t>
            </w:r>
          </w:p>
        </w:tc>
        <w:tc>
          <w:tcPr>
            <w:tcW w:w="7019" w:type="dxa"/>
            <w:noWrap w:val="0"/>
            <w:vAlign w:val="center"/>
          </w:tcPr>
          <w:p w14:paraId="321F13B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《国家优质工程奖评选办法》（中施企协字〔20</w:t>
            </w:r>
            <w:r>
              <w:rPr>
                <w:rFonts w:hint="eastAsia" w:ascii="宋体" w:hAnsi="宋体" w:cs="宋体"/>
                <w:color w:val="auto"/>
                <w:kern w:val="0"/>
                <w:szCs w:val="21"/>
                <w:highlight w:val="none"/>
                <w:shd w:val="clear" w:color="auto" w:fill="auto"/>
                <w:lang w:val="en-US" w:eastAsia="zh-CN"/>
              </w:rPr>
              <w:t>20</w:t>
            </w:r>
            <w:r>
              <w:rPr>
                <w:rFonts w:hint="eastAsia" w:ascii="宋体" w:hAnsi="宋体" w:cs="宋体"/>
                <w:color w:val="auto"/>
                <w:kern w:val="0"/>
                <w:szCs w:val="21"/>
                <w:highlight w:val="none"/>
                <w:shd w:val="clear" w:color="auto" w:fill="auto"/>
              </w:rPr>
              <w:t>〕</w:t>
            </w:r>
            <w:r>
              <w:rPr>
                <w:rFonts w:hint="eastAsia" w:ascii="宋体" w:hAnsi="宋体" w:cs="宋体"/>
                <w:color w:val="auto"/>
                <w:kern w:val="0"/>
                <w:szCs w:val="21"/>
                <w:highlight w:val="none"/>
                <w:shd w:val="clear" w:color="auto" w:fill="auto"/>
                <w:lang w:val="en-US" w:eastAsia="zh-CN"/>
              </w:rPr>
              <w:t>54</w:t>
            </w:r>
            <w:r>
              <w:rPr>
                <w:rFonts w:hint="eastAsia" w:ascii="宋体" w:hAnsi="宋体" w:cs="宋体"/>
                <w:color w:val="auto"/>
                <w:kern w:val="0"/>
                <w:szCs w:val="21"/>
                <w:highlight w:val="none"/>
                <w:shd w:val="clear" w:color="auto" w:fill="auto"/>
              </w:rPr>
              <w:t>号）</w:t>
            </w:r>
          </w:p>
        </w:tc>
        <w:tc>
          <w:tcPr>
            <w:tcW w:w="1907" w:type="dxa"/>
            <w:noWrap w:val="0"/>
            <w:vAlign w:val="center"/>
          </w:tcPr>
          <w:p w14:paraId="4A9F6A4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68A41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54AEC17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51</w:t>
            </w:r>
          </w:p>
        </w:tc>
        <w:tc>
          <w:tcPr>
            <w:tcW w:w="7019" w:type="dxa"/>
            <w:noWrap w:val="0"/>
            <w:vAlign w:val="center"/>
          </w:tcPr>
          <w:p w14:paraId="504D78C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《实施工程建设强制性标准监督规定》(房和城乡建设部令第52号）</w:t>
            </w:r>
          </w:p>
        </w:tc>
        <w:tc>
          <w:tcPr>
            <w:tcW w:w="1907" w:type="dxa"/>
            <w:noWrap w:val="0"/>
            <w:vAlign w:val="center"/>
          </w:tcPr>
          <w:p w14:paraId="3B3FAD9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30F16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464D729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52</w:t>
            </w:r>
          </w:p>
        </w:tc>
        <w:tc>
          <w:tcPr>
            <w:tcW w:w="7019" w:type="dxa"/>
            <w:noWrap w:val="0"/>
            <w:vAlign w:val="center"/>
          </w:tcPr>
          <w:p w14:paraId="071747A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《建设工程勘察设计资质管理规定》（建设部令第160号，住建部令第45号修改，2018年12月22日施行）</w:t>
            </w:r>
          </w:p>
        </w:tc>
        <w:tc>
          <w:tcPr>
            <w:tcW w:w="1907" w:type="dxa"/>
            <w:noWrap w:val="0"/>
            <w:vAlign w:val="center"/>
          </w:tcPr>
          <w:p w14:paraId="4A0EEBD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08F7C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519C6E1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53</w:t>
            </w:r>
          </w:p>
        </w:tc>
        <w:tc>
          <w:tcPr>
            <w:tcW w:w="7019" w:type="dxa"/>
            <w:noWrap w:val="0"/>
            <w:vAlign w:val="center"/>
          </w:tcPr>
          <w:p w14:paraId="336EDA8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《工程监理企业资质管理规定》（建设部令第158号，住建部令第45号修改，2018年12月22日施行）</w:t>
            </w:r>
          </w:p>
        </w:tc>
        <w:tc>
          <w:tcPr>
            <w:tcW w:w="1907" w:type="dxa"/>
            <w:noWrap w:val="0"/>
            <w:vAlign w:val="center"/>
          </w:tcPr>
          <w:p w14:paraId="3E23FD9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240CE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1C741A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54</w:t>
            </w:r>
          </w:p>
        </w:tc>
        <w:tc>
          <w:tcPr>
            <w:tcW w:w="7019" w:type="dxa"/>
            <w:noWrap w:val="0"/>
            <w:vAlign w:val="center"/>
          </w:tcPr>
          <w:p w14:paraId="3B9C7BA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《国家能源局综合司关于开展电力建设工程落实施工方案专项行动的通知》国能综安全［2015］163 号</w:t>
            </w:r>
          </w:p>
        </w:tc>
        <w:tc>
          <w:tcPr>
            <w:tcW w:w="1907" w:type="dxa"/>
            <w:noWrap w:val="0"/>
            <w:vAlign w:val="center"/>
          </w:tcPr>
          <w:p w14:paraId="34AE85A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702C3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A377E1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55</w:t>
            </w:r>
          </w:p>
        </w:tc>
        <w:tc>
          <w:tcPr>
            <w:tcW w:w="7019" w:type="dxa"/>
            <w:noWrap w:val="0"/>
            <w:vAlign w:val="center"/>
          </w:tcPr>
          <w:p w14:paraId="6A7485A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《国家能源局关于加强电力工程质量监督工作的通知》（国能安全﹙2014）206号）</w:t>
            </w:r>
          </w:p>
        </w:tc>
        <w:tc>
          <w:tcPr>
            <w:tcW w:w="1907" w:type="dxa"/>
            <w:noWrap w:val="0"/>
            <w:vAlign w:val="center"/>
          </w:tcPr>
          <w:p w14:paraId="64E06C9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345F6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A628CB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56</w:t>
            </w:r>
          </w:p>
        </w:tc>
        <w:tc>
          <w:tcPr>
            <w:tcW w:w="7019" w:type="dxa"/>
            <w:noWrap w:val="0"/>
            <w:vAlign w:val="center"/>
          </w:tcPr>
          <w:p w14:paraId="1D221C6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《国家能源局关于修订印发火力发电、输变电、陆上风力发电、光伏发电建设工程质量监督检查大纲的通知(2023) 》（国能发安全规〔2023〕41号）</w:t>
            </w:r>
          </w:p>
        </w:tc>
        <w:tc>
          <w:tcPr>
            <w:tcW w:w="1907" w:type="dxa"/>
            <w:noWrap w:val="0"/>
            <w:vAlign w:val="center"/>
          </w:tcPr>
          <w:p w14:paraId="43634EE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51851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60B4D3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57</w:t>
            </w:r>
          </w:p>
        </w:tc>
        <w:tc>
          <w:tcPr>
            <w:tcW w:w="7019" w:type="dxa"/>
            <w:noWrap w:val="0"/>
            <w:vAlign w:val="center"/>
          </w:tcPr>
          <w:p w14:paraId="2509E9E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《国家能源局关于印发电力工程质量监督体系调整方案的通知》（国能电力（2012）306号）</w:t>
            </w:r>
          </w:p>
        </w:tc>
        <w:tc>
          <w:tcPr>
            <w:tcW w:w="1907" w:type="dxa"/>
            <w:noWrap w:val="0"/>
            <w:vAlign w:val="center"/>
          </w:tcPr>
          <w:p w14:paraId="6871BA6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694A5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696069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58</w:t>
            </w:r>
          </w:p>
        </w:tc>
        <w:tc>
          <w:tcPr>
            <w:tcW w:w="7019" w:type="dxa"/>
            <w:noWrap w:val="0"/>
            <w:vAlign w:val="center"/>
          </w:tcPr>
          <w:p w14:paraId="313ECB2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关于印发《电力工程质量监督实施管理程序（试行）》的通知(中电联质监〔2012〕437号)</w:t>
            </w:r>
          </w:p>
        </w:tc>
        <w:tc>
          <w:tcPr>
            <w:tcW w:w="1907" w:type="dxa"/>
            <w:noWrap w:val="0"/>
            <w:vAlign w:val="center"/>
          </w:tcPr>
          <w:p w14:paraId="2868E22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1754F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42F9A68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59</w:t>
            </w:r>
          </w:p>
        </w:tc>
        <w:tc>
          <w:tcPr>
            <w:tcW w:w="7019" w:type="dxa"/>
            <w:noWrap w:val="0"/>
            <w:vAlign w:val="center"/>
          </w:tcPr>
          <w:p w14:paraId="69B4407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《特种作业人员安全技术培训考核管理规定》(国家安全监督总局第80号令修订，2015年7月1日实施)</w:t>
            </w:r>
          </w:p>
        </w:tc>
        <w:tc>
          <w:tcPr>
            <w:tcW w:w="1907" w:type="dxa"/>
            <w:noWrap w:val="0"/>
            <w:vAlign w:val="center"/>
          </w:tcPr>
          <w:p w14:paraId="6928B44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417E4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3E5114D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60</w:t>
            </w:r>
          </w:p>
        </w:tc>
        <w:tc>
          <w:tcPr>
            <w:tcW w:w="7019" w:type="dxa"/>
            <w:noWrap w:val="0"/>
            <w:vAlign w:val="center"/>
          </w:tcPr>
          <w:p w14:paraId="475B563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《企业安全生产应急管理九条规定》(国家安全监督总局第74号令，2015年1月30日实施)</w:t>
            </w:r>
          </w:p>
        </w:tc>
        <w:tc>
          <w:tcPr>
            <w:tcW w:w="1907" w:type="dxa"/>
            <w:noWrap w:val="0"/>
            <w:vAlign w:val="center"/>
          </w:tcPr>
          <w:p w14:paraId="146F98A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5FD02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5DAACD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61</w:t>
            </w:r>
          </w:p>
        </w:tc>
        <w:tc>
          <w:tcPr>
            <w:tcW w:w="7019" w:type="dxa"/>
            <w:noWrap w:val="0"/>
            <w:vAlign w:val="center"/>
          </w:tcPr>
          <w:p w14:paraId="7C2AEDE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《防止电力生产事故的二十五项重点要求</w:t>
            </w:r>
            <w:r>
              <w:rPr>
                <w:rFonts w:hint="eastAsia" w:ascii="宋体" w:hAnsi="宋体" w:cs="宋体"/>
                <w:color w:val="auto"/>
                <w:kern w:val="0"/>
                <w:szCs w:val="21"/>
                <w:highlight w:val="none"/>
                <w:shd w:val="clear" w:color="auto" w:fill="auto"/>
                <w:lang w:eastAsia="zh-CN"/>
              </w:rPr>
              <w:t>（</w:t>
            </w:r>
            <w:r>
              <w:rPr>
                <w:rFonts w:hint="eastAsia" w:ascii="宋体" w:hAnsi="宋体" w:cs="宋体"/>
                <w:color w:val="auto"/>
                <w:kern w:val="0"/>
                <w:szCs w:val="21"/>
                <w:highlight w:val="none"/>
                <w:shd w:val="clear" w:color="auto" w:fill="auto"/>
                <w:lang w:val="en-US" w:eastAsia="zh-CN"/>
              </w:rPr>
              <w:t>2023年版</w:t>
            </w:r>
            <w:r>
              <w:rPr>
                <w:rFonts w:hint="eastAsia" w:ascii="宋体" w:hAnsi="宋体" w:cs="宋体"/>
                <w:color w:val="auto"/>
                <w:kern w:val="0"/>
                <w:szCs w:val="21"/>
                <w:highlight w:val="none"/>
                <w:shd w:val="clear" w:color="auto" w:fill="auto"/>
                <w:lang w:eastAsia="zh-CN"/>
              </w:rPr>
              <w:t>）</w:t>
            </w:r>
            <w:r>
              <w:rPr>
                <w:rFonts w:hint="eastAsia" w:ascii="宋体" w:hAnsi="宋体" w:cs="宋体"/>
                <w:color w:val="auto"/>
                <w:kern w:val="0"/>
                <w:szCs w:val="21"/>
                <w:highlight w:val="none"/>
                <w:shd w:val="clear" w:color="auto" w:fill="auto"/>
              </w:rPr>
              <w:t>》（国能安全[20</w:t>
            </w:r>
            <w:r>
              <w:rPr>
                <w:rFonts w:hint="eastAsia" w:ascii="宋体" w:hAnsi="宋体" w:cs="宋体"/>
                <w:color w:val="auto"/>
                <w:kern w:val="0"/>
                <w:szCs w:val="21"/>
                <w:highlight w:val="none"/>
                <w:shd w:val="clear" w:color="auto" w:fill="auto"/>
                <w:lang w:val="en-US" w:eastAsia="zh-CN"/>
              </w:rPr>
              <w:t>23</w:t>
            </w:r>
            <w:r>
              <w:rPr>
                <w:rFonts w:hint="eastAsia" w:ascii="宋体" w:hAnsi="宋体" w:cs="宋体"/>
                <w:color w:val="auto"/>
                <w:kern w:val="0"/>
                <w:szCs w:val="21"/>
                <w:highlight w:val="none"/>
                <w:shd w:val="clear" w:color="auto" w:fill="auto"/>
              </w:rPr>
              <w:t>]</w:t>
            </w:r>
            <w:r>
              <w:rPr>
                <w:rFonts w:hint="eastAsia" w:ascii="宋体" w:hAnsi="宋体" w:cs="宋体"/>
                <w:color w:val="auto"/>
                <w:kern w:val="0"/>
                <w:szCs w:val="21"/>
                <w:highlight w:val="none"/>
                <w:shd w:val="clear" w:color="auto" w:fill="auto"/>
                <w:lang w:val="en-US" w:eastAsia="zh-CN"/>
              </w:rPr>
              <w:t>22</w:t>
            </w:r>
            <w:r>
              <w:rPr>
                <w:rFonts w:hint="eastAsia" w:ascii="宋体" w:hAnsi="宋体" w:cs="宋体"/>
                <w:color w:val="auto"/>
                <w:kern w:val="0"/>
                <w:szCs w:val="21"/>
                <w:highlight w:val="none"/>
                <w:shd w:val="clear" w:color="auto" w:fill="auto"/>
              </w:rPr>
              <w:t>号）</w:t>
            </w:r>
          </w:p>
        </w:tc>
        <w:tc>
          <w:tcPr>
            <w:tcW w:w="1907" w:type="dxa"/>
            <w:noWrap w:val="0"/>
            <w:vAlign w:val="center"/>
          </w:tcPr>
          <w:p w14:paraId="7DA811D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1423A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2DEAFC1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62</w:t>
            </w:r>
          </w:p>
        </w:tc>
        <w:tc>
          <w:tcPr>
            <w:tcW w:w="7019" w:type="dxa"/>
            <w:noWrap w:val="0"/>
            <w:vAlign w:val="center"/>
          </w:tcPr>
          <w:p w14:paraId="503ED97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《国家电力监管委员会令》（第5号）--《电力二次系统安全防护规定》</w:t>
            </w:r>
          </w:p>
        </w:tc>
        <w:tc>
          <w:tcPr>
            <w:tcW w:w="1907" w:type="dxa"/>
            <w:noWrap w:val="0"/>
            <w:vAlign w:val="center"/>
          </w:tcPr>
          <w:p w14:paraId="6BBD244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0E9BE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08E806C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63</w:t>
            </w:r>
          </w:p>
        </w:tc>
        <w:tc>
          <w:tcPr>
            <w:tcW w:w="7019" w:type="dxa"/>
            <w:noWrap w:val="0"/>
            <w:vAlign w:val="center"/>
          </w:tcPr>
          <w:p w14:paraId="0237AAB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《承装（修、试）电力设施许可证管理办法》（国家发展和改革委员会令第36号）</w:t>
            </w:r>
          </w:p>
        </w:tc>
        <w:tc>
          <w:tcPr>
            <w:tcW w:w="1907" w:type="dxa"/>
            <w:noWrap w:val="0"/>
            <w:vAlign w:val="center"/>
          </w:tcPr>
          <w:p w14:paraId="30A9F12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1B66D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6990953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64</w:t>
            </w:r>
          </w:p>
        </w:tc>
        <w:tc>
          <w:tcPr>
            <w:tcW w:w="7019" w:type="dxa"/>
            <w:noWrap w:val="0"/>
            <w:vAlign w:val="center"/>
          </w:tcPr>
          <w:p w14:paraId="46BBB45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《危险性较大的分部分项工程安全管理规定》(中华人民共和国住房和城乡建设部令第37号，建设部令第47号修改，2019年3月13日施行)</w:t>
            </w:r>
          </w:p>
        </w:tc>
        <w:tc>
          <w:tcPr>
            <w:tcW w:w="1907" w:type="dxa"/>
            <w:noWrap w:val="0"/>
            <w:vAlign w:val="center"/>
          </w:tcPr>
          <w:p w14:paraId="6FBE1FC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060F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3E38EF7C">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65</w:t>
            </w:r>
          </w:p>
        </w:tc>
        <w:tc>
          <w:tcPr>
            <w:tcW w:w="7019" w:type="dxa"/>
            <w:noWrap w:val="0"/>
            <w:vAlign w:val="center"/>
          </w:tcPr>
          <w:p w14:paraId="1166E28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lang w:eastAsia="zh-CN"/>
              </w:rPr>
              <w:t>《</w:t>
            </w:r>
            <w:r>
              <w:rPr>
                <w:rFonts w:hint="eastAsia" w:ascii="宋体" w:hAnsi="宋体" w:cs="宋体"/>
                <w:color w:val="auto"/>
                <w:kern w:val="0"/>
                <w:szCs w:val="21"/>
                <w:highlight w:val="none"/>
                <w:shd w:val="clear" w:color="auto" w:fill="auto"/>
              </w:rPr>
              <w:t>必须招标的工程项目规定</w:t>
            </w:r>
            <w:r>
              <w:rPr>
                <w:rFonts w:hint="eastAsia" w:ascii="宋体" w:hAnsi="宋体" w:cs="宋体"/>
                <w:color w:val="auto"/>
                <w:kern w:val="0"/>
                <w:szCs w:val="21"/>
                <w:highlight w:val="none"/>
                <w:shd w:val="clear" w:color="auto" w:fill="auto"/>
                <w:lang w:eastAsia="zh-CN"/>
              </w:rPr>
              <w:t>》</w:t>
            </w:r>
            <w:r>
              <w:rPr>
                <w:rFonts w:hint="eastAsia" w:ascii="宋体" w:hAnsi="宋体" w:cs="宋体"/>
                <w:color w:val="auto"/>
                <w:kern w:val="0"/>
                <w:szCs w:val="21"/>
                <w:highlight w:val="none"/>
                <w:shd w:val="clear" w:color="auto" w:fill="auto"/>
              </w:rPr>
              <w:t>（国家发展和改革委员会令第16号）</w:t>
            </w:r>
          </w:p>
        </w:tc>
        <w:tc>
          <w:tcPr>
            <w:tcW w:w="1907" w:type="dxa"/>
            <w:noWrap w:val="0"/>
            <w:vAlign w:val="center"/>
          </w:tcPr>
          <w:p w14:paraId="336F0B2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2AB42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C7963E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66</w:t>
            </w:r>
          </w:p>
        </w:tc>
        <w:tc>
          <w:tcPr>
            <w:tcW w:w="7019" w:type="dxa"/>
            <w:noWrap w:val="0"/>
            <w:vAlign w:val="center"/>
          </w:tcPr>
          <w:p w14:paraId="5588FFF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lang w:eastAsia="zh-CN"/>
              </w:rPr>
              <w:t>《</w:t>
            </w:r>
            <w:r>
              <w:rPr>
                <w:rFonts w:hint="eastAsia" w:ascii="宋体" w:hAnsi="宋体" w:cs="宋体"/>
                <w:color w:val="auto"/>
                <w:kern w:val="0"/>
                <w:szCs w:val="21"/>
                <w:highlight w:val="none"/>
                <w:shd w:val="clear" w:color="auto" w:fill="auto"/>
              </w:rPr>
              <w:t>必须招标的基础设施和公用事业项目范围规定</w:t>
            </w:r>
            <w:r>
              <w:rPr>
                <w:rFonts w:hint="eastAsia" w:ascii="宋体" w:hAnsi="宋体" w:cs="宋体"/>
                <w:color w:val="auto"/>
                <w:kern w:val="0"/>
                <w:szCs w:val="21"/>
                <w:highlight w:val="none"/>
                <w:shd w:val="clear" w:color="auto" w:fill="auto"/>
                <w:lang w:eastAsia="zh-CN"/>
              </w:rPr>
              <w:t>》</w:t>
            </w:r>
            <w:r>
              <w:rPr>
                <w:rFonts w:hint="eastAsia" w:ascii="宋体" w:hAnsi="宋体" w:cs="宋体"/>
                <w:color w:val="auto"/>
                <w:kern w:val="0"/>
                <w:szCs w:val="21"/>
                <w:highlight w:val="none"/>
                <w:shd w:val="clear" w:color="auto" w:fill="auto"/>
              </w:rPr>
              <w:t>（发改法规规[2018]843号）</w:t>
            </w:r>
          </w:p>
        </w:tc>
        <w:tc>
          <w:tcPr>
            <w:tcW w:w="1907" w:type="dxa"/>
            <w:noWrap w:val="0"/>
            <w:vAlign w:val="center"/>
          </w:tcPr>
          <w:p w14:paraId="696B76F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08A22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3749220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67</w:t>
            </w:r>
          </w:p>
        </w:tc>
        <w:tc>
          <w:tcPr>
            <w:tcW w:w="7019" w:type="dxa"/>
            <w:noWrap w:val="0"/>
            <w:vAlign w:val="center"/>
          </w:tcPr>
          <w:p w14:paraId="04A97B3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lang w:eastAsia="zh-CN"/>
              </w:rPr>
              <w:t>《</w:t>
            </w:r>
            <w:r>
              <w:rPr>
                <w:rFonts w:hint="eastAsia" w:ascii="宋体" w:hAnsi="宋体" w:cs="宋体"/>
                <w:color w:val="auto"/>
                <w:kern w:val="0"/>
                <w:szCs w:val="21"/>
                <w:highlight w:val="none"/>
                <w:shd w:val="clear" w:color="auto" w:fill="auto"/>
              </w:rPr>
              <w:t>招标公告和公示信息发布管理办法</w:t>
            </w:r>
            <w:r>
              <w:rPr>
                <w:rFonts w:hint="eastAsia" w:ascii="宋体" w:hAnsi="宋体" w:cs="宋体"/>
                <w:color w:val="auto"/>
                <w:kern w:val="0"/>
                <w:szCs w:val="21"/>
                <w:highlight w:val="none"/>
                <w:shd w:val="clear" w:color="auto" w:fill="auto"/>
                <w:lang w:eastAsia="zh-CN"/>
              </w:rPr>
              <w:t>》</w:t>
            </w:r>
            <w:r>
              <w:rPr>
                <w:rFonts w:hint="eastAsia" w:ascii="宋体" w:hAnsi="宋体" w:cs="宋体"/>
                <w:color w:val="auto"/>
                <w:kern w:val="0"/>
                <w:szCs w:val="21"/>
                <w:highlight w:val="none"/>
                <w:shd w:val="clear" w:color="auto" w:fill="auto"/>
              </w:rPr>
              <w:t>（国家发展和改革委员会令第10号）</w:t>
            </w:r>
          </w:p>
        </w:tc>
        <w:tc>
          <w:tcPr>
            <w:tcW w:w="1907" w:type="dxa"/>
            <w:noWrap w:val="0"/>
            <w:vAlign w:val="center"/>
          </w:tcPr>
          <w:p w14:paraId="0CB0C17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部委法规</w:t>
            </w:r>
          </w:p>
        </w:tc>
      </w:tr>
      <w:tr w14:paraId="07073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60" w:type="dxa"/>
            <w:noWrap w:val="0"/>
            <w:vAlign w:val="center"/>
          </w:tcPr>
          <w:p w14:paraId="7AC41E45">
            <w:pPr>
              <w:spacing w:line="540" w:lineRule="exact"/>
              <w:jc w:val="center"/>
              <w:rPr>
                <w:rFonts w:ascii="宋体" w:hAnsi="宋体" w:cs="宋体"/>
                <w:color w:val="auto"/>
                <w:szCs w:val="21"/>
                <w:highlight w:val="none"/>
                <w:shd w:val="clear" w:color="auto" w:fill="auto"/>
              </w:rPr>
            </w:pPr>
          </w:p>
        </w:tc>
        <w:tc>
          <w:tcPr>
            <w:tcW w:w="7019" w:type="dxa"/>
            <w:noWrap w:val="0"/>
            <w:vAlign w:val="center"/>
          </w:tcPr>
          <w:p w14:paraId="227656F4">
            <w:pPr>
              <w:widowControl/>
              <w:spacing w:line="540" w:lineRule="exact"/>
              <w:jc w:val="center"/>
              <w:rPr>
                <w:rFonts w:ascii="宋体" w:hAnsi="宋体" w:cs="宋体"/>
                <w:b/>
                <w:color w:val="auto"/>
                <w:kern w:val="0"/>
                <w:szCs w:val="21"/>
                <w:highlight w:val="none"/>
                <w:shd w:val="clear" w:color="auto" w:fill="auto"/>
              </w:rPr>
            </w:pPr>
            <w:r>
              <w:rPr>
                <w:rFonts w:hint="eastAsia" w:ascii="宋体" w:hAnsi="宋体" w:cs="宋体"/>
                <w:b/>
                <w:color w:val="auto"/>
                <w:kern w:val="0"/>
                <w:szCs w:val="21"/>
                <w:highlight w:val="none"/>
                <w:shd w:val="clear" w:color="auto" w:fill="auto"/>
              </w:rPr>
              <w:t>国家、行业设计规范和技术标准</w:t>
            </w:r>
          </w:p>
        </w:tc>
        <w:tc>
          <w:tcPr>
            <w:tcW w:w="1907" w:type="dxa"/>
            <w:noWrap w:val="0"/>
            <w:vAlign w:val="center"/>
          </w:tcPr>
          <w:p w14:paraId="6976E105">
            <w:pPr>
              <w:widowControl/>
              <w:spacing w:line="540" w:lineRule="exact"/>
              <w:jc w:val="center"/>
              <w:rPr>
                <w:rFonts w:ascii="宋体" w:hAnsi="宋体" w:cs="宋体"/>
                <w:color w:val="auto"/>
                <w:kern w:val="0"/>
                <w:szCs w:val="21"/>
                <w:highlight w:val="none"/>
                <w:shd w:val="clear" w:color="auto" w:fill="auto"/>
              </w:rPr>
            </w:pPr>
          </w:p>
        </w:tc>
      </w:tr>
      <w:tr w14:paraId="4CD24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367635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68</w:t>
            </w:r>
          </w:p>
        </w:tc>
        <w:tc>
          <w:tcPr>
            <w:tcW w:w="7019" w:type="dxa"/>
            <w:noWrap w:val="0"/>
            <w:vAlign w:val="center"/>
          </w:tcPr>
          <w:p w14:paraId="4A59A87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《电力安全工作规程》发电厂和变电所电气部分、电力线路部分（GB 26860-2011、GB 26859-2011）</w:t>
            </w:r>
          </w:p>
        </w:tc>
        <w:tc>
          <w:tcPr>
            <w:tcW w:w="1907" w:type="dxa"/>
            <w:noWrap w:val="0"/>
            <w:vAlign w:val="center"/>
          </w:tcPr>
          <w:p w14:paraId="27B4BAD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38B5C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684F404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69</w:t>
            </w:r>
          </w:p>
        </w:tc>
        <w:tc>
          <w:tcPr>
            <w:tcW w:w="7019" w:type="dxa"/>
            <w:noWrap w:val="0"/>
            <w:vAlign w:val="center"/>
          </w:tcPr>
          <w:p w14:paraId="3DEF749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《电力建设安全工作规程》电力线路；变电站(DL 5009.2-2013；DL 5009.3-2013)</w:t>
            </w:r>
          </w:p>
        </w:tc>
        <w:tc>
          <w:tcPr>
            <w:tcW w:w="1907" w:type="dxa"/>
            <w:noWrap w:val="0"/>
            <w:vAlign w:val="center"/>
          </w:tcPr>
          <w:p w14:paraId="04A4AC0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A3F0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991875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70</w:t>
            </w:r>
          </w:p>
        </w:tc>
        <w:tc>
          <w:tcPr>
            <w:tcW w:w="7019" w:type="dxa"/>
            <w:noWrap w:val="0"/>
            <w:vAlign w:val="center"/>
          </w:tcPr>
          <w:p w14:paraId="248284D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《20kV及以下变电所设计规范》GB 50053-2013</w:t>
            </w:r>
          </w:p>
        </w:tc>
        <w:tc>
          <w:tcPr>
            <w:tcW w:w="1907" w:type="dxa"/>
            <w:noWrap w:val="0"/>
            <w:vAlign w:val="center"/>
          </w:tcPr>
          <w:p w14:paraId="6CD584E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783E4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A0FBCD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71</w:t>
            </w:r>
          </w:p>
        </w:tc>
        <w:tc>
          <w:tcPr>
            <w:tcW w:w="7019" w:type="dxa"/>
            <w:noWrap w:val="0"/>
            <w:vAlign w:val="center"/>
          </w:tcPr>
          <w:p w14:paraId="15268BA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《10kV及以下架空配电线路设计技术规程》DL/T 5220-2005</w:t>
            </w:r>
          </w:p>
        </w:tc>
        <w:tc>
          <w:tcPr>
            <w:tcW w:w="1907" w:type="dxa"/>
            <w:noWrap w:val="0"/>
            <w:vAlign w:val="center"/>
          </w:tcPr>
          <w:p w14:paraId="32FC82C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2EB2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A44984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72</w:t>
            </w:r>
          </w:p>
        </w:tc>
        <w:tc>
          <w:tcPr>
            <w:tcW w:w="7019" w:type="dxa"/>
            <w:noWrap w:val="0"/>
            <w:vAlign w:val="center"/>
          </w:tcPr>
          <w:p w14:paraId="59CAD35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《110kV～750kV架空输电线路设计规范》GB 50545-2010</w:t>
            </w:r>
          </w:p>
        </w:tc>
        <w:tc>
          <w:tcPr>
            <w:tcW w:w="1907" w:type="dxa"/>
            <w:noWrap w:val="0"/>
            <w:vAlign w:val="center"/>
          </w:tcPr>
          <w:p w14:paraId="37777B0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B818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2E69AA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73</w:t>
            </w:r>
          </w:p>
        </w:tc>
        <w:tc>
          <w:tcPr>
            <w:tcW w:w="7019" w:type="dxa"/>
            <w:noWrap w:val="0"/>
            <w:vAlign w:val="center"/>
          </w:tcPr>
          <w:p w14:paraId="3761A3D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《110kV～750kV架空输电线路施工及验收规范》GB 50233-2014</w:t>
            </w:r>
          </w:p>
        </w:tc>
        <w:tc>
          <w:tcPr>
            <w:tcW w:w="1907" w:type="dxa"/>
            <w:noWrap w:val="0"/>
            <w:vAlign w:val="center"/>
          </w:tcPr>
          <w:p w14:paraId="6838654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0E6A8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DA95D9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74</w:t>
            </w:r>
          </w:p>
        </w:tc>
        <w:tc>
          <w:tcPr>
            <w:tcW w:w="7019" w:type="dxa"/>
            <w:noWrap w:val="0"/>
            <w:vAlign w:val="center"/>
          </w:tcPr>
          <w:p w14:paraId="7935561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《110-750kV架空送电线路工程施工质量检验及评定规程》DL/T 5168-2016</w:t>
            </w:r>
          </w:p>
        </w:tc>
        <w:tc>
          <w:tcPr>
            <w:tcW w:w="1907" w:type="dxa"/>
            <w:noWrap w:val="0"/>
            <w:vAlign w:val="center"/>
          </w:tcPr>
          <w:p w14:paraId="45F2C3B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0793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AA1EEE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75</w:t>
            </w:r>
          </w:p>
        </w:tc>
        <w:tc>
          <w:tcPr>
            <w:tcW w:w="7019" w:type="dxa"/>
            <w:noWrap w:val="0"/>
            <w:vAlign w:val="center"/>
          </w:tcPr>
          <w:p w14:paraId="39321D7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《110kV及以上送变电工程启动及竣工验收规程》DL/T 782-2001</w:t>
            </w:r>
          </w:p>
        </w:tc>
        <w:tc>
          <w:tcPr>
            <w:tcW w:w="1907" w:type="dxa"/>
            <w:noWrap w:val="0"/>
            <w:vAlign w:val="center"/>
          </w:tcPr>
          <w:p w14:paraId="5C1927F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98B6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6D87D9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76</w:t>
            </w:r>
          </w:p>
        </w:tc>
        <w:tc>
          <w:tcPr>
            <w:tcW w:w="7019" w:type="dxa"/>
            <w:noWrap w:val="0"/>
            <w:vAlign w:val="center"/>
          </w:tcPr>
          <w:p w14:paraId="2CB0AE4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《3～110kV高压配电装置设计规范》GB 50060-2008</w:t>
            </w:r>
          </w:p>
        </w:tc>
        <w:tc>
          <w:tcPr>
            <w:tcW w:w="1907" w:type="dxa"/>
            <w:noWrap w:val="0"/>
            <w:vAlign w:val="center"/>
          </w:tcPr>
          <w:p w14:paraId="45A41CB5">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C16D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54F795FC">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77</w:t>
            </w:r>
          </w:p>
        </w:tc>
        <w:tc>
          <w:tcPr>
            <w:tcW w:w="7019" w:type="dxa"/>
            <w:noWrap w:val="0"/>
            <w:vAlign w:val="center"/>
          </w:tcPr>
          <w:p w14:paraId="1B6ECAD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《35kV～110kV变电站设计规范》GB 50059-2011</w:t>
            </w:r>
          </w:p>
        </w:tc>
        <w:tc>
          <w:tcPr>
            <w:tcW w:w="1907" w:type="dxa"/>
            <w:noWrap w:val="0"/>
            <w:vAlign w:val="center"/>
          </w:tcPr>
          <w:p w14:paraId="1D9F382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9DE6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B338BF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78</w:t>
            </w:r>
          </w:p>
        </w:tc>
        <w:tc>
          <w:tcPr>
            <w:tcW w:w="7019" w:type="dxa"/>
            <w:noWrap w:val="0"/>
            <w:vAlign w:val="center"/>
          </w:tcPr>
          <w:p w14:paraId="631BA48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《66kV及以下架空电力线路设计规范》  GB 50061-2010</w:t>
            </w:r>
          </w:p>
        </w:tc>
        <w:tc>
          <w:tcPr>
            <w:tcW w:w="1907" w:type="dxa"/>
            <w:noWrap w:val="0"/>
            <w:vAlign w:val="center"/>
          </w:tcPr>
          <w:p w14:paraId="60DCDB8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0AF60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45D9B4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79</w:t>
            </w:r>
          </w:p>
        </w:tc>
        <w:tc>
          <w:tcPr>
            <w:tcW w:w="7019" w:type="dxa"/>
            <w:noWrap w:val="0"/>
            <w:vAlign w:val="center"/>
          </w:tcPr>
          <w:p w14:paraId="5B75FAD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电网建设项目文件归档与档案整理规范DL/T1363-2014</w:t>
            </w:r>
          </w:p>
        </w:tc>
        <w:tc>
          <w:tcPr>
            <w:tcW w:w="1907" w:type="dxa"/>
            <w:noWrap w:val="0"/>
            <w:vAlign w:val="center"/>
          </w:tcPr>
          <w:p w14:paraId="2CFD810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70CB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3BB1839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80</w:t>
            </w:r>
          </w:p>
        </w:tc>
        <w:tc>
          <w:tcPr>
            <w:tcW w:w="7019" w:type="dxa"/>
            <w:noWrap w:val="0"/>
            <w:vAlign w:val="center"/>
          </w:tcPr>
          <w:p w14:paraId="5DFF0D0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《变电站建筑结构设计技术规程》DL/T 5457-2012</w:t>
            </w:r>
          </w:p>
        </w:tc>
        <w:tc>
          <w:tcPr>
            <w:tcW w:w="1907" w:type="dxa"/>
            <w:noWrap w:val="0"/>
            <w:vAlign w:val="center"/>
          </w:tcPr>
          <w:p w14:paraId="4C02BBC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ADD5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F0A2C7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81</w:t>
            </w:r>
          </w:p>
        </w:tc>
        <w:tc>
          <w:tcPr>
            <w:tcW w:w="7019" w:type="dxa"/>
            <w:noWrap w:val="0"/>
            <w:vAlign w:val="center"/>
          </w:tcPr>
          <w:p w14:paraId="436F8CA5">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《变电站总布置设计技术规程》DL/T 5056-2007</w:t>
            </w:r>
          </w:p>
        </w:tc>
        <w:tc>
          <w:tcPr>
            <w:tcW w:w="1907" w:type="dxa"/>
            <w:noWrap w:val="0"/>
            <w:vAlign w:val="center"/>
          </w:tcPr>
          <w:p w14:paraId="0BB276F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7257D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503622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82</w:t>
            </w:r>
          </w:p>
        </w:tc>
        <w:tc>
          <w:tcPr>
            <w:tcW w:w="7019" w:type="dxa"/>
            <w:noWrap w:val="0"/>
            <w:vAlign w:val="center"/>
          </w:tcPr>
          <w:p w14:paraId="26A987B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《110kV～750kV架空输电线路张力架线施工工艺导则》DL/T 5343-2018</w:t>
            </w:r>
          </w:p>
        </w:tc>
        <w:tc>
          <w:tcPr>
            <w:tcW w:w="1907" w:type="dxa"/>
            <w:noWrap w:val="0"/>
            <w:vAlign w:val="center"/>
          </w:tcPr>
          <w:p w14:paraId="3AF325A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C224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CA4123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83</w:t>
            </w:r>
          </w:p>
        </w:tc>
        <w:tc>
          <w:tcPr>
            <w:tcW w:w="7019" w:type="dxa"/>
            <w:noWrap w:val="0"/>
            <w:vAlign w:val="center"/>
          </w:tcPr>
          <w:p w14:paraId="34D056B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《城市电力电缆线路设计技术规定》DL/T 5221-2016</w:t>
            </w:r>
          </w:p>
        </w:tc>
        <w:tc>
          <w:tcPr>
            <w:tcW w:w="1907" w:type="dxa"/>
            <w:noWrap w:val="0"/>
            <w:vAlign w:val="center"/>
          </w:tcPr>
          <w:p w14:paraId="5D61C44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35F09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4EB8B4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84</w:t>
            </w:r>
          </w:p>
        </w:tc>
        <w:tc>
          <w:tcPr>
            <w:tcW w:w="7019" w:type="dxa"/>
            <w:noWrap w:val="0"/>
            <w:vAlign w:val="center"/>
          </w:tcPr>
          <w:p w14:paraId="272696B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《城市工程管线综合规划规范》  GB 50289-2016</w:t>
            </w:r>
          </w:p>
        </w:tc>
        <w:tc>
          <w:tcPr>
            <w:tcW w:w="1907" w:type="dxa"/>
            <w:noWrap w:val="0"/>
            <w:vAlign w:val="center"/>
          </w:tcPr>
          <w:p w14:paraId="180B08B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959F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7BF8B6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85</w:t>
            </w:r>
          </w:p>
        </w:tc>
        <w:tc>
          <w:tcPr>
            <w:tcW w:w="7019" w:type="dxa"/>
            <w:noWrap w:val="0"/>
            <w:vAlign w:val="center"/>
          </w:tcPr>
          <w:p w14:paraId="36FC126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《导体和电器选择设计技术规定》DL/T 5222-2005</w:t>
            </w:r>
          </w:p>
        </w:tc>
        <w:tc>
          <w:tcPr>
            <w:tcW w:w="1907" w:type="dxa"/>
            <w:noWrap w:val="0"/>
            <w:vAlign w:val="center"/>
          </w:tcPr>
          <w:p w14:paraId="7894F4D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9226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D7684E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86</w:t>
            </w:r>
          </w:p>
        </w:tc>
        <w:tc>
          <w:tcPr>
            <w:tcW w:w="7019" w:type="dxa"/>
            <w:noWrap w:val="0"/>
            <w:vAlign w:val="center"/>
          </w:tcPr>
          <w:p w14:paraId="4CE5D0E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《低合金高强度结构钢》GB/T 1591-2018</w:t>
            </w:r>
          </w:p>
        </w:tc>
        <w:tc>
          <w:tcPr>
            <w:tcW w:w="1907" w:type="dxa"/>
            <w:noWrap w:val="0"/>
            <w:vAlign w:val="center"/>
          </w:tcPr>
          <w:p w14:paraId="4044C81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B40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AADEBB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87</w:t>
            </w:r>
          </w:p>
        </w:tc>
        <w:tc>
          <w:tcPr>
            <w:tcW w:w="7019" w:type="dxa"/>
            <w:noWrap w:val="0"/>
            <w:vAlign w:val="center"/>
          </w:tcPr>
          <w:p w14:paraId="3EADC41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《低压配电设计规范》GB 50054-2011</w:t>
            </w:r>
          </w:p>
        </w:tc>
        <w:tc>
          <w:tcPr>
            <w:tcW w:w="1907" w:type="dxa"/>
            <w:noWrap w:val="0"/>
            <w:vAlign w:val="center"/>
          </w:tcPr>
          <w:p w14:paraId="172C07F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F91C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78942B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88</w:t>
            </w:r>
          </w:p>
        </w:tc>
        <w:tc>
          <w:tcPr>
            <w:tcW w:w="7019" w:type="dxa"/>
            <w:noWrap w:val="0"/>
            <w:vAlign w:val="center"/>
          </w:tcPr>
          <w:p w14:paraId="64C31DB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《地下防水工程质量验收规范》GB 50208-2011</w:t>
            </w:r>
          </w:p>
        </w:tc>
        <w:tc>
          <w:tcPr>
            <w:tcW w:w="1907" w:type="dxa"/>
            <w:noWrap w:val="0"/>
            <w:vAlign w:val="center"/>
          </w:tcPr>
          <w:p w14:paraId="11291B6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B944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F95146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89</w:t>
            </w:r>
          </w:p>
        </w:tc>
        <w:tc>
          <w:tcPr>
            <w:tcW w:w="7019" w:type="dxa"/>
            <w:noWrap w:val="0"/>
            <w:vAlign w:val="center"/>
          </w:tcPr>
          <w:p w14:paraId="638064B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《地下工程防水技术规范》GB 50108-2008</w:t>
            </w:r>
          </w:p>
        </w:tc>
        <w:tc>
          <w:tcPr>
            <w:tcW w:w="1907" w:type="dxa"/>
            <w:noWrap w:val="0"/>
            <w:vAlign w:val="center"/>
          </w:tcPr>
          <w:p w14:paraId="2A1664C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3917B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8E484B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90</w:t>
            </w:r>
          </w:p>
        </w:tc>
        <w:tc>
          <w:tcPr>
            <w:tcW w:w="7019" w:type="dxa"/>
            <w:noWrap w:val="0"/>
            <w:vAlign w:val="center"/>
          </w:tcPr>
          <w:p w14:paraId="2933BA7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《电工圆铝线》GB/T 3955-2009</w:t>
            </w:r>
          </w:p>
        </w:tc>
        <w:tc>
          <w:tcPr>
            <w:tcW w:w="1907" w:type="dxa"/>
            <w:noWrap w:val="0"/>
            <w:vAlign w:val="center"/>
          </w:tcPr>
          <w:p w14:paraId="0E6B30A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93FB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CD5CE7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91</w:t>
            </w:r>
          </w:p>
        </w:tc>
        <w:tc>
          <w:tcPr>
            <w:tcW w:w="7019" w:type="dxa"/>
            <w:noWrap w:val="0"/>
            <w:vAlign w:val="center"/>
          </w:tcPr>
          <w:p w14:paraId="5A5698A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《电工圆铜线》GB/T3953-2009</w:t>
            </w:r>
          </w:p>
        </w:tc>
        <w:tc>
          <w:tcPr>
            <w:tcW w:w="1907" w:type="dxa"/>
            <w:noWrap w:val="0"/>
            <w:vAlign w:val="center"/>
          </w:tcPr>
          <w:p w14:paraId="6F8F907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78BDD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51C6CE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92</w:t>
            </w:r>
          </w:p>
        </w:tc>
        <w:tc>
          <w:tcPr>
            <w:tcW w:w="7019" w:type="dxa"/>
            <w:noWrap w:val="0"/>
            <w:vAlign w:val="center"/>
          </w:tcPr>
          <w:p w14:paraId="6B50010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《电缆的导体》GB/T 3956-2008</w:t>
            </w:r>
          </w:p>
        </w:tc>
        <w:tc>
          <w:tcPr>
            <w:tcW w:w="1907" w:type="dxa"/>
            <w:noWrap w:val="0"/>
            <w:vAlign w:val="center"/>
          </w:tcPr>
          <w:p w14:paraId="6AD3486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8E8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9A7823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93</w:t>
            </w:r>
          </w:p>
        </w:tc>
        <w:tc>
          <w:tcPr>
            <w:tcW w:w="7019" w:type="dxa"/>
            <w:noWrap w:val="0"/>
            <w:vAlign w:val="center"/>
          </w:tcPr>
          <w:p w14:paraId="24A45C9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《电缆和光缆绝缘和护套材料通用试验方法》（GB/T 2951.11-2008、GB/T 2951.12-2008、GB/T 2951.13-2008、GB/T 2951.14-2008、GB/T 2951.21-2008、GB/T 2951.31-2008、GB/T 2951.32-2008、GB/T 2951.41-2008、GB/T 2951.42-2008、GB/T 2951.51-2008）</w:t>
            </w:r>
          </w:p>
        </w:tc>
        <w:tc>
          <w:tcPr>
            <w:tcW w:w="1907" w:type="dxa"/>
            <w:noWrap w:val="0"/>
            <w:vAlign w:val="center"/>
          </w:tcPr>
          <w:p w14:paraId="6776152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013B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611403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94</w:t>
            </w:r>
          </w:p>
        </w:tc>
        <w:tc>
          <w:tcPr>
            <w:tcW w:w="7019" w:type="dxa"/>
            <w:noWrap w:val="0"/>
            <w:vAlign w:val="center"/>
          </w:tcPr>
          <w:p w14:paraId="1502CC7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《电缆外护层》（GB /T 2952.1-2008、GB /T 2952.2-2008、GB /T 2952.3-2008）</w:t>
            </w:r>
          </w:p>
        </w:tc>
        <w:tc>
          <w:tcPr>
            <w:tcW w:w="1907" w:type="dxa"/>
            <w:noWrap w:val="0"/>
            <w:vAlign w:val="center"/>
          </w:tcPr>
          <w:p w14:paraId="61652D5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F27A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73AD49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95</w:t>
            </w:r>
          </w:p>
        </w:tc>
        <w:tc>
          <w:tcPr>
            <w:tcW w:w="7019" w:type="dxa"/>
            <w:noWrap w:val="0"/>
            <w:vAlign w:val="center"/>
          </w:tcPr>
          <w:p w14:paraId="7F74DBF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《电缆载流量计算》（JB/T 10181.11-2014、JB/T 10181.12-2014、JB/T 10181.21-2014、JB/T 10181.22-2014、JB/T 10181.31-2014、JB/T 10181.32-2014）</w:t>
            </w:r>
          </w:p>
        </w:tc>
        <w:tc>
          <w:tcPr>
            <w:tcW w:w="1907" w:type="dxa"/>
            <w:noWrap w:val="0"/>
            <w:vAlign w:val="center"/>
          </w:tcPr>
          <w:p w14:paraId="30A9DD1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75C8A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5D954C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96</w:t>
            </w:r>
          </w:p>
        </w:tc>
        <w:tc>
          <w:tcPr>
            <w:tcW w:w="7019" w:type="dxa"/>
            <w:noWrap w:val="0"/>
            <w:vAlign w:val="center"/>
          </w:tcPr>
          <w:p w14:paraId="7C1504D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《电力工程直流电源系统设计技术规程》 DL/T 5044-2014</w:t>
            </w:r>
          </w:p>
        </w:tc>
        <w:tc>
          <w:tcPr>
            <w:tcW w:w="1907" w:type="dxa"/>
            <w:noWrap w:val="0"/>
            <w:vAlign w:val="center"/>
          </w:tcPr>
          <w:p w14:paraId="53F3254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9AA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A394DC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97</w:t>
            </w:r>
          </w:p>
        </w:tc>
        <w:tc>
          <w:tcPr>
            <w:tcW w:w="7019" w:type="dxa"/>
            <w:noWrap w:val="0"/>
            <w:vAlign w:val="center"/>
          </w:tcPr>
          <w:p w14:paraId="63F2E72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《电力建设施工及验收技术规范》DJ 57-1979</w:t>
            </w:r>
          </w:p>
        </w:tc>
        <w:tc>
          <w:tcPr>
            <w:tcW w:w="1907" w:type="dxa"/>
            <w:noWrap w:val="0"/>
            <w:vAlign w:val="center"/>
          </w:tcPr>
          <w:p w14:paraId="01730FF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0DD0D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AF8447C">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98</w:t>
            </w:r>
          </w:p>
        </w:tc>
        <w:tc>
          <w:tcPr>
            <w:tcW w:w="7019" w:type="dxa"/>
            <w:noWrap w:val="0"/>
            <w:vAlign w:val="center"/>
          </w:tcPr>
          <w:p w14:paraId="19D5BB3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《电力设备典型消防规程》DL 5027-2015</w:t>
            </w:r>
          </w:p>
        </w:tc>
        <w:tc>
          <w:tcPr>
            <w:tcW w:w="1907" w:type="dxa"/>
            <w:noWrap w:val="0"/>
            <w:vAlign w:val="center"/>
          </w:tcPr>
          <w:p w14:paraId="4913EC4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32ED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563BEF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99</w:t>
            </w:r>
          </w:p>
        </w:tc>
        <w:tc>
          <w:tcPr>
            <w:tcW w:w="7019" w:type="dxa"/>
            <w:noWrap w:val="0"/>
            <w:vAlign w:val="center"/>
          </w:tcPr>
          <w:p w14:paraId="536CCD4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《电力设施抗震设计规范》GB 50260-2013</w:t>
            </w:r>
          </w:p>
        </w:tc>
        <w:tc>
          <w:tcPr>
            <w:tcW w:w="1907" w:type="dxa"/>
            <w:noWrap w:val="0"/>
            <w:vAlign w:val="center"/>
          </w:tcPr>
          <w:p w14:paraId="4A10E1B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3DCE0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FFCA0E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100</w:t>
            </w:r>
          </w:p>
        </w:tc>
        <w:tc>
          <w:tcPr>
            <w:tcW w:w="7019" w:type="dxa"/>
            <w:noWrap w:val="0"/>
            <w:vAlign w:val="center"/>
          </w:tcPr>
          <w:p w14:paraId="44C6B51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《电力系统安全稳定导则》DL 755-2001</w:t>
            </w:r>
          </w:p>
        </w:tc>
        <w:tc>
          <w:tcPr>
            <w:tcW w:w="1907" w:type="dxa"/>
            <w:noWrap w:val="0"/>
            <w:vAlign w:val="center"/>
          </w:tcPr>
          <w:p w14:paraId="11CB508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E6A6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32EBA6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101</w:t>
            </w:r>
          </w:p>
        </w:tc>
        <w:tc>
          <w:tcPr>
            <w:tcW w:w="7019" w:type="dxa"/>
            <w:noWrap w:val="0"/>
            <w:vAlign w:val="center"/>
          </w:tcPr>
          <w:p w14:paraId="772C92E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《电力系统设计技术规程》DL/T 5429-2009</w:t>
            </w:r>
          </w:p>
        </w:tc>
        <w:tc>
          <w:tcPr>
            <w:tcW w:w="1907" w:type="dxa"/>
            <w:noWrap w:val="0"/>
            <w:vAlign w:val="center"/>
          </w:tcPr>
          <w:p w14:paraId="680F0CE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320E7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5E4EDC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102</w:t>
            </w:r>
          </w:p>
        </w:tc>
        <w:tc>
          <w:tcPr>
            <w:tcW w:w="7019" w:type="dxa"/>
            <w:noWrap w:val="0"/>
            <w:vAlign w:val="center"/>
          </w:tcPr>
          <w:p w14:paraId="10E6FBE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《电力系统设计内容深度规定》DL/T 5444-2010</w:t>
            </w:r>
          </w:p>
        </w:tc>
        <w:tc>
          <w:tcPr>
            <w:tcW w:w="1907" w:type="dxa"/>
            <w:noWrap w:val="0"/>
            <w:vAlign w:val="center"/>
          </w:tcPr>
          <w:p w14:paraId="442C2B7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2A8A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ED8FC6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103</w:t>
            </w:r>
          </w:p>
        </w:tc>
        <w:tc>
          <w:tcPr>
            <w:tcW w:w="7019" w:type="dxa"/>
            <w:noWrap w:val="0"/>
            <w:vAlign w:val="center"/>
          </w:tcPr>
          <w:p w14:paraId="55BD3985">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《电气装置安装工程 高压电器施工及验收规范》GB 50147-2010</w:t>
            </w:r>
          </w:p>
        </w:tc>
        <w:tc>
          <w:tcPr>
            <w:tcW w:w="1907" w:type="dxa"/>
            <w:noWrap w:val="0"/>
            <w:vAlign w:val="center"/>
          </w:tcPr>
          <w:p w14:paraId="3AF9E95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B637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E40F20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104</w:t>
            </w:r>
          </w:p>
        </w:tc>
        <w:tc>
          <w:tcPr>
            <w:tcW w:w="7019" w:type="dxa"/>
            <w:noWrap w:val="0"/>
            <w:vAlign w:val="center"/>
          </w:tcPr>
          <w:p w14:paraId="05E77C7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《电气装置安装工程 电力变压器、油浸电抗器、互感器施工及验收规范》GB 50148-2010</w:t>
            </w:r>
          </w:p>
        </w:tc>
        <w:tc>
          <w:tcPr>
            <w:tcW w:w="1907" w:type="dxa"/>
            <w:noWrap w:val="0"/>
            <w:vAlign w:val="center"/>
          </w:tcPr>
          <w:p w14:paraId="64C5900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F3D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0D6388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105</w:t>
            </w:r>
          </w:p>
        </w:tc>
        <w:tc>
          <w:tcPr>
            <w:tcW w:w="7019" w:type="dxa"/>
            <w:noWrap w:val="0"/>
            <w:vAlign w:val="center"/>
          </w:tcPr>
          <w:p w14:paraId="24E3CDB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《电气装置安装工程 母线装置施工及验收规范》GB 50149-2010</w:t>
            </w:r>
          </w:p>
        </w:tc>
        <w:tc>
          <w:tcPr>
            <w:tcW w:w="1907" w:type="dxa"/>
            <w:noWrap w:val="0"/>
            <w:vAlign w:val="center"/>
          </w:tcPr>
          <w:p w14:paraId="475A2E5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0DE45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C2F462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106</w:t>
            </w:r>
          </w:p>
        </w:tc>
        <w:tc>
          <w:tcPr>
            <w:tcW w:w="7019" w:type="dxa"/>
            <w:noWrap w:val="0"/>
            <w:vAlign w:val="center"/>
          </w:tcPr>
          <w:p w14:paraId="0BAC213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《电气装置安装工程 电气设备交接试验标准》GB50150-2016</w:t>
            </w:r>
          </w:p>
        </w:tc>
        <w:tc>
          <w:tcPr>
            <w:tcW w:w="1907" w:type="dxa"/>
            <w:noWrap w:val="0"/>
            <w:vAlign w:val="center"/>
          </w:tcPr>
          <w:p w14:paraId="303940F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7A04B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2C4D4EE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107</w:t>
            </w:r>
          </w:p>
        </w:tc>
        <w:tc>
          <w:tcPr>
            <w:tcW w:w="7019" w:type="dxa"/>
            <w:noWrap w:val="0"/>
            <w:vAlign w:val="center"/>
          </w:tcPr>
          <w:p w14:paraId="7D1FC76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 xml:space="preserve">《电气装置安装工程 电缆线路施工及验收规范 》GB50168-2018 </w:t>
            </w:r>
          </w:p>
        </w:tc>
        <w:tc>
          <w:tcPr>
            <w:tcW w:w="1907" w:type="dxa"/>
            <w:noWrap w:val="0"/>
            <w:vAlign w:val="center"/>
          </w:tcPr>
          <w:p w14:paraId="440F85D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9CAC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3EB011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108</w:t>
            </w:r>
          </w:p>
        </w:tc>
        <w:tc>
          <w:tcPr>
            <w:tcW w:w="7019" w:type="dxa"/>
            <w:noWrap w:val="0"/>
            <w:vAlign w:val="center"/>
          </w:tcPr>
          <w:p w14:paraId="696C710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《电气装置安装工程 接地装置施工及验收规范》GB 50169-2016</w:t>
            </w:r>
          </w:p>
        </w:tc>
        <w:tc>
          <w:tcPr>
            <w:tcW w:w="1907" w:type="dxa"/>
            <w:noWrap w:val="0"/>
            <w:vAlign w:val="center"/>
          </w:tcPr>
          <w:p w14:paraId="6465CB1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9FCA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26AB711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109</w:t>
            </w:r>
          </w:p>
        </w:tc>
        <w:tc>
          <w:tcPr>
            <w:tcW w:w="7019" w:type="dxa"/>
            <w:noWrap w:val="0"/>
            <w:vAlign w:val="center"/>
          </w:tcPr>
          <w:p w14:paraId="3F98507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《电气装置安装工程 旋转电机施工及验收规范》 GB 50170-2018</w:t>
            </w:r>
          </w:p>
        </w:tc>
        <w:tc>
          <w:tcPr>
            <w:tcW w:w="1907" w:type="dxa"/>
            <w:noWrap w:val="0"/>
            <w:vAlign w:val="center"/>
          </w:tcPr>
          <w:p w14:paraId="5E4DBA5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16A6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60" w:type="dxa"/>
            <w:noWrap w:val="0"/>
            <w:vAlign w:val="center"/>
          </w:tcPr>
          <w:p w14:paraId="374D92FC">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110</w:t>
            </w:r>
          </w:p>
        </w:tc>
        <w:tc>
          <w:tcPr>
            <w:tcW w:w="7019" w:type="dxa"/>
            <w:noWrap w:val="0"/>
            <w:vAlign w:val="center"/>
          </w:tcPr>
          <w:p w14:paraId="0C9F2DA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《电气装置安装工程 盘、柜及二次回路接线施工及验收规范》GB 50171-2012</w:t>
            </w:r>
          </w:p>
        </w:tc>
        <w:tc>
          <w:tcPr>
            <w:tcW w:w="1907" w:type="dxa"/>
            <w:noWrap w:val="0"/>
            <w:vAlign w:val="center"/>
          </w:tcPr>
          <w:p w14:paraId="1FFE0AB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74FA0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1AAAEB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111</w:t>
            </w:r>
          </w:p>
        </w:tc>
        <w:tc>
          <w:tcPr>
            <w:tcW w:w="7019" w:type="dxa"/>
            <w:noWrap w:val="0"/>
            <w:vAlign w:val="center"/>
          </w:tcPr>
          <w:p w14:paraId="5E3AB26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《电气装置安装工程 蓄电池施工及验收规范》GB 50172-2012</w:t>
            </w:r>
          </w:p>
        </w:tc>
        <w:tc>
          <w:tcPr>
            <w:tcW w:w="1907" w:type="dxa"/>
            <w:noWrap w:val="0"/>
            <w:vAlign w:val="center"/>
          </w:tcPr>
          <w:p w14:paraId="436270D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3A440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14FA4B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112</w:t>
            </w:r>
          </w:p>
        </w:tc>
        <w:tc>
          <w:tcPr>
            <w:tcW w:w="7019" w:type="dxa"/>
            <w:noWrap w:val="0"/>
            <w:vAlign w:val="center"/>
          </w:tcPr>
          <w:p w14:paraId="337AB78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《电气装置安装工程 66kV及以下架空电力线路施工及验收规范》GB 50173-2014</w:t>
            </w:r>
          </w:p>
        </w:tc>
        <w:tc>
          <w:tcPr>
            <w:tcW w:w="1907" w:type="dxa"/>
            <w:noWrap w:val="0"/>
            <w:vAlign w:val="center"/>
          </w:tcPr>
          <w:p w14:paraId="1439DB2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4E67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283995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113</w:t>
            </w:r>
          </w:p>
        </w:tc>
        <w:tc>
          <w:tcPr>
            <w:tcW w:w="7019" w:type="dxa"/>
            <w:noWrap w:val="0"/>
            <w:vAlign w:val="center"/>
          </w:tcPr>
          <w:p w14:paraId="1598AA4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《电气装置安装工程 低压电器施工及验收规范》GB 50254-2014</w:t>
            </w:r>
          </w:p>
        </w:tc>
        <w:tc>
          <w:tcPr>
            <w:tcW w:w="1907" w:type="dxa"/>
            <w:noWrap w:val="0"/>
            <w:vAlign w:val="center"/>
          </w:tcPr>
          <w:p w14:paraId="2E74F3D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0A4D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CA9581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114</w:t>
            </w:r>
          </w:p>
        </w:tc>
        <w:tc>
          <w:tcPr>
            <w:tcW w:w="7019" w:type="dxa"/>
            <w:noWrap w:val="0"/>
            <w:vAlign w:val="center"/>
          </w:tcPr>
          <w:p w14:paraId="694E83A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《电气装置安装工程 电力变流设备施工及验收规范》GB 50255-2014</w:t>
            </w:r>
          </w:p>
        </w:tc>
        <w:tc>
          <w:tcPr>
            <w:tcW w:w="1907" w:type="dxa"/>
            <w:noWrap w:val="0"/>
            <w:vAlign w:val="center"/>
          </w:tcPr>
          <w:p w14:paraId="3AB349A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04C36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3814943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115</w:t>
            </w:r>
          </w:p>
        </w:tc>
        <w:tc>
          <w:tcPr>
            <w:tcW w:w="7019" w:type="dxa"/>
            <w:noWrap w:val="0"/>
            <w:vAlign w:val="center"/>
          </w:tcPr>
          <w:p w14:paraId="14B9C77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《电气装置安装工程 起重机电气装置施工及验收规范》GB 50256-2014</w:t>
            </w:r>
          </w:p>
        </w:tc>
        <w:tc>
          <w:tcPr>
            <w:tcW w:w="1907" w:type="dxa"/>
            <w:noWrap w:val="0"/>
            <w:vAlign w:val="center"/>
          </w:tcPr>
          <w:p w14:paraId="25D1D50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335D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141D5D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116</w:t>
            </w:r>
          </w:p>
        </w:tc>
        <w:tc>
          <w:tcPr>
            <w:tcW w:w="7019" w:type="dxa"/>
            <w:noWrap w:val="0"/>
            <w:vAlign w:val="center"/>
          </w:tcPr>
          <w:p w14:paraId="37EE901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《电气装置安装工程 爆炸和火灾危险环境电气装置施工及验收规范》GB 50257-2014</w:t>
            </w:r>
          </w:p>
        </w:tc>
        <w:tc>
          <w:tcPr>
            <w:tcW w:w="1907" w:type="dxa"/>
            <w:noWrap w:val="0"/>
            <w:vAlign w:val="center"/>
          </w:tcPr>
          <w:p w14:paraId="0354B43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7AFC3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650564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117</w:t>
            </w:r>
          </w:p>
        </w:tc>
        <w:tc>
          <w:tcPr>
            <w:tcW w:w="7019" w:type="dxa"/>
            <w:noWrap w:val="0"/>
            <w:vAlign w:val="center"/>
          </w:tcPr>
          <w:p w14:paraId="7B8A01E5">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《电气装置安装工程 串联电容器补偿装置施工及验收规范》GB 51049-2014</w:t>
            </w:r>
          </w:p>
        </w:tc>
        <w:tc>
          <w:tcPr>
            <w:tcW w:w="1907" w:type="dxa"/>
            <w:noWrap w:val="0"/>
            <w:vAlign w:val="center"/>
          </w:tcPr>
          <w:p w14:paraId="313C371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608E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6BA68B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118</w:t>
            </w:r>
          </w:p>
        </w:tc>
        <w:tc>
          <w:tcPr>
            <w:tcW w:w="7019" w:type="dxa"/>
            <w:noWrap w:val="0"/>
            <w:vAlign w:val="center"/>
          </w:tcPr>
          <w:p w14:paraId="1681650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《1000kV系统电气装置安装工程电气设备交接试验标准》GB/T 50832-2013</w:t>
            </w:r>
          </w:p>
        </w:tc>
        <w:tc>
          <w:tcPr>
            <w:tcW w:w="1907" w:type="dxa"/>
            <w:noWrap w:val="0"/>
            <w:vAlign w:val="center"/>
          </w:tcPr>
          <w:p w14:paraId="62343DA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CD86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D18B28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119</w:t>
            </w:r>
          </w:p>
        </w:tc>
        <w:tc>
          <w:tcPr>
            <w:tcW w:w="7019" w:type="dxa"/>
            <w:noWrap w:val="0"/>
            <w:vAlign w:val="center"/>
          </w:tcPr>
          <w:p w14:paraId="2B3CAF7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电气装置安装工程 质量检验及评定规程 DL/T 5161.1-2018～DL/T 5161.15-2018</w:t>
            </w:r>
          </w:p>
        </w:tc>
        <w:tc>
          <w:tcPr>
            <w:tcW w:w="1907" w:type="dxa"/>
            <w:noWrap w:val="0"/>
            <w:vAlign w:val="center"/>
          </w:tcPr>
          <w:p w14:paraId="2BCBF55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FF5C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232272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120</w:t>
            </w:r>
          </w:p>
        </w:tc>
        <w:tc>
          <w:tcPr>
            <w:tcW w:w="7019" w:type="dxa"/>
            <w:noWrap w:val="0"/>
            <w:vAlign w:val="center"/>
          </w:tcPr>
          <w:p w14:paraId="7462D33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《电力装置电测量仪表装置设计规范》  GB/T50063-2017</w:t>
            </w:r>
          </w:p>
        </w:tc>
        <w:tc>
          <w:tcPr>
            <w:tcW w:w="1907" w:type="dxa"/>
            <w:noWrap w:val="0"/>
            <w:vAlign w:val="center"/>
          </w:tcPr>
          <w:p w14:paraId="46D07F3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7D003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402CF1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121</w:t>
            </w:r>
          </w:p>
        </w:tc>
        <w:tc>
          <w:tcPr>
            <w:tcW w:w="7019" w:type="dxa"/>
            <w:noWrap w:val="0"/>
            <w:vAlign w:val="center"/>
          </w:tcPr>
          <w:p w14:paraId="62A47E4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《电力装置的继电保护和自动装置设计规范》  GB/T50062－2008</w:t>
            </w:r>
          </w:p>
        </w:tc>
        <w:tc>
          <w:tcPr>
            <w:tcW w:w="1907" w:type="dxa"/>
            <w:noWrap w:val="0"/>
            <w:vAlign w:val="center"/>
          </w:tcPr>
          <w:p w14:paraId="435E0E5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05F1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F6D2DF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122</w:t>
            </w:r>
          </w:p>
        </w:tc>
        <w:tc>
          <w:tcPr>
            <w:tcW w:w="7019" w:type="dxa"/>
            <w:noWrap w:val="0"/>
            <w:vAlign w:val="center"/>
          </w:tcPr>
          <w:p w14:paraId="4772571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《电线电缆电性能试验方法》（GB/T 3048.1-2007、GB/T 3048.2-2007、GB/T 3048.3-2007、GB/T 3048.4-2007、GB/T 3048.5-2007、GB/T 3048.7-2007、GB/T 3048.8-2007、GB/T 3048.9-2007、GB/T 3048.10-2007、GB/T 3048.11-2007、GB/T 3048.12-2007）</w:t>
            </w:r>
          </w:p>
        </w:tc>
        <w:tc>
          <w:tcPr>
            <w:tcW w:w="1907" w:type="dxa"/>
            <w:noWrap w:val="0"/>
            <w:vAlign w:val="center"/>
          </w:tcPr>
          <w:p w14:paraId="427BA1D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AD16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89A6DBC">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123</w:t>
            </w:r>
          </w:p>
        </w:tc>
        <w:tc>
          <w:tcPr>
            <w:tcW w:w="7019" w:type="dxa"/>
            <w:noWrap w:val="0"/>
            <w:vAlign w:val="center"/>
          </w:tcPr>
          <w:p w14:paraId="5B73DB8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《电线电缆交货盘》JB/T 8137.1-4-2013</w:t>
            </w:r>
          </w:p>
        </w:tc>
        <w:tc>
          <w:tcPr>
            <w:tcW w:w="1907" w:type="dxa"/>
            <w:noWrap w:val="0"/>
            <w:vAlign w:val="center"/>
          </w:tcPr>
          <w:p w14:paraId="521C155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B9DA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283EDB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124</w:t>
            </w:r>
          </w:p>
        </w:tc>
        <w:tc>
          <w:tcPr>
            <w:tcW w:w="7019" w:type="dxa"/>
            <w:noWrap w:val="0"/>
            <w:vAlign w:val="center"/>
          </w:tcPr>
          <w:p w14:paraId="7989AE4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《电线电缆识别标志方法》GB/T6995.1-5-2008</w:t>
            </w:r>
          </w:p>
        </w:tc>
        <w:tc>
          <w:tcPr>
            <w:tcW w:w="1907" w:type="dxa"/>
            <w:noWrap w:val="0"/>
            <w:vAlign w:val="center"/>
          </w:tcPr>
          <w:p w14:paraId="72D16C9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CF87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367B3A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125</w:t>
            </w:r>
          </w:p>
        </w:tc>
        <w:tc>
          <w:tcPr>
            <w:tcW w:w="7019" w:type="dxa"/>
            <w:noWrap w:val="0"/>
            <w:vAlign w:val="center"/>
          </w:tcPr>
          <w:p w14:paraId="62A1DEB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《额定电压110kV（Um=126kV）交联聚乙烯绝缘电力电缆及其附件》（GB/T 11017.1-2014、GB/T 11017.2-2014、GB/T 11017.3-2014）</w:t>
            </w:r>
          </w:p>
        </w:tc>
        <w:tc>
          <w:tcPr>
            <w:tcW w:w="1907" w:type="dxa"/>
            <w:noWrap w:val="0"/>
            <w:vAlign w:val="center"/>
          </w:tcPr>
          <w:p w14:paraId="4E65E5D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520F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6C3A97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126</w:t>
            </w:r>
          </w:p>
        </w:tc>
        <w:tc>
          <w:tcPr>
            <w:tcW w:w="7019" w:type="dxa"/>
            <w:noWrap w:val="0"/>
            <w:vAlign w:val="center"/>
          </w:tcPr>
          <w:p w14:paraId="5F65971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《额定电压220kV(Um=252kV)交联聚乙烯绝缘电力电缆及其附件》GB/Z 18890.1-2015、GB/Z 18890.2-2015、GB/Z 18890.3-2015</w:t>
            </w:r>
          </w:p>
        </w:tc>
        <w:tc>
          <w:tcPr>
            <w:tcW w:w="1907" w:type="dxa"/>
            <w:noWrap w:val="0"/>
            <w:vAlign w:val="center"/>
          </w:tcPr>
          <w:p w14:paraId="6867C6A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D6D9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7D8289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127</w:t>
            </w:r>
          </w:p>
        </w:tc>
        <w:tc>
          <w:tcPr>
            <w:tcW w:w="7019" w:type="dxa"/>
            <w:noWrap w:val="0"/>
            <w:vAlign w:val="center"/>
          </w:tcPr>
          <w:p w14:paraId="759AB21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《额定电压1kV(Um=1.2kV)到35kV(Um=40.5kV)挤包绝缘电力电缆及附件》GB/T 12706-2008</w:t>
            </w:r>
          </w:p>
        </w:tc>
        <w:tc>
          <w:tcPr>
            <w:tcW w:w="1907" w:type="dxa"/>
            <w:noWrap w:val="0"/>
            <w:vAlign w:val="center"/>
          </w:tcPr>
          <w:p w14:paraId="4A2F231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FC0C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37C8246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128</w:t>
            </w:r>
          </w:p>
        </w:tc>
        <w:tc>
          <w:tcPr>
            <w:tcW w:w="7019" w:type="dxa"/>
            <w:noWrap w:val="0"/>
            <w:vAlign w:val="center"/>
          </w:tcPr>
          <w:p w14:paraId="7418143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《额定电压6kV(Um=7.2kV)到35kV(Um=40.5kV)电力电缆附件试验方法》GB/T 18889-2002</w:t>
            </w:r>
          </w:p>
        </w:tc>
        <w:tc>
          <w:tcPr>
            <w:tcW w:w="1907" w:type="dxa"/>
            <w:noWrap w:val="0"/>
            <w:vAlign w:val="center"/>
          </w:tcPr>
          <w:p w14:paraId="0FBC27F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3763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0EAC36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129</w:t>
            </w:r>
          </w:p>
        </w:tc>
        <w:tc>
          <w:tcPr>
            <w:tcW w:w="7019" w:type="dxa"/>
            <w:noWrap w:val="0"/>
            <w:vAlign w:val="center"/>
          </w:tcPr>
          <w:p w14:paraId="0B4BB8A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《非合金钢及细晶粒钢焊条》GB/T 5117-2012</w:t>
            </w:r>
          </w:p>
        </w:tc>
        <w:tc>
          <w:tcPr>
            <w:tcW w:w="1907" w:type="dxa"/>
            <w:noWrap w:val="0"/>
            <w:vAlign w:val="center"/>
          </w:tcPr>
          <w:p w14:paraId="21EE285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6F47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2456A4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130</w:t>
            </w:r>
          </w:p>
        </w:tc>
        <w:tc>
          <w:tcPr>
            <w:tcW w:w="7019" w:type="dxa"/>
            <w:noWrap w:val="0"/>
            <w:vAlign w:val="center"/>
          </w:tcPr>
          <w:p w14:paraId="63BB98A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《钢结构高强度螺栓连接技术规程》JGJ 82-2011</w:t>
            </w:r>
          </w:p>
        </w:tc>
        <w:tc>
          <w:tcPr>
            <w:tcW w:w="1907" w:type="dxa"/>
            <w:noWrap w:val="0"/>
            <w:vAlign w:val="center"/>
          </w:tcPr>
          <w:p w14:paraId="36F2FEF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32EEC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78F296F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131</w:t>
            </w:r>
          </w:p>
        </w:tc>
        <w:tc>
          <w:tcPr>
            <w:tcW w:w="7019" w:type="dxa"/>
            <w:noWrap w:val="0"/>
            <w:vAlign w:val="center"/>
          </w:tcPr>
          <w:p w14:paraId="5452FB9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《钢结构工程施工质量验收规范》  GB 50205-2001</w:t>
            </w:r>
          </w:p>
        </w:tc>
        <w:tc>
          <w:tcPr>
            <w:tcW w:w="1907" w:type="dxa"/>
            <w:noWrap w:val="0"/>
            <w:vAlign w:val="center"/>
          </w:tcPr>
          <w:p w14:paraId="346D1BB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377C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0C7EF4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132</w:t>
            </w:r>
          </w:p>
        </w:tc>
        <w:tc>
          <w:tcPr>
            <w:tcW w:w="7019" w:type="dxa"/>
            <w:noWrap w:val="0"/>
            <w:vAlign w:val="center"/>
          </w:tcPr>
          <w:p w14:paraId="64686E1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《钢筋焊接及验收规程》JGJ 18-2012</w:t>
            </w:r>
          </w:p>
        </w:tc>
        <w:tc>
          <w:tcPr>
            <w:tcW w:w="1907" w:type="dxa"/>
            <w:noWrap w:val="0"/>
            <w:vAlign w:val="center"/>
          </w:tcPr>
          <w:p w14:paraId="5B767C2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C561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10D119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133</w:t>
            </w:r>
          </w:p>
        </w:tc>
        <w:tc>
          <w:tcPr>
            <w:tcW w:w="7019" w:type="dxa"/>
            <w:noWrap w:val="0"/>
            <w:vAlign w:val="center"/>
          </w:tcPr>
          <w:p w14:paraId="3DA2B6C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《钢结构设计标准》GB 50017-2017</w:t>
            </w:r>
          </w:p>
        </w:tc>
        <w:tc>
          <w:tcPr>
            <w:tcW w:w="1907" w:type="dxa"/>
            <w:noWrap w:val="0"/>
            <w:vAlign w:val="center"/>
          </w:tcPr>
          <w:p w14:paraId="5B7F6FA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2EE7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2D9257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134</w:t>
            </w:r>
          </w:p>
        </w:tc>
        <w:tc>
          <w:tcPr>
            <w:tcW w:w="7019" w:type="dxa"/>
            <w:noWrap w:val="0"/>
            <w:vAlign w:val="center"/>
          </w:tcPr>
          <w:p w14:paraId="35F831C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《混凝土结构设计规范》 GB 50010-2010</w:t>
            </w:r>
          </w:p>
        </w:tc>
        <w:tc>
          <w:tcPr>
            <w:tcW w:w="1907" w:type="dxa"/>
            <w:noWrap w:val="0"/>
            <w:vAlign w:val="center"/>
          </w:tcPr>
          <w:p w14:paraId="7B3AC2D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0FFA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676AFA3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135</w:t>
            </w:r>
          </w:p>
        </w:tc>
        <w:tc>
          <w:tcPr>
            <w:tcW w:w="7019" w:type="dxa"/>
            <w:noWrap w:val="0"/>
            <w:vAlign w:val="center"/>
          </w:tcPr>
          <w:p w14:paraId="2CA9826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《高压电缆选用导则》DL/T 401-2017</w:t>
            </w:r>
          </w:p>
        </w:tc>
        <w:tc>
          <w:tcPr>
            <w:tcW w:w="1907" w:type="dxa"/>
            <w:noWrap w:val="0"/>
            <w:vAlign w:val="center"/>
          </w:tcPr>
          <w:p w14:paraId="2F06B5C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0C469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60439F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136</w:t>
            </w:r>
          </w:p>
        </w:tc>
        <w:tc>
          <w:tcPr>
            <w:tcW w:w="7019" w:type="dxa"/>
            <w:noWrap w:val="0"/>
            <w:vAlign w:val="center"/>
          </w:tcPr>
          <w:p w14:paraId="0774095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《高压绝缘子瓷件技术条件》GB/T 772-2005</w:t>
            </w:r>
          </w:p>
        </w:tc>
        <w:tc>
          <w:tcPr>
            <w:tcW w:w="1907" w:type="dxa"/>
            <w:noWrap w:val="0"/>
            <w:vAlign w:val="center"/>
          </w:tcPr>
          <w:p w14:paraId="50C77C9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6EBE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320643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137</w:t>
            </w:r>
          </w:p>
        </w:tc>
        <w:tc>
          <w:tcPr>
            <w:tcW w:w="7019" w:type="dxa"/>
            <w:noWrap w:val="0"/>
            <w:vAlign w:val="center"/>
          </w:tcPr>
          <w:p w14:paraId="2B2D0F8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《工程测量规范(附条文说明)》GB 50026-2007</w:t>
            </w:r>
          </w:p>
        </w:tc>
        <w:tc>
          <w:tcPr>
            <w:tcW w:w="1907" w:type="dxa"/>
            <w:noWrap w:val="0"/>
            <w:vAlign w:val="center"/>
          </w:tcPr>
          <w:p w14:paraId="5180FDD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0496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B3441A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138</w:t>
            </w:r>
          </w:p>
        </w:tc>
        <w:tc>
          <w:tcPr>
            <w:tcW w:w="7019" w:type="dxa"/>
            <w:noWrap w:val="0"/>
            <w:vAlign w:val="center"/>
          </w:tcPr>
          <w:p w14:paraId="34BE4C6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《供配电系统设计规范》  GB50052-2009</w:t>
            </w:r>
          </w:p>
        </w:tc>
        <w:tc>
          <w:tcPr>
            <w:tcW w:w="1907" w:type="dxa"/>
            <w:noWrap w:val="0"/>
            <w:vAlign w:val="center"/>
          </w:tcPr>
          <w:p w14:paraId="323359A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53BE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0275FE5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139</w:t>
            </w:r>
          </w:p>
        </w:tc>
        <w:tc>
          <w:tcPr>
            <w:tcW w:w="7019" w:type="dxa"/>
            <w:noWrap w:val="0"/>
            <w:vAlign w:val="center"/>
          </w:tcPr>
          <w:p w14:paraId="2FE7CA1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《灌注桩基础技术规程(附条文说明)》YSJ 212-1992</w:t>
            </w:r>
          </w:p>
        </w:tc>
        <w:tc>
          <w:tcPr>
            <w:tcW w:w="1907" w:type="dxa"/>
            <w:noWrap w:val="0"/>
            <w:vAlign w:val="center"/>
          </w:tcPr>
          <w:p w14:paraId="7607C0B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313F0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1E4759F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140</w:t>
            </w:r>
          </w:p>
        </w:tc>
        <w:tc>
          <w:tcPr>
            <w:tcW w:w="7019" w:type="dxa"/>
            <w:noWrap w:val="0"/>
            <w:vAlign w:val="center"/>
          </w:tcPr>
          <w:p w14:paraId="3160B58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《混凝土结构工程施工质量验收规范》GB 50204-2015</w:t>
            </w:r>
          </w:p>
        </w:tc>
        <w:tc>
          <w:tcPr>
            <w:tcW w:w="1907" w:type="dxa"/>
            <w:noWrap w:val="0"/>
            <w:vAlign w:val="center"/>
          </w:tcPr>
          <w:p w14:paraId="5E8E58A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3AF06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F78C67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141</w:t>
            </w:r>
          </w:p>
        </w:tc>
        <w:tc>
          <w:tcPr>
            <w:tcW w:w="7019" w:type="dxa"/>
            <w:noWrap w:val="0"/>
            <w:vAlign w:val="center"/>
          </w:tcPr>
          <w:p w14:paraId="4FFC5E8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《混凝土强度检验评定标准》GB/T 50107-2010</w:t>
            </w:r>
          </w:p>
        </w:tc>
        <w:tc>
          <w:tcPr>
            <w:tcW w:w="1907" w:type="dxa"/>
            <w:noWrap w:val="0"/>
            <w:vAlign w:val="center"/>
          </w:tcPr>
          <w:p w14:paraId="74AF874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70CB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142CBAD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142</w:t>
            </w:r>
          </w:p>
        </w:tc>
        <w:tc>
          <w:tcPr>
            <w:tcW w:w="7019" w:type="dxa"/>
            <w:noWrap w:val="0"/>
            <w:vAlign w:val="center"/>
          </w:tcPr>
          <w:p w14:paraId="09E64FB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《混凝土质量控制标准》GB 50164-2011</w:t>
            </w:r>
          </w:p>
        </w:tc>
        <w:tc>
          <w:tcPr>
            <w:tcW w:w="1907" w:type="dxa"/>
            <w:noWrap w:val="0"/>
            <w:vAlign w:val="center"/>
          </w:tcPr>
          <w:p w14:paraId="2804580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D28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4FB9F3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143</w:t>
            </w:r>
          </w:p>
        </w:tc>
        <w:tc>
          <w:tcPr>
            <w:tcW w:w="7019" w:type="dxa"/>
            <w:noWrap w:val="0"/>
            <w:vAlign w:val="center"/>
          </w:tcPr>
          <w:p w14:paraId="036E2F3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《火力发电厂、变电站二次接线设计技术规程 》DL/T 5136-2012</w:t>
            </w:r>
          </w:p>
        </w:tc>
        <w:tc>
          <w:tcPr>
            <w:tcW w:w="1907" w:type="dxa"/>
            <w:noWrap w:val="0"/>
            <w:vAlign w:val="center"/>
          </w:tcPr>
          <w:p w14:paraId="4846949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DEA9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773568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144</w:t>
            </w:r>
          </w:p>
        </w:tc>
        <w:tc>
          <w:tcPr>
            <w:tcW w:w="7019" w:type="dxa"/>
            <w:noWrap w:val="0"/>
            <w:vAlign w:val="center"/>
          </w:tcPr>
          <w:p w14:paraId="4F8C162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《火力发电厂与变电站设计防火标准》GB 50229-2019</w:t>
            </w:r>
          </w:p>
        </w:tc>
        <w:tc>
          <w:tcPr>
            <w:tcW w:w="1907" w:type="dxa"/>
            <w:noWrap w:val="0"/>
            <w:vAlign w:val="center"/>
          </w:tcPr>
          <w:p w14:paraId="45AE4B15">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B84B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5DB73A5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145</w:t>
            </w:r>
          </w:p>
        </w:tc>
        <w:tc>
          <w:tcPr>
            <w:tcW w:w="7019" w:type="dxa"/>
            <w:noWrap w:val="0"/>
            <w:vAlign w:val="center"/>
          </w:tcPr>
          <w:p w14:paraId="4FD9479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《继电保护和安全自动装置技术规程》GB/T 14285-2006</w:t>
            </w:r>
          </w:p>
        </w:tc>
        <w:tc>
          <w:tcPr>
            <w:tcW w:w="1907" w:type="dxa"/>
            <w:noWrap w:val="0"/>
            <w:vAlign w:val="center"/>
          </w:tcPr>
          <w:p w14:paraId="2C0722E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339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751F890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146</w:t>
            </w:r>
          </w:p>
        </w:tc>
        <w:tc>
          <w:tcPr>
            <w:tcW w:w="7019" w:type="dxa"/>
            <w:noWrap w:val="0"/>
            <w:vAlign w:val="center"/>
          </w:tcPr>
          <w:p w14:paraId="6E1ADE7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《架空电力线路内爆压接施工工艺规程》SDJ 277-1990</w:t>
            </w:r>
          </w:p>
        </w:tc>
        <w:tc>
          <w:tcPr>
            <w:tcW w:w="1907" w:type="dxa"/>
            <w:noWrap w:val="0"/>
            <w:vAlign w:val="center"/>
          </w:tcPr>
          <w:p w14:paraId="4F251295">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A910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2D494B7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147</w:t>
            </w:r>
          </w:p>
        </w:tc>
        <w:tc>
          <w:tcPr>
            <w:tcW w:w="7019" w:type="dxa"/>
            <w:noWrap w:val="0"/>
            <w:vAlign w:val="center"/>
          </w:tcPr>
          <w:p w14:paraId="223F00C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《架空送电线路钢管杆设计技术规定》(DL/T5130一2001)</w:t>
            </w:r>
          </w:p>
        </w:tc>
        <w:tc>
          <w:tcPr>
            <w:tcW w:w="1907" w:type="dxa"/>
            <w:noWrap w:val="0"/>
            <w:vAlign w:val="center"/>
          </w:tcPr>
          <w:p w14:paraId="7B7D3B8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E456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0B4AAE8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148</w:t>
            </w:r>
          </w:p>
        </w:tc>
        <w:tc>
          <w:tcPr>
            <w:tcW w:w="7019" w:type="dxa"/>
            <w:noWrap w:val="0"/>
            <w:vAlign w:val="center"/>
          </w:tcPr>
          <w:p w14:paraId="1E25926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《电力工程电缆设计标准》GB50217-2018</w:t>
            </w:r>
          </w:p>
        </w:tc>
        <w:tc>
          <w:tcPr>
            <w:tcW w:w="1907" w:type="dxa"/>
            <w:noWrap w:val="0"/>
            <w:vAlign w:val="center"/>
          </w:tcPr>
          <w:p w14:paraId="6BA28E7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5187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7B7DED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149</w:t>
            </w:r>
          </w:p>
        </w:tc>
        <w:tc>
          <w:tcPr>
            <w:tcW w:w="7019" w:type="dxa"/>
            <w:noWrap w:val="0"/>
            <w:vAlign w:val="center"/>
          </w:tcPr>
          <w:p w14:paraId="17EA769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《建设工程监理规范》GB/T50319-2013</w:t>
            </w:r>
          </w:p>
        </w:tc>
        <w:tc>
          <w:tcPr>
            <w:tcW w:w="1907" w:type="dxa"/>
            <w:noWrap w:val="0"/>
            <w:vAlign w:val="center"/>
          </w:tcPr>
          <w:p w14:paraId="1437162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5D06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0BE980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150</w:t>
            </w:r>
          </w:p>
        </w:tc>
        <w:tc>
          <w:tcPr>
            <w:tcW w:w="7019" w:type="dxa"/>
            <w:noWrap w:val="0"/>
            <w:vAlign w:val="center"/>
          </w:tcPr>
          <w:p w14:paraId="4059B1B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《电力建设工程监理规范》(DL/T 5434-2009)</w:t>
            </w:r>
          </w:p>
        </w:tc>
        <w:tc>
          <w:tcPr>
            <w:tcW w:w="1907" w:type="dxa"/>
            <w:noWrap w:val="0"/>
            <w:vAlign w:val="center"/>
          </w:tcPr>
          <w:p w14:paraId="166F591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B1D5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3497AF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151</w:t>
            </w:r>
          </w:p>
        </w:tc>
        <w:tc>
          <w:tcPr>
            <w:tcW w:w="7019" w:type="dxa"/>
            <w:noWrap w:val="0"/>
            <w:vAlign w:val="center"/>
          </w:tcPr>
          <w:p w14:paraId="16A6602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《建筑工程施工质量验收统一标准》 GB 50300-2013</w:t>
            </w:r>
          </w:p>
        </w:tc>
        <w:tc>
          <w:tcPr>
            <w:tcW w:w="1907" w:type="dxa"/>
            <w:noWrap w:val="0"/>
            <w:vAlign w:val="center"/>
          </w:tcPr>
          <w:p w14:paraId="4FC3EC3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B14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AB5C5F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152</w:t>
            </w:r>
          </w:p>
        </w:tc>
        <w:tc>
          <w:tcPr>
            <w:tcW w:w="7019" w:type="dxa"/>
            <w:noWrap w:val="0"/>
            <w:vAlign w:val="center"/>
          </w:tcPr>
          <w:p w14:paraId="33FCCF3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《工程建设标准强制性条文》（房屋建筑部分）（2013版）</w:t>
            </w:r>
          </w:p>
        </w:tc>
        <w:tc>
          <w:tcPr>
            <w:tcW w:w="1907" w:type="dxa"/>
            <w:noWrap w:val="0"/>
            <w:vAlign w:val="center"/>
          </w:tcPr>
          <w:p w14:paraId="5016DF8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3799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7691C7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153</w:t>
            </w:r>
          </w:p>
        </w:tc>
        <w:tc>
          <w:tcPr>
            <w:tcW w:w="7019" w:type="dxa"/>
            <w:noWrap w:val="0"/>
            <w:vAlign w:val="center"/>
          </w:tcPr>
          <w:p w14:paraId="6E5DA6B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《建设工程项目管理规范》 GB/T 50326-2017</w:t>
            </w:r>
          </w:p>
        </w:tc>
        <w:tc>
          <w:tcPr>
            <w:tcW w:w="1907" w:type="dxa"/>
            <w:noWrap w:val="0"/>
            <w:vAlign w:val="center"/>
          </w:tcPr>
          <w:p w14:paraId="67F20EC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3101A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5D1C45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154</w:t>
            </w:r>
          </w:p>
        </w:tc>
        <w:tc>
          <w:tcPr>
            <w:tcW w:w="7019" w:type="dxa"/>
            <w:noWrap w:val="0"/>
            <w:vAlign w:val="center"/>
          </w:tcPr>
          <w:p w14:paraId="693D2C3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《建设工程文件归档规范》GB/T 50328-2014</w:t>
            </w:r>
          </w:p>
        </w:tc>
        <w:tc>
          <w:tcPr>
            <w:tcW w:w="1907" w:type="dxa"/>
            <w:noWrap w:val="0"/>
            <w:vAlign w:val="center"/>
          </w:tcPr>
          <w:p w14:paraId="6DC7B4A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75DAD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C2775D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155</w:t>
            </w:r>
          </w:p>
        </w:tc>
        <w:tc>
          <w:tcPr>
            <w:tcW w:w="7019" w:type="dxa"/>
            <w:noWrap w:val="0"/>
            <w:vAlign w:val="center"/>
          </w:tcPr>
          <w:p w14:paraId="7B731A0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《建设项目档案管理规范》DA/T28-2018</w:t>
            </w:r>
          </w:p>
        </w:tc>
        <w:tc>
          <w:tcPr>
            <w:tcW w:w="1907" w:type="dxa"/>
            <w:noWrap w:val="0"/>
            <w:vAlign w:val="center"/>
          </w:tcPr>
          <w:p w14:paraId="4AF13F3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29E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BDB482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156</w:t>
            </w:r>
          </w:p>
        </w:tc>
        <w:tc>
          <w:tcPr>
            <w:tcW w:w="7019" w:type="dxa"/>
            <w:noWrap w:val="0"/>
            <w:vAlign w:val="center"/>
          </w:tcPr>
          <w:p w14:paraId="780D869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《建筑基桩检测技术规范》JGJ 106-2014</w:t>
            </w:r>
          </w:p>
        </w:tc>
        <w:tc>
          <w:tcPr>
            <w:tcW w:w="1907" w:type="dxa"/>
            <w:noWrap w:val="0"/>
            <w:vAlign w:val="center"/>
          </w:tcPr>
          <w:p w14:paraId="1E46086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A8B9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819989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157</w:t>
            </w:r>
          </w:p>
        </w:tc>
        <w:tc>
          <w:tcPr>
            <w:tcW w:w="7019" w:type="dxa"/>
            <w:noWrap w:val="0"/>
            <w:vAlign w:val="center"/>
          </w:tcPr>
          <w:p w14:paraId="67CE48D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《建筑地基处理技术规范》JGJ 79-2012</w:t>
            </w:r>
          </w:p>
        </w:tc>
        <w:tc>
          <w:tcPr>
            <w:tcW w:w="1907" w:type="dxa"/>
            <w:noWrap w:val="0"/>
            <w:vAlign w:val="center"/>
          </w:tcPr>
          <w:p w14:paraId="556400C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A44D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B20CAE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158</w:t>
            </w:r>
          </w:p>
        </w:tc>
        <w:tc>
          <w:tcPr>
            <w:tcW w:w="7019" w:type="dxa"/>
            <w:noWrap w:val="0"/>
            <w:vAlign w:val="center"/>
          </w:tcPr>
          <w:p w14:paraId="4FEC11E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《建筑地基基础设计规范》GB 50027-2011</w:t>
            </w:r>
          </w:p>
        </w:tc>
        <w:tc>
          <w:tcPr>
            <w:tcW w:w="1907" w:type="dxa"/>
            <w:noWrap w:val="0"/>
            <w:vAlign w:val="center"/>
          </w:tcPr>
          <w:p w14:paraId="5B0C93E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B7F6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FBDA14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159</w:t>
            </w:r>
          </w:p>
        </w:tc>
        <w:tc>
          <w:tcPr>
            <w:tcW w:w="7019" w:type="dxa"/>
            <w:noWrap w:val="0"/>
            <w:vAlign w:val="center"/>
          </w:tcPr>
          <w:p w14:paraId="2A8C548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《建筑地基基础工程施工质量验收标准》GB 50202-2018</w:t>
            </w:r>
          </w:p>
        </w:tc>
        <w:tc>
          <w:tcPr>
            <w:tcW w:w="1907" w:type="dxa"/>
            <w:noWrap w:val="0"/>
            <w:vAlign w:val="center"/>
          </w:tcPr>
          <w:p w14:paraId="0118D4C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723A2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4B9817B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160</w:t>
            </w:r>
          </w:p>
        </w:tc>
        <w:tc>
          <w:tcPr>
            <w:tcW w:w="7019" w:type="dxa"/>
            <w:noWrap w:val="0"/>
            <w:vAlign w:val="center"/>
          </w:tcPr>
          <w:p w14:paraId="2C3B80D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《建筑地面工程施工质量验收规范》 GB 50209-2010</w:t>
            </w:r>
          </w:p>
        </w:tc>
        <w:tc>
          <w:tcPr>
            <w:tcW w:w="1907" w:type="dxa"/>
            <w:noWrap w:val="0"/>
            <w:vAlign w:val="center"/>
          </w:tcPr>
          <w:p w14:paraId="3526D64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EC2E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596790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161</w:t>
            </w:r>
          </w:p>
        </w:tc>
        <w:tc>
          <w:tcPr>
            <w:tcW w:w="7019" w:type="dxa"/>
            <w:noWrap w:val="0"/>
            <w:vAlign w:val="center"/>
          </w:tcPr>
          <w:p w14:paraId="74147BB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《建筑电气工程施工质量验收规范》GB50303-2015</w:t>
            </w:r>
          </w:p>
        </w:tc>
        <w:tc>
          <w:tcPr>
            <w:tcW w:w="1907" w:type="dxa"/>
            <w:noWrap w:val="0"/>
            <w:vAlign w:val="center"/>
          </w:tcPr>
          <w:p w14:paraId="2D58072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F65F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4EFF8F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162</w:t>
            </w:r>
          </w:p>
        </w:tc>
        <w:tc>
          <w:tcPr>
            <w:tcW w:w="7019" w:type="dxa"/>
            <w:noWrap w:val="0"/>
            <w:vAlign w:val="center"/>
          </w:tcPr>
          <w:p w14:paraId="7DEC0A2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《建筑电气工程施工质量验收规范》GB 50303-2015</w:t>
            </w:r>
          </w:p>
        </w:tc>
        <w:tc>
          <w:tcPr>
            <w:tcW w:w="1907" w:type="dxa"/>
            <w:noWrap w:val="0"/>
            <w:vAlign w:val="center"/>
          </w:tcPr>
          <w:p w14:paraId="1FD8C83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A182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34766D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163</w:t>
            </w:r>
          </w:p>
        </w:tc>
        <w:tc>
          <w:tcPr>
            <w:tcW w:w="7019" w:type="dxa"/>
            <w:noWrap w:val="0"/>
            <w:vAlign w:val="center"/>
          </w:tcPr>
          <w:p w14:paraId="6E87E42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《建筑钢结构防火设计规程（附条文说明）》DG/TJ 08-20008-2000</w:t>
            </w:r>
          </w:p>
        </w:tc>
        <w:tc>
          <w:tcPr>
            <w:tcW w:w="1907" w:type="dxa"/>
            <w:noWrap w:val="0"/>
            <w:vAlign w:val="center"/>
          </w:tcPr>
          <w:p w14:paraId="7E72C02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5744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F8C108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164</w:t>
            </w:r>
          </w:p>
        </w:tc>
        <w:tc>
          <w:tcPr>
            <w:tcW w:w="7019" w:type="dxa"/>
            <w:noWrap w:val="0"/>
            <w:vAlign w:val="center"/>
          </w:tcPr>
          <w:p w14:paraId="57A0BA9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《建筑给水排水及采暖工程施工质量验收规范》GB50242-2002</w:t>
            </w:r>
          </w:p>
        </w:tc>
        <w:tc>
          <w:tcPr>
            <w:tcW w:w="1907" w:type="dxa"/>
            <w:noWrap w:val="0"/>
            <w:vAlign w:val="center"/>
          </w:tcPr>
          <w:p w14:paraId="5CD8FED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B50A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46305A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165</w:t>
            </w:r>
          </w:p>
        </w:tc>
        <w:tc>
          <w:tcPr>
            <w:tcW w:w="7019" w:type="dxa"/>
            <w:noWrap w:val="0"/>
            <w:vAlign w:val="center"/>
          </w:tcPr>
          <w:p w14:paraId="0940B4A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《建筑工程抗震设防分类标准》GB 50223-2008</w:t>
            </w:r>
          </w:p>
        </w:tc>
        <w:tc>
          <w:tcPr>
            <w:tcW w:w="1907" w:type="dxa"/>
            <w:noWrap w:val="0"/>
            <w:vAlign w:val="center"/>
          </w:tcPr>
          <w:p w14:paraId="49E38F7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09F25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78D526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166</w:t>
            </w:r>
          </w:p>
        </w:tc>
        <w:tc>
          <w:tcPr>
            <w:tcW w:w="7019" w:type="dxa"/>
            <w:noWrap w:val="0"/>
            <w:vAlign w:val="center"/>
          </w:tcPr>
          <w:p w14:paraId="6F53027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《建筑结构荷载规范》GB 5009-2012</w:t>
            </w:r>
          </w:p>
        </w:tc>
        <w:tc>
          <w:tcPr>
            <w:tcW w:w="1907" w:type="dxa"/>
            <w:noWrap w:val="0"/>
            <w:vAlign w:val="center"/>
          </w:tcPr>
          <w:p w14:paraId="6458E1C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0172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C2DC81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167</w:t>
            </w:r>
          </w:p>
        </w:tc>
        <w:tc>
          <w:tcPr>
            <w:tcW w:w="7019" w:type="dxa"/>
            <w:noWrap w:val="0"/>
            <w:vAlign w:val="center"/>
          </w:tcPr>
          <w:p w14:paraId="30AA9B6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《建筑结构检测技术标准》GB/T 50344-2004</w:t>
            </w:r>
          </w:p>
        </w:tc>
        <w:tc>
          <w:tcPr>
            <w:tcW w:w="1907" w:type="dxa"/>
            <w:noWrap w:val="0"/>
            <w:vAlign w:val="center"/>
          </w:tcPr>
          <w:p w14:paraId="6C53E39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C54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E64A12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168</w:t>
            </w:r>
          </w:p>
        </w:tc>
        <w:tc>
          <w:tcPr>
            <w:tcW w:w="7019" w:type="dxa"/>
            <w:noWrap w:val="0"/>
            <w:vAlign w:val="center"/>
          </w:tcPr>
          <w:p w14:paraId="1A15A38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《建筑抗震设计规范（附条文说明）》GB 50011-2010</w:t>
            </w:r>
          </w:p>
        </w:tc>
        <w:tc>
          <w:tcPr>
            <w:tcW w:w="1907" w:type="dxa"/>
            <w:noWrap w:val="0"/>
            <w:vAlign w:val="center"/>
          </w:tcPr>
          <w:p w14:paraId="09656C7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BA9C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199CE4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169</w:t>
            </w:r>
          </w:p>
        </w:tc>
        <w:tc>
          <w:tcPr>
            <w:tcW w:w="7019" w:type="dxa"/>
            <w:noWrap w:val="0"/>
            <w:vAlign w:val="center"/>
          </w:tcPr>
          <w:p w14:paraId="123DF13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《建筑气象参数标准》JGJ 35-1987</w:t>
            </w:r>
          </w:p>
        </w:tc>
        <w:tc>
          <w:tcPr>
            <w:tcW w:w="1907" w:type="dxa"/>
            <w:noWrap w:val="0"/>
            <w:vAlign w:val="center"/>
          </w:tcPr>
          <w:p w14:paraId="6AC1877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CE5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4544D5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170</w:t>
            </w:r>
          </w:p>
        </w:tc>
        <w:tc>
          <w:tcPr>
            <w:tcW w:w="7019" w:type="dxa"/>
            <w:noWrap w:val="0"/>
            <w:vAlign w:val="center"/>
          </w:tcPr>
          <w:p w14:paraId="2C035D6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《建筑设计防火规范》GB 50016-2014</w:t>
            </w:r>
          </w:p>
        </w:tc>
        <w:tc>
          <w:tcPr>
            <w:tcW w:w="1907" w:type="dxa"/>
            <w:noWrap w:val="0"/>
            <w:vAlign w:val="center"/>
          </w:tcPr>
          <w:p w14:paraId="2490F15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9CD4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80DB7D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171</w:t>
            </w:r>
          </w:p>
        </w:tc>
        <w:tc>
          <w:tcPr>
            <w:tcW w:w="7019" w:type="dxa"/>
            <w:noWrap w:val="0"/>
            <w:vAlign w:val="center"/>
          </w:tcPr>
          <w:p w14:paraId="4E84D5F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《建筑桩基技术规范》、《建筑地基基础设计规范》JGJ94-2008、GB50007-2011</w:t>
            </w:r>
          </w:p>
        </w:tc>
        <w:tc>
          <w:tcPr>
            <w:tcW w:w="1907" w:type="dxa"/>
            <w:noWrap w:val="0"/>
            <w:vAlign w:val="center"/>
          </w:tcPr>
          <w:p w14:paraId="6052258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7D3D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F4CA6B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172</w:t>
            </w:r>
          </w:p>
        </w:tc>
        <w:tc>
          <w:tcPr>
            <w:tcW w:w="7019" w:type="dxa"/>
            <w:noWrap w:val="0"/>
            <w:vAlign w:val="center"/>
          </w:tcPr>
          <w:p w14:paraId="0BE3E54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《建筑装饰装修工程质量验收规范》GB 50210-2018</w:t>
            </w:r>
          </w:p>
        </w:tc>
        <w:tc>
          <w:tcPr>
            <w:tcW w:w="1907" w:type="dxa"/>
            <w:noWrap w:val="0"/>
            <w:vAlign w:val="center"/>
          </w:tcPr>
          <w:p w14:paraId="5DDBE3F5">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32D92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EF8E5F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173</w:t>
            </w:r>
          </w:p>
        </w:tc>
        <w:tc>
          <w:tcPr>
            <w:tcW w:w="7019" w:type="dxa"/>
            <w:noWrap w:val="0"/>
            <w:vAlign w:val="center"/>
          </w:tcPr>
          <w:p w14:paraId="70E5D9A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《建设用卵石、碎石》GB/T 14685-2011</w:t>
            </w:r>
          </w:p>
        </w:tc>
        <w:tc>
          <w:tcPr>
            <w:tcW w:w="1907" w:type="dxa"/>
            <w:noWrap w:val="0"/>
            <w:vAlign w:val="center"/>
          </w:tcPr>
          <w:p w14:paraId="7B62E2C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27D0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68D046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174</w:t>
            </w:r>
          </w:p>
        </w:tc>
        <w:tc>
          <w:tcPr>
            <w:tcW w:w="7019" w:type="dxa"/>
            <w:noWrap w:val="0"/>
            <w:vAlign w:val="center"/>
          </w:tcPr>
          <w:p w14:paraId="7F884A9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《建设用砂》GB/T 14684-2011</w:t>
            </w:r>
          </w:p>
        </w:tc>
        <w:tc>
          <w:tcPr>
            <w:tcW w:w="1907" w:type="dxa"/>
            <w:noWrap w:val="0"/>
            <w:vAlign w:val="center"/>
          </w:tcPr>
          <w:p w14:paraId="7B8473F5">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35FE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2A425D9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175</w:t>
            </w:r>
          </w:p>
        </w:tc>
        <w:tc>
          <w:tcPr>
            <w:tcW w:w="7019" w:type="dxa"/>
            <w:noWrap w:val="0"/>
            <w:vAlign w:val="center"/>
          </w:tcPr>
          <w:p w14:paraId="31D8154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《交流110kV交联聚乙烯绝缘电缆及其附件订货技术规范》DL 509-1993</w:t>
            </w:r>
          </w:p>
        </w:tc>
        <w:tc>
          <w:tcPr>
            <w:tcW w:w="1907" w:type="dxa"/>
            <w:noWrap w:val="0"/>
            <w:vAlign w:val="center"/>
          </w:tcPr>
          <w:p w14:paraId="71D9E95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80B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EB6AD3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176</w:t>
            </w:r>
          </w:p>
        </w:tc>
        <w:tc>
          <w:tcPr>
            <w:tcW w:w="7019" w:type="dxa"/>
            <w:noWrap w:val="0"/>
            <w:vAlign w:val="center"/>
          </w:tcPr>
          <w:p w14:paraId="5F2C773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《紧固件机械性能》（GB/T 3098.1-2010、GB/T 3098.2-2015、GB/T 3098.3-2016、GB/T 3098.5-2016、GB/T 3098.6-2014、GB/T 3098.7-2000、GB/T 3098.8-2010、GB/T 3098.9-2010、GB/T 3098.10-1993、GB/T 3098.11-2002、GB/T 3098.12-1996、GB/T 3098.13-1996、GB/T 3098.14-2000、GB/T 3098.15-2014、GB/T 3098.16-2014、GB/T 3098.17-2000、GB/T 3098.18-2004、GB/T 3098.19-2004、GB/T 3098.20-2004、GB/T 3098.21-2014、GB/T 3098.22-2009）</w:t>
            </w:r>
          </w:p>
        </w:tc>
        <w:tc>
          <w:tcPr>
            <w:tcW w:w="1907" w:type="dxa"/>
            <w:noWrap w:val="0"/>
            <w:vAlign w:val="center"/>
          </w:tcPr>
          <w:p w14:paraId="4DB8CDE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BD49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F0DFD5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177</w:t>
            </w:r>
          </w:p>
        </w:tc>
        <w:tc>
          <w:tcPr>
            <w:tcW w:w="7019" w:type="dxa"/>
            <w:noWrap w:val="0"/>
            <w:vAlign w:val="center"/>
          </w:tcPr>
          <w:p w14:paraId="64BC5FC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《民用建筑电气设计规范(附条文说明[另册])》 JGJ 16-2008</w:t>
            </w:r>
          </w:p>
        </w:tc>
        <w:tc>
          <w:tcPr>
            <w:tcW w:w="1907" w:type="dxa"/>
            <w:noWrap w:val="0"/>
            <w:vAlign w:val="center"/>
          </w:tcPr>
          <w:p w14:paraId="680E06A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7EE5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027609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178</w:t>
            </w:r>
          </w:p>
        </w:tc>
        <w:tc>
          <w:tcPr>
            <w:tcW w:w="7019" w:type="dxa"/>
            <w:noWrap w:val="0"/>
            <w:vAlign w:val="center"/>
          </w:tcPr>
          <w:p w14:paraId="2C93BA4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《木结构工程施工质量验收规范》 GB 50206-2012</w:t>
            </w:r>
          </w:p>
        </w:tc>
        <w:tc>
          <w:tcPr>
            <w:tcW w:w="1907" w:type="dxa"/>
            <w:noWrap w:val="0"/>
            <w:vAlign w:val="center"/>
          </w:tcPr>
          <w:p w14:paraId="3C9FCF6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D250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FC8D60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179</w:t>
            </w:r>
          </w:p>
        </w:tc>
        <w:tc>
          <w:tcPr>
            <w:tcW w:w="7019" w:type="dxa"/>
            <w:noWrap w:val="0"/>
            <w:vAlign w:val="center"/>
          </w:tcPr>
          <w:p w14:paraId="59DF4BF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《普通混凝土力学性能试验方法标准》GB/T 50081-2002</w:t>
            </w:r>
          </w:p>
        </w:tc>
        <w:tc>
          <w:tcPr>
            <w:tcW w:w="1907" w:type="dxa"/>
            <w:noWrap w:val="0"/>
            <w:vAlign w:val="center"/>
          </w:tcPr>
          <w:p w14:paraId="71E47FB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9ECA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5C8C26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180</w:t>
            </w:r>
          </w:p>
        </w:tc>
        <w:tc>
          <w:tcPr>
            <w:tcW w:w="7019" w:type="dxa"/>
            <w:noWrap w:val="0"/>
            <w:vAlign w:val="center"/>
          </w:tcPr>
          <w:p w14:paraId="4A0F721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《普通混凝土配合比设计规程》JGJ 55-2011</w:t>
            </w:r>
          </w:p>
        </w:tc>
        <w:tc>
          <w:tcPr>
            <w:tcW w:w="1907" w:type="dxa"/>
            <w:noWrap w:val="0"/>
            <w:vAlign w:val="center"/>
          </w:tcPr>
          <w:p w14:paraId="74887DD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251D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0077FA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181</w:t>
            </w:r>
          </w:p>
        </w:tc>
        <w:tc>
          <w:tcPr>
            <w:tcW w:w="7019" w:type="dxa"/>
            <w:noWrap w:val="0"/>
            <w:vAlign w:val="center"/>
          </w:tcPr>
          <w:p w14:paraId="5F78867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《普通混凝土用砂、石质量及检验方法标准》JGJ 52-2006</w:t>
            </w:r>
          </w:p>
        </w:tc>
        <w:tc>
          <w:tcPr>
            <w:tcW w:w="1907" w:type="dxa"/>
            <w:noWrap w:val="0"/>
            <w:vAlign w:val="center"/>
          </w:tcPr>
          <w:p w14:paraId="04F25B6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B8E5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18F8DB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182</w:t>
            </w:r>
          </w:p>
        </w:tc>
        <w:tc>
          <w:tcPr>
            <w:tcW w:w="7019" w:type="dxa"/>
            <w:noWrap w:val="0"/>
            <w:vAlign w:val="center"/>
          </w:tcPr>
          <w:p w14:paraId="6611F96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《砌体结构工程施工质量验收规范 》GB 50203-2011</w:t>
            </w:r>
          </w:p>
        </w:tc>
        <w:tc>
          <w:tcPr>
            <w:tcW w:w="1907" w:type="dxa"/>
            <w:noWrap w:val="0"/>
            <w:vAlign w:val="center"/>
          </w:tcPr>
          <w:p w14:paraId="003A984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0E5B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6CA1B7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183</w:t>
            </w:r>
          </w:p>
        </w:tc>
        <w:tc>
          <w:tcPr>
            <w:tcW w:w="7019" w:type="dxa"/>
            <w:noWrap w:val="0"/>
            <w:vAlign w:val="center"/>
          </w:tcPr>
          <w:p w14:paraId="23C9678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《砌体结构设计规范》GB 50003-2011</w:t>
            </w:r>
          </w:p>
        </w:tc>
        <w:tc>
          <w:tcPr>
            <w:tcW w:w="1907" w:type="dxa"/>
            <w:noWrap w:val="0"/>
            <w:vAlign w:val="center"/>
          </w:tcPr>
          <w:p w14:paraId="6A70A7D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150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C38B5E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184</w:t>
            </w:r>
          </w:p>
        </w:tc>
        <w:tc>
          <w:tcPr>
            <w:tcW w:w="7019" w:type="dxa"/>
            <w:noWrap w:val="0"/>
            <w:vAlign w:val="center"/>
          </w:tcPr>
          <w:p w14:paraId="458E1C0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《砌筑砂浆配合比设计规程》JGJ/T 98-2010</w:t>
            </w:r>
          </w:p>
        </w:tc>
        <w:tc>
          <w:tcPr>
            <w:tcW w:w="1907" w:type="dxa"/>
            <w:noWrap w:val="0"/>
            <w:vAlign w:val="center"/>
          </w:tcPr>
          <w:p w14:paraId="06DDBEE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A85E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4F19F2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185</w:t>
            </w:r>
          </w:p>
        </w:tc>
        <w:tc>
          <w:tcPr>
            <w:tcW w:w="7019" w:type="dxa"/>
            <w:noWrap w:val="0"/>
            <w:vAlign w:val="center"/>
          </w:tcPr>
          <w:p w14:paraId="5117B5D5">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《热强钢焊条》GB/T 5118-2012</w:t>
            </w:r>
          </w:p>
        </w:tc>
        <w:tc>
          <w:tcPr>
            <w:tcW w:w="1907" w:type="dxa"/>
            <w:noWrap w:val="0"/>
            <w:vAlign w:val="center"/>
          </w:tcPr>
          <w:p w14:paraId="4F32A06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EDD0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C38DE3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186</w:t>
            </w:r>
          </w:p>
        </w:tc>
        <w:tc>
          <w:tcPr>
            <w:tcW w:w="7019" w:type="dxa"/>
            <w:noWrap w:val="0"/>
            <w:vAlign w:val="center"/>
          </w:tcPr>
          <w:p w14:paraId="4A93B52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《输变电工程架空导线及地线液压压接工艺规程》DL/T 5285-2018</w:t>
            </w:r>
          </w:p>
        </w:tc>
        <w:tc>
          <w:tcPr>
            <w:tcW w:w="1907" w:type="dxa"/>
            <w:noWrap w:val="0"/>
            <w:vAlign w:val="center"/>
          </w:tcPr>
          <w:p w14:paraId="78FF1BF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DAD1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F7D11D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187</w:t>
            </w:r>
          </w:p>
        </w:tc>
        <w:tc>
          <w:tcPr>
            <w:tcW w:w="7019" w:type="dxa"/>
            <w:noWrap w:val="0"/>
            <w:vAlign w:val="center"/>
          </w:tcPr>
          <w:p w14:paraId="7663B7C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 xml:space="preserve">《架空输电线路施工机具基本技术要求》DL/T 875-2016 </w:t>
            </w:r>
          </w:p>
        </w:tc>
        <w:tc>
          <w:tcPr>
            <w:tcW w:w="1907" w:type="dxa"/>
            <w:noWrap w:val="0"/>
            <w:vAlign w:val="center"/>
          </w:tcPr>
          <w:p w14:paraId="1DBB0F15">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A3F6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BB69E8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188</w:t>
            </w:r>
          </w:p>
        </w:tc>
        <w:tc>
          <w:tcPr>
            <w:tcW w:w="7019" w:type="dxa"/>
            <w:noWrap w:val="0"/>
            <w:vAlign w:val="center"/>
          </w:tcPr>
          <w:p w14:paraId="164A3CE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《输电线路铁塔制造技术条件》GB/T 2694-2018</w:t>
            </w:r>
          </w:p>
        </w:tc>
        <w:tc>
          <w:tcPr>
            <w:tcW w:w="1907" w:type="dxa"/>
            <w:noWrap w:val="0"/>
            <w:vAlign w:val="center"/>
          </w:tcPr>
          <w:p w14:paraId="0B70044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543C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1CBEE6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189</w:t>
            </w:r>
          </w:p>
        </w:tc>
        <w:tc>
          <w:tcPr>
            <w:tcW w:w="7019" w:type="dxa"/>
            <w:noWrap w:val="0"/>
            <w:vAlign w:val="center"/>
          </w:tcPr>
          <w:p w14:paraId="19A25E2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《水泥混凝土路面施工及验收规范》 GBJ 97-1987</w:t>
            </w:r>
          </w:p>
        </w:tc>
        <w:tc>
          <w:tcPr>
            <w:tcW w:w="1907" w:type="dxa"/>
            <w:noWrap w:val="0"/>
            <w:vAlign w:val="center"/>
          </w:tcPr>
          <w:p w14:paraId="4C4BB03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B5F6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F6266D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190</w:t>
            </w:r>
          </w:p>
        </w:tc>
        <w:tc>
          <w:tcPr>
            <w:tcW w:w="7019" w:type="dxa"/>
            <w:noWrap w:val="0"/>
            <w:vAlign w:val="center"/>
          </w:tcPr>
          <w:p w14:paraId="57AD4DA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《碳素结构钢》 GB/T 700-2006</w:t>
            </w:r>
          </w:p>
        </w:tc>
        <w:tc>
          <w:tcPr>
            <w:tcW w:w="1907" w:type="dxa"/>
            <w:noWrap w:val="0"/>
            <w:vAlign w:val="center"/>
          </w:tcPr>
          <w:p w14:paraId="208BF4C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399F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54D337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191</w:t>
            </w:r>
          </w:p>
        </w:tc>
        <w:tc>
          <w:tcPr>
            <w:tcW w:w="7019" w:type="dxa"/>
            <w:noWrap w:val="0"/>
            <w:vAlign w:val="center"/>
          </w:tcPr>
          <w:p w14:paraId="3036781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《通风与空调工程施工质量验收规范》GB50243-2016</w:t>
            </w:r>
          </w:p>
        </w:tc>
        <w:tc>
          <w:tcPr>
            <w:tcW w:w="1907" w:type="dxa"/>
            <w:noWrap w:val="0"/>
            <w:vAlign w:val="center"/>
          </w:tcPr>
          <w:p w14:paraId="1E28E9A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74AE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C19C75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192</w:t>
            </w:r>
          </w:p>
        </w:tc>
        <w:tc>
          <w:tcPr>
            <w:tcW w:w="7019" w:type="dxa"/>
            <w:noWrap w:val="0"/>
            <w:vAlign w:val="center"/>
          </w:tcPr>
          <w:p w14:paraId="03A23B8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《通用用电设备配电设计规范》 GB 50055-2011</w:t>
            </w:r>
          </w:p>
        </w:tc>
        <w:tc>
          <w:tcPr>
            <w:tcW w:w="1907" w:type="dxa"/>
            <w:noWrap w:val="0"/>
            <w:vAlign w:val="center"/>
          </w:tcPr>
          <w:p w14:paraId="30591BA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A87F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C4BB48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193</w:t>
            </w:r>
          </w:p>
        </w:tc>
        <w:tc>
          <w:tcPr>
            <w:tcW w:w="7019" w:type="dxa"/>
            <w:noWrap w:val="0"/>
            <w:vAlign w:val="center"/>
          </w:tcPr>
          <w:p w14:paraId="7C0A692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《土方与爆破工程施工及验收规范》GB 50201-2012</w:t>
            </w:r>
          </w:p>
        </w:tc>
        <w:tc>
          <w:tcPr>
            <w:tcW w:w="1907" w:type="dxa"/>
            <w:noWrap w:val="0"/>
            <w:vAlign w:val="center"/>
          </w:tcPr>
          <w:p w14:paraId="7313C26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2E45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B5FEE8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194</w:t>
            </w:r>
          </w:p>
        </w:tc>
        <w:tc>
          <w:tcPr>
            <w:tcW w:w="7019" w:type="dxa"/>
            <w:noWrap w:val="0"/>
            <w:vAlign w:val="center"/>
          </w:tcPr>
          <w:p w14:paraId="7F9888C5">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《屋面工程质量验收规范》GB 50207-2012</w:t>
            </w:r>
          </w:p>
        </w:tc>
        <w:tc>
          <w:tcPr>
            <w:tcW w:w="1907" w:type="dxa"/>
            <w:noWrap w:val="0"/>
            <w:vAlign w:val="center"/>
          </w:tcPr>
          <w:p w14:paraId="7E13162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A5E9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14:paraId="717BA0D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195</w:t>
            </w:r>
          </w:p>
        </w:tc>
        <w:tc>
          <w:tcPr>
            <w:tcW w:w="7019" w:type="dxa"/>
            <w:noWrap w:val="0"/>
            <w:vAlign w:val="center"/>
          </w:tcPr>
          <w:p w14:paraId="5444362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《岩土工程勘察规范》GB 50021-2001</w:t>
            </w:r>
          </w:p>
        </w:tc>
        <w:tc>
          <w:tcPr>
            <w:tcW w:w="1907" w:type="dxa"/>
            <w:noWrap w:val="0"/>
            <w:vAlign w:val="center"/>
          </w:tcPr>
          <w:p w14:paraId="78D9ACF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62D3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18E1FC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196</w:t>
            </w:r>
          </w:p>
        </w:tc>
        <w:tc>
          <w:tcPr>
            <w:tcW w:w="7019" w:type="dxa"/>
            <w:noWrap w:val="0"/>
            <w:vAlign w:val="center"/>
          </w:tcPr>
          <w:p w14:paraId="75FC0CA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《优质碳素结构钢》 GB/T 699-2015</w:t>
            </w:r>
          </w:p>
        </w:tc>
        <w:tc>
          <w:tcPr>
            <w:tcW w:w="1907" w:type="dxa"/>
            <w:noWrap w:val="0"/>
            <w:vAlign w:val="center"/>
          </w:tcPr>
          <w:p w14:paraId="2BADCFB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EC0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F5D37C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197</w:t>
            </w:r>
          </w:p>
        </w:tc>
        <w:tc>
          <w:tcPr>
            <w:tcW w:w="7019" w:type="dxa"/>
            <w:noWrap w:val="0"/>
            <w:vAlign w:val="center"/>
          </w:tcPr>
          <w:p w14:paraId="22C7BA0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《远动设备及系统 第5101部分:传输规约 基本远动任务配套标准》DL/T 634.5101-2002</w:t>
            </w:r>
          </w:p>
        </w:tc>
        <w:tc>
          <w:tcPr>
            <w:tcW w:w="1907" w:type="dxa"/>
            <w:noWrap w:val="0"/>
            <w:vAlign w:val="center"/>
          </w:tcPr>
          <w:p w14:paraId="30995C5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0955B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0DE7CB9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198</w:t>
            </w:r>
          </w:p>
        </w:tc>
        <w:tc>
          <w:tcPr>
            <w:tcW w:w="7019" w:type="dxa"/>
            <w:noWrap w:val="0"/>
            <w:vAlign w:val="center"/>
          </w:tcPr>
          <w:p w14:paraId="0C32851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《远动设备及系统 第5-104部分：传输规约 采用标准传输协议集的IEC60870-5-101网络访问》 DL/T 634.5104-2009</w:t>
            </w:r>
          </w:p>
        </w:tc>
        <w:tc>
          <w:tcPr>
            <w:tcW w:w="1907" w:type="dxa"/>
            <w:noWrap w:val="0"/>
            <w:vAlign w:val="center"/>
          </w:tcPr>
          <w:p w14:paraId="42F47F4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A097D55">
        <w:tblPrEx>
          <w:tblCellMar>
            <w:top w:w="0" w:type="dxa"/>
            <w:left w:w="108" w:type="dxa"/>
            <w:bottom w:w="0" w:type="dxa"/>
            <w:right w:w="108" w:type="dxa"/>
          </w:tblCellMar>
        </w:tblPrEx>
        <w:trPr>
          <w:trHeight w:val="270" w:hRule="atLeast"/>
          <w:jc w:val="center"/>
        </w:trPr>
        <w:tc>
          <w:tcPr>
            <w:tcW w:w="760" w:type="dxa"/>
            <w:noWrap w:val="0"/>
            <w:vAlign w:val="center"/>
          </w:tcPr>
          <w:p w14:paraId="43C924E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199</w:t>
            </w:r>
          </w:p>
        </w:tc>
        <w:tc>
          <w:tcPr>
            <w:tcW w:w="7019" w:type="dxa"/>
            <w:noWrap w:val="0"/>
            <w:vAlign w:val="center"/>
          </w:tcPr>
          <w:p w14:paraId="5280EC0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《中国地震动参数区划图》GB 18306-2015</w:t>
            </w:r>
          </w:p>
        </w:tc>
        <w:tc>
          <w:tcPr>
            <w:tcW w:w="1907" w:type="dxa"/>
            <w:noWrap w:val="0"/>
            <w:vAlign w:val="center"/>
          </w:tcPr>
          <w:p w14:paraId="711B03C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D75B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FC5E5B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200</w:t>
            </w:r>
          </w:p>
        </w:tc>
        <w:tc>
          <w:tcPr>
            <w:tcW w:w="7019" w:type="dxa"/>
            <w:noWrap w:val="0"/>
            <w:vAlign w:val="center"/>
          </w:tcPr>
          <w:p w14:paraId="2D7A048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《组合钢模板技术规范》 GB/T 50214-2013</w:t>
            </w:r>
          </w:p>
        </w:tc>
        <w:tc>
          <w:tcPr>
            <w:tcW w:w="1907" w:type="dxa"/>
            <w:noWrap w:val="0"/>
            <w:vAlign w:val="center"/>
          </w:tcPr>
          <w:p w14:paraId="2D150AA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D4CC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0E9394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201</w:t>
            </w:r>
          </w:p>
        </w:tc>
        <w:tc>
          <w:tcPr>
            <w:tcW w:w="7019" w:type="dxa"/>
            <w:noWrap w:val="0"/>
            <w:vAlign w:val="center"/>
          </w:tcPr>
          <w:p w14:paraId="0CC30E49">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《电力建设工程质量监督检查典型大纲（火电、送变电部分）》（电建质监[2005]57号）</w:t>
            </w:r>
          </w:p>
        </w:tc>
        <w:tc>
          <w:tcPr>
            <w:tcW w:w="1907" w:type="dxa"/>
            <w:noWrap w:val="0"/>
            <w:vAlign w:val="center"/>
          </w:tcPr>
          <w:p w14:paraId="584B2A9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94D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6F637C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202</w:t>
            </w:r>
          </w:p>
        </w:tc>
        <w:tc>
          <w:tcPr>
            <w:tcW w:w="7019" w:type="dxa"/>
            <w:noWrap w:val="0"/>
            <w:vAlign w:val="center"/>
          </w:tcPr>
          <w:p w14:paraId="3E4C68E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《电力建设施工质量验收及评价规程　第1部分：土建工程》 DL/T 5210.1-2012</w:t>
            </w:r>
          </w:p>
        </w:tc>
        <w:tc>
          <w:tcPr>
            <w:tcW w:w="1907" w:type="dxa"/>
            <w:noWrap w:val="0"/>
            <w:vAlign w:val="center"/>
          </w:tcPr>
          <w:p w14:paraId="6E35B65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4F9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D1DEA3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203</w:t>
            </w:r>
          </w:p>
        </w:tc>
        <w:tc>
          <w:tcPr>
            <w:tcW w:w="7019" w:type="dxa"/>
            <w:noWrap w:val="0"/>
            <w:vAlign w:val="center"/>
          </w:tcPr>
          <w:p w14:paraId="3600676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建筑结构荷载规范GB 50009-2012</w:t>
            </w:r>
          </w:p>
        </w:tc>
        <w:tc>
          <w:tcPr>
            <w:tcW w:w="1907" w:type="dxa"/>
            <w:noWrap w:val="0"/>
            <w:vAlign w:val="center"/>
          </w:tcPr>
          <w:p w14:paraId="37C9E5E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8A4B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824B4E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204</w:t>
            </w:r>
          </w:p>
        </w:tc>
        <w:tc>
          <w:tcPr>
            <w:tcW w:w="7019" w:type="dxa"/>
            <w:noWrap w:val="0"/>
            <w:vAlign w:val="center"/>
          </w:tcPr>
          <w:p w14:paraId="61BB190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建筑照明设计标准GB 50034-2013</w:t>
            </w:r>
          </w:p>
        </w:tc>
        <w:tc>
          <w:tcPr>
            <w:tcW w:w="1907" w:type="dxa"/>
            <w:noWrap w:val="0"/>
            <w:vAlign w:val="center"/>
          </w:tcPr>
          <w:p w14:paraId="1C861AD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107C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9EC724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205</w:t>
            </w:r>
          </w:p>
        </w:tc>
        <w:tc>
          <w:tcPr>
            <w:tcW w:w="7019" w:type="dxa"/>
            <w:noWrap w:val="0"/>
            <w:vAlign w:val="center"/>
          </w:tcPr>
          <w:p w14:paraId="52A8D62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《钢筋混凝土用钢 第1部分 热轧光圆钢筋》GB 1499.1-2017</w:t>
            </w:r>
          </w:p>
        </w:tc>
        <w:tc>
          <w:tcPr>
            <w:tcW w:w="1907" w:type="dxa"/>
            <w:noWrap w:val="0"/>
            <w:vAlign w:val="center"/>
          </w:tcPr>
          <w:p w14:paraId="39D37AB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7D048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C79B80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206</w:t>
            </w:r>
          </w:p>
        </w:tc>
        <w:tc>
          <w:tcPr>
            <w:tcW w:w="7019" w:type="dxa"/>
            <w:noWrap w:val="0"/>
            <w:vAlign w:val="center"/>
          </w:tcPr>
          <w:p w14:paraId="71A32C8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《钢筋混凝土用钢 第2部分 热轧带肋钢筋》GB 1499.2-2018</w:t>
            </w:r>
          </w:p>
        </w:tc>
        <w:tc>
          <w:tcPr>
            <w:tcW w:w="1907" w:type="dxa"/>
            <w:noWrap w:val="0"/>
            <w:vAlign w:val="center"/>
          </w:tcPr>
          <w:p w14:paraId="494BCB7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3CC1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C220D4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207</w:t>
            </w:r>
          </w:p>
        </w:tc>
        <w:tc>
          <w:tcPr>
            <w:tcW w:w="7019" w:type="dxa"/>
            <w:noWrap w:val="0"/>
            <w:vAlign w:val="center"/>
          </w:tcPr>
          <w:p w14:paraId="1560C64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《通用硅酸盐水泥》GB 175-2007/XG2-2015</w:t>
            </w:r>
          </w:p>
        </w:tc>
        <w:tc>
          <w:tcPr>
            <w:tcW w:w="1907" w:type="dxa"/>
            <w:noWrap w:val="0"/>
            <w:vAlign w:val="center"/>
          </w:tcPr>
          <w:p w14:paraId="4635126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A828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A9A7D3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208</w:t>
            </w:r>
          </w:p>
        </w:tc>
        <w:tc>
          <w:tcPr>
            <w:tcW w:w="7019" w:type="dxa"/>
            <w:noWrap w:val="0"/>
            <w:vAlign w:val="center"/>
          </w:tcPr>
          <w:p w14:paraId="71BBAA8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《外墙饰面砖工程施工及验收规程》 JGJ 126-2015</w:t>
            </w:r>
          </w:p>
        </w:tc>
        <w:tc>
          <w:tcPr>
            <w:tcW w:w="1907" w:type="dxa"/>
            <w:noWrap w:val="0"/>
            <w:vAlign w:val="center"/>
          </w:tcPr>
          <w:p w14:paraId="34FF2845">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703AB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3E6466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209</w:t>
            </w:r>
          </w:p>
        </w:tc>
        <w:tc>
          <w:tcPr>
            <w:tcW w:w="7019" w:type="dxa"/>
            <w:noWrap w:val="0"/>
            <w:vAlign w:val="center"/>
          </w:tcPr>
          <w:p w14:paraId="4212E48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《水工混凝土施工规范》 DL/T 5144-2015</w:t>
            </w:r>
          </w:p>
        </w:tc>
        <w:tc>
          <w:tcPr>
            <w:tcW w:w="1907" w:type="dxa"/>
            <w:noWrap w:val="0"/>
            <w:vAlign w:val="center"/>
          </w:tcPr>
          <w:p w14:paraId="510AD395">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0850C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D5E44B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210</w:t>
            </w:r>
          </w:p>
        </w:tc>
        <w:tc>
          <w:tcPr>
            <w:tcW w:w="7019" w:type="dxa"/>
            <w:noWrap w:val="0"/>
            <w:vAlign w:val="center"/>
          </w:tcPr>
          <w:p w14:paraId="50822B0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《现场绝缘试验实施导则》DL/T 474.1～4-2018</w:t>
            </w:r>
          </w:p>
        </w:tc>
        <w:tc>
          <w:tcPr>
            <w:tcW w:w="1907" w:type="dxa"/>
            <w:noWrap w:val="0"/>
            <w:vAlign w:val="center"/>
          </w:tcPr>
          <w:p w14:paraId="4A5D00D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743C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268860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211</w:t>
            </w:r>
          </w:p>
        </w:tc>
        <w:tc>
          <w:tcPr>
            <w:tcW w:w="7019" w:type="dxa"/>
            <w:noWrap w:val="0"/>
            <w:vAlign w:val="center"/>
          </w:tcPr>
          <w:p w14:paraId="0D8C547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《光纤复合架空地线》 JB/T 8999-2014</w:t>
            </w:r>
          </w:p>
        </w:tc>
        <w:tc>
          <w:tcPr>
            <w:tcW w:w="1907" w:type="dxa"/>
            <w:noWrap w:val="0"/>
            <w:vAlign w:val="center"/>
          </w:tcPr>
          <w:p w14:paraId="4BE718D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DDBB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AEC6B1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212</w:t>
            </w:r>
          </w:p>
        </w:tc>
        <w:tc>
          <w:tcPr>
            <w:tcW w:w="7019" w:type="dxa"/>
            <w:noWrap w:val="0"/>
            <w:vAlign w:val="center"/>
          </w:tcPr>
          <w:p w14:paraId="1B3160E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《电磁环境控制限值》 GB 8702-2014</w:t>
            </w:r>
          </w:p>
        </w:tc>
        <w:tc>
          <w:tcPr>
            <w:tcW w:w="1907" w:type="dxa"/>
            <w:noWrap w:val="0"/>
            <w:vAlign w:val="center"/>
          </w:tcPr>
          <w:p w14:paraId="20F9FB7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A1D3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3969DC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213</w:t>
            </w:r>
          </w:p>
        </w:tc>
        <w:tc>
          <w:tcPr>
            <w:tcW w:w="7019" w:type="dxa"/>
            <w:noWrap w:val="0"/>
            <w:vAlign w:val="center"/>
          </w:tcPr>
          <w:p w14:paraId="5F74AAE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《电力建设工程 工程量清单计价规范-输电线路工程》 DL/T 5205-2016</w:t>
            </w:r>
          </w:p>
        </w:tc>
        <w:tc>
          <w:tcPr>
            <w:tcW w:w="1907" w:type="dxa"/>
            <w:noWrap w:val="0"/>
            <w:vAlign w:val="center"/>
          </w:tcPr>
          <w:p w14:paraId="72FC6ED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25BA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39ED6F8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214</w:t>
            </w:r>
          </w:p>
        </w:tc>
        <w:tc>
          <w:tcPr>
            <w:tcW w:w="7019" w:type="dxa"/>
            <w:noWrap w:val="0"/>
            <w:vAlign w:val="center"/>
          </w:tcPr>
          <w:p w14:paraId="50EEDAA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《电力建设工程 工程量清单计价规范-变电工程》 DL/T 5341-2016</w:t>
            </w:r>
          </w:p>
        </w:tc>
        <w:tc>
          <w:tcPr>
            <w:tcW w:w="1907" w:type="dxa"/>
            <w:noWrap w:val="0"/>
            <w:vAlign w:val="center"/>
          </w:tcPr>
          <w:p w14:paraId="4277909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C94D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351034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215</w:t>
            </w:r>
          </w:p>
        </w:tc>
        <w:tc>
          <w:tcPr>
            <w:tcW w:w="7019" w:type="dxa"/>
            <w:noWrap w:val="0"/>
            <w:vAlign w:val="center"/>
          </w:tcPr>
          <w:p w14:paraId="423B8CC7">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《20kV及以下配电网工程工程量清单计算规范》DL/T 5766-2018</w:t>
            </w:r>
          </w:p>
        </w:tc>
        <w:tc>
          <w:tcPr>
            <w:tcW w:w="1907" w:type="dxa"/>
            <w:noWrap w:val="0"/>
            <w:vAlign w:val="center"/>
          </w:tcPr>
          <w:p w14:paraId="1B90D72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67AD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B68CA4C">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216</w:t>
            </w:r>
          </w:p>
        </w:tc>
        <w:tc>
          <w:tcPr>
            <w:tcW w:w="7019" w:type="dxa"/>
            <w:noWrap w:val="0"/>
            <w:vAlign w:val="center"/>
          </w:tcPr>
          <w:p w14:paraId="05A0C1D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《电网工程建设预算编制与计算规定（2013年版）》（国能电力[2013]289号）</w:t>
            </w:r>
          </w:p>
        </w:tc>
        <w:tc>
          <w:tcPr>
            <w:tcW w:w="1907" w:type="dxa"/>
            <w:noWrap w:val="0"/>
            <w:vAlign w:val="center"/>
          </w:tcPr>
          <w:p w14:paraId="0CD896E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F5E4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063A67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217</w:t>
            </w:r>
          </w:p>
        </w:tc>
        <w:tc>
          <w:tcPr>
            <w:tcW w:w="7019" w:type="dxa"/>
            <w:noWrap w:val="0"/>
            <w:vAlign w:val="center"/>
          </w:tcPr>
          <w:p w14:paraId="5416117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《20kV及以下配电网工程建设预算编制与计算规定》（国能电力[2017]6号）</w:t>
            </w:r>
          </w:p>
        </w:tc>
        <w:tc>
          <w:tcPr>
            <w:tcW w:w="1907" w:type="dxa"/>
            <w:noWrap w:val="0"/>
            <w:vAlign w:val="center"/>
          </w:tcPr>
          <w:p w14:paraId="141F1DD5">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2930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29A2D9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218</w:t>
            </w:r>
          </w:p>
        </w:tc>
        <w:tc>
          <w:tcPr>
            <w:tcW w:w="7019" w:type="dxa"/>
            <w:noWrap w:val="0"/>
            <w:vAlign w:val="center"/>
          </w:tcPr>
          <w:p w14:paraId="5CCE548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《国家能源局关于颁布2013版电力建设工程定额和费用计算规定的通知》（国能电力〔2013〕289号）</w:t>
            </w:r>
          </w:p>
        </w:tc>
        <w:tc>
          <w:tcPr>
            <w:tcW w:w="1907" w:type="dxa"/>
            <w:noWrap w:val="0"/>
            <w:vAlign w:val="center"/>
          </w:tcPr>
          <w:p w14:paraId="13D0115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5CF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6840BF7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219</w:t>
            </w:r>
          </w:p>
        </w:tc>
        <w:tc>
          <w:tcPr>
            <w:tcW w:w="7019" w:type="dxa"/>
            <w:noWrap w:val="0"/>
            <w:vAlign w:val="center"/>
          </w:tcPr>
          <w:p w14:paraId="2720330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《国家能源局关于颁布20千伏及以下配电网工程定额及费用标准（2016年版）的通知》（国能电力〔2017〕6号）</w:t>
            </w:r>
          </w:p>
        </w:tc>
        <w:tc>
          <w:tcPr>
            <w:tcW w:w="1907" w:type="dxa"/>
            <w:noWrap w:val="0"/>
            <w:vAlign w:val="center"/>
          </w:tcPr>
          <w:p w14:paraId="0B82EA45">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28EC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824D4E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220</w:t>
            </w:r>
          </w:p>
        </w:tc>
        <w:tc>
          <w:tcPr>
            <w:tcW w:w="7019" w:type="dxa"/>
            <w:noWrap w:val="0"/>
            <w:vAlign w:val="center"/>
          </w:tcPr>
          <w:p w14:paraId="2759359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关于落实《国家发展改革委关于进一步放开建设项目专业服务价格的通知》（发改价格[2015]299号）的指导意见（中电联定额[2015]162号文）</w:t>
            </w:r>
          </w:p>
        </w:tc>
        <w:tc>
          <w:tcPr>
            <w:tcW w:w="1907" w:type="dxa"/>
            <w:noWrap w:val="0"/>
            <w:vAlign w:val="center"/>
          </w:tcPr>
          <w:p w14:paraId="358A2DD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7A31D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7068F32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221</w:t>
            </w:r>
          </w:p>
        </w:tc>
        <w:tc>
          <w:tcPr>
            <w:tcW w:w="7019" w:type="dxa"/>
            <w:noWrap w:val="0"/>
            <w:vAlign w:val="center"/>
          </w:tcPr>
          <w:p w14:paraId="5C98B72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《220kV-500kV挤包固体绝缘电缆及附件试验方法要求》IEC 62067</w:t>
            </w:r>
          </w:p>
        </w:tc>
        <w:tc>
          <w:tcPr>
            <w:tcW w:w="1907" w:type="dxa"/>
            <w:noWrap w:val="0"/>
            <w:vAlign w:val="center"/>
          </w:tcPr>
          <w:p w14:paraId="204577D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7C0F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18CE93E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222</w:t>
            </w:r>
          </w:p>
        </w:tc>
        <w:tc>
          <w:tcPr>
            <w:tcW w:w="7019" w:type="dxa"/>
            <w:noWrap w:val="0"/>
            <w:vAlign w:val="center"/>
          </w:tcPr>
          <w:p w14:paraId="4853EEB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《30kV-150kV挤包固体绝缘电缆及附件试验方法要求》IEC 60840</w:t>
            </w:r>
          </w:p>
        </w:tc>
        <w:tc>
          <w:tcPr>
            <w:tcW w:w="1907" w:type="dxa"/>
            <w:noWrap w:val="0"/>
            <w:vAlign w:val="center"/>
          </w:tcPr>
          <w:p w14:paraId="6966E596">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E73E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CB8150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223</w:t>
            </w:r>
          </w:p>
        </w:tc>
        <w:tc>
          <w:tcPr>
            <w:tcW w:w="7019" w:type="dxa"/>
            <w:noWrap w:val="0"/>
            <w:vAlign w:val="center"/>
          </w:tcPr>
          <w:p w14:paraId="498CC49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《电缆额定电流的计算》IEC 60287-1-1-2006</w:t>
            </w:r>
          </w:p>
        </w:tc>
        <w:tc>
          <w:tcPr>
            <w:tcW w:w="1907" w:type="dxa"/>
            <w:noWrap w:val="0"/>
            <w:vAlign w:val="center"/>
          </w:tcPr>
          <w:p w14:paraId="0182DA9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342F3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076978E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224</w:t>
            </w:r>
          </w:p>
        </w:tc>
        <w:tc>
          <w:tcPr>
            <w:tcW w:w="7019" w:type="dxa"/>
            <w:noWrap w:val="0"/>
            <w:vAlign w:val="center"/>
          </w:tcPr>
          <w:p w14:paraId="682E3E1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《电缆连续（100%负荷率）允许载流量计算》IEC287</w:t>
            </w:r>
          </w:p>
        </w:tc>
        <w:tc>
          <w:tcPr>
            <w:tcW w:w="1907" w:type="dxa"/>
            <w:noWrap w:val="0"/>
            <w:vAlign w:val="center"/>
          </w:tcPr>
          <w:p w14:paraId="735DEE0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6D86E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53E1726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225</w:t>
            </w:r>
          </w:p>
        </w:tc>
        <w:tc>
          <w:tcPr>
            <w:tcW w:w="7019" w:type="dxa"/>
            <w:noWrap w:val="0"/>
            <w:vAlign w:val="center"/>
          </w:tcPr>
          <w:p w14:paraId="267A40FC">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《电缆周期性和应急额定电流计算》IEC853-2</w:t>
            </w:r>
          </w:p>
        </w:tc>
        <w:tc>
          <w:tcPr>
            <w:tcW w:w="1907" w:type="dxa"/>
            <w:noWrap w:val="0"/>
            <w:vAlign w:val="center"/>
          </w:tcPr>
          <w:p w14:paraId="429D9B5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E356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39B6FB5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226</w:t>
            </w:r>
          </w:p>
        </w:tc>
        <w:tc>
          <w:tcPr>
            <w:tcW w:w="7019" w:type="dxa"/>
            <w:noWrap w:val="0"/>
            <w:vAlign w:val="center"/>
          </w:tcPr>
          <w:p w14:paraId="46F18F5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《220kV电力电缆》CSBTS/TC213-01</w:t>
            </w:r>
          </w:p>
        </w:tc>
        <w:tc>
          <w:tcPr>
            <w:tcW w:w="1907" w:type="dxa"/>
            <w:noWrap w:val="0"/>
            <w:vAlign w:val="center"/>
          </w:tcPr>
          <w:p w14:paraId="5AA0D52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48A76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14:paraId="2D9D3FF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227</w:t>
            </w:r>
          </w:p>
        </w:tc>
        <w:tc>
          <w:tcPr>
            <w:tcW w:w="7019" w:type="dxa"/>
            <w:noWrap w:val="0"/>
            <w:vAlign w:val="center"/>
          </w:tcPr>
          <w:p w14:paraId="6BE88FE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《220kV电力电缆附件》CSBTS/TC213-02</w:t>
            </w:r>
          </w:p>
        </w:tc>
        <w:tc>
          <w:tcPr>
            <w:tcW w:w="1907" w:type="dxa"/>
            <w:noWrap w:val="0"/>
            <w:vAlign w:val="center"/>
          </w:tcPr>
          <w:p w14:paraId="76C8AEC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5EA78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2BE19F8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228</w:t>
            </w:r>
          </w:p>
        </w:tc>
        <w:tc>
          <w:tcPr>
            <w:tcW w:w="7019" w:type="dxa"/>
            <w:noWrap w:val="0"/>
            <w:vAlign w:val="center"/>
          </w:tcPr>
          <w:p w14:paraId="4EA06D9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《工程建设标准强制性条文》（电力工程部分）（2011版，中电联标准(2012)16号）</w:t>
            </w:r>
          </w:p>
        </w:tc>
        <w:tc>
          <w:tcPr>
            <w:tcW w:w="1907" w:type="dxa"/>
            <w:noWrap w:val="0"/>
            <w:vAlign w:val="center"/>
          </w:tcPr>
          <w:p w14:paraId="53E3A114">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206BC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14:paraId="4AD6222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229</w:t>
            </w:r>
          </w:p>
        </w:tc>
        <w:tc>
          <w:tcPr>
            <w:tcW w:w="7019" w:type="dxa"/>
            <w:noWrap w:val="0"/>
            <w:vAlign w:val="center"/>
          </w:tcPr>
          <w:p w14:paraId="5D4B093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《电力建设工程施工安全监督管理办法》（国家发改委第28号令）</w:t>
            </w:r>
          </w:p>
        </w:tc>
        <w:tc>
          <w:tcPr>
            <w:tcW w:w="1907" w:type="dxa"/>
            <w:noWrap w:val="0"/>
            <w:vAlign w:val="center"/>
          </w:tcPr>
          <w:p w14:paraId="3D55B03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FA7B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60" w:type="dxa"/>
            <w:noWrap w:val="0"/>
            <w:vAlign w:val="center"/>
          </w:tcPr>
          <w:p w14:paraId="6085B6A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230</w:t>
            </w:r>
          </w:p>
        </w:tc>
        <w:tc>
          <w:tcPr>
            <w:tcW w:w="7019" w:type="dxa"/>
            <w:noWrap w:val="0"/>
            <w:vAlign w:val="center"/>
          </w:tcPr>
          <w:p w14:paraId="684067A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《输变电工程质量监督检查大纲》（2014版）</w:t>
            </w:r>
          </w:p>
        </w:tc>
        <w:tc>
          <w:tcPr>
            <w:tcW w:w="1907" w:type="dxa"/>
            <w:noWrap w:val="0"/>
            <w:vAlign w:val="center"/>
          </w:tcPr>
          <w:p w14:paraId="3AA2A77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国家/行业标准</w:t>
            </w:r>
          </w:p>
        </w:tc>
      </w:tr>
      <w:tr w14:paraId="13056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686" w:type="dxa"/>
            <w:gridSpan w:val="3"/>
            <w:noWrap w:val="0"/>
            <w:vAlign w:val="center"/>
          </w:tcPr>
          <w:p w14:paraId="388FE15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b/>
                <w:bCs/>
                <w:color w:val="auto"/>
                <w:kern w:val="0"/>
                <w:szCs w:val="21"/>
                <w:highlight w:val="none"/>
                <w:shd w:val="clear" w:color="auto" w:fill="auto"/>
              </w:rPr>
              <w:t>南方电网管理要求、企业标准</w:t>
            </w:r>
          </w:p>
        </w:tc>
      </w:tr>
      <w:tr w14:paraId="1E73C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auto" w:sz="4" w:space="0"/>
              <w:bottom w:val="single" w:color="auto" w:sz="4" w:space="0"/>
              <w:right w:val="single" w:color="auto" w:sz="4" w:space="0"/>
            </w:tcBorders>
            <w:noWrap w:val="0"/>
            <w:vAlign w:val="center"/>
          </w:tcPr>
          <w:p w14:paraId="2E6863F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231</w:t>
            </w:r>
          </w:p>
        </w:tc>
        <w:tc>
          <w:tcPr>
            <w:tcW w:w="7019" w:type="dxa"/>
            <w:tcBorders>
              <w:top w:val="single" w:color="auto" w:sz="4" w:space="0"/>
              <w:left w:val="single" w:color="auto" w:sz="4" w:space="0"/>
              <w:bottom w:val="single" w:color="auto" w:sz="4" w:space="0"/>
              <w:right w:val="single" w:color="auto" w:sz="4" w:space="0"/>
            </w:tcBorders>
            <w:noWrap w:val="0"/>
            <w:vAlign w:val="bottom"/>
          </w:tcPr>
          <w:p w14:paraId="061DEEE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《关于印发&lt;标准设计和典型造价总体技术原则&gt;的通知》（南方电网基建[2013]16号）——《标准设计和典型造价总体技术原则》（Q/CSG11102001-2013）</w:t>
            </w:r>
          </w:p>
        </w:tc>
        <w:tc>
          <w:tcPr>
            <w:tcW w:w="1907" w:type="dxa"/>
            <w:tcBorders>
              <w:top w:val="single" w:color="auto" w:sz="4" w:space="0"/>
              <w:left w:val="single" w:color="auto" w:sz="4" w:space="0"/>
              <w:bottom w:val="single" w:color="auto" w:sz="4" w:space="0"/>
              <w:right w:val="single" w:color="auto" w:sz="4" w:space="0"/>
            </w:tcBorders>
            <w:noWrap w:val="0"/>
            <w:vAlign w:val="bottom"/>
          </w:tcPr>
          <w:p w14:paraId="7C2E4CAC">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47739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03FE857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232</w:t>
            </w:r>
          </w:p>
        </w:tc>
        <w:tc>
          <w:tcPr>
            <w:tcW w:w="7019" w:type="dxa"/>
            <w:noWrap w:val="0"/>
            <w:vAlign w:val="bottom"/>
          </w:tcPr>
          <w:p w14:paraId="266A893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《中国南方电网有限责任公司安全生产问责管理规定》</w:t>
            </w:r>
          </w:p>
        </w:tc>
        <w:tc>
          <w:tcPr>
            <w:tcW w:w="1907" w:type="dxa"/>
            <w:noWrap w:val="0"/>
            <w:vAlign w:val="bottom"/>
          </w:tcPr>
          <w:p w14:paraId="2B80D2E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6DB62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1F4D739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233</w:t>
            </w:r>
          </w:p>
        </w:tc>
        <w:tc>
          <w:tcPr>
            <w:tcW w:w="7019" w:type="dxa"/>
            <w:noWrap w:val="0"/>
            <w:vAlign w:val="bottom"/>
          </w:tcPr>
          <w:p w14:paraId="1F889DA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《中国南方电网有限责任公司电力安全工作规程》</w:t>
            </w:r>
          </w:p>
        </w:tc>
        <w:tc>
          <w:tcPr>
            <w:tcW w:w="1907" w:type="dxa"/>
            <w:noWrap w:val="0"/>
            <w:vAlign w:val="bottom"/>
          </w:tcPr>
          <w:p w14:paraId="54689A8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43566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09C91A4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234</w:t>
            </w:r>
          </w:p>
        </w:tc>
        <w:tc>
          <w:tcPr>
            <w:tcW w:w="7019" w:type="dxa"/>
            <w:noWrap w:val="0"/>
            <w:vAlign w:val="bottom"/>
          </w:tcPr>
          <w:p w14:paraId="278E4AC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中国南方电网有限责任公司安全管理规定</w:t>
            </w:r>
          </w:p>
        </w:tc>
        <w:tc>
          <w:tcPr>
            <w:tcW w:w="1907" w:type="dxa"/>
            <w:noWrap w:val="0"/>
            <w:vAlign w:val="bottom"/>
          </w:tcPr>
          <w:p w14:paraId="54ECE08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5C21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506E7ED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235</w:t>
            </w:r>
          </w:p>
        </w:tc>
        <w:tc>
          <w:tcPr>
            <w:tcW w:w="7019" w:type="dxa"/>
            <w:noWrap w:val="0"/>
            <w:vAlign w:val="bottom"/>
          </w:tcPr>
          <w:p w14:paraId="7CE4A55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《中国南方电网有限责任公司安全监督工作规定》</w:t>
            </w:r>
          </w:p>
        </w:tc>
        <w:tc>
          <w:tcPr>
            <w:tcW w:w="1907" w:type="dxa"/>
            <w:noWrap w:val="0"/>
            <w:vAlign w:val="bottom"/>
          </w:tcPr>
          <w:p w14:paraId="7BFDF94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2E88C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4F0552F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236</w:t>
            </w:r>
          </w:p>
        </w:tc>
        <w:tc>
          <w:tcPr>
            <w:tcW w:w="7019" w:type="dxa"/>
            <w:noWrap w:val="0"/>
            <w:vAlign w:val="bottom"/>
          </w:tcPr>
          <w:p w14:paraId="30854E1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《安全生产风险管理体系审核业务指导书》</w:t>
            </w:r>
          </w:p>
        </w:tc>
        <w:tc>
          <w:tcPr>
            <w:tcW w:w="1907" w:type="dxa"/>
            <w:noWrap w:val="0"/>
            <w:vAlign w:val="bottom"/>
          </w:tcPr>
          <w:p w14:paraId="3881FF0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1DCBC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79A1FF8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237</w:t>
            </w:r>
          </w:p>
        </w:tc>
        <w:tc>
          <w:tcPr>
            <w:tcW w:w="7019" w:type="dxa"/>
            <w:noWrap w:val="0"/>
            <w:vAlign w:val="bottom"/>
          </w:tcPr>
          <w:p w14:paraId="603DB49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中国南方电网有限责任公司安全工作规程考试管理业务指导书</w:t>
            </w:r>
          </w:p>
        </w:tc>
        <w:tc>
          <w:tcPr>
            <w:tcW w:w="1907" w:type="dxa"/>
            <w:noWrap w:val="0"/>
            <w:vAlign w:val="bottom"/>
          </w:tcPr>
          <w:p w14:paraId="34F136F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6E365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0AE1222C">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238</w:t>
            </w:r>
          </w:p>
        </w:tc>
        <w:tc>
          <w:tcPr>
            <w:tcW w:w="7019" w:type="dxa"/>
            <w:noWrap w:val="0"/>
            <w:vAlign w:val="bottom"/>
          </w:tcPr>
          <w:p w14:paraId="6FF7545E">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中国南方电网有限责任公司安全生产风险管控监督业务指导书</w:t>
            </w:r>
          </w:p>
        </w:tc>
        <w:tc>
          <w:tcPr>
            <w:tcW w:w="1907" w:type="dxa"/>
            <w:noWrap w:val="0"/>
            <w:vAlign w:val="bottom"/>
          </w:tcPr>
          <w:p w14:paraId="3342D23C">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0DDB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46A3C47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239</w:t>
            </w:r>
          </w:p>
        </w:tc>
        <w:tc>
          <w:tcPr>
            <w:tcW w:w="7019" w:type="dxa"/>
            <w:noWrap w:val="0"/>
            <w:vAlign w:val="bottom"/>
          </w:tcPr>
          <w:p w14:paraId="6B0249E5">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中国南方电网有限责任公司电力安全工器具管理业务指导书</w:t>
            </w:r>
          </w:p>
        </w:tc>
        <w:tc>
          <w:tcPr>
            <w:tcW w:w="1907" w:type="dxa"/>
            <w:noWrap w:val="0"/>
            <w:vAlign w:val="bottom"/>
          </w:tcPr>
          <w:p w14:paraId="0351E86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1020D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5ECBA4B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240</w:t>
            </w:r>
          </w:p>
        </w:tc>
        <w:tc>
          <w:tcPr>
            <w:tcW w:w="7019" w:type="dxa"/>
            <w:noWrap w:val="0"/>
            <w:vAlign w:val="bottom"/>
          </w:tcPr>
          <w:p w14:paraId="263D8363">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中国南方电网有限责任公司隐患治理监督和安全检查业务指导书</w:t>
            </w:r>
          </w:p>
        </w:tc>
        <w:tc>
          <w:tcPr>
            <w:tcW w:w="1907" w:type="dxa"/>
            <w:noWrap w:val="0"/>
            <w:vAlign w:val="bottom"/>
          </w:tcPr>
          <w:p w14:paraId="37CCE9E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19439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30795C7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241</w:t>
            </w:r>
          </w:p>
        </w:tc>
        <w:tc>
          <w:tcPr>
            <w:tcW w:w="7019" w:type="dxa"/>
            <w:noWrap w:val="0"/>
            <w:vAlign w:val="bottom"/>
          </w:tcPr>
          <w:p w14:paraId="184EDC50">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中国南方电网有限责任公司基建项目作业环境管理（5S）工作指引</w:t>
            </w:r>
          </w:p>
        </w:tc>
        <w:tc>
          <w:tcPr>
            <w:tcW w:w="1907" w:type="dxa"/>
            <w:noWrap w:val="0"/>
            <w:vAlign w:val="bottom"/>
          </w:tcPr>
          <w:p w14:paraId="4A196D3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51B9D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09CE1C2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242</w:t>
            </w:r>
          </w:p>
        </w:tc>
        <w:tc>
          <w:tcPr>
            <w:tcW w:w="7019" w:type="dxa"/>
            <w:noWrap w:val="0"/>
            <w:vAlign w:val="bottom"/>
          </w:tcPr>
          <w:p w14:paraId="20D058C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中国南方电网有限责任公司基建项目承包商管理业务指导书</w:t>
            </w:r>
          </w:p>
        </w:tc>
        <w:tc>
          <w:tcPr>
            <w:tcW w:w="1907" w:type="dxa"/>
            <w:noWrap w:val="0"/>
            <w:vAlign w:val="bottom"/>
          </w:tcPr>
          <w:p w14:paraId="2BECB4E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743FF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453D8FD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243</w:t>
            </w:r>
          </w:p>
        </w:tc>
        <w:tc>
          <w:tcPr>
            <w:tcW w:w="7019" w:type="dxa"/>
            <w:noWrap w:val="0"/>
            <w:vAlign w:val="bottom"/>
          </w:tcPr>
          <w:p w14:paraId="284E6E4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《中国南方电网有限责任公司基建项目达标投产及工程评优管理业务指导书》（Q/CSG433016-2015）</w:t>
            </w:r>
          </w:p>
        </w:tc>
        <w:tc>
          <w:tcPr>
            <w:tcW w:w="1907" w:type="dxa"/>
            <w:noWrap w:val="0"/>
            <w:vAlign w:val="bottom"/>
          </w:tcPr>
          <w:p w14:paraId="0AB0B9E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4A39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52E7E95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244</w:t>
            </w:r>
          </w:p>
        </w:tc>
        <w:tc>
          <w:tcPr>
            <w:tcW w:w="7019" w:type="dxa"/>
            <w:noWrap w:val="0"/>
            <w:vAlign w:val="bottom"/>
          </w:tcPr>
          <w:p w14:paraId="31FF7BF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中国南方电网有限责任公司保供电管理规定(Q/CSG210004—2014)</w:t>
            </w:r>
          </w:p>
        </w:tc>
        <w:tc>
          <w:tcPr>
            <w:tcW w:w="1907" w:type="dxa"/>
            <w:noWrap w:val="0"/>
            <w:vAlign w:val="bottom"/>
          </w:tcPr>
          <w:p w14:paraId="5A18053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4A3DC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42E5201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245</w:t>
            </w:r>
          </w:p>
        </w:tc>
        <w:tc>
          <w:tcPr>
            <w:tcW w:w="7019" w:type="dxa"/>
            <w:noWrap w:val="0"/>
            <w:vAlign w:val="bottom"/>
          </w:tcPr>
          <w:p w14:paraId="7B5467EB">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中国南方电网有限责任公司应急管理规定(Q/CSG210003-2014)</w:t>
            </w:r>
          </w:p>
        </w:tc>
        <w:tc>
          <w:tcPr>
            <w:tcW w:w="1907" w:type="dxa"/>
            <w:noWrap w:val="0"/>
            <w:vAlign w:val="bottom"/>
          </w:tcPr>
          <w:p w14:paraId="7AE0378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16A33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5279432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246</w:t>
            </w:r>
          </w:p>
        </w:tc>
        <w:tc>
          <w:tcPr>
            <w:tcW w:w="7019" w:type="dxa"/>
            <w:noWrap w:val="0"/>
            <w:vAlign w:val="bottom"/>
          </w:tcPr>
          <w:p w14:paraId="5390651A">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中国南方电网有限责任公司应急预案与演练管理办法</w:t>
            </w:r>
          </w:p>
        </w:tc>
        <w:tc>
          <w:tcPr>
            <w:tcW w:w="1907" w:type="dxa"/>
            <w:noWrap w:val="0"/>
            <w:vAlign w:val="bottom"/>
          </w:tcPr>
          <w:p w14:paraId="0EF666F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54F59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73FF5B3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247</w:t>
            </w:r>
          </w:p>
        </w:tc>
        <w:tc>
          <w:tcPr>
            <w:tcW w:w="7019" w:type="dxa"/>
            <w:noWrap w:val="0"/>
            <w:vAlign w:val="bottom"/>
          </w:tcPr>
          <w:p w14:paraId="50A72EE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中国南方电网有限责任公司应急预警与响应管理办法</w:t>
            </w:r>
          </w:p>
        </w:tc>
        <w:tc>
          <w:tcPr>
            <w:tcW w:w="1907" w:type="dxa"/>
            <w:noWrap w:val="0"/>
            <w:vAlign w:val="bottom"/>
          </w:tcPr>
          <w:p w14:paraId="085ABBE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08FC2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2BAC088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248</w:t>
            </w:r>
          </w:p>
        </w:tc>
        <w:tc>
          <w:tcPr>
            <w:tcW w:w="7019" w:type="dxa"/>
            <w:noWrap w:val="0"/>
            <w:vAlign w:val="bottom"/>
          </w:tcPr>
          <w:p w14:paraId="38ACAE6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中国南方电网有限责任公司配电自动化规划导则</w:t>
            </w:r>
          </w:p>
        </w:tc>
        <w:tc>
          <w:tcPr>
            <w:tcW w:w="1907" w:type="dxa"/>
            <w:noWrap w:val="0"/>
            <w:vAlign w:val="bottom"/>
          </w:tcPr>
          <w:p w14:paraId="2AB63F1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722CA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5DF1A91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249</w:t>
            </w:r>
          </w:p>
        </w:tc>
        <w:tc>
          <w:tcPr>
            <w:tcW w:w="7019" w:type="dxa"/>
            <w:noWrap w:val="0"/>
            <w:vAlign w:val="bottom"/>
          </w:tcPr>
          <w:p w14:paraId="7CB292A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《南方电网公司基建项目造价信息化规约（电网工程部分）》（基建[2013]50号）</w:t>
            </w:r>
          </w:p>
        </w:tc>
        <w:tc>
          <w:tcPr>
            <w:tcW w:w="1907" w:type="dxa"/>
            <w:noWrap w:val="0"/>
            <w:vAlign w:val="bottom"/>
          </w:tcPr>
          <w:p w14:paraId="3B4E1CB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6161D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6D01F60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250</w:t>
            </w:r>
          </w:p>
        </w:tc>
        <w:tc>
          <w:tcPr>
            <w:tcW w:w="7019" w:type="dxa"/>
            <w:noWrap w:val="0"/>
            <w:vAlign w:val="bottom"/>
          </w:tcPr>
          <w:p w14:paraId="2CDE3091">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《南方电网公司基建项目造价信息化规约（2013）》（南方电网基建[2014]60号）</w:t>
            </w:r>
          </w:p>
        </w:tc>
        <w:tc>
          <w:tcPr>
            <w:tcW w:w="1907" w:type="dxa"/>
            <w:noWrap w:val="0"/>
            <w:vAlign w:val="bottom"/>
          </w:tcPr>
          <w:p w14:paraId="01FCCF2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68B5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5B1E202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251</w:t>
            </w:r>
          </w:p>
        </w:tc>
        <w:tc>
          <w:tcPr>
            <w:tcW w:w="7019" w:type="dxa"/>
            <w:noWrap w:val="0"/>
            <w:vAlign w:val="bottom"/>
          </w:tcPr>
          <w:p w14:paraId="3ADA0D9D">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《基建前期继电保护相关技术问题专题会会议纪要》（系统[2012]第56期）</w:t>
            </w:r>
          </w:p>
        </w:tc>
        <w:tc>
          <w:tcPr>
            <w:tcW w:w="1907" w:type="dxa"/>
            <w:noWrap w:val="0"/>
            <w:vAlign w:val="bottom"/>
          </w:tcPr>
          <w:p w14:paraId="50B59BE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5CC0A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7F28259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252</w:t>
            </w:r>
          </w:p>
        </w:tc>
        <w:tc>
          <w:tcPr>
            <w:tcW w:w="7019" w:type="dxa"/>
            <w:noWrap w:val="0"/>
            <w:vAlign w:val="bottom"/>
          </w:tcPr>
          <w:p w14:paraId="39E6957F">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《转发中国电力企业联合会关于落实进一步放开建设项目专业服务价格指导意见的通知》（南方电网定额〔2015〕12号）</w:t>
            </w:r>
          </w:p>
        </w:tc>
        <w:tc>
          <w:tcPr>
            <w:tcW w:w="1907" w:type="dxa"/>
            <w:noWrap w:val="0"/>
            <w:vAlign w:val="bottom"/>
          </w:tcPr>
          <w:p w14:paraId="52281F8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2031A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5D33A75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253</w:t>
            </w:r>
          </w:p>
        </w:tc>
        <w:tc>
          <w:tcPr>
            <w:tcW w:w="7019" w:type="dxa"/>
            <w:noWrap w:val="0"/>
            <w:vAlign w:val="bottom"/>
          </w:tcPr>
          <w:p w14:paraId="770D0CE6">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公司基建工程质量控制（WHS）标准（2017年版）</w:t>
            </w:r>
          </w:p>
        </w:tc>
        <w:tc>
          <w:tcPr>
            <w:tcW w:w="1907" w:type="dxa"/>
            <w:noWrap w:val="0"/>
            <w:vAlign w:val="bottom"/>
          </w:tcPr>
          <w:p w14:paraId="0BBD782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55368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4DE6667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254</w:t>
            </w:r>
          </w:p>
        </w:tc>
        <w:tc>
          <w:tcPr>
            <w:tcW w:w="7019" w:type="dxa"/>
            <w:noWrap w:val="0"/>
            <w:vAlign w:val="bottom"/>
          </w:tcPr>
          <w:p w14:paraId="2B9C75D8">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中国南方电网有限责任公司基建管理规定</w:t>
            </w:r>
          </w:p>
        </w:tc>
        <w:tc>
          <w:tcPr>
            <w:tcW w:w="1907" w:type="dxa"/>
            <w:noWrap w:val="0"/>
            <w:vAlign w:val="bottom"/>
          </w:tcPr>
          <w:p w14:paraId="4993049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28AE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6D110A6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255</w:t>
            </w:r>
          </w:p>
        </w:tc>
        <w:tc>
          <w:tcPr>
            <w:tcW w:w="7019" w:type="dxa"/>
            <w:noWrap w:val="0"/>
            <w:vAlign w:val="bottom"/>
          </w:tcPr>
          <w:p w14:paraId="20F4E1C5">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中国南方电网有限责任公司投资管理规定</w:t>
            </w:r>
          </w:p>
        </w:tc>
        <w:tc>
          <w:tcPr>
            <w:tcW w:w="1907" w:type="dxa"/>
            <w:noWrap w:val="0"/>
            <w:vAlign w:val="bottom"/>
          </w:tcPr>
          <w:p w14:paraId="4178F0A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036A5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34C8F89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256</w:t>
            </w:r>
          </w:p>
        </w:tc>
        <w:tc>
          <w:tcPr>
            <w:tcW w:w="7019" w:type="dxa"/>
            <w:noWrap w:val="0"/>
            <w:vAlign w:val="bottom"/>
          </w:tcPr>
          <w:p w14:paraId="5C8A1047">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中国南方电网有限责任公司采购计划与需求管理办法(2017)(修订)</w:t>
            </w:r>
          </w:p>
        </w:tc>
        <w:tc>
          <w:tcPr>
            <w:tcW w:w="1907" w:type="dxa"/>
            <w:noWrap w:val="0"/>
            <w:vAlign w:val="bottom"/>
          </w:tcPr>
          <w:p w14:paraId="505E0A5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62A72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743FEC9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257</w:t>
            </w:r>
          </w:p>
        </w:tc>
        <w:tc>
          <w:tcPr>
            <w:tcW w:w="7019" w:type="dxa"/>
            <w:noWrap w:val="0"/>
            <w:vAlign w:val="bottom"/>
          </w:tcPr>
          <w:p w14:paraId="5436EF7B">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中国南方电网有限责任公司仓储配送管理办法（2017）(修订)</w:t>
            </w:r>
          </w:p>
        </w:tc>
        <w:tc>
          <w:tcPr>
            <w:tcW w:w="1907" w:type="dxa"/>
            <w:noWrap w:val="0"/>
            <w:vAlign w:val="bottom"/>
          </w:tcPr>
          <w:p w14:paraId="2968BD9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2180C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2052587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258</w:t>
            </w:r>
          </w:p>
        </w:tc>
        <w:tc>
          <w:tcPr>
            <w:tcW w:w="7019" w:type="dxa"/>
            <w:noWrap w:val="0"/>
            <w:vAlign w:val="bottom"/>
          </w:tcPr>
          <w:p w14:paraId="2E42D862">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中国南方电网有限责任公司电力行业统计管理办法(修订)</w:t>
            </w:r>
          </w:p>
        </w:tc>
        <w:tc>
          <w:tcPr>
            <w:tcW w:w="1907" w:type="dxa"/>
            <w:noWrap w:val="0"/>
            <w:vAlign w:val="bottom"/>
          </w:tcPr>
          <w:p w14:paraId="3D3844F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2804E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306C51A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259</w:t>
            </w:r>
          </w:p>
        </w:tc>
        <w:tc>
          <w:tcPr>
            <w:tcW w:w="7019" w:type="dxa"/>
            <w:noWrap w:val="0"/>
            <w:vAlign w:val="bottom"/>
          </w:tcPr>
          <w:p w14:paraId="7F7A9C6D">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中国南方电网有限责任公司非招标采购方式管理办法(2017)(修订)</w:t>
            </w:r>
          </w:p>
        </w:tc>
        <w:tc>
          <w:tcPr>
            <w:tcW w:w="1907" w:type="dxa"/>
            <w:noWrap w:val="0"/>
            <w:vAlign w:val="bottom"/>
          </w:tcPr>
          <w:p w14:paraId="2875C71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6933A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6631B07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260</w:t>
            </w:r>
          </w:p>
        </w:tc>
        <w:tc>
          <w:tcPr>
            <w:tcW w:w="7019" w:type="dxa"/>
            <w:noWrap w:val="0"/>
            <w:vAlign w:val="bottom"/>
          </w:tcPr>
          <w:p w14:paraId="62247D42">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中国南方电网有限责任公司工程交接验收管理办法</w:t>
            </w:r>
          </w:p>
        </w:tc>
        <w:tc>
          <w:tcPr>
            <w:tcW w:w="1907" w:type="dxa"/>
            <w:noWrap w:val="0"/>
            <w:vAlign w:val="bottom"/>
          </w:tcPr>
          <w:p w14:paraId="2D70215F">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76A09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1ADFF0A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261</w:t>
            </w:r>
          </w:p>
        </w:tc>
        <w:tc>
          <w:tcPr>
            <w:tcW w:w="7019" w:type="dxa"/>
            <w:noWrap w:val="0"/>
            <w:vAlign w:val="bottom"/>
          </w:tcPr>
          <w:p w14:paraId="6FD8844A">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中国南方电网有限责任公司供货商扣分处罚实施细则</w:t>
            </w:r>
          </w:p>
        </w:tc>
        <w:tc>
          <w:tcPr>
            <w:tcW w:w="1907" w:type="dxa"/>
            <w:noWrap w:val="0"/>
            <w:vAlign w:val="bottom"/>
          </w:tcPr>
          <w:p w14:paraId="467CEC8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511C1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2FFBD5F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262</w:t>
            </w:r>
          </w:p>
        </w:tc>
        <w:tc>
          <w:tcPr>
            <w:tcW w:w="7019" w:type="dxa"/>
            <w:noWrap w:val="0"/>
            <w:vAlign w:val="bottom"/>
          </w:tcPr>
          <w:p w14:paraId="445308AE">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中国南方电网有限责任公司供应商管理办法(2017)(修订)</w:t>
            </w:r>
          </w:p>
        </w:tc>
        <w:tc>
          <w:tcPr>
            <w:tcW w:w="1907" w:type="dxa"/>
            <w:noWrap w:val="0"/>
            <w:vAlign w:val="bottom"/>
          </w:tcPr>
          <w:p w14:paraId="720F07C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6AC7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0642117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263</w:t>
            </w:r>
          </w:p>
        </w:tc>
        <w:tc>
          <w:tcPr>
            <w:tcW w:w="7019" w:type="dxa"/>
            <w:noWrap w:val="0"/>
            <w:vAlign w:val="bottom"/>
          </w:tcPr>
          <w:p w14:paraId="67B3CB65">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中国南方电网有限责任公司环境保护风险监督管理办法</w:t>
            </w:r>
          </w:p>
        </w:tc>
        <w:tc>
          <w:tcPr>
            <w:tcW w:w="1907" w:type="dxa"/>
            <w:noWrap w:val="0"/>
            <w:vAlign w:val="bottom"/>
          </w:tcPr>
          <w:p w14:paraId="2C136C6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13E84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4C05938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264</w:t>
            </w:r>
          </w:p>
        </w:tc>
        <w:tc>
          <w:tcPr>
            <w:tcW w:w="7019" w:type="dxa"/>
            <w:noWrap w:val="0"/>
            <w:vAlign w:val="bottom"/>
          </w:tcPr>
          <w:p w14:paraId="18909F37">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中国南方电网有限责任公司基建安全管理办法</w:t>
            </w:r>
          </w:p>
        </w:tc>
        <w:tc>
          <w:tcPr>
            <w:tcW w:w="1907" w:type="dxa"/>
            <w:noWrap w:val="0"/>
            <w:vAlign w:val="bottom"/>
          </w:tcPr>
          <w:p w14:paraId="20705D8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71F2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1889027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265</w:t>
            </w:r>
          </w:p>
        </w:tc>
        <w:tc>
          <w:tcPr>
            <w:tcW w:w="7019" w:type="dxa"/>
            <w:noWrap w:val="0"/>
            <w:vAlign w:val="bottom"/>
          </w:tcPr>
          <w:p w14:paraId="3F0175A6">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中国南方电网有限责任公司基建工程验收管理办法</w:t>
            </w:r>
          </w:p>
        </w:tc>
        <w:tc>
          <w:tcPr>
            <w:tcW w:w="1907" w:type="dxa"/>
            <w:noWrap w:val="0"/>
            <w:vAlign w:val="bottom"/>
          </w:tcPr>
          <w:p w14:paraId="7931CE5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125EC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4A1742A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266</w:t>
            </w:r>
          </w:p>
        </w:tc>
        <w:tc>
          <w:tcPr>
            <w:tcW w:w="7019" w:type="dxa"/>
            <w:noWrap w:val="0"/>
            <w:vAlign w:val="bottom"/>
          </w:tcPr>
          <w:p w14:paraId="6EF0B1AC">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中国南方电网有限责任公司基建技术管理办法</w:t>
            </w:r>
          </w:p>
        </w:tc>
        <w:tc>
          <w:tcPr>
            <w:tcW w:w="1907" w:type="dxa"/>
            <w:noWrap w:val="0"/>
            <w:vAlign w:val="bottom"/>
          </w:tcPr>
          <w:p w14:paraId="782EA70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11EF6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30AF4DCA">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267</w:t>
            </w:r>
          </w:p>
        </w:tc>
        <w:tc>
          <w:tcPr>
            <w:tcW w:w="7019" w:type="dxa"/>
            <w:noWrap w:val="0"/>
            <w:vAlign w:val="bottom"/>
          </w:tcPr>
          <w:p w14:paraId="799AD7F0">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中国南方电网有限责任公司基建设计管理办法</w:t>
            </w:r>
          </w:p>
        </w:tc>
        <w:tc>
          <w:tcPr>
            <w:tcW w:w="1907" w:type="dxa"/>
            <w:noWrap w:val="0"/>
            <w:vAlign w:val="bottom"/>
          </w:tcPr>
          <w:p w14:paraId="17C21C4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429EC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3C87B55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268</w:t>
            </w:r>
          </w:p>
        </w:tc>
        <w:tc>
          <w:tcPr>
            <w:tcW w:w="7019" w:type="dxa"/>
            <w:noWrap w:val="0"/>
            <w:vAlign w:val="bottom"/>
          </w:tcPr>
          <w:p w14:paraId="6B03D84D">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中国南方电网有限责任公司基建项目进度管理办法</w:t>
            </w:r>
          </w:p>
        </w:tc>
        <w:tc>
          <w:tcPr>
            <w:tcW w:w="1907" w:type="dxa"/>
            <w:noWrap w:val="0"/>
            <w:vAlign w:val="bottom"/>
          </w:tcPr>
          <w:p w14:paraId="0FEDD19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2018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64DB3B5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269</w:t>
            </w:r>
          </w:p>
        </w:tc>
        <w:tc>
          <w:tcPr>
            <w:tcW w:w="7019" w:type="dxa"/>
            <w:noWrap w:val="0"/>
            <w:vAlign w:val="bottom"/>
          </w:tcPr>
          <w:p w14:paraId="18112CC6">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中国南方电网有限责任公司基建项目投资管控业务指导书</w:t>
            </w:r>
          </w:p>
        </w:tc>
        <w:tc>
          <w:tcPr>
            <w:tcW w:w="1907" w:type="dxa"/>
            <w:noWrap w:val="0"/>
            <w:vAlign w:val="bottom"/>
          </w:tcPr>
          <w:p w14:paraId="51F4B4F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2BEF2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79CC8C2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270</w:t>
            </w:r>
          </w:p>
        </w:tc>
        <w:tc>
          <w:tcPr>
            <w:tcW w:w="7019" w:type="dxa"/>
            <w:noWrap w:val="0"/>
            <w:vAlign w:val="bottom"/>
          </w:tcPr>
          <w:p w14:paraId="5376E97F">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中国南方电网有限责任公司基建造价管理办法</w:t>
            </w:r>
          </w:p>
        </w:tc>
        <w:tc>
          <w:tcPr>
            <w:tcW w:w="1907" w:type="dxa"/>
            <w:noWrap w:val="0"/>
            <w:vAlign w:val="bottom"/>
          </w:tcPr>
          <w:p w14:paraId="729A8A7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3B74A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3A1543A5">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271</w:t>
            </w:r>
          </w:p>
        </w:tc>
        <w:tc>
          <w:tcPr>
            <w:tcW w:w="7019" w:type="dxa"/>
            <w:noWrap w:val="0"/>
            <w:vAlign w:val="bottom"/>
          </w:tcPr>
          <w:p w14:paraId="66676F8B">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中国南方电网有限责任公司基建质量管理办法</w:t>
            </w:r>
          </w:p>
        </w:tc>
        <w:tc>
          <w:tcPr>
            <w:tcW w:w="1907" w:type="dxa"/>
            <w:noWrap w:val="0"/>
            <w:vAlign w:val="bottom"/>
          </w:tcPr>
          <w:p w14:paraId="21CA361B">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464E7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0EE00C04">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272</w:t>
            </w:r>
          </w:p>
        </w:tc>
        <w:tc>
          <w:tcPr>
            <w:tcW w:w="7019" w:type="dxa"/>
            <w:noWrap w:val="0"/>
            <w:vAlign w:val="bottom"/>
          </w:tcPr>
          <w:p w14:paraId="04EFC29B">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中国南方电网有限责任公司技术监督管理规定</w:t>
            </w:r>
          </w:p>
        </w:tc>
        <w:tc>
          <w:tcPr>
            <w:tcW w:w="1907" w:type="dxa"/>
            <w:noWrap w:val="0"/>
            <w:vAlign w:val="bottom"/>
          </w:tcPr>
          <w:p w14:paraId="4279FF5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1C691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0C5386C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273</w:t>
            </w:r>
          </w:p>
        </w:tc>
        <w:tc>
          <w:tcPr>
            <w:tcW w:w="7019" w:type="dxa"/>
            <w:noWrap w:val="0"/>
            <w:vAlign w:val="bottom"/>
          </w:tcPr>
          <w:p w14:paraId="3A2840B8">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中国南方电网有限责任公司生产设备选型管理办法</w:t>
            </w:r>
          </w:p>
        </w:tc>
        <w:tc>
          <w:tcPr>
            <w:tcW w:w="1907" w:type="dxa"/>
            <w:noWrap w:val="0"/>
            <w:vAlign w:val="bottom"/>
          </w:tcPr>
          <w:p w14:paraId="05EA42C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69554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7204735C">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274</w:t>
            </w:r>
          </w:p>
        </w:tc>
        <w:tc>
          <w:tcPr>
            <w:tcW w:w="7019" w:type="dxa"/>
            <w:noWrap w:val="0"/>
            <w:vAlign w:val="bottom"/>
          </w:tcPr>
          <w:p w14:paraId="79EE3016">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中国南方电网有限责任公司新技术推广应用管理规定</w:t>
            </w:r>
          </w:p>
        </w:tc>
        <w:tc>
          <w:tcPr>
            <w:tcW w:w="1907" w:type="dxa"/>
            <w:noWrap w:val="0"/>
            <w:vAlign w:val="bottom"/>
          </w:tcPr>
          <w:p w14:paraId="68DD316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53BFE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33355257">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275</w:t>
            </w:r>
          </w:p>
        </w:tc>
        <w:tc>
          <w:tcPr>
            <w:tcW w:w="7019" w:type="dxa"/>
            <w:noWrap w:val="0"/>
            <w:vAlign w:val="bottom"/>
          </w:tcPr>
          <w:p w14:paraId="3F3BD0CA">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中国南方电网有限责任公司招标管理规定(2017)(修订)</w:t>
            </w:r>
          </w:p>
        </w:tc>
        <w:tc>
          <w:tcPr>
            <w:tcW w:w="1907" w:type="dxa"/>
            <w:noWrap w:val="0"/>
            <w:vAlign w:val="bottom"/>
          </w:tcPr>
          <w:p w14:paraId="497A54CC">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13D93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7D1332E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276</w:t>
            </w:r>
          </w:p>
        </w:tc>
        <w:tc>
          <w:tcPr>
            <w:tcW w:w="7019" w:type="dxa"/>
            <w:noWrap w:val="0"/>
            <w:vAlign w:val="bottom"/>
          </w:tcPr>
          <w:p w14:paraId="702A1262">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关于印发工程领域违法转分包专项治理措施的通知（南方电网基建[2019]18号）</w:t>
            </w:r>
          </w:p>
        </w:tc>
        <w:tc>
          <w:tcPr>
            <w:tcW w:w="1907" w:type="dxa"/>
            <w:noWrap w:val="0"/>
            <w:vAlign w:val="bottom"/>
          </w:tcPr>
          <w:p w14:paraId="4995D7F8">
            <w:pPr>
              <w:widowControl/>
              <w:spacing w:line="540" w:lineRule="exact"/>
              <w:jc w:val="lef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729A1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0F48E880">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277</w:t>
            </w:r>
          </w:p>
        </w:tc>
        <w:tc>
          <w:tcPr>
            <w:tcW w:w="7019" w:type="dxa"/>
            <w:noWrap w:val="0"/>
            <w:vAlign w:val="bottom"/>
          </w:tcPr>
          <w:p w14:paraId="65CAD188">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中国南方电网有限责任公司基建工程监理工作典型表式（2015年版）</w:t>
            </w:r>
          </w:p>
        </w:tc>
        <w:tc>
          <w:tcPr>
            <w:tcW w:w="1907" w:type="dxa"/>
            <w:noWrap w:val="0"/>
            <w:vAlign w:val="bottom"/>
          </w:tcPr>
          <w:p w14:paraId="3144ADE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03141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1DEF67C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278</w:t>
            </w:r>
          </w:p>
        </w:tc>
        <w:tc>
          <w:tcPr>
            <w:tcW w:w="7019" w:type="dxa"/>
            <w:noWrap w:val="0"/>
            <w:vAlign w:val="bottom"/>
          </w:tcPr>
          <w:p w14:paraId="016CBC00">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中国南方电网有限责任公司监理项目部工作手册</w:t>
            </w:r>
          </w:p>
        </w:tc>
        <w:tc>
          <w:tcPr>
            <w:tcW w:w="1907" w:type="dxa"/>
            <w:noWrap w:val="0"/>
            <w:vAlign w:val="bottom"/>
          </w:tcPr>
          <w:p w14:paraId="68B8AE0A">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2BC9F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2CB1CBD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279</w:t>
            </w:r>
          </w:p>
        </w:tc>
        <w:tc>
          <w:tcPr>
            <w:tcW w:w="7019" w:type="dxa"/>
            <w:noWrap w:val="0"/>
            <w:vAlign w:val="center"/>
          </w:tcPr>
          <w:p w14:paraId="02E8DFF0">
            <w:pPr>
              <w:widowControl/>
              <w:spacing w:line="540" w:lineRule="exact"/>
              <w:rPr>
                <w:rFonts w:ascii="宋体" w:hAnsi="宋体" w:cs="宋体"/>
                <w:color w:val="auto"/>
                <w:kern w:val="0"/>
                <w:szCs w:val="21"/>
                <w:highlight w:val="none"/>
                <w:shd w:val="clear" w:color="auto" w:fill="auto"/>
              </w:rPr>
            </w:pPr>
            <w:bookmarkStart w:id="391" w:name="RANGE!B287"/>
            <w:r>
              <w:rPr>
                <w:rFonts w:hint="eastAsia" w:ascii="宋体" w:hAnsi="宋体" w:cs="宋体"/>
                <w:color w:val="auto"/>
                <w:kern w:val="0"/>
                <w:szCs w:val="21"/>
                <w:highlight w:val="none"/>
                <w:shd w:val="clear" w:color="auto" w:fill="auto"/>
              </w:rPr>
              <w:t>中国南方电网有限责任公司基建承包商违章扣分实施指南（2019版）</w:t>
            </w:r>
            <w:bookmarkEnd w:id="391"/>
          </w:p>
        </w:tc>
        <w:tc>
          <w:tcPr>
            <w:tcW w:w="1907" w:type="dxa"/>
            <w:noWrap w:val="0"/>
            <w:vAlign w:val="bottom"/>
          </w:tcPr>
          <w:p w14:paraId="06FF51D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6074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21C87A0C">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280</w:t>
            </w:r>
          </w:p>
        </w:tc>
        <w:tc>
          <w:tcPr>
            <w:tcW w:w="7019" w:type="dxa"/>
            <w:noWrap w:val="0"/>
            <w:vAlign w:val="center"/>
          </w:tcPr>
          <w:p w14:paraId="1565DCF3">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中国南方电网有限责任公司基建项目承包商评价标准</w:t>
            </w:r>
          </w:p>
        </w:tc>
        <w:tc>
          <w:tcPr>
            <w:tcW w:w="1907" w:type="dxa"/>
            <w:noWrap w:val="0"/>
            <w:vAlign w:val="bottom"/>
          </w:tcPr>
          <w:p w14:paraId="39FBB422">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4A1FD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50CF881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281</w:t>
            </w:r>
          </w:p>
        </w:tc>
        <w:tc>
          <w:tcPr>
            <w:tcW w:w="7019" w:type="dxa"/>
            <w:noWrap w:val="0"/>
            <w:vAlign w:val="center"/>
          </w:tcPr>
          <w:p w14:paraId="3BBF5990">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《中国南方电网有限责任公司工程项目质量保证金管理工作指引》（南方电网基建〔2019〕10号）</w:t>
            </w:r>
          </w:p>
        </w:tc>
        <w:tc>
          <w:tcPr>
            <w:tcW w:w="1907" w:type="dxa"/>
            <w:noWrap w:val="0"/>
            <w:vAlign w:val="bottom"/>
          </w:tcPr>
          <w:p w14:paraId="7917F881">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34E8E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5E075853">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282</w:t>
            </w:r>
          </w:p>
        </w:tc>
        <w:tc>
          <w:tcPr>
            <w:tcW w:w="7019" w:type="dxa"/>
            <w:noWrap w:val="0"/>
            <w:vAlign w:val="bottom"/>
          </w:tcPr>
          <w:p w14:paraId="0880353A">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《中国南方电网有限责任公司设备缺陷定级标准》（基建分册）、《中国南方电网有限责任公司缺陷标准库》（基建分册）</w:t>
            </w:r>
          </w:p>
        </w:tc>
        <w:tc>
          <w:tcPr>
            <w:tcW w:w="1907" w:type="dxa"/>
            <w:noWrap w:val="0"/>
            <w:vAlign w:val="bottom"/>
          </w:tcPr>
          <w:p w14:paraId="75924BAE">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14441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3D9E04D9">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283</w:t>
            </w:r>
          </w:p>
        </w:tc>
        <w:tc>
          <w:tcPr>
            <w:tcW w:w="7019" w:type="dxa"/>
            <w:noWrap w:val="0"/>
            <w:vAlign w:val="bottom"/>
          </w:tcPr>
          <w:p w14:paraId="489A75E4">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《南方电网公司基建项目造价信息化规约（20kV及以下配网工程2016定额版）》（基建〔2017〕46号）</w:t>
            </w:r>
          </w:p>
        </w:tc>
        <w:tc>
          <w:tcPr>
            <w:tcW w:w="1907" w:type="dxa"/>
            <w:noWrap w:val="0"/>
            <w:vAlign w:val="bottom"/>
          </w:tcPr>
          <w:p w14:paraId="1D5D2BE8">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南方电网管理要求</w:t>
            </w:r>
          </w:p>
        </w:tc>
      </w:tr>
      <w:tr w14:paraId="44F4E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14:paraId="0367BB96">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284</w:t>
            </w:r>
          </w:p>
        </w:tc>
        <w:tc>
          <w:tcPr>
            <w:tcW w:w="7019" w:type="dxa"/>
            <w:noWrap w:val="0"/>
            <w:vAlign w:val="bottom"/>
          </w:tcPr>
          <w:p w14:paraId="58F4BBBB">
            <w:pPr>
              <w:widowControl/>
              <w:spacing w:line="540" w:lineRule="exact"/>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《南方电网公司技术标准体系表（2019版）》</w:t>
            </w:r>
          </w:p>
        </w:tc>
        <w:tc>
          <w:tcPr>
            <w:tcW w:w="1907" w:type="dxa"/>
            <w:noWrap w:val="0"/>
            <w:vAlign w:val="bottom"/>
          </w:tcPr>
          <w:p w14:paraId="0896862D">
            <w:pPr>
              <w:widowControl/>
              <w:spacing w:line="540" w:lineRule="exact"/>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南方电网企业标准</w:t>
            </w:r>
          </w:p>
        </w:tc>
      </w:tr>
    </w:tbl>
    <w:p w14:paraId="61179411">
      <w:pPr>
        <w:widowControl/>
        <w:autoSpaceDE w:val="0"/>
        <w:autoSpaceDN w:val="0"/>
        <w:adjustRightInd w:val="0"/>
        <w:spacing w:before="64" w:line="540" w:lineRule="exact"/>
        <w:ind w:firstLine="420" w:firstLineChars="200"/>
        <w:jc w:val="left"/>
        <w:rPr>
          <w:rFonts w:ascii="宋体" w:hAnsi="宋体" w:cs="宋体"/>
          <w:color w:val="auto"/>
          <w:kern w:val="0"/>
          <w:szCs w:val="21"/>
          <w:highlight w:val="none"/>
          <w:shd w:val="clear" w:color="auto" w:fill="auto"/>
        </w:rPr>
      </w:pPr>
      <w:r>
        <w:rPr>
          <w:rFonts w:hint="eastAsia" w:ascii="宋体" w:hAnsi="宋体"/>
          <w:color w:val="auto"/>
          <w:szCs w:val="21"/>
          <w:highlight w:val="none"/>
          <w:shd w:val="clear" w:color="auto" w:fill="auto"/>
        </w:rPr>
        <w:t>以上所列的主要技术标准和规范，如未能达到国际和国内最新标准时，投标方应使用符合最近的国际、国内标准，并提供采用的标准、规范和所应用的最新版本的有关技术依据资料。</w:t>
      </w:r>
    </w:p>
    <w:p w14:paraId="6C3D3BEE">
      <w:pPr>
        <w:pStyle w:val="22"/>
        <w:spacing w:line="540" w:lineRule="exact"/>
        <w:jc w:val="center"/>
        <w:rPr>
          <w:rFonts w:hAnsi="宋体" w:cs="仿宋_GB2312"/>
          <w:color w:val="auto"/>
          <w:szCs w:val="21"/>
          <w:highlight w:val="none"/>
          <w:shd w:val="clear" w:color="auto" w:fill="auto"/>
        </w:rPr>
      </w:pPr>
      <w:r>
        <w:rPr>
          <w:rFonts w:hint="eastAsia" w:hAnsi="宋体" w:cs="仿宋_GB2312"/>
          <w:color w:val="auto"/>
          <w:szCs w:val="21"/>
          <w:highlight w:val="none"/>
          <w:shd w:val="clear" w:color="auto" w:fill="auto"/>
        </w:rPr>
        <w:br w:type="page"/>
      </w:r>
    </w:p>
    <w:p w14:paraId="1B0E4610">
      <w:pPr>
        <w:pStyle w:val="5"/>
        <w:spacing w:line="540" w:lineRule="exact"/>
        <w:ind w:firstLine="137"/>
        <w:rPr>
          <w:rFonts w:ascii="Times New Roman"/>
          <w:color w:val="auto"/>
          <w:highlight w:val="none"/>
          <w:shd w:val="clear" w:color="auto" w:fill="auto"/>
        </w:rPr>
      </w:pPr>
      <w:bookmarkStart w:id="392" w:name="_Toc2573"/>
      <w:r>
        <w:rPr>
          <w:rFonts w:hint="eastAsia" w:ascii="Times New Roman"/>
          <w:color w:val="auto"/>
          <w:highlight w:val="none"/>
          <w:shd w:val="clear" w:color="auto" w:fill="auto"/>
        </w:rPr>
        <w:t>附件十：</w:t>
      </w:r>
      <w:r>
        <w:rPr>
          <w:rFonts w:hint="eastAsia" w:ascii="宋体" w:hAnsi="宋体"/>
          <w:color w:val="auto"/>
          <w:szCs w:val="21"/>
          <w:highlight w:val="none"/>
          <w:shd w:val="clear" w:color="auto" w:fill="auto"/>
        </w:rPr>
        <w:t>联合体协议书（如有）</w:t>
      </w:r>
      <w:bookmarkEnd w:id="392"/>
    </w:p>
    <w:p w14:paraId="7EB9BCBE">
      <w:pPr>
        <w:autoSpaceDE w:val="0"/>
        <w:autoSpaceDN w:val="0"/>
        <w:spacing w:line="540" w:lineRule="exact"/>
        <w:rPr>
          <w:rFonts w:ascii="宋体" w:hAnsi="宋体" w:cs="仿宋_GB2312"/>
          <w:color w:val="auto"/>
          <w:szCs w:val="21"/>
          <w:highlight w:val="none"/>
          <w:shd w:val="clear" w:color="auto" w:fill="auto"/>
        </w:rPr>
      </w:pPr>
      <w:r>
        <w:rPr>
          <w:rFonts w:hint="eastAsia" w:ascii="宋体" w:hAnsi="宋体" w:cs="仿宋_GB2312"/>
          <w:color w:val="auto"/>
          <w:szCs w:val="21"/>
          <w:highlight w:val="none"/>
          <w:shd w:val="clear" w:color="auto" w:fill="auto"/>
        </w:rPr>
        <w:br w:type="page"/>
      </w:r>
    </w:p>
    <w:p w14:paraId="605BE33A">
      <w:pPr>
        <w:pStyle w:val="5"/>
        <w:numPr>
          <w:ilvl w:val="0"/>
          <w:numId w:val="4"/>
        </w:numPr>
        <w:spacing w:line="540" w:lineRule="exact"/>
        <w:ind w:firstLine="643" w:firstLineChars="200"/>
        <w:jc w:val="center"/>
        <w:rPr>
          <w:rFonts w:ascii="Times New Roman" w:hAnsi="Times New Roman"/>
          <w:color w:val="auto"/>
          <w:highlight w:val="none"/>
          <w:shd w:val="clear" w:color="auto" w:fill="auto"/>
        </w:rPr>
      </w:pPr>
      <w:bookmarkStart w:id="393" w:name="_Toc20424"/>
      <w:r>
        <w:rPr>
          <w:rFonts w:hint="eastAsia" w:ascii="Times New Roman" w:hAnsi="Times New Roman"/>
          <w:color w:val="auto"/>
          <w:highlight w:val="none"/>
          <w:shd w:val="clear" w:color="auto" w:fill="auto"/>
        </w:rPr>
        <w:t>报价书</w:t>
      </w:r>
      <w:bookmarkEnd w:id="393"/>
    </w:p>
    <w:p w14:paraId="15D06831">
      <w:pPr>
        <w:spacing w:line="540" w:lineRule="exact"/>
        <w:rPr>
          <w:color w:val="auto"/>
          <w:highlight w:val="none"/>
          <w:shd w:val="clear" w:color="auto" w:fill="auto"/>
        </w:rPr>
      </w:pPr>
      <w:r>
        <w:rPr>
          <w:rFonts w:hint="eastAsia" w:ascii="宋体" w:hAnsi="宋体"/>
          <w:color w:val="auto"/>
          <w:szCs w:val="21"/>
          <w:highlight w:val="none"/>
          <w:shd w:val="clear" w:color="auto" w:fill="auto"/>
        </w:rPr>
        <w:t>详见投标文件。</w:t>
      </w:r>
      <w:bookmarkEnd w:id="192"/>
      <w:bookmarkEnd w:id="193"/>
      <w:bookmarkEnd w:id="194"/>
      <w:bookmarkEnd w:id="195"/>
      <w:bookmarkEnd w:id="196"/>
      <w:bookmarkEnd w:id="197"/>
      <w:bookmarkEnd w:id="198"/>
      <w:bookmarkEnd w:id="384"/>
      <w:bookmarkEnd w:id="385"/>
      <w:bookmarkEnd w:id="386"/>
      <w:bookmarkEnd w:id="387"/>
      <w:bookmarkEnd w:id="388"/>
      <w:bookmarkEnd w:id="389"/>
      <w:permEnd w:id="136"/>
    </w:p>
    <w:sectPr>
      <w:footerReference r:id="rId3" w:type="default"/>
      <w:pgSz w:w="12240" w:h="15840"/>
      <w:pgMar w:top="1440" w:right="1800" w:bottom="1440" w:left="1800" w:header="720" w:footer="720" w:gutter="0"/>
      <w:pgNumType w:fmt="decimal"/>
      <w:cols w:space="720" w:num="1"/>
      <w:docGrid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ˎ̥">
    <w:altName w:val="思源宋体 CN"/>
    <w:panose1 w:val="00000000000000000000"/>
    <w:charset w:val="00"/>
    <w:family w:val="roman"/>
    <w:pitch w:val="default"/>
    <w:sig w:usb0="00000000" w:usb1="00000000" w:usb2="00000000" w:usb3="00000000" w:csb0="00040001" w:csb1="00000000"/>
  </w:font>
  <w:font w:name="思源黑体 CN">
    <w:altName w:val="黑体"/>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alisto MT">
    <w:panose1 w:val="02040603050505030304"/>
    <w:charset w:val="00"/>
    <w:family w:val="roman"/>
    <w:pitch w:val="default"/>
    <w:sig w:usb0="00000003" w:usb1="00000000" w:usb2="00000000" w:usb3="00000000" w:csb0="20000001"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宋体-18030">
    <w:altName w:val="微软雅黑"/>
    <w:panose1 w:val="02010609060101010101"/>
    <w:charset w:val="86"/>
    <w:family w:val="swiss"/>
    <w:pitch w:val="default"/>
    <w:sig w:usb0="00000000" w:usb1="00000000" w:usb2="000A005E" w:usb3="00000000" w:csb0="00040001" w:csb1="00000000"/>
  </w:font>
  <w:font w:name="TimesNewRomanPSMT">
    <w:altName w:val="Times New Roman"/>
    <w:panose1 w:val="02020603050405020304"/>
    <w:charset w:val="00"/>
    <w:family w:val="roman"/>
    <w:pitch w:val="default"/>
    <w:sig w:usb0="00000000" w:usb1="00000000"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78113">
    <w:pPr>
      <w:pStyle w:val="2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C57DC0">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BC57DC0">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91</w:t>
                    </w:r>
                    <w:r>
                      <w:fldChar w:fldCharType="end"/>
                    </w:r>
                    <w:r>
                      <w:t xml:space="preserve"> 页</w:t>
                    </w:r>
                  </w:p>
                </w:txbxContent>
              </v:textbox>
            </v:shape>
          </w:pict>
        </mc:Fallback>
      </mc:AlternateContent>
    </w:r>
  </w:p>
  <w:p w14:paraId="2E765A9E">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580B80"/>
    <w:multiLevelType w:val="singleLevel"/>
    <w:tmpl w:val="5A580B80"/>
    <w:lvl w:ilvl="0" w:tentative="0">
      <w:start w:val="3"/>
      <w:numFmt w:val="decimal"/>
      <w:suff w:val="nothing"/>
      <w:lvlText w:val="（%1）"/>
      <w:lvlJc w:val="left"/>
    </w:lvl>
  </w:abstractNum>
  <w:abstractNum w:abstractNumId="1">
    <w:nsid w:val="5A585638"/>
    <w:multiLevelType w:val="singleLevel"/>
    <w:tmpl w:val="5A585638"/>
    <w:lvl w:ilvl="0" w:tentative="0">
      <w:start w:val="4"/>
      <w:numFmt w:val="decimal"/>
      <w:suff w:val="space"/>
      <w:lvlText w:val="%1."/>
      <w:lvlJc w:val="left"/>
    </w:lvl>
  </w:abstractNum>
  <w:abstractNum w:abstractNumId="2">
    <w:nsid w:val="5A587B94"/>
    <w:multiLevelType w:val="singleLevel"/>
    <w:tmpl w:val="5A587B94"/>
    <w:lvl w:ilvl="0" w:tentative="0">
      <w:start w:val="4"/>
      <w:numFmt w:val="chineseCounting"/>
      <w:suff w:val="nothing"/>
      <w:lvlText w:val="第%1节"/>
      <w:lvlJc w:val="left"/>
    </w:lvl>
  </w:abstractNum>
  <w:abstractNum w:abstractNumId="3">
    <w:nsid w:val="5A5BFCE5"/>
    <w:multiLevelType w:val="singleLevel"/>
    <w:tmpl w:val="5A5BFCE5"/>
    <w:lvl w:ilvl="0" w:tentative="0">
      <w:start w:val="1"/>
      <w:numFmt w:val="decimal"/>
      <w:pStyle w:val="88"/>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1NjcwZjQ5NWM5YmI3ZDE0Y2U1NTFhMDgyMWJjNzUifQ=="/>
  </w:docVars>
  <w:rsids>
    <w:rsidRoot w:val="00172A27"/>
    <w:rsid w:val="00002A60"/>
    <w:rsid w:val="00004603"/>
    <w:rsid w:val="00007319"/>
    <w:rsid w:val="000106AE"/>
    <w:rsid w:val="00011D02"/>
    <w:rsid w:val="00012703"/>
    <w:rsid w:val="000129D7"/>
    <w:rsid w:val="0001485E"/>
    <w:rsid w:val="00020140"/>
    <w:rsid w:val="00021BFE"/>
    <w:rsid w:val="00024B18"/>
    <w:rsid w:val="000250D6"/>
    <w:rsid w:val="00025980"/>
    <w:rsid w:val="00025ACC"/>
    <w:rsid w:val="00026171"/>
    <w:rsid w:val="000316F2"/>
    <w:rsid w:val="00032762"/>
    <w:rsid w:val="000351AE"/>
    <w:rsid w:val="00036642"/>
    <w:rsid w:val="00037A43"/>
    <w:rsid w:val="00043778"/>
    <w:rsid w:val="000452CE"/>
    <w:rsid w:val="000453B3"/>
    <w:rsid w:val="0005229A"/>
    <w:rsid w:val="00055BAD"/>
    <w:rsid w:val="00062AC6"/>
    <w:rsid w:val="00065A9E"/>
    <w:rsid w:val="000668F1"/>
    <w:rsid w:val="00067035"/>
    <w:rsid w:val="00071337"/>
    <w:rsid w:val="000752F3"/>
    <w:rsid w:val="00077D16"/>
    <w:rsid w:val="0008132B"/>
    <w:rsid w:val="00081360"/>
    <w:rsid w:val="0008253E"/>
    <w:rsid w:val="00084830"/>
    <w:rsid w:val="00087558"/>
    <w:rsid w:val="0009240C"/>
    <w:rsid w:val="000943B0"/>
    <w:rsid w:val="00094C66"/>
    <w:rsid w:val="000A16FC"/>
    <w:rsid w:val="000A1AB2"/>
    <w:rsid w:val="000A287B"/>
    <w:rsid w:val="000A5C81"/>
    <w:rsid w:val="000A76B3"/>
    <w:rsid w:val="000B65E2"/>
    <w:rsid w:val="000B676B"/>
    <w:rsid w:val="000C0018"/>
    <w:rsid w:val="000C1A9B"/>
    <w:rsid w:val="000C2AB5"/>
    <w:rsid w:val="000C4323"/>
    <w:rsid w:val="000C45BF"/>
    <w:rsid w:val="000C4710"/>
    <w:rsid w:val="000D0812"/>
    <w:rsid w:val="000D3DD3"/>
    <w:rsid w:val="000D4336"/>
    <w:rsid w:val="000D49B4"/>
    <w:rsid w:val="000D7260"/>
    <w:rsid w:val="000E08CB"/>
    <w:rsid w:val="000E1602"/>
    <w:rsid w:val="000E5673"/>
    <w:rsid w:val="000E5E77"/>
    <w:rsid w:val="000E7256"/>
    <w:rsid w:val="000F2186"/>
    <w:rsid w:val="000F2A12"/>
    <w:rsid w:val="000F2ECC"/>
    <w:rsid w:val="000F3757"/>
    <w:rsid w:val="000F7A0C"/>
    <w:rsid w:val="00100EF3"/>
    <w:rsid w:val="001011FC"/>
    <w:rsid w:val="00102618"/>
    <w:rsid w:val="00102F0B"/>
    <w:rsid w:val="00105423"/>
    <w:rsid w:val="00110431"/>
    <w:rsid w:val="001119B6"/>
    <w:rsid w:val="00111BC8"/>
    <w:rsid w:val="001122DE"/>
    <w:rsid w:val="00115124"/>
    <w:rsid w:val="00117629"/>
    <w:rsid w:val="00117A4F"/>
    <w:rsid w:val="00117F0F"/>
    <w:rsid w:val="001202A6"/>
    <w:rsid w:val="00120A52"/>
    <w:rsid w:val="00120DBF"/>
    <w:rsid w:val="00124337"/>
    <w:rsid w:val="0012552C"/>
    <w:rsid w:val="00132D26"/>
    <w:rsid w:val="001373A8"/>
    <w:rsid w:val="0014098E"/>
    <w:rsid w:val="00141621"/>
    <w:rsid w:val="00144A65"/>
    <w:rsid w:val="00152FFB"/>
    <w:rsid w:val="001530C6"/>
    <w:rsid w:val="00163567"/>
    <w:rsid w:val="001639B6"/>
    <w:rsid w:val="00163A5B"/>
    <w:rsid w:val="00170389"/>
    <w:rsid w:val="00171218"/>
    <w:rsid w:val="001729B8"/>
    <w:rsid w:val="00172A27"/>
    <w:rsid w:val="001735B4"/>
    <w:rsid w:val="001748A3"/>
    <w:rsid w:val="001770DF"/>
    <w:rsid w:val="00182B11"/>
    <w:rsid w:val="00183AEA"/>
    <w:rsid w:val="00183B4A"/>
    <w:rsid w:val="00186361"/>
    <w:rsid w:val="00187146"/>
    <w:rsid w:val="00193C1D"/>
    <w:rsid w:val="00194127"/>
    <w:rsid w:val="00196EED"/>
    <w:rsid w:val="001A093D"/>
    <w:rsid w:val="001A0C52"/>
    <w:rsid w:val="001A0CCF"/>
    <w:rsid w:val="001A2D03"/>
    <w:rsid w:val="001A2E05"/>
    <w:rsid w:val="001A4491"/>
    <w:rsid w:val="001A4684"/>
    <w:rsid w:val="001B0A20"/>
    <w:rsid w:val="001B1289"/>
    <w:rsid w:val="001B5478"/>
    <w:rsid w:val="001B7FEF"/>
    <w:rsid w:val="001C133B"/>
    <w:rsid w:val="001C30C7"/>
    <w:rsid w:val="001D033C"/>
    <w:rsid w:val="001D30B6"/>
    <w:rsid w:val="001D3BE0"/>
    <w:rsid w:val="001D58C8"/>
    <w:rsid w:val="001E0901"/>
    <w:rsid w:val="001E1056"/>
    <w:rsid w:val="001E1433"/>
    <w:rsid w:val="001F1B9C"/>
    <w:rsid w:val="001F2208"/>
    <w:rsid w:val="001F285E"/>
    <w:rsid w:val="001F2D26"/>
    <w:rsid w:val="001F4134"/>
    <w:rsid w:val="001F45EE"/>
    <w:rsid w:val="001F4850"/>
    <w:rsid w:val="001F4A49"/>
    <w:rsid w:val="001F6870"/>
    <w:rsid w:val="00204444"/>
    <w:rsid w:val="00204A5C"/>
    <w:rsid w:val="00206384"/>
    <w:rsid w:val="002063D8"/>
    <w:rsid w:val="00207739"/>
    <w:rsid w:val="00207A0B"/>
    <w:rsid w:val="00207FB1"/>
    <w:rsid w:val="00212A53"/>
    <w:rsid w:val="0021322F"/>
    <w:rsid w:val="00213B90"/>
    <w:rsid w:val="00214661"/>
    <w:rsid w:val="00215412"/>
    <w:rsid w:val="00215AF0"/>
    <w:rsid w:val="002229E2"/>
    <w:rsid w:val="0022434B"/>
    <w:rsid w:val="002245DD"/>
    <w:rsid w:val="00233ADF"/>
    <w:rsid w:val="0023423F"/>
    <w:rsid w:val="002349F6"/>
    <w:rsid w:val="00237B0E"/>
    <w:rsid w:val="002430C2"/>
    <w:rsid w:val="00244E70"/>
    <w:rsid w:val="002454BD"/>
    <w:rsid w:val="002472BF"/>
    <w:rsid w:val="00250CB7"/>
    <w:rsid w:val="0025135E"/>
    <w:rsid w:val="00251A49"/>
    <w:rsid w:val="002521B3"/>
    <w:rsid w:val="00252893"/>
    <w:rsid w:val="00253B41"/>
    <w:rsid w:val="0025460A"/>
    <w:rsid w:val="00255D0D"/>
    <w:rsid w:val="00260C77"/>
    <w:rsid w:val="00261352"/>
    <w:rsid w:val="00263F0B"/>
    <w:rsid w:val="0026441A"/>
    <w:rsid w:val="00264EB1"/>
    <w:rsid w:val="0026505A"/>
    <w:rsid w:val="00273794"/>
    <w:rsid w:val="0027678C"/>
    <w:rsid w:val="00276C71"/>
    <w:rsid w:val="00281526"/>
    <w:rsid w:val="00285406"/>
    <w:rsid w:val="002875E7"/>
    <w:rsid w:val="00290A02"/>
    <w:rsid w:val="0029129F"/>
    <w:rsid w:val="00293C0C"/>
    <w:rsid w:val="002A0BA8"/>
    <w:rsid w:val="002A0C76"/>
    <w:rsid w:val="002A33B3"/>
    <w:rsid w:val="002A552C"/>
    <w:rsid w:val="002A6152"/>
    <w:rsid w:val="002A65ED"/>
    <w:rsid w:val="002A74F3"/>
    <w:rsid w:val="002B2B5B"/>
    <w:rsid w:val="002C0C29"/>
    <w:rsid w:val="002C1B66"/>
    <w:rsid w:val="002C31DD"/>
    <w:rsid w:val="002C3CD8"/>
    <w:rsid w:val="002C4ACF"/>
    <w:rsid w:val="002C7B9B"/>
    <w:rsid w:val="002D2B90"/>
    <w:rsid w:val="002D6F32"/>
    <w:rsid w:val="002D7B78"/>
    <w:rsid w:val="002E1C97"/>
    <w:rsid w:val="002E1DAC"/>
    <w:rsid w:val="002E6D05"/>
    <w:rsid w:val="002E76C7"/>
    <w:rsid w:val="002F077E"/>
    <w:rsid w:val="002F4FD3"/>
    <w:rsid w:val="002F72A0"/>
    <w:rsid w:val="00311324"/>
    <w:rsid w:val="003122C4"/>
    <w:rsid w:val="00315B0D"/>
    <w:rsid w:val="00316B28"/>
    <w:rsid w:val="0032031D"/>
    <w:rsid w:val="003214BA"/>
    <w:rsid w:val="00321647"/>
    <w:rsid w:val="00321989"/>
    <w:rsid w:val="00321DDA"/>
    <w:rsid w:val="003243EC"/>
    <w:rsid w:val="003247CD"/>
    <w:rsid w:val="003279BD"/>
    <w:rsid w:val="003362AD"/>
    <w:rsid w:val="00342688"/>
    <w:rsid w:val="0034440E"/>
    <w:rsid w:val="00344FE2"/>
    <w:rsid w:val="00347899"/>
    <w:rsid w:val="003518D6"/>
    <w:rsid w:val="00354B7A"/>
    <w:rsid w:val="0036122C"/>
    <w:rsid w:val="00363966"/>
    <w:rsid w:val="00364943"/>
    <w:rsid w:val="003701CE"/>
    <w:rsid w:val="0037172D"/>
    <w:rsid w:val="003741B0"/>
    <w:rsid w:val="00375481"/>
    <w:rsid w:val="003766FB"/>
    <w:rsid w:val="0037688E"/>
    <w:rsid w:val="0038240C"/>
    <w:rsid w:val="0038359A"/>
    <w:rsid w:val="0038499D"/>
    <w:rsid w:val="00386AA0"/>
    <w:rsid w:val="00387996"/>
    <w:rsid w:val="0039022C"/>
    <w:rsid w:val="00391F03"/>
    <w:rsid w:val="00392926"/>
    <w:rsid w:val="0039407B"/>
    <w:rsid w:val="00394F29"/>
    <w:rsid w:val="00396A68"/>
    <w:rsid w:val="003A0C6B"/>
    <w:rsid w:val="003A2368"/>
    <w:rsid w:val="003A593E"/>
    <w:rsid w:val="003A6775"/>
    <w:rsid w:val="003B02F9"/>
    <w:rsid w:val="003B1B15"/>
    <w:rsid w:val="003B2287"/>
    <w:rsid w:val="003B7203"/>
    <w:rsid w:val="003C083C"/>
    <w:rsid w:val="003C0ADF"/>
    <w:rsid w:val="003C0D7D"/>
    <w:rsid w:val="003C3B81"/>
    <w:rsid w:val="003C4858"/>
    <w:rsid w:val="003C5BB3"/>
    <w:rsid w:val="003C66EB"/>
    <w:rsid w:val="003D1170"/>
    <w:rsid w:val="003D1B8E"/>
    <w:rsid w:val="003D2D72"/>
    <w:rsid w:val="003D36EE"/>
    <w:rsid w:val="003D402C"/>
    <w:rsid w:val="003D6546"/>
    <w:rsid w:val="003D6E0A"/>
    <w:rsid w:val="003D7915"/>
    <w:rsid w:val="003E2C4E"/>
    <w:rsid w:val="003E56F5"/>
    <w:rsid w:val="003F3518"/>
    <w:rsid w:val="003F504F"/>
    <w:rsid w:val="003F5B69"/>
    <w:rsid w:val="00400514"/>
    <w:rsid w:val="004105EF"/>
    <w:rsid w:val="00412171"/>
    <w:rsid w:val="00415A1A"/>
    <w:rsid w:val="0042326A"/>
    <w:rsid w:val="004238AC"/>
    <w:rsid w:val="00423F96"/>
    <w:rsid w:val="00427C4D"/>
    <w:rsid w:val="00431F4F"/>
    <w:rsid w:val="00432518"/>
    <w:rsid w:val="0043351E"/>
    <w:rsid w:val="00433676"/>
    <w:rsid w:val="00436504"/>
    <w:rsid w:val="004405C7"/>
    <w:rsid w:val="00441D39"/>
    <w:rsid w:val="00442AF8"/>
    <w:rsid w:val="00442B41"/>
    <w:rsid w:val="0044514A"/>
    <w:rsid w:val="00447E59"/>
    <w:rsid w:val="00457DC2"/>
    <w:rsid w:val="00463001"/>
    <w:rsid w:val="00466309"/>
    <w:rsid w:val="00466339"/>
    <w:rsid w:val="004729B9"/>
    <w:rsid w:val="004733D3"/>
    <w:rsid w:val="00476673"/>
    <w:rsid w:val="00476828"/>
    <w:rsid w:val="00487315"/>
    <w:rsid w:val="00490E43"/>
    <w:rsid w:val="00490F92"/>
    <w:rsid w:val="00494530"/>
    <w:rsid w:val="00494624"/>
    <w:rsid w:val="00495001"/>
    <w:rsid w:val="004A112E"/>
    <w:rsid w:val="004A20AC"/>
    <w:rsid w:val="004A289F"/>
    <w:rsid w:val="004A76F2"/>
    <w:rsid w:val="004B51E3"/>
    <w:rsid w:val="004B6ED7"/>
    <w:rsid w:val="004B7926"/>
    <w:rsid w:val="004C5E8A"/>
    <w:rsid w:val="004C625D"/>
    <w:rsid w:val="004D0C9D"/>
    <w:rsid w:val="004D1209"/>
    <w:rsid w:val="004D1ADB"/>
    <w:rsid w:val="004D361D"/>
    <w:rsid w:val="004D3DEA"/>
    <w:rsid w:val="004D422A"/>
    <w:rsid w:val="004D4247"/>
    <w:rsid w:val="004D7237"/>
    <w:rsid w:val="004D794D"/>
    <w:rsid w:val="004D7FCB"/>
    <w:rsid w:val="004E0C05"/>
    <w:rsid w:val="004E0EFF"/>
    <w:rsid w:val="004E3473"/>
    <w:rsid w:val="004E5FCD"/>
    <w:rsid w:val="004F0052"/>
    <w:rsid w:val="004F1425"/>
    <w:rsid w:val="004F2BD3"/>
    <w:rsid w:val="004F3309"/>
    <w:rsid w:val="005034E3"/>
    <w:rsid w:val="00503D63"/>
    <w:rsid w:val="00506A2D"/>
    <w:rsid w:val="0050739A"/>
    <w:rsid w:val="005100DC"/>
    <w:rsid w:val="00511660"/>
    <w:rsid w:val="0051272A"/>
    <w:rsid w:val="00512A0D"/>
    <w:rsid w:val="00517CCE"/>
    <w:rsid w:val="005229A0"/>
    <w:rsid w:val="00522D50"/>
    <w:rsid w:val="00527D92"/>
    <w:rsid w:val="00531BAF"/>
    <w:rsid w:val="00533F95"/>
    <w:rsid w:val="00537781"/>
    <w:rsid w:val="005409DB"/>
    <w:rsid w:val="005410AB"/>
    <w:rsid w:val="00542C62"/>
    <w:rsid w:val="0054326D"/>
    <w:rsid w:val="00543F5F"/>
    <w:rsid w:val="00545698"/>
    <w:rsid w:val="00546149"/>
    <w:rsid w:val="005510C3"/>
    <w:rsid w:val="00553331"/>
    <w:rsid w:val="00555089"/>
    <w:rsid w:val="005565F1"/>
    <w:rsid w:val="00562259"/>
    <w:rsid w:val="005655BD"/>
    <w:rsid w:val="00566AB8"/>
    <w:rsid w:val="00572ADB"/>
    <w:rsid w:val="00573B46"/>
    <w:rsid w:val="00573C8F"/>
    <w:rsid w:val="00576C5E"/>
    <w:rsid w:val="00577C17"/>
    <w:rsid w:val="00580957"/>
    <w:rsid w:val="005810CA"/>
    <w:rsid w:val="005824FB"/>
    <w:rsid w:val="005827A7"/>
    <w:rsid w:val="00583DBF"/>
    <w:rsid w:val="00585B39"/>
    <w:rsid w:val="00586041"/>
    <w:rsid w:val="00586955"/>
    <w:rsid w:val="00587411"/>
    <w:rsid w:val="0059030C"/>
    <w:rsid w:val="00592372"/>
    <w:rsid w:val="005955BA"/>
    <w:rsid w:val="005A0B59"/>
    <w:rsid w:val="005A245A"/>
    <w:rsid w:val="005A2C7B"/>
    <w:rsid w:val="005A328C"/>
    <w:rsid w:val="005A4B80"/>
    <w:rsid w:val="005A5F20"/>
    <w:rsid w:val="005A697C"/>
    <w:rsid w:val="005B0F9A"/>
    <w:rsid w:val="005B1A42"/>
    <w:rsid w:val="005B46BD"/>
    <w:rsid w:val="005B4DB1"/>
    <w:rsid w:val="005B4E5B"/>
    <w:rsid w:val="005B6D33"/>
    <w:rsid w:val="005C162E"/>
    <w:rsid w:val="005C1B19"/>
    <w:rsid w:val="005C417A"/>
    <w:rsid w:val="005C7507"/>
    <w:rsid w:val="005D22FC"/>
    <w:rsid w:val="005D3D41"/>
    <w:rsid w:val="005D736F"/>
    <w:rsid w:val="005E4F70"/>
    <w:rsid w:val="005E7CE8"/>
    <w:rsid w:val="005F162E"/>
    <w:rsid w:val="005F16C3"/>
    <w:rsid w:val="005F328B"/>
    <w:rsid w:val="005F74F3"/>
    <w:rsid w:val="0060161F"/>
    <w:rsid w:val="006026CE"/>
    <w:rsid w:val="006038CA"/>
    <w:rsid w:val="00605A28"/>
    <w:rsid w:val="006126DA"/>
    <w:rsid w:val="00614E98"/>
    <w:rsid w:val="00615987"/>
    <w:rsid w:val="00615CC9"/>
    <w:rsid w:val="00621D6C"/>
    <w:rsid w:val="0062261D"/>
    <w:rsid w:val="0062295C"/>
    <w:rsid w:val="00623AD2"/>
    <w:rsid w:val="0062437A"/>
    <w:rsid w:val="006254F0"/>
    <w:rsid w:val="006319DE"/>
    <w:rsid w:val="00632467"/>
    <w:rsid w:val="00632B51"/>
    <w:rsid w:val="00633021"/>
    <w:rsid w:val="00636962"/>
    <w:rsid w:val="00636B86"/>
    <w:rsid w:val="00644C71"/>
    <w:rsid w:val="006462FA"/>
    <w:rsid w:val="00653BCA"/>
    <w:rsid w:val="0065601C"/>
    <w:rsid w:val="00660EBB"/>
    <w:rsid w:val="00663AB4"/>
    <w:rsid w:val="00663BF4"/>
    <w:rsid w:val="00663CC5"/>
    <w:rsid w:val="00666E8E"/>
    <w:rsid w:val="0067054F"/>
    <w:rsid w:val="00670660"/>
    <w:rsid w:val="00671F1A"/>
    <w:rsid w:val="0067588F"/>
    <w:rsid w:val="00680905"/>
    <w:rsid w:val="00680AC7"/>
    <w:rsid w:val="00684D69"/>
    <w:rsid w:val="006867B4"/>
    <w:rsid w:val="00686AF3"/>
    <w:rsid w:val="006928F3"/>
    <w:rsid w:val="006952F5"/>
    <w:rsid w:val="00696FBE"/>
    <w:rsid w:val="006A03B5"/>
    <w:rsid w:val="006A1B2F"/>
    <w:rsid w:val="006A350C"/>
    <w:rsid w:val="006A5596"/>
    <w:rsid w:val="006A79FA"/>
    <w:rsid w:val="006A7D10"/>
    <w:rsid w:val="006B4620"/>
    <w:rsid w:val="006B6E3B"/>
    <w:rsid w:val="006C1B42"/>
    <w:rsid w:val="006C549C"/>
    <w:rsid w:val="006C56C9"/>
    <w:rsid w:val="006D1443"/>
    <w:rsid w:val="006D144F"/>
    <w:rsid w:val="006D2431"/>
    <w:rsid w:val="006D567B"/>
    <w:rsid w:val="006D72C7"/>
    <w:rsid w:val="006D72CF"/>
    <w:rsid w:val="006D7C98"/>
    <w:rsid w:val="006E01B4"/>
    <w:rsid w:val="006E04C8"/>
    <w:rsid w:val="006E0B76"/>
    <w:rsid w:val="006E1CF0"/>
    <w:rsid w:val="006E2EB3"/>
    <w:rsid w:val="006E3EAB"/>
    <w:rsid w:val="006E521B"/>
    <w:rsid w:val="006E798E"/>
    <w:rsid w:val="006F30B4"/>
    <w:rsid w:val="006F3A43"/>
    <w:rsid w:val="006F3F8C"/>
    <w:rsid w:val="006F46C3"/>
    <w:rsid w:val="006F5383"/>
    <w:rsid w:val="006F6E12"/>
    <w:rsid w:val="006F713A"/>
    <w:rsid w:val="007009AA"/>
    <w:rsid w:val="00701A84"/>
    <w:rsid w:val="007026E3"/>
    <w:rsid w:val="007036C3"/>
    <w:rsid w:val="00705859"/>
    <w:rsid w:val="00705FBD"/>
    <w:rsid w:val="00706041"/>
    <w:rsid w:val="00710CAF"/>
    <w:rsid w:val="007123AF"/>
    <w:rsid w:val="00712A96"/>
    <w:rsid w:val="007169EC"/>
    <w:rsid w:val="00721056"/>
    <w:rsid w:val="00722501"/>
    <w:rsid w:val="00725C94"/>
    <w:rsid w:val="00726A6C"/>
    <w:rsid w:val="00726B23"/>
    <w:rsid w:val="00726DB7"/>
    <w:rsid w:val="00727E29"/>
    <w:rsid w:val="00733083"/>
    <w:rsid w:val="00741FC2"/>
    <w:rsid w:val="00742B21"/>
    <w:rsid w:val="00744517"/>
    <w:rsid w:val="00747254"/>
    <w:rsid w:val="00750137"/>
    <w:rsid w:val="0075115C"/>
    <w:rsid w:val="007525B7"/>
    <w:rsid w:val="00752BB4"/>
    <w:rsid w:val="00753BB7"/>
    <w:rsid w:val="00755157"/>
    <w:rsid w:val="00756C67"/>
    <w:rsid w:val="00766147"/>
    <w:rsid w:val="00766DD4"/>
    <w:rsid w:val="00770518"/>
    <w:rsid w:val="007724D2"/>
    <w:rsid w:val="00772E30"/>
    <w:rsid w:val="007769FC"/>
    <w:rsid w:val="00780470"/>
    <w:rsid w:val="00782413"/>
    <w:rsid w:val="00787D38"/>
    <w:rsid w:val="00790A94"/>
    <w:rsid w:val="007911B2"/>
    <w:rsid w:val="00792DDB"/>
    <w:rsid w:val="00797ACE"/>
    <w:rsid w:val="007A08F7"/>
    <w:rsid w:val="007A1E5B"/>
    <w:rsid w:val="007A36C9"/>
    <w:rsid w:val="007A5188"/>
    <w:rsid w:val="007A6512"/>
    <w:rsid w:val="007A67FD"/>
    <w:rsid w:val="007B27B1"/>
    <w:rsid w:val="007B3D71"/>
    <w:rsid w:val="007B5213"/>
    <w:rsid w:val="007B5482"/>
    <w:rsid w:val="007B55D1"/>
    <w:rsid w:val="007B5AE0"/>
    <w:rsid w:val="007B7DDF"/>
    <w:rsid w:val="007C047C"/>
    <w:rsid w:val="007C292F"/>
    <w:rsid w:val="007C3698"/>
    <w:rsid w:val="007C642C"/>
    <w:rsid w:val="007C73A4"/>
    <w:rsid w:val="007C749A"/>
    <w:rsid w:val="007D07A2"/>
    <w:rsid w:val="007D16DC"/>
    <w:rsid w:val="007D4C26"/>
    <w:rsid w:val="007D5CBB"/>
    <w:rsid w:val="007D6572"/>
    <w:rsid w:val="007D7CE8"/>
    <w:rsid w:val="007E0563"/>
    <w:rsid w:val="007E6590"/>
    <w:rsid w:val="007E6DB4"/>
    <w:rsid w:val="007E78FD"/>
    <w:rsid w:val="007F33A5"/>
    <w:rsid w:val="007F43B1"/>
    <w:rsid w:val="007F4E04"/>
    <w:rsid w:val="007F4E75"/>
    <w:rsid w:val="007F5833"/>
    <w:rsid w:val="007F6A96"/>
    <w:rsid w:val="008016DA"/>
    <w:rsid w:val="00803D1B"/>
    <w:rsid w:val="00804854"/>
    <w:rsid w:val="00805D01"/>
    <w:rsid w:val="008119E7"/>
    <w:rsid w:val="0081489C"/>
    <w:rsid w:val="00814ACE"/>
    <w:rsid w:val="00817ED4"/>
    <w:rsid w:val="00822B05"/>
    <w:rsid w:val="00823971"/>
    <w:rsid w:val="008250EC"/>
    <w:rsid w:val="00826534"/>
    <w:rsid w:val="00826C28"/>
    <w:rsid w:val="008331F8"/>
    <w:rsid w:val="00833E5B"/>
    <w:rsid w:val="00841EEB"/>
    <w:rsid w:val="00842D0A"/>
    <w:rsid w:val="0084602F"/>
    <w:rsid w:val="00847755"/>
    <w:rsid w:val="00851FB3"/>
    <w:rsid w:val="0085267C"/>
    <w:rsid w:val="008567AE"/>
    <w:rsid w:val="008602E0"/>
    <w:rsid w:val="00860649"/>
    <w:rsid w:val="008625DD"/>
    <w:rsid w:val="008631FE"/>
    <w:rsid w:val="00865A18"/>
    <w:rsid w:val="00867646"/>
    <w:rsid w:val="00867C03"/>
    <w:rsid w:val="008702EF"/>
    <w:rsid w:val="008736FF"/>
    <w:rsid w:val="00874DAC"/>
    <w:rsid w:val="00876D34"/>
    <w:rsid w:val="00877B50"/>
    <w:rsid w:val="00880C4E"/>
    <w:rsid w:val="00881742"/>
    <w:rsid w:val="00881D81"/>
    <w:rsid w:val="008827C4"/>
    <w:rsid w:val="00884568"/>
    <w:rsid w:val="0088620C"/>
    <w:rsid w:val="00886D39"/>
    <w:rsid w:val="0089100D"/>
    <w:rsid w:val="008936E5"/>
    <w:rsid w:val="0089400B"/>
    <w:rsid w:val="008946EA"/>
    <w:rsid w:val="008A0C4A"/>
    <w:rsid w:val="008A3781"/>
    <w:rsid w:val="008A4337"/>
    <w:rsid w:val="008A4F8A"/>
    <w:rsid w:val="008A6265"/>
    <w:rsid w:val="008B382C"/>
    <w:rsid w:val="008B4958"/>
    <w:rsid w:val="008B51D6"/>
    <w:rsid w:val="008C3B4C"/>
    <w:rsid w:val="008C4D93"/>
    <w:rsid w:val="008D02D6"/>
    <w:rsid w:val="008D0EA5"/>
    <w:rsid w:val="008D1879"/>
    <w:rsid w:val="008D2B4F"/>
    <w:rsid w:val="008D3603"/>
    <w:rsid w:val="008D4E0B"/>
    <w:rsid w:val="008D7D07"/>
    <w:rsid w:val="008E0053"/>
    <w:rsid w:val="008E0C18"/>
    <w:rsid w:val="008E4CFA"/>
    <w:rsid w:val="008E773D"/>
    <w:rsid w:val="008F2DB6"/>
    <w:rsid w:val="008F6AF6"/>
    <w:rsid w:val="008F78BF"/>
    <w:rsid w:val="0090152F"/>
    <w:rsid w:val="00905AE6"/>
    <w:rsid w:val="009102B1"/>
    <w:rsid w:val="009117AF"/>
    <w:rsid w:val="00913DA9"/>
    <w:rsid w:val="00915BD0"/>
    <w:rsid w:val="009165B6"/>
    <w:rsid w:val="0091764F"/>
    <w:rsid w:val="00920216"/>
    <w:rsid w:val="00922D1D"/>
    <w:rsid w:val="009233CB"/>
    <w:rsid w:val="009252E9"/>
    <w:rsid w:val="0092577B"/>
    <w:rsid w:val="00926831"/>
    <w:rsid w:val="00926EEB"/>
    <w:rsid w:val="0093186F"/>
    <w:rsid w:val="00937163"/>
    <w:rsid w:val="00940EBA"/>
    <w:rsid w:val="00942FF5"/>
    <w:rsid w:val="00943B39"/>
    <w:rsid w:val="00943F58"/>
    <w:rsid w:val="0094443B"/>
    <w:rsid w:val="0094469F"/>
    <w:rsid w:val="0094784E"/>
    <w:rsid w:val="0094793B"/>
    <w:rsid w:val="00952E3F"/>
    <w:rsid w:val="00953D09"/>
    <w:rsid w:val="00956336"/>
    <w:rsid w:val="00956DB3"/>
    <w:rsid w:val="0096197F"/>
    <w:rsid w:val="00964882"/>
    <w:rsid w:val="009678EF"/>
    <w:rsid w:val="00972737"/>
    <w:rsid w:val="00972D10"/>
    <w:rsid w:val="00972F1D"/>
    <w:rsid w:val="00973F9A"/>
    <w:rsid w:val="00975DA5"/>
    <w:rsid w:val="00976838"/>
    <w:rsid w:val="00976894"/>
    <w:rsid w:val="0098095B"/>
    <w:rsid w:val="00981293"/>
    <w:rsid w:val="009816BB"/>
    <w:rsid w:val="00984168"/>
    <w:rsid w:val="0098447C"/>
    <w:rsid w:val="0098473F"/>
    <w:rsid w:val="0098548A"/>
    <w:rsid w:val="009857A5"/>
    <w:rsid w:val="00986B3E"/>
    <w:rsid w:val="00987946"/>
    <w:rsid w:val="009914DB"/>
    <w:rsid w:val="00993DD3"/>
    <w:rsid w:val="0099765D"/>
    <w:rsid w:val="009A0515"/>
    <w:rsid w:val="009A21F7"/>
    <w:rsid w:val="009A6828"/>
    <w:rsid w:val="009B115E"/>
    <w:rsid w:val="009B54E6"/>
    <w:rsid w:val="009B5735"/>
    <w:rsid w:val="009C1900"/>
    <w:rsid w:val="009C28A9"/>
    <w:rsid w:val="009C42F0"/>
    <w:rsid w:val="009C5BB4"/>
    <w:rsid w:val="009C5D2B"/>
    <w:rsid w:val="009D0A6C"/>
    <w:rsid w:val="009D4779"/>
    <w:rsid w:val="009E280D"/>
    <w:rsid w:val="009E42EB"/>
    <w:rsid w:val="009E77CE"/>
    <w:rsid w:val="009F0176"/>
    <w:rsid w:val="009F1AC6"/>
    <w:rsid w:val="009F2027"/>
    <w:rsid w:val="009F3D52"/>
    <w:rsid w:val="009F46DE"/>
    <w:rsid w:val="009F54BB"/>
    <w:rsid w:val="009F7053"/>
    <w:rsid w:val="00A00218"/>
    <w:rsid w:val="00A01041"/>
    <w:rsid w:val="00A013E6"/>
    <w:rsid w:val="00A059CF"/>
    <w:rsid w:val="00A1079F"/>
    <w:rsid w:val="00A11B75"/>
    <w:rsid w:val="00A14161"/>
    <w:rsid w:val="00A1421E"/>
    <w:rsid w:val="00A161A9"/>
    <w:rsid w:val="00A20C87"/>
    <w:rsid w:val="00A214E6"/>
    <w:rsid w:val="00A21E6F"/>
    <w:rsid w:val="00A2348C"/>
    <w:rsid w:val="00A236AA"/>
    <w:rsid w:val="00A239C4"/>
    <w:rsid w:val="00A24A30"/>
    <w:rsid w:val="00A24AE5"/>
    <w:rsid w:val="00A27544"/>
    <w:rsid w:val="00A27AD2"/>
    <w:rsid w:val="00A30ACF"/>
    <w:rsid w:val="00A31684"/>
    <w:rsid w:val="00A31FBE"/>
    <w:rsid w:val="00A37C1C"/>
    <w:rsid w:val="00A40975"/>
    <w:rsid w:val="00A42546"/>
    <w:rsid w:val="00A443E0"/>
    <w:rsid w:val="00A51D94"/>
    <w:rsid w:val="00A54915"/>
    <w:rsid w:val="00A549E2"/>
    <w:rsid w:val="00A575A3"/>
    <w:rsid w:val="00A60D27"/>
    <w:rsid w:val="00A61259"/>
    <w:rsid w:val="00A63845"/>
    <w:rsid w:val="00A64CFB"/>
    <w:rsid w:val="00A660F9"/>
    <w:rsid w:val="00A661B6"/>
    <w:rsid w:val="00A7108D"/>
    <w:rsid w:val="00A71821"/>
    <w:rsid w:val="00A74B5E"/>
    <w:rsid w:val="00A75A0E"/>
    <w:rsid w:val="00A75AAB"/>
    <w:rsid w:val="00A77C2A"/>
    <w:rsid w:val="00A77E91"/>
    <w:rsid w:val="00A814E9"/>
    <w:rsid w:val="00A8150A"/>
    <w:rsid w:val="00A8366F"/>
    <w:rsid w:val="00A86BC1"/>
    <w:rsid w:val="00A909F4"/>
    <w:rsid w:val="00A90FFC"/>
    <w:rsid w:val="00A93CEE"/>
    <w:rsid w:val="00A94DA7"/>
    <w:rsid w:val="00A95DBF"/>
    <w:rsid w:val="00A97ECB"/>
    <w:rsid w:val="00AA44DC"/>
    <w:rsid w:val="00AA77E6"/>
    <w:rsid w:val="00AA78EE"/>
    <w:rsid w:val="00AB22FD"/>
    <w:rsid w:val="00AB249C"/>
    <w:rsid w:val="00AB3141"/>
    <w:rsid w:val="00AB5EF7"/>
    <w:rsid w:val="00AB609D"/>
    <w:rsid w:val="00AB66B8"/>
    <w:rsid w:val="00AB6EDE"/>
    <w:rsid w:val="00AC077B"/>
    <w:rsid w:val="00AC12CA"/>
    <w:rsid w:val="00AC2268"/>
    <w:rsid w:val="00AC6253"/>
    <w:rsid w:val="00AD0AA2"/>
    <w:rsid w:val="00AD44D7"/>
    <w:rsid w:val="00AD75D8"/>
    <w:rsid w:val="00AD7CAC"/>
    <w:rsid w:val="00AD7DE4"/>
    <w:rsid w:val="00AE3D01"/>
    <w:rsid w:val="00AE4A58"/>
    <w:rsid w:val="00AE4FC4"/>
    <w:rsid w:val="00AE5260"/>
    <w:rsid w:val="00AE5CF7"/>
    <w:rsid w:val="00AE67B6"/>
    <w:rsid w:val="00AF08A4"/>
    <w:rsid w:val="00AF0D29"/>
    <w:rsid w:val="00AF324E"/>
    <w:rsid w:val="00AF3442"/>
    <w:rsid w:val="00AF49A0"/>
    <w:rsid w:val="00AF5D13"/>
    <w:rsid w:val="00AF70D5"/>
    <w:rsid w:val="00AF7CFA"/>
    <w:rsid w:val="00B0423C"/>
    <w:rsid w:val="00B0526E"/>
    <w:rsid w:val="00B05EB7"/>
    <w:rsid w:val="00B0641E"/>
    <w:rsid w:val="00B07C93"/>
    <w:rsid w:val="00B11FE4"/>
    <w:rsid w:val="00B132F2"/>
    <w:rsid w:val="00B158CB"/>
    <w:rsid w:val="00B17226"/>
    <w:rsid w:val="00B1739F"/>
    <w:rsid w:val="00B20435"/>
    <w:rsid w:val="00B2193F"/>
    <w:rsid w:val="00B21AD3"/>
    <w:rsid w:val="00B22D70"/>
    <w:rsid w:val="00B34169"/>
    <w:rsid w:val="00B40AC5"/>
    <w:rsid w:val="00B40DB4"/>
    <w:rsid w:val="00B43529"/>
    <w:rsid w:val="00B45828"/>
    <w:rsid w:val="00B470CF"/>
    <w:rsid w:val="00B51807"/>
    <w:rsid w:val="00B51D11"/>
    <w:rsid w:val="00B52304"/>
    <w:rsid w:val="00B556AB"/>
    <w:rsid w:val="00B568D1"/>
    <w:rsid w:val="00B56F9E"/>
    <w:rsid w:val="00B60089"/>
    <w:rsid w:val="00B6040F"/>
    <w:rsid w:val="00B60576"/>
    <w:rsid w:val="00B60D18"/>
    <w:rsid w:val="00B70AB4"/>
    <w:rsid w:val="00B743C4"/>
    <w:rsid w:val="00B82CF7"/>
    <w:rsid w:val="00B82E6C"/>
    <w:rsid w:val="00B83E5B"/>
    <w:rsid w:val="00B840FF"/>
    <w:rsid w:val="00B84A8B"/>
    <w:rsid w:val="00B850F5"/>
    <w:rsid w:val="00B86412"/>
    <w:rsid w:val="00B8792A"/>
    <w:rsid w:val="00B87E1C"/>
    <w:rsid w:val="00B87E24"/>
    <w:rsid w:val="00B923D8"/>
    <w:rsid w:val="00B924CB"/>
    <w:rsid w:val="00B9299E"/>
    <w:rsid w:val="00B9460B"/>
    <w:rsid w:val="00B96FEB"/>
    <w:rsid w:val="00BA1742"/>
    <w:rsid w:val="00BA4A15"/>
    <w:rsid w:val="00BA6A1E"/>
    <w:rsid w:val="00BA779B"/>
    <w:rsid w:val="00BB14E3"/>
    <w:rsid w:val="00BB3C2E"/>
    <w:rsid w:val="00BB6955"/>
    <w:rsid w:val="00BC2D2B"/>
    <w:rsid w:val="00BC31D7"/>
    <w:rsid w:val="00BC69F6"/>
    <w:rsid w:val="00BC7BDB"/>
    <w:rsid w:val="00BD0888"/>
    <w:rsid w:val="00BD16CC"/>
    <w:rsid w:val="00BD2382"/>
    <w:rsid w:val="00BD38A7"/>
    <w:rsid w:val="00BD4CB1"/>
    <w:rsid w:val="00BD4F92"/>
    <w:rsid w:val="00BD5685"/>
    <w:rsid w:val="00BD58EC"/>
    <w:rsid w:val="00BD6AE4"/>
    <w:rsid w:val="00BD6C5E"/>
    <w:rsid w:val="00BD7122"/>
    <w:rsid w:val="00BE1F7A"/>
    <w:rsid w:val="00BE3696"/>
    <w:rsid w:val="00BE52C6"/>
    <w:rsid w:val="00BF10E3"/>
    <w:rsid w:val="00BF1EA6"/>
    <w:rsid w:val="00BF1F32"/>
    <w:rsid w:val="00BF2A1B"/>
    <w:rsid w:val="00BF4EBD"/>
    <w:rsid w:val="00BF5EC0"/>
    <w:rsid w:val="00BF7CA8"/>
    <w:rsid w:val="00C000E6"/>
    <w:rsid w:val="00C01E68"/>
    <w:rsid w:val="00C10A53"/>
    <w:rsid w:val="00C11B1A"/>
    <w:rsid w:val="00C136A3"/>
    <w:rsid w:val="00C13F58"/>
    <w:rsid w:val="00C1558A"/>
    <w:rsid w:val="00C16E65"/>
    <w:rsid w:val="00C2313E"/>
    <w:rsid w:val="00C2467E"/>
    <w:rsid w:val="00C33549"/>
    <w:rsid w:val="00C368F9"/>
    <w:rsid w:val="00C409F2"/>
    <w:rsid w:val="00C40EFF"/>
    <w:rsid w:val="00C41015"/>
    <w:rsid w:val="00C426BD"/>
    <w:rsid w:val="00C473A5"/>
    <w:rsid w:val="00C50F27"/>
    <w:rsid w:val="00C548F8"/>
    <w:rsid w:val="00C561A1"/>
    <w:rsid w:val="00C57185"/>
    <w:rsid w:val="00C60374"/>
    <w:rsid w:val="00C65F10"/>
    <w:rsid w:val="00C71195"/>
    <w:rsid w:val="00C737B4"/>
    <w:rsid w:val="00C74CE6"/>
    <w:rsid w:val="00C750F1"/>
    <w:rsid w:val="00C75D0D"/>
    <w:rsid w:val="00C77D07"/>
    <w:rsid w:val="00C8014F"/>
    <w:rsid w:val="00C81B27"/>
    <w:rsid w:val="00C8383B"/>
    <w:rsid w:val="00C8459E"/>
    <w:rsid w:val="00C857A7"/>
    <w:rsid w:val="00C9312C"/>
    <w:rsid w:val="00C97B27"/>
    <w:rsid w:val="00CA039A"/>
    <w:rsid w:val="00CA0BC9"/>
    <w:rsid w:val="00CA54D2"/>
    <w:rsid w:val="00CB2000"/>
    <w:rsid w:val="00CB2025"/>
    <w:rsid w:val="00CB48A6"/>
    <w:rsid w:val="00CB5687"/>
    <w:rsid w:val="00CB621C"/>
    <w:rsid w:val="00CB6493"/>
    <w:rsid w:val="00CB684E"/>
    <w:rsid w:val="00CB7E0D"/>
    <w:rsid w:val="00CC02F2"/>
    <w:rsid w:val="00CC167A"/>
    <w:rsid w:val="00CC69FA"/>
    <w:rsid w:val="00CC6B34"/>
    <w:rsid w:val="00CD09B4"/>
    <w:rsid w:val="00CD54AC"/>
    <w:rsid w:val="00CD6EE8"/>
    <w:rsid w:val="00CD71BA"/>
    <w:rsid w:val="00CD737F"/>
    <w:rsid w:val="00CD7773"/>
    <w:rsid w:val="00CE691B"/>
    <w:rsid w:val="00CE78B9"/>
    <w:rsid w:val="00CF1B82"/>
    <w:rsid w:val="00CF2DD6"/>
    <w:rsid w:val="00CF48A1"/>
    <w:rsid w:val="00CF540C"/>
    <w:rsid w:val="00CF5CD9"/>
    <w:rsid w:val="00CF67F1"/>
    <w:rsid w:val="00CF7789"/>
    <w:rsid w:val="00D01E73"/>
    <w:rsid w:val="00D02F71"/>
    <w:rsid w:val="00D0314D"/>
    <w:rsid w:val="00D0437A"/>
    <w:rsid w:val="00D05F0E"/>
    <w:rsid w:val="00D132EA"/>
    <w:rsid w:val="00D13DA8"/>
    <w:rsid w:val="00D17D84"/>
    <w:rsid w:val="00D20184"/>
    <w:rsid w:val="00D2193C"/>
    <w:rsid w:val="00D2665C"/>
    <w:rsid w:val="00D302FA"/>
    <w:rsid w:val="00D31229"/>
    <w:rsid w:val="00D31A22"/>
    <w:rsid w:val="00D32CD6"/>
    <w:rsid w:val="00D3347A"/>
    <w:rsid w:val="00D34EDB"/>
    <w:rsid w:val="00D355AF"/>
    <w:rsid w:val="00D362C9"/>
    <w:rsid w:val="00D4185E"/>
    <w:rsid w:val="00D424F4"/>
    <w:rsid w:val="00D5039B"/>
    <w:rsid w:val="00D57F85"/>
    <w:rsid w:val="00D61E00"/>
    <w:rsid w:val="00D63B31"/>
    <w:rsid w:val="00D64F39"/>
    <w:rsid w:val="00D70B9C"/>
    <w:rsid w:val="00D71AF2"/>
    <w:rsid w:val="00D73671"/>
    <w:rsid w:val="00D74914"/>
    <w:rsid w:val="00D7651E"/>
    <w:rsid w:val="00D765FC"/>
    <w:rsid w:val="00D769EB"/>
    <w:rsid w:val="00D774EA"/>
    <w:rsid w:val="00D80CDC"/>
    <w:rsid w:val="00D8264B"/>
    <w:rsid w:val="00D8422D"/>
    <w:rsid w:val="00D879E6"/>
    <w:rsid w:val="00D9028D"/>
    <w:rsid w:val="00D90E2B"/>
    <w:rsid w:val="00D91F21"/>
    <w:rsid w:val="00D930A2"/>
    <w:rsid w:val="00D935CD"/>
    <w:rsid w:val="00D94273"/>
    <w:rsid w:val="00D944A0"/>
    <w:rsid w:val="00D946E9"/>
    <w:rsid w:val="00DA3EE7"/>
    <w:rsid w:val="00DA47F3"/>
    <w:rsid w:val="00DA7EB6"/>
    <w:rsid w:val="00DB2502"/>
    <w:rsid w:val="00DB45CC"/>
    <w:rsid w:val="00DB7E41"/>
    <w:rsid w:val="00DC1BF6"/>
    <w:rsid w:val="00DC3A4D"/>
    <w:rsid w:val="00DC4022"/>
    <w:rsid w:val="00DC4FA6"/>
    <w:rsid w:val="00DC500F"/>
    <w:rsid w:val="00DC76AE"/>
    <w:rsid w:val="00DD0476"/>
    <w:rsid w:val="00DD18DE"/>
    <w:rsid w:val="00DD230C"/>
    <w:rsid w:val="00DD2358"/>
    <w:rsid w:val="00DD4D0C"/>
    <w:rsid w:val="00DE0C34"/>
    <w:rsid w:val="00DE2DF3"/>
    <w:rsid w:val="00DE3B31"/>
    <w:rsid w:val="00DE7014"/>
    <w:rsid w:val="00DF1FFA"/>
    <w:rsid w:val="00DF677B"/>
    <w:rsid w:val="00E00B48"/>
    <w:rsid w:val="00E01702"/>
    <w:rsid w:val="00E027C9"/>
    <w:rsid w:val="00E02F47"/>
    <w:rsid w:val="00E030EE"/>
    <w:rsid w:val="00E05423"/>
    <w:rsid w:val="00E0646B"/>
    <w:rsid w:val="00E0723B"/>
    <w:rsid w:val="00E108C3"/>
    <w:rsid w:val="00E11F03"/>
    <w:rsid w:val="00E120B9"/>
    <w:rsid w:val="00E13758"/>
    <w:rsid w:val="00E148F3"/>
    <w:rsid w:val="00E151DA"/>
    <w:rsid w:val="00E15382"/>
    <w:rsid w:val="00E20944"/>
    <w:rsid w:val="00E22006"/>
    <w:rsid w:val="00E238A2"/>
    <w:rsid w:val="00E23DCD"/>
    <w:rsid w:val="00E241E7"/>
    <w:rsid w:val="00E2758F"/>
    <w:rsid w:val="00E3243B"/>
    <w:rsid w:val="00E335D8"/>
    <w:rsid w:val="00E33707"/>
    <w:rsid w:val="00E33A55"/>
    <w:rsid w:val="00E34005"/>
    <w:rsid w:val="00E34DA9"/>
    <w:rsid w:val="00E35FAE"/>
    <w:rsid w:val="00E413AB"/>
    <w:rsid w:val="00E43274"/>
    <w:rsid w:val="00E453B5"/>
    <w:rsid w:val="00E459CF"/>
    <w:rsid w:val="00E4665E"/>
    <w:rsid w:val="00E5076B"/>
    <w:rsid w:val="00E53F38"/>
    <w:rsid w:val="00E57045"/>
    <w:rsid w:val="00E60CDF"/>
    <w:rsid w:val="00E64E71"/>
    <w:rsid w:val="00E70312"/>
    <w:rsid w:val="00E73E35"/>
    <w:rsid w:val="00E740D3"/>
    <w:rsid w:val="00E807BA"/>
    <w:rsid w:val="00E80F7E"/>
    <w:rsid w:val="00E8164C"/>
    <w:rsid w:val="00E82B5F"/>
    <w:rsid w:val="00E85FFA"/>
    <w:rsid w:val="00E879C9"/>
    <w:rsid w:val="00E9070C"/>
    <w:rsid w:val="00E90D94"/>
    <w:rsid w:val="00E95194"/>
    <w:rsid w:val="00E96F65"/>
    <w:rsid w:val="00EA019B"/>
    <w:rsid w:val="00EA26FB"/>
    <w:rsid w:val="00EA5BBB"/>
    <w:rsid w:val="00EA7212"/>
    <w:rsid w:val="00EB10A7"/>
    <w:rsid w:val="00EB2328"/>
    <w:rsid w:val="00EB48A2"/>
    <w:rsid w:val="00EB494C"/>
    <w:rsid w:val="00EB6DE7"/>
    <w:rsid w:val="00EB71F5"/>
    <w:rsid w:val="00EC3656"/>
    <w:rsid w:val="00EC6890"/>
    <w:rsid w:val="00EC72A4"/>
    <w:rsid w:val="00ED08B0"/>
    <w:rsid w:val="00ED2CF2"/>
    <w:rsid w:val="00ED694A"/>
    <w:rsid w:val="00ED76D9"/>
    <w:rsid w:val="00EE0169"/>
    <w:rsid w:val="00EE1FD3"/>
    <w:rsid w:val="00EE4722"/>
    <w:rsid w:val="00F0019C"/>
    <w:rsid w:val="00F006BB"/>
    <w:rsid w:val="00F060A4"/>
    <w:rsid w:val="00F06124"/>
    <w:rsid w:val="00F06F4B"/>
    <w:rsid w:val="00F07523"/>
    <w:rsid w:val="00F10055"/>
    <w:rsid w:val="00F10837"/>
    <w:rsid w:val="00F1326E"/>
    <w:rsid w:val="00F155B4"/>
    <w:rsid w:val="00F15D39"/>
    <w:rsid w:val="00F16B10"/>
    <w:rsid w:val="00F16E76"/>
    <w:rsid w:val="00F205D9"/>
    <w:rsid w:val="00F22898"/>
    <w:rsid w:val="00F231AB"/>
    <w:rsid w:val="00F24BB1"/>
    <w:rsid w:val="00F26054"/>
    <w:rsid w:val="00F27C44"/>
    <w:rsid w:val="00F304EE"/>
    <w:rsid w:val="00F31887"/>
    <w:rsid w:val="00F35671"/>
    <w:rsid w:val="00F400C4"/>
    <w:rsid w:val="00F41E90"/>
    <w:rsid w:val="00F4710F"/>
    <w:rsid w:val="00F507C9"/>
    <w:rsid w:val="00F53A81"/>
    <w:rsid w:val="00F57D8D"/>
    <w:rsid w:val="00F60AAC"/>
    <w:rsid w:val="00F60E88"/>
    <w:rsid w:val="00F6324E"/>
    <w:rsid w:val="00F667DA"/>
    <w:rsid w:val="00F67288"/>
    <w:rsid w:val="00F7182B"/>
    <w:rsid w:val="00F73B29"/>
    <w:rsid w:val="00F757F6"/>
    <w:rsid w:val="00F7632F"/>
    <w:rsid w:val="00F8168D"/>
    <w:rsid w:val="00F823B7"/>
    <w:rsid w:val="00F82B69"/>
    <w:rsid w:val="00F86321"/>
    <w:rsid w:val="00F90B43"/>
    <w:rsid w:val="00F91143"/>
    <w:rsid w:val="00F91188"/>
    <w:rsid w:val="00F9546C"/>
    <w:rsid w:val="00F95A5F"/>
    <w:rsid w:val="00F96CF9"/>
    <w:rsid w:val="00F974A1"/>
    <w:rsid w:val="00F97B72"/>
    <w:rsid w:val="00FA10A8"/>
    <w:rsid w:val="00FA1427"/>
    <w:rsid w:val="00FA1505"/>
    <w:rsid w:val="00FA3291"/>
    <w:rsid w:val="00FA45BA"/>
    <w:rsid w:val="00FA5296"/>
    <w:rsid w:val="00FB1F93"/>
    <w:rsid w:val="00FB455F"/>
    <w:rsid w:val="00FB48DF"/>
    <w:rsid w:val="00FB5972"/>
    <w:rsid w:val="00FB632F"/>
    <w:rsid w:val="00FB6D5B"/>
    <w:rsid w:val="00FC3B49"/>
    <w:rsid w:val="00FC3BAF"/>
    <w:rsid w:val="00FC5824"/>
    <w:rsid w:val="00FC5AFE"/>
    <w:rsid w:val="00FC5D22"/>
    <w:rsid w:val="00FD01BA"/>
    <w:rsid w:val="00FD0CA5"/>
    <w:rsid w:val="00FD1E2E"/>
    <w:rsid w:val="00FD4012"/>
    <w:rsid w:val="00FD5D5C"/>
    <w:rsid w:val="00FE20F3"/>
    <w:rsid w:val="00FE278C"/>
    <w:rsid w:val="00FE2C04"/>
    <w:rsid w:val="00FE4D45"/>
    <w:rsid w:val="00FE5412"/>
    <w:rsid w:val="00FE6874"/>
    <w:rsid w:val="00FF0084"/>
    <w:rsid w:val="00FF0E8C"/>
    <w:rsid w:val="00FF2E9A"/>
    <w:rsid w:val="00FF4F25"/>
    <w:rsid w:val="00FF5A7C"/>
    <w:rsid w:val="00FF6B57"/>
    <w:rsid w:val="00FF6CF9"/>
    <w:rsid w:val="016B37F4"/>
    <w:rsid w:val="0174543F"/>
    <w:rsid w:val="036258BF"/>
    <w:rsid w:val="036B6F61"/>
    <w:rsid w:val="039B1FC9"/>
    <w:rsid w:val="055D7D8C"/>
    <w:rsid w:val="06C77060"/>
    <w:rsid w:val="08E904B7"/>
    <w:rsid w:val="08F54CD3"/>
    <w:rsid w:val="08FC31D5"/>
    <w:rsid w:val="0969510B"/>
    <w:rsid w:val="0A126120"/>
    <w:rsid w:val="0A173E2D"/>
    <w:rsid w:val="0A341CDE"/>
    <w:rsid w:val="0A703991"/>
    <w:rsid w:val="0AA90595"/>
    <w:rsid w:val="0B1B654E"/>
    <w:rsid w:val="0B350C8E"/>
    <w:rsid w:val="0BA734EE"/>
    <w:rsid w:val="0BDF50F4"/>
    <w:rsid w:val="0CD13542"/>
    <w:rsid w:val="0D3445F4"/>
    <w:rsid w:val="0DE17921"/>
    <w:rsid w:val="0E39683A"/>
    <w:rsid w:val="0E8C7DF3"/>
    <w:rsid w:val="0E952089"/>
    <w:rsid w:val="0F0E1130"/>
    <w:rsid w:val="0F883694"/>
    <w:rsid w:val="111B7123"/>
    <w:rsid w:val="12300AD5"/>
    <w:rsid w:val="13D67934"/>
    <w:rsid w:val="142526B6"/>
    <w:rsid w:val="16024C41"/>
    <w:rsid w:val="17263178"/>
    <w:rsid w:val="18A87F63"/>
    <w:rsid w:val="1A776975"/>
    <w:rsid w:val="1AFA30DB"/>
    <w:rsid w:val="1B8761D8"/>
    <w:rsid w:val="1BD1472E"/>
    <w:rsid w:val="1BD91554"/>
    <w:rsid w:val="1C8B55A1"/>
    <w:rsid w:val="1C9667E2"/>
    <w:rsid w:val="1CE02E11"/>
    <w:rsid w:val="1D455D95"/>
    <w:rsid w:val="1D9A1D82"/>
    <w:rsid w:val="1DCC37B7"/>
    <w:rsid w:val="1FA71E85"/>
    <w:rsid w:val="20475DBA"/>
    <w:rsid w:val="2084116E"/>
    <w:rsid w:val="20FC6D06"/>
    <w:rsid w:val="217E178C"/>
    <w:rsid w:val="22D726E0"/>
    <w:rsid w:val="23625B52"/>
    <w:rsid w:val="237F34A2"/>
    <w:rsid w:val="2398260B"/>
    <w:rsid w:val="23D93BE6"/>
    <w:rsid w:val="23FB54D5"/>
    <w:rsid w:val="2513673A"/>
    <w:rsid w:val="25E253DA"/>
    <w:rsid w:val="25E87192"/>
    <w:rsid w:val="262A444A"/>
    <w:rsid w:val="271B2E86"/>
    <w:rsid w:val="274A184C"/>
    <w:rsid w:val="27860CAC"/>
    <w:rsid w:val="28166E74"/>
    <w:rsid w:val="29B13EE3"/>
    <w:rsid w:val="2A2B5896"/>
    <w:rsid w:val="2B353338"/>
    <w:rsid w:val="2B631343"/>
    <w:rsid w:val="2EBB72D1"/>
    <w:rsid w:val="2EEF49F4"/>
    <w:rsid w:val="2F3A7103"/>
    <w:rsid w:val="305A2F9C"/>
    <w:rsid w:val="31147CDD"/>
    <w:rsid w:val="31472444"/>
    <w:rsid w:val="318A171B"/>
    <w:rsid w:val="32C051A1"/>
    <w:rsid w:val="330D6E7A"/>
    <w:rsid w:val="33B52568"/>
    <w:rsid w:val="34E27FAC"/>
    <w:rsid w:val="35885819"/>
    <w:rsid w:val="35CE51D8"/>
    <w:rsid w:val="37CE55E2"/>
    <w:rsid w:val="399169CD"/>
    <w:rsid w:val="39FD6DFF"/>
    <w:rsid w:val="3A073317"/>
    <w:rsid w:val="3A0820BE"/>
    <w:rsid w:val="3A102576"/>
    <w:rsid w:val="3A145A9D"/>
    <w:rsid w:val="3A6C4D38"/>
    <w:rsid w:val="3AFA42CB"/>
    <w:rsid w:val="3BCC3603"/>
    <w:rsid w:val="3C35733C"/>
    <w:rsid w:val="3C514D1C"/>
    <w:rsid w:val="3DFF4D13"/>
    <w:rsid w:val="3E510E77"/>
    <w:rsid w:val="40325F09"/>
    <w:rsid w:val="414B4169"/>
    <w:rsid w:val="41AA7332"/>
    <w:rsid w:val="43082CE4"/>
    <w:rsid w:val="43474629"/>
    <w:rsid w:val="440250EA"/>
    <w:rsid w:val="441C33EE"/>
    <w:rsid w:val="446F9653"/>
    <w:rsid w:val="44745199"/>
    <w:rsid w:val="44AB72F2"/>
    <w:rsid w:val="45001BC2"/>
    <w:rsid w:val="45100EDD"/>
    <w:rsid w:val="46EF41E6"/>
    <w:rsid w:val="484637F9"/>
    <w:rsid w:val="48A57D63"/>
    <w:rsid w:val="48B12B78"/>
    <w:rsid w:val="48D1527D"/>
    <w:rsid w:val="49277A61"/>
    <w:rsid w:val="4A3D3638"/>
    <w:rsid w:val="4AB21456"/>
    <w:rsid w:val="4AD75A94"/>
    <w:rsid w:val="4AEE5163"/>
    <w:rsid w:val="4AFB6A88"/>
    <w:rsid w:val="4B7C17A5"/>
    <w:rsid w:val="4C3765CD"/>
    <w:rsid w:val="4E4169F5"/>
    <w:rsid w:val="4F06369A"/>
    <w:rsid w:val="4F7FA7DE"/>
    <w:rsid w:val="4FCE4CC6"/>
    <w:rsid w:val="50AE6E0E"/>
    <w:rsid w:val="50BE1297"/>
    <w:rsid w:val="50F76721"/>
    <w:rsid w:val="515B3273"/>
    <w:rsid w:val="51BF63B5"/>
    <w:rsid w:val="5463469A"/>
    <w:rsid w:val="563F7A3D"/>
    <w:rsid w:val="573F0A13"/>
    <w:rsid w:val="57495170"/>
    <w:rsid w:val="58AA52FF"/>
    <w:rsid w:val="5984729F"/>
    <w:rsid w:val="5AAA3787"/>
    <w:rsid w:val="5BBF3FA7"/>
    <w:rsid w:val="5E8E605A"/>
    <w:rsid w:val="5EEA13F0"/>
    <w:rsid w:val="5F3A49A2"/>
    <w:rsid w:val="608562B0"/>
    <w:rsid w:val="621C6681"/>
    <w:rsid w:val="64964083"/>
    <w:rsid w:val="689B104D"/>
    <w:rsid w:val="68B268D4"/>
    <w:rsid w:val="68D55BBD"/>
    <w:rsid w:val="695818F0"/>
    <w:rsid w:val="699D513D"/>
    <w:rsid w:val="69F65E2E"/>
    <w:rsid w:val="6A6D2480"/>
    <w:rsid w:val="6BB66811"/>
    <w:rsid w:val="6BB94F7D"/>
    <w:rsid w:val="6E1E1440"/>
    <w:rsid w:val="6E2B3413"/>
    <w:rsid w:val="6EC505D9"/>
    <w:rsid w:val="6F300A16"/>
    <w:rsid w:val="6F6A29B9"/>
    <w:rsid w:val="71293AC5"/>
    <w:rsid w:val="7161486E"/>
    <w:rsid w:val="71616833"/>
    <w:rsid w:val="71CA3833"/>
    <w:rsid w:val="71FB5323"/>
    <w:rsid w:val="72397147"/>
    <w:rsid w:val="723C53D6"/>
    <w:rsid w:val="7283436D"/>
    <w:rsid w:val="73266FB3"/>
    <w:rsid w:val="73596AC1"/>
    <w:rsid w:val="746A48C0"/>
    <w:rsid w:val="751C37C1"/>
    <w:rsid w:val="76E02CF8"/>
    <w:rsid w:val="77ECF799"/>
    <w:rsid w:val="79452ADE"/>
    <w:rsid w:val="79BB9AEC"/>
    <w:rsid w:val="7AE34FCA"/>
    <w:rsid w:val="7BF10A93"/>
    <w:rsid w:val="7D861156"/>
    <w:rsid w:val="7E2E07E3"/>
    <w:rsid w:val="7FFF2503"/>
    <w:rsid w:val="A7FD2B19"/>
    <w:rsid w:val="B669B815"/>
    <w:rsid w:val="BD7EB3A7"/>
    <w:rsid w:val="CFEFC857"/>
    <w:rsid w:val="EFB924FA"/>
    <w:rsid w:val="FEF21E89"/>
    <w:rsid w:val="FFFE60E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0" w:name="Note Heading"/>
    <w:lsdException w:qFormat="1" w:uiPriority="0" w:semiHidden="0" w:name="Body Text 2"/>
    <w:lsdException w:qFormat="1" w:unhideWhenUsed="0" w:uiPriority="0" w:semiHidden="0" w:name="Body Text 3"/>
    <w:lsdException w:qFormat="1" w:uiPriority="0" w:semiHidden="0" w:name="Body Text Indent 2"/>
    <w:lsdException w:qFormat="1" w:unhideWhenUsed="0"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1"/>
    <w:basedOn w:val="1"/>
    <w:next w:val="1"/>
    <w:link w:val="216"/>
    <w:qFormat/>
    <w:uiPriority w:val="0"/>
    <w:pPr>
      <w:keepNext/>
      <w:keepLines/>
      <w:spacing w:before="340" w:after="330" w:line="576" w:lineRule="auto"/>
      <w:outlineLvl w:val="0"/>
    </w:pPr>
    <w:rPr>
      <w:b/>
      <w:kern w:val="44"/>
      <w:sz w:val="44"/>
      <w:szCs w:val="20"/>
    </w:rPr>
  </w:style>
  <w:style w:type="paragraph" w:styleId="5">
    <w:name w:val="heading 2"/>
    <w:basedOn w:val="1"/>
    <w:next w:val="1"/>
    <w:link w:val="220"/>
    <w:qFormat/>
    <w:uiPriority w:val="0"/>
    <w:pPr>
      <w:keepNext/>
      <w:keepLines/>
      <w:spacing w:before="260" w:after="260" w:line="412" w:lineRule="auto"/>
      <w:outlineLvl w:val="1"/>
    </w:pPr>
    <w:rPr>
      <w:rFonts w:ascii="Arial" w:hAnsi="Arial" w:eastAsia="黑体"/>
      <w:b/>
      <w:sz w:val="32"/>
      <w:szCs w:val="20"/>
    </w:rPr>
  </w:style>
  <w:style w:type="paragraph" w:styleId="6">
    <w:name w:val="heading 3"/>
    <w:basedOn w:val="1"/>
    <w:next w:val="1"/>
    <w:link w:val="189"/>
    <w:qFormat/>
    <w:uiPriority w:val="0"/>
    <w:pPr>
      <w:keepNext/>
      <w:keepLines/>
      <w:spacing w:before="260" w:after="260" w:line="412" w:lineRule="auto"/>
      <w:ind w:firstLine="49" w:firstLineChars="49"/>
      <w:outlineLvl w:val="2"/>
    </w:pPr>
    <w:rPr>
      <w:rFonts w:ascii="黑体" w:hAnsi="Calibri" w:eastAsia="黑体"/>
      <w:sz w:val="28"/>
      <w:szCs w:val="20"/>
    </w:rPr>
  </w:style>
  <w:style w:type="paragraph" w:styleId="7">
    <w:name w:val="heading 4"/>
    <w:basedOn w:val="1"/>
    <w:next w:val="1"/>
    <w:link w:val="162"/>
    <w:qFormat/>
    <w:uiPriority w:val="0"/>
    <w:pPr>
      <w:keepNext/>
      <w:keepLines/>
      <w:spacing w:before="280" w:after="290" w:line="374" w:lineRule="auto"/>
      <w:outlineLvl w:val="3"/>
    </w:pPr>
    <w:rPr>
      <w:rFonts w:ascii="Arial" w:hAnsi="Arial" w:eastAsia="黑体"/>
      <w:b/>
      <w:bCs/>
      <w:sz w:val="28"/>
      <w:szCs w:val="28"/>
    </w:rPr>
  </w:style>
  <w:style w:type="paragraph" w:styleId="8">
    <w:name w:val="heading 5"/>
    <w:basedOn w:val="1"/>
    <w:next w:val="1"/>
    <w:link w:val="164"/>
    <w:qFormat/>
    <w:uiPriority w:val="0"/>
    <w:pPr>
      <w:keepNext/>
      <w:keepLines/>
      <w:spacing w:before="280" w:after="290" w:line="376" w:lineRule="auto"/>
      <w:outlineLvl w:val="4"/>
    </w:pPr>
    <w:rPr>
      <w:b/>
      <w:bCs/>
      <w:sz w:val="28"/>
      <w:szCs w:val="28"/>
    </w:rPr>
  </w:style>
  <w:style w:type="paragraph" w:styleId="9">
    <w:name w:val="heading 6"/>
    <w:basedOn w:val="1"/>
    <w:next w:val="1"/>
    <w:link w:val="286"/>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szCs w:val="20"/>
    </w:rPr>
  </w:style>
  <w:style w:type="paragraph" w:styleId="10">
    <w:name w:val="heading 7"/>
    <w:basedOn w:val="1"/>
    <w:next w:val="1"/>
    <w:link w:val="195"/>
    <w:qFormat/>
    <w:uiPriority w:val="0"/>
    <w:pPr>
      <w:keepNext/>
      <w:keepLines/>
      <w:widowControl/>
      <w:tabs>
        <w:tab w:val="left" w:pos="2520"/>
      </w:tabs>
      <w:spacing w:before="240" w:after="64" w:line="319" w:lineRule="auto"/>
      <w:ind w:left="1296" w:hanging="1296"/>
      <w:jc w:val="left"/>
      <w:outlineLvl w:val="6"/>
    </w:pPr>
    <w:rPr>
      <w:b/>
      <w:bCs/>
      <w:kern w:val="0"/>
      <w:sz w:val="24"/>
      <w:szCs w:val="20"/>
    </w:rPr>
  </w:style>
  <w:style w:type="paragraph" w:styleId="11">
    <w:name w:val="heading 8"/>
    <w:basedOn w:val="1"/>
    <w:next w:val="1"/>
    <w:link w:val="259"/>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szCs w:val="20"/>
    </w:rPr>
  </w:style>
  <w:style w:type="paragraph" w:styleId="12">
    <w:name w:val="heading 9"/>
    <w:basedOn w:val="1"/>
    <w:next w:val="1"/>
    <w:link w:val="19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44">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styleId="2">
    <w:name w:val="Body Text"/>
    <w:basedOn w:val="1"/>
    <w:next w:val="3"/>
    <w:link w:val="235"/>
    <w:unhideWhenUsed/>
    <w:qFormat/>
    <w:uiPriority w:val="99"/>
    <w:pPr>
      <w:spacing w:after="120"/>
    </w:pPr>
    <w:rPr>
      <w:szCs w:val="20"/>
    </w:rPr>
  </w:style>
  <w:style w:type="paragraph" w:styleId="3">
    <w:name w:val="Title"/>
    <w:basedOn w:val="1"/>
    <w:next w:val="1"/>
    <w:link w:val="277"/>
    <w:qFormat/>
    <w:uiPriority w:val="10"/>
    <w:pPr>
      <w:adjustRightInd w:val="0"/>
      <w:spacing w:before="240" w:after="60" w:line="420" w:lineRule="atLeast"/>
      <w:jc w:val="center"/>
      <w:textAlignment w:val="baseline"/>
      <w:outlineLvl w:val="0"/>
    </w:pPr>
    <w:rPr>
      <w:rFonts w:ascii="Arial" w:hAnsi="Arial"/>
      <w:b/>
      <w:kern w:val="0"/>
      <w:sz w:val="32"/>
      <w:szCs w:val="20"/>
    </w:rPr>
  </w:style>
  <w:style w:type="paragraph" w:styleId="13">
    <w:name w:val="toc 7"/>
    <w:basedOn w:val="1"/>
    <w:next w:val="1"/>
    <w:qFormat/>
    <w:uiPriority w:val="0"/>
    <w:pPr>
      <w:ind w:left="1200" w:leftChars="1200"/>
    </w:pPr>
  </w:style>
  <w:style w:type="paragraph" w:styleId="14">
    <w:name w:val="Normal Indent"/>
    <w:basedOn w:val="1"/>
    <w:qFormat/>
    <w:uiPriority w:val="0"/>
    <w:pPr>
      <w:ind w:firstLine="420"/>
    </w:pPr>
  </w:style>
  <w:style w:type="paragraph" w:styleId="15">
    <w:name w:val="Document Map"/>
    <w:basedOn w:val="1"/>
    <w:link w:val="284"/>
    <w:qFormat/>
    <w:uiPriority w:val="0"/>
    <w:rPr>
      <w:rFonts w:ascii="宋体" w:hAnsi="Calibri"/>
      <w:sz w:val="18"/>
      <w:szCs w:val="18"/>
    </w:rPr>
  </w:style>
  <w:style w:type="paragraph" w:styleId="16">
    <w:name w:val="annotation text"/>
    <w:basedOn w:val="1"/>
    <w:link w:val="163"/>
    <w:qFormat/>
    <w:uiPriority w:val="0"/>
    <w:pPr>
      <w:jc w:val="left"/>
    </w:pPr>
    <w:rPr>
      <w:szCs w:val="20"/>
    </w:rPr>
  </w:style>
  <w:style w:type="paragraph" w:styleId="17">
    <w:name w:val="Body Text 3"/>
    <w:basedOn w:val="1"/>
    <w:link w:val="276"/>
    <w:qFormat/>
    <w:uiPriority w:val="0"/>
    <w:rPr>
      <w:rFonts w:ascii="宋体" w:hAnsi="Calibri"/>
      <w:sz w:val="24"/>
      <w:szCs w:val="20"/>
    </w:rPr>
  </w:style>
  <w:style w:type="paragraph" w:styleId="18">
    <w:name w:val="Body Text Indent"/>
    <w:basedOn w:val="1"/>
    <w:link w:val="191"/>
    <w:qFormat/>
    <w:uiPriority w:val="0"/>
    <w:pPr>
      <w:spacing w:after="120"/>
      <w:ind w:left="420" w:leftChars="200"/>
    </w:pPr>
    <w:rPr>
      <w:szCs w:val="20"/>
    </w:rPr>
  </w:style>
  <w:style w:type="paragraph" w:styleId="19">
    <w:name w:val="Block Text"/>
    <w:basedOn w:val="1"/>
    <w:unhideWhenUsed/>
    <w:qFormat/>
    <w:uiPriority w:val="0"/>
    <w:pPr>
      <w:tabs>
        <w:tab w:val="left" w:pos="900"/>
      </w:tabs>
      <w:snapToGrid w:val="0"/>
      <w:spacing w:line="360" w:lineRule="auto"/>
      <w:ind w:left="-180" w:right="-334" w:firstLine="482"/>
    </w:pPr>
    <w:rPr>
      <w:rFonts w:ascii="仿宋_GB2312" w:eastAsia="仿宋_GB2312"/>
      <w:sz w:val="24"/>
    </w:rPr>
  </w:style>
  <w:style w:type="paragraph" w:styleId="20">
    <w:name w:val="toc 5"/>
    <w:basedOn w:val="1"/>
    <w:next w:val="1"/>
    <w:qFormat/>
    <w:uiPriority w:val="0"/>
    <w:pPr>
      <w:ind w:left="800" w:leftChars="800"/>
    </w:pPr>
  </w:style>
  <w:style w:type="paragraph" w:styleId="21">
    <w:name w:val="toc 3"/>
    <w:basedOn w:val="1"/>
    <w:next w:val="1"/>
    <w:qFormat/>
    <w:uiPriority w:val="39"/>
    <w:pPr>
      <w:ind w:left="400" w:leftChars="400"/>
    </w:pPr>
  </w:style>
  <w:style w:type="paragraph" w:styleId="22">
    <w:name w:val="Plain Text"/>
    <w:basedOn w:val="1"/>
    <w:link w:val="205"/>
    <w:qFormat/>
    <w:uiPriority w:val="0"/>
    <w:rPr>
      <w:rFonts w:ascii="宋体" w:hAnsi="Calibri"/>
    </w:rPr>
  </w:style>
  <w:style w:type="paragraph" w:styleId="23">
    <w:name w:val="toc 8"/>
    <w:basedOn w:val="1"/>
    <w:next w:val="1"/>
    <w:qFormat/>
    <w:uiPriority w:val="0"/>
    <w:pPr>
      <w:ind w:left="1400" w:leftChars="1400"/>
    </w:pPr>
  </w:style>
  <w:style w:type="paragraph" w:styleId="24">
    <w:name w:val="Date"/>
    <w:basedOn w:val="1"/>
    <w:next w:val="1"/>
    <w:link w:val="233"/>
    <w:qFormat/>
    <w:uiPriority w:val="0"/>
    <w:pPr>
      <w:ind w:left="2500" w:leftChars="2500"/>
    </w:pPr>
    <w:rPr>
      <w:szCs w:val="20"/>
    </w:rPr>
  </w:style>
  <w:style w:type="paragraph" w:styleId="25">
    <w:name w:val="Body Text Indent 2"/>
    <w:basedOn w:val="1"/>
    <w:link w:val="265"/>
    <w:unhideWhenUsed/>
    <w:qFormat/>
    <w:uiPriority w:val="0"/>
    <w:pPr>
      <w:ind w:firstLine="560" w:firstLineChars="200"/>
    </w:pPr>
    <w:rPr>
      <w:sz w:val="28"/>
    </w:rPr>
  </w:style>
  <w:style w:type="paragraph" w:styleId="26">
    <w:name w:val="Balloon Text"/>
    <w:basedOn w:val="1"/>
    <w:link w:val="261"/>
    <w:qFormat/>
    <w:uiPriority w:val="99"/>
    <w:rPr>
      <w:sz w:val="18"/>
      <w:szCs w:val="20"/>
    </w:rPr>
  </w:style>
  <w:style w:type="paragraph" w:styleId="27">
    <w:name w:val="footer"/>
    <w:basedOn w:val="1"/>
    <w:link w:val="182"/>
    <w:qFormat/>
    <w:uiPriority w:val="0"/>
    <w:pPr>
      <w:tabs>
        <w:tab w:val="center" w:pos="4153"/>
        <w:tab w:val="right" w:pos="8306"/>
      </w:tabs>
      <w:snapToGrid w:val="0"/>
      <w:jc w:val="left"/>
    </w:pPr>
    <w:rPr>
      <w:rFonts w:ascii="Calibri" w:hAnsi="Calibri"/>
      <w:sz w:val="18"/>
    </w:rPr>
  </w:style>
  <w:style w:type="paragraph" w:styleId="28">
    <w:name w:val="header"/>
    <w:basedOn w:val="1"/>
    <w:link w:val="254"/>
    <w:qFormat/>
    <w:uiPriority w:val="0"/>
    <w:pPr>
      <w:tabs>
        <w:tab w:val="center" w:pos="4153"/>
        <w:tab w:val="right" w:pos="8306"/>
      </w:tabs>
      <w:snapToGrid w:val="0"/>
    </w:pPr>
    <w:rPr>
      <w:sz w:val="18"/>
      <w:szCs w:val="20"/>
    </w:rPr>
  </w:style>
  <w:style w:type="paragraph" w:styleId="29">
    <w:name w:val="toc 1"/>
    <w:basedOn w:val="1"/>
    <w:next w:val="1"/>
    <w:qFormat/>
    <w:uiPriority w:val="39"/>
  </w:style>
  <w:style w:type="paragraph" w:styleId="30">
    <w:name w:val="toc 4"/>
    <w:basedOn w:val="1"/>
    <w:next w:val="1"/>
    <w:qFormat/>
    <w:uiPriority w:val="0"/>
    <w:pPr>
      <w:ind w:left="600" w:leftChars="600"/>
    </w:pPr>
  </w:style>
  <w:style w:type="paragraph" w:styleId="31">
    <w:name w:val="toc 6"/>
    <w:basedOn w:val="1"/>
    <w:next w:val="1"/>
    <w:qFormat/>
    <w:uiPriority w:val="0"/>
    <w:pPr>
      <w:ind w:left="1000" w:leftChars="1000"/>
    </w:pPr>
  </w:style>
  <w:style w:type="paragraph" w:styleId="32">
    <w:name w:val="Body Text Indent 3"/>
    <w:basedOn w:val="1"/>
    <w:link w:val="170"/>
    <w:qFormat/>
    <w:uiPriority w:val="0"/>
    <w:pPr>
      <w:spacing w:after="120"/>
      <w:ind w:left="200" w:leftChars="200"/>
    </w:pPr>
    <w:rPr>
      <w:rFonts w:ascii="Calibri" w:hAnsi="Calibri"/>
      <w:sz w:val="16"/>
      <w:szCs w:val="16"/>
    </w:rPr>
  </w:style>
  <w:style w:type="paragraph" w:styleId="33">
    <w:name w:val="toc 2"/>
    <w:basedOn w:val="1"/>
    <w:next w:val="1"/>
    <w:qFormat/>
    <w:uiPriority w:val="39"/>
    <w:pPr>
      <w:ind w:left="200" w:leftChars="200"/>
    </w:pPr>
  </w:style>
  <w:style w:type="paragraph" w:styleId="34">
    <w:name w:val="toc 9"/>
    <w:basedOn w:val="1"/>
    <w:next w:val="1"/>
    <w:qFormat/>
    <w:uiPriority w:val="0"/>
    <w:pPr>
      <w:ind w:left="1600" w:leftChars="1600"/>
    </w:pPr>
  </w:style>
  <w:style w:type="paragraph" w:styleId="35">
    <w:name w:val="Body Text 2"/>
    <w:basedOn w:val="1"/>
    <w:link w:val="160"/>
    <w:unhideWhenUsed/>
    <w:qFormat/>
    <w:uiPriority w:val="0"/>
    <w:rPr>
      <w:sz w:val="24"/>
      <w:szCs w:val="20"/>
    </w:rPr>
  </w:style>
  <w:style w:type="paragraph" w:styleId="36">
    <w:name w:val="HTML Preformatted"/>
    <w:basedOn w:val="1"/>
    <w:link w:val="202"/>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37">
    <w:name w:val="Normal (Web)"/>
    <w:basedOn w:val="1"/>
    <w:qFormat/>
    <w:uiPriority w:val="99"/>
    <w:pPr>
      <w:widowControl/>
      <w:spacing w:before="100" w:beforeAutospacing="1" w:after="100" w:afterAutospacing="1"/>
      <w:jc w:val="left"/>
    </w:pPr>
    <w:rPr>
      <w:rFonts w:ascii="宋体" w:hAnsi="宋体" w:cs="宋体"/>
      <w:color w:val="000000"/>
      <w:kern w:val="0"/>
      <w:sz w:val="24"/>
      <w:szCs w:val="20"/>
    </w:rPr>
  </w:style>
  <w:style w:type="paragraph" w:styleId="38">
    <w:name w:val="index 1"/>
    <w:basedOn w:val="1"/>
    <w:next w:val="1"/>
    <w:qFormat/>
    <w:uiPriority w:val="0"/>
    <w:pPr>
      <w:spacing w:line="220" w:lineRule="exact"/>
      <w:jc w:val="center"/>
    </w:pPr>
    <w:rPr>
      <w:rFonts w:ascii="仿宋_GB2312" w:hAnsi="Times New Roman" w:eastAsia="仿宋_GB2312"/>
      <w:szCs w:val="21"/>
    </w:rPr>
  </w:style>
  <w:style w:type="paragraph" w:styleId="39">
    <w:name w:val="annotation subject"/>
    <w:basedOn w:val="16"/>
    <w:next w:val="16"/>
    <w:link w:val="223"/>
    <w:qFormat/>
    <w:uiPriority w:val="99"/>
  </w:style>
  <w:style w:type="paragraph" w:styleId="40">
    <w:name w:val="Body Text First Indent"/>
    <w:basedOn w:val="1"/>
    <w:link w:val="219"/>
    <w:qFormat/>
    <w:uiPriority w:val="0"/>
    <w:pPr>
      <w:spacing w:line="312" w:lineRule="auto"/>
      <w:ind w:firstLine="420"/>
    </w:pPr>
    <w:rPr>
      <w:szCs w:val="24"/>
    </w:rPr>
  </w:style>
  <w:style w:type="paragraph" w:styleId="41">
    <w:name w:val="Body Text First Indent 2"/>
    <w:basedOn w:val="18"/>
    <w:link w:val="179"/>
    <w:unhideWhenUsed/>
    <w:qFormat/>
    <w:uiPriority w:val="0"/>
    <w:pPr>
      <w:ind w:firstLine="420" w:firstLineChars="200"/>
    </w:pPr>
    <w:rPr>
      <w:szCs w:val="24"/>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bCs/>
    </w:rPr>
  </w:style>
  <w:style w:type="character" w:styleId="46">
    <w:name w:val="page number"/>
    <w:basedOn w:val="44"/>
    <w:qFormat/>
    <w:uiPriority w:val="99"/>
  </w:style>
  <w:style w:type="character" w:styleId="47">
    <w:name w:val="FollowedHyperlink"/>
    <w:unhideWhenUsed/>
    <w:qFormat/>
    <w:uiPriority w:val="99"/>
    <w:rPr>
      <w:color w:val="000000"/>
      <w:u w:val="none"/>
    </w:rPr>
  </w:style>
  <w:style w:type="character" w:styleId="48">
    <w:name w:val="Emphasis"/>
    <w:qFormat/>
    <w:uiPriority w:val="0"/>
    <w:rPr>
      <w:rFonts w:ascii="微软雅黑" w:hAnsi="微软雅黑" w:eastAsia="微软雅黑" w:cs="微软雅黑"/>
    </w:rPr>
  </w:style>
  <w:style w:type="character" w:styleId="49">
    <w:name w:val="HTML Acronym"/>
    <w:basedOn w:val="44"/>
    <w:qFormat/>
    <w:uiPriority w:val="0"/>
  </w:style>
  <w:style w:type="character" w:styleId="50">
    <w:name w:val="Hyperlink"/>
    <w:qFormat/>
    <w:uiPriority w:val="99"/>
    <w:rPr>
      <w:color w:val="000000"/>
      <w:u w:val="none"/>
    </w:rPr>
  </w:style>
  <w:style w:type="character" w:styleId="51">
    <w:name w:val="annotation reference"/>
    <w:qFormat/>
    <w:uiPriority w:val="99"/>
    <w:rPr>
      <w:sz w:val="21"/>
    </w:rPr>
  </w:style>
  <w:style w:type="character" w:styleId="52">
    <w:name w:val="footnote reference"/>
    <w:qFormat/>
    <w:uiPriority w:val="0"/>
    <w:rPr>
      <w:vertAlign w:val="superscript"/>
    </w:rPr>
  </w:style>
  <w:style w:type="paragraph" w:customStyle="1" w:styleId="53">
    <w:name w:val="xl68"/>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54">
    <w:name w:val="表格标题粗体_制度头表格"/>
    <w:qFormat/>
    <w:uiPriority w:val="0"/>
    <w:pPr>
      <w:jc w:val="center"/>
    </w:pPr>
    <w:rPr>
      <w:rFonts w:ascii="Times New Roman" w:hAnsi="Times New Roman" w:eastAsia="宋体" w:cs="Times New Roman"/>
      <w:b/>
      <w:sz w:val="21"/>
      <w:szCs w:val="21"/>
      <w:lang w:val="en-US" w:eastAsia="zh-CN" w:bidi="ar-SA"/>
    </w:rPr>
  </w:style>
  <w:style w:type="paragraph" w:customStyle="1" w:styleId="55">
    <w:name w:val="1"/>
    <w:basedOn w:val="1"/>
    <w:qFormat/>
    <w:uiPriority w:val="0"/>
    <w:rPr>
      <w:rFonts w:ascii="Times New Roman" w:hAnsi="Times New Roman"/>
      <w:szCs w:val="20"/>
    </w:rPr>
  </w:style>
  <w:style w:type="paragraph" w:customStyle="1" w:styleId="56">
    <w:name w:val="p0"/>
    <w:basedOn w:val="1"/>
    <w:qFormat/>
    <w:uiPriority w:val="0"/>
    <w:pPr>
      <w:widowControl/>
    </w:pPr>
    <w:rPr>
      <w:kern w:val="0"/>
      <w:szCs w:val="21"/>
    </w:rPr>
  </w:style>
  <w:style w:type="paragraph" w:customStyle="1" w:styleId="57">
    <w:name w:val="xl66"/>
    <w:basedOn w:val="1"/>
    <w:qFormat/>
    <w:uiPriority w:val="0"/>
    <w:pPr>
      <w:widowControl/>
      <w:pBdr>
        <w:top w:val="single" w:color="auto" w:sz="8" w:space="0"/>
        <w:bottom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58">
    <w:name w:val="font5"/>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styleId="59">
    <w:name w:val="No Spacing"/>
    <w:link w:val="258"/>
    <w:qFormat/>
    <w:uiPriority w:val="1"/>
    <w:pPr>
      <w:widowControl w:val="0"/>
      <w:jc w:val="both"/>
    </w:pPr>
    <w:rPr>
      <w:rFonts w:ascii="Times New Roman" w:hAnsi="Times New Roman" w:eastAsia="宋体" w:cs="Times New Roman"/>
      <w:kern w:val="2"/>
      <w:sz w:val="24"/>
      <w:lang w:val="en-US" w:eastAsia="zh-CN" w:bidi="ar-SA"/>
    </w:rPr>
  </w:style>
  <w:style w:type="paragraph" w:customStyle="1" w:styleId="60">
    <w:name w:val="我的正文"/>
    <w:basedOn w:val="1"/>
    <w:qFormat/>
    <w:uiPriority w:val="0"/>
    <w:rPr>
      <w:rFonts w:ascii="宋体" w:hAnsi="宋体"/>
      <w:sz w:val="24"/>
      <w:szCs w:val="24"/>
    </w:rPr>
  </w:style>
  <w:style w:type="paragraph" w:customStyle="1" w:styleId="61">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sz w:val="28"/>
    </w:rPr>
  </w:style>
  <w:style w:type="paragraph" w:customStyle="1" w:styleId="62">
    <w:name w:val="xl67"/>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63">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4">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等线" w:hAnsi="等线" w:eastAsia="等线" w:cs="宋体"/>
      <w:kern w:val="0"/>
      <w:sz w:val="24"/>
      <w:szCs w:val="24"/>
    </w:rPr>
  </w:style>
  <w:style w:type="paragraph" w:customStyle="1" w:styleId="65">
    <w:name w:val="修订11"/>
    <w:qFormat/>
    <w:uiPriority w:val="0"/>
    <w:rPr>
      <w:rFonts w:ascii="Times New Roman" w:hAnsi="Times New Roman" w:eastAsia="宋体" w:cs="Times New Roman"/>
      <w:kern w:val="2"/>
      <w:sz w:val="21"/>
      <w:szCs w:val="24"/>
      <w:lang w:val="en-US" w:eastAsia="zh-CN" w:bidi="ar-SA"/>
    </w:rPr>
  </w:style>
  <w:style w:type="paragraph" w:customStyle="1" w:styleId="66">
    <w:name w:val="样式 第二级 + 段后: 0.5 行"/>
    <w:basedOn w:val="67"/>
    <w:qFormat/>
    <w:uiPriority w:val="0"/>
    <w:pPr>
      <w:tabs>
        <w:tab w:val="left" w:pos="567"/>
      </w:tabs>
      <w:ind w:left="567" w:hanging="567"/>
    </w:pPr>
    <w:rPr>
      <w:rFonts w:cs="宋体"/>
    </w:rPr>
  </w:style>
  <w:style w:type="paragraph" w:customStyle="1" w:styleId="67">
    <w:name w:val="第二级"/>
    <w:basedOn w:val="1"/>
    <w:qFormat/>
    <w:uiPriority w:val="0"/>
    <w:pPr>
      <w:numPr>
        <w:ilvl w:val="1"/>
        <w:numId w:val="1"/>
      </w:numPr>
      <w:tabs>
        <w:tab w:val="left" w:pos="567"/>
      </w:tabs>
      <w:adjustRightInd w:val="0"/>
      <w:snapToGrid w:val="0"/>
      <w:jc w:val="left"/>
      <w:outlineLvl w:val="1"/>
    </w:pPr>
    <w:rPr>
      <w:rFonts w:ascii="宋体" w:hAnsi="Arial"/>
      <w:sz w:val="24"/>
      <w:szCs w:val="20"/>
    </w:rPr>
  </w:style>
  <w:style w:type="paragraph" w:customStyle="1" w:styleId="68">
    <w:name w:val="_Style 31"/>
    <w:basedOn w:val="1"/>
    <w:qFormat/>
    <w:uiPriority w:val="0"/>
    <w:rPr>
      <w:szCs w:val="20"/>
    </w:rPr>
  </w:style>
  <w:style w:type="paragraph" w:customStyle="1" w:styleId="69">
    <w:name w:val="列表段落"/>
    <w:basedOn w:val="1"/>
    <w:qFormat/>
    <w:uiPriority w:val="34"/>
    <w:pPr>
      <w:spacing w:line="360" w:lineRule="auto"/>
      <w:ind w:firstLine="420" w:firstLineChars="200"/>
    </w:pPr>
  </w:style>
  <w:style w:type="paragraph" w:customStyle="1" w:styleId="70">
    <w:name w:val="域名"/>
    <w:basedOn w:val="1"/>
    <w:qFormat/>
    <w:uiPriority w:val="0"/>
    <w:pPr>
      <w:adjustRightInd w:val="0"/>
      <w:spacing w:line="240" w:lineRule="exact"/>
    </w:pPr>
    <w:rPr>
      <w:rFonts w:ascii="宋体" w:eastAsia="仿宋_GB2312"/>
      <w:b/>
      <w:color w:val="FF0000"/>
      <w:kern w:val="0"/>
      <w:szCs w:val="20"/>
    </w:rPr>
  </w:style>
  <w:style w:type="paragraph" w:customStyle="1" w:styleId="71">
    <w:name w:val="Char1"/>
    <w:basedOn w:val="1"/>
    <w:qFormat/>
    <w:uiPriority w:val="0"/>
    <w:pPr>
      <w:tabs>
        <w:tab w:val="left" w:pos="360"/>
      </w:tabs>
    </w:pPr>
    <w:rPr>
      <w:rFonts w:ascii="Times New Roman" w:hAnsi="Times New Roman"/>
      <w:sz w:val="24"/>
      <w:szCs w:val="20"/>
    </w:rPr>
  </w:style>
  <w:style w:type="paragraph" w:customStyle="1" w:styleId="72">
    <w:name w:val="xl71"/>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 w:val="20"/>
      <w:szCs w:val="20"/>
    </w:rPr>
  </w:style>
  <w:style w:type="paragraph" w:customStyle="1" w:styleId="73">
    <w:name w:val="xl65"/>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74">
    <w:name w:val="_Style 2"/>
    <w:basedOn w:val="1"/>
    <w:qFormat/>
    <w:uiPriority w:val="34"/>
    <w:pPr>
      <w:ind w:firstLine="420" w:firstLineChars="200"/>
    </w:pPr>
  </w:style>
  <w:style w:type="paragraph" w:customStyle="1" w:styleId="75">
    <w:name w:val="bn"/>
    <w:basedOn w:val="1"/>
    <w:qFormat/>
    <w:uiPriority w:val="0"/>
    <w:pPr>
      <w:topLinePunct/>
      <w:snapToGrid w:val="0"/>
      <w:ind w:left="20" w:leftChars="20" w:right="20" w:rightChars="20"/>
      <w:jc w:val="center"/>
    </w:pPr>
    <w:rPr>
      <w:color w:val="000000"/>
      <w:kern w:val="18"/>
      <w:sz w:val="18"/>
      <w:szCs w:val="18"/>
    </w:rPr>
  </w:style>
  <w:style w:type="paragraph" w:customStyle="1" w:styleId="76">
    <w:name w:val="_Style 23"/>
    <w:basedOn w:val="1"/>
    <w:qFormat/>
    <w:uiPriority w:val="0"/>
    <w:pPr>
      <w:widowControl/>
      <w:spacing w:after="160" w:line="240" w:lineRule="exact"/>
      <w:jc w:val="left"/>
    </w:pPr>
  </w:style>
  <w:style w:type="paragraph" w:customStyle="1" w:styleId="77">
    <w:name w:val="纯文本11"/>
    <w:basedOn w:val="1"/>
    <w:qFormat/>
    <w:uiPriority w:val="99"/>
    <w:pPr>
      <w:adjustRightInd w:val="0"/>
      <w:jc w:val="left"/>
    </w:pPr>
    <w:rPr>
      <w:rFonts w:ascii="宋体" w:hAnsi="Courier New"/>
      <w:sz w:val="24"/>
      <w:szCs w:val="20"/>
    </w:rPr>
  </w:style>
  <w:style w:type="paragraph" w:customStyle="1" w:styleId="78">
    <w:name w:val=" Char"/>
    <w:basedOn w:val="1"/>
    <w:qFormat/>
    <w:uiPriority w:val="0"/>
    <w:rPr>
      <w:rFonts w:ascii="Calibri" w:hAnsi="Calibri"/>
      <w:sz w:val="24"/>
      <w:szCs w:val="24"/>
    </w:rPr>
  </w:style>
  <w:style w:type="paragraph" w:customStyle="1" w:styleId="7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80">
    <w:name w:val="列出段落1"/>
    <w:basedOn w:val="1"/>
    <w:qFormat/>
    <w:uiPriority w:val="0"/>
    <w:pPr>
      <w:ind w:firstLine="420" w:firstLineChars="200"/>
    </w:pPr>
  </w:style>
  <w:style w:type="paragraph" w:customStyle="1" w:styleId="81">
    <w:name w:val="xl7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82">
    <w:name w:val="p16"/>
    <w:basedOn w:val="1"/>
    <w:qFormat/>
    <w:uiPriority w:val="0"/>
    <w:pPr>
      <w:widowControl/>
    </w:pPr>
    <w:rPr>
      <w:rFonts w:ascii="宋体" w:hAnsi="宋体" w:cs="宋体"/>
      <w:kern w:val="0"/>
      <w:szCs w:val="21"/>
    </w:rPr>
  </w:style>
  <w:style w:type="paragraph" w:customStyle="1" w:styleId="83">
    <w:name w:val="1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84">
    <w:name w:val="Char Char Char Char Char1 Char Char Char Char Char Char Char"/>
    <w:basedOn w:val="1"/>
    <w:qFormat/>
    <w:uiPriority w:val="0"/>
    <w:pPr>
      <w:spacing w:line="360" w:lineRule="auto"/>
    </w:pPr>
    <w:rPr>
      <w:rFonts w:ascii="Tahoma" w:hAnsi="Tahoma"/>
      <w:sz w:val="24"/>
      <w:szCs w:val="20"/>
    </w:rPr>
  </w:style>
  <w:style w:type="paragraph" w:customStyle="1" w:styleId="85">
    <w:name w:val="发文落款"/>
    <w:basedOn w:val="86"/>
    <w:qFormat/>
    <w:uiPriority w:val="0"/>
    <w:pPr>
      <w:ind w:left="4094" w:right="607" w:firstLine="0"/>
      <w:jc w:val="center"/>
    </w:pPr>
  </w:style>
  <w:style w:type="paragraph" w:customStyle="1" w:styleId="86">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87">
    <w:name w:val="_Style 67"/>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88">
    <w:name w:val="样式 样式 样式1 + 段后: 0.5 行 + 段后: 0.5 行"/>
    <w:basedOn w:val="1"/>
    <w:qFormat/>
    <w:uiPriority w:val="0"/>
    <w:pPr>
      <w:numPr>
        <w:ilvl w:val="0"/>
        <w:numId w:val="2"/>
      </w:numPr>
      <w:tabs>
        <w:tab w:val="left" w:pos="720"/>
      </w:tabs>
      <w:adjustRightInd w:val="0"/>
      <w:snapToGrid w:val="0"/>
      <w:jc w:val="left"/>
      <w:outlineLvl w:val="0"/>
    </w:pPr>
    <w:rPr>
      <w:rFonts w:ascii="宋体" w:hAnsi="Arial" w:cs="宋体"/>
      <w:sz w:val="24"/>
      <w:szCs w:val="20"/>
    </w:rPr>
  </w:style>
  <w:style w:type="paragraph" w:customStyle="1" w:styleId="89">
    <w:name w:val="表格"/>
    <w:basedOn w:val="1"/>
    <w:qFormat/>
    <w:uiPriority w:val="0"/>
    <w:pPr>
      <w:jc w:val="center"/>
      <w:textAlignment w:val="center"/>
    </w:pPr>
    <w:rPr>
      <w:rFonts w:ascii="华文细黑" w:hAnsi="华文细黑"/>
      <w:kern w:val="0"/>
      <w:szCs w:val="20"/>
    </w:rPr>
  </w:style>
  <w:style w:type="paragraph" w:customStyle="1" w:styleId="90">
    <w:name w:val="Char Char Char Char"/>
    <w:basedOn w:val="1"/>
    <w:qFormat/>
    <w:uiPriority w:val="0"/>
    <w:pPr>
      <w:tabs>
        <w:tab w:val="left" w:pos="425"/>
      </w:tabs>
      <w:ind w:left="425" w:hanging="425"/>
    </w:pPr>
    <w:rPr>
      <w:rFonts w:ascii="仿宋_GB2312" w:hAnsi="宋体" w:eastAsia="仿宋_GB2312"/>
      <w:b/>
      <w:kern w:val="24"/>
      <w:sz w:val="32"/>
      <w:szCs w:val="32"/>
    </w:rPr>
  </w:style>
  <w:style w:type="paragraph" w:customStyle="1" w:styleId="91">
    <w:name w:val="表格内容靠左正常_制度头表格"/>
    <w:qFormat/>
    <w:uiPriority w:val="0"/>
    <w:rPr>
      <w:rFonts w:ascii="Times New Roman" w:hAnsi="Times New Roman" w:eastAsia="宋体" w:cs="Times New Roman"/>
      <w:sz w:val="21"/>
      <w:szCs w:val="21"/>
      <w:lang w:val="en-US" w:eastAsia="zh-CN" w:bidi="ar-SA"/>
    </w:rPr>
  </w:style>
  <w:style w:type="paragraph" w:customStyle="1" w:styleId="92">
    <w:name w:val=" Char Char Char Char Char1 Char"/>
    <w:basedOn w:val="1"/>
    <w:qFormat/>
    <w:uiPriority w:val="0"/>
    <w:rPr>
      <w:rFonts w:ascii="Tahoma" w:hAnsi="Tahoma"/>
      <w:sz w:val="24"/>
      <w:szCs w:val="20"/>
    </w:rPr>
  </w:style>
  <w:style w:type="paragraph" w:customStyle="1" w:styleId="93">
    <w:name w:val="11"/>
    <w:basedOn w:val="18"/>
    <w:link w:val="194"/>
    <w:qFormat/>
    <w:uiPriority w:val="0"/>
    <w:pPr>
      <w:spacing w:line="360" w:lineRule="auto"/>
    </w:pPr>
    <w:rPr>
      <w:rFonts w:hAnsi="宋体"/>
      <w:b/>
      <w:szCs w:val="21"/>
    </w:rPr>
  </w:style>
  <w:style w:type="paragraph" w:customStyle="1" w:styleId="94">
    <w:name w:val="样式 标题 3 + (中文) 黑体 小四 非加粗 段前: 7.8 磅 段后: 0 磅 行距: 固定值 20 磅"/>
    <w:basedOn w:val="6"/>
    <w:qFormat/>
    <w:uiPriority w:val="0"/>
    <w:pPr>
      <w:spacing w:before="0" w:after="0" w:line="400" w:lineRule="exact"/>
      <w:ind w:firstLine="137"/>
    </w:pPr>
    <w:rPr>
      <w:rFonts w:hAnsi="Times New Roman" w:cs="宋体"/>
      <w:sz w:val="24"/>
    </w:rPr>
  </w:style>
  <w:style w:type="paragraph" w:customStyle="1" w:styleId="95">
    <w:name w:val="xl7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6">
    <w:name w:val="默认段落字体 Para Char Char Char Char"/>
    <w:basedOn w:val="1"/>
    <w:qFormat/>
    <w:uiPriority w:val="0"/>
    <w:rPr>
      <w:szCs w:val="24"/>
    </w:rPr>
  </w:style>
  <w:style w:type="paragraph" w:customStyle="1" w:styleId="97">
    <w:name w:val="英文1"/>
    <w:basedOn w:val="1"/>
    <w:qFormat/>
    <w:uiPriority w:val="0"/>
    <w:pPr>
      <w:tabs>
        <w:tab w:val="left" w:pos="1155"/>
      </w:tabs>
      <w:adjustRightInd w:val="0"/>
      <w:snapToGrid w:val="0"/>
      <w:spacing w:beforeLines="50" w:line="240" w:lineRule="exact"/>
      <w:ind w:left="733" w:leftChars="349" w:firstLine="373" w:firstLineChars="207"/>
    </w:pPr>
    <w:rPr>
      <w:rFonts w:ascii="Arial" w:hAnsi="Arial" w:cs="Arial"/>
      <w:sz w:val="18"/>
      <w:szCs w:val="24"/>
    </w:rPr>
  </w:style>
  <w:style w:type="paragraph" w:customStyle="1" w:styleId="98">
    <w:name w:val="bg"/>
    <w:basedOn w:val="18"/>
    <w:qFormat/>
    <w:uiPriority w:val="0"/>
    <w:pPr>
      <w:topLinePunct/>
      <w:snapToGrid w:val="0"/>
      <w:spacing w:after="0"/>
      <w:ind w:left="0" w:leftChars="0"/>
      <w:jc w:val="center"/>
    </w:pPr>
    <w:rPr>
      <w:rFonts w:ascii="Calibri" w:hAnsi="Calibri"/>
      <w:color w:val="000000"/>
      <w:sz w:val="18"/>
      <w:szCs w:val="18"/>
    </w:rPr>
  </w:style>
  <w:style w:type="paragraph" w:styleId="99">
    <w:name w:val="List Paragraph"/>
    <w:basedOn w:val="1"/>
    <w:qFormat/>
    <w:uiPriority w:val="34"/>
    <w:pPr>
      <w:spacing w:line="360" w:lineRule="auto"/>
      <w:ind w:firstLine="420" w:firstLineChars="200"/>
    </w:pPr>
    <w:rPr>
      <w:rFonts w:ascii="Calibri" w:hAnsi="Calibri"/>
    </w:rPr>
  </w:style>
  <w:style w:type="paragraph" w:customStyle="1" w:styleId="100">
    <w:name w:val="正文首行缩进1"/>
    <w:basedOn w:val="1"/>
    <w:link w:val="161"/>
    <w:qFormat/>
    <w:uiPriority w:val="0"/>
    <w:pPr>
      <w:spacing w:line="360" w:lineRule="auto"/>
      <w:ind w:firstLine="200" w:firstLineChars="200"/>
    </w:pPr>
    <w:rPr>
      <w:sz w:val="24"/>
      <w:szCs w:val="24"/>
    </w:rPr>
  </w:style>
  <w:style w:type="paragraph" w:customStyle="1" w:styleId="101">
    <w:name w:val="修订2"/>
    <w:qFormat/>
    <w:uiPriority w:val="0"/>
    <w:rPr>
      <w:rFonts w:ascii="Times New Roman" w:hAnsi="Times New Roman" w:eastAsia="宋体" w:cs="Times New Roman"/>
      <w:kern w:val="2"/>
      <w:sz w:val="21"/>
      <w:szCs w:val="24"/>
      <w:lang w:val="en-US" w:eastAsia="zh-CN" w:bidi="ar-SA"/>
    </w:rPr>
  </w:style>
  <w:style w:type="paragraph" w:customStyle="1" w:styleId="102">
    <w:name w:val="纯文本1"/>
    <w:basedOn w:val="1"/>
    <w:qFormat/>
    <w:uiPriority w:val="0"/>
    <w:pPr>
      <w:adjustRightInd w:val="0"/>
      <w:jc w:val="left"/>
    </w:pPr>
    <w:rPr>
      <w:rFonts w:ascii="宋体" w:hAnsi="Courier New"/>
      <w:sz w:val="24"/>
      <w:szCs w:val="20"/>
    </w:rPr>
  </w:style>
  <w:style w:type="paragraph" w:customStyle="1" w:styleId="103">
    <w:name w:val="formtable1"/>
    <w:basedOn w:val="1"/>
    <w:qFormat/>
    <w:uiPriority w:val="0"/>
    <w:pPr>
      <w:widowControl/>
      <w:pBdr>
        <w:left w:val="single" w:color="CCCCCC" w:sz="6" w:space="0"/>
      </w:pBdr>
      <w:spacing w:before="100" w:beforeAutospacing="1" w:after="100" w:afterAutospacing="1"/>
      <w:jc w:val="left"/>
    </w:pPr>
    <w:rPr>
      <w:rFonts w:ascii="宋体" w:hAnsi="宋体" w:cs="宋体"/>
      <w:kern w:val="0"/>
      <w:sz w:val="24"/>
      <w:szCs w:val="24"/>
    </w:rPr>
  </w:style>
  <w:style w:type="paragraph" w:customStyle="1" w:styleId="104">
    <w:name w:val="公文标题"/>
    <w:basedOn w:val="6"/>
    <w:qFormat/>
    <w:uiPriority w:val="0"/>
    <w:pPr>
      <w:spacing w:line="240" w:lineRule="auto"/>
      <w:ind w:left="1469" w:right="1542" w:firstLine="0" w:firstLineChars="0"/>
      <w:jc w:val="center"/>
    </w:pPr>
    <w:rPr>
      <w:rFonts w:ascii="Calibri" w:eastAsia="宋体"/>
      <w:b/>
      <w:sz w:val="44"/>
      <w:szCs w:val="24"/>
    </w:rPr>
  </w:style>
  <w:style w:type="paragraph" w:customStyle="1" w:styleId="105">
    <w:name w:val="Plain Text"/>
    <w:basedOn w:val="1"/>
    <w:qFormat/>
    <w:uiPriority w:val="0"/>
    <w:pPr>
      <w:adjustRightInd w:val="0"/>
      <w:jc w:val="left"/>
      <w:textAlignment w:val="baseline"/>
    </w:pPr>
    <w:rPr>
      <w:rFonts w:ascii="宋体" w:hAnsi="Courier New"/>
      <w:sz w:val="24"/>
      <w:szCs w:val="20"/>
    </w:rPr>
  </w:style>
  <w:style w:type="paragraph" w:customStyle="1" w:styleId="106">
    <w:name w:val="样式1"/>
    <w:basedOn w:val="1"/>
    <w:next w:val="7"/>
    <w:qFormat/>
    <w:uiPriority w:val="0"/>
    <w:pPr>
      <w:spacing w:line="360" w:lineRule="auto"/>
      <w:ind w:firstLine="420" w:firstLineChars="200"/>
    </w:pPr>
    <w:rPr>
      <w:rFonts w:ascii="宋体" w:hAnsi="宋体"/>
      <w:szCs w:val="21"/>
    </w:rPr>
  </w:style>
  <w:style w:type="paragraph" w:customStyle="1" w:styleId="107">
    <w:name w:val="xl69"/>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kern w:val="0"/>
      <w:sz w:val="20"/>
      <w:szCs w:val="20"/>
    </w:rPr>
  </w:style>
  <w:style w:type="paragraph" w:customStyle="1" w:styleId="108">
    <w:name w:val="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09">
    <w:name w:val="修订1"/>
    <w:qFormat/>
    <w:uiPriority w:val="0"/>
    <w:rPr>
      <w:rFonts w:ascii="Times New Roman" w:hAnsi="Times New Roman" w:eastAsia="宋体" w:cs="Times New Roman"/>
      <w:kern w:val="2"/>
      <w:sz w:val="21"/>
      <w:lang w:val="en-US" w:eastAsia="zh-CN" w:bidi="ar-SA"/>
    </w:rPr>
  </w:style>
  <w:style w:type="paragraph" w:customStyle="1" w:styleId="110">
    <w:name w:val="！正文（四号字）"/>
    <w:link w:val="214"/>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paragraph" w:customStyle="1" w:styleId="111">
    <w:name w:val="_Style 58"/>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12">
    <w:name w:val="样式 段后: 0.5 行1"/>
    <w:basedOn w:val="1"/>
    <w:qFormat/>
    <w:uiPriority w:val="0"/>
    <w:pPr>
      <w:snapToGrid w:val="0"/>
    </w:pPr>
    <w:rPr>
      <w:rFonts w:cs="宋体"/>
      <w:sz w:val="24"/>
      <w:szCs w:val="24"/>
    </w:rPr>
  </w:style>
  <w:style w:type="paragraph" w:customStyle="1" w:styleId="113">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sz w:val="32"/>
    </w:rPr>
  </w:style>
  <w:style w:type="paragraph" w:customStyle="1" w:styleId="114">
    <w:name w:val="_Style 1"/>
    <w:basedOn w:val="1"/>
    <w:qFormat/>
    <w:uiPriority w:val="34"/>
    <w:pPr>
      <w:spacing w:line="360" w:lineRule="auto"/>
      <w:ind w:firstLine="420" w:firstLineChars="200"/>
    </w:pPr>
  </w:style>
  <w:style w:type="paragraph" w:customStyle="1" w:styleId="115">
    <w:name w:val="p17"/>
    <w:basedOn w:val="1"/>
    <w:qFormat/>
    <w:uiPriority w:val="0"/>
    <w:pPr>
      <w:widowControl/>
    </w:pPr>
    <w:rPr>
      <w:rFonts w:ascii="宋体" w:hAnsi="宋体" w:cs="宋体"/>
      <w:kern w:val="0"/>
      <w:szCs w:val="21"/>
    </w:rPr>
  </w:style>
  <w:style w:type="paragraph" w:customStyle="1" w:styleId="116">
    <w:name w:val="p15"/>
    <w:basedOn w:val="1"/>
    <w:qFormat/>
    <w:uiPriority w:val="0"/>
    <w:pPr>
      <w:widowControl/>
    </w:pPr>
    <w:rPr>
      <w:rFonts w:ascii="宋体" w:hAnsi="宋体" w:cs="宋体"/>
      <w:kern w:val="0"/>
      <w:szCs w:val="21"/>
    </w:rPr>
  </w:style>
  <w:style w:type="paragraph" w:customStyle="1" w:styleId="117">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118">
    <w:name w:val="_Style 117"/>
    <w:semiHidden/>
    <w:qFormat/>
    <w:uiPriority w:val="99"/>
    <w:rPr>
      <w:rFonts w:ascii="Times New Roman" w:hAnsi="Times New Roman" w:eastAsia="宋体" w:cs="Times New Roman"/>
      <w:kern w:val="2"/>
      <w:sz w:val="21"/>
      <w:lang w:val="en-US" w:eastAsia="zh-CN" w:bidi="ar-SA"/>
    </w:rPr>
  </w:style>
  <w:style w:type="paragraph" w:customStyle="1" w:styleId="119">
    <w:name w:val="表格空行_制度头表格"/>
    <w:basedOn w:val="120"/>
    <w:qFormat/>
    <w:uiPriority w:val="0"/>
    <w:pPr>
      <w:tabs>
        <w:tab w:val="left" w:pos="2960"/>
      </w:tabs>
      <w:jc w:val="both"/>
    </w:pPr>
    <w:rPr>
      <w:rFonts w:eastAsia="黑体"/>
      <w:sz w:val="11"/>
      <w:szCs w:val="30"/>
    </w:rPr>
  </w:style>
  <w:style w:type="paragraph" w:customStyle="1" w:styleId="120">
    <w:name w:val="表格标题正常_制度头表格"/>
    <w:qFormat/>
    <w:uiPriority w:val="0"/>
    <w:pPr>
      <w:jc w:val="center"/>
    </w:pPr>
    <w:rPr>
      <w:rFonts w:ascii="Times New Roman" w:hAnsi="Times New Roman" w:eastAsia="宋体" w:cs="Times New Roman"/>
      <w:sz w:val="21"/>
      <w:lang w:val="en-US" w:eastAsia="zh-CN" w:bidi="ar-SA"/>
    </w:rPr>
  </w:style>
  <w:style w:type="paragraph" w:customStyle="1" w:styleId="121">
    <w:name w:val="xl22"/>
    <w:basedOn w:val="1"/>
    <w:qFormat/>
    <w:uiPriority w:val="0"/>
    <w:pPr>
      <w:widowControl/>
      <w:spacing w:before="100" w:beforeAutospacing="1" w:after="100" w:afterAutospacing="1"/>
      <w:jc w:val="center"/>
    </w:pPr>
    <w:rPr>
      <w:rFonts w:ascii="仿宋_GB2312" w:hAnsi="宋体" w:eastAsia="仿宋_GB2312"/>
      <w:kern w:val="0"/>
      <w:sz w:val="24"/>
      <w:szCs w:val="24"/>
    </w:rPr>
  </w:style>
  <w:style w:type="paragraph" w:customStyle="1" w:styleId="122">
    <w:name w:val="表格文字"/>
    <w:basedOn w:val="1"/>
    <w:qFormat/>
    <w:uiPriority w:val="0"/>
    <w:pPr>
      <w:adjustRightInd w:val="0"/>
      <w:spacing w:line="420" w:lineRule="atLeast"/>
      <w:jc w:val="left"/>
      <w:textAlignment w:val="baseline"/>
    </w:pPr>
    <w:rPr>
      <w:rFonts w:ascii="Times New Roman" w:hAnsi="Times New Roman"/>
      <w:kern w:val="0"/>
      <w:szCs w:val="20"/>
    </w:rPr>
  </w:style>
  <w:style w:type="paragraph" w:customStyle="1" w:styleId="123">
    <w:name w:val="Char Char Char Char Char Char Char Char Char Char Char Char"/>
    <w:basedOn w:val="1"/>
    <w:qFormat/>
    <w:uiPriority w:val="0"/>
    <w:pPr>
      <w:spacing w:line="360" w:lineRule="auto"/>
    </w:pPr>
    <w:rPr>
      <w:szCs w:val="20"/>
    </w:rPr>
  </w:style>
  <w:style w:type="paragraph" w:customStyle="1" w:styleId="124">
    <w:name w:val="xl80"/>
    <w:basedOn w:val="1"/>
    <w:qFormat/>
    <w:uiPriority w:val="0"/>
    <w:pPr>
      <w:widowControl/>
      <w:pBdr>
        <w:bottom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125">
    <w:name w:val="xl7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26">
    <w:name w:val="font9"/>
    <w:basedOn w:val="1"/>
    <w:qFormat/>
    <w:uiPriority w:val="0"/>
    <w:pPr>
      <w:widowControl/>
      <w:spacing w:before="100" w:beforeAutospacing="1" w:after="100" w:afterAutospacing="1"/>
      <w:jc w:val="left"/>
    </w:pPr>
    <w:rPr>
      <w:rFonts w:ascii="MS Mincho" w:hAnsi="MS Mincho" w:eastAsia="MS Mincho" w:cs="宋体"/>
      <w:color w:val="000000"/>
      <w:kern w:val="0"/>
      <w:sz w:val="20"/>
      <w:szCs w:val="20"/>
    </w:rPr>
  </w:style>
  <w:style w:type="paragraph" w:customStyle="1" w:styleId="127">
    <w:name w:val="Char Char Char Char Char1 Char"/>
    <w:basedOn w:val="1"/>
    <w:qFormat/>
    <w:uiPriority w:val="0"/>
    <w:rPr>
      <w:rFonts w:ascii="Tahoma" w:hAnsi="Tahoma"/>
      <w:sz w:val="24"/>
      <w:szCs w:val="20"/>
    </w:rPr>
  </w:style>
  <w:style w:type="paragraph" w:customStyle="1" w:styleId="128">
    <w:name w:val="xl7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9">
    <w:name w:val="_Style 75"/>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30">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
    <w:name w:val="正文4"/>
    <w:basedOn w:val="1"/>
    <w:qFormat/>
    <w:uiPriority w:val="0"/>
    <w:pPr>
      <w:ind w:firstLine="630"/>
    </w:pPr>
    <w:rPr>
      <w:sz w:val="28"/>
      <w:szCs w:val="20"/>
    </w:rPr>
  </w:style>
  <w:style w:type="paragraph" w:customStyle="1" w:styleId="132">
    <w:name w:val="默认段落字体 Para Char Char Char Char Char Char Char Char Char Char Char Char Char Char"/>
    <w:basedOn w:val="15"/>
    <w:qFormat/>
    <w:uiPriority w:val="0"/>
    <w:pPr>
      <w:shd w:val="clear" w:color="auto" w:fill="000080"/>
    </w:pPr>
    <w:rPr>
      <w:rFonts w:ascii="Calibri" w:cs="Times New Roman"/>
      <w:sz w:val="21"/>
      <w:szCs w:val="20"/>
    </w:rPr>
  </w:style>
  <w:style w:type="paragraph" w:customStyle="1" w:styleId="133">
    <w:name w:val="Char1 Char Char Char Char Char Char Char Char Char Char Char Char Char Char Char Char Char Char Char"/>
    <w:basedOn w:val="1"/>
    <w:qFormat/>
    <w:uiPriority w:val="0"/>
    <w:pPr>
      <w:spacing w:line="360" w:lineRule="auto"/>
    </w:pPr>
    <w:rPr>
      <w:szCs w:val="20"/>
    </w:rPr>
  </w:style>
  <w:style w:type="paragraph" w:customStyle="1" w:styleId="134">
    <w:name w:val="font6"/>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35">
    <w:name w:val="font0"/>
    <w:basedOn w:val="1"/>
    <w:qFormat/>
    <w:uiPriority w:val="0"/>
    <w:pPr>
      <w:widowControl/>
      <w:spacing w:before="100" w:beforeAutospacing="1" w:after="100" w:afterAutospacing="1"/>
      <w:jc w:val="left"/>
    </w:pPr>
    <w:rPr>
      <w:rFonts w:ascii="宋体" w:hAnsi="宋体" w:cs="宋体"/>
      <w:color w:val="000000"/>
      <w:kern w:val="0"/>
      <w:sz w:val="22"/>
    </w:rPr>
  </w:style>
  <w:style w:type="paragraph" w:customStyle="1" w:styleId="136">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24"/>
      <w:szCs w:val="24"/>
    </w:rPr>
  </w:style>
  <w:style w:type="paragraph" w:customStyle="1" w:styleId="137">
    <w:name w:val="TOC 标题1"/>
    <w:basedOn w:val="4"/>
    <w:next w:val="1"/>
    <w:qFormat/>
    <w:uiPriority w:val="0"/>
    <w:pPr>
      <w:widowControl/>
      <w:spacing w:before="480" w:after="0" w:line="276" w:lineRule="auto"/>
      <w:jc w:val="left"/>
      <w:outlineLvl w:val="9"/>
    </w:pPr>
    <w:rPr>
      <w:rFonts w:ascii="Cambria" w:hAnsi="Cambria"/>
      <w:color w:val="365F91"/>
      <w:kern w:val="0"/>
      <w:sz w:val="28"/>
    </w:rPr>
  </w:style>
  <w:style w:type="paragraph" w:customStyle="1" w:styleId="138">
    <w:name w:val="样式3"/>
    <w:basedOn w:val="5"/>
    <w:qFormat/>
    <w:uiPriority w:val="0"/>
    <w:pPr>
      <w:tabs>
        <w:tab w:val="center" w:pos="4365"/>
        <w:tab w:val="left" w:pos="6075"/>
      </w:tabs>
      <w:spacing w:line="240" w:lineRule="auto"/>
      <w:jc w:val="center"/>
    </w:pPr>
    <w:rPr>
      <w:b w:val="0"/>
      <w:sz w:val="21"/>
      <w:szCs w:val="21"/>
    </w:rPr>
  </w:style>
  <w:style w:type="paragraph" w:customStyle="1" w:styleId="139">
    <w:name w:val="_Style 138"/>
    <w:basedOn w:val="4"/>
    <w:next w:val="1"/>
    <w:qFormat/>
    <w:uiPriority w:val="39"/>
    <w:pPr>
      <w:widowControl/>
      <w:adjustRightInd w:val="0"/>
      <w:spacing w:before="480" w:after="0" w:line="276" w:lineRule="auto"/>
      <w:jc w:val="left"/>
      <w:outlineLvl w:val="9"/>
    </w:pPr>
    <w:rPr>
      <w:rFonts w:ascii="Cambria" w:hAnsi="Cambria"/>
      <w:b w:val="0"/>
      <w:bCs/>
      <w:color w:val="365F91"/>
      <w:kern w:val="0"/>
      <w:sz w:val="28"/>
      <w:szCs w:val="28"/>
    </w:rPr>
  </w:style>
  <w:style w:type="paragraph" w:customStyle="1" w:styleId="140">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textAlignment w:val="center"/>
    </w:pPr>
    <w:rPr>
      <w:rFonts w:ascii="宋体" w:hAnsi="宋体" w:cs="宋体"/>
      <w:kern w:val="0"/>
      <w:sz w:val="24"/>
      <w:szCs w:val="24"/>
    </w:rPr>
  </w:style>
  <w:style w:type="paragraph" w:customStyle="1" w:styleId="141">
    <w:name w:val="xl70"/>
    <w:basedOn w:val="1"/>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42">
    <w:name w:val="by"/>
    <w:basedOn w:val="98"/>
    <w:qFormat/>
    <w:uiPriority w:val="0"/>
    <w:pPr>
      <w:autoSpaceDE w:val="0"/>
      <w:autoSpaceDN w:val="0"/>
      <w:adjustRightInd w:val="0"/>
      <w:ind w:left="545" w:leftChars="25" w:right="52" w:rightChars="25" w:hanging="493" w:hangingChars="275"/>
      <w:jc w:val="both"/>
    </w:pPr>
    <w:rPr>
      <w:spacing w:val="2"/>
    </w:rPr>
  </w:style>
  <w:style w:type="paragraph" w:customStyle="1" w:styleId="143">
    <w:name w:val=" 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44">
    <w:name w:val="Default"/>
    <w:unhideWhenUsed/>
    <w:qFormat/>
    <w:uiPriority w:val="0"/>
    <w:pPr>
      <w:widowControl w:val="0"/>
      <w:autoSpaceDE w:val="0"/>
      <w:autoSpaceDN w:val="0"/>
      <w:adjustRightInd w:val="0"/>
    </w:pPr>
    <w:rPr>
      <w:rFonts w:ascii="宋体" w:hAnsi="宋体" w:eastAsia="宋体" w:cs="Times New Roman"/>
      <w:color w:val="000000"/>
      <w:sz w:val="24"/>
      <w:lang w:val="en-US" w:eastAsia="zh-CN" w:bidi="ar-SA"/>
    </w:rPr>
  </w:style>
  <w:style w:type="paragraph" w:customStyle="1" w:styleId="14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FF"/>
      <w:kern w:val="0"/>
      <w:sz w:val="24"/>
      <w:szCs w:val="24"/>
    </w:rPr>
  </w:style>
  <w:style w:type="paragraph" w:customStyle="1" w:styleId="146">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等线" w:hAnsi="等线" w:eastAsia="等线" w:cs="宋体"/>
      <w:color w:val="0000FF"/>
      <w:kern w:val="0"/>
      <w:sz w:val="24"/>
      <w:szCs w:val="24"/>
    </w:rPr>
  </w:style>
  <w:style w:type="paragraph" w:customStyle="1" w:styleId="147">
    <w:name w:val="xl8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48">
    <w:name w:val="xl64"/>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49">
    <w:name w:val=" Char1 Char Char Char Char Char Char Char Char Char Char Char Char Char Char Char Char Char Char Char"/>
    <w:basedOn w:val="1"/>
    <w:qFormat/>
    <w:uiPriority w:val="0"/>
    <w:pPr>
      <w:spacing w:line="360" w:lineRule="auto"/>
    </w:pPr>
    <w:rPr>
      <w:rFonts w:ascii="Calibri" w:hAnsi="Calibri"/>
      <w:szCs w:val="20"/>
    </w:rPr>
  </w:style>
  <w:style w:type="paragraph" w:customStyle="1" w:styleId="150">
    <w:name w:val="xl72"/>
    <w:basedOn w:val="1"/>
    <w:qFormat/>
    <w:uiPriority w:val="0"/>
    <w:pPr>
      <w:widowControl/>
      <w:pBdr>
        <w:right w:val="single" w:color="auto" w:sz="8" w:space="0"/>
      </w:pBdr>
      <w:spacing w:before="100" w:beforeAutospacing="1" w:after="100" w:afterAutospacing="1"/>
      <w:jc w:val="left"/>
    </w:pPr>
    <w:rPr>
      <w:rFonts w:ascii="宋体" w:hAnsi="宋体" w:cs="宋体"/>
      <w:kern w:val="0"/>
      <w:sz w:val="20"/>
      <w:szCs w:val="20"/>
    </w:rPr>
  </w:style>
  <w:style w:type="paragraph" w:customStyle="1" w:styleId="151">
    <w:name w:val="font7"/>
    <w:basedOn w:val="1"/>
    <w:qFormat/>
    <w:uiPriority w:val="0"/>
    <w:pPr>
      <w:widowControl/>
      <w:spacing w:before="100" w:beforeAutospacing="1" w:after="100" w:afterAutospacing="1"/>
      <w:jc w:val="left"/>
    </w:pPr>
    <w:rPr>
      <w:rFonts w:ascii="宋体" w:hAnsi="宋体" w:cs="宋体"/>
      <w:color w:val="333333"/>
      <w:kern w:val="0"/>
      <w:sz w:val="20"/>
      <w:szCs w:val="20"/>
    </w:rPr>
  </w:style>
  <w:style w:type="paragraph" w:customStyle="1" w:styleId="152">
    <w:name w:val="样式2"/>
    <w:basedOn w:val="6"/>
    <w:qFormat/>
    <w:uiPriority w:val="0"/>
    <w:pPr>
      <w:spacing w:line="415" w:lineRule="auto"/>
      <w:ind w:firstLine="137"/>
    </w:pPr>
    <w:rPr>
      <w:rFonts w:hAnsi="Times New Roman"/>
      <w:bCs/>
      <w:i/>
      <w:szCs w:val="28"/>
    </w:rPr>
  </w:style>
  <w:style w:type="paragraph" w:customStyle="1" w:styleId="153">
    <w:name w:val="xl6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54">
    <w:name w:val="中文1"/>
    <w:basedOn w:val="97"/>
    <w:qFormat/>
    <w:uiPriority w:val="0"/>
    <w:pPr>
      <w:ind w:firstLine="371" w:firstLineChars="206"/>
    </w:pPr>
    <w:rPr>
      <w:rFonts w:ascii="宋体" w:hAnsi="宋体"/>
    </w:rPr>
  </w:style>
  <w:style w:type="paragraph" w:customStyle="1" w:styleId="155">
    <w:name w:val="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56">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FF"/>
      <w:kern w:val="0"/>
      <w:sz w:val="24"/>
      <w:szCs w:val="24"/>
    </w:rPr>
  </w:style>
  <w:style w:type="character" w:customStyle="1" w:styleId="157">
    <w:name w:val="icon_db_splc"/>
    <w:basedOn w:val="44"/>
    <w:qFormat/>
    <w:uiPriority w:val="0"/>
  </w:style>
  <w:style w:type="character" w:customStyle="1" w:styleId="158">
    <w:name w:val="批注文字 Char2"/>
    <w:basedOn w:val="44"/>
    <w:semiHidden/>
    <w:qFormat/>
    <w:uiPriority w:val="99"/>
  </w:style>
  <w:style w:type="character" w:customStyle="1" w:styleId="159">
    <w:name w:val="work_dcrw"/>
    <w:qFormat/>
    <w:uiPriority w:val="0"/>
    <w:rPr>
      <w:bdr w:val="single" w:color="DBDBBD" w:sz="6" w:space="0"/>
    </w:rPr>
  </w:style>
  <w:style w:type="character" w:customStyle="1" w:styleId="160">
    <w:name w:val="正文文本 2 Char"/>
    <w:link w:val="35"/>
    <w:qFormat/>
    <w:uiPriority w:val="0"/>
    <w:rPr>
      <w:kern w:val="2"/>
      <w:sz w:val="24"/>
    </w:rPr>
  </w:style>
  <w:style w:type="character" w:customStyle="1" w:styleId="161">
    <w:name w:val="正文首行缩进 Char Char"/>
    <w:link w:val="100"/>
    <w:qFormat/>
    <w:locked/>
    <w:uiPriority w:val="0"/>
    <w:rPr>
      <w:kern w:val="2"/>
      <w:sz w:val="24"/>
      <w:szCs w:val="24"/>
    </w:rPr>
  </w:style>
  <w:style w:type="character" w:customStyle="1" w:styleId="162">
    <w:name w:val="标题 4 Char"/>
    <w:link w:val="7"/>
    <w:qFormat/>
    <w:uiPriority w:val="0"/>
    <w:rPr>
      <w:rFonts w:ascii="Arial" w:hAnsi="Arial" w:eastAsia="黑体"/>
      <w:b/>
      <w:bCs/>
      <w:kern w:val="2"/>
      <w:sz w:val="28"/>
      <w:szCs w:val="28"/>
    </w:rPr>
  </w:style>
  <w:style w:type="character" w:customStyle="1" w:styleId="163">
    <w:name w:val="批注文字 Char"/>
    <w:link w:val="16"/>
    <w:qFormat/>
    <w:uiPriority w:val="0"/>
    <w:rPr>
      <w:rFonts w:eastAsia="宋体"/>
      <w:kern w:val="2"/>
      <w:sz w:val="21"/>
    </w:rPr>
  </w:style>
  <w:style w:type="character" w:customStyle="1" w:styleId="164">
    <w:name w:val="标题 5 Char"/>
    <w:link w:val="8"/>
    <w:qFormat/>
    <w:uiPriority w:val="0"/>
    <w:rPr>
      <w:rFonts w:eastAsia="宋体"/>
      <w:b/>
      <w:bCs/>
      <w:kern w:val="2"/>
      <w:sz w:val="28"/>
      <w:szCs w:val="28"/>
    </w:rPr>
  </w:style>
  <w:style w:type="character" w:customStyle="1" w:styleId="165">
    <w:name w:val="日期 Char2"/>
    <w:qFormat/>
    <w:uiPriority w:val="99"/>
    <w:rPr>
      <w:rFonts w:hint="eastAsia" w:ascii="仿宋_GB2312" w:eastAsia="仿宋_GB2312"/>
      <w:sz w:val="30"/>
    </w:rPr>
  </w:style>
  <w:style w:type="character" w:customStyle="1" w:styleId="166">
    <w:name w:val="icon_db_gys"/>
    <w:basedOn w:val="44"/>
    <w:qFormat/>
    <w:uiPriority w:val="0"/>
  </w:style>
  <w:style w:type="character" w:customStyle="1" w:styleId="167">
    <w:name w:val="标题 Char2"/>
    <w:qFormat/>
    <w:uiPriority w:val="10"/>
    <w:rPr>
      <w:rFonts w:hint="default" w:ascii="Cambria" w:hAnsi="Cambria" w:cs="Times New Roman"/>
      <w:b/>
      <w:bCs/>
      <w:kern w:val="2"/>
      <w:sz w:val="32"/>
      <w:szCs w:val="32"/>
    </w:rPr>
  </w:style>
  <w:style w:type="character" w:customStyle="1" w:styleId="168">
    <w:name w:val="work_zt_xm"/>
    <w:basedOn w:val="44"/>
    <w:qFormat/>
    <w:uiPriority w:val="0"/>
  </w:style>
  <w:style w:type="character" w:customStyle="1" w:styleId="169">
    <w:name w:val="页眉 Char2"/>
    <w:semiHidden/>
    <w:qFormat/>
    <w:uiPriority w:val="99"/>
    <w:rPr>
      <w:kern w:val="2"/>
      <w:sz w:val="18"/>
      <w:szCs w:val="18"/>
    </w:rPr>
  </w:style>
  <w:style w:type="character" w:customStyle="1" w:styleId="170">
    <w:name w:val="正文文本缩进 3 Char"/>
    <w:link w:val="32"/>
    <w:qFormat/>
    <w:uiPriority w:val="0"/>
    <w:rPr>
      <w:rFonts w:ascii="Calibri" w:hAnsi="Calibri" w:eastAsia="宋体"/>
      <w:kern w:val="2"/>
      <w:sz w:val="16"/>
      <w:szCs w:val="16"/>
    </w:rPr>
  </w:style>
  <w:style w:type="character" w:customStyle="1" w:styleId="171">
    <w:name w:val="正文文本缩进 3 Char4"/>
    <w:semiHidden/>
    <w:qFormat/>
    <w:uiPriority w:val="99"/>
    <w:rPr>
      <w:kern w:val="2"/>
      <w:sz w:val="16"/>
      <w:szCs w:val="16"/>
    </w:rPr>
  </w:style>
  <w:style w:type="character" w:customStyle="1" w:styleId="172">
    <w:name w:val="work_zt_ht"/>
    <w:basedOn w:val="44"/>
    <w:qFormat/>
    <w:uiPriority w:val="0"/>
  </w:style>
  <w:style w:type="character" w:customStyle="1" w:styleId="173">
    <w:name w:val="页眉 Char1"/>
    <w:semiHidden/>
    <w:qFormat/>
    <w:uiPriority w:val="99"/>
    <w:rPr>
      <w:sz w:val="18"/>
      <w:szCs w:val="18"/>
    </w:rPr>
  </w:style>
  <w:style w:type="character" w:customStyle="1" w:styleId="174">
    <w:name w:val="zt_tj"/>
    <w:qFormat/>
    <w:uiPriority w:val="0"/>
    <w:rPr>
      <w:color w:val="FFFFFF"/>
      <w:sz w:val="18"/>
      <w:szCs w:val="18"/>
      <w:shd w:val="clear" w:color="auto" w:fill="37B335"/>
    </w:rPr>
  </w:style>
  <w:style w:type="character" w:customStyle="1" w:styleId="175">
    <w:name w:val="正文首行缩进 Char2"/>
    <w:qFormat/>
    <w:uiPriority w:val="99"/>
    <w:rPr>
      <w:rFonts w:hint="eastAsia" w:ascii="仿宋_GB2312" w:eastAsia="仿宋_GB2312"/>
      <w:kern w:val="2"/>
      <w:sz w:val="30"/>
    </w:rPr>
  </w:style>
  <w:style w:type="character" w:customStyle="1" w:styleId="176">
    <w:name w:val="zt_cs"/>
    <w:qFormat/>
    <w:uiPriority w:val="0"/>
    <w:rPr>
      <w:color w:val="FFFFFF"/>
      <w:shd w:val="clear" w:color="auto" w:fill="FF9933"/>
    </w:rPr>
  </w:style>
  <w:style w:type="character" w:customStyle="1" w:styleId="177">
    <w:name w:val="文档结构图 Char2"/>
    <w:semiHidden/>
    <w:qFormat/>
    <w:uiPriority w:val="99"/>
    <w:rPr>
      <w:rFonts w:hint="eastAsia" w:ascii="宋体" w:hAnsi="宋体" w:eastAsia="宋体"/>
      <w:sz w:val="18"/>
      <w:szCs w:val="18"/>
    </w:rPr>
  </w:style>
  <w:style w:type="character" w:customStyle="1" w:styleId="178">
    <w:name w:val="Char Char10"/>
    <w:qFormat/>
    <w:uiPriority w:val="0"/>
    <w:rPr>
      <w:rFonts w:hint="eastAsia" w:ascii="宋体" w:hAnsi="Courier New" w:eastAsia="宋体" w:cs="宋体"/>
      <w:kern w:val="2"/>
      <w:sz w:val="24"/>
      <w:szCs w:val="24"/>
      <w:lang w:val="en-US" w:eastAsia="zh-CN"/>
    </w:rPr>
  </w:style>
  <w:style w:type="character" w:customStyle="1" w:styleId="179">
    <w:name w:val="正文首行缩进 2 Char"/>
    <w:link w:val="41"/>
    <w:qFormat/>
    <w:uiPriority w:val="0"/>
    <w:rPr>
      <w:rFonts w:eastAsia="宋体"/>
      <w:kern w:val="2"/>
      <w:sz w:val="21"/>
      <w:szCs w:val="24"/>
    </w:rPr>
  </w:style>
  <w:style w:type="character" w:customStyle="1" w:styleId="180">
    <w:name w:val="正文文本缩进 2 Char1"/>
    <w:basedOn w:val="44"/>
    <w:semiHidden/>
    <w:qFormat/>
    <w:uiPriority w:val="99"/>
  </w:style>
  <w:style w:type="character" w:customStyle="1" w:styleId="181">
    <w:name w:val="zt_th"/>
    <w:qFormat/>
    <w:uiPriority w:val="0"/>
    <w:rPr>
      <w:color w:val="FFFFFF"/>
      <w:sz w:val="18"/>
      <w:szCs w:val="18"/>
      <w:shd w:val="clear" w:color="auto" w:fill="FF0000"/>
    </w:rPr>
  </w:style>
  <w:style w:type="character" w:customStyle="1" w:styleId="182">
    <w:name w:val="页脚 Char"/>
    <w:link w:val="27"/>
    <w:qFormat/>
    <w:uiPriority w:val="0"/>
    <w:rPr>
      <w:rFonts w:ascii="Calibri" w:hAnsi="Calibri" w:eastAsia="宋体"/>
      <w:kern w:val="2"/>
      <w:sz w:val="18"/>
      <w:szCs w:val="22"/>
    </w:rPr>
  </w:style>
  <w:style w:type="character" w:customStyle="1" w:styleId="183">
    <w:name w:val="批注主题 Char1"/>
    <w:qFormat/>
    <w:uiPriority w:val="0"/>
    <w:rPr>
      <w:rFonts w:hint="eastAsia" w:ascii="仿宋_GB2312" w:eastAsia="仿宋_GB2312"/>
      <w:b/>
      <w:bCs/>
      <w:sz w:val="30"/>
    </w:rPr>
  </w:style>
  <w:style w:type="character" w:customStyle="1" w:styleId="184">
    <w:name w:val="正文文本 3 Char1"/>
    <w:qFormat/>
    <w:uiPriority w:val="0"/>
    <w:rPr>
      <w:rFonts w:hint="eastAsia" w:ascii="仿宋_GB2312" w:eastAsia="仿宋_GB2312"/>
      <w:sz w:val="16"/>
      <w:szCs w:val="16"/>
    </w:rPr>
  </w:style>
  <w:style w:type="character" w:customStyle="1" w:styleId="185">
    <w:name w:val="日期 Char3"/>
    <w:basedOn w:val="44"/>
    <w:semiHidden/>
    <w:qFormat/>
    <w:uiPriority w:val="99"/>
  </w:style>
  <w:style w:type="character" w:customStyle="1" w:styleId="186">
    <w:name w:val="标题 2 Char1"/>
    <w:qFormat/>
    <w:uiPriority w:val="9"/>
    <w:rPr>
      <w:rFonts w:hint="default" w:ascii="Cambria" w:hAnsi="Cambria" w:eastAsia="宋体" w:cs="Times New Roman"/>
      <w:bCs/>
      <w:kern w:val="0"/>
      <w:sz w:val="24"/>
      <w:szCs w:val="24"/>
    </w:rPr>
  </w:style>
  <w:style w:type="character" w:customStyle="1" w:styleId="187">
    <w:name w:val="正文首行缩进 Char3"/>
    <w:basedOn w:val="188"/>
    <w:semiHidden/>
    <w:qFormat/>
    <w:uiPriority w:val="99"/>
  </w:style>
  <w:style w:type="character" w:customStyle="1" w:styleId="188">
    <w:name w:val="正文文本 Char2"/>
    <w:basedOn w:val="44"/>
    <w:semiHidden/>
    <w:qFormat/>
    <w:uiPriority w:val="99"/>
  </w:style>
  <w:style w:type="character" w:customStyle="1" w:styleId="189">
    <w:name w:val="标题 3 Char"/>
    <w:link w:val="6"/>
    <w:qFormat/>
    <w:uiPriority w:val="0"/>
    <w:rPr>
      <w:rFonts w:ascii="黑体" w:hAnsi="Calibri" w:eastAsia="黑体"/>
      <w:kern w:val="2"/>
      <w:sz w:val="28"/>
    </w:rPr>
  </w:style>
  <w:style w:type="character" w:customStyle="1" w:styleId="190">
    <w:name w:val="正文文本缩进 3 Char1"/>
    <w:qFormat/>
    <w:uiPriority w:val="0"/>
    <w:rPr>
      <w:rFonts w:hint="eastAsia" w:ascii="仿宋_GB2312" w:eastAsia="仿宋_GB2312"/>
      <w:sz w:val="16"/>
      <w:szCs w:val="16"/>
    </w:rPr>
  </w:style>
  <w:style w:type="character" w:customStyle="1" w:styleId="191">
    <w:name w:val="正文文本缩进 Char"/>
    <w:link w:val="18"/>
    <w:qFormat/>
    <w:uiPriority w:val="0"/>
    <w:rPr>
      <w:rFonts w:eastAsia="宋体"/>
      <w:kern w:val="2"/>
      <w:sz w:val="21"/>
    </w:rPr>
  </w:style>
  <w:style w:type="character" w:customStyle="1" w:styleId="192">
    <w:name w:val="标题 9 Char"/>
    <w:link w:val="12"/>
    <w:qFormat/>
    <w:uiPriority w:val="0"/>
    <w:rPr>
      <w:rFonts w:ascii="Arial" w:hAnsi="Arial" w:eastAsia="黑体"/>
      <w:sz w:val="21"/>
      <w:szCs w:val="21"/>
    </w:rPr>
  </w:style>
  <w:style w:type="character" w:customStyle="1" w:styleId="193">
    <w:name w:val="font41"/>
    <w:qFormat/>
    <w:uiPriority w:val="0"/>
    <w:rPr>
      <w:rFonts w:hint="eastAsia" w:ascii="宋体" w:hAnsi="宋体" w:eastAsia="宋体" w:cs="宋体"/>
      <w:color w:val="000000"/>
      <w:sz w:val="21"/>
      <w:szCs w:val="21"/>
      <w:u w:val="none"/>
    </w:rPr>
  </w:style>
  <w:style w:type="character" w:customStyle="1" w:styleId="194">
    <w:name w:val="11 Char"/>
    <w:link w:val="93"/>
    <w:qFormat/>
    <w:locked/>
    <w:uiPriority w:val="0"/>
    <w:rPr>
      <w:rFonts w:ascii="Times New Roman" w:hAnsi="宋体"/>
      <w:b/>
      <w:kern w:val="2"/>
      <w:sz w:val="21"/>
      <w:szCs w:val="21"/>
    </w:rPr>
  </w:style>
  <w:style w:type="character" w:customStyle="1" w:styleId="195">
    <w:name w:val="标题 7 Char"/>
    <w:link w:val="10"/>
    <w:qFormat/>
    <w:uiPriority w:val="0"/>
    <w:rPr>
      <w:rFonts w:eastAsia="宋体"/>
      <w:b/>
      <w:bCs/>
      <w:sz w:val="24"/>
    </w:rPr>
  </w:style>
  <w:style w:type="character" w:customStyle="1" w:styleId="196">
    <w:name w:val="style_kwd"/>
    <w:basedOn w:val="44"/>
    <w:qFormat/>
    <w:uiPriority w:val="0"/>
  </w:style>
  <w:style w:type="character" w:customStyle="1" w:styleId="197">
    <w:name w:val="纯文本 Char3"/>
    <w:semiHidden/>
    <w:qFormat/>
    <w:uiPriority w:val="99"/>
    <w:rPr>
      <w:rFonts w:hint="eastAsia" w:ascii="宋体" w:hAnsi="Courier New" w:eastAsia="宋体" w:cs="Courier New"/>
      <w:szCs w:val="21"/>
    </w:rPr>
  </w:style>
  <w:style w:type="character" w:customStyle="1" w:styleId="198">
    <w:name w:val="Char Char13"/>
    <w:qFormat/>
    <w:uiPriority w:val="0"/>
    <w:rPr>
      <w:rFonts w:hint="eastAsia" w:ascii="宋体" w:hAnsi="宋体" w:eastAsia="宋体"/>
      <w:kern w:val="2"/>
      <w:sz w:val="24"/>
      <w:lang w:val="en-US" w:eastAsia="zh-CN" w:bidi="ar-SA"/>
    </w:rPr>
  </w:style>
  <w:style w:type="character" w:customStyle="1" w:styleId="199">
    <w:name w:val="标题 Char1"/>
    <w:qFormat/>
    <w:uiPriority w:val="10"/>
    <w:rPr>
      <w:rFonts w:hint="default" w:ascii="Cambria" w:hAnsi="Cambria" w:eastAsia="宋体" w:cs="Times New Roman"/>
      <w:b/>
      <w:bCs/>
      <w:sz w:val="32"/>
      <w:szCs w:val="32"/>
    </w:rPr>
  </w:style>
  <w:style w:type="character" w:customStyle="1" w:styleId="200">
    <w:name w:val="font21"/>
    <w:qFormat/>
    <w:uiPriority w:val="0"/>
    <w:rPr>
      <w:rFonts w:hint="eastAsia" w:ascii="宋体" w:hAnsi="宋体" w:eastAsia="宋体"/>
      <w:color w:val="000000"/>
      <w:sz w:val="20"/>
      <w:szCs w:val="20"/>
      <w:u w:val="none"/>
    </w:rPr>
  </w:style>
  <w:style w:type="character" w:customStyle="1" w:styleId="201">
    <w:name w:val="正文文本 2 Char1"/>
    <w:qFormat/>
    <w:uiPriority w:val="0"/>
    <w:rPr>
      <w:kern w:val="2"/>
      <w:sz w:val="21"/>
    </w:rPr>
  </w:style>
  <w:style w:type="character" w:customStyle="1" w:styleId="202">
    <w:name w:val="HTML 预设格式 Char"/>
    <w:link w:val="36"/>
    <w:qFormat/>
    <w:uiPriority w:val="0"/>
    <w:rPr>
      <w:rFonts w:ascii="宋体" w:hAnsi="宋体" w:cs="宋体"/>
      <w:sz w:val="24"/>
      <w:szCs w:val="24"/>
    </w:rPr>
  </w:style>
  <w:style w:type="character" w:customStyle="1" w:styleId="203">
    <w:name w:val="work_zt_cgls"/>
    <w:basedOn w:val="44"/>
    <w:qFormat/>
    <w:uiPriority w:val="0"/>
  </w:style>
  <w:style w:type="character" w:customStyle="1" w:styleId="204">
    <w:name w:val="批注主题 Char4"/>
    <w:semiHidden/>
    <w:qFormat/>
    <w:uiPriority w:val="99"/>
    <w:rPr>
      <w:b/>
      <w:bCs/>
      <w:kern w:val="2"/>
      <w:sz w:val="21"/>
    </w:rPr>
  </w:style>
  <w:style w:type="character" w:customStyle="1" w:styleId="205">
    <w:name w:val="纯文本 Char"/>
    <w:link w:val="22"/>
    <w:qFormat/>
    <w:uiPriority w:val="0"/>
    <w:rPr>
      <w:rFonts w:ascii="宋体" w:hAnsi="Calibri"/>
      <w:kern w:val="2"/>
      <w:sz w:val="21"/>
      <w:szCs w:val="22"/>
    </w:rPr>
  </w:style>
  <w:style w:type="character" w:customStyle="1" w:styleId="206">
    <w:name w:val="文档结构图 Char1"/>
    <w:qFormat/>
    <w:uiPriority w:val="0"/>
    <w:rPr>
      <w:rFonts w:hint="eastAsia" w:ascii="宋体" w:hAnsi="宋体" w:eastAsia="宋体"/>
      <w:sz w:val="18"/>
      <w:szCs w:val="18"/>
    </w:rPr>
  </w:style>
  <w:style w:type="character" w:customStyle="1" w:styleId="207">
    <w:name w:val="！正文（四号字） Char Char"/>
    <w:qFormat/>
    <w:uiPriority w:val="0"/>
    <w:rPr>
      <w:rFonts w:hint="default" w:ascii="Times New Roman" w:hAnsi="Times New Roman" w:eastAsia="Times New Roman" w:cs="Times New Roman"/>
      <w:kern w:val="2"/>
      <w:sz w:val="24"/>
      <w:szCs w:val="28"/>
      <w:lang w:val="en-US" w:eastAsia="zh-CN" w:bidi="ar-SA"/>
    </w:rPr>
  </w:style>
  <w:style w:type="character" w:customStyle="1" w:styleId="208">
    <w:name w:val="Char Char12"/>
    <w:qFormat/>
    <w:uiPriority w:val="0"/>
    <w:rPr>
      <w:rFonts w:hint="eastAsia" w:ascii="仿宋_GB2312" w:eastAsia="仿宋_GB2312"/>
      <w:sz w:val="18"/>
    </w:rPr>
  </w:style>
  <w:style w:type="character" w:customStyle="1" w:styleId="209">
    <w:name w:val=" Char Char3"/>
    <w:qFormat/>
    <w:uiPriority w:val="0"/>
    <w:rPr>
      <w:rFonts w:ascii="Arial" w:hAnsi="Arial" w:eastAsia="黑体"/>
      <w:b/>
      <w:bCs/>
      <w:kern w:val="2"/>
      <w:sz w:val="32"/>
      <w:szCs w:val="32"/>
      <w:lang w:val="en-US" w:eastAsia="zh-CN" w:bidi="ar-SA"/>
    </w:rPr>
  </w:style>
  <w:style w:type="character" w:customStyle="1" w:styleId="210">
    <w:name w:val="icon_db_zj"/>
    <w:basedOn w:val="44"/>
    <w:qFormat/>
    <w:uiPriority w:val="0"/>
  </w:style>
  <w:style w:type="character" w:customStyle="1" w:styleId="211">
    <w:name w:val="孙普文字 Char1"/>
    <w:qFormat/>
    <w:uiPriority w:val="0"/>
    <w:rPr>
      <w:rFonts w:hint="eastAsia" w:ascii="宋体" w:hAnsi="Courier New" w:eastAsia="宋体"/>
      <w:kern w:val="2"/>
      <w:sz w:val="21"/>
      <w:lang w:val="en-US" w:eastAsia="zh-CN" w:bidi="ar-SA"/>
    </w:rPr>
  </w:style>
  <w:style w:type="character" w:customStyle="1" w:styleId="212">
    <w:name w:val="纯文本 Char4"/>
    <w:semiHidden/>
    <w:qFormat/>
    <w:uiPriority w:val="99"/>
    <w:rPr>
      <w:rFonts w:hint="eastAsia" w:ascii="宋体" w:hAnsi="Courier New" w:eastAsia="宋体" w:cs="Courier New"/>
      <w:kern w:val="2"/>
      <w:sz w:val="21"/>
      <w:szCs w:val="21"/>
    </w:rPr>
  </w:style>
  <w:style w:type="character" w:customStyle="1" w:styleId="213">
    <w:name w:val="work_zt_splc"/>
    <w:basedOn w:val="44"/>
    <w:qFormat/>
    <w:uiPriority w:val="0"/>
  </w:style>
  <w:style w:type="character" w:customStyle="1" w:styleId="214">
    <w:name w:val="！正文（四号字） Char"/>
    <w:link w:val="110"/>
    <w:qFormat/>
    <w:locked/>
    <w:uiPriority w:val="0"/>
    <w:rPr>
      <w:kern w:val="2"/>
      <w:sz w:val="24"/>
      <w:szCs w:val="28"/>
      <w:lang w:val="en-US" w:eastAsia="zh-CN" w:bidi="ar-SA"/>
    </w:rPr>
  </w:style>
  <w:style w:type="character" w:customStyle="1" w:styleId="215">
    <w:name w:val="正文文本 Char"/>
    <w:qFormat/>
    <w:uiPriority w:val="0"/>
    <w:rPr>
      <w:rFonts w:eastAsia="宋体"/>
      <w:kern w:val="2"/>
      <w:sz w:val="21"/>
      <w:szCs w:val="24"/>
      <w:lang w:val="en-US" w:eastAsia="zh-CN" w:bidi="ar-SA"/>
    </w:rPr>
  </w:style>
  <w:style w:type="character" w:customStyle="1" w:styleId="216">
    <w:name w:val="标题 1 Char"/>
    <w:link w:val="4"/>
    <w:qFormat/>
    <w:uiPriority w:val="0"/>
    <w:rPr>
      <w:rFonts w:eastAsia="宋体"/>
      <w:b/>
      <w:kern w:val="44"/>
      <w:sz w:val="44"/>
    </w:rPr>
  </w:style>
  <w:style w:type="character" w:customStyle="1" w:styleId="217">
    <w:name w:val="font01"/>
    <w:qFormat/>
    <w:uiPriority w:val="0"/>
    <w:rPr>
      <w:rFonts w:ascii="Calibri" w:hAnsi="Calibri" w:cs="Calibri"/>
      <w:color w:val="000000"/>
      <w:sz w:val="21"/>
      <w:szCs w:val="21"/>
      <w:u w:val="none"/>
    </w:rPr>
  </w:style>
  <w:style w:type="character" w:customStyle="1" w:styleId="218">
    <w:name w:val="work_zt_sp"/>
    <w:basedOn w:val="44"/>
    <w:qFormat/>
    <w:uiPriority w:val="0"/>
  </w:style>
  <w:style w:type="character" w:customStyle="1" w:styleId="219">
    <w:name w:val="正文首行缩进 Char"/>
    <w:link w:val="40"/>
    <w:qFormat/>
    <w:uiPriority w:val="0"/>
    <w:rPr>
      <w:rFonts w:eastAsia="宋体"/>
      <w:kern w:val="2"/>
      <w:sz w:val="21"/>
      <w:szCs w:val="24"/>
      <w:lang w:val="en-US" w:eastAsia="zh-CN" w:bidi="ar-SA"/>
    </w:rPr>
  </w:style>
  <w:style w:type="character" w:customStyle="1" w:styleId="220">
    <w:name w:val="标题 2 Char"/>
    <w:link w:val="5"/>
    <w:qFormat/>
    <w:uiPriority w:val="0"/>
    <w:rPr>
      <w:rFonts w:ascii="Arial" w:hAnsi="Arial" w:eastAsia="黑体"/>
      <w:b/>
      <w:kern w:val="2"/>
      <w:sz w:val="32"/>
    </w:rPr>
  </w:style>
  <w:style w:type="character" w:customStyle="1" w:styleId="221">
    <w:name w:val="文档结构图 Char3"/>
    <w:semiHidden/>
    <w:qFormat/>
    <w:uiPriority w:val="99"/>
    <w:rPr>
      <w:rFonts w:hint="eastAsia" w:ascii="宋体" w:hAnsi="宋体" w:eastAsia="宋体"/>
      <w:kern w:val="2"/>
      <w:sz w:val="18"/>
      <w:szCs w:val="18"/>
    </w:rPr>
  </w:style>
  <w:style w:type="character" w:customStyle="1" w:styleId="222">
    <w:name w:val="日期 Char1"/>
    <w:qFormat/>
    <w:uiPriority w:val="0"/>
    <w:rPr>
      <w:rFonts w:hint="default" w:ascii="Times New Roman" w:hAnsi="Times New Roman" w:eastAsia="宋体" w:cs="Times New Roman"/>
      <w:szCs w:val="20"/>
    </w:rPr>
  </w:style>
  <w:style w:type="character" w:customStyle="1" w:styleId="223">
    <w:name w:val="批注主题 Char"/>
    <w:link w:val="39"/>
    <w:qFormat/>
    <w:uiPriority w:val="99"/>
    <w:rPr>
      <w:rFonts w:eastAsia="宋体"/>
      <w:kern w:val="2"/>
      <w:sz w:val="21"/>
    </w:rPr>
  </w:style>
  <w:style w:type="character" w:customStyle="1" w:styleId="224">
    <w:name w:val="批注主题 Char3"/>
    <w:semiHidden/>
    <w:qFormat/>
    <w:uiPriority w:val="99"/>
    <w:rPr>
      <w:b/>
      <w:bCs/>
    </w:rPr>
  </w:style>
  <w:style w:type="character" w:customStyle="1" w:styleId="225">
    <w:name w:val="批注文字 Char3"/>
    <w:semiHidden/>
    <w:qFormat/>
    <w:locked/>
    <w:uiPriority w:val="99"/>
    <w:rPr>
      <w:kern w:val="2"/>
      <w:sz w:val="21"/>
    </w:rPr>
  </w:style>
  <w:style w:type="character" w:customStyle="1" w:styleId="226">
    <w:name w:val="kb_bzt"/>
    <w:qFormat/>
    <w:uiPriority w:val="0"/>
    <w:rPr>
      <w:color w:val="666666"/>
      <w:sz w:val="18"/>
      <w:szCs w:val="18"/>
    </w:rPr>
  </w:style>
  <w:style w:type="character" w:customStyle="1" w:styleId="227">
    <w:name w:val="work_zt_zj"/>
    <w:basedOn w:val="44"/>
    <w:qFormat/>
    <w:uiPriority w:val="0"/>
  </w:style>
  <w:style w:type="character" w:customStyle="1" w:styleId="228">
    <w:name w:val="正文文本 3 Char3"/>
    <w:semiHidden/>
    <w:qFormat/>
    <w:uiPriority w:val="99"/>
    <w:rPr>
      <w:kern w:val="2"/>
      <w:sz w:val="16"/>
      <w:szCs w:val="16"/>
    </w:rPr>
  </w:style>
  <w:style w:type="character" w:customStyle="1" w:styleId="229">
    <w:name w:val="批注文字 Char1"/>
    <w:qFormat/>
    <w:uiPriority w:val="0"/>
    <w:rPr>
      <w:rFonts w:ascii="Times New Roman" w:hAnsi="Times New Roman" w:eastAsia="宋体" w:cs="Times New Roman"/>
      <w:sz w:val="20"/>
      <w:szCs w:val="20"/>
      <w:lang w:bidi="ar-SA"/>
    </w:rPr>
  </w:style>
  <w:style w:type="character" w:customStyle="1" w:styleId="230">
    <w:name w:val="HTML 预设格式 Char2"/>
    <w:semiHidden/>
    <w:qFormat/>
    <w:uiPriority w:val="99"/>
    <w:rPr>
      <w:rFonts w:hint="default" w:ascii="Courier New" w:hAnsi="Courier New" w:cs="Courier New"/>
      <w:sz w:val="20"/>
      <w:szCs w:val="20"/>
    </w:rPr>
  </w:style>
  <w:style w:type="character" w:customStyle="1" w:styleId="231">
    <w:name w:val="editinfortdbg6"/>
    <w:basedOn w:val="44"/>
    <w:qFormat/>
    <w:uiPriority w:val="0"/>
  </w:style>
  <w:style w:type="character" w:customStyle="1" w:styleId="232">
    <w:name w:val="Comment Subject Char"/>
    <w:qFormat/>
    <w:locked/>
    <w:uiPriority w:val="0"/>
    <w:rPr>
      <w:b/>
      <w:bCs/>
      <w:kern w:val="2"/>
      <w:sz w:val="24"/>
      <w:szCs w:val="24"/>
    </w:rPr>
  </w:style>
  <w:style w:type="character" w:customStyle="1" w:styleId="233">
    <w:name w:val="日期 Char"/>
    <w:link w:val="24"/>
    <w:qFormat/>
    <w:uiPriority w:val="0"/>
    <w:rPr>
      <w:rFonts w:eastAsia="宋体"/>
      <w:kern w:val="2"/>
      <w:sz w:val="21"/>
    </w:rPr>
  </w:style>
  <w:style w:type="character" w:customStyle="1" w:styleId="234">
    <w:name w:val="正文文本 3 Char2"/>
    <w:semiHidden/>
    <w:qFormat/>
    <w:uiPriority w:val="99"/>
    <w:rPr>
      <w:sz w:val="16"/>
      <w:szCs w:val="16"/>
    </w:rPr>
  </w:style>
  <w:style w:type="character" w:customStyle="1" w:styleId="235">
    <w:name w:val="正文文本 Char1"/>
    <w:link w:val="2"/>
    <w:qFormat/>
    <w:uiPriority w:val="99"/>
    <w:rPr>
      <w:rFonts w:eastAsia="宋体"/>
      <w:kern w:val="2"/>
      <w:sz w:val="21"/>
    </w:rPr>
  </w:style>
  <w:style w:type="character" w:customStyle="1" w:styleId="236">
    <w:name w:val="正文文本缩进 Char3"/>
    <w:semiHidden/>
    <w:qFormat/>
    <w:locked/>
    <w:uiPriority w:val="99"/>
    <w:rPr>
      <w:kern w:val="2"/>
      <w:sz w:val="21"/>
    </w:rPr>
  </w:style>
  <w:style w:type="character" w:customStyle="1" w:styleId="237">
    <w:name w:val="页脚 Char1"/>
    <w:semiHidden/>
    <w:qFormat/>
    <w:uiPriority w:val="99"/>
    <w:rPr>
      <w:sz w:val="18"/>
      <w:szCs w:val="18"/>
    </w:rPr>
  </w:style>
  <w:style w:type="character" w:customStyle="1" w:styleId="238">
    <w:name w:val="正文首行缩进 2 Char1"/>
    <w:qFormat/>
    <w:uiPriority w:val="0"/>
    <w:rPr>
      <w:rFonts w:hint="eastAsia" w:ascii="宋体" w:hAnsi="宋体" w:eastAsia="仿宋_GB2312"/>
      <w:sz w:val="30"/>
      <w:szCs w:val="28"/>
    </w:rPr>
  </w:style>
  <w:style w:type="character" w:customStyle="1" w:styleId="239">
    <w:name w:val="正文文本 Char3"/>
    <w:semiHidden/>
    <w:qFormat/>
    <w:uiPriority w:val="99"/>
    <w:rPr>
      <w:kern w:val="2"/>
      <w:sz w:val="21"/>
    </w:rPr>
  </w:style>
  <w:style w:type="character" w:customStyle="1" w:styleId="240">
    <w:name w:val="Char Char22"/>
    <w:qFormat/>
    <w:uiPriority w:val="0"/>
    <w:rPr>
      <w:rFonts w:hint="default" w:ascii="Arial" w:hAnsi="Arial" w:eastAsia="黑体" w:cs="Arial"/>
      <w:b/>
      <w:bCs/>
      <w:kern w:val="2"/>
      <w:sz w:val="32"/>
      <w:szCs w:val="32"/>
      <w:lang w:val="en-US" w:eastAsia="zh-CN" w:bidi="ar-SA"/>
    </w:rPr>
  </w:style>
  <w:style w:type="character" w:customStyle="1" w:styleId="241">
    <w:name w:val="批注主题 Char2"/>
    <w:qFormat/>
    <w:uiPriority w:val="99"/>
    <w:rPr>
      <w:rFonts w:hint="eastAsia" w:ascii="仿宋_GB2312" w:eastAsia="仿宋_GB2312"/>
      <w:b/>
      <w:bCs/>
      <w:sz w:val="30"/>
    </w:rPr>
  </w:style>
  <w:style w:type="character" w:customStyle="1" w:styleId="242">
    <w:name w:val="正文文本缩进 Char1"/>
    <w:qFormat/>
    <w:uiPriority w:val="99"/>
  </w:style>
  <w:style w:type="character" w:customStyle="1" w:styleId="243">
    <w:name w:val="正文文本缩进 3 Char2"/>
    <w:qFormat/>
    <w:uiPriority w:val="99"/>
    <w:rPr>
      <w:rFonts w:hint="eastAsia" w:ascii="仿宋_GB2312" w:eastAsia="仿宋_GB2312"/>
      <w:sz w:val="16"/>
      <w:szCs w:val="16"/>
    </w:rPr>
  </w:style>
  <w:style w:type="character" w:customStyle="1" w:styleId="244">
    <w:name w:val="font161"/>
    <w:qFormat/>
    <w:uiPriority w:val="0"/>
    <w:rPr>
      <w:b/>
      <w:bCs/>
      <w:sz w:val="32"/>
      <w:szCs w:val="32"/>
    </w:rPr>
  </w:style>
  <w:style w:type="character" w:customStyle="1" w:styleId="245">
    <w:name w:val="正文首行缩进 Char4"/>
    <w:semiHidden/>
    <w:qFormat/>
    <w:uiPriority w:val="99"/>
    <w:rPr>
      <w:kern w:val="2"/>
      <w:sz w:val="21"/>
    </w:rPr>
  </w:style>
  <w:style w:type="character" w:customStyle="1" w:styleId="246">
    <w:name w:val="正文文本 2 Char3"/>
    <w:semiHidden/>
    <w:qFormat/>
    <w:uiPriority w:val="99"/>
    <w:rPr>
      <w:kern w:val="2"/>
      <w:sz w:val="21"/>
    </w:rPr>
  </w:style>
  <w:style w:type="character" w:customStyle="1" w:styleId="247">
    <w:name w:val="HTML 预设格式 Char1"/>
    <w:qFormat/>
    <w:uiPriority w:val="0"/>
    <w:rPr>
      <w:rFonts w:hint="default" w:ascii="Courier New" w:hAnsi="Courier New" w:cs="Courier New"/>
      <w:kern w:val="2"/>
    </w:rPr>
  </w:style>
  <w:style w:type="character" w:customStyle="1" w:styleId="248">
    <w:name w:val="font11"/>
    <w:qFormat/>
    <w:uiPriority w:val="0"/>
    <w:rPr>
      <w:rFonts w:hint="eastAsia" w:ascii="宋体" w:hAnsi="宋体" w:eastAsia="宋体" w:cs="宋体"/>
      <w:color w:val="FF0000"/>
      <w:sz w:val="21"/>
      <w:szCs w:val="21"/>
      <w:u w:val="none"/>
    </w:rPr>
  </w:style>
  <w:style w:type="character" w:customStyle="1" w:styleId="249">
    <w:name w:val="work_zt_cg"/>
    <w:basedOn w:val="44"/>
    <w:qFormat/>
    <w:uiPriority w:val="0"/>
  </w:style>
  <w:style w:type="character" w:customStyle="1" w:styleId="250">
    <w:name w:val="kb_bzt1"/>
    <w:qFormat/>
    <w:uiPriority w:val="0"/>
    <w:rPr>
      <w:sz w:val="19"/>
      <w:szCs w:val="19"/>
    </w:rPr>
  </w:style>
  <w:style w:type="character" w:customStyle="1" w:styleId="251">
    <w:name w:val="icon_db_ht"/>
    <w:basedOn w:val="44"/>
    <w:qFormat/>
    <w:uiPriority w:val="0"/>
  </w:style>
  <w:style w:type="character" w:customStyle="1" w:styleId="252">
    <w:name w:val="icon_db_cgls"/>
    <w:basedOn w:val="44"/>
    <w:qFormat/>
    <w:uiPriority w:val="0"/>
  </w:style>
  <w:style w:type="character" w:customStyle="1" w:styleId="253">
    <w:name w:val="font31"/>
    <w:qFormat/>
    <w:uiPriority w:val="0"/>
    <w:rPr>
      <w:rFonts w:hint="eastAsia" w:ascii="宋体" w:hAnsi="宋体" w:eastAsia="宋体" w:cs="宋体"/>
      <w:color w:val="FF0000"/>
      <w:sz w:val="21"/>
      <w:szCs w:val="21"/>
      <w:u w:val="none"/>
    </w:rPr>
  </w:style>
  <w:style w:type="character" w:customStyle="1" w:styleId="254">
    <w:name w:val="页眉 Char"/>
    <w:link w:val="28"/>
    <w:qFormat/>
    <w:uiPriority w:val="0"/>
    <w:rPr>
      <w:rFonts w:eastAsia="宋体"/>
      <w:kern w:val="2"/>
      <w:sz w:val="18"/>
    </w:rPr>
  </w:style>
  <w:style w:type="character" w:customStyle="1" w:styleId="255">
    <w:name w:val="work_zt_gys"/>
    <w:basedOn w:val="44"/>
    <w:qFormat/>
    <w:uiPriority w:val="0"/>
  </w:style>
  <w:style w:type="character" w:customStyle="1" w:styleId="256">
    <w:name w:val="icon_pbywc"/>
    <w:basedOn w:val="44"/>
    <w:qFormat/>
    <w:uiPriority w:val="0"/>
  </w:style>
  <w:style w:type="character" w:customStyle="1" w:styleId="257">
    <w:name w:val=" Char Char5"/>
    <w:qFormat/>
    <w:uiPriority w:val="0"/>
    <w:rPr>
      <w:rFonts w:ascii="宋体" w:hAnsi="Courier New" w:eastAsia="宋体"/>
      <w:kern w:val="2"/>
      <w:sz w:val="21"/>
      <w:lang w:val="en-US" w:eastAsia="zh-CN" w:bidi="ar-SA"/>
    </w:rPr>
  </w:style>
  <w:style w:type="character" w:customStyle="1" w:styleId="258">
    <w:name w:val="无间隔 Char"/>
    <w:link w:val="59"/>
    <w:qFormat/>
    <w:locked/>
    <w:uiPriority w:val="1"/>
    <w:rPr>
      <w:kern w:val="2"/>
      <w:sz w:val="24"/>
      <w:lang w:val="en-US" w:eastAsia="zh-CN" w:bidi="ar-SA"/>
    </w:rPr>
  </w:style>
  <w:style w:type="character" w:customStyle="1" w:styleId="259">
    <w:name w:val="标题 8 Char"/>
    <w:link w:val="11"/>
    <w:qFormat/>
    <w:uiPriority w:val="0"/>
    <w:rPr>
      <w:rFonts w:ascii="Arial" w:hAnsi="Arial" w:eastAsia="黑体"/>
      <w:sz w:val="24"/>
    </w:rPr>
  </w:style>
  <w:style w:type="character" w:customStyle="1" w:styleId="260">
    <w:name w:val="h Char1"/>
    <w:qFormat/>
    <w:locked/>
    <w:uiPriority w:val="0"/>
    <w:rPr>
      <w:rFonts w:hint="eastAsia" w:ascii="仿宋_GB2312" w:eastAsia="仿宋_GB2312"/>
      <w:sz w:val="18"/>
    </w:rPr>
  </w:style>
  <w:style w:type="character" w:customStyle="1" w:styleId="261">
    <w:name w:val="批注框文本 Char"/>
    <w:link w:val="26"/>
    <w:qFormat/>
    <w:uiPriority w:val="99"/>
    <w:rPr>
      <w:rFonts w:eastAsia="宋体"/>
      <w:kern w:val="2"/>
      <w:sz w:val="18"/>
    </w:rPr>
  </w:style>
  <w:style w:type="character" w:customStyle="1" w:styleId="262">
    <w:name w:val="HTML 预设格式 Char3"/>
    <w:semiHidden/>
    <w:qFormat/>
    <w:uiPriority w:val="99"/>
    <w:rPr>
      <w:rFonts w:hint="default" w:ascii="Courier New" w:hAnsi="Courier New" w:cs="Courier New"/>
      <w:kern w:val="2"/>
    </w:rPr>
  </w:style>
  <w:style w:type="character" w:customStyle="1" w:styleId="263">
    <w:name w:val="Comment Text Char"/>
    <w:qFormat/>
    <w:uiPriority w:val="0"/>
  </w:style>
  <w:style w:type="character" w:customStyle="1" w:styleId="264">
    <w:name w:val="纯文本 Char2"/>
    <w:qFormat/>
    <w:uiPriority w:val="0"/>
    <w:rPr>
      <w:rFonts w:hint="eastAsia" w:ascii="宋体" w:hAnsi="Courier New" w:eastAsia="宋体"/>
      <w:kern w:val="2"/>
      <w:sz w:val="21"/>
      <w:lang w:val="en-US" w:eastAsia="zh-CN" w:bidi="ar-SA"/>
    </w:rPr>
  </w:style>
  <w:style w:type="character" w:customStyle="1" w:styleId="265">
    <w:name w:val="正文文本缩进 2 Char"/>
    <w:link w:val="25"/>
    <w:qFormat/>
    <w:uiPriority w:val="0"/>
    <w:rPr>
      <w:kern w:val="2"/>
      <w:sz w:val="28"/>
      <w:szCs w:val="22"/>
    </w:rPr>
  </w:style>
  <w:style w:type="character" w:customStyle="1" w:styleId="266">
    <w:name w:val="kb_bmc"/>
    <w:basedOn w:val="44"/>
    <w:qFormat/>
    <w:uiPriority w:val="0"/>
  </w:style>
  <w:style w:type="character" w:customStyle="1" w:styleId="267">
    <w:name w:val="t_rw"/>
    <w:qFormat/>
    <w:uiPriority w:val="0"/>
    <w:rPr>
      <w:b/>
      <w:sz w:val="25"/>
      <w:szCs w:val="25"/>
    </w:rPr>
  </w:style>
  <w:style w:type="character" w:customStyle="1" w:styleId="268">
    <w:name w:val="Footer-Even Char1"/>
    <w:qFormat/>
    <w:locked/>
    <w:uiPriority w:val="0"/>
    <w:rPr>
      <w:rFonts w:hint="eastAsia" w:ascii="仿宋_GB2312" w:eastAsia="仿宋_GB2312"/>
      <w:sz w:val="18"/>
    </w:rPr>
  </w:style>
  <w:style w:type="character" w:customStyle="1" w:styleId="269">
    <w:name w:val="正文文本缩进 2 Char2"/>
    <w:semiHidden/>
    <w:qFormat/>
    <w:uiPriority w:val="99"/>
    <w:rPr>
      <w:kern w:val="2"/>
      <w:sz w:val="21"/>
    </w:rPr>
  </w:style>
  <w:style w:type="character" w:customStyle="1" w:styleId="270">
    <w:name w:val="批注框文本 Char1"/>
    <w:semiHidden/>
    <w:qFormat/>
    <w:uiPriority w:val="99"/>
    <w:rPr>
      <w:kern w:val="2"/>
      <w:sz w:val="18"/>
      <w:szCs w:val="18"/>
    </w:rPr>
  </w:style>
  <w:style w:type="character" w:customStyle="1" w:styleId="271">
    <w:name w:val=" Char Char12"/>
    <w:qFormat/>
    <w:uiPriority w:val="0"/>
    <w:rPr>
      <w:rFonts w:ascii="Arial" w:hAnsi="Arial" w:eastAsia="黑体"/>
      <w:b/>
      <w:bCs/>
      <w:kern w:val="2"/>
      <w:sz w:val="32"/>
      <w:szCs w:val="32"/>
      <w:lang w:val="en-US" w:eastAsia="zh-CN" w:bidi="ar-SA"/>
    </w:rPr>
  </w:style>
  <w:style w:type="character" w:customStyle="1" w:styleId="272">
    <w:name w:val="kb_bmc1"/>
    <w:qFormat/>
    <w:uiPriority w:val="0"/>
    <w:rPr>
      <w:color w:val="666666"/>
      <w:sz w:val="19"/>
      <w:szCs w:val="19"/>
    </w:rPr>
  </w:style>
  <w:style w:type="character" w:customStyle="1" w:styleId="273">
    <w:name w:val="icon_db_cg"/>
    <w:basedOn w:val="44"/>
    <w:qFormat/>
    <w:uiPriority w:val="0"/>
  </w:style>
  <w:style w:type="character" w:customStyle="1" w:styleId="274">
    <w:name w:val="Char Char11"/>
    <w:qFormat/>
    <w:uiPriority w:val="0"/>
    <w:rPr>
      <w:kern w:val="2"/>
      <w:sz w:val="26"/>
    </w:rPr>
  </w:style>
  <w:style w:type="character" w:customStyle="1" w:styleId="275">
    <w:name w:val="正文文本 2 Char2"/>
    <w:basedOn w:val="44"/>
    <w:semiHidden/>
    <w:qFormat/>
    <w:uiPriority w:val="99"/>
  </w:style>
  <w:style w:type="character" w:customStyle="1" w:styleId="276">
    <w:name w:val="正文文本 3 Char"/>
    <w:link w:val="17"/>
    <w:qFormat/>
    <w:uiPriority w:val="0"/>
    <w:rPr>
      <w:rFonts w:ascii="宋体" w:hAnsi="Calibri" w:eastAsia="宋体"/>
      <w:kern w:val="2"/>
      <w:sz w:val="24"/>
    </w:rPr>
  </w:style>
  <w:style w:type="character" w:customStyle="1" w:styleId="277">
    <w:name w:val="标题 Char"/>
    <w:link w:val="3"/>
    <w:qFormat/>
    <w:uiPriority w:val="10"/>
    <w:rPr>
      <w:rFonts w:ascii="Arial" w:hAnsi="Arial" w:eastAsia="宋体"/>
      <w:b/>
      <w:sz w:val="32"/>
    </w:rPr>
  </w:style>
  <w:style w:type="character" w:customStyle="1" w:styleId="278">
    <w:name w:val="纯文本 Char1"/>
    <w:qFormat/>
    <w:locked/>
    <w:uiPriority w:val="0"/>
    <w:rPr>
      <w:rFonts w:ascii="宋体" w:hAnsi="Courier New"/>
      <w:kern w:val="2"/>
      <w:sz w:val="21"/>
    </w:rPr>
  </w:style>
  <w:style w:type="character" w:customStyle="1" w:styleId="279">
    <w:name w:val="正文文本缩进 Char2"/>
    <w:basedOn w:val="44"/>
    <w:semiHidden/>
    <w:qFormat/>
    <w:uiPriority w:val="99"/>
  </w:style>
  <w:style w:type="character" w:customStyle="1" w:styleId="280">
    <w:name w:val="正文首行缩进 2 Char2"/>
    <w:basedOn w:val="279"/>
    <w:semiHidden/>
    <w:qFormat/>
    <w:uiPriority w:val="99"/>
  </w:style>
  <w:style w:type="character" w:customStyle="1" w:styleId="281">
    <w:name w:val="Char Char3"/>
    <w:qFormat/>
    <w:uiPriority w:val="0"/>
    <w:rPr>
      <w:rFonts w:hint="default" w:ascii="Arial" w:hAnsi="Arial" w:eastAsia="黑体" w:cs="Arial"/>
      <w:b/>
      <w:bCs/>
      <w:kern w:val="2"/>
      <w:sz w:val="32"/>
      <w:szCs w:val="32"/>
      <w:lang w:val="en-US" w:eastAsia="zh-CN" w:bidi="ar-SA"/>
    </w:rPr>
  </w:style>
  <w:style w:type="character" w:customStyle="1" w:styleId="282">
    <w:name w:val="正文文本缩进 3 Char3"/>
    <w:semiHidden/>
    <w:qFormat/>
    <w:uiPriority w:val="99"/>
    <w:rPr>
      <w:sz w:val="16"/>
      <w:szCs w:val="16"/>
    </w:rPr>
  </w:style>
  <w:style w:type="character" w:customStyle="1" w:styleId="283">
    <w:name w:val="日期 Char4"/>
    <w:semiHidden/>
    <w:qFormat/>
    <w:uiPriority w:val="99"/>
    <w:rPr>
      <w:kern w:val="2"/>
      <w:sz w:val="21"/>
    </w:rPr>
  </w:style>
  <w:style w:type="character" w:customStyle="1" w:styleId="284">
    <w:name w:val="文档结构图 Char"/>
    <w:link w:val="15"/>
    <w:qFormat/>
    <w:uiPriority w:val="0"/>
    <w:rPr>
      <w:rFonts w:ascii="宋体" w:hAnsi="Calibri" w:eastAsia="宋体" w:cs="宋体"/>
      <w:kern w:val="2"/>
      <w:sz w:val="18"/>
      <w:szCs w:val="18"/>
    </w:rPr>
  </w:style>
  <w:style w:type="character" w:customStyle="1" w:styleId="285">
    <w:name w:val="正文首行缩进 2 Char3"/>
    <w:semiHidden/>
    <w:qFormat/>
    <w:uiPriority w:val="99"/>
    <w:rPr>
      <w:kern w:val="2"/>
      <w:sz w:val="21"/>
    </w:rPr>
  </w:style>
  <w:style w:type="character" w:customStyle="1" w:styleId="286">
    <w:name w:val="标题 6 Char"/>
    <w:link w:val="9"/>
    <w:qFormat/>
    <w:uiPriority w:val="0"/>
    <w:rPr>
      <w:rFonts w:ascii="Arial" w:hAnsi="Arial" w:eastAsia="黑体"/>
      <w:b/>
      <w:bCs/>
      <w:sz w:val="24"/>
    </w:rPr>
  </w:style>
  <w:style w:type="character" w:customStyle="1" w:styleId="287">
    <w:name w:val="页脚 Char2"/>
    <w:semiHidden/>
    <w:qFormat/>
    <w:uiPriority w:val="99"/>
    <w:rPr>
      <w:kern w:val="2"/>
      <w:sz w:val="18"/>
      <w:szCs w:val="18"/>
    </w:rPr>
  </w:style>
  <w:style w:type="character" w:customStyle="1" w:styleId="288">
    <w:name w:val="zt_zc"/>
    <w:qFormat/>
    <w:uiPriority w:val="0"/>
    <w:rPr>
      <w:color w:val="FFFFFF"/>
      <w:shd w:val="clear" w:color="auto" w:fill="4CBF4A"/>
    </w:rPr>
  </w:style>
  <w:style w:type="character" w:customStyle="1" w:styleId="289">
    <w:name w:val="正文首行缩进 Char1"/>
    <w:qFormat/>
    <w:uiPriority w:val="0"/>
    <w:rPr>
      <w:rFonts w:eastAsia="宋体"/>
      <w:kern w:val="2"/>
      <w:sz w:val="21"/>
    </w:rPr>
  </w:style>
  <w:style w:type="character" w:customStyle="1" w:styleId="290">
    <w:name w:val="Char Char5"/>
    <w:qFormat/>
    <w:uiPriority w:val="0"/>
    <w:rPr>
      <w:rFonts w:hint="eastAsia" w:ascii="宋体" w:hAnsi="Courier New" w:eastAsia="宋体"/>
      <w:kern w:val="2"/>
      <w:sz w:val="21"/>
      <w:lang w:val="en-US" w:eastAsia="zh-CN" w:bidi="ar-SA"/>
    </w:rPr>
  </w:style>
  <w:style w:type="table" w:customStyle="1" w:styleId="291">
    <w:name w:val="TableGrid"/>
    <w:qFormat/>
    <w:uiPriority w:val="0"/>
    <w:rPr>
      <w:lang w:val="en-US" w:eastAsia="zh-CN" w:bidi="ar-S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f452ada-2e2a-4fa7-8976-5eda16cc2293}"/>
        <w:style w:val=""/>
        <w:category>
          <w:name w:val="常规"/>
          <w:gallery w:val="placeholder"/>
        </w:category>
        <w:types>
          <w:type w:val="bbPlcHdr"/>
        </w:types>
        <w:behaviors>
          <w:behavior w:val="content"/>
        </w:behaviors>
        <w:description w:val=""/>
        <w:guid w:val="{af452ada-2e2a-4fa7-8976-5eda16cc2293}"/>
      </w:docPartPr>
      <w:docPartBody>
        <w:p w14:paraId="6E5C17A2">
          <w:r>
            <w:rPr>
              <w:color w:val="808080"/>
            </w:rPr>
            <w:t>单击此处输入文字。</w:t>
          </w:r>
        </w:p>
      </w:docPartBody>
    </w:docPart>
    <w:docPart>
      <w:docPartPr>
        <w:name w:val="{248b572f-7e15-48e9-b2df-86ad540521c3}"/>
        <w:style w:val=""/>
        <w:category>
          <w:name w:val="常规"/>
          <w:gallery w:val="placeholder"/>
        </w:category>
        <w:types>
          <w:type w:val="bbPlcHdr"/>
        </w:types>
        <w:behaviors>
          <w:behavior w:val="content"/>
        </w:behaviors>
        <w:description w:val=""/>
        <w:guid w:val="{248b572f-7e15-48e9-b2df-86ad540521c3}"/>
      </w:docPartPr>
      <w:docPartBody>
        <w:p w14:paraId="467B0032">
          <w:r>
            <w:rPr>
              <w:color w:val="808080"/>
            </w:rPr>
            <w:t>单击此处输入文字。</w:t>
          </w:r>
        </w:p>
      </w:docPartBody>
    </w:docPart>
    <w:docPart>
      <w:docPartPr>
        <w:name w:val="{6f8468de-a7cd-4890-8d4c-ca38c6f7ea7b}"/>
        <w:style w:val=""/>
        <w:category>
          <w:name w:val="常规"/>
          <w:gallery w:val="placeholder"/>
        </w:category>
        <w:types>
          <w:type w:val="bbPlcHdr"/>
        </w:types>
        <w:behaviors>
          <w:behavior w:val="content"/>
        </w:behaviors>
        <w:description w:val=""/>
        <w:guid w:val="{6f8468de-a7cd-4890-8d4c-ca38c6f7ea7b}"/>
      </w:docPartPr>
      <w:docPartBody>
        <w:p w14:paraId="1F80A027">
          <w:r>
            <w:rPr>
              <w:color w:val="808080"/>
            </w:rPr>
            <w:t>单击此处输入文字。</w:t>
          </w:r>
        </w:p>
      </w:docPartBody>
    </w:docPart>
    <w:docPart>
      <w:docPartPr>
        <w:name w:val="{38313ada-e7fc-45ff-8b83-635da07c8132}"/>
        <w:style w:val=""/>
        <w:category>
          <w:name w:val="常规"/>
          <w:gallery w:val="placeholder"/>
        </w:category>
        <w:types>
          <w:type w:val="bbPlcHdr"/>
        </w:types>
        <w:behaviors>
          <w:behavior w:val="content"/>
        </w:behaviors>
        <w:description w:val=""/>
        <w:guid w:val="{38313ada-e7fc-45ff-8b83-635da07c8132}"/>
      </w:docPartPr>
      <w:docPartBody>
        <w:p w14:paraId="29094839">
          <w:r>
            <w:rPr>
              <w:color w:val="808080"/>
            </w:rPr>
            <w:t>单击此处输入文字。</w:t>
          </w:r>
        </w:p>
      </w:docPartBody>
    </w:docPart>
    <w:docPart>
      <w:docPartPr>
        <w:name w:val="{8d58870b-617f-4119-933d-0284d8f4d59e}"/>
        <w:style w:val=""/>
        <w:category>
          <w:name w:val="常规"/>
          <w:gallery w:val="placeholder"/>
        </w:category>
        <w:types>
          <w:type w:val="bbPlcHdr"/>
        </w:types>
        <w:behaviors>
          <w:behavior w:val="content"/>
        </w:behaviors>
        <w:description w:val=""/>
        <w:guid w:val="{8d58870b-617f-4119-933d-0284d8f4d59e}"/>
      </w:docPartPr>
      <w:docPartBody>
        <w:p w14:paraId="434F9767">
          <w:r>
            <w:rPr>
              <w:color w:val="808080"/>
            </w:rPr>
            <w:t>单击此处输入文字。</w:t>
          </w:r>
        </w:p>
      </w:docPartBody>
    </w:docPart>
    <w:docPart>
      <w:docPartPr>
        <w:name w:val="{e894ff84-3940-4f9f-a601-7cd44153abe2}"/>
        <w:style w:val=""/>
        <w:category>
          <w:name w:val="常规"/>
          <w:gallery w:val="placeholder"/>
        </w:category>
        <w:types>
          <w:type w:val="bbPlcHdr"/>
        </w:types>
        <w:behaviors>
          <w:behavior w:val="content"/>
        </w:behaviors>
        <w:description w:val=""/>
        <w:guid w:val="{e894ff84-3940-4f9f-a601-7cd44153abe2}"/>
      </w:docPartPr>
      <w:docPartBody>
        <w:p w14:paraId="1B38219D">
          <w:r>
            <w:rPr>
              <w:color w:val="808080"/>
            </w:rPr>
            <w:t>单击此处输入文字。</w:t>
          </w:r>
        </w:p>
      </w:docPartBody>
    </w:docPart>
    <w:docPart>
      <w:docPartPr>
        <w:name w:val="{beb577b3-4147-4933-8362-4fdcbfc29b10}"/>
        <w:style w:val=""/>
        <w:category>
          <w:name w:val="常规"/>
          <w:gallery w:val="placeholder"/>
        </w:category>
        <w:types>
          <w:type w:val="bbPlcHdr"/>
        </w:types>
        <w:behaviors>
          <w:behavior w:val="content"/>
        </w:behaviors>
        <w:description w:val=""/>
        <w:guid w:val="{beb577b3-4147-4933-8362-4fdcbfc29b10}"/>
      </w:docPartPr>
      <w:docPartBody>
        <w:p w14:paraId="09B51FFB">
          <w:r>
            <w:rPr>
              <w:color w:val="808080"/>
            </w:rPr>
            <w:t>单击此处输入文字。</w:t>
          </w:r>
        </w:p>
      </w:docPartBody>
    </w:docPart>
    <w:docPart>
      <w:docPartPr>
        <w:name w:val="{99ecdf11-2d9f-44a7-be03-79864d69fa45}"/>
        <w:style w:val=""/>
        <w:category>
          <w:name w:val="常规"/>
          <w:gallery w:val="placeholder"/>
        </w:category>
        <w:types>
          <w:type w:val="bbPlcHdr"/>
        </w:types>
        <w:behaviors>
          <w:behavior w:val="content"/>
        </w:behaviors>
        <w:description w:val=""/>
        <w:guid w:val="{99ecdf11-2d9f-44a7-be03-79864d69fa45}"/>
      </w:docPartPr>
      <w:docPartBody>
        <w:p w14:paraId="64422EFD">
          <w:r>
            <w:rPr>
              <w:color w:val="808080"/>
            </w:rPr>
            <w:t>单击此处输入文字。</w:t>
          </w:r>
        </w:p>
      </w:docPartBody>
    </w:docPart>
    <w:docPart>
      <w:docPartPr>
        <w:name w:val="{d459e11c-a76e-4950-8ab0-f5d4f4a8772e}"/>
        <w:style w:val=""/>
        <w:category>
          <w:name w:val="常规"/>
          <w:gallery w:val="placeholder"/>
        </w:category>
        <w:types>
          <w:type w:val="bbPlcHdr"/>
        </w:types>
        <w:behaviors>
          <w:behavior w:val="content"/>
        </w:behaviors>
        <w:description w:val=""/>
        <w:guid w:val="{d459e11c-a76e-4950-8ab0-f5d4f4a8772e}"/>
      </w:docPartPr>
      <w:docPartBody>
        <w:p w14:paraId="28B8F8A8">
          <w:r>
            <w:rPr>
              <w:color w:val="808080"/>
            </w:rPr>
            <w:t>单击此处输入文字。</w:t>
          </w:r>
        </w:p>
      </w:docPartBody>
    </w:docPart>
    <w:docPart>
      <w:docPartPr>
        <w:name w:val="{9c13321e-2644-403b-9868-b6f365c36eee}"/>
        <w:style w:val=""/>
        <w:category>
          <w:name w:val="常规"/>
          <w:gallery w:val="placeholder"/>
        </w:category>
        <w:types>
          <w:type w:val="bbPlcHdr"/>
        </w:types>
        <w:behaviors>
          <w:behavior w:val="content"/>
        </w:behaviors>
        <w:description w:val=""/>
        <w:guid w:val="{9c13321e-2644-403b-9868-b6f365c36eee}"/>
      </w:docPartPr>
      <w:docPartBody>
        <w:p w14:paraId="053803EB">
          <w:r>
            <w:rPr>
              <w:color w:val="808080"/>
            </w:rPr>
            <w:t>单击此处输入文字。</w:t>
          </w:r>
        </w:p>
      </w:docPartBody>
    </w:docPart>
    <w:docPart>
      <w:docPartPr>
        <w:name w:val="{14cac6ef-6dec-4cfb-8c4e-abb30a85d9fb}"/>
        <w:style w:val=""/>
        <w:category>
          <w:name w:val="常规"/>
          <w:gallery w:val="placeholder"/>
        </w:category>
        <w:types>
          <w:type w:val="bbPlcHdr"/>
        </w:types>
        <w:behaviors>
          <w:behavior w:val="content"/>
        </w:behaviors>
        <w:description w:val=""/>
        <w:guid w:val="{14cac6ef-6dec-4cfb-8c4e-abb30a85d9fb}"/>
      </w:docPartPr>
      <w:docPartBody>
        <w:p w14:paraId="79827B25">
          <w:r>
            <w:rPr>
              <w:color w:val="808080"/>
            </w:rPr>
            <w:t>单击此处输入文字。</w:t>
          </w:r>
        </w:p>
      </w:docPartBody>
    </w:docPart>
    <w:docPart>
      <w:docPartPr>
        <w:name w:val="{ebb4246d-f9c3-4979-89ee-b77af87e2879}"/>
        <w:style w:val=""/>
        <w:category>
          <w:name w:val="常规"/>
          <w:gallery w:val="placeholder"/>
        </w:category>
        <w:types>
          <w:type w:val="bbPlcHdr"/>
        </w:types>
        <w:behaviors>
          <w:behavior w:val="content"/>
        </w:behaviors>
        <w:description w:val=""/>
        <w:guid w:val="{ebb4246d-f9c3-4979-89ee-b77af87e2879}"/>
      </w:docPartPr>
      <w:docPartBody>
        <w:p w14:paraId="7C19F6BB">
          <w:r>
            <w:rPr>
              <w:color w:val="808080"/>
            </w:rPr>
            <w:t>单击此处输入文字。</w:t>
          </w:r>
        </w:p>
      </w:docPartBody>
    </w:docPart>
    <w:docPart>
      <w:docPartPr>
        <w:name w:val="{d6881cf6-5308-4bfe-ad03-169682258b57}"/>
        <w:style w:val=""/>
        <w:category>
          <w:name w:val="常规"/>
          <w:gallery w:val="placeholder"/>
        </w:category>
        <w:types>
          <w:type w:val="bbPlcHdr"/>
        </w:types>
        <w:behaviors>
          <w:behavior w:val="content"/>
        </w:behaviors>
        <w:description w:val=""/>
        <w:guid w:val="{d6881cf6-5308-4bfe-ad03-169682258b57}"/>
      </w:docPartPr>
      <w:docPartBody>
        <w:p w14:paraId="34F8121F">
          <w:r>
            <w:rPr>
              <w:color w:val="808080"/>
            </w:rPr>
            <w:t>单击此处输入文字。</w:t>
          </w:r>
        </w:p>
      </w:docPartBody>
    </w:docPart>
    <w:docPart>
      <w:docPartPr>
        <w:name w:val="{3cdf4675-e6fb-42df-b7af-696fef01bb21}"/>
        <w:style w:val=""/>
        <w:category>
          <w:name w:val="常规"/>
          <w:gallery w:val="placeholder"/>
        </w:category>
        <w:types>
          <w:type w:val="bbPlcHdr"/>
        </w:types>
        <w:behaviors>
          <w:behavior w:val="content"/>
        </w:behaviors>
        <w:description w:val=""/>
        <w:guid w:val="{3cdf4675-e6fb-42df-b7af-696fef01bb21}"/>
      </w:docPartPr>
      <w:docPartBody>
        <w:p w14:paraId="63F14D07">
          <w:r>
            <w:rPr>
              <w:color w:val="808080"/>
            </w:rPr>
            <w:t>单击此处输入文字。</w:t>
          </w:r>
        </w:p>
      </w:docPartBody>
    </w:docPart>
    <w:docPart>
      <w:docPartPr>
        <w:name w:val="{315f282d-1972-4217-bc8f-703ed18e9640}"/>
        <w:style w:val=""/>
        <w:category>
          <w:name w:val="常规"/>
          <w:gallery w:val="placeholder"/>
        </w:category>
        <w:types>
          <w:type w:val="bbPlcHdr"/>
        </w:types>
        <w:behaviors>
          <w:behavior w:val="content"/>
        </w:behaviors>
        <w:description w:val=""/>
        <w:guid w:val="{315f282d-1972-4217-bc8f-703ed18e9640}"/>
      </w:docPartPr>
      <w:docPartBody>
        <w:p w14:paraId="7704D896">
          <w:r>
            <w:rPr>
              <w:color w:val="808080"/>
            </w:rPr>
            <w:t>单击此处输入文字。</w:t>
          </w:r>
        </w:p>
      </w:docPartBody>
    </w:docPart>
    <w:docPart>
      <w:docPartPr>
        <w:name w:val="{dbb9a799-819f-44f1-a639-ac0b85571c4f}"/>
        <w:style w:val=""/>
        <w:category>
          <w:name w:val="常规"/>
          <w:gallery w:val="placeholder"/>
        </w:category>
        <w:types>
          <w:type w:val="bbPlcHdr"/>
        </w:types>
        <w:behaviors>
          <w:behavior w:val="content"/>
        </w:behaviors>
        <w:description w:val=""/>
        <w:guid w:val="{dbb9a799-819f-44f1-a639-ac0b85571c4f}"/>
      </w:docPartPr>
      <w:docPartBody>
        <w:p w14:paraId="3FE5DED6">
          <w:r>
            <w:rPr>
              <w:color w:val="808080"/>
            </w:rPr>
            <w:t>单击此处输入文字。</w:t>
          </w:r>
        </w:p>
      </w:docPartBody>
    </w:docPart>
    <w:docPart>
      <w:docPartPr>
        <w:name w:val="{30c48746-53da-4016-9503-815616df9d64}"/>
        <w:style w:val=""/>
        <w:category>
          <w:name w:val="常规"/>
          <w:gallery w:val="placeholder"/>
        </w:category>
        <w:types>
          <w:type w:val="bbPlcHdr"/>
        </w:types>
        <w:behaviors>
          <w:behavior w:val="content"/>
        </w:behaviors>
        <w:description w:val=""/>
        <w:guid w:val="{30c48746-53da-4016-9503-815616df9d64}"/>
      </w:docPartPr>
      <w:docPartBody>
        <w:p w14:paraId="3C8DC91F">
          <w:r>
            <w:rPr>
              <w:color w:val="808080"/>
            </w:rPr>
            <w:t>单击此处输入文字。</w:t>
          </w:r>
        </w:p>
      </w:docPartBody>
    </w:docPart>
    <w:docPart>
      <w:docPartPr>
        <w:name w:val="{65009f5d-7251-43a1-b26e-6cafbe56c07f}"/>
        <w:style w:val=""/>
        <w:category>
          <w:name w:val="常规"/>
          <w:gallery w:val="placeholder"/>
        </w:category>
        <w:types>
          <w:type w:val="bbPlcHdr"/>
        </w:types>
        <w:behaviors>
          <w:behavior w:val="content"/>
        </w:behaviors>
        <w:description w:val=""/>
        <w:guid w:val="{65009f5d-7251-43a1-b26e-6cafbe56c07f}"/>
      </w:docPartPr>
      <w:docPartBody>
        <w:p w14:paraId="41109693">
          <w:r>
            <w:rPr>
              <w:color w:val="808080"/>
            </w:rPr>
            <w:t>单击此处输入文字。</w:t>
          </w:r>
        </w:p>
      </w:docPartBody>
    </w:docPart>
    <w:docPart>
      <w:docPartPr>
        <w:name w:val="{53112d98-2ecf-466b-bb3a-841efacd2e31}"/>
        <w:style w:val=""/>
        <w:category>
          <w:name w:val="常规"/>
          <w:gallery w:val="placeholder"/>
        </w:category>
        <w:types>
          <w:type w:val="bbPlcHdr"/>
        </w:types>
        <w:behaviors>
          <w:behavior w:val="content"/>
        </w:behaviors>
        <w:description w:val=""/>
        <w:guid w:val="{53112d98-2ecf-466b-bb3a-841efacd2e31}"/>
      </w:docPartPr>
      <w:docPartBody>
        <w:p w14:paraId="197A5D01">
          <w:r>
            <w:rPr>
              <w:color w:val="808080"/>
            </w:rPr>
            <w:t>单击此处输入日期。</w:t>
          </w:r>
        </w:p>
      </w:docPartBody>
    </w:docPart>
    <w:docPart>
      <w:docPartPr>
        <w:name w:val="{dc911c23-2052-4f34-9d43-19ba0d623d4d}"/>
        <w:style w:val=""/>
        <w:category>
          <w:name w:val="常规"/>
          <w:gallery w:val="placeholder"/>
        </w:category>
        <w:types>
          <w:type w:val="bbPlcHdr"/>
        </w:types>
        <w:behaviors>
          <w:behavior w:val="content"/>
        </w:behaviors>
        <w:description w:val=""/>
        <w:guid w:val="{dc911c23-2052-4f34-9d43-19ba0d623d4d}"/>
      </w:docPartPr>
      <w:docPartBody>
        <w:p w14:paraId="06684902">
          <w:r>
            <w:rPr>
              <w:color w:val="808080"/>
            </w:rPr>
            <w:t>单击此处输入日期。</w:t>
          </w:r>
        </w:p>
      </w:docPartBody>
    </w:docPart>
    <w:docPart>
      <w:docPartPr>
        <w:name w:val="{90ded145-faf0-46e5-a62f-ae621dfc440b}"/>
        <w:style w:val=""/>
        <w:category>
          <w:name w:val="常规"/>
          <w:gallery w:val="placeholder"/>
        </w:category>
        <w:types>
          <w:type w:val="bbPlcHdr"/>
        </w:types>
        <w:behaviors>
          <w:behavior w:val="content"/>
        </w:behaviors>
        <w:description w:val=""/>
        <w:guid w:val="{90ded145-faf0-46e5-a62f-ae621dfc440b}"/>
      </w:docPartPr>
      <w:docPartBody>
        <w:p w14:paraId="69FBC727">
          <w:r>
            <w:rPr>
              <w:color w:val="808080"/>
            </w:rPr>
            <w:t>单击此处输入文字。</w:t>
          </w:r>
        </w:p>
      </w:docPartBody>
    </w:docPart>
    <w:docPart>
      <w:docPartPr>
        <w:name w:val="{efe19991-d4ca-40ff-b9ce-a047c36ddfc1}"/>
        <w:style w:val=""/>
        <w:category>
          <w:name w:val="常规"/>
          <w:gallery w:val="placeholder"/>
        </w:category>
        <w:types>
          <w:type w:val="bbPlcHdr"/>
        </w:types>
        <w:behaviors>
          <w:behavior w:val="content"/>
        </w:behaviors>
        <w:description w:val=""/>
        <w:guid w:val="{efe19991-d4ca-40ff-b9ce-a047c36ddfc1}"/>
      </w:docPartPr>
      <w:docPartBody>
        <w:p w14:paraId="3AF0CA29">
          <w:r>
            <w:rPr>
              <w:color w:val="808080"/>
            </w:rPr>
            <w:t>单击此处输入文字。</w:t>
          </w:r>
        </w:p>
      </w:docPartBody>
    </w:docPart>
    <w:docPart>
      <w:docPartPr>
        <w:name w:val="{6d805666-58b3-4c9a-83a0-916860985ecb}"/>
        <w:style w:val=""/>
        <w:category>
          <w:name w:val="常规"/>
          <w:gallery w:val="placeholder"/>
        </w:category>
        <w:types>
          <w:type w:val="bbPlcHdr"/>
        </w:types>
        <w:behaviors>
          <w:behavior w:val="content"/>
        </w:behaviors>
        <w:description w:val=""/>
        <w:guid w:val="{6d805666-58b3-4c9a-83a0-916860985ecb}"/>
      </w:docPartPr>
      <w:docPartBody>
        <w:p w14:paraId="32A9578F">
          <w:r>
            <w:rPr>
              <w:color w:val="808080"/>
            </w:rPr>
            <w:t>单击此处输入文字。</w:t>
          </w:r>
        </w:p>
      </w:docPartBody>
    </w:docPart>
    <w:docPart>
      <w:docPartPr>
        <w:name w:val="{0e84f306-367a-4fbe-9e28-b328d7e0f7ea}"/>
        <w:style w:val=""/>
        <w:category>
          <w:name w:val="常规"/>
          <w:gallery w:val="placeholder"/>
        </w:category>
        <w:types>
          <w:type w:val="bbPlcHdr"/>
        </w:types>
        <w:behaviors>
          <w:behavior w:val="content"/>
        </w:behaviors>
        <w:description w:val=""/>
        <w:guid w:val="{0e84f306-367a-4fbe-9e28-b328d7e0f7ea}"/>
      </w:docPartPr>
      <w:docPartBody>
        <w:p w14:paraId="3A272D35">
          <w:r>
            <w:rPr>
              <w:color w:val="808080"/>
            </w:rPr>
            <w:t>单击此处输入文字。</w:t>
          </w:r>
        </w:p>
      </w:docPartBody>
    </w:docPart>
    <w:docPart>
      <w:docPartPr>
        <w:name w:val="{3066c63d-26d7-47ea-969b-f45df479caeb}"/>
        <w:style w:val=""/>
        <w:category>
          <w:name w:val="常规"/>
          <w:gallery w:val="placeholder"/>
        </w:category>
        <w:types>
          <w:type w:val="bbPlcHdr"/>
        </w:types>
        <w:behaviors>
          <w:behavior w:val="content"/>
        </w:behaviors>
        <w:description w:val=""/>
        <w:guid w:val="{3066c63d-26d7-47ea-969b-f45df479caeb}"/>
      </w:docPartPr>
      <w:docPartBody>
        <w:p w14:paraId="3F18AFB1">
          <w:r>
            <w:rPr>
              <w:color w:val="808080"/>
            </w:rPr>
            <w:t>单击此处输入文字。</w:t>
          </w:r>
        </w:p>
      </w:docPartBody>
    </w:docPart>
    <w:docPart>
      <w:docPartPr>
        <w:name w:val="{fa4facf1-cf62-4c2d-a0cb-fc5e91dcb2ab}"/>
        <w:style w:val=""/>
        <w:category>
          <w:name w:val="常规"/>
          <w:gallery w:val="placeholder"/>
        </w:category>
        <w:types>
          <w:type w:val="bbPlcHdr"/>
        </w:types>
        <w:behaviors>
          <w:behavior w:val="content"/>
        </w:behaviors>
        <w:description w:val=""/>
        <w:guid w:val="{fa4facf1-cf62-4c2d-a0cb-fc5e91dcb2ab}"/>
      </w:docPartPr>
      <w:docPartBody>
        <w:p w14:paraId="4FBE6F32">
          <w:r>
            <w:rPr>
              <w:color w:val="808080"/>
            </w:rPr>
            <w:t>单击此处输入文字。</w:t>
          </w:r>
        </w:p>
      </w:docPartBody>
    </w:docPart>
    <w:docPart>
      <w:docPartPr>
        <w:name w:val="{dc89f23d-2321-48cd-979f-33b600b1d16b}"/>
        <w:style w:val=""/>
        <w:category>
          <w:name w:val="常规"/>
          <w:gallery w:val="placeholder"/>
        </w:category>
        <w:types>
          <w:type w:val="bbPlcHdr"/>
        </w:types>
        <w:behaviors>
          <w:behavior w:val="content"/>
        </w:behaviors>
        <w:description w:val=""/>
        <w:guid w:val="{dc89f23d-2321-48cd-979f-33b600b1d16b}"/>
      </w:docPartPr>
      <w:docPartBody>
        <w:p w14:paraId="75DB1658">
          <w:r>
            <w:rPr>
              <w:color w:val="808080"/>
            </w:rPr>
            <w:t>选择一项。</w:t>
          </w:r>
        </w:p>
      </w:docPartBody>
    </w:docPart>
    <w:docPart>
      <w:docPartPr>
        <w:name w:val="{d918ab83-6971-4972-a035-3e8d3bb5a0a2}"/>
        <w:style w:val=""/>
        <w:category>
          <w:name w:val="常规"/>
          <w:gallery w:val="placeholder"/>
        </w:category>
        <w:types>
          <w:type w:val="bbPlcHdr"/>
        </w:types>
        <w:behaviors>
          <w:behavior w:val="content"/>
        </w:behaviors>
        <w:description w:val=""/>
        <w:guid w:val="{d918ab83-6971-4972-a035-3e8d3bb5a0a2}"/>
      </w:docPartPr>
      <w:docPartBody>
        <w:p w14:paraId="4EF1E770">
          <w:r>
            <w:rPr>
              <w:color w:val="808080"/>
            </w:rPr>
            <w:t>单击此处输入文字。</w:t>
          </w:r>
        </w:p>
      </w:docPartBody>
    </w:docPart>
    <w:docPart>
      <w:docPartPr>
        <w:name w:val="{035938ca-1fec-486c-bc0f-c595c5b34943}"/>
        <w:style w:val=""/>
        <w:category>
          <w:name w:val="常规"/>
          <w:gallery w:val="placeholder"/>
        </w:category>
        <w:types>
          <w:type w:val="bbPlcHdr"/>
        </w:types>
        <w:behaviors>
          <w:behavior w:val="content"/>
        </w:behaviors>
        <w:description w:val=""/>
        <w:guid w:val="{035938ca-1fec-486c-bc0f-c595c5b34943}"/>
      </w:docPartPr>
      <w:docPartBody>
        <w:p w14:paraId="40C3D9F4">
          <w:r>
            <w:rPr>
              <w:color w:val="808080"/>
            </w:rPr>
            <w:t>单击此处输入文字。</w:t>
          </w:r>
        </w:p>
      </w:docPartBody>
    </w:docPart>
    <w:docPart>
      <w:docPartPr>
        <w:name w:val="{f1e7378d-6f73-44ab-95ea-5710ae8abb1a}"/>
        <w:style w:val=""/>
        <w:category>
          <w:name w:val="常规"/>
          <w:gallery w:val="placeholder"/>
        </w:category>
        <w:types>
          <w:type w:val="bbPlcHdr"/>
        </w:types>
        <w:behaviors>
          <w:behavior w:val="content"/>
        </w:behaviors>
        <w:description w:val=""/>
        <w:guid w:val="{f1e7378d-6f73-44ab-95ea-5710ae8abb1a}"/>
      </w:docPartPr>
      <w:docPartBody>
        <w:p w14:paraId="047B88CF">
          <w:r>
            <w:rPr>
              <w:color w:val="808080"/>
            </w:rPr>
            <w:t>单击此处输入文字。</w:t>
          </w:r>
        </w:p>
      </w:docPartBody>
    </w:docPart>
    <w:docPart>
      <w:docPartPr>
        <w:name w:val="{1e423f1b-893a-4f94-80e7-7cac0ddbe03b}"/>
        <w:style w:val=""/>
        <w:category>
          <w:name w:val="常规"/>
          <w:gallery w:val="placeholder"/>
        </w:category>
        <w:types>
          <w:type w:val="bbPlcHdr"/>
        </w:types>
        <w:behaviors>
          <w:behavior w:val="content"/>
        </w:behaviors>
        <w:description w:val=""/>
        <w:guid w:val="{1e423f1b-893a-4f94-80e7-7cac0ddbe03b}"/>
      </w:docPartPr>
      <w:docPartBody>
        <w:p w14:paraId="4916E903">
          <w:r>
            <w:rPr>
              <w:color w:val="808080"/>
            </w:rPr>
            <w:t>单击此处输入文字。</w:t>
          </w:r>
        </w:p>
      </w:docPartBody>
    </w:docPart>
    <w:docPart>
      <w:docPartPr>
        <w:name w:val="{c7ae8a37-64ae-43f6-b203-d14e71b36e72}"/>
        <w:style w:val=""/>
        <w:category>
          <w:name w:val="常规"/>
          <w:gallery w:val="placeholder"/>
        </w:category>
        <w:types>
          <w:type w:val="bbPlcHdr"/>
        </w:types>
        <w:behaviors>
          <w:behavior w:val="content"/>
        </w:behaviors>
        <w:description w:val=""/>
        <w:guid w:val="{c7ae8a37-64ae-43f6-b203-d14e71b36e72}"/>
      </w:docPartPr>
      <w:docPartBody>
        <w:p w14:paraId="58DAF344">
          <w:r>
            <w:rPr>
              <w:color w:val="808080"/>
            </w:rPr>
            <w:t>单击此处输入文字。</w:t>
          </w:r>
        </w:p>
      </w:docPartBody>
    </w:docPart>
    <w:docPart>
      <w:docPartPr>
        <w:name w:val="{e332e9b4-8f9d-4d3c-8b26-cae0a52c1e42}"/>
        <w:style w:val=""/>
        <w:category>
          <w:name w:val="常规"/>
          <w:gallery w:val="placeholder"/>
        </w:category>
        <w:types>
          <w:type w:val="bbPlcHdr"/>
        </w:types>
        <w:behaviors>
          <w:behavior w:val="content"/>
        </w:behaviors>
        <w:description w:val=""/>
        <w:guid w:val="{e332e9b4-8f9d-4d3c-8b26-cae0a52c1e42}"/>
      </w:docPartPr>
      <w:docPartBody>
        <w:p w14:paraId="5EFB2480">
          <w:r>
            <w:rPr>
              <w:color w:val="808080"/>
            </w:rPr>
            <w:t>单击此处输入文字。</w:t>
          </w:r>
        </w:p>
      </w:docPartBody>
    </w:docPart>
    <w:docPart>
      <w:docPartPr>
        <w:name w:val="{4fa90019-bc31-4c0c-872b-bab25e47d8f6}"/>
        <w:style w:val=""/>
        <w:category>
          <w:name w:val="常规"/>
          <w:gallery w:val="placeholder"/>
        </w:category>
        <w:types>
          <w:type w:val="bbPlcHdr"/>
        </w:types>
        <w:behaviors>
          <w:behavior w:val="content"/>
        </w:behaviors>
        <w:description w:val=""/>
        <w:guid w:val="{4fa90019-bc31-4c0c-872b-bab25e47d8f6}"/>
      </w:docPartPr>
      <w:docPartBody>
        <w:p w14:paraId="1FF33142">
          <w:r>
            <w:rPr>
              <w:color w:val="808080"/>
            </w:rPr>
            <w:t>单击此处输入文字。</w:t>
          </w:r>
        </w:p>
      </w:docPartBody>
    </w:docPart>
    <w:docPart>
      <w:docPartPr>
        <w:name w:val="{243d967b-6a05-4004-a58b-6b9111f55bc2}"/>
        <w:style w:val=""/>
        <w:category>
          <w:name w:val="常规"/>
          <w:gallery w:val="placeholder"/>
        </w:category>
        <w:types>
          <w:type w:val="bbPlcHdr"/>
        </w:types>
        <w:behaviors>
          <w:behavior w:val="content"/>
        </w:behaviors>
        <w:description w:val=""/>
        <w:guid w:val="{243d967b-6a05-4004-a58b-6b9111f55bc2}"/>
      </w:docPartPr>
      <w:docPartBody>
        <w:p w14:paraId="26849FFD">
          <w:r>
            <w:rPr>
              <w:color w:val="808080"/>
            </w:rPr>
            <w:t>单击此处输入文字。</w:t>
          </w:r>
        </w:p>
      </w:docPartBody>
    </w:docPart>
    <w:docPart>
      <w:docPartPr>
        <w:name w:val="{aef5c01a-b8d2-43c4-93f5-a32153557b64}"/>
        <w:style w:val=""/>
        <w:category>
          <w:name w:val="常规"/>
          <w:gallery w:val="placeholder"/>
        </w:category>
        <w:types>
          <w:type w:val="bbPlcHdr"/>
        </w:types>
        <w:behaviors>
          <w:behavior w:val="content"/>
        </w:behaviors>
        <w:description w:val=""/>
        <w:guid w:val="{aef5c01a-b8d2-43c4-93f5-a32153557b64}"/>
      </w:docPartPr>
      <w:docPartBody>
        <w:p w14:paraId="5A4C6CD1">
          <w:r>
            <w:rPr>
              <w:color w:val="808080"/>
            </w:rPr>
            <w:t>单击此处输入文字。</w:t>
          </w:r>
        </w:p>
      </w:docPartBody>
    </w:docPart>
    <w:docPart>
      <w:docPartPr>
        <w:name w:val="{a1a3feff-916d-4f72-971b-aaf372f94c42}"/>
        <w:style w:val=""/>
        <w:category>
          <w:name w:val="常规"/>
          <w:gallery w:val="placeholder"/>
        </w:category>
        <w:types>
          <w:type w:val="bbPlcHdr"/>
        </w:types>
        <w:behaviors>
          <w:behavior w:val="content"/>
        </w:behaviors>
        <w:description w:val=""/>
        <w:guid w:val="{a1a3feff-916d-4f72-971b-aaf372f94c42}"/>
      </w:docPartPr>
      <w:docPartBody>
        <w:p w14:paraId="1AA12A00">
          <w:r>
            <w:rPr>
              <w:color w:val="808080"/>
            </w:rPr>
            <w:t>单击此处输入文字。</w:t>
          </w:r>
        </w:p>
      </w:docPartBody>
    </w:docPart>
    <w:docPart>
      <w:docPartPr>
        <w:name w:val="{0ecc454c-1bb9-4274-84cf-7fd37ad4ed0e}"/>
        <w:style w:val=""/>
        <w:category>
          <w:name w:val="常规"/>
          <w:gallery w:val="placeholder"/>
        </w:category>
        <w:types>
          <w:type w:val="bbPlcHdr"/>
        </w:types>
        <w:behaviors>
          <w:behavior w:val="content"/>
        </w:behaviors>
        <w:description w:val=""/>
        <w:guid w:val="{0ecc454c-1bb9-4274-84cf-7fd37ad4ed0e}"/>
      </w:docPartPr>
      <w:docPartBody>
        <w:p w14:paraId="13247B79">
          <w:r>
            <w:rPr>
              <w:color w:val="808080"/>
            </w:rPr>
            <w:t>单击此处输入文字。</w:t>
          </w:r>
        </w:p>
      </w:docPartBody>
    </w:docPart>
    <w:docPart>
      <w:docPartPr>
        <w:name w:val="{ed574759-d154-4972-8659-8b79c637aa8a}"/>
        <w:style w:val=""/>
        <w:category>
          <w:name w:val="常规"/>
          <w:gallery w:val="placeholder"/>
        </w:category>
        <w:types>
          <w:type w:val="bbPlcHdr"/>
        </w:types>
        <w:behaviors>
          <w:behavior w:val="content"/>
        </w:behaviors>
        <w:description w:val=""/>
        <w:guid w:val="{ed574759-d154-4972-8659-8b79c637aa8a}"/>
      </w:docPartPr>
      <w:docPartBody>
        <w:p w14:paraId="31872A5C">
          <w:r>
            <w:rPr>
              <w:color w:val="808080"/>
            </w:rPr>
            <w:t>单击此处输入文字。</w:t>
          </w:r>
        </w:p>
      </w:docPartBody>
    </w:docPart>
    <w:docPart>
      <w:docPartPr>
        <w:name w:val="{d715db62-1401-46fa-ac64-a2baeb8d7562}"/>
        <w:style w:val=""/>
        <w:category>
          <w:name w:val="常规"/>
          <w:gallery w:val="placeholder"/>
        </w:category>
        <w:types>
          <w:type w:val="bbPlcHdr"/>
        </w:types>
        <w:behaviors>
          <w:behavior w:val="content"/>
        </w:behaviors>
        <w:description w:val=""/>
        <w:guid w:val="{d715db62-1401-46fa-ac64-a2baeb8d7562}"/>
      </w:docPartPr>
      <w:docPartBody>
        <w:p w14:paraId="4E24B5D0">
          <w:r>
            <w:rPr>
              <w:color w:val="808080"/>
            </w:rPr>
            <w:t>单击此处输入文字。</w:t>
          </w:r>
        </w:p>
      </w:docPartBody>
    </w:docPart>
    <w:docPart>
      <w:docPartPr>
        <w:name w:val="{8b6937fa-2893-4e58-a114-f14b35332f48}"/>
        <w:style w:val=""/>
        <w:category>
          <w:name w:val="常规"/>
          <w:gallery w:val="placeholder"/>
        </w:category>
        <w:types>
          <w:type w:val="bbPlcHdr"/>
        </w:types>
        <w:behaviors>
          <w:behavior w:val="content"/>
        </w:behaviors>
        <w:description w:val=""/>
        <w:guid w:val="{8b6937fa-2893-4e58-a114-f14b35332f48}"/>
      </w:docPartPr>
      <w:docPartBody>
        <w:p w14:paraId="2D1F3AD7">
          <w:r>
            <w:rPr>
              <w:color w:val="808080"/>
            </w:rPr>
            <w:t>单击此处输入文字。</w:t>
          </w:r>
        </w:p>
      </w:docPartBody>
    </w:docPart>
    <w:docPart>
      <w:docPartPr>
        <w:name w:val="{d5fdb21a-5acb-4691-9f05-186691364b3a}"/>
        <w:style w:val=""/>
        <w:category>
          <w:name w:val="常规"/>
          <w:gallery w:val="placeholder"/>
        </w:category>
        <w:types>
          <w:type w:val="bbPlcHdr"/>
        </w:types>
        <w:behaviors>
          <w:behavior w:val="content"/>
        </w:behaviors>
        <w:description w:val=""/>
        <w:guid w:val="{d5fdb21a-5acb-4691-9f05-186691364b3a}"/>
      </w:docPartPr>
      <w:docPartBody>
        <w:p w14:paraId="6C79B45C">
          <w:r>
            <w:rPr>
              <w:color w:val="808080"/>
            </w:rPr>
            <w:t>单击此处输入文字。</w:t>
          </w:r>
        </w:p>
      </w:docPartBody>
    </w:docPart>
    <w:docPart>
      <w:docPartPr>
        <w:name w:val="{7aa59fad-24da-4fca-8806-628dcd0766ee}"/>
        <w:style w:val=""/>
        <w:category>
          <w:name w:val="常规"/>
          <w:gallery w:val="placeholder"/>
        </w:category>
        <w:types>
          <w:type w:val="bbPlcHdr"/>
        </w:types>
        <w:behaviors>
          <w:behavior w:val="content"/>
        </w:behaviors>
        <w:description w:val=""/>
        <w:guid w:val="{7aa59fad-24da-4fca-8806-628dcd0766ee}"/>
      </w:docPartPr>
      <w:docPartBody>
        <w:p w14:paraId="0781214B">
          <w:r>
            <w:rPr>
              <w:color w:val="808080"/>
            </w:rPr>
            <w:t>单击此处输入文字。</w:t>
          </w:r>
        </w:p>
      </w:docPartBody>
    </w:docPart>
    <w:docPart>
      <w:docPartPr>
        <w:name w:val="{e67d5319-3636-4ba0-a041-f1df1674eb8f}"/>
        <w:style w:val=""/>
        <w:category>
          <w:name w:val="常规"/>
          <w:gallery w:val="placeholder"/>
        </w:category>
        <w:types>
          <w:type w:val="bbPlcHdr"/>
        </w:types>
        <w:behaviors>
          <w:behavior w:val="content"/>
        </w:behaviors>
        <w:description w:val=""/>
        <w:guid w:val="{e67d5319-3636-4ba0-a041-f1df1674eb8f}"/>
      </w:docPartPr>
      <w:docPartBody>
        <w:p w14:paraId="05459846">
          <w:r>
            <w:rPr>
              <w:color w:val="808080"/>
            </w:rPr>
            <w:t>单击此处输入文字。</w:t>
          </w:r>
        </w:p>
      </w:docPartBody>
    </w:docPart>
    <w:docPart>
      <w:docPartPr>
        <w:name w:val="{d01d3773-ab21-4da1-9649-000e7570989b}"/>
        <w:style w:val=""/>
        <w:category>
          <w:name w:val="常规"/>
          <w:gallery w:val="placeholder"/>
        </w:category>
        <w:types>
          <w:type w:val="bbPlcHdr"/>
        </w:types>
        <w:behaviors>
          <w:behavior w:val="content"/>
        </w:behaviors>
        <w:description w:val=""/>
        <w:guid w:val="{d01d3773-ab21-4da1-9649-000e7570989b}"/>
      </w:docPartPr>
      <w:docPartBody>
        <w:p w14:paraId="5A86598C">
          <w:r>
            <w:rPr>
              <w:color w:val="808080"/>
            </w:rPr>
            <w:t>单击此处输入文字。</w:t>
          </w:r>
        </w:p>
      </w:docPartBody>
    </w:docPart>
    <w:docPart>
      <w:docPartPr>
        <w:name w:val="{934e2a59-9f3b-466d-97ab-139f62aef70a}"/>
        <w:style w:val=""/>
        <w:category>
          <w:name w:val="常规"/>
          <w:gallery w:val="placeholder"/>
        </w:category>
        <w:types>
          <w:type w:val="bbPlcHdr"/>
        </w:types>
        <w:behaviors>
          <w:behavior w:val="content"/>
        </w:behaviors>
        <w:description w:val=""/>
        <w:guid w:val="{934e2a59-9f3b-466d-97ab-139f62aef70a}"/>
      </w:docPartPr>
      <w:docPartBody>
        <w:p w14:paraId="5722AECB">
          <w:r>
            <w:rPr>
              <w:color w:val="808080"/>
            </w:rPr>
            <w:t>单击此处输入文字。</w:t>
          </w:r>
        </w:p>
      </w:docPartBody>
    </w:docPart>
    <w:docPart>
      <w:docPartPr>
        <w:name w:val="{520df430-e748-498c-9880-855313b27ee2}"/>
        <w:style w:val=""/>
        <w:category>
          <w:name w:val="常规"/>
          <w:gallery w:val="placeholder"/>
        </w:category>
        <w:types>
          <w:type w:val="bbPlcHdr"/>
        </w:types>
        <w:behaviors>
          <w:behavior w:val="content"/>
        </w:behaviors>
        <w:description w:val=""/>
        <w:guid w:val="{520df430-e748-498c-9880-855313b27ee2}"/>
      </w:docPartPr>
      <w:docPartBody>
        <w:p w14:paraId="4D067609">
          <w:r>
            <w:rPr>
              <w:color w:val="808080"/>
            </w:rPr>
            <w:t>单击此处输入文字。</w:t>
          </w:r>
        </w:p>
      </w:docPartBody>
    </w:docPart>
    <w:docPart>
      <w:docPartPr>
        <w:name w:val="{1d33bf05-ec2b-4b18-80cc-6d380a74fc83}"/>
        <w:style w:val=""/>
        <w:category>
          <w:name w:val="常规"/>
          <w:gallery w:val="placeholder"/>
        </w:category>
        <w:types>
          <w:type w:val="bbPlcHdr"/>
        </w:types>
        <w:behaviors>
          <w:behavior w:val="content"/>
        </w:behaviors>
        <w:description w:val=""/>
        <w:guid w:val="{1d33bf05-ec2b-4b18-80cc-6d380a74fc83}"/>
      </w:docPartPr>
      <w:docPartBody>
        <w:p w14:paraId="04BD0D8F">
          <w:r>
            <w:rPr>
              <w:color w:val="808080"/>
            </w:rPr>
            <w:t>单击此处输入文字。</w:t>
          </w:r>
        </w:p>
      </w:docPartBody>
    </w:docPart>
    <w:docPart>
      <w:docPartPr>
        <w:name w:val="{6f4f8485-ab61-4964-af26-0d18ab3a3ae6}"/>
        <w:style w:val=""/>
        <w:category>
          <w:name w:val="常规"/>
          <w:gallery w:val="placeholder"/>
        </w:category>
        <w:types>
          <w:type w:val="bbPlcHdr"/>
        </w:types>
        <w:behaviors>
          <w:behavior w:val="content"/>
        </w:behaviors>
        <w:description w:val=""/>
        <w:guid w:val="{6f4f8485-ab61-4964-af26-0d18ab3a3ae6}"/>
      </w:docPartPr>
      <w:docPartBody>
        <w:p w14:paraId="6B43D738">
          <w:r>
            <w:rPr>
              <w:color w:val="808080"/>
            </w:rPr>
            <w:t>单击此处输入文字。</w:t>
          </w:r>
        </w:p>
      </w:docPartBody>
    </w:docPart>
    <w:docPart>
      <w:docPartPr>
        <w:name w:val="{e50ef6fd-2eab-4b62-96df-244905ee855b}"/>
        <w:style w:val=""/>
        <w:category>
          <w:name w:val="常规"/>
          <w:gallery w:val="placeholder"/>
        </w:category>
        <w:types>
          <w:type w:val="bbPlcHdr"/>
        </w:types>
        <w:behaviors>
          <w:behavior w:val="content"/>
        </w:behaviors>
        <w:description w:val=""/>
        <w:guid w:val="{e50ef6fd-2eab-4b62-96df-244905ee855b}"/>
      </w:docPartPr>
      <w:docPartBody>
        <w:p w14:paraId="1FC0AF09">
          <w:r>
            <w:rPr>
              <w:color w:val="808080"/>
            </w:rPr>
            <w:t>单击此处输入文字。</w:t>
          </w:r>
        </w:p>
      </w:docPartBody>
    </w:docPart>
    <w:docPart>
      <w:docPartPr>
        <w:name w:val="{50881db2-989d-4363-9869-ecc732dc2557}"/>
        <w:style w:val=""/>
        <w:category>
          <w:name w:val="常规"/>
          <w:gallery w:val="placeholder"/>
        </w:category>
        <w:types>
          <w:type w:val="bbPlcHdr"/>
        </w:types>
        <w:behaviors>
          <w:behavior w:val="content"/>
        </w:behaviors>
        <w:description w:val=""/>
        <w:guid w:val="{50881db2-989d-4363-9869-ecc732dc2557}"/>
      </w:docPartPr>
      <w:docPartBody>
        <w:p w14:paraId="44D2A4D7">
          <w:r>
            <w:rPr>
              <w:color w:val="808080"/>
            </w:rPr>
            <w:t>单击此处输入文字。</w:t>
          </w:r>
        </w:p>
      </w:docPartBody>
    </w:docPart>
    <w:docPart>
      <w:docPartPr>
        <w:name w:val="{f7bc0f6f-e077-4c82-8f52-f77ca2756d96}"/>
        <w:style w:val=""/>
        <w:category>
          <w:name w:val="常规"/>
          <w:gallery w:val="placeholder"/>
        </w:category>
        <w:types>
          <w:type w:val="bbPlcHdr"/>
        </w:types>
        <w:behaviors>
          <w:behavior w:val="content"/>
        </w:behaviors>
        <w:description w:val=""/>
        <w:guid w:val="{f7bc0f6f-e077-4c82-8f52-f77ca2756d96}"/>
      </w:docPartPr>
      <w:docPartBody>
        <w:p w14:paraId="32434805">
          <w:r>
            <w:rPr>
              <w:color w:val="808080"/>
            </w:rPr>
            <w:t>单击此处输入文字。</w:t>
          </w:r>
        </w:p>
      </w:docPartBody>
    </w:docPart>
    <w:docPart>
      <w:docPartPr>
        <w:name w:val="{961464eb-f4cb-4125-bb21-b332358d8247}"/>
        <w:style w:val=""/>
        <w:category>
          <w:name w:val="常规"/>
          <w:gallery w:val="placeholder"/>
        </w:category>
        <w:types>
          <w:type w:val="bbPlcHdr"/>
        </w:types>
        <w:behaviors>
          <w:behavior w:val="content"/>
        </w:behaviors>
        <w:description w:val=""/>
        <w:guid w:val="{961464eb-f4cb-4125-bb21-b332358d8247}"/>
      </w:docPartPr>
      <w:docPartBody>
        <w:p w14:paraId="34AD1295">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122</Pages>
  <Words>11364</Words>
  <Characters>12168</Characters>
  <Lines>780</Lines>
  <Paragraphs>219</Paragraphs>
  <TotalTime>22</TotalTime>
  <ScaleCrop>false</ScaleCrop>
  <LinksUpToDate>false</LinksUpToDate>
  <CharactersWithSpaces>13501</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2018-04-02T09:08:00Z</dcterms:created>
  <dc:creator>袁静</dc:creator>
  <cp:lastModifiedBy>WW</cp:lastModifiedBy>
  <cp:lastPrinted>2018-01-18T03:06:00Z</cp:lastPrinted>
  <dcterms:modified xsi:type="dcterms:W3CDTF">2025-11-03T03:03:40Z</dcterms:modified>
  <dc:title>中华人民共和国</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CF1072DCAD125B4EBE1FEF6868504BED_43</vt:lpwstr>
  </property>
  <property fmtid="{D5CDD505-2E9C-101B-9397-08002B2CF9AE}" pid="4" name="KSOTemplateDocerSaveRecord">
    <vt:lpwstr>eyJoZGlkIjoiNDUwOWYxZWQyMmQ4ZjM3MTM5ZTAzOGM5MTE1Y2E3YmMiLCJ1c2VySWQiOiIyNDE3NTgzMjcifQ==</vt:lpwstr>
  </property>
</Properties>
</file>