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110千伏怡景输变电工程（不含变电站土建部分）监理</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p>
    <w:bookmarkEnd w:id="0"/>
    <w:p>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2"/>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pP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广供电基〔202</w:t>
            </w:r>
            <w:r>
              <w:rPr>
                <w:rFonts w:hint="eastAsia" w:ascii="Times New Roman" w:hAnsi="Times New Roman" w:cs="Times New Roman" w:eastAsiaTheme="minorEastAsia"/>
                <w:b w:val="0"/>
                <w:bCs w:val="0"/>
                <w:snapToGrid w:val="0"/>
                <w:color w:val="auto"/>
                <w:kern w:val="0"/>
                <w:sz w:val="24"/>
                <w:szCs w:val="24"/>
                <w:highlight w:val="none"/>
                <w:u w:val="single"/>
                <w:vertAlign w:val="baseline"/>
                <w:lang w:val="en-US" w:eastAsia="zh-CN"/>
              </w:rPr>
              <w:t>5</w:t>
            </w: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w:t>
            </w:r>
            <w:r>
              <w:rPr>
                <w:rFonts w:hint="eastAsia" w:ascii="Times New Roman" w:hAnsi="Times New Roman" w:cs="Times New Roman" w:eastAsiaTheme="minorEastAsia"/>
                <w:b w:val="0"/>
                <w:bCs w:val="0"/>
                <w:snapToGrid w:val="0"/>
                <w:color w:val="auto"/>
                <w:kern w:val="0"/>
                <w:sz w:val="24"/>
                <w:szCs w:val="24"/>
                <w:highlight w:val="none"/>
                <w:u w:val="single"/>
                <w:vertAlign w:val="baseline"/>
                <w:lang w:val="en-US" w:eastAsia="zh-CN"/>
              </w:rPr>
              <w:t>125</w:t>
            </w: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号</w:t>
            </w:r>
          </w:p>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穗发改核准〔2021〕19号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pP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已落实，广供电资〔2025〕47号</w:t>
            </w:r>
          </w:p>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广州市天河区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6</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广州市电力工程设计院有限公司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工期/服务期</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合同签订之日起至2028年12月30日，实际工期以开工报告、竣工报告为准。</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pPr>
        <w:keepNext w:val="0"/>
        <w:keepLines w:val="0"/>
        <w:pageBreakBefore w:val="0"/>
        <w:widowControl w:val="0"/>
        <w:kinsoku/>
        <w:wordWrap/>
        <w:overflowPunct/>
        <w:topLinePunct w:val="0"/>
        <w:autoSpaceDE/>
        <w:autoSpaceDN/>
        <w:bidi w:val="0"/>
        <w:spacing w:line="360" w:lineRule="exac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hint="eastAsia" w:asciiTheme="minorEastAsia" w:hAnsiTheme="minorEastAsia" w:eastAsiaTheme="minorEastAsia" w:cstheme="minorEastAsia"/>
          <w:b/>
          <w:sz w:val="24"/>
          <w:szCs w:val="24"/>
          <w:highlight w:val="none"/>
          <w:lang w:eastAsia="zh-CN"/>
        </w:rPr>
      </w:pPr>
      <w:r>
        <w:rPr>
          <w:rFonts w:hint="eastAsia" w:asciiTheme="minorEastAsia" w:hAnsiTheme="minorEastAsia" w:eastAsiaTheme="minorEastAsia" w:cstheme="minorEastAsia"/>
          <w:b/>
          <w:sz w:val="24"/>
          <w:szCs w:val="24"/>
          <w:highlight w:val="none"/>
        </w:rPr>
        <w:t>※变电部分</w:t>
      </w:r>
      <w:r>
        <w:rPr>
          <w:rFonts w:hint="eastAsia" w:asciiTheme="minorEastAsia" w:hAnsiTheme="minorEastAsia" w:eastAsiaTheme="minorEastAsia" w:cstheme="minorEastAsia"/>
          <w:b/>
          <w:sz w:val="24"/>
          <w:szCs w:val="24"/>
          <w:highlight w:val="none"/>
          <w:lang w:eastAsia="zh-CN"/>
        </w:rPr>
        <w:t>（</w:t>
      </w:r>
      <w:r>
        <w:rPr>
          <w:rFonts w:hint="eastAsia" w:asciiTheme="minorEastAsia" w:hAnsiTheme="minorEastAsia" w:eastAsiaTheme="minorEastAsia" w:cstheme="minorEastAsia"/>
          <w:b/>
          <w:sz w:val="24"/>
          <w:szCs w:val="24"/>
          <w:highlight w:val="none"/>
          <w:lang w:val="en-US" w:eastAsia="zh-CN"/>
        </w:rPr>
        <w:t>不含变电站土建部分</w:t>
      </w:r>
      <w:r>
        <w:rPr>
          <w:rFonts w:hint="eastAsia" w:asciiTheme="minorEastAsia" w:hAnsiTheme="minorEastAsia" w:eastAsiaTheme="minorEastAsia" w:cstheme="minorEastAsia"/>
          <w:b/>
          <w:sz w:val="24"/>
          <w:szCs w:val="24"/>
          <w:highlight w:val="none"/>
          <w:lang w:eastAsia="zh-CN"/>
        </w:rPr>
        <w:t>）</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lang w:val="en-US" w:eastAsia="zh-CN"/>
        </w:rPr>
        <w:t>1、</w:t>
      </w:r>
      <w:r>
        <w:rPr>
          <w:rFonts w:hint="eastAsia" w:asciiTheme="minorEastAsia" w:hAnsiTheme="minorEastAsia" w:eastAsiaTheme="minorEastAsia" w:cstheme="minorEastAsia"/>
          <w:bCs/>
          <w:sz w:val="21"/>
          <w:szCs w:val="21"/>
          <w:highlight w:val="none"/>
        </w:rPr>
        <w:t>110千伏怡景变电站工程：新建110千伏怡景输变电工程，本期新建主变2台6.3万千伏安，同时装设相应容量的无功补偿电容器及其它附属设备。</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Cs/>
          <w:sz w:val="21"/>
          <w:szCs w:val="21"/>
          <w:highlight w:val="none"/>
          <w:lang w:val="en-US" w:eastAsia="zh-CN"/>
        </w:rPr>
        <w:t>2、对侧工程：本期220千伏员热变电站110千伏配电装置扩建1个110千伏GIS电缆出线间隔，110千伏东城站#1变变高间隔增加三相电压互感器。</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※电缆线路部分</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4"/>
          <w:szCs w:val="24"/>
          <w:highlight w:val="none"/>
          <w:lang w:val="en-US" w:eastAsia="zh-CN"/>
        </w:rPr>
        <w:t>1</w:t>
      </w:r>
      <w:r>
        <w:rPr>
          <w:rFonts w:hint="eastAsia" w:asciiTheme="minorEastAsia" w:hAnsiTheme="minorEastAsia" w:eastAsiaTheme="minorEastAsia" w:cstheme="minorEastAsia"/>
          <w:bCs/>
          <w:sz w:val="21"/>
          <w:szCs w:val="21"/>
          <w:highlight w:val="none"/>
          <w:lang w:val="en-US" w:eastAsia="zh-CN"/>
        </w:rPr>
        <w:t>、110千伏员热至怡景单回电缆线路工程：自员热站至怡景站，新建电缆线路长约1×3.765千米，新建线路导线截面采用1200平方毫米。</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2、110千伏怡景站T接110千伏潭城线电缆线路工程：自怡景站至110千伏潭城线解口点，电缆线路采用一进一出方式，新建电缆线路长约1×0.901千米（潭村侧）+1×0.737千米（东城侧），新建线路导线截面采用1200平方毫米。</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420" w:firstLineChars="200"/>
        <w:textAlignment w:val="auto"/>
        <w:rPr>
          <w:rFonts w:hint="default"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3、东城#1变改T至110千伏员热至怡景单回电缆线路工程：自怡景站至110千伏棠员东线开断点（东城#1变侧），新建电缆线路长约1×1.787千米，新建线路导线截面采用1200平方毫米。</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w:t>
      </w:r>
      <w:r>
        <w:rPr>
          <w:rFonts w:hint="eastAsia" w:asciiTheme="minorEastAsia" w:hAnsiTheme="minorEastAsia" w:eastAsiaTheme="minorEastAsia" w:cstheme="minorEastAsia"/>
          <w:b/>
          <w:sz w:val="24"/>
          <w:szCs w:val="24"/>
          <w:highlight w:val="none"/>
          <w:lang w:eastAsia="zh-CN"/>
        </w:rPr>
        <w:t>通信</w:t>
      </w:r>
      <w:r>
        <w:rPr>
          <w:rFonts w:hint="eastAsia" w:asciiTheme="minorEastAsia" w:hAnsiTheme="minorEastAsia" w:eastAsiaTheme="minorEastAsia" w:cstheme="minorEastAsia"/>
          <w:b/>
          <w:sz w:val="24"/>
          <w:szCs w:val="24"/>
          <w:highlight w:val="none"/>
        </w:rPr>
        <w:t>部分</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sz w:val="21"/>
          <w:szCs w:val="21"/>
          <w:highlight w:val="none"/>
          <w:lang w:eastAsia="zh-CN"/>
        </w:rPr>
      </w:pPr>
      <w:r>
        <w:rPr>
          <w:rFonts w:hint="eastAsia" w:asciiTheme="minorEastAsia" w:hAnsiTheme="minorEastAsia" w:eastAsiaTheme="minorEastAsia" w:cstheme="minorEastAsia"/>
          <w:bCs/>
          <w:sz w:val="21"/>
          <w:szCs w:val="21"/>
          <w:highlight w:val="none"/>
          <w:lang w:val="en-US" w:eastAsia="zh-CN"/>
        </w:rPr>
        <w:t>1、</w:t>
      </w:r>
      <w:r>
        <w:rPr>
          <w:rFonts w:hint="eastAsia" w:asciiTheme="minorEastAsia" w:hAnsiTheme="minorEastAsia" w:eastAsiaTheme="minorEastAsia" w:cstheme="minorEastAsia"/>
          <w:bCs/>
          <w:sz w:val="21"/>
          <w:szCs w:val="21"/>
          <w:highlight w:val="none"/>
        </w:rPr>
        <w:t>110kV怡景变电站通信设备工程：</w:t>
      </w:r>
      <w:r>
        <w:rPr>
          <w:rFonts w:hint="eastAsia" w:asciiTheme="minorEastAsia" w:hAnsiTheme="minorEastAsia" w:eastAsiaTheme="minorEastAsia" w:cstheme="minorEastAsia"/>
          <w:bCs/>
          <w:sz w:val="21"/>
          <w:szCs w:val="21"/>
          <w:highlight w:val="none"/>
          <w:lang w:eastAsia="zh-CN"/>
        </w:rPr>
        <w:t>新建1套STM-16设备，1套STM-64设备及相关辅助设备和材料。</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2、110千伏园热至怡景单回电缆线路配套通信工程：随电缆线路建设2根48芯管道光缆3.975km。</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3、怡景站双回T接110千伏潭城线电缆线路配套通信工程：</w:t>
      </w:r>
      <w:r>
        <w:rPr>
          <w:rFonts w:hint="default" w:asciiTheme="minorEastAsia" w:hAnsiTheme="minorEastAsia" w:eastAsiaTheme="minorEastAsia" w:cstheme="minorEastAsia"/>
          <w:bCs/>
          <w:sz w:val="21"/>
          <w:szCs w:val="21"/>
          <w:highlight w:val="none"/>
          <w:lang w:val="en-US" w:eastAsia="zh-CN"/>
        </w:rPr>
        <w:t>随电缆线路建设2根48芯管道光缆1.858km</w:t>
      </w:r>
      <w:r>
        <w:rPr>
          <w:rFonts w:hint="eastAsia" w:asciiTheme="minorEastAsia" w:hAnsiTheme="minorEastAsia" w:eastAsiaTheme="minorEastAsia" w:cstheme="minorEastAsia"/>
          <w:bCs/>
          <w:sz w:val="21"/>
          <w:szCs w:val="21"/>
          <w:highlight w:val="none"/>
          <w:lang w:val="en-US" w:eastAsia="zh-CN"/>
        </w:rPr>
        <w:t>。</w:t>
      </w:r>
    </w:p>
    <w:p>
      <w:pPr>
        <w:keepNext w:val="0"/>
        <w:keepLines w:val="0"/>
        <w:pageBreakBefore w:val="0"/>
        <w:widowControl w:val="0"/>
        <w:kinsoku/>
        <w:wordWrap/>
        <w:overflowPunct/>
        <w:topLinePunct w:val="0"/>
        <w:autoSpaceDE/>
        <w:autoSpaceDN/>
        <w:bidi w:val="0"/>
        <w:snapToGrid/>
        <w:spacing w:before="157" w:beforeLines="50" w:after="157" w:afterLines="50" w:line="360" w:lineRule="exact"/>
        <w:ind w:firstLine="482" w:firstLineChars="200"/>
        <w:textAlignment w:val="auto"/>
        <w:rPr>
          <w:rFonts w:hint="eastAsia"/>
          <w:b/>
          <w:bCs/>
          <w:color w:val="auto"/>
        </w:rPr>
      </w:pPr>
      <w:r>
        <w:rPr>
          <w:rFonts w:hint="default" w:ascii="Times New Roman" w:hAnsi="Times New Roman" w:cs="Times New Roman" w:eastAsiaTheme="minorEastAsia"/>
          <w:b/>
          <w:bCs/>
          <w:i w:val="0"/>
          <w:iCs/>
          <w:color w:val="auto"/>
          <w:kern w:val="2"/>
          <w:sz w:val="24"/>
          <w:szCs w:val="24"/>
          <w:highlight w:val="none"/>
          <w:u w:val="single"/>
          <w:lang w:val="en-US" w:eastAsia="zh-CN" w:bidi="ar-SA"/>
        </w:rPr>
        <w:t>具体规模以施工图为准。</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二、招标采购范围</w:t>
      </w:r>
    </w:p>
    <w:p>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exact"/>
        <w:ind w:left="0" w:leftChars="0" w:firstLine="480" w:firstLineChars="200"/>
        <w:jc w:val="both"/>
        <w:textAlignment w:val="auto"/>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val="0"/>
          <w:bCs/>
          <w:color w:val="auto"/>
          <w:sz w:val="24"/>
          <w:szCs w:val="24"/>
          <w:highlight w:val="none"/>
          <w:lang w:val="en-US" w:eastAsia="zh-CN"/>
        </w:rPr>
        <w:t>勘察设计、施工准备（含三通一平）、施工（含通信）、竣工结算、缺陷责任期、电子化移交的全过程监理，以及初步设计概算（或施工图预算）中监理计费范围以外但与工程相关的监理工作。按照建设单位要求使用工程信息管理系统。</w:t>
      </w:r>
    </w:p>
    <w:p>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w:t>
      </w:r>
    </w:p>
    <w:tbl>
      <w:tblPr>
        <w:tblStyle w:val="11"/>
        <w:tblW w:w="5000" w:type="pct"/>
        <w:jc w:val="center"/>
        <w:shd w:val="clear" w:color="auto" w:fill="FFFFFF" w:themeFill="background1"/>
        <w:tblLayout w:type="fixed"/>
        <w:tblCellMar>
          <w:top w:w="0" w:type="dxa"/>
          <w:left w:w="0" w:type="dxa"/>
          <w:bottom w:w="0" w:type="dxa"/>
          <w:right w:w="0" w:type="dxa"/>
        </w:tblCellMar>
      </w:tblPr>
      <w:tblGrid>
        <w:gridCol w:w="791"/>
        <w:gridCol w:w="4705"/>
        <w:gridCol w:w="1470"/>
        <w:gridCol w:w="1005"/>
        <w:gridCol w:w="1207"/>
        <w:gridCol w:w="784"/>
      </w:tblGrid>
      <w:tr>
        <w:tblPrEx>
          <w:shd w:val="clear" w:color="auto" w:fill="FFFFFF" w:themeFill="background1"/>
        </w:tblPrEx>
        <w:trPr>
          <w:trHeight w:val="79" w:hRule="atLeast"/>
          <w:tblHeader/>
          <w:jc w:val="center"/>
        </w:trPr>
        <w:tc>
          <w:tcPr>
            <w:tcW w:w="9962" w:type="dxa"/>
            <w:gridSpan w:val="6"/>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b w:val="0"/>
                <w:bCs/>
                <w:color w:val="auto"/>
                <w:sz w:val="21"/>
                <w:szCs w:val="21"/>
                <w:highlight w:val="none"/>
                <w:u w:val="none"/>
                <w:lang w:val="en-US" w:eastAsia="zh-CN"/>
              </w:rPr>
            </w:pPr>
            <w:r>
              <w:rPr>
                <w:rFonts w:hint="eastAsia" w:ascii="宋体" w:hAnsi="宋体" w:eastAsia="宋体" w:cs="宋体"/>
                <w:b/>
                <w:i w:val="0"/>
                <w:color w:val="auto"/>
                <w:kern w:val="0"/>
                <w:sz w:val="21"/>
                <w:szCs w:val="21"/>
                <w:highlight w:val="none"/>
                <w:u w:val="none"/>
                <w:lang w:val="en-US" w:eastAsia="zh-CN" w:bidi="ar"/>
              </w:rPr>
              <w:t>基建监理报价表</w:t>
            </w:r>
          </w:p>
        </w:tc>
      </w:tr>
      <w:tr>
        <w:tblPrEx>
          <w:shd w:val="clear" w:color="auto" w:fill="FFFFFF" w:themeFill="background1"/>
          <w:tblCellMar>
            <w:top w:w="0" w:type="dxa"/>
            <w:left w:w="0" w:type="dxa"/>
            <w:bottom w:w="0" w:type="dxa"/>
            <w:right w:w="0" w:type="dxa"/>
          </w:tblCellMar>
        </w:tblPrEx>
        <w:trPr>
          <w:trHeight w:val="79" w:hRule="atLeast"/>
          <w:tblHeader/>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b w:val="0"/>
                <w:bCs/>
                <w:color w:val="auto"/>
                <w:sz w:val="21"/>
                <w:szCs w:val="21"/>
                <w:highlight w:val="none"/>
                <w:u w:val="none"/>
              </w:rPr>
            </w:pPr>
            <w:r>
              <w:rPr>
                <w:rFonts w:hint="eastAsia" w:ascii="宋体" w:hAnsi="宋体" w:eastAsia="宋体" w:cs="宋体"/>
                <w:b w:val="0"/>
                <w:bCs/>
                <w:color w:val="auto"/>
                <w:sz w:val="21"/>
                <w:szCs w:val="21"/>
                <w:highlight w:val="none"/>
                <w:u w:val="none"/>
                <w:lang w:val="en-US" w:eastAsia="zh-CN"/>
              </w:rPr>
              <w:t>序号</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b w:val="0"/>
                <w:bCs/>
                <w:color w:val="auto"/>
                <w:sz w:val="21"/>
                <w:szCs w:val="21"/>
                <w:highlight w:val="none"/>
                <w:u w:val="none"/>
              </w:rPr>
            </w:pPr>
            <w:r>
              <w:rPr>
                <w:rFonts w:hint="eastAsia" w:ascii="宋体" w:hAnsi="宋体" w:eastAsia="宋体" w:cs="宋体"/>
                <w:b w:val="0"/>
                <w:bCs/>
                <w:color w:val="auto"/>
                <w:sz w:val="21"/>
                <w:szCs w:val="21"/>
                <w:highlight w:val="none"/>
                <w:u w:val="none"/>
              </w:rPr>
              <w:t>工程或费用名称</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b w:val="0"/>
                <w:bCs/>
                <w:color w:val="auto"/>
                <w:sz w:val="21"/>
                <w:szCs w:val="21"/>
                <w:highlight w:val="none"/>
                <w:u w:val="none"/>
              </w:rPr>
            </w:pPr>
            <w:r>
              <w:rPr>
                <w:rFonts w:hint="eastAsia" w:ascii="宋体" w:hAnsi="宋体" w:eastAsia="宋体" w:cs="宋体"/>
                <w:b w:val="0"/>
                <w:bCs/>
                <w:color w:val="auto"/>
                <w:sz w:val="21"/>
                <w:szCs w:val="21"/>
                <w:highlight w:val="none"/>
                <w:u w:val="none"/>
                <w:lang w:val="en-US" w:eastAsia="zh-CN"/>
              </w:rPr>
              <w:t>最高投标限价（元）</w:t>
            </w:r>
          </w:p>
        </w:tc>
        <w:tc>
          <w:tcPr>
            <w:tcW w:w="10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b w:val="0"/>
                <w:bCs/>
                <w:color w:val="auto"/>
                <w:sz w:val="21"/>
                <w:szCs w:val="21"/>
                <w:highlight w:val="none"/>
                <w:u w:val="none"/>
                <w:lang w:val="en-US" w:eastAsia="zh-CN"/>
              </w:rPr>
            </w:pPr>
            <w:r>
              <w:rPr>
                <w:rFonts w:hint="eastAsia" w:ascii="宋体" w:hAnsi="宋体" w:eastAsia="宋体" w:cs="宋体"/>
                <w:b w:val="0"/>
                <w:bCs/>
                <w:color w:val="auto"/>
                <w:sz w:val="21"/>
                <w:szCs w:val="21"/>
                <w:highlight w:val="none"/>
                <w:u w:val="none"/>
                <w:lang w:val="en-US" w:eastAsia="zh-CN"/>
              </w:rPr>
              <w:t>投标下浮率（%）</w:t>
            </w: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b w:val="0"/>
                <w:bCs/>
                <w:color w:val="auto"/>
                <w:sz w:val="21"/>
                <w:szCs w:val="21"/>
                <w:highlight w:val="none"/>
                <w:u w:val="none"/>
              </w:rPr>
            </w:pPr>
            <w:r>
              <w:rPr>
                <w:rFonts w:hint="eastAsia" w:ascii="宋体" w:hAnsi="宋体" w:eastAsia="宋体" w:cs="宋体"/>
                <w:b w:val="0"/>
                <w:bCs/>
                <w:color w:val="auto"/>
                <w:sz w:val="21"/>
                <w:szCs w:val="21"/>
                <w:highlight w:val="none"/>
                <w:u w:val="none"/>
                <w:lang w:val="en-US" w:eastAsia="zh-CN"/>
              </w:rPr>
              <w:t>投标报价（元）</w:t>
            </w: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b w:val="0"/>
                <w:bCs/>
                <w:color w:val="auto"/>
                <w:sz w:val="21"/>
                <w:szCs w:val="21"/>
                <w:highlight w:val="none"/>
                <w:u w:val="none"/>
              </w:rPr>
            </w:pPr>
            <w:r>
              <w:rPr>
                <w:rFonts w:hint="eastAsia" w:ascii="宋体" w:hAnsi="宋体" w:eastAsia="宋体" w:cs="宋体"/>
                <w:b w:val="0"/>
                <w:bCs/>
                <w:color w:val="auto"/>
                <w:sz w:val="21"/>
                <w:szCs w:val="21"/>
                <w:highlight w:val="none"/>
                <w:u w:val="none"/>
                <w:lang w:val="en-US" w:eastAsia="zh-CN"/>
              </w:rPr>
              <w:t>备注</w:t>
            </w:r>
          </w:p>
        </w:tc>
      </w:tr>
      <w:tr>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i w:val="0"/>
                <w:iCs w:val="0"/>
                <w:color w:val="000000" w:themeColor="text1"/>
                <w:kern w:val="0"/>
                <w:sz w:val="21"/>
                <w:szCs w:val="21"/>
                <w:u w:val="none"/>
                <w:lang w:val="en-US" w:eastAsia="zh-CN" w:bidi="ar"/>
                <w14:textFill>
                  <w14:solidFill>
                    <w14:schemeClr w14:val="tx1"/>
                  </w14:solidFill>
                </w14:textFill>
              </w:rPr>
              <w:t>一</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both"/>
              <w:textAlignment w:val="center"/>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i w:val="0"/>
                <w:iCs w:val="0"/>
                <w:color w:val="000000" w:themeColor="text1"/>
                <w:kern w:val="0"/>
                <w:sz w:val="21"/>
                <w:szCs w:val="21"/>
                <w:u w:val="none"/>
                <w:lang w:val="en-US" w:eastAsia="zh-CN" w:bidi="ar"/>
                <w14:textFill>
                  <w14:solidFill>
                    <w14:schemeClr w14:val="tx1"/>
                  </w14:solidFill>
                </w14:textFill>
              </w:rPr>
              <w:t>变电工程</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auto"/>
                <w:kern w:val="2"/>
                <w:sz w:val="21"/>
                <w:szCs w:val="21"/>
                <w:highlight w:val="none"/>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388587.96</w:t>
            </w:r>
          </w:p>
        </w:tc>
        <w:tc>
          <w:tcPr>
            <w:tcW w:w="1005" w:type="dxa"/>
            <w:vMerge w:val="restart"/>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lang w:val="en-US" w:eastAsia="zh-CN"/>
              </w:rPr>
              <w:t>%</w:t>
            </w:r>
            <w:bookmarkStart w:id="8" w:name="_GoBack"/>
            <w:bookmarkEnd w:id="8"/>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r>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cs="宋体"/>
                <w:i w:val="0"/>
                <w:iCs w:val="0"/>
                <w:color w:val="000000" w:themeColor="text1"/>
                <w:kern w:val="0"/>
                <w:sz w:val="21"/>
                <w:szCs w:val="21"/>
                <w:u w:val="none"/>
                <w:lang w:val="en-US" w:eastAsia="zh-CN" w:bidi="ar"/>
                <w14:textFill>
                  <w14:solidFill>
                    <w14:schemeClr w14:val="tx1"/>
                  </w14:solidFill>
                </w14:textFill>
              </w:rPr>
              <w:t>1</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110千伏怡景变电站工程（电气分册）</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362018.95 </w:t>
            </w:r>
          </w:p>
        </w:tc>
        <w:tc>
          <w:tcPr>
            <w:tcW w:w="100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r>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cs="宋体"/>
                <w:i w:val="0"/>
                <w:iCs w:val="0"/>
                <w:color w:val="000000" w:themeColor="text1"/>
                <w:kern w:val="0"/>
                <w:sz w:val="21"/>
                <w:szCs w:val="21"/>
                <w:u w:val="none"/>
                <w:lang w:val="en-US" w:eastAsia="zh-CN" w:bidi="ar"/>
                <w14:textFill>
                  <w14:solidFill>
                    <w14:schemeClr w14:val="tx1"/>
                  </w14:solidFill>
                </w14:textFill>
              </w:rPr>
              <w:t>2</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对侧员热站扩建110千伏间隔扩建工程</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15127.54 </w:t>
            </w:r>
          </w:p>
        </w:tc>
        <w:tc>
          <w:tcPr>
            <w:tcW w:w="100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r>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u w:val="none"/>
                <w:lang w:val="en-US" w:eastAsia="zh-CN"/>
              </w:rPr>
            </w:pPr>
            <w:r>
              <w:rPr>
                <w:rFonts w:hint="eastAsia" w:ascii="宋体" w:hAnsi="宋体" w:cs="宋体"/>
                <w:i w:val="0"/>
                <w:iCs w:val="0"/>
                <w:color w:val="000000" w:themeColor="text1"/>
                <w:kern w:val="0"/>
                <w:sz w:val="21"/>
                <w:szCs w:val="21"/>
                <w:u w:val="none"/>
                <w:lang w:val="en-US" w:eastAsia="zh-CN" w:bidi="ar"/>
                <w14:textFill>
                  <w14:solidFill>
                    <w14:schemeClr w14:val="tx1"/>
                  </w14:solidFill>
                </w14:textFill>
              </w:rPr>
              <w:t>3</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both"/>
              <w:textAlignment w:val="center"/>
              <w:rPr>
                <w:rFonts w:hint="eastAsia" w:ascii="宋体" w:hAnsi="宋体" w:eastAsia="宋体" w:cs="宋体"/>
                <w:color w:val="auto"/>
                <w:sz w:val="21"/>
                <w:szCs w:val="21"/>
                <w:highlight w:val="none"/>
                <w:u w:val="none"/>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对侧东城站扩建110千伏间隔扩建工程</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11441.47 </w:t>
            </w:r>
          </w:p>
        </w:tc>
        <w:tc>
          <w:tcPr>
            <w:tcW w:w="100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r>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二</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left"/>
              <w:textAlignment w:val="center"/>
              <w:rPr>
                <w:rFonts w:hint="eastAsia" w:ascii="宋体" w:hAnsi="宋体" w:eastAsia="宋体" w:cs="宋体"/>
                <w:b/>
                <w:bCs/>
                <w:color w:val="auto"/>
                <w:sz w:val="21"/>
                <w:szCs w:val="21"/>
                <w:highlight w:val="none"/>
                <w:u w:val="none"/>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线路工程</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auto"/>
                <w:kern w:val="2"/>
                <w:sz w:val="21"/>
                <w:szCs w:val="21"/>
                <w:highlight w:val="none"/>
                <w:u w:val="none"/>
                <w:lang w:val="en-US" w:eastAsia="zh-CN" w:bidi="ar-SA"/>
              </w:rPr>
            </w:pPr>
            <w:r>
              <w:rPr>
                <w:rFonts w:hint="eastAsia" w:ascii="宋体" w:hAnsi="宋体" w:eastAsia="宋体" w:cs="宋体"/>
                <w:b/>
                <w:bCs/>
                <w:i w:val="0"/>
                <w:iCs w:val="0"/>
                <w:color w:val="000000" w:themeColor="text1"/>
                <w:kern w:val="0"/>
                <w:sz w:val="22"/>
                <w:szCs w:val="22"/>
                <w:u w:val="none"/>
                <w:lang w:val="en-US" w:eastAsia="zh-CN" w:bidi="ar"/>
                <w14:textFill>
                  <w14:solidFill>
                    <w14:schemeClr w14:val="tx1"/>
                  </w14:solidFill>
                </w14:textFill>
              </w:rPr>
              <w:t xml:space="preserve">547312.24 </w:t>
            </w:r>
          </w:p>
        </w:tc>
        <w:tc>
          <w:tcPr>
            <w:tcW w:w="100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r>
        <w:tblPrEx>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110千伏员热至怡景单回电缆线路工程</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 xml:space="preserve">469973.00 </w:t>
            </w:r>
          </w:p>
        </w:tc>
        <w:tc>
          <w:tcPr>
            <w:tcW w:w="100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r>
        <w:tblPrEx>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怡景站双回T接110千伏潭城线电缆线路工程</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 xml:space="preserve">41355.83 </w:t>
            </w:r>
          </w:p>
        </w:tc>
        <w:tc>
          <w:tcPr>
            <w:tcW w:w="100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r>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u w:val="none"/>
                <w:lang w:val="en-US" w:eastAsia="zh-CN"/>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both"/>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东城#1变改T至110千伏员热至怡景单回电缆线路工程</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 xml:space="preserve">35983.41 </w:t>
            </w:r>
          </w:p>
        </w:tc>
        <w:tc>
          <w:tcPr>
            <w:tcW w:w="100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r>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三</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both"/>
              <w:textAlignment w:val="center"/>
              <w:rPr>
                <w:rFonts w:hint="eastAsia" w:ascii="宋体" w:hAnsi="宋体" w:eastAsia="宋体" w:cs="宋体"/>
                <w:b w:val="0"/>
                <w:bCs w:val="0"/>
                <w:color w:val="auto"/>
                <w:sz w:val="21"/>
                <w:szCs w:val="21"/>
                <w:highlight w:val="none"/>
                <w:u w:val="none"/>
              </w:rPr>
            </w:pPr>
            <w:r>
              <w:rPr>
                <w:rFonts w:hint="eastAsia" w:ascii="宋体" w:hAnsi="宋体" w:eastAsia="宋体" w:cs="宋体"/>
                <w:b/>
                <w:bCs/>
                <w:i w:val="0"/>
                <w:iCs w:val="0"/>
                <w:color w:val="000000" w:themeColor="text1"/>
                <w:kern w:val="0"/>
                <w:sz w:val="21"/>
                <w:szCs w:val="21"/>
                <w:u w:val="none"/>
                <w:lang w:val="en-US" w:eastAsia="zh-CN" w:bidi="ar"/>
                <w14:textFill>
                  <w14:solidFill>
                    <w14:schemeClr w14:val="tx1"/>
                  </w14:solidFill>
                </w14:textFill>
              </w:rPr>
              <w:t>配套通信工程</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bCs/>
                <w:i w:val="0"/>
                <w:iCs w:val="0"/>
                <w:color w:val="000000" w:themeColor="text1"/>
                <w:kern w:val="0"/>
                <w:sz w:val="22"/>
                <w:szCs w:val="22"/>
                <w:u w:val="none"/>
                <w:lang w:val="en-US" w:eastAsia="zh-CN" w:bidi="ar"/>
                <w14:textFill>
                  <w14:solidFill>
                    <w14:schemeClr w14:val="tx1"/>
                  </w14:solidFill>
                </w14:textFill>
              </w:rPr>
              <w:t xml:space="preserve">32415.50 </w:t>
            </w:r>
          </w:p>
        </w:tc>
        <w:tc>
          <w:tcPr>
            <w:tcW w:w="100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r>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u w:val="none"/>
                <w:lang w:val="en-US" w:eastAsia="zh-CN"/>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u w:val="none"/>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110千伏怡景变电站站内通信工程</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 xml:space="preserve">21764.66 </w:t>
            </w:r>
          </w:p>
        </w:tc>
        <w:tc>
          <w:tcPr>
            <w:tcW w:w="100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r>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110千伏员热至怡景单回电缆线路配套通信工程</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 xml:space="preserve">8012.61 </w:t>
            </w:r>
          </w:p>
        </w:tc>
        <w:tc>
          <w:tcPr>
            <w:tcW w:w="100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r>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u w:val="none"/>
                <w:lang w:val="en-US" w:eastAsia="zh-CN"/>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u w:val="none"/>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怡景站双回T接110千伏潭城线电缆线路配套通信工程</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 xml:space="preserve">2638.23 </w:t>
            </w:r>
          </w:p>
        </w:tc>
        <w:tc>
          <w:tcPr>
            <w:tcW w:w="100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r>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line="360" w:lineRule="exact"/>
              <w:jc w:val="left"/>
              <w:rPr>
                <w:rFonts w:hint="eastAsia" w:ascii="宋体" w:hAnsi="宋体" w:eastAsia="宋体" w:cs="宋体"/>
                <w:i w:val="0"/>
                <w:iCs w:val="0"/>
                <w:color w:val="auto"/>
                <w:kern w:val="0"/>
                <w:sz w:val="21"/>
                <w:szCs w:val="21"/>
                <w:u w:val="none"/>
                <w:lang w:val="en-US" w:eastAsia="zh-CN" w:bidi="ar"/>
              </w:rPr>
            </w:pP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b/>
                <w:bCs/>
                <w:color w:val="000000" w:themeColor="text1"/>
                <w:lang w:val="en-US" w:eastAsia="zh-CN"/>
                <w14:textFill>
                  <w14:solidFill>
                    <w14:schemeClr w14:val="tx1"/>
                  </w14:solidFill>
                </w14:textFill>
              </w:rPr>
              <w:t>合  计</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 xml:space="preserve">968315.70 </w:t>
            </w:r>
          </w:p>
        </w:tc>
        <w:tc>
          <w:tcPr>
            <w:tcW w:w="100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bl>
    <w:p>
      <w:pPr>
        <w:rPr>
          <w:rFonts w:hint="eastAsia"/>
          <w:color w:val="auto"/>
          <w:highlight w:val="none"/>
          <w:lang w:val="en-US" w:eastAsia="zh-CN"/>
        </w:rPr>
      </w:pPr>
    </w:p>
    <w:p>
      <w:pPr>
        <w:pStyle w:val="7"/>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pPr>
        <w:pStyle w:val="9"/>
        <w:numPr>
          <w:ilvl w:val="0"/>
          <w:numId w:val="0"/>
        </w:numPr>
        <w:shd w:val="clear" w:color="auto" w:fill="auto"/>
        <w:spacing w:line="360" w:lineRule="auto"/>
        <w:ind w:firstLine="420" w:firstLineChars="200"/>
        <w:rPr>
          <w:rFonts w:hint="eastAsia" w:hAnsi="宋体"/>
          <w:color w:val="auto"/>
          <w:szCs w:val="21"/>
          <w:highlight w:val="none"/>
          <w:u w:val="single"/>
          <w:lang w:val="en-US" w:eastAsia="zh-CN"/>
        </w:rPr>
      </w:pPr>
      <w:r>
        <w:rPr>
          <w:rFonts w:hint="eastAsia" w:hAnsi="宋体"/>
          <w:color w:val="auto"/>
          <w:szCs w:val="21"/>
          <w:highlight w:val="none"/>
          <w:u w:val="single"/>
          <w:lang w:val="en-US" w:eastAsia="zh-CN"/>
        </w:rPr>
        <w:t>（1）按下浮率报价（保留两位小数，如8.88%），同时填报投标报价（投标报价=最高投标限价*（1-投标下浮率），四舍五入保留两位小数）。当投标报价与投标下浮率计算结果不一致时，以投标下浮率为准，按上述公式修订投标报价，如单项报价与投标下浮率不对应的也需按投标下浮率修正单项报价。</w:t>
      </w:r>
    </w:p>
    <w:p>
      <w:pPr>
        <w:pStyle w:val="9"/>
        <w:numPr>
          <w:ilvl w:val="0"/>
          <w:numId w:val="0"/>
        </w:numPr>
        <w:shd w:val="clear" w:color="auto" w:fill="auto"/>
        <w:spacing w:line="360" w:lineRule="auto"/>
        <w:ind w:firstLine="420" w:firstLineChars="200"/>
        <w:rPr>
          <w:rFonts w:hint="eastAsia" w:hAnsi="宋体"/>
          <w:color w:val="auto"/>
          <w:szCs w:val="21"/>
          <w:highlight w:val="none"/>
          <w:u w:val="single"/>
          <w:lang w:val="en-US" w:eastAsia="zh-CN"/>
        </w:rPr>
      </w:pPr>
      <w:r>
        <w:rPr>
          <w:rFonts w:hint="eastAsia" w:hAnsi="宋体"/>
          <w:color w:val="auto"/>
          <w:szCs w:val="21"/>
          <w:highlight w:val="none"/>
          <w:u w:val="single"/>
          <w:lang w:val="en-US" w:eastAsia="zh-CN"/>
        </w:rPr>
        <w:t>（2）投标下浮率不低于0%为有效报价；当投标下浮率＞10%时应附成本分析报告，充分说明单价和费用的组成、降低成本的合理措施及在其他工程中应用过的经验等，经评审通过后方可视为有效报价。</w:t>
      </w:r>
    </w:p>
    <w:p>
      <w:pPr>
        <w:pStyle w:val="9"/>
        <w:numPr>
          <w:ilvl w:val="0"/>
          <w:numId w:val="0"/>
        </w:numPr>
        <w:shd w:val="clear" w:color="auto" w:fill="auto"/>
        <w:spacing w:line="360" w:lineRule="auto"/>
        <w:ind w:firstLine="420" w:firstLineChars="200"/>
        <w:rPr>
          <w:rFonts w:hint="eastAsia" w:hAnsi="宋体"/>
          <w:color w:val="auto"/>
          <w:szCs w:val="21"/>
          <w:highlight w:val="none"/>
          <w:u w:val="single"/>
          <w:lang w:val="en-US" w:eastAsia="zh-CN"/>
        </w:rPr>
      </w:pPr>
      <w:r>
        <w:rPr>
          <w:rFonts w:hint="eastAsia" w:hAnsi="宋体"/>
          <w:color w:val="auto"/>
          <w:szCs w:val="21"/>
          <w:highlight w:val="none"/>
          <w:u w:val="single"/>
          <w:lang w:val="en-US" w:eastAsia="zh-CN"/>
        </w:rPr>
        <w:t>（3）价格分计算时，投标人评标价按（100-投标人填写的下浮数值）参与计算。如：下浮率为1.88％时，评标价按（100-1.88）参与计算。</w:t>
      </w:r>
    </w:p>
    <w:p>
      <w:pPr>
        <w:pStyle w:val="4"/>
        <w:keepNext w:val="0"/>
        <w:keepLines w:val="0"/>
        <w:pageBreakBefore w:val="0"/>
        <w:widowControl w:val="0"/>
        <w:numPr>
          <w:ilvl w:val="0"/>
          <w:numId w:val="0"/>
        </w:numPr>
        <w:kinsoku/>
        <w:wordWrap/>
        <w:overflowPunct/>
        <w:topLinePunct w:val="0"/>
        <w:bidi w:val="0"/>
        <w:snapToGrid/>
        <w:spacing w:line="400" w:lineRule="exact"/>
        <w:ind w:leftChars="0"/>
        <w:textAlignment w:val="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pPr>
        <w:pStyle w:val="9"/>
        <w:keepNext w:val="0"/>
        <w:keepLines w:val="0"/>
        <w:pageBreakBefore w:val="0"/>
        <w:widowControl w:val="0"/>
        <w:kinsoku/>
        <w:wordWrap/>
        <w:overflowPunct/>
        <w:topLinePunct w:val="0"/>
        <w:bidi w:val="0"/>
        <w:snapToGrid/>
        <w:spacing w:line="400" w:lineRule="exact"/>
        <w:ind w:left="0" w:leftChars="0" w:firstLine="420" w:firstLineChars="200"/>
        <w:textAlignment w:val="auto"/>
        <w:rPr>
          <w:rFonts w:hint="eastAsia" w:ascii="宋体" w:hAnsi="宋体" w:eastAsia="宋体" w:cs="宋体"/>
          <w:b w:val="0"/>
          <w:bCs w:val="0"/>
          <w:color w:val="auto"/>
          <w:kern w:val="2"/>
          <w:sz w:val="21"/>
          <w:szCs w:val="21"/>
          <w:u w:val="single"/>
          <w:lang w:val="en-US" w:eastAsia="zh-CN" w:bidi="ar-SA"/>
        </w:rPr>
      </w:pPr>
      <w:r>
        <w:rPr>
          <w:rFonts w:hint="eastAsia" w:ascii="宋体" w:hAnsi="宋体" w:eastAsia="宋体" w:cs="宋体"/>
          <w:b w:val="0"/>
          <w:bCs w:val="0"/>
          <w:color w:val="auto"/>
          <w:kern w:val="2"/>
          <w:sz w:val="21"/>
          <w:szCs w:val="21"/>
          <w:u w:val="single"/>
          <w:lang w:val="en-US" w:eastAsia="zh-CN" w:bidi="ar-SA"/>
        </w:rPr>
        <w:t>本合同采用总价形式，最终合同结算价为：（审定初步设计概算监理费+ 初设概算监理计费范围以外的监理工作费用）×（1-投标下浮率）±合同内约定且实际发生的相关奖罚费用 + 招标代理服务费。</w:t>
      </w:r>
    </w:p>
    <w:p>
      <w:pPr>
        <w:pStyle w:val="9"/>
        <w:keepNext w:val="0"/>
        <w:keepLines w:val="0"/>
        <w:pageBreakBefore w:val="0"/>
        <w:widowControl w:val="0"/>
        <w:kinsoku/>
        <w:wordWrap/>
        <w:overflowPunct/>
        <w:topLinePunct w:val="0"/>
        <w:bidi w:val="0"/>
        <w:snapToGrid/>
        <w:spacing w:line="400" w:lineRule="exact"/>
        <w:ind w:left="0" w:leftChars="0" w:firstLine="420" w:firstLineChars="200"/>
        <w:textAlignment w:val="auto"/>
        <w:rPr>
          <w:rFonts w:hint="eastAsia" w:ascii="宋体" w:hAnsi="宋体" w:eastAsia="宋体" w:cs="宋体"/>
          <w:b w:val="0"/>
          <w:bCs w:val="0"/>
          <w:color w:val="auto"/>
          <w:kern w:val="2"/>
          <w:sz w:val="21"/>
          <w:szCs w:val="21"/>
          <w:u w:val="single"/>
          <w:lang w:val="en-US" w:eastAsia="zh-CN" w:bidi="ar-SA"/>
        </w:rPr>
      </w:pPr>
      <w:r>
        <w:rPr>
          <w:rFonts w:hint="eastAsia" w:ascii="宋体" w:hAnsi="宋体" w:eastAsia="宋体" w:cs="宋体"/>
          <w:b w:val="0"/>
          <w:bCs w:val="0"/>
          <w:color w:val="auto"/>
          <w:kern w:val="2"/>
          <w:sz w:val="21"/>
          <w:szCs w:val="21"/>
          <w:u w:val="single"/>
          <w:lang w:val="en-US" w:eastAsia="zh-CN" w:bidi="ar-SA"/>
        </w:rPr>
        <w:t>其中：</w:t>
      </w:r>
    </w:p>
    <w:p>
      <w:pPr>
        <w:pStyle w:val="9"/>
        <w:keepNext w:val="0"/>
        <w:keepLines w:val="0"/>
        <w:pageBreakBefore w:val="0"/>
        <w:widowControl w:val="0"/>
        <w:numPr>
          <w:ilvl w:val="0"/>
          <w:numId w:val="2"/>
        </w:numPr>
        <w:kinsoku/>
        <w:wordWrap/>
        <w:overflowPunct/>
        <w:topLinePunct w:val="0"/>
        <w:bidi w:val="0"/>
        <w:snapToGrid/>
        <w:spacing w:line="400" w:lineRule="exact"/>
        <w:ind w:left="0" w:leftChars="0" w:firstLine="420" w:firstLineChars="200"/>
        <w:textAlignment w:val="auto"/>
        <w:rPr>
          <w:rFonts w:hint="eastAsia" w:ascii="宋体" w:hAnsi="宋体" w:eastAsia="宋体" w:cs="宋体"/>
          <w:b w:val="0"/>
          <w:bCs w:val="0"/>
          <w:color w:val="auto"/>
          <w:kern w:val="2"/>
          <w:sz w:val="21"/>
          <w:szCs w:val="21"/>
          <w:u w:val="single"/>
          <w:lang w:val="en-US" w:eastAsia="zh-CN" w:bidi="ar-SA"/>
        </w:rPr>
      </w:pPr>
      <w:r>
        <w:rPr>
          <w:rFonts w:hint="eastAsia" w:ascii="宋体" w:hAnsi="宋体" w:eastAsia="宋体" w:cs="宋体"/>
          <w:b w:val="0"/>
          <w:bCs w:val="0"/>
          <w:color w:val="auto"/>
          <w:kern w:val="2"/>
          <w:sz w:val="21"/>
          <w:szCs w:val="21"/>
          <w:u w:val="single"/>
          <w:lang w:val="en-US" w:eastAsia="zh-CN" w:bidi="ar-SA"/>
        </w:rPr>
        <w:t>审定初步设计概算监理费：</w:t>
      </w:r>
    </w:p>
    <w:p>
      <w:pPr>
        <w:pStyle w:val="9"/>
        <w:keepNext w:val="0"/>
        <w:keepLines w:val="0"/>
        <w:pageBreakBefore w:val="0"/>
        <w:widowControl w:val="0"/>
        <w:numPr>
          <w:ilvl w:val="0"/>
          <w:numId w:val="0"/>
        </w:numPr>
        <w:kinsoku/>
        <w:wordWrap/>
        <w:overflowPunct/>
        <w:topLinePunct w:val="0"/>
        <w:bidi w:val="0"/>
        <w:snapToGrid/>
        <w:spacing w:line="400" w:lineRule="exact"/>
        <w:ind w:firstLine="420" w:firstLineChars="200"/>
        <w:textAlignment w:val="auto"/>
        <w:rPr>
          <w:rFonts w:hint="eastAsia" w:ascii="宋体" w:hAnsi="宋体" w:eastAsia="宋体" w:cs="宋体"/>
          <w:b w:val="0"/>
          <w:bCs w:val="0"/>
          <w:color w:val="auto"/>
          <w:kern w:val="2"/>
          <w:sz w:val="21"/>
          <w:szCs w:val="21"/>
          <w:u w:val="single"/>
          <w:lang w:val="en-US" w:eastAsia="zh-CN" w:bidi="ar-SA"/>
        </w:rPr>
      </w:pPr>
      <w:r>
        <w:rPr>
          <w:rFonts w:hint="eastAsia" w:ascii="宋体" w:hAnsi="宋体" w:cs="宋体"/>
          <w:b w:val="0"/>
          <w:bCs w:val="0"/>
          <w:color w:val="auto"/>
          <w:kern w:val="2"/>
          <w:sz w:val="21"/>
          <w:szCs w:val="21"/>
          <w:u w:val="single"/>
          <w:lang w:val="en-US" w:eastAsia="zh-CN" w:bidi="ar-SA"/>
        </w:rPr>
        <w:t>1）</w:t>
      </w:r>
      <w:r>
        <w:rPr>
          <w:rFonts w:hint="eastAsia" w:ascii="宋体" w:hAnsi="宋体" w:eastAsia="宋体" w:cs="宋体"/>
          <w:b w:val="0"/>
          <w:bCs w:val="0"/>
          <w:color w:val="auto"/>
          <w:kern w:val="2"/>
          <w:sz w:val="21"/>
          <w:szCs w:val="21"/>
          <w:u w:val="single"/>
          <w:lang w:val="en-US" w:eastAsia="zh-CN" w:bidi="ar-SA"/>
        </w:rPr>
        <w:t>须与中标单位在本项目中参与的项目实施阶段对应，结算时由业主项目部进行复核确认。如中标单位未参与勘察设计阶段的监理工作，需扣除13%的监理费；如中标单位参与勘察设计阶段的监理工作，则按其所参与的阶段分别计取：勘察阶段按3%，初步设计阶段按4%、施工图设计阶段按6%。</w:t>
      </w:r>
    </w:p>
    <w:p>
      <w:pPr>
        <w:pStyle w:val="9"/>
        <w:keepNext w:val="0"/>
        <w:keepLines w:val="0"/>
        <w:pageBreakBefore w:val="0"/>
        <w:widowControl w:val="0"/>
        <w:numPr>
          <w:ilvl w:val="0"/>
          <w:numId w:val="0"/>
        </w:numPr>
        <w:kinsoku/>
        <w:wordWrap/>
        <w:overflowPunct/>
        <w:topLinePunct w:val="0"/>
        <w:bidi w:val="0"/>
        <w:snapToGrid/>
        <w:spacing w:line="400" w:lineRule="exact"/>
        <w:ind w:firstLine="420" w:firstLineChars="200"/>
        <w:textAlignment w:val="auto"/>
        <w:rPr>
          <w:rFonts w:hint="eastAsia" w:ascii="宋体" w:hAnsi="宋体" w:cs="宋体"/>
          <w:b w:val="0"/>
          <w:bCs w:val="0"/>
          <w:color w:val="auto"/>
          <w:kern w:val="2"/>
          <w:sz w:val="21"/>
          <w:szCs w:val="21"/>
          <w:u w:val="single"/>
          <w:lang w:val="en-US" w:eastAsia="zh-CN" w:bidi="ar-SA"/>
        </w:rPr>
      </w:pPr>
      <w:r>
        <w:rPr>
          <w:rFonts w:hint="eastAsia" w:ascii="宋体" w:hAnsi="宋体" w:cs="宋体"/>
          <w:b w:val="0"/>
          <w:bCs w:val="0"/>
          <w:color w:val="auto"/>
          <w:kern w:val="2"/>
          <w:sz w:val="21"/>
          <w:szCs w:val="21"/>
          <w:u w:val="single"/>
          <w:lang w:val="en-US" w:eastAsia="zh-CN" w:bidi="ar-SA"/>
        </w:rPr>
        <w:t>2）根据《关于印发公司基于安全管理的主网基建项目施工监理费用指导意见（试行）的通知》要求调整监理费结算金额。</w:t>
      </w:r>
    </w:p>
    <w:p>
      <w:pPr>
        <w:pStyle w:val="9"/>
        <w:keepNext w:val="0"/>
        <w:keepLines w:val="0"/>
        <w:pageBreakBefore w:val="0"/>
        <w:widowControl w:val="0"/>
        <w:numPr>
          <w:ilvl w:val="0"/>
          <w:numId w:val="0"/>
        </w:numPr>
        <w:kinsoku/>
        <w:wordWrap/>
        <w:overflowPunct/>
        <w:topLinePunct w:val="0"/>
        <w:bidi w:val="0"/>
        <w:snapToGrid/>
        <w:spacing w:line="400" w:lineRule="exact"/>
        <w:ind w:firstLine="420" w:firstLineChars="200"/>
        <w:textAlignment w:val="auto"/>
        <w:rPr>
          <w:rFonts w:hint="default" w:ascii="宋体" w:hAnsi="宋体" w:cs="宋体"/>
          <w:b w:val="0"/>
          <w:bCs w:val="0"/>
          <w:color w:val="auto"/>
          <w:kern w:val="2"/>
          <w:sz w:val="21"/>
          <w:szCs w:val="21"/>
          <w:u w:val="single"/>
          <w:lang w:val="en-US" w:eastAsia="zh-CN" w:bidi="ar-SA"/>
        </w:rPr>
      </w:pPr>
      <w:r>
        <w:rPr>
          <w:rFonts w:hint="eastAsia" w:ascii="宋体" w:hAnsi="宋体" w:cs="宋体"/>
          <w:b w:val="0"/>
          <w:bCs w:val="0"/>
          <w:color w:val="auto"/>
          <w:kern w:val="2"/>
          <w:sz w:val="21"/>
          <w:szCs w:val="21"/>
          <w:u w:val="single"/>
          <w:lang w:val="en-US" w:eastAsia="zh-CN" w:bidi="ar-SA"/>
        </w:rPr>
        <w:t>3）</w:t>
      </w:r>
      <w:r>
        <w:rPr>
          <w:rFonts w:hint="eastAsia" w:ascii="宋体" w:hAnsi="宋体" w:eastAsia="宋体" w:cs="宋体"/>
          <w:b w:val="0"/>
          <w:bCs w:val="0"/>
          <w:color w:val="auto"/>
          <w:kern w:val="2"/>
          <w:sz w:val="21"/>
          <w:szCs w:val="21"/>
          <w:u w:val="single"/>
          <w:lang w:val="en-US" w:eastAsia="zh-CN" w:bidi="ar-SA"/>
        </w:rPr>
        <w:t>因规模变化需要调整可研、初设、施工图的，结算价按调整后批复的初设概算对应参与阶段的监理费用×（1-投标下浮率）进行结算。</w:t>
      </w:r>
    </w:p>
    <w:p>
      <w:pPr>
        <w:pStyle w:val="9"/>
        <w:keepNext w:val="0"/>
        <w:keepLines w:val="0"/>
        <w:pageBreakBefore w:val="0"/>
        <w:widowControl w:val="0"/>
        <w:kinsoku/>
        <w:wordWrap/>
        <w:overflowPunct/>
        <w:topLinePunct w:val="0"/>
        <w:bidi w:val="0"/>
        <w:snapToGrid/>
        <w:spacing w:line="400" w:lineRule="exact"/>
        <w:ind w:left="0" w:leftChars="0" w:firstLine="420" w:firstLineChars="200"/>
        <w:textAlignment w:val="auto"/>
        <w:rPr>
          <w:rFonts w:hint="eastAsia" w:ascii="宋体" w:hAnsi="宋体" w:eastAsia="宋体" w:cs="宋体"/>
          <w:b w:val="0"/>
          <w:bCs w:val="0"/>
          <w:color w:val="auto"/>
          <w:kern w:val="2"/>
          <w:sz w:val="21"/>
          <w:szCs w:val="21"/>
          <w:u w:val="single"/>
          <w:lang w:val="en-US" w:eastAsia="zh-CN" w:bidi="ar-SA"/>
        </w:rPr>
      </w:pPr>
      <w:r>
        <w:rPr>
          <w:rFonts w:hint="eastAsia" w:ascii="宋体" w:hAnsi="宋体" w:eastAsia="宋体" w:cs="宋体"/>
          <w:b w:val="0"/>
          <w:bCs w:val="0"/>
          <w:color w:val="auto"/>
          <w:kern w:val="2"/>
          <w:sz w:val="21"/>
          <w:szCs w:val="21"/>
          <w:u w:val="single"/>
          <w:lang w:val="en-US" w:eastAsia="zh-CN" w:bidi="ar-SA"/>
        </w:rPr>
        <w:t>（2）“初设概算监理计费范围以外的监理工作”包括但不限于：监理单位对路面修复（含市政路面、公路等）、交通疏解、跨（穿）越铁路/公路、管线迁移、绿化迁移、林木砍伐等各项取费基数不包含在初设概算监理费计费基数中的非本体工程的监理见证工作。其监理费用取费基数为初设概算监理计费范围以外实际发生、且经由监理人见证确认部分的工程费用，该工程费用以业主项目部或第三方审核机构审定的为准；取费费率按照《关于落实《国家发展改革委关于进一步放开建设项目专业服务价格的通知》(发改价格[2015]299号)的指导意见（中电联定额[2015]162号文）》相关规定执行，不足部分参照相关行业费用计算规定执行。项目实施过程中如有最新规定，按新的政策性文件执行。</w:t>
      </w:r>
    </w:p>
    <w:p>
      <w:pPr>
        <w:pStyle w:val="9"/>
        <w:keepNext w:val="0"/>
        <w:keepLines w:val="0"/>
        <w:pageBreakBefore w:val="0"/>
        <w:widowControl w:val="0"/>
        <w:kinsoku/>
        <w:wordWrap/>
        <w:overflowPunct/>
        <w:topLinePunct w:val="0"/>
        <w:bidi w:val="0"/>
        <w:snapToGrid/>
        <w:spacing w:line="400" w:lineRule="exact"/>
        <w:ind w:left="0" w:leftChars="0" w:firstLine="420" w:firstLineChars="200"/>
        <w:textAlignment w:val="auto"/>
        <w:rPr>
          <w:rFonts w:hint="eastAsia" w:ascii="宋体" w:hAnsi="宋体" w:eastAsia="宋体" w:cs="宋体"/>
          <w:b w:val="0"/>
          <w:bCs w:val="0"/>
          <w:color w:val="auto"/>
          <w:kern w:val="2"/>
          <w:sz w:val="21"/>
          <w:szCs w:val="21"/>
          <w:u w:val="single"/>
          <w:lang w:val="en-US" w:eastAsia="zh-CN" w:bidi="ar-SA"/>
        </w:rPr>
      </w:pPr>
      <w:r>
        <w:rPr>
          <w:rFonts w:hint="eastAsia" w:ascii="宋体" w:hAnsi="宋体" w:eastAsia="宋体" w:cs="宋体"/>
          <w:b w:val="0"/>
          <w:bCs w:val="0"/>
          <w:color w:val="auto"/>
          <w:kern w:val="2"/>
          <w:sz w:val="21"/>
          <w:szCs w:val="21"/>
          <w:u w:val="single"/>
          <w:lang w:val="en-US" w:eastAsia="zh-CN" w:bidi="ar-SA"/>
        </w:rPr>
        <w:t>（3）招标代理服务费按实际支付给招标代理的费用为准，监理人可在预付款申请或进度款申请时同时申请支付。</w:t>
      </w:r>
    </w:p>
    <w:p>
      <w:pPr>
        <w:pStyle w:val="9"/>
        <w:keepNext w:val="0"/>
        <w:keepLines w:val="0"/>
        <w:pageBreakBefore w:val="0"/>
        <w:widowControl w:val="0"/>
        <w:kinsoku/>
        <w:wordWrap/>
        <w:overflowPunct/>
        <w:topLinePunct w:val="0"/>
        <w:bidi w:val="0"/>
        <w:snapToGrid/>
        <w:spacing w:line="400" w:lineRule="exact"/>
        <w:ind w:left="0" w:leftChars="0" w:firstLine="420" w:firstLineChars="200"/>
        <w:textAlignment w:val="auto"/>
        <w:rPr>
          <w:rFonts w:hint="eastAsia" w:hAnsi="宋体"/>
          <w:color w:val="auto"/>
          <w:szCs w:val="21"/>
          <w:highlight w:val="none"/>
          <w:u w:val="single"/>
          <w:lang w:val="en-US" w:eastAsia="zh-CN"/>
        </w:rPr>
      </w:pPr>
      <w:r>
        <w:rPr>
          <w:rFonts w:hint="eastAsia" w:ascii="宋体" w:hAnsi="宋体" w:eastAsia="宋体" w:cs="宋体"/>
          <w:b w:val="0"/>
          <w:bCs w:val="0"/>
          <w:color w:val="auto"/>
          <w:kern w:val="2"/>
          <w:sz w:val="21"/>
          <w:szCs w:val="21"/>
          <w:u w:val="single"/>
          <w:lang w:val="en-US" w:eastAsia="zh-CN" w:bidi="ar-SA"/>
        </w:rPr>
        <w:t>（4）投标下浮率（%）＝（1-投标报价/最高投标限价）×100%</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pPr>
        <w:pStyle w:val="10"/>
        <w:keepNext w:val="0"/>
        <w:keepLines w:val="0"/>
        <w:pageBreakBefore w:val="0"/>
        <w:widowControl w:val="0"/>
        <w:numPr>
          <w:ilvl w:val="0"/>
          <w:numId w:val="0"/>
        </w:numPr>
        <w:kinsoku/>
        <w:wordWrap/>
        <w:overflowPunct/>
        <w:topLinePunct w:val="0"/>
        <w:bidi w:val="0"/>
        <w:snapToGrid/>
        <w:spacing w:line="400" w:lineRule="exact"/>
        <w:textAlignment w:val="auto"/>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pPr>
        <w:pStyle w:val="10"/>
        <w:keepNext w:val="0"/>
        <w:keepLines w:val="0"/>
        <w:pageBreakBefore w:val="0"/>
        <w:widowControl w:val="0"/>
        <w:numPr>
          <w:ilvl w:val="0"/>
          <w:numId w:val="0"/>
        </w:numPr>
        <w:kinsoku/>
        <w:wordWrap/>
        <w:overflowPunct/>
        <w:topLinePunct w:val="0"/>
        <w:bidi w:val="0"/>
        <w:snapToGrid/>
        <w:spacing w:line="400" w:lineRule="exact"/>
        <w:textAlignment w:val="auto"/>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pPr>
        <w:pStyle w:val="8"/>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                                     </w:t>
      </w:r>
    </w:p>
    <w:p>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pPr>
        <w:pStyle w:val="2"/>
        <w:keepNext w:val="0"/>
        <w:keepLines w:val="0"/>
        <w:pageBreakBefore w:val="0"/>
        <w:widowControl w:val="0"/>
        <w:numPr>
          <w:ilvl w:val="0"/>
          <w:numId w:val="3"/>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bookmarkStart w:id="1"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1"/>
    </w:p>
    <w:p>
      <w:pPr>
        <w:pStyle w:val="2"/>
        <w:rPr>
          <w:rFonts w:hint="eastAsia" w:asciiTheme="minorEastAsia" w:hAnsiTheme="minorEastAsia" w:eastAsiaTheme="minorEastAsia" w:cstheme="minorEastAsia"/>
          <w:i w:val="0"/>
          <w:iCs/>
          <w:color w:val="auto"/>
          <w:sz w:val="24"/>
          <w:szCs w:val="24"/>
          <w:highlight w:val="none"/>
        </w:rPr>
      </w:pPr>
    </w:p>
    <w:p>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bookmarkStart w:id="2"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2"/>
    </w:p>
    <w:p>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（一）满足中国南方电网有限责任公司《监理项目部工作手册》、中国南方电网有限责任公司基建管理制度、建设单位的质量、环境和职业健康安全管理体系文件、其他有关制度和规定。</w:t>
      </w:r>
    </w:p>
    <w:p>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pPr>
        <w:pStyle w:val="2"/>
        <w:numPr>
          <w:ilvl w:val="0"/>
          <w:numId w:val="0"/>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pPr>
        <w:pStyle w:val="2"/>
        <w:numPr>
          <w:ilvl w:val="0"/>
          <w:numId w:val="4"/>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pPr>
        <w:pStyle w:val="2"/>
        <w:numPr>
          <w:ilvl w:val="0"/>
          <w:numId w:val="4"/>
        </w:numPr>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pPr>
        <w:pStyle w:val="2"/>
        <w:numPr>
          <w:ilvl w:val="0"/>
          <w:numId w:val="4"/>
        </w:numPr>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pPr>
        <w:pStyle w:val="2"/>
        <w:numPr>
          <w:ilvl w:val="0"/>
          <w:numId w:val="4"/>
        </w:numPr>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pPr>
        <w:pStyle w:val="2"/>
        <w:numPr>
          <w:ilvl w:val="0"/>
          <w:numId w:val="4"/>
        </w:numPr>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pPr>
        <w:pStyle w:val="2"/>
        <w:numPr>
          <w:ilvl w:val="0"/>
          <w:numId w:val="4"/>
        </w:numPr>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pPr>
        <w:pStyle w:val="2"/>
        <w:numPr>
          <w:ilvl w:val="0"/>
          <w:numId w:val="4"/>
        </w:numPr>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pPr>
        <w:pStyle w:val="2"/>
        <w:numPr>
          <w:ilvl w:val="0"/>
          <w:numId w:val="4"/>
        </w:numPr>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pPr>
        <w:pStyle w:val="2"/>
        <w:numPr>
          <w:ilvl w:val="0"/>
          <w:numId w:val="4"/>
        </w:numPr>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pPr>
        <w:pStyle w:val="4"/>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3" w:name="_Toc482188640"/>
      <w:bookmarkStart w:id="4" w:name="_Toc11396"/>
      <w:r>
        <w:rPr>
          <w:rFonts w:hint="eastAsia" w:asciiTheme="minorEastAsia" w:hAnsiTheme="minorEastAsia" w:eastAsiaTheme="minorEastAsia" w:cstheme="minorEastAsia"/>
          <w:i w:val="0"/>
          <w:iCs/>
          <w:color w:val="auto"/>
          <w:sz w:val="24"/>
          <w:szCs w:val="24"/>
          <w:highlight w:val="none"/>
          <w:lang w:eastAsia="zh-CN"/>
        </w:rPr>
        <w:t>三、</w:t>
      </w:r>
      <w:bookmarkEnd w:id="3"/>
      <w:r>
        <w:rPr>
          <w:rFonts w:hint="eastAsia" w:asciiTheme="minorEastAsia" w:hAnsiTheme="minorEastAsia" w:eastAsiaTheme="minorEastAsia" w:cstheme="minorEastAsia"/>
          <w:i w:val="0"/>
          <w:iCs/>
          <w:color w:val="auto"/>
          <w:sz w:val="24"/>
          <w:szCs w:val="24"/>
          <w:highlight w:val="none"/>
          <w:lang w:eastAsia="zh-CN"/>
        </w:rPr>
        <w:t>图纸</w:t>
      </w:r>
      <w:bookmarkEnd w:id="4"/>
    </w:p>
    <w:p>
      <w:pPr>
        <w:spacing w:line="360" w:lineRule="auto"/>
        <w:ind w:firstLine="480" w:firstLineChars="200"/>
        <w:rPr>
          <w:rFonts w:hint="eastAsia"/>
          <w:color w:val="auto"/>
          <w:sz w:val="24"/>
          <w:szCs w:val="24"/>
          <w:highlight w:val="none"/>
        </w:rPr>
      </w:pPr>
      <w:bookmarkStart w:id="5" w:name="_Toc482188644"/>
      <w:r>
        <w:rPr>
          <w:rFonts w:hint="eastAsia"/>
          <w:color w:val="auto"/>
          <w:sz w:val="24"/>
          <w:szCs w:val="24"/>
          <w:highlight w:val="none"/>
        </w:rPr>
        <w:t>有关设计文件、图纸及资料。</w:t>
      </w:r>
    </w:p>
    <w:p>
      <w:pPr>
        <w:pStyle w:val="4"/>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6" w:name="_Toc30760"/>
      <w:r>
        <w:rPr>
          <w:rFonts w:hint="eastAsia" w:asciiTheme="minorEastAsia" w:hAnsiTheme="minorEastAsia" w:eastAsiaTheme="minorEastAsia" w:cstheme="minorEastAsia"/>
          <w:i w:val="0"/>
          <w:iCs/>
          <w:color w:val="auto"/>
          <w:sz w:val="24"/>
          <w:szCs w:val="24"/>
          <w:highlight w:val="none"/>
          <w:lang w:eastAsia="zh-CN"/>
        </w:rPr>
        <w:t>四、</w:t>
      </w:r>
      <w:bookmarkEnd w:id="5"/>
      <w:bookmarkStart w:id="7" w:name="_Toc482188646"/>
      <w:r>
        <w:rPr>
          <w:rFonts w:hint="eastAsia" w:asciiTheme="minorEastAsia" w:hAnsiTheme="minorEastAsia" w:eastAsiaTheme="minorEastAsia" w:cstheme="minorEastAsia"/>
          <w:i w:val="0"/>
          <w:iCs/>
          <w:color w:val="auto"/>
          <w:sz w:val="24"/>
          <w:szCs w:val="24"/>
          <w:highlight w:val="none"/>
          <w:lang w:eastAsia="zh-CN"/>
        </w:rPr>
        <w:t>其他要求</w:t>
      </w:r>
      <w:bookmarkEnd w:id="6"/>
      <w:bookmarkEnd w:id="7"/>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招标</w:t>
      </w:r>
      <w:r>
        <w:rPr>
          <w:rFonts w:hint="eastAsia" w:asciiTheme="minorEastAsia" w:hAnsiTheme="minorEastAsia" w:eastAsiaTheme="minorEastAsia" w:cstheme="minorEastAsia"/>
          <w:color w:val="auto"/>
          <w:sz w:val="24"/>
          <w:szCs w:val="24"/>
          <w:highlight w:val="none"/>
        </w:rPr>
        <w:t>人根据委托的监理范围和内容，随招标文件向投标人提供与监理范围和内容有关的以下文件、资料：</w:t>
      </w:r>
    </w:p>
    <w:p>
      <w:pPr>
        <w:spacing w:line="360" w:lineRule="auto"/>
        <w:ind w:firstLine="480" w:firstLineChars="200"/>
        <w:rPr>
          <w:rFonts w:hint="eastAsia" w:ascii="宋体" w:hAnsi="宋体" w:eastAsia="宋体" w:cs="宋体"/>
          <w:color w:val="auto"/>
          <w:sz w:val="24"/>
          <w:szCs w:val="24"/>
          <w:highlight w:val="none"/>
          <w:u w:val="single"/>
          <w:vertAlign w:val="baseline"/>
          <w:lang w:val="en-US" w:eastAsia="zh-CN"/>
        </w:rPr>
      </w:pPr>
      <w:r>
        <w:rPr>
          <w:rFonts w:hint="eastAsia" w:asciiTheme="minorEastAsia" w:hAnsiTheme="minorEastAsia" w:eastAsiaTheme="minorEastAsia" w:cstheme="minorEastAsia"/>
          <w:color w:val="auto"/>
          <w:sz w:val="24"/>
          <w:szCs w:val="24"/>
          <w:highlight w:val="none"/>
        </w:rPr>
        <w:t>（1）工程前期有关文件（</w:t>
      </w:r>
      <w:r>
        <w:rPr>
          <w:rFonts w:hint="eastAsia" w:asciiTheme="minorEastAsia" w:hAnsiTheme="minorEastAsia" w:eastAsiaTheme="minorEastAsia" w:cstheme="minorEastAsia"/>
          <w:color w:val="auto"/>
          <w:sz w:val="24"/>
          <w:szCs w:val="24"/>
          <w:highlight w:val="none"/>
          <w:lang w:val="en-US" w:eastAsia="zh-CN"/>
        </w:rPr>
        <w:t>可研</w:t>
      </w:r>
      <w:r>
        <w:rPr>
          <w:rFonts w:hint="eastAsia" w:asciiTheme="minorEastAsia" w:hAnsiTheme="minorEastAsia" w:eastAsiaTheme="minorEastAsia" w:cstheme="minorEastAsia"/>
          <w:color w:val="auto"/>
          <w:sz w:val="24"/>
          <w:szCs w:val="24"/>
          <w:highlight w:val="none"/>
        </w:rPr>
        <w:t>审批文件）</w:t>
      </w:r>
      <w:r>
        <w:rPr>
          <w:rFonts w:hint="eastAsia" w:asciiTheme="minorEastAsia" w:hAnsiTheme="minorEastAsia" w:eastAsiaTheme="minorEastAsia" w:cstheme="minorEastAsia"/>
          <w:color w:val="auto"/>
          <w:sz w:val="24"/>
          <w:szCs w:val="24"/>
          <w:highlight w:val="none"/>
          <w:lang w:eastAsia="zh-CN"/>
        </w:rPr>
        <w:t>。</w:t>
      </w:r>
    </w:p>
    <w:p>
      <w:pPr>
        <w:pStyle w:val="2"/>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p>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821622"/>
    <w:multiLevelType w:val="singleLevel"/>
    <w:tmpl w:val="CC821622"/>
    <w:lvl w:ilvl="0" w:tentative="0">
      <w:start w:val="1"/>
      <w:numFmt w:val="decimal"/>
      <w:suff w:val="nothing"/>
      <w:lvlText w:val="（%1）"/>
      <w:lvlJc w:val="left"/>
    </w:lvl>
  </w:abstractNum>
  <w:abstractNum w:abstractNumId="1">
    <w:nsid w:val="EAEE20F8"/>
    <w:multiLevelType w:val="singleLevel"/>
    <w:tmpl w:val="EAEE20F8"/>
    <w:lvl w:ilvl="0" w:tentative="0">
      <w:start w:val="2"/>
      <w:numFmt w:val="chineseCounting"/>
      <w:suff w:val="nothing"/>
      <w:lvlText w:val="第%1部分."/>
      <w:lvlJc w:val="left"/>
      <w:rPr>
        <w:rFonts w:hint="eastAsia"/>
      </w:rPr>
    </w:lvl>
  </w:abstractNum>
  <w:abstractNum w:abstractNumId="2">
    <w:nsid w:val="0D7920FF"/>
    <w:multiLevelType w:val="singleLevel"/>
    <w:tmpl w:val="0D7920FF"/>
    <w:lvl w:ilvl="0" w:tentative="0">
      <w:start w:val="1"/>
      <w:numFmt w:val="chineseCounting"/>
      <w:suff w:val="nothing"/>
      <w:lvlText w:val="第%1部分."/>
      <w:lvlJc w:val="left"/>
      <w:rPr>
        <w:rFonts w:hint="eastAsia"/>
      </w:rPr>
    </w:lvl>
  </w:abstractNum>
  <w:abstractNum w:abstractNumId="3">
    <w:nsid w:val="4122DDE1"/>
    <w:multiLevelType w:val="singleLevel"/>
    <w:tmpl w:val="4122DDE1"/>
    <w:lvl w:ilvl="0" w:tentative="0">
      <w:start w:val="2"/>
      <w:numFmt w:val="decimal"/>
      <w:suff w:val="nothing"/>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1270A5"/>
    <w:rsid w:val="007A4AD7"/>
    <w:rsid w:val="034C42F7"/>
    <w:rsid w:val="039575D4"/>
    <w:rsid w:val="03F1316B"/>
    <w:rsid w:val="04A24F71"/>
    <w:rsid w:val="06F10EB7"/>
    <w:rsid w:val="076F3B3B"/>
    <w:rsid w:val="07CA37DF"/>
    <w:rsid w:val="07CC3833"/>
    <w:rsid w:val="090044B4"/>
    <w:rsid w:val="0A774FDD"/>
    <w:rsid w:val="0BC07002"/>
    <w:rsid w:val="0BD30473"/>
    <w:rsid w:val="0C374288"/>
    <w:rsid w:val="0E2F4C02"/>
    <w:rsid w:val="0E3616E0"/>
    <w:rsid w:val="0E937FF7"/>
    <w:rsid w:val="0F81532F"/>
    <w:rsid w:val="0FEC331E"/>
    <w:rsid w:val="107144D2"/>
    <w:rsid w:val="10730E1E"/>
    <w:rsid w:val="11363DD7"/>
    <w:rsid w:val="116419AD"/>
    <w:rsid w:val="11794537"/>
    <w:rsid w:val="11DF6CFE"/>
    <w:rsid w:val="13383335"/>
    <w:rsid w:val="13BE0DCC"/>
    <w:rsid w:val="14440D4B"/>
    <w:rsid w:val="14B666F3"/>
    <w:rsid w:val="15056A61"/>
    <w:rsid w:val="15E77962"/>
    <w:rsid w:val="182633AB"/>
    <w:rsid w:val="18E57496"/>
    <w:rsid w:val="19C340D1"/>
    <w:rsid w:val="1A133D08"/>
    <w:rsid w:val="1A2D5CFF"/>
    <w:rsid w:val="1A386933"/>
    <w:rsid w:val="1A4F176B"/>
    <w:rsid w:val="1A912F72"/>
    <w:rsid w:val="1B663F82"/>
    <w:rsid w:val="1BCD707C"/>
    <w:rsid w:val="1C2D4629"/>
    <w:rsid w:val="1C43636C"/>
    <w:rsid w:val="1D904223"/>
    <w:rsid w:val="1F653C49"/>
    <w:rsid w:val="1F6C0D31"/>
    <w:rsid w:val="1FF914D4"/>
    <w:rsid w:val="20735046"/>
    <w:rsid w:val="216F4D5B"/>
    <w:rsid w:val="21817226"/>
    <w:rsid w:val="23B738BA"/>
    <w:rsid w:val="24E67795"/>
    <w:rsid w:val="24F737D8"/>
    <w:rsid w:val="25100685"/>
    <w:rsid w:val="2629602A"/>
    <w:rsid w:val="26A73075"/>
    <w:rsid w:val="2B8E0DC3"/>
    <w:rsid w:val="2CA17C08"/>
    <w:rsid w:val="2DDF66E3"/>
    <w:rsid w:val="2F9E44FC"/>
    <w:rsid w:val="2FF65FF8"/>
    <w:rsid w:val="300D195C"/>
    <w:rsid w:val="30343305"/>
    <w:rsid w:val="30BF37B5"/>
    <w:rsid w:val="31C955A9"/>
    <w:rsid w:val="338350FE"/>
    <w:rsid w:val="33B200AF"/>
    <w:rsid w:val="33BC6731"/>
    <w:rsid w:val="33E61BE2"/>
    <w:rsid w:val="361736AD"/>
    <w:rsid w:val="367C3D7A"/>
    <w:rsid w:val="36D200CF"/>
    <w:rsid w:val="379951F8"/>
    <w:rsid w:val="380F1889"/>
    <w:rsid w:val="38382DC3"/>
    <w:rsid w:val="38DE045C"/>
    <w:rsid w:val="3971538C"/>
    <w:rsid w:val="3A546240"/>
    <w:rsid w:val="3BF24D81"/>
    <w:rsid w:val="3BFE7BEA"/>
    <w:rsid w:val="3C4750A3"/>
    <w:rsid w:val="3C4A35F1"/>
    <w:rsid w:val="3DCC46EF"/>
    <w:rsid w:val="3DCF5ED3"/>
    <w:rsid w:val="3E664B6D"/>
    <w:rsid w:val="3ED7087B"/>
    <w:rsid w:val="3F141BFC"/>
    <w:rsid w:val="3F733CDE"/>
    <w:rsid w:val="444D481C"/>
    <w:rsid w:val="44982260"/>
    <w:rsid w:val="44D414C9"/>
    <w:rsid w:val="457540AA"/>
    <w:rsid w:val="46472D5E"/>
    <w:rsid w:val="46921BFD"/>
    <w:rsid w:val="496A657E"/>
    <w:rsid w:val="49843C09"/>
    <w:rsid w:val="4AFE1F77"/>
    <w:rsid w:val="4B3A1BDA"/>
    <w:rsid w:val="4BF83760"/>
    <w:rsid w:val="4C8349B8"/>
    <w:rsid w:val="520D6E5F"/>
    <w:rsid w:val="52A50D9B"/>
    <w:rsid w:val="53115540"/>
    <w:rsid w:val="544F1499"/>
    <w:rsid w:val="557D363A"/>
    <w:rsid w:val="55C3156A"/>
    <w:rsid w:val="5782183A"/>
    <w:rsid w:val="57BD355E"/>
    <w:rsid w:val="57CD248A"/>
    <w:rsid w:val="59A5419F"/>
    <w:rsid w:val="5B0320E2"/>
    <w:rsid w:val="5B8B11A7"/>
    <w:rsid w:val="5B9E2EC4"/>
    <w:rsid w:val="5C6970CA"/>
    <w:rsid w:val="608606DE"/>
    <w:rsid w:val="60EA689A"/>
    <w:rsid w:val="610E324A"/>
    <w:rsid w:val="61F31EFD"/>
    <w:rsid w:val="63066BC7"/>
    <w:rsid w:val="63D0487B"/>
    <w:rsid w:val="64672037"/>
    <w:rsid w:val="64911DA0"/>
    <w:rsid w:val="64DB776F"/>
    <w:rsid w:val="65945D8D"/>
    <w:rsid w:val="66483CCB"/>
    <w:rsid w:val="66C35559"/>
    <w:rsid w:val="67D57489"/>
    <w:rsid w:val="68570F93"/>
    <w:rsid w:val="69A17DC5"/>
    <w:rsid w:val="6A287B5E"/>
    <w:rsid w:val="6AB96187"/>
    <w:rsid w:val="6B303A1A"/>
    <w:rsid w:val="6DAA2FDF"/>
    <w:rsid w:val="6DD258DC"/>
    <w:rsid w:val="6E121228"/>
    <w:rsid w:val="6E546910"/>
    <w:rsid w:val="6FC971BF"/>
    <w:rsid w:val="70D1495F"/>
    <w:rsid w:val="70ED510D"/>
    <w:rsid w:val="741F72F3"/>
    <w:rsid w:val="74695E39"/>
    <w:rsid w:val="74BA59EB"/>
    <w:rsid w:val="754C6F3B"/>
    <w:rsid w:val="75B11AFF"/>
    <w:rsid w:val="75D32619"/>
    <w:rsid w:val="75D7406F"/>
    <w:rsid w:val="765369C1"/>
    <w:rsid w:val="767D6887"/>
    <w:rsid w:val="778203F0"/>
    <w:rsid w:val="77E2713E"/>
    <w:rsid w:val="780B6A75"/>
    <w:rsid w:val="79F83E18"/>
    <w:rsid w:val="7A262145"/>
    <w:rsid w:val="7A53531F"/>
    <w:rsid w:val="7BCE5483"/>
    <w:rsid w:val="7BEC3F2B"/>
    <w:rsid w:val="7D0F76D8"/>
    <w:rsid w:val="7D675B4E"/>
    <w:rsid w:val="7E3420E0"/>
    <w:rsid w:val="7E535DCD"/>
    <w:rsid w:val="7F7B4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5">
    <w:name w:val="Normal Indent"/>
    <w:basedOn w:val="1"/>
    <w:qFormat/>
    <w:uiPriority w:val="0"/>
    <w:pPr>
      <w:ind w:firstLine="420"/>
    </w:pPr>
    <w:rPr>
      <w:rFonts w:ascii="Times New Roman" w:hAnsi="Times New Roman" w:cs="Times New Roman"/>
      <w:kern w:val="0"/>
      <w:sz w:val="20"/>
      <w:szCs w:val="20"/>
    </w:rPr>
  </w:style>
  <w:style w:type="paragraph" w:styleId="6">
    <w:name w:val="annotation text"/>
    <w:basedOn w:val="1"/>
    <w:qFormat/>
    <w:uiPriority w:val="0"/>
    <w:pPr>
      <w:jc w:val="left"/>
    </w:pPr>
  </w:style>
  <w:style w:type="paragraph" w:styleId="7">
    <w:name w:val="Body Text"/>
    <w:basedOn w:val="1"/>
    <w:next w:val="8"/>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8">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9">
    <w:name w:val="Body Text Indent"/>
    <w:basedOn w:val="1"/>
    <w:qFormat/>
    <w:uiPriority w:val="0"/>
    <w:pPr>
      <w:spacing w:after="120"/>
      <w:ind w:left="420" w:leftChars="200"/>
    </w:pPr>
  </w:style>
  <w:style w:type="paragraph" w:styleId="10">
    <w:name w:val="Body Text First Indent"/>
    <w:basedOn w:val="7"/>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1272</Words>
  <Characters>1433</Characters>
  <Lines>0</Lines>
  <Paragraphs>0</Paragraphs>
  <TotalTime>0</TotalTime>
  <ScaleCrop>false</ScaleCrop>
  <LinksUpToDate>false</LinksUpToDate>
  <CharactersWithSpaces>1438</CharactersWithSpaces>
  <Application>WPS Office_11.8.2.11739_F1E327BC-269C-435d-A152-05C5408002CA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0</cp:lastModifiedBy>
  <cp:lastPrinted>2025-04-11T01:18:00Z</cp:lastPrinted>
  <dcterms:modified xsi:type="dcterms:W3CDTF">2026-03-26T06:36:07Z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F02FA94DBBA44400AE4207B5E6D1A59E</vt:lpwstr>
  </property>
  <property fmtid="{D5CDD505-2E9C-101B-9397-08002B2CF9AE}" pid="4" name="KSOTemplateDocerSaveRecord">
    <vt:lpwstr>eyJoZGlkIjoiNTU0ZmIwYTQ3NzlmZGUxZmU3Zjk0M2IyZTNmM2IxNjAiLCJ1c2VySWQiOiIyNjA4NTcxODEifQ==</vt:lpwstr>
  </property>
</Properties>
</file>