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110千伏湖石输变电工程（电气分册）监理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shd w:val="clear" w:color="auto" w:fill="auto"/>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广供电基〔2025〕126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shd w:val="clear" w:color="auto" w:fill="auto"/>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穗发改核准〔2024〕41号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广供电资〔2025〕41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※变电部分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1、110kV湖石变电站工程（电气分册）：本期新建主变压器2×63MVA，110kV出线2回，10kV出线32回，无功补偿4×6012kVar；远期主变压器3×63MVA，110kV出线3回，10kV出线48回，无功补偿4×6012kVar。</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2、220kV界观站扩建出线间隔工程：本期在220kV界观站扩建110kVGIS出线间隔1个。</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heme="minorEastAsia"/>
          <w:color w:val="auto"/>
          <w:sz w:val="24"/>
          <w:lang w:val="en-US" w:eastAsia="zh-CN"/>
        </w:rPr>
      </w:pPr>
      <w:r>
        <w:rPr>
          <w:rFonts w:hint="eastAsia" w:ascii="Times New Roman" w:hAnsi="Times New Roman" w:eastAsia="宋体" w:cstheme="minorEastAsia"/>
          <w:color w:val="auto"/>
          <w:sz w:val="24"/>
          <w:lang w:val="en-US" w:eastAsia="zh-CN"/>
        </w:rPr>
        <w:t>3、220kV茶山站间隔改造工程：本期更换2个间隔架空引下线及线夹。</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w:t>
      </w:r>
      <w:r>
        <w:rPr>
          <w:rFonts w:hint="eastAsia" w:ascii="Times New Roman" w:hAnsi="Times New Roman" w:cstheme="minorEastAsia"/>
          <w:b/>
          <w:sz w:val="24"/>
          <w:szCs w:val="24"/>
          <w:highlight w:val="none"/>
          <w:lang w:val="en-US" w:eastAsia="zh-CN"/>
        </w:rPr>
        <w:t>电缆</w:t>
      </w:r>
      <w:r>
        <w:rPr>
          <w:rFonts w:hint="eastAsia" w:ascii="Times New Roman" w:hAnsi="Times New Roman" w:eastAsia="宋体" w:cstheme="minorEastAsia"/>
          <w:b/>
          <w:sz w:val="24"/>
          <w:szCs w:val="24"/>
          <w:highlight w:val="none"/>
        </w:rPr>
        <w:t>线路部分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heme="minorEastAsia"/>
          <w:bCs/>
          <w:sz w:val="24"/>
          <w:szCs w:val="24"/>
          <w:highlight w:val="none"/>
        </w:rPr>
      </w:pPr>
      <w:r>
        <w:rPr>
          <w:rFonts w:hint="eastAsia" w:ascii="Times New Roman" w:hAnsi="Times New Roman" w:eastAsia="宋体" w:cstheme="minorEastAsia"/>
          <w:bCs/>
          <w:sz w:val="24"/>
          <w:szCs w:val="24"/>
          <w:highlight w:val="none"/>
        </w:rPr>
        <w:t>1、110kV湖石接入界观站电缆线路工程：新建单回电缆线路路径长1×5.91km，电缆型号：YJLW03-Z-64/110-1×1200。</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Theme="minorEastAsia" w:cstheme="minorEastAsia"/>
          <w:bCs/>
          <w:sz w:val="24"/>
          <w:szCs w:val="24"/>
          <w:highlight w:val="none"/>
        </w:rPr>
      </w:pPr>
      <w:r>
        <w:rPr>
          <w:rFonts w:hint="eastAsia" w:ascii="Times New Roman" w:hAnsi="Times New Roman" w:eastAsia="宋体" w:cstheme="minorEastAsia"/>
          <w:bCs/>
          <w:sz w:val="24"/>
          <w:szCs w:val="24"/>
          <w:highlight w:val="none"/>
        </w:rPr>
        <w:t xml:space="preserve">2、110kV湖石T接茶汉乙线电缆线路工程：新建单回电缆线路路径长1×3.408km，电缆型号：YJLW03-Z-64/110-1×1200。 </w:t>
      </w:r>
      <w:r>
        <w:rPr>
          <w:rFonts w:hint="eastAsia" w:ascii="Times New Roman" w:hAnsi="Times New Roman" w:eastAsiaTheme="minorEastAsia" w:cstheme="minorEastAsia"/>
          <w:bCs/>
          <w:sz w:val="24"/>
          <w:szCs w:val="24"/>
          <w:highlight w:val="none"/>
        </w:rPr>
        <w:t xml:space="preserve"> </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宋体" w:cstheme="minorEastAsia"/>
          <w:b/>
          <w:sz w:val="24"/>
          <w:szCs w:val="24"/>
          <w:highlight w:val="none"/>
        </w:rPr>
      </w:pPr>
      <w:r>
        <w:rPr>
          <w:rFonts w:hint="eastAsia" w:ascii="Times New Roman" w:hAnsi="Times New Roman" w:eastAsia="宋体" w:cstheme="minorEastAsia"/>
          <w:b/>
          <w:sz w:val="24"/>
          <w:szCs w:val="24"/>
          <w:highlight w:val="none"/>
        </w:rPr>
        <w:t>※</w:t>
      </w:r>
      <w:r>
        <w:rPr>
          <w:rFonts w:hint="eastAsia" w:ascii="Times New Roman" w:hAnsi="Times New Roman" w:cstheme="minorEastAsia"/>
          <w:b/>
          <w:sz w:val="24"/>
          <w:szCs w:val="24"/>
          <w:highlight w:val="none"/>
          <w:lang w:val="en-US" w:eastAsia="zh-CN"/>
        </w:rPr>
        <w:t>架空</w:t>
      </w:r>
      <w:r>
        <w:rPr>
          <w:rFonts w:hint="eastAsia" w:ascii="Times New Roman" w:hAnsi="Times New Roman" w:eastAsia="宋体" w:cstheme="minorEastAsia"/>
          <w:b/>
          <w:sz w:val="24"/>
          <w:szCs w:val="24"/>
          <w:highlight w:val="none"/>
        </w:rPr>
        <w:t>线路部分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Theme="minorEastAsia" w:cstheme="minorEastAsia"/>
          <w:bCs/>
          <w:sz w:val="24"/>
          <w:szCs w:val="24"/>
          <w:highlight w:val="none"/>
        </w:rPr>
      </w:pPr>
      <w:r>
        <w:rPr>
          <w:rFonts w:hint="eastAsia" w:ascii="Times New Roman" w:hAnsi="Times New Roman" w:eastAsiaTheme="minorEastAsia" w:cstheme="minorEastAsia"/>
          <w:bCs/>
          <w:sz w:val="24"/>
          <w:szCs w:val="24"/>
          <w:highlight w:val="none"/>
        </w:rPr>
        <w:t>1、110kV茶汉甲线茶观乙线同塔线路增容改造工程：本工程更换110kV茶汉甲茶观乙线茶山站构架～#13塔段，#18～#21塔段，#23～E1塔段三段导线为增容导线，增容导线型号采用JNRLH3/LBY10-200/45，改造线路长约2×4.25km。</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imes New Roman" w:hAnsi="Times New Roman" w:eastAsiaTheme="minorEastAsia" w:cstheme="minorEastAsia"/>
          <w:b/>
          <w:sz w:val="24"/>
          <w:szCs w:val="24"/>
          <w:highlight w:val="none"/>
        </w:rPr>
      </w:pPr>
      <w:r>
        <w:rPr>
          <w:rFonts w:hint="eastAsia" w:ascii="Times New Roman" w:hAnsi="Times New Roman" w:eastAsiaTheme="minorEastAsia" w:cstheme="minorEastAsia"/>
          <w:b/>
          <w:sz w:val="24"/>
          <w:szCs w:val="24"/>
          <w:highlight w:val="none"/>
        </w:rPr>
        <w:t>※</w:t>
      </w:r>
      <w:r>
        <w:rPr>
          <w:rFonts w:hint="eastAsia" w:ascii="Times New Roman" w:hAnsi="Times New Roman" w:eastAsiaTheme="minorEastAsia" w:cstheme="minorEastAsia"/>
          <w:b/>
          <w:sz w:val="24"/>
          <w:szCs w:val="24"/>
          <w:highlight w:val="none"/>
          <w:lang w:eastAsia="zh-CN"/>
        </w:rPr>
        <w:t>通信</w:t>
      </w:r>
      <w:r>
        <w:rPr>
          <w:rFonts w:hint="eastAsia" w:ascii="Times New Roman" w:hAnsi="Times New Roman" w:eastAsiaTheme="minorEastAsia" w:cstheme="minorEastAsia"/>
          <w:b/>
          <w:sz w:val="24"/>
          <w:szCs w:val="24"/>
          <w:highlight w:val="none"/>
        </w:rPr>
        <w:t>部分</w:t>
      </w:r>
    </w:p>
    <w:p>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1、110kV湖石变电站通信设备工程：本期建设110kV湖石变电站站内光纤通信设备及对侧站板卡。</w:t>
      </w:r>
    </w:p>
    <w:p>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2、110kV湖石接入界观站电缆线路工程（配套光缆部分）：沿新建湖石-界观110kV电缆线路敷设1条48芯管道光缆，形成湖石-界观1条48芯直达光缆路由，光缆长度约6.13km。</w:t>
      </w:r>
    </w:p>
    <w:p>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3、110kV湖石T接茶汉乙线电缆线路工程（配套光缆部分）：沿新建湖石-茶汉甲线/茶观乙线新建电缆T接塔的110kV电缆线路敷设2条48芯管道光缆，解口民营-太和现有24芯OPGW光缆，形成湖石-民营、湖石-太和48/24芯光缆路由，光缆路径长度约2×3.25km。</w:t>
      </w:r>
    </w:p>
    <w:p>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p>
    <w:p>
      <w:pPr>
        <w:pStyle w:val="5"/>
        <w:pageBreakBefore w:val="0"/>
        <w:numPr>
          <w:ilvl w:val="0"/>
          <w:numId w:val="0"/>
        </w:numPr>
        <w:shd w:val="clear" w:color="auto" w:fill="auto"/>
        <w:kinsoku/>
        <w:wordWrap/>
        <w:overflowPunct/>
        <w:topLinePunct w:val="0"/>
        <w:bidi w:val="0"/>
        <w:spacing w:line="360" w:lineRule="auto"/>
        <w:ind w:firstLine="480" w:firstLineChars="200"/>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以上各项具体建设规模以批复施工图纸为准。</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widowControl w:val="0"/>
        <w:kinsoku/>
        <w:wordWrap/>
        <w:overflowPunct/>
        <w:topLinePunct w:val="0"/>
        <w:autoSpaceDE/>
        <w:autoSpaceDN/>
        <w:bidi w:val="0"/>
        <w:adjustRightInd w:val="0"/>
        <w:snapToGrid/>
        <w:ind w:firstLine="480" w:firstLineChars="200"/>
        <w:textAlignment w:val="auto"/>
        <w:rPr>
          <w:rFonts w:hint="eastAsia" w:hAnsi="宋体" w:eastAsia="宋体"/>
          <w:color w:val="auto"/>
          <w:sz w:val="24"/>
          <w:szCs w:val="24"/>
          <w:highlight w:val="none"/>
          <w:u w:val="single"/>
          <w:lang w:val="en-US" w:eastAsia="zh-CN"/>
        </w:rPr>
      </w:pPr>
      <w:r>
        <w:rPr>
          <w:rFonts w:hint="eastAsia" w:hAnsi="宋体" w:eastAsia="宋体"/>
          <w:color w:val="auto"/>
          <w:sz w:val="24"/>
          <w:szCs w:val="24"/>
          <w:highlight w:val="none"/>
          <w:u w:val="single"/>
          <w:lang w:val="en-US" w:eastAsia="zh-CN"/>
        </w:rPr>
        <w:t>施工准备（含三通一平）、施工（含通信）、竣工结算、缺陷责任期、电子化移交的全过程监理，以及初步设计概算（或施工图预算）中监理计费范围以外但与工程相关的监理工作。按照建设单位要求使用工程信息管理系统。</w:t>
      </w:r>
    </w:p>
    <w:p>
      <w:pPr>
        <w:pStyle w:val="2"/>
        <w:rPr>
          <w:rFonts w:hint="eastAsia"/>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4"/>
        <w:tblpPr w:leftFromText="180" w:rightFromText="180" w:vertAnchor="text" w:horzAnchor="page" w:tblpX="1352"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3219"/>
        <w:gridCol w:w="2031"/>
        <w:gridCol w:w="1316"/>
        <w:gridCol w:w="1557"/>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3219"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eastAsia="宋体" w:cs="宋体"/>
                <w:b w:val="0"/>
                <w:bCs/>
                <w:color w:val="auto"/>
                <w:sz w:val="21"/>
                <w:szCs w:val="21"/>
                <w:highlight w:val="none"/>
                <w:u w:val="none"/>
              </w:rPr>
              <w:t>工程或费用名称</w:t>
            </w:r>
            <w:bookmarkStart w:id="8" w:name="_GoBack"/>
            <w:bookmarkEnd w:id="8"/>
          </w:p>
        </w:tc>
        <w:tc>
          <w:tcPr>
            <w:tcW w:w="2031" w:type="dxa"/>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316"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7"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773"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b/>
                <w:bCs/>
                <w:color w:val="auto"/>
                <w:kern w:val="0"/>
                <w:sz w:val="21"/>
                <w:szCs w:val="21"/>
                <w:highlight w:val="none"/>
                <w:lang w:bidi="ar"/>
              </w:rPr>
              <w:t>一</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b/>
                <w:color w:val="auto"/>
                <w:kern w:val="0"/>
                <w:sz w:val="21"/>
                <w:szCs w:val="21"/>
                <w:highlight w:val="none"/>
                <w:lang w:bidi="ar"/>
              </w:rPr>
              <w:t>变电工程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440510.48 </w:t>
            </w:r>
          </w:p>
        </w:tc>
        <w:tc>
          <w:tcPr>
            <w:tcW w:w="1316" w:type="dxa"/>
            <w:vMerge w:val="restart"/>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cs="宋体"/>
                <w:color w:val="auto"/>
                <w:kern w:val="0"/>
                <w:sz w:val="21"/>
                <w:szCs w:val="21"/>
                <w:highlight w:val="none"/>
                <w:lang w:bidi="ar"/>
              </w:rPr>
              <w:t>1</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110kV湖石变电站工程（电气分册）</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421775.27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Fonts w:hint="eastAsia" w:ascii="宋体" w:hAnsi="宋体" w:eastAsia="宋体" w:cs="宋体"/>
                <w:color w:val="auto"/>
                <w:kern w:val="0"/>
                <w:sz w:val="21"/>
                <w:szCs w:val="21"/>
                <w:highlight w:val="none"/>
                <w:lang w:val="en-US" w:eastAsia="zh-CN" w:bidi="ar"/>
              </w:rPr>
              <w:t>2</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220kV界观站扩建出线间隔工程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18512.45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spacing w:line="240" w:lineRule="auto"/>
              <w:jc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Style w:val="19"/>
                <w:rFonts w:hint="default"/>
                <w:b/>
                <w:bCs/>
                <w:color w:val="auto"/>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220kV茶山站间隔改造工程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222.76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spacing w:line="240" w:lineRule="auto"/>
              <w:jc w:val="center"/>
              <w:rPr>
                <w:rFonts w:ascii="宋体" w:hAnsi="宋体"/>
                <w:color w:val="auto"/>
                <w:highlight w:val="none"/>
              </w:rPr>
            </w:pPr>
            <w:r>
              <w:rPr>
                <w:rFonts w:hint="eastAsia" w:ascii="宋体" w:hAnsi="宋体" w:cs="宋体"/>
                <w:b/>
                <w:bCs/>
                <w:color w:val="auto"/>
                <w:sz w:val="21"/>
                <w:szCs w:val="21"/>
                <w:highlight w:val="none"/>
              </w:rPr>
              <w:t>二</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hAnsi="宋体"/>
                <w:color w:val="auto"/>
                <w:highlight w:val="none"/>
                <w:u w:val="single"/>
              </w:rPr>
            </w:pPr>
            <w:r>
              <w:rPr>
                <w:rStyle w:val="19"/>
                <w:rFonts w:hint="default"/>
                <w:b/>
                <w:bCs/>
                <w:color w:val="auto"/>
                <w:sz w:val="21"/>
                <w:szCs w:val="21"/>
                <w:highlight w:val="none"/>
                <w:lang w:bidi="ar"/>
              </w:rPr>
              <w:t>线路工程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470218.89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Ansi="宋体"/>
                <w:color w:val="auto"/>
                <w:highlight w:val="none"/>
                <w:u w:val="single"/>
              </w:rPr>
            </w:pPr>
            <w:r>
              <w:rPr>
                <w:rFonts w:hint="eastAsia" w:ascii="宋体" w:hAnsi="宋体" w:eastAsia="宋体" w:cs="宋体"/>
                <w:i w:val="0"/>
                <w:iCs w:val="0"/>
                <w:color w:val="000000"/>
                <w:kern w:val="0"/>
                <w:sz w:val="21"/>
                <w:szCs w:val="21"/>
                <w:u w:val="none"/>
                <w:lang w:val="en-US" w:eastAsia="zh-CN" w:bidi="ar"/>
              </w:rPr>
              <w:t>110kV湖石接入界观站电缆线路工程</w:t>
            </w:r>
          </w:p>
        </w:tc>
        <w:tc>
          <w:tcPr>
            <w:tcW w:w="2031" w:type="dxa"/>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331242.27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2 </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Style w:val="19"/>
                <w:rFonts w:hint="default"/>
                <w:b/>
                <w:bCs/>
                <w:color w:val="auto"/>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110kV湖石T接茶汉乙线电缆线路工程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49350.92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 xml:space="preserve">3 </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Style w:val="19"/>
                <w:rFonts w:hint="default"/>
                <w:b/>
                <w:bCs/>
                <w:color w:val="auto"/>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110kV茶汉甲线茶观乙线同塔线路增容改造工程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89625.70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spacing w:line="240" w:lineRule="auto"/>
              <w:jc w:val="center"/>
              <w:rPr>
                <w:rFonts w:ascii="宋体" w:hAnsi="宋体"/>
                <w:color w:val="auto"/>
                <w:highlight w:val="none"/>
              </w:rPr>
            </w:pPr>
            <w:r>
              <w:rPr>
                <w:rFonts w:hint="eastAsia" w:ascii="宋体" w:hAnsi="宋体" w:cs="宋体"/>
                <w:b/>
                <w:bCs/>
                <w:color w:val="auto"/>
                <w:sz w:val="21"/>
                <w:szCs w:val="21"/>
                <w:highlight w:val="none"/>
                <w:lang w:val="en-US" w:eastAsia="zh-CN"/>
              </w:rPr>
              <w:t>三</w:t>
            </w:r>
          </w:p>
        </w:tc>
        <w:tc>
          <w:tcPr>
            <w:tcW w:w="3219" w:type="dxa"/>
            <w:tcBorders>
              <w:top w:val="single" w:color="auto" w:sz="4" w:space="0"/>
              <w:bottom w:val="single" w:color="auto" w:sz="4" w:space="0"/>
            </w:tcBorders>
            <w:noWrap w:val="0"/>
            <w:vAlign w:val="center"/>
          </w:tcPr>
          <w:p>
            <w:pPr>
              <w:widowControl/>
              <w:spacing w:line="240" w:lineRule="auto"/>
              <w:jc w:val="center"/>
              <w:textAlignment w:val="center"/>
              <w:rPr>
                <w:rFonts w:ascii="宋体" w:hAnsi="宋体"/>
                <w:color w:val="auto"/>
                <w:highlight w:val="none"/>
              </w:rPr>
            </w:pPr>
            <w:r>
              <w:rPr>
                <w:rStyle w:val="19"/>
                <w:rFonts w:hint="default"/>
                <w:b/>
                <w:bCs/>
                <w:color w:val="auto"/>
                <w:sz w:val="21"/>
                <w:szCs w:val="21"/>
                <w:highlight w:val="none"/>
                <w:lang w:bidi="ar"/>
              </w:rPr>
              <w:t>配套通信工程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 xml:space="preserve">32009.50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110kV湖石变电站通信设备工程</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18356.74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2</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ascii="宋体" w:hAnsi="宋体"/>
                <w:color w:val="auto"/>
                <w:highlight w:val="none"/>
              </w:rPr>
            </w:pPr>
            <w:r>
              <w:rPr>
                <w:rFonts w:hint="eastAsia" w:ascii="宋体" w:hAnsi="宋体" w:eastAsia="宋体" w:cs="宋体"/>
                <w:i w:val="0"/>
                <w:iCs w:val="0"/>
                <w:color w:val="000000"/>
                <w:kern w:val="0"/>
                <w:sz w:val="21"/>
                <w:szCs w:val="21"/>
                <w:u w:val="none"/>
                <w:lang w:val="en-US" w:eastAsia="zh-CN" w:bidi="ar"/>
              </w:rPr>
              <w:t>110kV湖石接入界观站电缆线路工程（配套光缆部分）</w:t>
            </w:r>
          </w:p>
        </w:tc>
        <w:tc>
          <w:tcPr>
            <w:tcW w:w="2031"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6325.42 </w:t>
            </w:r>
          </w:p>
        </w:tc>
        <w:tc>
          <w:tcPr>
            <w:tcW w:w="1316" w:type="dxa"/>
            <w:vMerge w:val="continue"/>
            <w:noWrap w:val="0"/>
            <w:vAlign w:val="center"/>
          </w:tcPr>
          <w:p>
            <w:pPr>
              <w:tabs>
                <w:tab w:val="left" w:pos="900"/>
              </w:tabs>
              <w:snapToGrid w:val="0"/>
              <w:spacing w:before="60" w:after="120"/>
              <w:ind w:right="-24"/>
              <w:jc w:val="center"/>
              <w:rPr>
                <w:rFonts w:ascii="宋体" w:hAnsi="宋体"/>
                <w:color w:val="auto"/>
                <w:highlight w:val="none"/>
              </w:rPr>
            </w:pPr>
          </w:p>
        </w:tc>
        <w:tc>
          <w:tcPr>
            <w:tcW w:w="1557" w:type="dxa"/>
            <w:tcBorders>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8"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b/>
                <w:color w:val="auto"/>
                <w:szCs w:val="21"/>
                <w:highlight w:val="none"/>
              </w:rPr>
            </w:pPr>
            <w:r>
              <w:rPr>
                <w:rFonts w:hint="eastAsia" w:ascii="宋体" w:hAnsi="宋体" w:eastAsia="宋体" w:cs="宋体"/>
                <w:i w:val="0"/>
                <w:iCs w:val="0"/>
                <w:color w:val="000000"/>
                <w:kern w:val="0"/>
                <w:sz w:val="21"/>
                <w:szCs w:val="21"/>
                <w:u w:val="none"/>
                <w:lang w:val="en-US" w:eastAsia="zh-CN" w:bidi="ar"/>
              </w:rPr>
              <w:t>3</w:t>
            </w:r>
          </w:p>
        </w:tc>
        <w:tc>
          <w:tcPr>
            <w:tcW w:w="3219" w:type="dxa"/>
            <w:tcBorders>
              <w:top w:val="single" w:color="auto" w:sz="4" w:space="0"/>
              <w:bottom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1"/>
                <w:szCs w:val="21"/>
                <w:u w:val="none"/>
                <w:lang w:val="en-US" w:eastAsia="zh-CN" w:bidi="ar"/>
              </w:rPr>
              <w:t>110kV湖石T接茶汉乙线电缆线路工程（配套光缆部分）</w:t>
            </w:r>
          </w:p>
        </w:tc>
        <w:tc>
          <w:tcPr>
            <w:tcW w:w="2031"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7327.34 </w:t>
            </w:r>
          </w:p>
        </w:tc>
        <w:tc>
          <w:tcPr>
            <w:tcW w:w="1316" w:type="dxa"/>
            <w:vMerge w:val="continue"/>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p>
        </w:tc>
        <w:tc>
          <w:tcPr>
            <w:tcW w:w="1557" w:type="dxa"/>
            <w:tcBorders>
              <w:top w:val="single" w:color="auto" w:sz="4" w:space="0"/>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727" w:type="dxa"/>
            <w:gridSpan w:val="2"/>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w:t>
            </w:r>
          </w:p>
        </w:tc>
        <w:tc>
          <w:tcPr>
            <w:tcW w:w="2031"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u w:val="none"/>
                <w:lang w:val="en-US" w:eastAsia="zh-CN" w:bidi="ar"/>
              </w:rPr>
              <w:t xml:space="preserve">942738.87 </w:t>
            </w:r>
          </w:p>
        </w:tc>
        <w:tc>
          <w:tcPr>
            <w:tcW w:w="1316" w:type="dxa"/>
            <w:vMerge w:val="continue"/>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u w:val="none"/>
                <w:lang w:val="en-US" w:eastAsia="zh-CN" w:bidi="ar-SA"/>
              </w:rPr>
            </w:pPr>
          </w:p>
        </w:tc>
        <w:tc>
          <w:tcPr>
            <w:tcW w:w="1557" w:type="dxa"/>
            <w:tcBorders>
              <w:top w:val="single" w:color="auto" w:sz="4" w:space="0"/>
              <w:bottom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77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bl>
    <w:p>
      <w:pPr>
        <w:pStyle w:val="3"/>
        <w:rPr>
          <w:rFonts w:hint="eastAsia"/>
          <w:highlight w:val="none"/>
          <w:lang w:val="en-US" w:eastAsia="zh-CN"/>
        </w:rPr>
      </w:pPr>
    </w:p>
    <w:p>
      <w:pPr>
        <w:pStyle w:val="3"/>
        <w:rPr>
          <w:rFonts w:hint="eastAsia"/>
          <w:highlight w:val="none"/>
          <w:lang w:val="en-US" w:eastAsia="zh-CN"/>
        </w:rPr>
      </w:pPr>
    </w:p>
    <w:p>
      <w:pPr>
        <w:rPr>
          <w:rFonts w:hint="eastAsia"/>
          <w:highlight w:val="none"/>
          <w:lang w:val="en-US" w:eastAsia="zh-CN"/>
        </w:rPr>
      </w:pPr>
    </w:p>
    <w:p>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12"/>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1）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pPr>
        <w:pStyle w:val="12"/>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p>
    <w:p>
      <w:pPr>
        <w:pStyle w:val="12"/>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（3）价格分计算时，投标人评标价按（100-投标人填写的下浮数值）参与计算。如：下浮率为1.88％时，评标价按（100-1.88）参与计算。    </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12"/>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下浮率报价，按实结算。结算监理费=（与合同范围对应的审定初步设计概算监理费+ 初设概算监理计费范围以外的监理工作费用）×（1-投标下浮率）±合同内约定且实际发生的相关奖罚费用 + 招标代理服务费。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3"/>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3"/>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12"/>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）工程前期有关文件（可研审批文件）。</w:t>
      </w:r>
    </w:p>
    <w:p>
      <w:pPr>
        <w:rPr>
          <w:rFonts w:hint="eastAsia" w:ascii="宋体" w:hAnsi="宋体" w:eastAsia="宋体" w:cs="宋体"/>
          <w:color w:val="auto"/>
          <w:sz w:val="24"/>
          <w:szCs w:val="24"/>
          <w:highlight w:val="none"/>
          <w:u w:val="singl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817246E"/>
    <w:rsid w:val="0BC07002"/>
    <w:rsid w:val="0BD30473"/>
    <w:rsid w:val="0E2F4C02"/>
    <w:rsid w:val="0E3616E0"/>
    <w:rsid w:val="0E937FF7"/>
    <w:rsid w:val="0F81532F"/>
    <w:rsid w:val="107144D2"/>
    <w:rsid w:val="116419AD"/>
    <w:rsid w:val="11794537"/>
    <w:rsid w:val="11DF6CFE"/>
    <w:rsid w:val="13383335"/>
    <w:rsid w:val="14440D4B"/>
    <w:rsid w:val="14B666F3"/>
    <w:rsid w:val="15056A61"/>
    <w:rsid w:val="15C94E71"/>
    <w:rsid w:val="182633AB"/>
    <w:rsid w:val="18E57496"/>
    <w:rsid w:val="19EC69D7"/>
    <w:rsid w:val="1A2D5CFF"/>
    <w:rsid w:val="1A386933"/>
    <w:rsid w:val="1A4F176B"/>
    <w:rsid w:val="1A912F72"/>
    <w:rsid w:val="1B663F82"/>
    <w:rsid w:val="1C2D4629"/>
    <w:rsid w:val="1C43636C"/>
    <w:rsid w:val="1CFE4AE0"/>
    <w:rsid w:val="1D904223"/>
    <w:rsid w:val="1F653C49"/>
    <w:rsid w:val="1F6C0D31"/>
    <w:rsid w:val="1FBE7EE4"/>
    <w:rsid w:val="1FF914D4"/>
    <w:rsid w:val="20735046"/>
    <w:rsid w:val="216F4D5B"/>
    <w:rsid w:val="21FA2A73"/>
    <w:rsid w:val="23B738BA"/>
    <w:rsid w:val="248361F7"/>
    <w:rsid w:val="24E67795"/>
    <w:rsid w:val="24F737D8"/>
    <w:rsid w:val="25100685"/>
    <w:rsid w:val="26A73075"/>
    <w:rsid w:val="2CA17C08"/>
    <w:rsid w:val="2DAB0752"/>
    <w:rsid w:val="2DDF66E3"/>
    <w:rsid w:val="2FDE77A9"/>
    <w:rsid w:val="2FF65FF8"/>
    <w:rsid w:val="300D195C"/>
    <w:rsid w:val="30BF37B5"/>
    <w:rsid w:val="31C955A9"/>
    <w:rsid w:val="33550B4E"/>
    <w:rsid w:val="33B200AF"/>
    <w:rsid w:val="33E61BE2"/>
    <w:rsid w:val="341E4BF3"/>
    <w:rsid w:val="361736AD"/>
    <w:rsid w:val="36D200CF"/>
    <w:rsid w:val="379951F8"/>
    <w:rsid w:val="38382DC3"/>
    <w:rsid w:val="38DE045C"/>
    <w:rsid w:val="3929068B"/>
    <w:rsid w:val="3A546240"/>
    <w:rsid w:val="3BF24D81"/>
    <w:rsid w:val="3BFE7BEA"/>
    <w:rsid w:val="3C4750A3"/>
    <w:rsid w:val="3C4A35F1"/>
    <w:rsid w:val="3E664B6D"/>
    <w:rsid w:val="3EA35F56"/>
    <w:rsid w:val="3ED7087B"/>
    <w:rsid w:val="3F141BFC"/>
    <w:rsid w:val="442B201D"/>
    <w:rsid w:val="444D481C"/>
    <w:rsid w:val="44982260"/>
    <w:rsid w:val="44D414C9"/>
    <w:rsid w:val="46472D5E"/>
    <w:rsid w:val="496A657E"/>
    <w:rsid w:val="49843C09"/>
    <w:rsid w:val="4A3E05CE"/>
    <w:rsid w:val="4B3A1BDA"/>
    <w:rsid w:val="4BF83760"/>
    <w:rsid w:val="4C8349B8"/>
    <w:rsid w:val="4C8A3E6F"/>
    <w:rsid w:val="4F8A05C8"/>
    <w:rsid w:val="520D6E5F"/>
    <w:rsid w:val="53115540"/>
    <w:rsid w:val="554C40C3"/>
    <w:rsid w:val="55C3156A"/>
    <w:rsid w:val="5782183A"/>
    <w:rsid w:val="57AD384F"/>
    <w:rsid w:val="57BD355E"/>
    <w:rsid w:val="59A5419F"/>
    <w:rsid w:val="5B0320E2"/>
    <w:rsid w:val="5B8B11A7"/>
    <w:rsid w:val="5B9E2EC4"/>
    <w:rsid w:val="608606DE"/>
    <w:rsid w:val="610E324A"/>
    <w:rsid w:val="61F31EFD"/>
    <w:rsid w:val="63066BC7"/>
    <w:rsid w:val="63D0487B"/>
    <w:rsid w:val="64672037"/>
    <w:rsid w:val="64911DA0"/>
    <w:rsid w:val="65590980"/>
    <w:rsid w:val="65945D8D"/>
    <w:rsid w:val="66C35559"/>
    <w:rsid w:val="67D57489"/>
    <w:rsid w:val="68570F93"/>
    <w:rsid w:val="6A287B5E"/>
    <w:rsid w:val="6B303A1A"/>
    <w:rsid w:val="6DAA2FDF"/>
    <w:rsid w:val="6E121228"/>
    <w:rsid w:val="6F8C6D8A"/>
    <w:rsid w:val="6FC971BF"/>
    <w:rsid w:val="70D1495F"/>
    <w:rsid w:val="70ED510D"/>
    <w:rsid w:val="74695E39"/>
    <w:rsid w:val="754C6F3B"/>
    <w:rsid w:val="75B11AFF"/>
    <w:rsid w:val="75D32619"/>
    <w:rsid w:val="765369C1"/>
    <w:rsid w:val="767D6887"/>
    <w:rsid w:val="780B6A75"/>
    <w:rsid w:val="79F83E18"/>
    <w:rsid w:val="7A262145"/>
    <w:rsid w:val="7A281F3A"/>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3">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正文首行缩进1"/>
    <w:basedOn w:val="1"/>
    <w:qFormat/>
    <w:uiPriority w:val="0"/>
    <w:pPr>
      <w:spacing w:line="360" w:lineRule="auto"/>
      <w:ind w:firstLine="200" w:firstLineChars="200"/>
    </w:pPr>
    <w:rPr>
      <w:kern w:val="2"/>
      <w:sz w:val="24"/>
      <w:szCs w:val="24"/>
    </w:rPr>
  </w:style>
  <w:style w:type="character" w:customStyle="1" w:styleId="19">
    <w:name w:val="font3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2450</Words>
  <Characters>2832</Characters>
  <Lines>0</Lines>
  <Paragraphs>0</Paragraphs>
  <TotalTime>0</TotalTime>
  <ScaleCrop>false</ScaleCrop>
  <LinksUpToDate>false</LinksUpToDate>
  <CharactersWithSpaces>3109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dcterms:modified xsi:type="dcterms:W3CDTF">2026-03-26T06:35:13Z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0FC967818C7B4D848059EEF1E9FF4DEB</vt:lpwstr>
  </property>
  <property fmtid="{D5CDD505-2E9C-101B-9397-08002B2CF9AE}" pid="4" name="KSOTemplateDocerSaveRecord">
    <vt:lpwstr>eyJoZGlkIjoiMDZiNjYyYzk1MGE3YjgyZDdjMTViN2QxYmMzOGEwMjEiLCJ1c2VySWQiOiIzMTA2NDQyNTIifQ==</vt:lpwstr>
  </property>
</Properties>
</file>