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rPr>
          <w:sz w:val="48"/>
          <w:szCs w:val="48"/>
        </w:rPr>
      </w:pPr>
    </w:p>
    <w:p>
      <w:pPr>
        <w:ind w:firstLine="663" w:firstLineChars="150"/>
        <w:jc w:val="center"/>
        <w:rPr>
          <w:rFonts w:eastAsia="黑体"/>
          <w:spacing w:val="-20"/>
          <w:sz w:val="48"/>
          <w:szCs w:val="48"/>
        </w:rPr>
      </w:pPr>
      <w:r>
        <w:rPr>
          <w:rFonts w:hint="eastAsia" w:ascii="黑体" w:hAnsi="Arial" w:eastAsia="黑体"/>
          <w:b/>
          <w:color w:val="000000"/>
          <w:spacing w:val="-20"/>
          <w:sz w:val="48"/>
          <w:szCs w:val="48"/>
        </w:rPr>
        <w:t>广西博联信息通信技术有限责任公司2026年五矿大厦技术业务用房新场地电梯维保与维修零星采购项目</w:t>
      </w:r>
    </w:p>
    <w:p>
      <w:pPr>
        <w:jc w:val="center"/>
        <w:rPr>
          <w:rFonts w:ascii="黑体" w:hAnsi="Arial" w:eastAsia="黑体"/>
          <w:b/>
          <w:color w:val="000000"/>
          <w:sz w:val="48"/>
          <w:szCs w:val="48"/>
        </w:rPr>
      </w:pPr>
      <w:r>
        <w:rPr>
          <w:rFonts w:hint="eastAsia" w:ascii="黑体" w:hAnsi="Arial" w:eastAsia="黑体"/>
          <w:b/>
          <w:color w:val="000000"/>
          <w:sz w:val="48"/>
          <w:szCs w:val="48"/>
        </w:rPr>
        <w:t>技术规范书</w:t>
      </w:r>
    </w:p>
    <w:p>
      <w:pPr>
        <w:jc w:val="center"/>
        <w:rPr>
          <w:rFonts w:ascii="黑体" w:hAnsi="Arial" w:eastAsia="黑体"/>
          <w:b/>
          <w:color w:val="000000"/>
          <w:sz w:val="48"/>
          <w:szCs w:val="48"/>
        </w:rPr>
      </w:pPr>
    </w:p>
    <w:p/>
    <w:p/>
    <w:p/>
    <w:p/>
    <w:p/>
    <w:p/>
    <w:p/>
    <w:p/>
    <w:p/>
    <w:p/>
    <w:p/>
    <w:p/>
    <w:p/>
    <w:p/>
    <w:p>
      <w:pPr>
        <w:jc w:val="center"/>
        <w:rPr>
          <w:sz w:val="28"/>
          <w:szCs w:val="28"/>
        </w:rPr>
      </w:pPr>
      <w:r>
        <w:rPr>
          <w:rFonts w:hint="eastAsia"/>
          <w:sz w:val="28"/>
          <w:szCs w:val="28"/>
        </w:rPr>
        <w:t>广西博联信息通信技术有限责任公司</w:t>
      </w:r>
    </w:p>
    <w:p>
      <w:pPr>
        <w:jc w:val="center"/>
        <w:rPr>
          <w:sz w:val="28"/>
          <w:szCs w:val="28"/>
        </w:rPr>
      </w:pPr>
      <w:r>
        <w:rPr>
          <w:rFonts w:hint="eastAsia"/>
          <w:sz w:val="28"/>
          <w:szCs w:val="28"/>
        </w:rPr>
        <w:t>202</w:t>
      </w:r>
      <w:r>
        <w:rPr>
          <w:sz w:val="28"/>
          <w:szCs w:val="28"/>
        </w:rPr>
        <w:t>6</w:t>
      </w:r>
      <w:r>
        <w:rPr>
          <w:rFonts w:hint="eastAsia"/>
          <w:sz w:val="28"/>
          <w:szCs w:val="28"/>
        </w:rPr>
        <w:t>年</w:t>
      </w:r>
      <w:r>
        <w:rPr>
          <w:sz w:val="28"/>
          <w:szCs w:val="28"/>
        </w:rPr>
        <w:t>4</w:t>
      </w:r>
      <w:r>
        <w:rPr>
          <w:rFonts w:hint="eastAsia"/>
          <w:sz w:val="28"/>
          <w:szCs w:val="28"/>
        </w:rPr>
        <w:t>月</w:t>
      </w:r>
    </w:p>
    <w:p>
      <w:pPr>
        <w:jc w:val="center"/>
      </w:pPr>
      <w:r>
        <w:br w:type="page"/>
      </w:r>
      <w:r>
        <w:rPr>
          <w:rFonts w:hint="eastAsia"/>
        </w:rPr>
        <w:t>目  录</w:t>
      </w:r>
    </w:p>
    <w:p>
      <w:pPr>
        <w:pStyle w:val="11"/>
        <w:rPr>
          <w:rFonts w:asciiTheme="minorHAnsi" w:hAnsiTheme="minorHAnsi" w:eastAsiaTheme="minorEastAsia" w:cstheme="minorBidi"/>
          <w:sz w:val="21"/>
          <w:szCs w:val="22"/>
        </w:rPr>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"_Toc227072237" </w:instrText>
      </w:r>
      <w:r>
        <w:fldChar w:fldCharType="separate"/>
      </w:r>
      <w:r>
        <w:rPr>
          <w:rStyle w:val="15"/>
        </w:rPr>
        <w:t>1. 总则</w:t>
      </w:r>
      <w:r>
        <w:tab/>
      </w:r>
      <w:r>
        <w:fldChar w:fldCharType="begin"/>
      </w:r>
      <w:r>
        <w:instrText xml:space="preserve"> PAGEREF _Toc227072237 \h </w:instrText>
      </w:r>
      <w:r>
        <w:fldChar w:fldCharType="separate"/>
      </w:r>
      <w:r>
        <w:t>1</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"_Toc227072238" </w:instrText>
      </w:r>
      <w:r>
        <w:fldChar w:fldCharType="separate"/>
      </w:r>
      <w:r>
        <w:rPr>
          <w:rStyle w:val="15"/>
        </w:rPr>
        <w:t>2. 应遵循的主要标准</w:t>
      </w:r>
      <w:r>
        <w:tab/>
      </w:r>
      <w:r>
        <w:fldChar w:fldCharType="begin"/>
      </w:r>
      <w:r>
        <w:instrText xml:space="preserve"> PAGEREF _Toc227072238 \h </w:instrText>
      </w:r>
      <w:r>
        <w:fldChar w:fldCharType="separate"/>
      </w:r>
      <w:r>
        <w:t>2</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"_Toc227072239" </w:instrText>
      </w:r>
      <w:r>
        <w:fldChar w:fldCharType="separate"/>
      </w:r>
      <w:r>
        <w:rPr>
          <w:rStyle w:val="15"/>
        </w:rPr>
        <w:t>3. 项目概述</w:t>
      </w:r>
      <w:r>
        <w:tab/>
      </w:r>
      <w:r>
        <w:fldChar w:fldCharType="begin"/>
      </w:r>
      <w:r>
        <w:instrText xml:space="preserve"> PAGEREF _Toc227072239 \h </w:instrText>
      </w:r>
      <w:r>
        <w:fldChar w:fldCharType="separate"/>
      </w:r>
      <w:r>
        <w:t>2</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"_Toc227072240" </w:instrText>
      </w:r>
      <w:r>
        <w:fldChar w:fldCharType="separate"/>
      </w:r>
      <w:r>
        <w:rPr>
          <w:rStyle w:val="15"/>
        </w:rPr>
        <w:t>4. 范围和内容</w:t>
      </w:r>
      <w:r>
        <w:tab/>
      </w:r>
      <w:r>
        <w:fldChar w:fldCharType="begin"/>
      </w:r>
      <w:r>
        <w:instrText xml:space="preserve"> PAGEREF _Toc227072240 \h </w:instrText>
      </w:r>
      <w:r>
        <w:fldChar w:fldCharType="separate"/>
      </w:r>
      <w:r>
        <w:t>2</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"_Toc227072241" </w:instrText>
      </w:r>
      <w:r>
        <w:fldChar w:fldCharType="separate"/>
      </w:r>
      <w:r>
        <w:rPr>
          <w:rStyle w:val="15"/>
        </w:rPr>
        <w:t>5. 总体要求</w:t>
      </w:r>
      <w:r>
        <w:tab/>
      </w:r>
      <w:r>
        <w:fldChar w:fldCharType="begin"/>
      </w:r>
      <w:r>
        <w:instrText xml:space="preserve"> PAGEREF _Toc227072241 \h </w:instrText>
      </w:r>
      <w:r>
        <w:fldChar w:fldCharType="separate"/>
      </w:r>
      <w:r>
        <w:t>4</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"_Toc227072242" </w:instrText>
      </w:r>
      <w:r>
        <w:fldChar w:fldCharType="separate"/>
      </w:r>
      <w:r>
        <w:rPr>
          <w:rStyle w:val="15"/>
        </w:rPr>
        <w:t>6. 主要技术要求</w:t>
      </w:r>
      <w:r>
        <w:tab/>
      </w:r>
      <w:r>
        <w:fldChar w:fldCharType="begin"/>
      </w:r>
      <w:r>
        <w:instrText xml:space="preserve"> PAGEREF _Toc227072242 \h </w:instrText>
      </w:r>
      <w:r>
        <w:fldChar w:fldCharType="separate"/>
      </w:r>
      <w:r>
        <w:t>5</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"_Toc227072243" </w:instrText>
      </w:r>
      <w:r>
        <w:fldChar w:fldCharType="separate"/>
      </w:r>
      <w:r>
        <w:rPr>
          <w:rStyle w:val="15"/>
        </w:rPr>
        <w:t>7. 其他要求</w:t>
      </w:r>
      <w:r>
        <w:tab/>
      </w:r>
      <w:r>
        <w:fldChar w:fldCharType="begin"/>
      </w:r>
      <w:r>
        <w:instrText xml:space="preserve"> PAGEREF _Toc227072243 \h </w:instrText>
      </w:r>
      <w:r>
        <w:fldChar w:fldCharType="separate"/>
      </w:r>
      <w:r>
        <w:t>7</w:t>
      </w:r>
      <w:r>
        <w:fldChar w:fldCharType="end"/>
      </w:r>
      <w:r>
        <w:fldChar w:fldCharType="end"/>
      </w:r>
    </w:p>
    <w:p>
      <w:pPr>
        <w:pStyle w:val="11"/>
        <w:rPr>
          <w:rFonts w:asciiTheme="minorHAnsi" w:hAnsiTheme="minorHAnsi" w:eastAsiaTheme="minorEastAsia" w:cstheme="minorBidi"/>
          <w:sz w:val="21"/>
          <w:szCs w:val="22"/>
        </w:rPr>
      </w:pPr>
      <w:r>
        <w:fldChar w:fldCharType="begin"/>
      </w:r>
      <w:r>
        <w:instrText xml:space="preserve"> HYPERLINK \l "_Toc227072244" </w:instrText>
      </w:r>
      <w:r>
        <w:fldChar w:fldCharType="separate"/>
      </w:r>
      <w:r>
        <w:rPr>
          <w:rStyle w:val="15"/>
        </w:rPr>
        <w:t>8. 附件</w:t>
      </w:r>
      <w:r>
        <w:tab/>
      </w:r>
      <w:r>
        <w:fldChar w:fldCharType="begin"/>
      </w:r>
      <w:r>
        <w:instrText xml:space="preserve"> PAGEREF _Toc227072244 \h </w:instrText>
      </w:r>
      <w:r>
        <w:fldChar w:fldCharType="separate"/>
      </w:r>
      <w:r>
        <w:t>8</w:t>
      </w:r>
      <w:r>
        <w:fldChar w:fldCharType="end"/>
      </w:r>
      <w:r>
        <w:fldChar w:fldCharType="end"/>
      </w:r>
    </w:p>
    <w:p>
      <w:r>
        <w:fldChar w:fldCharType="end"/>
      </w:r>
    </w:p>
    <w:p>
      <w:pPr>
        <w:sectPr>
          <w:footerReference r:id="rId5" w:type="default"/>
          <w:footerReference r:id="rId6" w:type="even"/>
          <w:pgSz w:w="11906" w:h="16838"/>
          <w:pgMar w:top="1440" w:right="1800" w:bottom="1440" w:left="1800" w:header="851" w:footer="992" w:gutter="0"/>
          <w:cols w:space="425" w:num="1"/>
          <w:docGrid w:type="lines" w:linePitch="312" w:charSpace="0"/>
        </w:sectPr>
      </w:pPr>
    </w:p>
    <w:p>
      <w:pPr>
        <w:pStyle w:val="4"/>
      </w:pPr>
      <w:bookmarkStart w:id="0" w:name="_Toc227072237"/>
      <w:r>
        <w:rPr>
          <w:rFonts w:hint="eastAsia"/>
        </w:rPr>
        <w:t>总则</w:t>
      </w:r>
      <w:bookmarkEnd w:id="0"/>
    </w:p>
    <w:p>
      <w:pPr>
        <w:pStyle w:val="5"/>
      </w:pPr>
      <w:r>
        <w:rPr>
          <w:rFonts w:hint="eastAsia"/>
        </w:rPr>
        <w:t>一般要求</w:t>
      </w:r>
    </w:p>
    <w:p>
      <w:pPr>
        <w:pStyle w:val="7"/>
        <w:numPr>
          <w:ilvl w:val="2"/>
          <w:numId w:val="1"/>
        </w:numPr>
      </w:pPr>
      <w:r>
        <w:rPr>
          <w:rFonts w:hint="eastAsia"/>
        </w:rPr>
        <w:t>报价人必须认真阅读本技术条款内容。</w:t>
      </w:r>
    </w:p>
    <w:p>
      <w:pPr>
        <w:pStyle w:val="7"/>
        <w:numPr>
          <w:ilvl w:val="2"/>
          <w:numId w:val="1"/>
        </w:numPr>
      </w:pPr>
      <w:r>
        <w:rPr>
          <w:rFonts w:hint="eastAsia"/>
        </w:rPr>
        <w:t>本技术规范书主要描述</w:t>
      </w:r>
      <w:r>
        <w:rPr>
          <w:rFonts w:hint="eastAsia"/>
          <w:highlight w:val="yellow"/>
        </w:rPr>
        <w:t>广西博联信息通信技术有限责任公司2026年五矿大厦技术业务用房新场地电梯维保与维修零星采购项目</w:t>
      </w:r>
      <w:r>
        <w:rPr>
          <w:rFonts w:hint="eastAsia"/>
        </w:rPr>
        <w:t>要求有关事项。</w:t>
      </w:r>
    </w:p>
    <w:p>
      <w:pPr>
        <w:pStyle w:val="7"/>
        <w:numPr>
          <w:ilvl w:val="2"/>
          <w:numId w:val="1"/>
        </w:numPr>
      </w:pPr>
      <w:r>
        <w:rPr>
          <w:rFonts w:hint="eastAsia"/>
        </w:rPr>
        <w:t>本技术规范书提出的是最低限度的技术要求, 并未对一切技术细节做出规定，也未充分引述有关标准和规范的条文。报价人应提供符合本采购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7"/>
        <w:numPr>
          <w:ilvl w:val="2"/>
          <w:numId w:val="1"/>
        </w:numPr>
      </w:pPr>
      <w:r>
        <w:rPr>
          <w:rFonts w:hint="eastAsia"/>
        </w:rPr>
        <w:t>本技术规范书所使用的标准如与报价人所执行的标准不一致，按较高标准执行。</w:t>
      </w:r>
    </w:p>
    <w:p>
      <w:pPr>
        <w:pStyle w:val="7"/>
        <w:numPr>
          <w:ilvl w:val="2"/>
          <w:numId w:val="1"/>
        </w:numPr>
      </w:pPr>
      <w:r>
        <w:rPr>
          <w:rFonts w:hint="eastAsia"/>
        </w:rPr>
        <w:t>如果因为无法提供的原因而提供其他产品、服务，报价人应明确说明并提出质量保证承诺。</w:t>
      </w:r>
    </w:p>
    <w:p>
      <w:pPr>
        <w:pStyle w:val="7"/>
        <w:numPr>
          <w:ilvl w:val="2"/>
          <w:numId w:val="1"/>
        </w:numPr>
      </w:pPr>
      <w:r>
        <w:rPr>
          <w:rFonts w:hint="eastAsia"/>
        </w:rPr>
        <w:t>报价人应对本项目所有文件保密，不得向其他单位公布或泄漏本项目的有关信息。</w:t>
      </w:r>
    </w:p>
    <w:p>
      <w:pPr>
        <w:pStyle w:val="7"/>
        <w:numPr>
          <w:ilvl w:val="2"/>
          <w:numId w:val="1"/>
        </w:numPr>
      </w:pPr>
      <w:r>
        <w:rPr>
          <w:rFonts w:hint="eastAsia"/>
        </w:rPr>
        <w:t>采购人保留技术规范书修改的权利，可以提出变更的意见和建议，最终签订的技术协议与合同具有同等效力。</w:t>
      </w:r>
    </w:p>
    <w:p>
      <w:pPr>
        <w:pStyle w:val="5"/>
      </w:pPr>
      <w:r>
        <w:rPr>
          <w:rFonts w:hint="eastAsia"/>
        </w:rPr>
        <w:t>报价人职责</w:t>
      </w:r>
    </w:p>
    <w:p>
      <w:pPr>
        <w:pStyle w:val="7"/>
      </w:pPr>
      <w:r>
        <w:rPr>
          <w:rFonts w:hint="eastAsia"/>
        </w:rPr>
        <w:t>负责合同内所需的电梯运维服务工作方案设计，并根据采购人需求细化。</w:t>
      </w:r>
    </w:p>
    <w:p>
      <w:pPr>
        <w:pStyle w:val="7"/>
      </w:pPr>
      <w:r>
        <w:rPr>
          <w:rFonts w:hint="eastAsia"/>
        </w:rPr>
        <w:t>负责运维服务的现场实施。</w:t>
      </w:r>
    </w:p>
    <w:p>
      <w:pPr>
        <w:pStyle w:val="7"/>
      </w:pPr>
      <w:r>
        <w:rPr>
          <w:rFonts w:hint="eastAsia"/>
        </w:rPr>
        <w:t>合同期内为采购人提供项目目标对象的运维服务。</w:t>
      </w:r>
    </w:p>
    <w:p>
      <w:pPr>
        <w:pStyle w:val="7"/>
      </w:pPr>
      <w:r>
        <w:rPr>
          <w:rFonts w:hint="eastAsia"/>
        </w:rPr>
        <w:t>负责提供服务、工作产品的所有文件资料和技术资料。</w:t>
      </w:r>
    </w:p>
    <w:p>
      <w:pPr>
        <w:pStyle w:val="7"/>
      </w:pPr>
      <w:r>
        <w:rPr>
          <w:rFonts w:hint="eastAsia"/>
        </w:rPr>
        <w:t>负责最终提供的全部技术资料的准确性。</w:t>
      </w:r>
    </w:p>
    <w:p>
      <w:pPr>
        <w:pStyle w:val="7"/>
      </w:pPr>
      <w:r>
        <w:rPr>
          <w:rFonts w:hint="eastAsia"/>
        </w:rPr>
        <w:t>保证提供的所有服务、工作产品的质量及技术指标完全满足合同要求。</w:t>
      </w:r>
    </w:p>
    <w:p>
      <w:pPr>
        <w:pStyle w:val="5"/>
      </w:pPr>
      <w:r>
        <w:rPr>
          <w:rFonts w:hint="eastAsia"/>
        </w:rPr>
        <w:t>采购人职责</w:t>
      </w:r>
    </w:p>
    <w:p>
      <w:pPr>
        <w:pStyle w:val="7"/>
      </w:pPr>
      <w:r>
        <w:rPr>
          <w:rFonts w:hint="eastAsia"/>
        </w:rPr>
        <w:t>负责提供与本项目有关的技术资料。</w:t>
      </w:r>
    </w:p>
    <w:p>
      <w:pPr>
        <w:pStyle w:val="7"/>
      </w:pPr>
      <w:r>
        <w:rPr>
          <w:rFonts w:hint="eastAsia"/>
        </w:rPr>
        <w:t>确认报价人提供的服务、工作产品的文件资料和技术。</w:t>
      </w:r>
    </w:p>
    <w:p>
      <w:pPr>
        <w:pStyle w:val="7"/>
      </w:pPr>
      <w:r>
        <w:rPr>
          <w:rFonts w:hint="eastAsia"/>
        </w:rPr>
        <w:t>提供满足采购人开展工作的环境条件。</w:t>
      </w:r>
    </w:p>
    <w:p>
      <w:pPr>
        <w:pStyle w:val="7"/>
      </w:pPr>
      <w:r>
        <w:rPr>
          <w:rFonts w:hint="eastAsia"/>
        </w:rPr>
        <w:t>负责向报价人解释技术规范书中的要求。</w:t>
      </w:r>
    </w:p>
    <w:p>
      <w:pPr>
        <w:pStyle w:val="7"/>
      </w:pPr>
      <w:r>
        <w:rPr>
          <w:rFonts w:hint="eastAsia"/>
        </w:rPr>
        <w:t>配合报价人完成项目工作，并组织验收。</w:t>
      </w:r>
    </w:p>
    <w:p>
      <w:pPr>
        <w:pStyle w:val="4"/>
      </w:pPr>
      <w:bookmarkStart w:id="1" w:name="_Toc351129172"/>
      <w:bookmarkStart w:id="2" w:name="_Toc227072238"/>
      <w:r>
        <w:rPr>
          <w:rFonts w:hint="eastAsia"/>
        </w:rPr>
        <w:t>应遵循的主要标准</w:t>
      </w:r>
      <w:bookmarkEnd w:id="1"/>
      <w:bookmarkEnd w:id="2"/>
    </w:p>
    <w:p>
      <w:pPr>
        <w:ind w:firstLine="480" w:firstLineChars="200"/>
      </w:pPr>
      <w:r>
        <w:rPr>
          <w:rFonts w:hint="eastAsia"/>
        </w:rPr>
        <w:t>本项目的工作应遵循以下标准和文件要求：</w:t>
      </w:r>
    </w:p>
    <w:tbl>
      <w:tblPr>
        <w:tblStyle w:val="12"/>
        <w:tblW w:w="862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71"/>
        <w:gridCol w:w="55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r>
              <w:rPr>
                <w:rFonts w:hint="eastAsia"/>
              </w:rPr>
              <w:t>标准号或文号</w:t>
            </w:r>
          </w:p>
        </w:tc>
        <w:tc>
          <w:tcPr>
            <w:tcW w:w="5550" w:type="dxa"/>
            <w:tcBorders>
              <w:top w:val="single" w:color="000000" w:sz="4" w:space="0"/>
              <w:left w:val="single" w:color="000000" w:sz="4" w:space="0"/>
              <w:bottom w:val="single" w:color="000000" w:sz="4" w:space="0"/>
              <w:right w:val="single" w:color="000000" w:sz="4" w:space="0"/>
            </w:tcBorders>
          </w:tcPr>
          <w:p>
            <w:r>
              <w:rPr>
                <w:rFonts w:hint="eastAsia"/>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tc>
        <w:tc>
          <w:tcPr>
            <w:tcW w:w="5550" w:type="dxa"/>
            <w:tcBorders>
              <w:top w:val="single" w:color="000000" w:sz="4" w:space="0"/>
              <w:left w:val="single" w:color="000000" w:sz="4" w:space="0"/>
              <w:bottom w:val="single" w:color="000000" w:sz="4" w:space="0"/>
              <w:right w:val="single" w:color="000000" w:sz="4" w:space="0"/>
            </w:tcBorders>
          </w:tcPr>
          <w:p>
            <w:r>
              <w:rPr>
                <w:rFonts w:ascii="inherit" w:hAnsi="inherit" w:cs="Segoe UI"/>
                <w:spacing w:val="-2"/>
                <w:kern w:val="0"/>
              </w:rPr>
              <w:t>《中华人民共和国特种设备安全法》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TSG T5002-2017</w:t>
            </w: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《电梯维护保养规则》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3071"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DB45/681-2010</w:t>
            </w: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《广西壮族自治区电梯日常维护保养规范》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DB45/T 2880-2024</w:t>
            </w: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《电梯无纸化维护保养规范》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GB 7588</w:t>
            </w: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《电梯制造与安装安全规范》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GB/T 18775</w:t>
            </w: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《电梯维修规范》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71" w:type="dxa"/>
            <w:tcBorders>
              <w:top w:val="single" w:color="000000" w:sz="4" w:space="0"/>
              <w:left w:val="single" w:color="000000" w:sz="4" w:space="0"/>
              <w:bottom w:val="single" w:color="000000" w:sz="4" w:space="0"/>
              <w:right w:val="single" w:color="000000" w:sz="4" w:space="0"/>
            </w:tcBorders>
          </w:tcPr>
          <w:p>
            <w:pPr>
              <w:ind w:firstLine="472" w:firstLineChars="200"/>
              <w:rPr>
                <w:rFonts w:hAnsi="宋体" w:cs="Segoe UI"/>
                <w:spacing w:val="-2"/>
                <w:kern w:val="0"/>
              </w:rPr>
            </w:pPr>
          </w:p>
        </w:tc>
        <w:tc>
          <w:tcPr>
            <w:tcW w:w="5550" w:type="dxa"/>
            <w:tcBorders>
              <w:top w:val="single" w:color="000000" w:sz="4" w:space="0"/>
              <w:left w:val="single" w:color="000000" w:sz="4" w:space="0"/>
              <w:bottom w:val="single" w:color="000000" w:sz="4" w:space="0"/>
              <w:right w:val="single" w:color="000000" w:sz="4" w:space="0"/>
            </w:tcBorders>
          </w:tcPr>
          <w:p>
            <w:pPr>
              <w:rPr>
                <w:rFonts w:hAnsi="宋体" w:cs="Segoe UI"/>
                <w:spacing w:val="-2"/>
                <w:kern w:val="0"/>
              </w:rPr>
            </w:pPr>
            <w:r>
              <w:rPr>
                <w:rFonts w:hAnsi="宋体" w:cs="Segoe UI"/>
                <w:spacing w:val="-2"/>
                <w:kern w:val="0"/>
              </w:rPr>
              <w:t>南宁市市场监督管理局关于电梯维保质量及应急救援的最新通知</w:t>
            </w:r>
          </w:p>
        </w:tc>
      </w:tr>
    </w:tbl>
    <w:p/>
    <w:p>
      <w:pPr>
        <w:pStyle w:val="4"/>
      </w:pPr>
      <w:bookmarkStart w:id="3" w:name="_Toc227072239"/>
      <w:r>
        <w:rPr>
          <w:rFonts w:hint="eastAsia"/>
        </w:rPr>
        <w:t>项目概述</w:t>
      </w:r>
      <w:bookmarkEnd w:id="3"/>
    </w:p>
    <w:p>
      <w:pPr>
        <w:pStyle w:val="2"/>
        <w:spacing w:line="360" w:lineRule="auto"/>
        <w:ind w:firstLine="480" w:firstLineChars="200"/>
        <w:rPr>
          <w:rFonts w:ascii="宋体" w:cs="Times New Roman"/>
          <w:kern w:val="2"/>
          <w:sz w:val="24"/>
          <w:szCs w:val="24"/>
        </w:rPr>
      </w:pPr>
      <w:r>
        <w:rPr>
          <w:rFonts w:hint="eastAsia" w:ascii="宋体" w:cs="Times New Roman"/>
          <w:kern w:val="2"/>
          <w:sz w:val="24"/>
          <w:szCs w:val="24"/>
        </w:rPr>
        <w:t>广西博联信息通信技术有限责任公司即将对承租的位于南宁市青秀区园湖南路32号的五矿大厦进行装修，五矿大厦现在有2台质检至2</w:t>
      </w:r>
      <w:r>
        <w:rPr>
          <w:rFonts w:ascii="宋体" w:cs="Times New Roman"/>
          <w:kern w:val="2"/>
          <w:sz w:val="24"/>
          <w:szCs w:val="24"/>
        </w:rPr>
        <w:t>026</w:t>
      </w:r>
      <w:r>
        <w:rPr>
          <w:rFonts w:hint="eastAsia" w:ascii="宋体" w:cs="Times New Roman"/>
          <w:kern w:val="2"/>
          <w:sz w:val="24"/>
          <w:szCs w:val="24"/>
        </w:rPr>
        <w:t>年1</w:t>
      </w:r>
      <w:r>
        <w:rPr>
          <w:rFonts w:ascii="宋体" w:cs="Times New Roman"/>
          <w:kern w:val="2"/>
          <w:sz w:val="24"/>
          <w:szCs w:val="24"/>
        </w:rPr>
        <w:t>2</w:t>
      </w:r>
      <w:r>
        <w:rPr>
          <w:rFonts w:hint="eastAsia" w:ascii="宋体" w:cs="Times New Roman"/>
          <w:kern w:val="2"/>
          <w:sz w:val="24"/>
          <w:szCs w:val="24"/>
        </w:rPr>
        <w:t>月的电梯（2</w:t>
      </w:r>
      <w:r>
        <w:rPr>
          <w:rFonts w:ascii="宋体" w:cs="Times New Roman"/>
          <w:kern w:val="2"/>
          <w:sz w:val="24"/>
          <w:szCs w:val="24"/>
        </w:rPr>
        <w:t>#</w:t>
      </w:r>
      <w:r>
        <w:rPr>
          <w:rFonts w:hint="eastAsia" w:ascii="宋体" w:cs="Times New Roman"/>
          <w:kern w:val="2"/>
          <w:sz w:val="24"/>
          <w:szCs w:val="24"/>
        </w:rPr>
        <w:t>梯和3</w:t>
      </w:r>
      <w:r>
        <w:rPr>
          <w:rFonts w:ascii="宋体" w:cs="Times New Roman"/>
          <w:kern w:val="2"/>
          <w:sz w:val="24"/>
          <w:szCs w:val="24"/>
        </w:rPr>
        <w:t>#</w:t>
      </w:r>
      <w:r>
        <w:rPr>
          <w:rFonts w:hint="eastAsia" w:ascii="宋体" w:cs="Times New Roman"/>
          <w:kern w:val="2"/>
          <w:sz w:val="24"/>
          <w:szCs w:val="24"/>
        </w:rPr>
        <w:t>梯）仍可使用，但这两台电梯已停止运维。为了让这两台电梯能在五矿大厦即将进行装修时和新电梯更换安装前继续规范、正常使用，本项目拟对五矿大厦现有的2</w:t>
      </w:r>
      <w:r>
        <w:rPr>
          <w:rFonts w:ascii="宋体" w:cs="Times New Roman"/>
          <w:kern w:val="2"/>
          <w:sz w:val="24"/>
          <w:szCs w:val="24"/>
        </w:rPr>
        <w:t>#</w:t>
      </w:r>
      <w:r>
        <w:rPr>
          <w:rFonts w:hint="eastAsia" w:ascii="宋体" w:cs="Times New Roman"/>
          <w:kern w:val="2"/>
          <w:sz w:val="24"/>
          <w:szCs w:val="24"/>
        </w:rPr>
        <w:t>电梯和3</w:t>
      </w:r>
      <w:r>
        <w:rPr>
          <w:rFonts w:ascii="宋体" w:cs="Times New Roman"/>
          <w:kern w:val="2"/>
          <w:sz w:val="24"/>
          <w:szCs w:val="24"/>
        </w:rPr>
        <w:t>#</w:t>
      </w:r>
      <w:r>
        <w:rPr>
          <w:rFonts w:hint="eastAsia" w:ascii="宋体" w:cs="Times New Roman"/>
          <w:kern w:val="2"/>
          <w:sz w:val="24"/>
          <w:szCs w:val="24"/>
        </w:rPr>
        <w:t>电梯的运维服务进行采购。</w:t>
      </w:r>
    </w:p>
    <w:p>
      <w:pPr>
        <w:pStyle w:val="3"/>
        <w:ind w:firstLine="480"/>
      </w:pPr>
      <w:r>
        <w:rPr>
          <w:rFonts w:hint="eastAsia"/>
        </w:rPr>
        <w:t>由于五矿大厦现有的2</w:t>
      </w:r>
      <w:r>
        <w:t>#</w:t>
      </w:r>
      <w:r>
        <w:rPr>
          <w:rFonts w:hint="eastAsia"/>
        </w:rPr>
        <w:t>电梯和3</w:t>
      </w:r>
      <w:r>
        <w:t>#</w:t>
      </w:r>
      <w:r>
        <w:rPr>
          <w:rFonts w:hint="eastAsia"/>
        </w:rPr>
        <w:t>电梯已停止运维，现电梯运行时有故障出现，为保障2</w:t>
      </w:r>
      <w:r>
        <w:t>#</w:t>
      </w:r>
      <w:r>
        <w:rPr>
          <w:rFonts w:hint="eastAsia"/>
        </w:rPr>
        <w:t>电梯和3</w:t>
      </w:r>
      <w:r>
        <w:t>#</w:t>
      </w:r>
      <w:r>
        <w:rPr>
          <w:rFonts w:hint="eastAsia"/>
        </w:rPr>
        <w:t>电梯的安全稳定运行，本项目拟对这两台电梯进行排障修理。</w:t>
      </w:r>
    </w:p>
    <w:p>
      <w:pPr>
        <w:pStyle w:val="4"/>
      </w:pPr>
      <w:bookmarkStart w:id="4" w:name="_Toc227072240"/>
      <w:r>
        <w:rPr>
          <w:rFonts w:hint="eastAsia"/>
        </w:rPr>
        <w:t>范围和内容</w:t>
      </w:r>
      <w:bookmarkEnd w:id="4"/>
    </w:p>
    <w:p>
      <w:pPr>
        <w:ind w:firstLine="482"/>
      </w:pPr>
      <w:r>
        <w:rPr>
          <w:rFonts w:hint="eastAsia"/>
        </w:rPr>
        <w:t>电梯运维服务：</w:t>
      </w:r>
      <w:r>
        <w:rPr>
          <w:rFonts w:hint="eastAsia"/>
          <w:color w:val="000000"/>
        </w:rPr>
        <w:t>本项目的服务期为合同生效之日起3个月，</w:t>
      </w:r>
      <w:r>
        <w:rPr>
          <w:rFonts w:hint="eastAsia"/>
        </w:rPr>
        <w:t>对五矿大厦现有的2</w:t>
      </w:r>
      <w:r>
        <w:t>#</w:t>
      </w:r>
      <w:r>
        <w:rPr>
          <w:rFonts w:hint="eastAsia"/>
        </w:rPr>
        <w:t>电梯和3</w:t>
      </w:r>
      <w:r>
        <w:t>#</w:t>
      </w:r>
      <w:r>
        <w:rPr>
          <w:rFonts w:hint="eastAsia"/>
        </w:rPr>
        <w:t>电梯进行排障修理、日常保养、周期性检修和故障处置等服务。</w:t>
      </w:r>
    </w:p>
    <w:p>
      <w:pPr>
        <w:pStyle w:val="5"/>
      </w:pPr>
      <w:r>
        <w:rPr>
          <w:rFonts w:hint="eastAsia"/>
        </w:rPr>
        <w:t>本次采购的范围和内容如下：</w:t>
      </w:r>
    </w:p>
    <w:p>
      <w:pPr>
        <w:pStyle w:val="27"/>
        <w:ind w:firstLine="0" w:firstLineChars="0"/>
        <w:rPr>
          <w:rFonts w:hint="eastAsia"/>
          <w:color w:val="000000"/>
        </w:rPr>
      </w:pPr>
    </w:p>
    <w:tbl>
      <w:tblPr>
        <w:tblStyle w:val="12"/>
        <w:tblW w:w="74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8"/>
        <w:gridCol w:w="1277"/>
        <w:gridCol w:w="3902"/>
        <w:gridCol w:w="875"/>
        <w:gridCol w:w="66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jc w:val="center"/>
        </w:trPr>
        <w:tc>
          <w:tcPr>
            <w:tcW w:w="738" w:type="dxa"/>
            <w:shd w:val="clear" w:color="auto" w:fill="auto"/>
            <w:vAlign w:val="center"/>
          </w:tcPr>
          <w:p>
            <w:pPr>
              <w:jc w:val="center"/>
              <w:rPr>
                <w:rFonts w:hAnsi="宋体"/>
                <w:sz w:val="21"/>
                <w:szCs w:val="21"/>
              </w:rPr>
            </w:pPr>
            <w:r>
              <w:rPr>
                <w:rFonts w:hint="eastAsia" w:hAnsi="宋体"/>
                <w:sz w:val="21"/>
                <w:szCs w:val="21"/>
              </w:rPr>
              <w:t>序号</w:t>
            </w:r>
          </w:p>
        </w:tc>
        <w:tc>
          <w:tcPr>
            <w:tcW w:w="1277" w:type="dxa"/>
            <w:vAlign w:val="center"/>
          </w:tcPr>
          <w:p>
            <w:pPr>
              <w:jc w:val="center"/>
              <w:rPr>
                <w:rFonts w:hAnsi="宋体"/>
                <w:sz w:val="21"/>
                <w:szCs w:val="21"/>
              </w:rPr>
            </w:pPr>
            <w:r>
              <w:rPr>
                <w:rFonts w:hint="eastAsia" w:hAnsi="宋体"/>
                <w:sz w:val="21"/>
                <w:szCs w:val="21"/>
              </w:rPr>
              <w:t>内容</w:t>
            </w:r>
          </w:p>
        </w:tc>
        <w:tc>
          <w:tcPr>
            <w:tcW w:w="3902" w:type="dxa"/>
            <w:vAlign w:val="center"/>
          </w:tcPr>
          <w:p>
            <w:pPr>
              <w:jc w:val="center"/>
              <w:rPr>
                <w:rFonts w:hAnsi="宋体"/>
                <w:sz w:val="21"/>
                <w:szCs w:val="21"/>
              </w:rPr>
            </w:pPr>
            <w:r>
              <w:rPr>
                <w:rFonts w:hint="eastAsia" w:hAnsi="宋体"/>
                <w:sz w:val="21"/>
                <w:szCs w:val="21"/>
              </w:rPr>
              <w:t>工作要求</w:t>
            </w:r>
          </w:p>
        </w:tc>
        <w:tc>
          <w:tcPr>
            <w:tcW w:w="875" w:type="dxa"/>
            <w:vAlign w:val="center"/>
          </w:tcPr>
          <w:p>
            <w:pPr>
              <w:jc w:val="center"/>
              <w:rPr>
                <w:rFonts w:hAnsi="宋体"/>
                <w:sz w:val="21"/>
                <w:szCs w:val="21"/>
              </w:rPr>
            </w:pPr>
            <w:r>
              <w:rPr>
                <w:rFonts w:hint="eastAsia" w:hAnsi="宋体"/>
                <w:sz w:val="21"/>
                <w:szCs w:val="21"/>
              </w:rPr>
              <w:t>数量</w:t>
            </w:r>
          </w:p>
        </w:tc>
        <w:tc>
          <w:tcPr>
            <w:tcW w:w="665" w:type="dxa"/>
            <w:vAlign w:val="center"/>
          </w:tcPr>
          <w:p>
            <w:pPr>
              <w:jc w:val="center"/>
              <w:rPr>
                <w:rFonts w:hAnsi="宋体"/>
                <w:sz w:val="21"/>
                <w:szCs w:val="21"/>
              </w:rPr>
            </w:pPr>
            <w:r>
              <w:rPr>
                <w:rFonts w:hint="eastAsia" w:hAnsi="宋体"/>
                <w:sz w:val="21"/>
                <w:szCs w:val="21"/>
              </w:rPr>
              <w:t>单位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jc w:val="center"/>
        </w:trPr>
        <w:tc>
          <w:tcPr>
            <w:tcW w:w="738" w:type="dxa"/>
            <w:shd w:val="clear" w:color="auto" w:fill="auto"/>
            <w:vAlign w:val="center"/>
          </w:tcPr>
          <w:p>
            <w:pPr>
              <w:jc w:val="center"/>
              <w:rPr>
                <w:rFonts w:hint="eastAsia" w:hAnsi="宋体"/>
                <w:sz w:val="21"/>
                <w:szCs w:val="21"/>
              </w:rPr>
            </w:pPr>
            <w:r>
              <w:rPr>
                <w:rFonts w:hint="eastAsia" w:hAnsi="宋体"/>
                <w:sz w:val="21"/>
                <w:szCs w:val="21"/>
              </w:rPr>
              <w:t>1</w:t>
            </w:r>
          </w:p>
        </w:tc>
        <w:tc>
          <w:tcPr>
            <w:tcW w:w="1277" w:type="dxa"/>
            <w:vAlign w:val="center"/>
          </w:tcPr>
          <w:p>
            <w:pPr>
              <w:jc w:val="center"/>
              <w:rPr>
                <w:rFonts w:hint="eastAsia" w:hAnsi="宋体"/>
                <w:sz w:val="21"/>
                <w:szCs w:val="21"/>
              </w:rPr>
            </w:pPr>
            <w:r>
              <w:rPr>
                <w:rFonts w:hint="eastAsia" w:hAnsi="宋体"/>
                <w:sz w:val="21"/>
                <w:szCs w:val="21"/>
              </w:rPr>
              <w:t>五矿大厦现有的2#电梯和3#电梯运维服务</w:t>
            </w:r>
          </w:p>
        </w:tc>
        <w:tc>
          <w:tcPr>
            <w:tcW w:w="3902" w:type="dxa"/>
            <w:vAlign w:val="center"/>
          </w:tcPr>
          <w:p>
            <w:pPr>
              <w:rPr>
                <w:rFonts w:hint="eastAsia" w:hAnsi="宋体"/>
                <w:sz w:val="21"/>
                <w:szCs w:val="21"/>
              </w:rPr>
            </w:pPr>
            <w:bookmarkStart w:id="5" w:name="OLE_LINK7"/>
            <w:r>
              <w:rPr>
                <w:rFonts w:hint="eastAsia"/>
              </w:rPr>
              <w:t>对五矿大厦现有的2</w:t>
            </w:r>
            <w:r>
              <w:t>#</w:t>
            </w:r>
            <w:r>
              <w:rPr>
                <w:rFonts w:hint="eastAsia"/>
              </w:rPr>
              <w:t>电梯和3</w:t>
            </w:r>
            <w:r>
              <w:t>#</w:t>
            </w:r>
            <w:r>
              <w:rPr>
                <w:rFonts w:hint="eastAsia"/>
              </w:rPr>
              <w:t>电梯进行日常保养、周期性检修和故障处置等服务，</w:t>
            </w:r>
            <w:r>
              <w:rPr>
                <w:rFonts w:hint="eastAsia"/>
                <w:color w:val="000000"/>
              </w:rPr>
              <w:t>服务期为合同生效之日起3个月</w:t>
            </w:r>
            <w:bookmarkEnd w:id="5"/>
            <w:r>
              <w:rPr>
                <w:rFonts w:hint="eastAsia"/>
                <w:color w:val="000000"/>
              </w:rPr>
              <w:t>。</w:t>
            </w:r>
          </w:p>
        </w:tc>
        <w:tc>
          <w:tcPr>
            <w:tcW w:w="875" w:type="dxa"/>
            <w:vAlign w:val="center"/>
          </w:tcPr>
          <w:p>
            <w:pPr>
              <w:jc w:val="center"/>
              <w:rPr>
                <w:rFonts w:hint="eastAsia" w:hAnsi="宋体"/>
                <w:sz w:val="21"/>
                <w:szCs w:val="21"/>
              </w:rPr>
            </w:pPr>
            <w:r>
              <w:rPr>
                <w:rFonts w:hint="eastAsia" w:hAnsi="宋体"/>
                <w:sz w:val="21"/>
                <w:szCs w:val="21"/>
              </w:rPr>
              <w:t>1</w:t>
            </w:r>
          </w:p>
        </w:tc>
        <w:tc>
          <w:tcPr>
            <w:tcW w:w="665" w:type="dxa"/>
            <w:vAlign w:val="center"/>
          </w:tcPr>
          <w:p>
            <w:pPr>
              <w:jc w:val="center"/>
              <w:rPr>
                <w:rFonts w:hint="eastAsia" w:hAnsi="宋体"/>
                <w:sz w:val="21"/>
                <w:szCs w:val="21"/>
              </w:rPr>
            </w:pPr>
            <w:r>
              <w:rPr>
                <w:rFonts w:hint="eastAsia" w:hAnsi="宋体"/>
                <w:sz w:val="21"/>
                <w:szCs w:val="21"/>
              </w:rPr>
              <w:t>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2" w:hRule="atLeast"/>
          <w:jc w:val="center"/>
        </w:trPr>
        <w:tc>
          <w:tcPr>
            <w:tcW w:w="738" w:type="dxa"/>
            <w:shd w:val="clear" w:color="auto" w:fill="auto"/>
            <w:vAlign w:val="center"/>
          </w:tcPr>
          <w:p>
            <w:pPr>
              <w:ind w:firstLine="210" w:firstLineChars="100"/>
              <w:rPr>
                <w:rFonts w:hAnsi="宋体"/>
                <w:sz w:val="21"/>
                <w:szCs w:val="21"/>
              </w:rPr>
            </w:pPr>
            <w:r>
              <w:rPr>
                <w:rFonts w:hAnsi="宋体"/>
                <w:sz w:val="21"/>
                <w:szCs w:val="21"/>
              </w:rPr>
              <w:t>2</w:t>
            </w:r>
          </w:p>
        </w:tc>
        <w:tc>
          <w:tcPr>
            <w:tcW w:w="1277" w:type="dxa"/>
            <w:vAlign w:val="center"/>
          </w:tcPr>
          <w:p>
            <w:r>
              <w:rPr>
                <w:rFonts w:hint="eastAsia"/>
              </w:rPr>
              <w:t>五矿大厦2</w:t>
            </w:r>
            <w:r>
              <w:t>#</w:t>
            </w:r>
            <w:r>
              <w:rPr>
                <w:rFonts w:hint="eastAsia"/>
              </w:rPr>
              <w:t>电梯和3</w:t>
            </w:r>
            <w:r>
              <w:t>#</w:t>
            </w:r>
            <w:r>
              <w:rPr>
                <w:rFonts w:hint="eastAsia"/>
              </w:rPr>
              <w:t>电梯修理</w:t>
            </w:r>
          </w:p>
        </w:tc>
        <w:tc>
          <w:tcPr>
            <w:tcW w:w="3902" w:type="dxa"/>
            <w:vAlign w:val="center"/>
          </w:tcPr>
          <w:p>
            <w:r>
              <w:rPr>
                <w:rFonts w:hint="eastAsia"/>
              </w:rPr>
              <w:t>对五矿大厦现有的2</w:t>
            </w:r>
            <w:r>
              <w:t>#</w:t>
            </w:r>
            <w:r>
              <w:rPr>
                <w:rFonts w:hint="eastAsia"/>
              </w:rPr>
              <w:t>电梯和3</w:t>
            </w:r>
            <w:r>
              <w:t>#</w:t>
            </w:r>
            <w:r>
              <w:rPr>
                <w:rFonts w:hint="eastAsia"/>
              </w:rPr>
              <w:t>电梯进行排障修理，包含以下内容：</w:t>
            </w:r>
          </w:p>
        </w:tc>
        <w:tc>
          <w:tcPr>
            <w:tcW w:w="875" w:type="dxa"/>
            <w:vAlign w:val="center"/>
          </w:tcPr>
          <w:p>
            <w:pPr>
              <w:jc w:val="center"/>
              <w:rPr>
                <w:rFonts w:hAnsi="宋体"/>
                <w:sz w:val="21"/>
                <w:szCs w:val="21"/>
              </w:rPr>
            </w:pPr>
            <w:r>
              <w:rPr>
                <w:rFonts w:hint="eastAsia" w:hAnsi="宋体"/>
                <w:sz w:val="21"/>
                <w:szCs w:val="21"/>
              </w:rPr>
              <w:t>1</w:t>
            </w:r>
          </w:p>
        </w:tc>
        <w:tc>
          <w:tcPr>
            <w:tcW w:w="665" w:type="dxa"/>
            <w:vAlign w:val="center"/>
          </w:tcPr>
          <w:p>
            <w:pPr>
              <w:jc w:val="center"/>
              <w:rPr>
                <w:rFonts w:hAnsi="宋体"/>
                <w:sz w:val="21"/>
                <w:szCs w:val="21"/>
              </w:rPr>
            </w:pPr>
            <w:r>
              <w:rPr>
                <w:rFonts w:hint="eastAsia" w:hAnsi="宋体"/>
                <w:sz w:val="21"/>
                <w:szCs w:val="21"/>
              </w:rPr>
              <w:t>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2" w:hRule="atLeast"/>
          <w:jc w:val="center"/>
        </w:trPr>
        <w:tc>
          <w:tcPr>
            <w:tcW w:w="738" w:type="dxa"/>
            <w:shd w:val="clear" w:color="auto" w:fill="auto"/>
            <w:vAlign w:val="center"/>
          </w:tcPr>
          <w:p>
            <w:pPr>
              <w:rPr>
                <w:rFonts w:hAnsi="宋体"/>
                <w:sz w:val="21"/>
                <w:szCs w:val="21"/>
              </w:rPr>
            </w:pPr>
            <w:r>
              <w:rPr>
                <w:rFonts w:hAnsi="宋体"/>
                <w:sz w:val="21"/>
                <w:szCs w:val="21"/>
              </w:rPr>
              <w:t>2.1</w:t>
            </w:r>
          </w:p>
        </w:tc>
        <w:tc>
          <w:tcPr>
            <w:tcW w:w="1277" w:type="dxa"/>
            <w:vAlign w:val="center"/>
          </w:tcPr>
          <w:p>
            <w:r>
              <w:rPr>
                <w:rFonts w:hint="eastAsia"/>
              </w:rPr>
              <w:t>曳引机</w:t>
            </w:r>
            <w:r>
              <w:rPr>
                <w:rFonts w:hint="eastAsia"/>
                <w:lang w:val="en-US" w:eastAsia="zh-CN"/>
              </w:rPr>
              <w:t>更</w:t>
            </w:r>
            <w:r>
              <w:rPr>
                <w:rFonts w:hint="eastAsia"/>
              </w:rPr>
              <w:t>换油封</w:t>
            </w:r>
          </w:p>
        </w:tc>
        <w:tc>
          <w:tcPr>
            <w:tcW w:w="3902" w:type="dxa"/>
            <w:vAlign w:val="center"/>
          </w:tcPr>
          <w:p>
            <w:r>
              <w:rPr>
                <w:rFonts w:hint="eastAsia"/>
              </w:rPr>
              <w:t>更换2</w:t>
            </w:r>
            <w:r>
              <w:t>#</w:t>
            </w:r>
            <w:r>
              <w:rPr>
                <w:rFonts w:hint="eastAsia"/>
              </w:rPr>
              <w:t>电梯和3</w:t>
            </w:r>
            <w:r>
              <w:t>#</w:t>
            </w:r>
            <w:r>
              <w:rPr>
                <w:rFonts w:hint="eastAsia"/>
              </w:rPr>
              <w:t>电梯的曳引机油封，并加注机油。</w:t>
            </w:r>
            <w:bookmarkStart w:id="51" w:name="_GoBack"/>
            <w:bookmarkEnd w:id="51"/>
          </w:p>
        </w:tc>
        <w:tc>
          <w:tcPr>
            <w:tcW w:w="875" w:type="dxa"/>
            <w:vAlign w:val="center"/>
          </w:tcPr>
          <w:p>
            <w:pPr>
              <w:jc w:val="center"/>
              <w:rPr>
                <w:rFonts w:hAnsi="宋体"/>
                <w:sz w:val="21"/>
                <w:szCs w:val="21"/>
              </w:rPr>
            </w:pPr>
            <w:r>
              <w:rPr>
                <w:rFonts w:hint="eastAsia" w:hAnsi="宋体"/>
                <w:sz w:val="21"/>
                <w:szCs w:val="21"/>
              </w:rPr>
              <w:t>2</w:t>
            </w:r>
          </w:p>
        </w:tc>
        <w:tc>
          <w:tcPr>
            <w:tcW w:w="665" w:type="dxa"/>
            <w:vAlign w:val="center"/>
          </w:tcPr>
          <w:p>
            <w:pPr>
              <w:jc w:val="center"/>
              <w:rPr>
                <w:rFonts w:hAnsi="宋体"/>
                <w:sz w:val="21"/>
                <w:szCs w:val="21"/>
              </w:rPr>
            </w:pPr>
            <w:r>
              <w:rPr>
                <w:rFonts w:hint="eastAsia" w:hAnsi="宋体"/>
                <w:sz w:val="21"/>
                <w:szCs w:val="21"/>
              </w:rPr>
              <w:t>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2" w:hRule="atLeast"/>
          <w:jc w:val="center"/>
        </w:trPr>
        <w:tc>
          <w:tcPr>
            <w:tcW w:w="738" w:type="dxa"/>
            <w:shd w:val="clear" w:color="auto" w:fill="auto"/>
            <w:vAlign w:val="center"/>
          </w:tcPr>
          <w:p>
            <w:pPr>
              <w:rPr>
                <w:rFonts w:hAnsi="宋体"/>
                <w:sz w:val="21"/>
                <w:szCs w:val="21"/>
              </w:rPr>
            </w:pPr>
            <w:r>
              <w:rPr>
                <w:rFonts w:hAnsi="宋体"/>
                <w:sz w:val="21"/>
                <w:szCs w:val="21"/>
              </w:rPr>
              <w:t>2.2</w:t>
            </w:r>
          </w:p>
        </w:tc>
        <w:tc>
          <w:tcPr>
            <w:tcW w:w="1277" w:type="dxa"/>
            <w:vAlign w:val="center"/>
          </w:tcPr>
          <w:p>
            <w:r>
              <w:rPr>
                <w:rFonts w:hint="eastAsia"/>
              </w:rPr>
              <w:t>底坑缓冲器更换</w:t>
            </w:r>
          </w:p>
        </w:tc>
        <w:tc>
          <w:tcPr>
            <w:tcW w:w="3902" w:type="dxa"/>
            <w:vAlign w:val="center"/>
          </w:tcPr>
          <w:p>
            <w:r>
              <w:rPr>
                <w:rFonts w:hint="eastAsia"/>
              </w:rPr>
              <w:t>更换2</w:t>
            </w:r>
            <w:r>
              <w:t>#</w:t>
            </w:r>
            <w:r>
              <w:rPr>
                <w:rFonts w:hint="eastAsia"/>
              </w:rPr>
              <w:t>电梯和3</w:t>
            </w:r>
            <w:r>
              <w:t>#</w:t>
            </w:r>
            <w:r>
              <w:rPr>
                <w:rFonts w:hint="eastAsia"/>
              </w:rPr>
              <w:t>电梯的底坑缓冲器。</w:t>
            </w:r>
          </w:p>
        </w:tc>
        <w:tc>
          <w:tcPr>
            <w:tcW w:w="875" w:type="dxa"/>
            <w:vAlign w:val="center"/>
          </w:tcPr>
          <w:p>
            <w:pPr>
              <w:jc w:val="center"/>
              <w:rPr>
                <w:rFonts w:hAnsi="宋体"/>
                <w:sz w:val="21"/>
                <w:szCs w:val="21"/>
              </w:rPr>
            </w:pPr>
            <w:r>
              <w:rPr>
                <w:rFonts w:hint="eastAsia" w:hAnsi="宋体"/>
                <w:sz w:val="21"/>
                <w:szCs w:val="21"/>
              </w:rPr>
              <w:t>2</w:t>
            </w:r>
          </w:p>
        </w:tc>
        <w:tc>
          <w:tcPr>
            <w:tcW w:w="665" w:type="dxa"/>
            <w:vAlign w:val="center"/>
          </w:tcPr>
          <w:p>
            <w:pPr>
              <w:jc w:val="center"/>
              <w:rPr>
                <w:rFonts w:hAnsi="宋体"/>
                <w:sz w:val="21"/>
                <w:szCs w:val="21"/>
              </w:rPr>
            </w:pPr>
            <w:r>
              <w:rPr>
                <w:rFonts w:hint="eastAsia" w:hAnsi="宋体"/>
                <w:sz w:val="21"/>
                <w:szCs w:val="21"/>
              </w:rPr>
              <w:t>个</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2" w:hRule="atLeast"/>
          <w:jc w:val="center"/>
        </w:trPr>
        <w:tc>
          <w:tcPr>
            <w:tcW w:w="738" w:type="dxa"/>
            <w:shd w:val="clear" w:color="auto" w:fill="auto"/>
            <w:vAlign w:val="center"/>
          </w:tcPr>
          <w:p>
            <w:pPr>
              <w:rPr>
                <w:rFonts w:hAnsi="宋体"/>
                <w:sz w:val="21"/>
                <w:szCs w:val="21"/>
              </w:rPr>
            </w:pPr>
            <w:r>
              <w:rPr>
                <w:rFonts w:hAnsi="宋体"/>
                <w:sz w:val="21"/>
                <w:szCs w:val="21"/>
              </w:rPr>
              <w:t>2.3</w:t>
            </w:r>
          </w:p>
        </w:tc>
        <w:tc>
          <w:tcPr>
            <w:tcW w:w="1277" w:type="dxa"/>
            <w:vAlign w:val="center"/>
          </w:tcPr>
          <w:p>
            <w:r>
              <w:rPr>
                <w:rFonts w:hint="eastAsia"/>
              </w:rPr>
              <w:t>底坑张紧轮更换</w:t>
            </w:r>
          </w:p>
        </w:tc>
        <w:tc>
          <w:tcPr>
            <w:tcW w:w="3902" w:type="dxa"/>
            <w:vAlign w:val="center"/>
          </w:tcPr>
          <w:p>
            <w:r>
              <w:rPr>
                <w:rFonts w:hint="eastAsia"/>
              </w:rPr>
              <w:t>更换2</w:t>
            </w:r>
            <w:r>
              <w:t>#</w:t>
            </w:r>
            <w:r>
              <w:rPr>
                <w:rFonts w:hint="eastAsia"/>
              </w:rPr>
              <w:t>电梯和3</w:t>
            </w:r>
            <w:r>
              <w:t>#</w:t>
            </w:r>
            <w:r>
              <w:rPr>
                <w:rFonts w:hint="eastAsia"/>
              </w:rPr>
              <w:t>电梯的底坑张紧轮。</w:t>
            </w:r>
          </w:p>
        </w:tc>
        <w:tc>
          <w:tcPr>
            <w:tcW w:w="875" w:type="dxa"/>
            <w:vAlign w:val="center"/>
          </w:tcPr>
          <w:p>
            <w:pPr>
              <w:jc w:val="center"/>
              <w:rPr>
                <w:rFonts w:hAnsi="宋体"/>
                <w:sz w:val="21"/>
                <w:szCs w:val="21"/>
              </w:rPr>
            </w:pPr>
            <w:r>
              <w:rPr>
                <w:rFonts w:hint="eastAsia" w:hAnsi="宋体"/>
                <w:sz w:val="21"/>
                <w:szCs w:val="21"/>
              </w:rPr>
              <w:t>2</w:t>
            </w:r>
          </w:p>
        </w:tc>
        <w:tc>
          <w:tcPr>
            <w:tcW w:w="665" w:type="dxa"/>
            <w:vAlign w:val="center"/>
          </w:tcPr>
          <w:p>
            <w:pPr>
              <w:jc w:val="center"/>
              <w:rPr>
                <w:rFonts w:hAnsi="宋体"/>
                <w:sz w:val="21"/>
                <w:szCs w:val="21"/>
              </w:rPr>
            </w:pPr>
            <w:r>
              <w:rPr>
                <w:rFonts w:hint="eastAsia" w:hAnsi="宋体"/>
                <w:sz w:val="21"/>
                <w:szCs w:val="21"/>
              </w:rPr>
              <w:t>个</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2" w:hRule="atLeast"/>
          <w:jc w:val="center"/>
        </w:trPr>
        <w:tc>
          <w:tcPr>
            <w:tcW w:w="738" w:type="dxa"/>
            <w:shd w:val="clear" w:color="auto" w:fill="auto"/>
            <w:vAlign w:val="center"/>
          </w:tcPr>
          <w:p>
            <w:pPr>
              <w:rPr>
                <w:rFonts w:hAnsi="宋体"/>
                <w:sz w:val="21"/>
                <w:szCs w:val="21"/>
              </w:rPr>
            </w:pPr>
            <w:r>
              <w:rPr>
                <w:rFonts w:hAnsi="宋体"/>
                <w:sz w:val="21"/>
                <w:szCs w:val="21"/>
              </w:rPr>
              <w:t>2.4</w:t>
            </w:r>
          </w:p>
        </w:tc>
        <w:tc>
          <w:tcPr>
            <w:tcW w:w="1277" w:type="dxa"/>
            <w:vAlign w:val="center"/>
          </w:tcPr>
          <w:p>
            <w:r>
              <w:rPr>
                <w:rFonts w:hint="eastAsia"/>
              </w:rPr>
              <w:t>厅门门锁开关更换</w:t>
            </w:r>
          </w:p>
        </w:tc>
        <w:tc>
          <w:tcPr>
            <w:tcW w:w="3902" w:type="dxa"/>
            <w:vAlign w:val="center"/>
          </w:tcPr>
          <w:p>
            <w:r>
              <w:rPr>
                <w:rFonts w:hint="eastAsia"/>
              </w:rPr>
              <w:t>更换2</w:t>
            </w:r>
            <w:r>
              <w:t>#</w:t>
            </w:r>
            <w:r>
              <w:rPr>
                <w:rFonts w:hint="eastAsia"/>
              </w:rPr>
              <w:t>电梯和3</w:t>
            </w:r>
            <w:r>
              <w:t>#</w:t>
            </w:r>
            <w:r>
              <w:rPr>
                <w:rFonts w:hint="eastAsia"/>
              </w:rPr>
              <w:t>电梯每层的厅门门锁开关。</w:t>
            </w:r>
          </w:p>
        </w:tc>
        <w:tc>
          <w:tcPr>
            <w:tcW w:w="875" w:type="dxa"/>
            <w:vAlign w:val="center"/>
          </w:tcPr>
          <w:p>
            <w:pPr>
              <w:jc w:val="center"/>
              <w:rPr>
                <w:rFonts w:hAnsi="宋体"/>
                <w:sz w:val="21"/>
                <w:szCs w:val="21"/>
              </w:rPr>
            </w:pPr>
            <w:r>
              <w:rPr>
                <w:rFonts w:hAnsi="宋体"/>
                <w:sz w:val="21"/>
                <w:szCs w:val="21"/>
              </w:rPr>
              <w:t>47</w:t>
            </w:r>
          </w:p>
        </w:tc>
        <w:tc>
          <w:tcPr>
            <w:tcW w:w="665" w:type="dxa"/>
            <w:vAlign w:val="center"/>
          </w:tcPr>
          <w:p>
            <w:pPr>
              <w:jc w:val="center"/>
              <w:rPr>
                <w:rFonts w:hAnsi="宋体"/>
                <w:sz w:val="21"/>
                <w:szCs w:val="21"/>
              </w:rPr>
            </w:pPr>
            <w:r>
              <w:rPr>
                <w:rFonts w:hint="eastAsia" w:hAnsi="宋体"/>
                <w:sz w:val="21"/>
                <w:szCs w:val="21"/>
              </w:rPr>
              <w:t>个</w:t>
            </w:r>
          </w:p>
        </w:tc>
      </w:tr>
    </w:tbl>
    <w:p/>
    <w:p>
      <w:pPr>
        <w:pStyle w:val="5"/>
      </w:pPr>
      <w:r>
        <w:rPr>
          <w:rFonts w:hint="eastAsia"/>
        </w:rPr>
        <w:t>主要运维对象设备列表：</w:t>
      </w:r>
    </w:p>
    <w:tbl>
      <w:tblPr>
        <w:tblStyle w:val="31"/>
        <w:tblW w:w="85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5"/>
        <w:gridCol w:w="1422"/>
        <w:gridCol w:w="3250"/>
        <w:gridCol w:w="1134"/>
        <w:gridCol w:w="20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jc w:val="center"/>
        </w:trPr>
        <w:tc>
          <w:tcPr>
            <w:tcW w:w="695" w:type="dxa"/>
            <w:vAlign w:val="center"/>
          </w:tcPr>
          <w:p>
            <w:pPr>
              <w:rPr>
                <w:rFonts w:hAnsi="Times New Roman" w:eastAsia="宋体" w:cs="Times New Roman"/>
              </w:rPr>
            </w:pPr>
            <w:r>
              <w:rPr>
                <w:rFonts w:hint="eastAsia" w:hAnsi="Times New Roman" w:eastAsia="宋体" w:cs="Times New Roman"/>
              </w:rPr>
              <w:t>序号</w:t>
            </w:r>
          </w:p>
        </w:tc>
        <w:tc>
          <w:tcPr>
            <w:tcW w:w="1422" w:type="dxa"/>
            <w:vAlign w:val="center"/>
          </w:tcPr>
          <w:p>
            <w:pPr>
              <w:rPr>
                <w:rFonts w:hAnsi="Times New Roman" w:eastAsia="宋体" w:cs="Times New Roman"/>
              </w:rPr>
            </w:pPr>
            <w:r>
              <w:rPr>
                <w:rFonts w:hint="eastAsia" w:hAnsi="Times New Roman" w:eastAsia="宋体" w:cs="Times New Roman"/>
              </w:rPr>
              <w:t>梯型</w:t>
            </w:r>
          </w:p>
        </w:tc>
        <w:tc>
          <w:tcPr>
            <w:tcW w:w="3250" w:type="dxa"/>
            <w:vAlign w:val="center"/>
          </w:tcPr>
          <w:p>
            <w:pPr>
              <w:rPr>
                <w:rFonts w:hAnsi="Times New Roman" w:eastAsia="宋体" w:cs="Times New Roman"/>
              </w:rPr>
            </w:pPr>
            <w:r>
              <w:rPr>
                <w:rFonts w:hint="eastAsia" w:hAnsi="Times New Roman" w:eastAsia="宋体" w:cs="Times New Roman"/>
              </w:rPr>
              <w:t>参数</w:t>
            </w:r>
          </w:p>
        </w:tc>
        <w:tc>
          <w:tcPr>
            <w:tcW w:w="1134" w:type="dxa"/>
            <w:vAlign w:val="center"/>
          </w:tcPr>
          <w:p>
            <w:pPr>
              <w:rPr>
                <w:rFonts w:hAnsi="Times New Roman" w:eastAsia="宋体" w:cs="Times New Roman"/>
              </w:rPr>
            </w:pPr>
            <w:r>
              <w:rPr>
                <w:rFonts w:hint="eastAsia" w:hAnsi="Times New Roman" w:eastAsia="宋体" w:cs="Times New Roman"/>
              </w:rPr>
              <w:t>单位</w:t>
            </w:r>
          </w:p>
        </w:tc>
        <w:tc>
          <w:tcPr>
            <w:tcW w:w="2051" w:type="dxa"/>
            <w:vAlign w:val="center"/>
          </w:tcPr>
          <w:p>
            <w:pPr>
              <w:rPr>
                <w:rFonts w:hAnsi="Times New Roman" w:eastAsia="宋体" w:cs="Times New Roman"/>
              </w:rPr>
            </w:pPr>
            <w:r>
              <w:rPr>
                <w:rFonts w:hint="eastAsia" w:hAnsi="Times New Roman" w:eastAsia="宋体" w:cs="Times New Roman"/>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695" w:type="dxa"/>
            <w:vAlign w:val="center"/>
          </w:tcPr>
          <w:p>
            <w:pPr>
              <w:rPr>
                <w:rFonts w:hAnsi="Times New Roman" w:eastAsia="宋体" w:cs="Times New Roman"/>
              </w:rPr>
            </w:pPr>
            <w:r>
              <w:rPr>
                <w:rFonts w:hint="eastAsia" w:hAnsi="Times New Roman" w:eastAsia="宋体" w:cs="Times New Roman"/>
              </w:rPr>
              <w:t>1</w:t>
            </w:r>
          </w:p>
        </w:tc>
        <w:tc>
          <w:tcPr>
            <w:tcW w:w="1422" w:type="dxa"/>
            <w:vAlign w:val="center"/>
          </w:tcPr>
          <w:p>
            <w:pPr>
              <w:rPr>
                <w:rFonts w:hAnsi="Times New Roman" w:eastAsia="宋体" w:cs="Times New Roman"/>
              </w:rPr>
            </w:pPr>
            <w:r>
              <w:rPr>
                <w:rFonts w:hint="eastAsia" w:hAnsi="Times New Roman" w:eastAsia="宋体" w:cs="Times New Roman"/>
              </w:rPr>
              <w:t>乘客电梯</w:t>
            </w:r>
          </w:p>
        </w:tc>
        <w:tc>
          <w:tcPr>
            <w:tcW w:w="3250" w:type="dxa"/>
            <w:vAlign w:val="center"/>
          </w:tcPr>
          <w:p>
            <w:pPr>
              <w:rPr>
                <w:rFonts w:hAnsi="Times New Roman" w:eastAsia="宋体" w:cs="Times New Roman"/>
              </w:rPr>
            </w:pPr>
            <w:r>
              <w:rPr>
                <w:rFonts w:hint="eastAsia" w:hAnsi="Times New Roman" w:eastAsia="宋体" w:cs="Times New Roman"/>
              </w:rPr>
              <w:t>载重：1000KG，速度：1.75m/s，层站门：23/23/23</w:t>
            </w:r>
          </w:p>
        </w:tc>
        <w:tc>
          <w:tcPr>
            <w:tcW w:w="1134" w:type="dxa"/>
            <w:vAlign w:val="center"/>
          </w:tcPr>
          <w:p>
            <w:pPr>
              <w:rPr>
                <w:rFonts w:hAnsi="Times New Roman" w:eastAsia="宋体" w:cs="Times New Roman"/>
              </w:rPr>
            </w:pPr>
            <w:r>
              <w:rPr>
                <w:rFonts w:hint="eastAsia" w:hAnsi="Times New Roman" w:eastAsia="宋体" w:cs="Times New Roman"/>
              </w:rPr>
              <w:t>台</w:t>
            </w:r>
          </w:p>
        </w:tc>
        <w:tc>
          <w:tcPr>
            <w:tcW w:w="2051" w:type="dxa"/>
            <w:vAlign w:val="center"/>
          </w:tcPr>
          <w:p>
            <w:pPr>
              <w:rPr>
                <w:rFonts w:hAnsi="Times New Roman" w:eastAsia="宋体" w:cs="Times New Roman"/>
              </w:rPr>
            </w:pPr>
            <w:r>
              <w:rPr>
                <w:rFonts w:hAnsi="Times New Roman" w:eastAsia="宋体" w:cs="Times New Roman"/>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695" w:type="dxa"/>
            <w:vAlign w:val="center"/>
          </w:tcPr>
          <w:p>
            <w:pPr>
              <w:rPr>
                <w:rFonts w:hAnsi="Times New Roman" w:eastAsia="宋体" w:cs="Times New Roman"/>
              </w:rPr>
            </w:pPr>
            <w:r>
              <w:rPr>
                <w:rFonts w:hint="eastAsia" w:hAnsi="Times New Roman" w:eastAsia="宋体" w:cs="Times New Roman"/>
              </w:rPr>
              <w:t>1</w:t>
            </w:r>
          </w:p>
        </w:tc>
        <w:tc>
          <w:tcPr>
            <w:tcW w:w="1422" w:type="dxa"/>
            <w:vAlign w:val="center"/>
          </w:tcPr>
          <w:p>
            <w:pPr>
              <w:rPr>
                <w:rFonts w:hAnsi="Times New Roman" w:eastAsia="宋体" w:cs="Times New Roman"/>
              </w:rPr>
            </w:pPr>
            <w:r>
              <w:rPr>
                <w:rFonts w:hint="eastAsia" w:hAnsi="Times New Roman" w:eastAsia="宋体" w:cs="Times New Roman"/>
              </w:rPr>
              <w:t>乘客电梯</w:t>
            </w:r>
          </w:p>
        </w:tc>
        <w:tc>
          <w:tcPr>
            <w:tcW w:w="3250" w:type="dxa"/>
            <w:vAlign w:val="center"/>
          </w:tcPr>
          <w:p>
            <w:pPr>
              <w:rPr>
                <w:rFonts w:hAnsi="Times New Roman" w:eastAsia="宋体" w:cs="Times New Roman"/>
              </w:rPr>
            </w:pPr>
            <w:r>
              <w:rPr>
                <w:rFonts w:hint="eastAsia" w:hAnsi="Times New Roman" w:eastAsia="宋体" w:cs="Times New Roman"/>
              </w:rPr>
              <w:t>载重：1000KG，速度：1.75m/s，层站门：2</w:t>
            </w:r>
            <w:r>
              <w:rPr>
                <w:rFonts w:hAnsi="Times New Roman" w:eastAsia="宋体" w:cs="Times New Roman"/>
              </w:rPr>
              <w:t>4</w:t>
            </w:r>
            <w:r>
              <w:rPr>
                <w:rFonts w:hint="eastAsia" w:hAnsi="Times New Roman" w:eastAsia="宋体" w:cs="Times New Roman"/>
              </w:rPr>
              <w:t>/2</w:t>
            </w:r>
            <w:r>
              <w:rPr>
                <w:rFonts w:hAnsi="Times New Roman" w:eastAsia="宋体" w:cs="Times New Roman"/>
              </w:rPr>
              <w:t>4</w:t>
            </w:r>
            <w:r>
              <w:rPr>
                <w:rFonts w:hint="eastAsia" w:hAnsi="Times New Roman" w:eastAsia="宋体" w:cs="Times New Roman"/>
              </w:rPr>
              <w:t>/2</w:t>
            </w:r>
            <w:r>
              <w:rPr>
                <w:rFonts w:hAnsi="Times New Roman" w:eastAsia="宋体" w:cs="Times New Roman"/>
              </w:rPr>
              <w:t>4</w:t>
            </w:r>
          </w:p>
        </w:tc>
        <w:tc>
          <w:tcPr>
            <w:tcW w:w="1134" w:type="dxa"/>
            <w:vAlign w:val="center"/>
          </w:tcPr>
          <w:p>
            <w:pPr>
              <w:rPr>
                <w:rFonts w:hAnsi="Times New Roman" w:eastAsia="宋体" w:cs="Times New Roman"/>
              </w:rPr>
            </w:pPr>
            <w:r>
              <w:rPr>
                <w:rFonts w:hint="eastAsia" w:hAnsi="Times New Roman" w:eastAsia="宋体" w:cs="Times New Roman"/>
              </w:rPr>
              <w:t>台</w:t>
            </w:r>
          </w:p>
        </w:tc>
        <w:tc>
          <w:tcPr>
            <w:tcW w:w="2051" w:type="dxa"/>
            <w:vAlign w:val="center"/>
          </w:tcPr>
          <w:p>
            <w:pPr>
              <w:rPr>
                <w:rFonts w:hAnsi="Times New Roman" w:eastAsia="宋体" w:cs="Times New Roman"/>
              </w:rPr>
            </w:pPr>
            <w:r>
              <w:rPr>
                <w:rFonts w:hAnsi="Times New Roman" w:eastAsia="宋体" w:cs="Times New Roman"/>
              </w:rPr>
              <w:t>1</w:t>
            </w:r>
          </w:p>
        </w:tc>
      </w:tr>
    </w:tbl>
    <w:p>
      <w:pPr>
        <w:pStyle w:val="4"/>
      </w:pPr>
      <w:bookmarkStart w:id="6" w:name="_Toc227072241"/>
      <w:r>
        <w:rPr>
          <w:rFonts w:hint="eastAsia"/>
        </w:rPr>
        <w:t>总体要求</w:t>
      </w:r>
      <w:bookmarkEnd w:id="6"/>
    </w:p>
    <w:p>
      <w:pPr>
        <w:pStyle w:val="7"/>
        <w:numPr>
          <w:ilvl w:val="0"/>
          <w:numId w:val="0"/>
        </w:numPr>
      </w:pPr>
      <w:r>
        <w:rPr>
          <w:rFonts w:hint="eastAsia"/>
        </w:rPr>
        <w:t>报价人必须响应并承诺下列要求。</w:t>
      </w:r>
    </w:p>
    <w:p>
      <w:pPr>
        <w:pStyle w:val="5"/>
        <w:rPr>
          <w:lang w:val="en-US"/>
        </w:rPr>
      </w:pPr>
      <w:r>
        <w:rPr>
          <w:rFonts w:hint="eastAsia"/>
          <w:b w:val="0"/>
          <w:bCs w:val="0"/>
        </w:rPr>
        <w:t>本规范书指标要求中，凡标有下划线或加“★”的地方均被视为重要的技术指标要求或性能要求。报价人要特别加以注意，必须完全满足这些要求。</w:t>
      </w:r>
    </w:p>
    <w:p>
      <w:pPr>
        <w:pStyle w:val="5"/>
        <w:rPr>
          <w:lang w:val="en-US"/>
        </w:rPr>
      </w:pPr>
      <w:r>
        <w:rPr>
          <w:rFonts w:hint="eastAsia"/>
          <w:b w:val="0"/>
          <w:bCs w:val="0"/>
        </w:rPr>
        <w:t>报价人应列出各个单项工作的报价，还应对各个单项工作的不同阶段工作进行划分，并在列出各阶段工作的详细报价。</w:t>
      </w:r>
    </w:p>
    <w:p>
      <w:pPr>
        <w:pStyle w:val="5"/>
        <w:rPr>
          <w:lang w:val="en-US"/>
        </w:rPr>
      </w:pPr>
      <w:r>
        <w:rPr>
          <w:rFonts w:hint="eastAsia"/>
          <w:lang w:val="en-US"/>
        </w:rPr>
        <w:t>运维目标</w:t>
      </w:r>
    </w:p>
    <w:p>
      <w:pPr>
        <w:pStyle w:val="7"/>
        <w:numPr>
          <w:ilvl w:val="0"/>
          <w:numId w:val="0"/>
        </w:numPr>
        <w:ind w:left="142"/>
      </w:pPr>
      <w:r>
        <w:rPr>
          <w:rFonts w:hint="eastAsia"/>
        </w:rPr>
        <w:t>报价人在承担采购人委托的运行维护工作期间，应完成下列服务目标：</w:t>
      </w:r>
    </w:p>
    <w:p>
      <w:pPr>
        <w:pStyle w:val="7"/>
        <w:rPr>
          <w:color w:val="000000"/>
        </w:rPr>
      </w:pPr>
      <w:r>
        <w:rPr>
          <w:rFonts w:hint="eastAsia"/>
          <w:color w:val="000000"/>
        </w:rPr>
        <w:t>★严格执行国家颁发的特种作业规程、规定、规范和标准，开展电梯的运行维护工作，不发生任何形式的安全责任事故。</w:t>
      </w:r>
    </w:p>
    <w:p>
      <w:pPr>
        <w:pStyle w:val="7"/>
        <w:rPr>
          <w:color w:val="000000"/>
        </w:rPr>
      </w:pPr>
      <w:r>
        <w:rPr>
          <w:color w:val="000000"/>
        </w:rPr>
        <w:t>确保电梯处于可服务状态的时间最大化</w:t>
      </w:r>
      <w:r>
        <w:rPr>
          <w:rFonts w:hint="eastAsia"/>
          <w:color w:val="000000"/>
        </w:rPr>
        <w:t>，</w:t>
      </w:r>
      <w:r>
        <w:rPr>
          <w:color w:val="000000"/>
        </w:rPr>
        <w:t>降低运行故障频次</w:t>
      </w:r>
      <w:r>
        <w:rPr>
          <w:rFonts w:hint="eastAsia"/>
          <w:color w:val="000000"/>
        </w:rPr>
        <w:t>。</w:t>
      </w:r>
    </w:p>
    <w:p>
      <w:pPr>
        <w:pStyle w:val="5"/>
        <w:jc w:val="left"/>
        <w:rPr>
          <w:color w:val="000000"/>
        </w:rPr>
      </w:pPr>
      <w:bookmarkStart w:id="7" w:name="_Toc475083955"/>
      <w:bookmarkEnd w:id="7"/>
      <w:bookmarkStart w:id="8" w:name="_Toc475297449"/>
      <w:bookmarkEnd w:id="8"/>
      <w:bookmarkStart w:id="9" w:name="_Toc475083917"/>
      <w:bookmarkEnd w:id="9"/>
      <w:bookmarkStart w:id="10" w:name="_Toc475297473"/>
      <w:bookmarkEnd w:id="10"/>
      <w:bookmarkStart w:id="11" w:name="_Toc475385130"/>
      <w:bookmarkEnd w:id="11"/>
      <w:bookmarkStart w:id="12" w:name="_Toc476850336"/>
      <w:bookmarkEnd w:id="12"/>
      <w:bookmarkStart w:id="13" w:name="_Toc475297669"/>
      <w:bookmarkEnd w:id="13"/>
      <w:bookmarkStart w:id="14" w:name="_Toc477370874"/>
      <w:bookmarkStart w:id="15" w:name="_Toc477294431"/>
      <w:bookmarkStart w:id="16" w:name="_Toc477294532"/>
      <w:bookmarkStart w:id="17" w:name="_Toc477095088"/>
      <w:bookmarkStart w:id="18" w:name="_Toc477377755"/>
      <w:bookmarkStart w:id="19" w:name="_Toc477266268"/>
      <w:r>
        <w:rPr>
          <w:rFonts w:hint="eastAsia"/>
          <w:color w:val="000000"/>
        </w:rPr>
        <w:t>运维服务要求</w:t>
      </w:r>
      <w:bookmarkEnd w:id="14"/>
      <w:bookmarkEnd w:id="15"/>
      <w:bookmarkEnd w:id="16"/>
      <w:bookmarkEnd w:id="17"/>
      <w:bookmarkEnd w:id="18"/>
      <w:bookmarkEnd w:id="19"/>
    </w:p>
    <w:p>
      <w:pPr>
        <w:pStyle w:val="7"/>
        <w:rPr>
          <w:color w:val="000000"/>
        </w:rPr>
      </w:pPr>
      <w:r>
        <w:rPr>
          <w:rFonts w:hint="eastAsia"/>
          <w:color w:val="000000"/>
        </w:rPr>
        <w:t>★报价人应提供7×24小时的故障/缺陷接受渠道，方式包括但不限于热线电话、传真、电子邮件方式。对于上述方式，报价人都应该在规定的方式和响应时间内提供相应的技术支持服务。</w:t>
      </w:r>
    </w:p>
    <w:p>
      <w:pPr>
        <w:pStyle w:val="7"/>
        <w:rPr>
          <w:color w:val="000000"/>
        </w:rPr>
      </w:pPr>
      <w:r>
        <w:rPr>
          <w:rFonts w:hint="eastAsia"/>
          <w:color w:val="000000"/>
        </w:rPr>
        <w:t>★在系统频繁出现故障、或特殊时期（如：建筑物内部装修期间），需要提高电梯运维频次的情况下，应采购人要求，报价人应提供技术人员提供现场支持，及时处理各类故障。</w:t>
      </w:r>
    </w:p>
    <w:p>
      <w:pPr>
        <w:pStyle w:val="7"/>
        <w:rPr>
          <w:color w:val="000000"/>
        </w:rPr>
      </w:pPr>
      <w:r>
        <w:rPr>
          <w:rFonts w:hint="eastAsia"/>
          <w:color w:val="000000"/>
        </w:rPr>
        <w:t>★</w:t>
      </w:r>
      <w:r>
        <w:rPr>
          <w:color w:val="000000"/>
        </w:rPr>
        <w:t>困人救援到场时间≤30分钟</w:t>
      </w:r>
      <w:r>
        <w:rPr>
          <w:rFonts w:hint="eastAsia"/>
          <w:color w:val="000000"/>
        </w:rPr>
        <w:t>，</w:t>
      </w:r>
      <w:r>
        <w:rPr>
          <w:color w:val="000000"/>
        </w:rPr>
        <w:t>维保记录完整性100%</w:t>
      </w:r>
      <w:r>
        <w:rPr>
          <w:rFonts w:hint="eastAsia"/>
          <w:color w:val="000000"/>
        </w:rPr>
        <w:t>。</w:t>
      </w:r>
    </w:p>
    <w:p>
      <w:pPr>
        <w:pStyle w:val="7"/>
        <w:rPr>
          <w:color w:val="000000"/>
        </w:rPr>
      </w:pPr>
      <w:r>
        <w:rPr>
          <w:rFonts w:hint="eastAsia"/>
          <w:color w:val="000000"/>
        </w:rPr>
        <w:t>报价人应对其本地技术支持等方面的情况作出说明；</w:t>
      </w:r>
    </w:p>
    <w:p>
      <w:pPr>
        <w:pStyle w:val="4"/>
      </w:pPr>
      <w:bookmarkStart w:id="20" w:name="_Toc227072242"/>
      <w:r>
        <w:rPr>
          <w:rFonts w:hint="eastAsia"/>
        </w:rPr>
        <w:t>主要技术要求</w:t>
      </w:r>
      <w:bookmarkEnd w:id="20"/>
    </w:p>
    <w:p>
      <w:pPr>
        <w:pStyle w:val="5"/>
      </w:pPr>
      <w:r>
        <w:rPr>
          <w:rFonts w:hint="eastAsia"/>
        </w:rPr>
        <w:t>电梯运维服务总体要求</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819"/>
        <w:gridCol w:w="7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73" w:type="pct"/>
            <w:vAlign w:val="center"/>
          </w:tcPr>
          <w:p>
            <w:pPr>
              <w:widowControl/>
              <w:spacing w:line="240" w:lineRule="auto"/>
              <w:jc w:val="center"/>
              <w:rPr>
                <w:rFonts w:hAnsi="宋体" w:cs="宋体"/>
                <w:b/>
                <w:bCs/>
                <w:kern w:val="0"/>
              </w:rPr>
            </w:pPr>
            <w:r>
              <w:rPr>
                <w:rFonts w:hint="eastAsia" w:hAnsi="宋体" w:cs="宋体"/>
                <w:b/>
                <w:bCs/>
                <w:kern w:val="0"/>
              </w:rPr>
              <w:t>序号</w:t>
            </w:r>
          </w:p>
        </w:tc>
        <w:tc>
          <w:tcPr>
            <w:tcW w:w="480" w:type="pct"/>
          </w:tcPr>
          <w:p>
            <w:pPr>
              <w:widowControl/>
              <w:spacing w:line="240" w:lineRule="auto"/>
              <w:jc w:val="center"/>
              <w:rPr>
                <w:rFonts w:hint="eastAsia" w:hAnsi="宋体" w:cs="宋体"/>
                <w:b/>
                <w:bCs/>
                <w:kern w:val="0"/>
              </w:rPr>
            </w:pPr>
            <w:r>
              <w:rPr>
                <w:rFonts w:hint="eastAsia" w:hAnsi="宋体" w:cs="宋体"/>
                <w:b/>
                <w:bCs/>
                <w:kern w:val="0"/>
              </w:rPr>
              <w:t>名称</w:t>
            </w:r>
          </w:p>
        </w:tc>
        <w:tc>
          <w:tcPr>
            <w:tcW w:w="4147" w:type="pct"/>
            <w:vAlign w:val="center"/>
          </w:tcPr>
          <w:p>
            <w:pPr>
              <w:widowControl/>
              <w:spacing w:line="240" w:lineRule="auto"/>
              <w:jc w:val="center"/>
              <w:rPr>
                <w:rFonts w:hAnsi="宋体" w:cs="宋体"/>
                <w:b/>
                <w:bCs/>
                <w:kern w:val="0"/>
              </w:rPr>
            </w:pPr>
            <w:r>
              <w:rPr>
                <w:rFonts w:hint="eastAsia" w:hAnsi="宋体" w:cs="宋体"/>
                <w:b/>
                <w:bCs/>
                <w:kern w:val="0"/>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73" w:type="pct"/>
            <w:vAlign w:val="center"/>
          </w:tcPr>
          <w:p>
            <w:pPr>
              <w:widowControl/>
              <w:spacing w:line="300" w:lineRule="auto"/>
              <w:jc w:val="center"/>
              <w:rPr>
                <w:rFonts w:hAnsi="宋体" w:cs="宋体"/>
                <w:kern w:val="0"/>
                <w:sz w:val="21"/>
                <w:szCs w:val="21"/>
              </w:rPr>
            </w:pPr>
            <w:r>
              <w:rPr>
                <w:rFonts w:hAnsi="宋体" w:cs="宋体"/>
                <w:kern w:val="0"/>
                <w:sz w:val="21"/>
                <w:szCs w:val="21"/>
              </w:rPr>
              <w:t>1</w:t>
            </w:r>
          </w:p>
        </w:tc>
        <w:tc>
          <w:tcPr>
            <w:tcW w:w="480" w:type="pct"/>
            <w:vMerge w:val="restart"/>
          </w:tcPr>
          <w:p>
            <w:pPr>
              <w:widowControl/>
              <w:spacing w:line="300" w:lineRule="auto"/>
              <w:jc w:val="left"/>
              <w:rPr>
                <w:rFonts w:hint="eastAsia" w:hAnsi="宋体" w:cs="宋体"/>
                <w:kern w:val="0"/>
                <w:sz w:val="21"/>
                <w:szCs w:val="21"/>
              </w:rPr>
            </w:pPr>
            <w:r>
              <w:rPr>
                <w:rFonts w:hint="eastAsia" w:hAnsi="宋体" w:cs="宋体"/>
                <w:kern w:val="0"/>
                <w:sz w:val="21"/>
                <w:szCs w:val="21"/>
              </w:rPr>
              <w:t>日常保养</w:t>
            </w:r>
          </w:p>
        </w:tc>
        <w:tc>
          <w:tcPr>
            <w:tcW w:w="4147" w:type="pct"/>
            <w:vAlign w:val="center"/>
          </w:tcPr>
          <w:p>
            <w:pPr>
              <w:widowControl/>
              <w:spacing w:line="300" w:lineRule="auto"/>
              <w:jc w:val="left"/>
              <w:rPr>
                <w:rFonts w:hAnsi="宋体"/>
                <w:color w:val="000000"/>
                <w:kern w:val="0"/>
                <w:sz w:val="21"/>
                <w:szCs w:val="21"/>
              </w:rPr>
            </w:pPr>
            <w:r>
              <w:rPr>
                <w:rFonts w:hint="eastAsia" w:hAnsi="宋体" w:cs="宋体"/>
                <w:kern w:val="0"/>
                <w:sz w:val="21"/>
                <w:szCs w:val="21"/>
              </w:rPr>
              <w:t>日常巡检：每月2次，建立电梯保养档案，档案要求“一梯一档”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73" w:type="pct"/>
            <w:vAlign w:val="center"/>
          </w:tcPr>
          <w:p>
            <w:pPr>
              <w:widowControl/>
              <w:tabs>
                <w:tab w:val="left" w:pos="231"/>
              </w:tabs>
              <w:spacing w:line="300" w:lineRule="auto"/>
              <w:jc w:val="center"/>
              <w:rPr>
                <w:rFonts w:hAnsi="宋体" w:cs="宋体"/>
                <w:kern w:val="0"/>
                <w:sz w:val="21"/>
                <w:szCs w:val="21"/>
              </w:rPr>
            </w:pPr>
            <w:r>
              <w:rPr>
                <w:rFonts w:hAnsi="宋体" w:cs="宋体"/>
                <w:kern w:val="0"/>
                <w:sz w:val="21"/>
                <w:szCs w:val="21"/>
              </w:rPr>
              <w:t>2</w:t>
            </w:r>
          </w:p>
        </w:tc>
        <w:tc>
          <w:tcPr>
            <w:tcW w:w="480" w:type="pct"/>
            <w:vMerge w:val="continue"/>
          </w:tcPr>
          <w:p>
            <w:pPr>
              <w:widowControl/>
              <w:spacing w:line="300" w:lineRule="auto"/>
              <w:jc w:val="left"/>
              <w:rPr>
                <w:rFonts w:hint="eastAsia" w:hAnsi="宋体" w:cs="宋体"/>
                <w:kern w:val="0"/>
                <w:sz w:val="21"/>
                <w:szCs w:val="21"/>
              </w:rPr>
            </w:pPr>
          </w:p>
        </w:tc>
        <w:tc>
          <w:tcPr>
            <w:tcW w:w="4147" w:type="pct"/>
            <w:vAlign w:val="center"/>
          </w:tcPr>
          <w:p>
            <w:pPr>
              <w:widowControl/>
              <w:spacing w:line="300" w:lineRule="auto"/>
              <w:jc w:val="left"/>
              <w:rPr>
                <w:rFonts w:hAnsi="宋体" w:cs="宋体"/>
                <w:kern w:val="0"/>
                <w:sz w:val="21"/>
                <w:szCs w:val="21"/>
              </w:rPr>
            </w:pPr>
            <w:r>
              <w:rPr>
                <w:rFonts w:hint="eastAsia" w:hAnsi="宋体" w:cs="宋体"/>
                <w:kern w:val="0"/>
                <w:sz w:val="21"/>
                <w:szCs w:val="21"/>
              </w:rPr>
              <w:t>电梯保养：</w:t>
            </w:r>
          </w:p>
          <w:p>
            <w:pPr>
              <w:widowControl/>
              <w:spacing w:line="300" w:lineRule="auto"/>
              <w:jc w:val="left"/>
              <w:rPr>
                <w:rFonts w:hAnsi="宋体" w:cs="宋体"/>
                <w:kern w:val="0"/>
                <w:sz w:val="21"/>
                <w:szCs w:val="21"/>
              </w:rPr>
            </w:pPr>
            <w:r>
              <w:rPr>
                <w:rFonts w:hint="eastAsia" w:hAnsi="宋体" w:cs="宋体"/>
                <w:kern w:val="0"/>
                <w:sz w:val="21"/>
                <w:szCs w:val="21"/>
              </w:rPr>
              <w:t>（1）</w:t>
            </w:r>
            <w:r>
              <w:rPr>
                <w:rFonts w:hAnsi="宋体" w:cs="宋体"/>
                <w:kern w:val="0"/>
                <w:sz w:val="21"/>
                <w:szCs w:val="21"/>
              </w:rPr>
              <w:t>检查</w:t>
            </w:r>
            <w:r>
              <w:rPr>
                <w:rFonts w:hint="eastAsia" w:hAnsi="宋体" w:cs="宋体"/>
                <w:kern w:val="0"/>
                <w:sz w:val="21"/>
                <w:szCs w:val="21"/>
              </w:rPr>
              <w:t>机房内</w:t>
            </w:r>
            <w:r>
              <w:rPr>
                <w:rFonts w:hAnsi="宋体" w:cs="宋体"/>
                <w:kern w:val="0"/>
                <w:sz w:val="21"/>
                <w:szCs w:val="21"/>
              </w:rPr>
              <w:t>曳引机温升、异响；制动器间隙；控制柜接触器触点。</w:t>
            </w:r>
          </w:p>
          <w:p>
            <w:pPr>
              <w:pStyle w:val="3"/>
              <w:ind w:firstLine="0" w:firstLineChars="0"/>
              <w:rPr>
                <w:rFonts w:hAnsi="宋体" w:cs="宋体"/>
                <w:kern w:val="0"/>
                <w:sz w:val="21"/>
                <w:szCs w:val="21"/>
              </w:rPr>
            </w:pPr>
            <w:r>
              <w:rPr>
                <w:rFonts w:hint="eastAsia" w:hAnsi="宋体" w:cs="宋体"/>
                <w:kern w:val="0"/>
                <w:sz w:val="21"/>
                <w:szCs w:val="21"/>
              </w:rPr>
              <w:t>（2）</w:t>
            </w:r>
            <w:r>
              <w:rPr>
                <w:rFonts w:hAnsi="宋体" w:cs="宋体"/>
                <w:kern w:val="0"/>
                <w:sz w:val="21"/>
                <w:szCs w:val="21"/>
              </w:rPr>
              <w:t>检查</w:t>
            </w:r>
            <w:r>
              <w:rPr>
                <w:rFonts w:hint="eastAsia" w:hAnsi="宋体" w:cs="宋体"/>
                <w:kern w:val="0"/>
                <w:sz w:val="21"/>
                <w:szCs w:val="21"/>
              </w:rPr>
              <w:t>井道和轿厢</w:t>
            </w:r>
            <w:r>
              <w:rPr>
                <w:rFonts w:hAnsi="宋体" w:cs="宋体"/>
                <w:kern w:val="0"/>
                <w:sz w:val="21"/>
                <w:szCs w:val="21"/>
              </w:rPr>
              <w:t>导轨油杯油位；清理导靴、安全钳积灰；测试各层门锁。</w:t>
            </w:r>
          </w:p>
          <w:p>
            <w:pPr>
              <w:pStyle w:val="3"/>
              <w:ind w:firstLine="0" w:firstLineChars="0"/>
              <w:rPr>
                <w:rFonts w:hAnsi="宋体" w:cs="宋体"/>
                <w:kern w:val="0"/>
                <w:sz w:val="21"/>
                <w:szCs w:val="21"/>
              </w:rPr>
            </w:pPr>
            <w:r>
              <w:rPr>
                <w:rFonts w:hint="eastAsia" w:hAnsi="宋体" w:cs="宋体"/>
                <w:kern w:val="0"/>
                <w:sz w:val="21"/>
                <w:szCs w:val="21"/>
              </w:rPr>
              <w:t>（</w:t>
            </w:r>
            <w:r>
              <w:rPr>
                <w:rFonts w:hAnsi="宋体" w:cs="宋体"/>
                <w:kern w:val="0"/>
                <w:sz w:val="21"/>
                <w:szCs w:val="21"/>
              </w:rPr>
              <w:t>3</w:t>
            </w:r>
            <w:r>
              <w:rPr>
                <w:rFonts w:hint="eastAsia" w:hAnsi="宋体" w:cs="宋体"/>
                <w:kern w:val="0"/>
                <w:sz w:val="21"/>
                <w:szCs w:val="21"/>
              </w:rPr>
              <w:t>）</w:t>
            </w:r>
            <w:r>
              <w:rPr>
                <w:rFonts w:hAnsi="宋体" w:cs="宋体"/>
                <w:kern w:val="0"/>
                <w:sz w:val="21"/>
                <w:szCs w:val="21"/>
              </w:rPr>
              <w:t>检查</w:t>
            </w:r>
            <w:r>
              <w:rPr>
                <w:rFonts w:hint="eastAsia" w:hAnsi="宋体" w:cs="宋体"/>
                <w:kern w:val="0"/>
                <w:sz w:val="21"/>
                <w:szCs w:val="21"/>
              </w:rPr>
              <w:t>底坑</w:t>
            </w:r>
            <w:r>
              <w:rPr>
                <w:rFonts w:hAnsi="宋体" w:cs="宋体"/>
                <w:kern w:val="0"/>
                <w:sz w:val="21"/>
                <w:szCs w:val="21"/>
              </w:rPr>
              <w:t>缓冲器、</w:t>
            </w:r>
            <w:r>
              <w:rPr>
                <w:rFonts w:hint="eastAsia" w:hAnsi="宋体" w:cs="宋体"/>
                <w:kern w:val="0"/>
                <w:sz w:val="21"/>
                <w:szCs w:val="21"/>
              </w:rPr>
              <w:t>张</w:t>
            </w:r>
            <w:r>
              <w:rPr>
                <w:rFonts w:hAnsi="宋体" w:cs="宋体"/>
                <w:kern w:val="0"/>
                <w:sz w:val="21"/>
                <w:szCs w:val="21"/>
              </w:rPr>
              <w:t>紧轮；清理底坑积水（若有）。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73" w:type="pct"/>
            <w:vAlign w:val="center"/>
          </w:tcPr>
          <w:p>
            <w:pPr>
              <w:widowControl/>
              <w:spacing w:line="240" w:lineRule="auto"/>
              <w:jc w:val="center"/>
              <w:rPr>
                <w:rFonts w:hAnsi="宋体" w:cs="宋体"/>
                <w:kern w:val="0"/>
                <w:sz w:val="21"/>
                <w:szCs w:val="21"/>
              </w:rPr>
            </w:pPr>
            <w:r>
              <w:rPr>
                <w:rFonts w:hAnsi="宋体" w:cs="宋体"/>
                <w:kern w:val="0"/>
                <w:sz w:val="21"/>
                <w:szCs w:val="21"/>
              </w:rPr>
              <w:t>3</w:t>
            </w:r>
          </w:p>
        </w:tc>
        <w:tc>
          <w:tcPr>
            <w:tcW w:w="480" w:type="pct"/>
          </w:tcPr>
          <w:p>
            <w:pPr>
              <w:pStyle w:val="3"/>
              <w:ind w:firstLine="0" w:firstLineChars="0"/>
              <w:rPr>
                <w:rFonts w:hint="eastAsia" w:hAnsi="宋体" w:cs="宋体"/>
                <w:kern w:val="0"/>
                <w:sz w:val="21"/>
                <w:szCs w:val="21"/>
              </w:rPr>
            </w:pPr>
            <w:r>
              <w:rPr>
                <w:rFonts w:hint="eastAsia" w:hAnsi="宋体" w:cs="宋体"/>
                <w:kern w:val="0"/>
                <w:sz w:val="21"/>
                <w:szCs w:val="21"/>
              </w:rPr>
              <w:t>周期性检修</w:t>
            </w:r>
          </w:p>
        </w:tc>
        <w:tc>
          <w:tcPr>
            <w:tcW w:w="4147" w:type="pct"/>
          </w:tcPr>
          <w:p>
            <w:pPr>
              <w:pStyle w:val="3"/>
              <w:ind w:firstLine="0" w:firstLineChars="0"/>
              <w:rPr>
                <w:rFonts w:hAnsi="宋体" w:cs="宋体"/>
                <w:kern w:val="0"/>
                <w:sz w:val="21"/>
                <w:szCs w:val="21"/>
              </w:rPr>
            </w:pPr>
            <w:r>
              <w:rPr>
                <w:rFonts w:hint="eastAsia" w:hAnsi="宋体" w:cs="宋体"/>
                <w:kern w:val="0"/>
                <w:sz w:val="21"/>
                <w:szCs w:val="21"/>
              </w:rPr>
              <w:t>运维期内进行一次电梯整体检修，内容包括：</w:t>
            </w:r>
          </w:p>
          <w:p>
            <w:pPr>
              <w:pStyle w:val="3"/>
              <w:ind w:firstLine="0" w:firstLineChars="0"/>
              <w:rPr>
                <w:rFonts w:hAnsi="宋体" w:cs="宋体"/>
                <w:kern w:val="0"/>
                <w:sz w:val="21"/>
                <w:szCs w:val="21"/>
              </w:rPr>
            </w:pPr>
            <w:r>
              <w:rPr>
                <w:rFonts w:hint="eastAsia" w:hAnsi="宋体" w:cs="宋体"/>
                <w:kern w:val="0"/>
                <w:sz w:val="21"/>
                <w:szCs w:val="21"/>
              </w:rPr>
              <w:t>（1）</w:t>
            </w:r>
            <w:r>
              <w:rPr>
                <w:rFonts w:hAnsi="宋体" w:cs="宋体"/>
                <w:kern w:val="0"/>
                <w:sz w:val="21"/>
                <w:szCs w:val="21"/>
              </w:rPr>
              <w:t>电气测试：检查电动机绝缘电阻</w:t>
            </w:r>
            <w:r>
              <w:rPr>
                <w:rFonts w:hint="eastAsia" w:hAnsi="宋体" w:cs="宋体"/>
                <w:kern w:val="0"/>
                <w:sz w:val="21"/>
                <w:szCs w:val="21"/>
              </w:rPr>
              <w:t>。</w:t>
            </w:r>
          </w:p>
          <w:p>
            <w:pPr>
              <w:pStyle w:val="3"/>
              <w:ind w:firstLine="0" w:firstLineChars="0"/>
              <w:rPr>
                <w:rFonts w:hAnsi="宋体" w:cs="宋体"/>
                <w:kern w:val="0"/>
                <w:sz w:val="21"/>
                <w:szCs w:val="21"/>
              </w:rPr>
            </w:pPr>
            <w:r>
              <w:rPr>
                <w:rFonts w:hint="eastAsia" w:hAnsi="宋体" w:cs="宋体"/>
                <w:kern w:val="0"/>
                <w:sz w:val="21"/>
                <w:szCs w:val="21"/>
              </w:rPr>
              <w:t>（2）</w:t>
            </w:r>
            <w:r>
              <w:rPr>
                <w:rFonts w:hAnsi="宋体" w:cs="宋体"/>
                <w:kern w:val="0"/>
                <w:sz w:val="21"/>
                <w:szCs w:val="21"/>
              </w:rPr>
              <w:t>性能测试：平衡系数测试（40%-50%）、平层精度调整</w:t>
            </w:r>
            <w:r>
              <w:rPr>
                <w:rFonts w:hint="eastAsia" w:hAnsi="宋体" w:cs="宋体"/>
                <w:kern w:val="0"/>
                <w:sz w:val="21"/>
                <w:szCs w:val="21"/>
              </w:rPr>
              <w:t>。</w:t>
            </w:r>
          </w:p>
          <w:p>
            <w:pPr>
              <w:pStyle w:val="3"/>
              <w:ind w:firstLine="0" w:firstLineChars="0"/>
              <w:rPr>
                <w:rFonts w:hAnsi="宋体" w:cs="宋体"/>
                <w:kern w:val="0"/>
                <w:sz w:val="21"/>
                <w:szCs w:val="21"/>
              </w:rPr>
            </w:pPr>
            <w:r>
              <w:rPr>
                <w:rFonts w:hint="eastAsia" w:hAnsi="宋体" w:cs="宋体"/>
                <w:kern w:val="0"/>
                <w:sz w:val="21"/>
                <w:szCs w:val="21"/>
              </w:rPr>
              <w:t>（3）</w:t>
            </w:r>
            <w:r>
              <w:rPr>
                <w:rFonts w:hAnsi="宋体" w:cs="宋体"/>
                <w:kern w:val="0"/>
                <w:sz w:val="21"/>
                <w:szCs w:val="21"/>
              </w:rPr>
              <w:t>安全部件：限速器转动灵活性检查</w:t>
            </w:r>
            <w:r>
              <w:rPr>
                <w:rFonts w:hint="eastAsia" w:hAnsi="宋体" w:cs="宋体"/>
                <w:kern w:val="0"/>
                <w:sz w:val="21"/>
                <w:szCs w:val="21"/>
              </w:rPr>
              <w:t>。</w:t>
            </w:r>
          </w:p>
          <w:p>
            <w:pPr>
              <w:pStyle w:val="3"/>
              <w:ind w:firstLine="0" w:firstLineChars="0"/>
            </w:pPr>
            <w:r>
              <w:rPr>
                <w:rFonts w:hint="eastAsia" w:hAnsi="宋体" w:cs="宋体"/>
                <w:kern w:val="0"/>
                <w:sz w:val="21"/>
                <w:szCs w:val="21"/>
              </w:rPr>
              <w:t>（4）</w:t>
            </w:r>
            <w:r>
              <w:rPr>
                <w:rFonts w:hAnsi="宋体" w:cs="宋体"/>
                <w:kern w:val="0"/>
                <w:sz w:val="21"/>
                <w:szCs w:val="21"/>
              </w:rPr>
              <w:t>整机性能评估：评估曳引钢丝绳磨损、主机轴承状态</w:t>
            </w:r>
            <w:r>
              <w:rPr>
                <w:rFonts w:hint="eastAsia" w:hAnsi="宋体" w:cs="宋体"/>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73" w:type="pct"/>
            <w:vAlign w:val="center"/>
          </w:tcPr>
          <w:p>
            <w:pPr>
              <w:widowControl/>
              <w:spacing w:line="240" w:lineRule="auto"/>
              <w:jc w:val="center"/>
              <w:rPr>
                <w:rFonts w:hAnsi="宋体" w:cs="宋体"/>
                <w:kern w:val="0"/>
                <w:sz w:val="21"/>
                <w:szCs w:val="21"/>
              </w:rPr>
            </w:pPr>
            <w:r>
              <w:rPr>
                <w:rFonts w:hAnsi="宋体" w:cs="宋体"/>
                <w:kern w:val="0"/>
                <w:sz w:val="21"/>
                <w:szCs w:val="21"/>
              </w:rPr>
              <w:t>4</w:t>
            </w:r>
          </w:p>
        </w:tc>
        <w:tc>
          <w:tcPr>
            <w:tcW w:w="480" w:type="pct"/>
          </w:tcPr>
          <w:p>
            <w:pPr>
              <w:pStyle w:val="3"/>
              <w:ind w:firstLine="0" w:firstLineChars="0"/>
              <w:rPr>
                <w:rFonts w:hint="eastAsia" w:hAnsi="宋体" w:cs="宋体"/>
                <w:kern w:val="0"/>
                <w:sz w:val="21"/>
                <w:szCs w:val="21"/>
              </w:rPr>
            </w:pPr>
            <w:r>
              <w:rPr>
                <w:rFonts w:hint="eastAsia" w:hAnsi="宋体" w:cs="宋体"/>
                <w:kern w:val="0"/>
                <w:sz w:val="21"/>
                <w:szCs w:val="21"/>
              </w:rPr>
              <w:t>故障响应与处置</w:t>
            </w:r>
          </w:p>
        </w:tc>
        <w:tc>
          <w:tcPr>
            <w:tcW w:w="4147" w:type="pct"/>
            <w:vAlign w:val="center"/>
          </w:tcPr>
          <w:p>
            <w:pPr>
              <w:pStyle w:val="3"/>
              <w:ind w:firstLine="0" w:firstLineChars="0"/>
              <w:rPr>
                <w:rFonts w:hAnsi="宋体" w:cs="宋体"/>
                <w:kern w:val="0"/>
                <w:sz w:val="21"/>
                <w:szCs w:val="21"/>
              </w:rPr>
            </w:pPr>
            <w:r>
              <w:rPr>
                <w:rFonts w:hint="eastAsia" w:hAnsi="宋体" w:cs="宋体"/>
                <w:kern w:val="0"/>
                <w:sz w:val="21"/>
                <w:szCs w:val="21"/>
              </w:rPr>
              <w:t>（1）</w:t>
            </w:r>
            <w:r>
              <w:rPr>
                <w:rFonts w:hAnsi="宋体" w:cs="宋体"/>
                <w:kern w:val="0"/>
                <w:sz w:val="21"/>
                <w:szCs w:val="21"/>
              </w:rPr>
              <w:t>接警与响应：</w:t>
            </w:r>
          </w:p>
          <w:p>
            <w:pPr>
              <w:pStyle w:val="3"/>
              <w:ind w:firstLine="0" w:firstLineChars="0"/>
              <w:rPr>
                <w:rFonts w:hAnsi="宋体" w:cs="宋体"/>
                <w:kern w:val="0"/>
                <w:sz w:val="21"/>
                <w:szCs w:val="21"/>
              </w:rPr>
            </w:pPr>
            <w:r>
              <w:rPr>
                <w:rFonts w:hAnsi="宋体" w:cs="宋体"/>
                <w:kern w:val="0"/>
                <w:sz w:val="21"/>
                <w:szCs w:val="21"/>
              </w:rPr>
              <w:t>5分钟内电话响应（需提供7×24小时南宁本地固定电话）。</w:t>
            </w:r>
          </w:p>
          <w:p>
            <w:pPr>
              <w:pStyle w:val="3"/>
              <w:ind w:firstLine="0" w:firstLineChars="0"/>
              <w:rPr>
                <w:rFonts w:hAnsi="宋体" w:cs="宋体"/>
                <w:kern w:val="0"/>
                <w:sz w:val="21"/>
                <w:szCs w:val="21"/>
              </w:rPr>
            </w:pPr>
            <w:r>
              <w:rPr>
                <w:rFonts w:hAnsi="宋体" w:cs="宋体"/>
                <w:kern w:val="0"/>
                <w:sz w:val="21"/>
                <w:szCs w:val="21"/>
              </w:rPr>
              <w:t>市区30分钟内、郊区60分钟内（南宁市区范围）技术人员到场。</w:t>
            </w:r>
          </w:p>
          <w:p>
            <w:pPr>
              <w:pStyle w:val="3"/>
              <w:ind w:firstLine="0" w:firstLineChars="0"/>
              <w:rPr>
                <w:rFonts w:hAnsi="宋体" w:cs="宋体"/>
                <w:kern w:val="0"/>
                <w:sz w:val="21"/>
                <w:szCs w:val="21"/>
              </w:rPr>
            </w:pPr>
            <w:r>
              <w:rPr>
                <w:rFonts w:hint="eastAsia" w:hAnsi="宋体" w:cs="宋体"/>
                <w:kern w:val="0"/>
                <w:sz w:val="21"/>
                <w:szCs w:val="21"/>
              </w:rPr>
              <w:t>（2）</w:t>
            </w:r>
            <w:r>
              <w:rPr>
                <w:rFonts w:hAnsi="宋体" w:cs="宋体"/>
                <w:kern w:val="0"/>
                <w:sz w:val="21"/>
                <w:szCs w:val="21"/>
              </w:rPr>
              <w:t>故障诊断：</w:t>
            </w:r>
          </w:p>
          <w:p>
            <w:pPr>
              <w:pStyle w:val="3"/>
              <w:ind w:firstLine="0" w:firstLineChars="0"/>
              <w:rPr>
                <w:rFonts w:hAnsi="宋体" w:cs="宋体"/>
                <w:kern w:val="0"/>
                <w:sz w:val="21"/>
                <w:szCs w:val="21"/>
              </w:rPr>
            </w:pPr>
            <w:r>
              <w:rPr>
                <w:rFonts w:hAnsi="宋体" w:cs="宋体"/>
                <w:kern w:val="0"/>
                <w:sz w:val="21"/>
                <w:szCs w:val="21"/>
              </w:rPr>
              <w:t>优先通过机房控制柜故障代码判断（如变频器过流、门锁短接等）。若涉及困人，先安抚后处理。</w:t>
            </w:r>
          </w:p>
          <w:p>
            <w:pPr>
              <w:pStyle w:val="3"/>
              <w:ind w:firstLine="0" w:firstLineChars="0"/>
              <w:rPr>
                <w:rFonts w:hAnsi="宋体" w:cs="宋体"/>
                <w:kern w:val="0"/>
                <w:sz w:val="21"/>
                <w:szCs w:val="21"/>
              </w:rPr>
            </w:pPr>
            <w:r>
              <w:rPr>
                <w:rFonts w:hint="eastAsia" w:hAnsi="宋体" w:cs="宋体"/>
                <w:kern w:val="0"/>
                <w:sz w:val="21"/>
                <w:szCs w:val="21"/>
              </w:rPr>
              <w:t>（3）</w:t>
            </w:r>
            <w:r>
              <w:rPr>
                <w:rFonts w:hAnsi="宋体" w:cs="宋体"/>
                <w:kern w:val="0"/>
                <w:sz w:val="21"/>
                <w:szCs w:val="21"/>
              </w:rPr>
              <w:t>修复与复盘：</w:t>
            </w:r>
          </w:p>
          <w:p>
            <w:pPr>
              <w:pStyle w:val="3"/>
              <w:ind w:firstLine="0" w:firstLineChars="0"/>
              <w:rPr>
                <w:rFonts w:hAnsi="宋体" w:cs="宋体"/>
                <w:kern w:val="0"/>
                <w:sz w:val="21"/>
                <w:szCs w:val="21"/>
              </w:rPr>
            </w:pPr>
            <w:r>
              <w:rPr>
                <w:rFonts w:hAnsi="宋体" w:cs="宋体"/>
                <w:kern w:val="0"/>
                <w:sz w:val="21"/>
                <w:szCs w:val="21"/>
              </w:rPr>
              <w:t>一般故障修复时间≤2小时。</w:t>
            </w:r>
          </w:p>
          <w:p>
            <w:pPr>
              <w:pStyle w:val="3"/>
              <w:ind w:firstLine="0" w:firstLineChars="0"/>
              <w:rPr>
                <w:rFonts w:hAnsi="宋体" w:cs="宋体"/>
                <w:kern w:val="0"/>
                <w:sz w:val="21"/>
                <w:szCs w:val="21"/>
              </w:rPr>
            </w:pPr>
            <w:r>
              <w:rPr>
                <w:rFonts w:hAnsi="宋体" w:cs="宋体"/>
                <w:kern w:val="0"/>
                <w:sz w:val="21"/>
                <w:szCs w:val="21"/>
              </w:rPr>
              <w:t>重大故障（如曳引机损坏）需提供备用梯方案或临时部件替换。</w:t>
            </w:r>
          </w:p>
          <w:p>
            <w:pPr>
              <w:pStyle w:val="3"/>
              <w:ind w:firstLine="0" w:firstLineChars="0"/>
              <w:rPr>
                <w:rFonts w:hint="eastAsia" w:ascii="inherit" w:hAnsi="inherit"/>
              </w:rPr>
            </w:pPr>
            <w:r>
              <w:rPr>
                <w:rFonts w:hAnsi="宋体" w:cs="宋体"/>
                <w:kern w:val="0"/>
                <w:sz w:val="21"/>
                <w:szCs w:val="21"/>
              </w:rPr>
              <w:t>每月提供故障分析报告（含故障类型、原因、预防措施）。</w:t>
            </w:r>
          </w:p>
        </w:tc>
      </w:tr>
    </w:tbl>
    <w:p>
      <w:pPr>
        <w:rPr>
          <w:rFonts w:hint="eastAsia"/>
          <w:lang w:val="zh-CN"/>
        </w:rPr>
      </w:pPr>
    </w:p>
    <w:p>
      <w:pPr>
        <w:pStyle w:val="5"/>
      </w:pPr>
      <w:r>
        <w:rPr>
          <w:rFonts w:hint="eastAsia"/>
        </w:rPr>
        <w:t>电梯半月维保项目要求</w:t>
      </w:r>
    </w:p>
    <w:tbl>
      <w:tblPr>
        <w:tblStyle w:val="31"/>
        <w:tblW w:w="95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3567"/>
        <w:gridCol w:w="5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730" w:type="dxa"/>
            <w:tcBorders>
              <w:top w:val="single" w:color="000000" w:sz="10" w:space="0"/>
              <w:left w:val="single" w:color="000000" w:sz="10" w:space="0"/>
            </w:tcBorders>
          </w:tcPr>
          <w:p>
            <w:pPr>
              <w:pStyle w:val="32"/>
              <w:spacing w:before="86"/>
              <w:ind w:left="152"/>
              <w:rPr>
                <w:rFonts w:eastAsia="宋体" w:cs="黑体"/>
                <w:color w:val="auto"/>
                <w:sz w:val="24"/>
                <w:szCs w:val="24"/>
              </w:rPr>
            </w:pPr>
            <w:r>
              <w:rPr>
                <w:rFonts w:hint="eastAsia" w:eastAsia="宋体" w:cs="黑体"/>
                <w:color w:val="auto"/>
                <w:spacing w:val="2"/>
                <w:sz w:val="24"/>
                <w:szCs w:val="24"/>
              </w:rPr>
              <w:t>序号</w:t>
            </w:r>
          </w:p>
        </w:tc>
        <w:tc>
          <w:tcPr>
            <w:tcW w:w="3567" w:type="dxa"/>
            <w:tcBorders>
              <w:top w:val="single" w:color="000000" w:sz="10" w:space="0"/>
            </w:tcBorders>
          </w:tcPr>
          <w:p>
            <w:pPr>
              <w:pStyle w:val="32"/>
              <w:spacing w:before="85"/>
              <w:ind w:left="970"/>
              <w:rPr>
                <w:rFonts w:eastAsia="宋体" w:cs="黑体"/>
                <w:color w:val="auto"/>
                <w:sz w:val="24"/>
                <w:szCs w:val="24"/>
              </w:rPr>
            </w:pPr>
            <w:r>
              <w:rPr>
                <w:rFonts w:hint="eastAsia" w:eastAsia="宋体" w:cs="黑体"/>
                <w:color w:val="auto"/>
                <w:spacing w:val="2"/>
                <w:sz w:val="24"/>
                <w:szCs w:val="24"/>
              </w:rPr>
              <w:t>维保项目（内容）</w:t>
            </w:r>
          </w:p>
        </w:tc>
        <w:tc>
          <w:tcPr>
            <w:tcW w:w="5267" w:type="dxa"/>
            <w:tcBorders>
              <w:top w:val="single" w:color="000000" w:sz="10" w:space="0"/>
              <w:right w:val="single" w:color="000000" w:sz="10" w:space="0"/>
            </w:tcBorders>
          </w:tcPr>
          <w:p>
            <w:pPr>
              <w:pStyle w:val="32"/>
              <w:spacing w:before="86"/>
              <w:ind w:left="2027"/>
              <w:rPr>
                <w:rFonts w:eastAsia="宋体" w:cs="黑体"/>
                <w:color w:val="auto"/>
                <w:sz w:val="24"/>
                <w:szCs w:val="24"/>
              </w:rPr>
            </w:pPr>
            <w:r>
              <w:rPr>
                <w:rFonts w:hint="eastAsia" w:eastAsia="宋体" w:cs="黑体"/>
                <w:color w:val="auto"/>
                <w:spacing w:val="2"/>
                <w:sz w:val="24"/>
                <w:szCs w:val="24"/>
              </w:rPr>
              <w:t>维保基本要求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730" w:type="dxa"/>
            <w:tcBorders>
              <w:left w:val="single" w:color="000000" w:sz="10" w:space="0"/>
            </w:tcBorders>
          </w:tcPr>
          <w:p>
            <w:pPr>
              <w:pStyle w:val="32"/>
              <w:spacing w:before="87"/>
              <w:ind w:left="307"/>
              <w:rPr>
                <w:rFonts w:eastAsia="宋体" w:cs="黑体"/>
                <w:color w:val="auto"/>
                <w:sz w:val="24"/>
                <w:szCs w:val="24"/>
              </w:rPr>
            </w:pPr>
            <w:r>
              <w:rPr>
                <w:rFonts w:hint="eastAsia" w:eastAsia="宋体" w:cs="黑体"/>
                <w:color w:val="auto"/>
                <w:position w:val="1"/>
                <w:sz w:val="24"/>
                <w:szCs w:val="24"/>
              </w:rPr>
              <w:t>1</w:t>
            </w:r>
          </w:p>
        </w:tc>
        <w:tc>
          <w:tcPr>
            <w:tcW w:w="3567" w:type="dxa"/>
          </w:tcPr>
          <w:p>
            <w:pPr>
              <w:pStyle w:val="32"/>
              <w:spacing w:before="65"/>
              <w:rPr>
                <w:rFonts w:eastAsia="宋体" w:cs="黑体"/>
                <w:color w:val="auto"/>
                <w:sz w:val="24"/>
                <w:szCs w:val="24"/>
              </w:rPr>
            </w:pPr>
            <w:r>
              <w:rPr>
                <w:rFonts w:hint="eastAsia" w:eastAsia="宋体" w:cs="黑体"/>
                <w:color w:val="auto"/>
                <w:spacing w:val="3"/>
                <w:sz w:val="24"/>
                <w:szCs w:val="24"/>
              </w:rPr>
              <w:t>机房、滑轮间环境</w:t>
            </w:r>
          </w:p>
        </w:tc>
        <w:tc>
          <w:tcPr>
            <w:tcW w:w="5267" w:type="dxa"/>
            <w:tcBorders>
              <w:right w:val="single" w:color="000000" w:sz="10" w:space="0"/>
            </w:tcBorders>
          </w:tcPr>
          <w:p>
            <w:pPr>
              <w:pStyle w:val="32"/>
              <w:spacing w:before="125"/>
              <w:ind w:left="109"/>
              <w:rPr>
                <w:rFonts w:eastAsia="宋体" w:cs="黑体"/>
                <w:color w:val="auto"/>
                <w:sz w:val="24"/>
                <w:szCs w:val="24"/>
                <w:lang w:eastAsia="zh-CN"/>
              </w:rPr>
            </w:pPr>
            <w:r>
              <w:rPr>
                <w:rFonts w:hint="eastAsia" w:eastAsia="宋体" w:cs="黑体"/>
                <w:color w:val="auto"/>
                <w:spacing w:val="3"/>
                <w:sz w:val="24"/>
                <w:szCs w:val="24"/>
                <w:lang w:eastAsia="zh-CN"/>
              </w:rPr>
              <w:t>清洁设备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87"/>
              <w:ind w:left="307"/>
              <w:rPr>
                <w:rFonts w:eastAsia="宋体" w:cs="黑体"/>
                <w:color w:val="auto"/>
                <w:sz w:val="24"/>
                <w:szCs w:val="24"/>
              </w:rPr>
            </w:pPr>
            <w:r>
              <w:rPr>
                <w:rFonts w:hint="eastAsia" w:eastAsia="宋体" w:cs="黑体"/>
                <w:color w:val="auto"/>
                <w:position w:val="1"/>
                <w:sz w:val="24"/>
                <w:szCs w:val="24"/>
              </w:rPr>
              <w:t>2</w:t>
            </w:r>
          </w:p>
        </w:tc>
        <w:tc>
          <w:tcPr>
            <w:tcW w:w="3567" w:type="dxa"/>
          </w:tcPr>
          <w:p>
            <w:pPr>
              <w:pStyle w:val="32"/>
              <w:spacing w:before="86"/>
              <w:ind w:left="100"/>
              <w:rPr>
                <w:rFonts w:eastAsia="宋体" w:cs="黑体"/>
                <w:color w:val="auto"/>
                <w:sz w:val="24"/>
                <w:szCs w:val="24"/>
              </w:rPr>
            </w:pPr>
            <w:r>
              <w:rPr>
                <w:rFonts w:hint="eastAsia" w:eastAsia="宋体" w:cs="黑体"/>
                <w:color w:val="auto"/>
                <w:spacing w:val="3"/>
                <w:sz w:val="24"/>
                <w:szCs w:val="24"/>
              </w:rPr>
              <w:t>手动紧急操作装置</w:t>
            </w:r>
          </w:p>
        </w:tc>
        <w:tc>
          <w:tcPr>
            <w:tcW w:w="5267" w:type="dxa"/>
            <w:tcBorders>
              <w:right w:val="single" w:color="000000" w:sz="10" w:space="0"/>
            </w:tcBorders>
          </w:tcPr>
          <w:p>
            <w:pPr>
              <w:pStyle w:val="32"/>
              <w:spacing w:before="87"/>
              <w:ind w:left="108"/>
              <w:rPr>
                <w:rFonts w:eastAsia="宋体" w:cs="黑体"/>
                <w:color w:val="auto"/>
                <w:sz w:val="24"/>
                <w:szCs w:val="24"/>
              </w:rPr>
            </w:pPr>
            <w:r>
              <w:rPr>
                <w:rFonts w:hint="eastAsia" w:eastAsia="宋体" w:cs="黑体"/>
                <w:color w:val="auto"/>
                <w:spacing w:val="3"/>
                <w:sz w:val="24"/>
                <w:szCs w:val="24"/>
              </w:rPr>
              <w:t>在指定位置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30" w:type="dxa"/>
            <w:tcBorders>
              <w:left w:val="single" w:color="000000" w:sz="10" w:space="0"/>
            </w:tcBorders>
          </w:tcPr>
          <w:p>
            <w:pPr>
              <w:pStyle w:val="32"/>
              <w:spacing w:before="88"/>
              <w:ind w:left="308"/>
              <w:rPr>
                <w:rFonts w:eastAsia="宋体" w:cs="黑体"/>
                <w:color w:val="auto"/>
                <w:sz w:val="24"/>
                <w:szCs w:val="24"/>
              </w:rPr>
            </w:pPr>
            <w:r>
              <w:rPr>
                <w:rFonts w:hint="eastAsia" w:eastAsia="宋体" w:cs="黑体"/>
                <w:color w:val="auto"/>
                <w:position w:val="1"/>
                <w:sz w:val="24"/>
                <w:szCs w:val="24"/>
              </w:rPr>
              <w:t>3</w:t>
            </w:r>
          </w:p>
        </w:tc>
        <w:tc>
          <w:tcPr>
            <w:tcW w:w="3567" w:type="dxa"/>
          </w:tcPr>
          <w:p>
            <w:pPr>
              <w:pStyle w:val="32"/>
              <w:spacing w:before="88"/>
              <w:ind w:left="102"/>
              <w:rPr>
                <w:rFonts w:eastAsia="宋体" w:cs="黑体"/>
                <w:color w:val="auto"/>
                <w:sz w:val="24"/>
                <w:szCs w:val="24"/>
              </w:rPr>
            </w:pPr>
            <w:r>
              <w:rPr>
                <w:rFonts w:hint="eastAsia" w:eastAsia="宋体" w:cs="黑体"/>
                <w:color w:val="auto"/>
                <w:spacing w:val="2"/>
                <w:sz w:val="24"/>
                <w:szCs w:val="24"/>
              </w:rPr>
              <w:t>驱动主机</w:t>
            </w:r>
          </w:p>
        </w:tc>
        <w:tc>
          <w:tcPr>
            <w:tcW w:w="5267" w:type="dxa"/>
            <w:tcBorders>
              <w:right w:val="single" w:color="000000" w:sz="10" w:space="0"/>
            </w:tcBorders>
          </w:tcPr>
          <w:p>
            <w:pPr>
              <w:pStyle w:val="32"/>
              <w:spacing w:before="88"/>
              <w:ind w:left="109"/>
              <w:rPr>
                <w:rFonts w:eastAsia="宋体" w:cs="黑体"/>
                <w:color w:val="auto"/>
                <w:sz w:val="24"/>
                <w:szCs w:val="24"/>
                <w:lang w:eastAsia="zh-CN"/>
              </w:rPr>
            </w:pPr>
            <w:r>
              <w:rPr>
                <w:rFonts w:hint="eastAsia" w:eastAsia="宋体" w:cs="黑体"/>
                <w:color w:val="auto"/>
                <w:spacing w:val="3"/>
                <w:sz w:val="24"/>
                <w:szCs w:val="24"/>
                <w:lang w:eastAsia="zh-CN"/>
              </w:rPr>
              <w:t>运行时无异常振动和异常声响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89"/>
              <w:ind w:left="303"/>
              <w:rPr>
                <w:rFonts w:eastAsia="宋体" w:cs="黑体"/>
                <w:color w:val="auto"/>
                <w:sz w:val="24"/>
                <w:szCs w:val="24"/>
              </w:rPr>
            </w:pPr>
            <w:r>
              <w:rPr>
                <w:rFonts w:hint="eastAsia" w:eastAsia="宋体" w:cs="黑体"/>
                <w:color w:val="auto"/>
                <w:position w:val="1"/>
                <w:sz w:val="24"/>
                <w:szCs w:val="24"/>
              </w:rPr>
              <w:t>4</w:t>
            </w:r>
          </w:p>
        </w:tc>
        <w:tc>
          <w:tcPr>
            <w:tcW w:w="3567" w:type="dxa"/>
          </w:tcPr>
          <w:p>
            <w:pPr>
              <w:pStyle w:val="32"/>
              <w:spacing w:before="88"/>
              <w:ind w:left="101"/>
              <w:rPr>
                <w:rFonts w:eastAsia="宋体" w:cs="黑体"/>
                <w:color w:val="auto"/>
                <w:sz w:val="24"/>
                <w:szCs w:val="24"/>
              </w:rPr>
            </w:pPr>
            <w:r>
              <w:rPr>
                <w:rFonts w:hint="eastAsia" w:eastAsia="宋体" w:cs="黑体"/>
                <w:color w:val="auto"/>
                <w:spacing w:val="3"/>
                <w:sz w:val="24"/>
                <w:szCs w:val="24"/>
              </w:rPr>
              <w:t>制动器各销轴部位</w:t>
            </w:r>
          </w:p>
        </w:tc>
        <w:tc>
          <w:tcPr>
            <w:tcW w:w="5267" w:type="dxa"/>
            <w:tcBorders>
              <w:right w:val="single" w:color="000000" w:sz="10" w:space="0"/>
            </w:tcBorders>
          </w:tcPr>
          <w:p>
            <w:pPr>
              <w:pStyle w:val="32"/>
              <w:spacing w:before="89"/>
              <w:ind w:left="110"/>
              <w:rPr>
                <w:rFonts w:eastAsia="宋体" w:cs="黑体"/>
                <w:color w:val="auto"/>
                <w:sz w:val="24"/>
                <w:szCs w:val="24"/>
              </w:rPr>
            </w:pPr>
            <w:r>
              <w:rPr>
                <w:rFonts w:hint="eastAsia" w:eastAsia="宋体" w:cs="黑体"/>
                <w:color w:val="auto"/>
                <w:spacing w:val="3"/>
                <w:sz w:val="24"/>
                <w:szCs w:val="24"/>
              </w:rPr>
              <w:t>动作灵活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730" w:type="dxa"/>
            <w:tcBorders>
              <w:left w:val="single" w:color="000000" w:sz="10" w:space="0"/>
            </w:tcBorders>
          </w:tcPr>
          <w:p>
            <w:pPr>
              <w:pStyle w:val="32"/>
              <w:spacing w:before="237"/>
              <w:ind w:left="308"/>
              <w:rPr>
                <w:rFonts w:eastAsia="宋体" w:cs="黑体"/>
                <w:color w:val="auto"/>
                <w:sz w:val="24"/>
                <w:szCs w:val="24"/>
              </w:rPr>
            </w:pPr>
            <w:r>
              <w:rPr>
                <w:rFonts w:hint="eastAsia" w:eastAsia="宋体" w:cs="黑体"/>
                <w:color w:val="auto"/>
                <w:position w:val="1"/>
                <w:sz w:val="24"/>
                <w:szCs w:val="24"/>
              </w:rPr>
              <w:t>5</w:t>
            </w:r>
          </w:p>
        </w:tc>
        <w:tc>
          <w:tcPr>
            <w:tcW w:w="3567" w:type="dxa"/>
          </w:tcPr>
          <w:p>
            <w:pPr>
              <w:pStyle w:val="32"/>
              <w:spacing w:before="237"/>
              <w:ind w:left="101"/>
              <w:rPr>
                <w:rFonts w:eastAsia="宋体" w:cs="黑体"/>
                <w:color w:val="auto"/>
                <w:sz w:val="24"/>
                <w:szCs w:val="24"/>
              </w:rPr>
            </w:pPr>
            <w:r>
              <w:rPr>
                <w:rFonts w:hint="eastAsia" w:eastAsia="宋体" w:cs="黑体"/>
                <w:color w:val="auto"/>
                <w:spacing w:val="2"/>
                <w:sz w:val="24"/>
                <w:szCs w:val="24"/>
              </w:rPr>
              <w:t>制动器间隙</w:t>
            </w:r>
          </w:p>
        </w:tc>
        <w:tc>
          <w:tcPr>
            <w:tcW w:w="5267" w:type="dxa"/>
            <w:tcBorders>
              <w:right w:val="single" w:color="000000" w:sz="10" w:space="0"/>
            </w:tcBorders>
          </w:tcPr>
          <w:p>
            <w:pPr>
              <w:pStyle w:val="32"/>
              <w:spacing w:before="99"/>
              <w:ind w:left="109" w:right="91" w:firstLine="3"/>
              <w:rPr>
                <w:rFonts w:eastAsia="宋体" w:cs="黑体"/>
                <w:color w:val="auto"/>
                <w:sz w:val="24"/>
                <w:szCs w:val="24"/>
                <w:lang w:eastAsia="zh-CN"/>
              </w:rPr>
            </w:pPr>
            <w:r>
              <w:rPr>
                <w:rFonts w:hint="eastAsia" w:eastAsia="宋体" w:cs="黑体"/>
                <w:color w:val="auto"/>
                <w:spacing w:val="2"/>
                <w:sz w:val="24"/>
                <w:szCs w:val="24"/>
                <w:lang w:eastAsia="zh-CN"/>
              </w:rPr>
              <w:t>打开时制动衬与制动轮不应发生摩擦，间隙</w:t>
            </w:r>
            <w:r>
              <w:rPr>
                <w:rFonts w:hint="eastAsia" w:eastAsia="宋体" w:cs="黑体"/>
                <w:color w:val="auto"/>
                <w:spacing w:val="1"/>
                <w:sz w:val="24"/>
                <w:szCs w:val="24"/>
                <w:lang w:eastAsia="zh-CN"/>
              </w:rPr>
              <w:t>值符合制造单</w:t>
            </w:r>
            <w:r>
              <w:rPr>
                <w:rFonts w:hint="eastAsia" w:eastAsia="宋体" w:cs="黑体"/>
                <w:color w:val="auto"/>
                <w:spacing w:val="2"/>
                <w:sz w:val="24"/>
                <w:szCs w:val="24"/>
                <w:lang w:eastAsia="zh-CN"/>
              </w:rPr>
              <w:t>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730" w:type="dxa"/>
            <w:tcBorders>
              <w:left w:val="single" w:color="000000" w:sz="10" w:space="0"/>
            </w:tcBorders>
          </w:tcPr>
          <w:p>
            <w:pPr>
              <w:pStyle w:val="32"/>
              <w:spacing w:before="173"/>
              <w:ind w:left="306"/>
              <w:rPr>
                <w:rFonts w:eastAsia="宋体" w:cs="黑体"/>
                <w:color w:val="auto"/>
                <w:sz w:val="24"/>
                <w:szCs w:val="24"/>
              </w:rPr>
            </w:pPr>
            <w:r>
              <w:rPr>
                <w:rFonts w:hint="eastAsia" w:eastAsia="宋体" w:cs="黑体"/>
                <w:color w:val="auto"/>
                <w:position w:val="1"/>
                <w:sz w:val="24"/>
                <w:szCs w:val="24"/>
              </w:rPr>
              <w:t>6</w:t>
            </w:r>
          </w:p>
        </w:tc>
        <w:tc>
          <w:tcPr>
            <w:tcW w:w="3567" w:type="dxa"/>
          </w:tcPr>
          <w:p>
            <w:pPr>
              <w:pStyle w:val="32"/>
              <w:spacing w:before="36"/>
              <w:ind w:left="101" w:right="99"/>
              <w:rPr>
                <w:rFonts w:eastAsia="宋体" w:cs="黑体"/>
                <w:color w:val="auto"/>
                <w:sz w:val="24"/>
                <w:szCs w:val="24"/>
                <w:lang w:eastAsia="zh-CN"/>
              </w:rPr>
            </w:pPr>
            <w:r>
              <w:rPr>
                <w:rFonts w:hint="eastAsia" w:eastAsia="宋体" w:cs="黑体"/>
                <w:color w:val="auto"/>
                <w:spacing w:val="9"/>
                <w:sz w:val="24"/>
                <w:szCs w:val="24"/>
                <w:lang w:eastAsia="zh-CN"/>
              </w:rPr>
              <w:t>制动器作为轿厢意外移动保护装置制</w:t>
            </w:r>
            <w:r>
              <w:rPr>
                <w:rFonts w:hint="eastAsia" w:eastAsia="宋体" w:cs="黑体"/>
                <w:color w:val="auto"/>
                <w:spacing w:val="3"/>
                <w:sz w:val="24"/>
                <w:szCs w:val="24"/>
                <w:lang w:eastAsia="zh-CN"/>
              </w:rPr>
              <w:t>停子系统时的自监测</w:t>
            </w:r>
          </w:p>
        </w:tc>
        <w:tc>
          <w:tcPr>
            <w:tcW w:w="5267" w:type="dxa"/>
            <w:tcBorders>
              <w:right w:val="single" w:color="000000" w:sz="10" w:space="0"/>
            </w:tcBorders>
          </w:tcPr>
          <w:p>
            <w:pPr>
              <w:pStyle w:val="32"/>
              <w:spacing w:before="36"/>
              <w:ind w:left="110" w:right="91"/>
              <w:rPr>
                <w:rFonts w:eastAsia="宋体" w:cs="黑体"/>
                <w:color w:val="auto"/>
                <w:sz w:val="24"/>
                <w:szCs w:val="24"/>
                <w:lang w:eastAsia="zh-CN"/>
              </w:rPr>
            </w:pPr>
            <w:r>
              <w:rPr>
                <w:rFonts w:hint="eastAsia" w:eastAsia="宋体" w:cs="黑体"/>
                <w:color w:val="auto"/>
                <w:spacing w:val="2"/>
                <w:sz w:val="24"/>
                <w:szCs w:val="24"/>
                <w:lang w:eastAsia="zh-CN"/>
              </w:rPr>
              <w:t>制动力人工方式检测符合使用维护说明书要求；制</w:t>
            </w:r>
            <w:r>
              <w:rPr>
                <w:rFonts w:hint="eastAsia" w:eastAsia="宋体" w:cs="黑体"/>
                <w:color w:val="auto"/>
                <w:spacing w:val="1"/>
                <w:sz w:val="24"/>
                <w:szCs w:val="24"/>
                <w:lang w:eastAsia="zh-CN"/>
              </w:rPr>
              <w:t>动力自</w:t>
            </w:r>
            <w:r>
              <w:rPr>
                <w:rFonts w:hint="eastAsia" w:eastAsia="宋体" w:cs="黑体"/>
                <w:color w:val="auto"/>
                <w:spacing w:val="3"/>
                <w:sz w:val="24"/>
                <w:szCs w:val="24"/>
                <w:lang w:eastAsia="zh-CN"/>
              </w:rPr>
              <w:t>监测系统有记录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2"/>
              <w:ind w:left="309"/>
              <w:rPr>
                <w:rFonts w:eastAsia="宋体" w:cs="黑体"/>
                <w:color w:val="auto"/>
                <w:sz w:val="24"/>
                <w:szCs w:val="24"/>
              </w:rPr>
            </w:pPr>
            <w:r>
              <w:rPr>
                <w:rFonts w:hint="eastAsia" w:eastAsia="宋体" w:cs="黑体"/>
                <w:color w:val="auto"/>
                <w:position w:val="1"/>
                <w:sz w:val="24"/>
                <w:szCs w:val="24"/>
              </w:rPr>
              <w:t>7</w:t>
            </w:r>
          </w:p>
        </w:tc>
        <w:tc>
          <w:tcPr>
            <w:tcW w:w="3567" w:type="dxa"/>
          </w:tcPr>
          <w:p>
            <w:pPr>
              <w:pStyle w:val="32"/>
              <w:spacing w:before="91"/>
              <w:ind w:left="102"/>
              <w:rPr>
                <w:rFonts w:eastAsia="宋体" w:cs="黑体"/>
                <w:color w:val="auto"/>
                <w:sz w:val="24"/>
                <w:szCs w:val="24"/>
              </w:rPr>
            </w:pPr>
            <w:r>
              <w:rPr>
                <w:rFonts w:hint="eastAsia" w:eastAsia="宋体" w:cs="黑体"/>
                <w:color w:val="auto"/>
                <w:spacing w:val="2"/>
                <w:sz w:val="24"/>
                <w:szCs w:val="24"/>
              </w:rPr>
              <w:t>编码器</w:t>
            </w:r>
          </w:p>
        </w:tc>
        <w:tc>
          <w:tcPr>
            <w:tcW w:w="5267" w:type="dxa"/>
            <w:tcBorders>
              <w:right w:val="single" w:color="000000" w:sz="10" w:space="0"/>
            </w:tcBorders>
          </w:tcPr>
          <w:p>
            <w:pPr>
              <w:pStyle w:val="32"/>
              <w:spacing w:before="32"/>
              <w:ind w:left="109"/>
              <w:rPr>
                <w:rFonts w:eastAsia="宋体" w:cs="黑体"/>
                <w:color w:val="auto"/>
                <w:sz w:val="24"/>
                <w:szCs w:val="24"/>
              </w:rPr>
            </w:pPr>
            <w:r>
              <w:rPr>
                <w:rFonts w:hint="eastAsia" w:eastAsia="宋体" w:cs="黑体"/>
                <w:color w:val="auto"/>
                <w:spacing w:val="3"/>
                <w:sz w:val="24"/>
                <w:szCs w:val="24"/>
              </w:rPr>
              <w:t>清洁，安装牢固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1"/>
              <w:ind w:left="305"/>
              <w:rPr>
                <w:rFonts w:eastAsia="宋体" w:cs="黑体"/>
                <w:color w:val="auto"/>
                <w:sz w:val="24"/>
                <w:szCs w:val="24"/>
              </w:rPr>
            </w:pPr>
            <w:r>
              <w:rPr>
                <w:rFonts w:hint="eastAsia" w:eastAsia="宋体" w:cs="黑体"/>
                <w:color w:val="auto"/>
                <w:position w:val="1"/>
                <w:sz w:val="24"/>
                <w:szCs w:val="24"/>
              </w:rPr>
              <w:t>8</w:t>
            </w:r>
          </w:p>
        </w:tc>
        <w:tc>
          <w:tcPr>
            <w:tcW w:w="3567" w:type="dxa"/>
          </w:tcPr>
          <w:p>
            <w:pPr>
              <w:pStyle w:val="32"/>
              <w:spacing w:before="91"/>
              <w:ind w:left="115"/>
              <w:rPr>
                <w:rFonts w:eastAsia="宋体" w:cs="黑体"/>
                <w:color w:val="auto"/>
                <w:sz w:val="24"/>
                <w:szCs w:val="24"/>
              </w:rPr>
            </w:pPr>
            <w:r>
              <w:rPr>
                <w:rFonts w:hint="eastAsia" w:eastAsia="宋体" w:cs="黑体"/>
                <w:color w:val="auto"/>
                <w:spacing w:val="1"/>
                <w:sz w:val="24"/>
                <w:szCs w:val="24"/>
              </w:rPr>
              <w:t>限速器各销轴部位</w:t>
            </w:r>
          </w:p>
        </w:tc>
        <w:tc>
          <w:tcPr>
            <w:tcW w:w="5267" w:type="dxa"/>
            <w:tcBorders>
              <w:right w:val="single" w:color="000000" w:sz="10" w:space="0"/>
            </w:tcBorders>
          </w:tcPr>
          <w:p>
            <w:pPr>
              <w:pStyle w:val="32"/>
              <w:spacing w:before="91"/>
              <w:ind w:left="111"/>
              <w:rPr>
                <w:rFonts w:eastAsia="宋体" w:cs="黑体"/>
                <w:color w:val="auto"/>
                <w:sz w:val="24"/>
                <w:szCs w:val="24"/>
                <w:lang w:eastAsia="zh-CN"/>
              </w:rPr>
            </w:pPr>
            <w:r>
              <w:rPr>
                <w:rFonts w:hint="eastAsia" w:eastAsia="宋体" w:cs="黑体"/>
                <w:color w:val="auto"/>
                <w:spacing w:val="3"/>
                <w:sz w:val="24"/>
                <w:szCs w:val="24"/>
                <w:lang w:eastAsia="zh-CN"/>
              </w:rPr>
              <w:t>润滑，转动灵活；电气开关正常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30" w:type="dxa"/>
            <w:tcBorders>
              <w:left w:val="single" w:color="000000" w:sz="10" w:space="0"/>
            </w:tcBorders>
          </w:tcPr>
          <w:p>
            <w:pPr>
              <w:pStyle w:val="32"/>
              <w:spacing w:before="90"/>
              <w:ind w:left="305"/>
              <w:rPr>
                <w:rFonts w:eastAsia="宋体" w:cs="黑体"/>
                <w:color w:val="auto"/>
                <w:sz w:val="24"/>
                <w:szCs w:val="24"/>
              </w:rPr>
            </w:pPr>
            <w:r>
              <w:rPr>
                <w:rFonts w:hint="eastAsia" w:eastAsia="宋体" w:cs="黑体"/>
                <w:color w:val="auto"/>
                <w:position w:val="1"/>
                <w:sz w:val="24"/>
                <w:szCs w:val="24"/>
              </w:rPr>
              <w:t>9</w:t>
            </w:r>
          </w:p>
        </w:tc>
        <w:tc>
          <w:tcPr>
            <w:tcW w:w="3567" w:type="dxa"/>
          </w:tcPr>
          <w:p>
            <w:pPr>
              <w:pStyle w:val="32"/>
              <w:spacing w:before="90"/>
              <w:ind w:left="100"/>
              <w:rPr>
                <w:rFonts w:eastAsia="宋体" w:cs="黑体"/>
                <w:color w:val="auto"/>
                <w:sz w:val="24"/>
                <w:szCs w:val="24"/>
              </w:rPr>
            </w:pPr>
            <w:r>
              <w:rPr>
                <w:rFonts w:hint="eastAsia" w:eastAsia="宋体" w:cs="黑体"/>
                <w:color w:val="auto"/>
                <w:spacing w:val="3"/>
                <w:sz w:val="24"/>
                <w:szCs w:val="24"/>
              </w:rPr>
              <w:t>层门和轿门旁路装置</w:t>
            </w:r>
          </w:p>
        </w:tc>
        <w:tc>
          <w:tcPr>
            <w:tcW w:w="5267" w:type="dxa"/>
            <w:tcBorders>
              <w:right w:val="single" w:color="000000" w:sz="10" w:space="0"/>
            </w:tcBorders>
          </w:tcPr>
          <w:p>
            <w:pPr>
              <w:pStyle w:val="32"/>
              <w:spacing w:before="91"/>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3"/>
              <w:ind w:left="269"/>
              <w:rPr>
                <w:rFonts w:eastAsia="宋体" w:cs="黑体"/>
                <w:color w:val="auto"/>
                <w:sz w:val="24"/>
                <w:szCs w:val="24"/>
              </w:rPr>
            </w:pPr>
            <w:r>
              <w:rPr>
                <w:rFonts w:hint="eastAsia" w:eastAsia="宋体" w:cs="黑体"/>
                <w:color w:val="auto"/>
                <w:spacing w:val="-8"/>
                <w:position w:val="1"/>
                <w:sz w:val="24"/>
                <w:szCs w:val="24"/>
              </w:rPr>
              <w:t>10</w:t>
            </w:r>
          </w:p>
        </w:tc>
        <w:tc>
          <w:tcPr>
            <w:tcW w:w="3567" w:type="dxa"/>
          </w:tcPr>
          <w:p>
            <w:pPr>
              <w:pStyle w:val="32"/>
              <w:spacing w:before="92"/>
              <w:ind w:left="106"/>
              <w:rPr>
                <w:rFonts w:eastAsia="宋体" w:cs="黑体"/>
                <w:color w:val="auto"/>
                <w:sz w:val="24"/>
                <w:szCs w:val="24"/>
              </w:rPr>
            </w:pPr>
            <w:r>
              <w:rPr>
                <w:rFonts w:hint="eastAsia" w:eastAsia="宋体" w:cs="黑体"/>
                <w:color w:val="auto"/>
                <w:spacing w:val="2"/>
                <w:sz w:val="24"/>
                <w:szCs w:val="24"/>
              </w:rPr>
              <w:t>紧急电动运行</w:t>
            </w:r>
          </w:p>
        </w:tc>
        <w:tc>
          <w:tcPr>
            <w:tcW w:w="5267" w:type="dxa"/>
            <w:tcBorders>
              <w:right w:val="single" w:color="000000" w:sz="10" w:space="0"/>
            </w:tcBorders>
          </w:tcPr>
          <w:p>
            <w:pPr>
              <w:pStyle w:val="32"/>
              <w:spacing w:before="93"/>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2"/>
              <w:ind w:left="269"/>
              <w:rPr>
                <w:rFonts w:eastAsia="宋体" w:cs="黑体"/>
                <w:color w:val="auto"/>
                <w:sz w:val="24"/>
                <w:szCs w:val="24"/>
              </w:rPr>
            </w:pPr>
            <w:r>
              <w:rPr>
                <w:rFonts w:hint="eastAsia" w:eastAsia="宋体" w:cs="黑体"/>
                <w:color w:val="auto"/>
                <w:spacing w:val="-8"/>
                <w:position w:val="1"/>
                <w:sz w:val="24"/>
                <w:szCs w:val="24"/>
              </w:rPr>
              <w:t>11</w:t>
            </w:r>
          </w:p>
        </w:tc>
        <w:tc>
          <w:tcPr>
            <w:tcW w:w="3567" w:type="dxa"/>
          </w:tcPr>
          <w:p>
            <w:pPr>
              <w:pStyle w:val="32"/>
              <w:spacing w:before="92"/>
              <w:ind w:left="100"/>
              <w:rPr>
                <w:rFonts w:eastAsia="宋体" w:cs="黑体"/>
                <w:color w:val="auto"/>
                <w:sz w:val="24"/>
                <w:szCs w:val="24"/>
              </w:rPr>
            </w:pPr>
            <w:r>
              <w:rPr>
                <w:rFonts w:hint="eastAsia" w:eastAsia="宋体" w:cs="黑体"/>
                <w:color w:val="auto"/>
                <w:spacing w:val="2"/>
                <w:sz w:val="24"/>
                <w:szCs w:val="24"/>
              </w:rPr>
              <w:t>轿顶</w:t>
            </w:r>
          </w:p>
        </w:tc>
        <w:tc>
          <w:tcPr>
            <w:tcW w:w="5267" w:type="dxa"/>
            <w:tcBorders>
              <w:right w:val="single" w:color="000000" w:sz="10" w:space="0"/>
            </w:tcBorders>
          </w:tcPr>
          <w:p>
            <w:pPr>
              <w:pStyle w:val="32"/>
              <w:spacing w:before="92"/>
              <w:ind w:left="109"/>
              <w:rPr>
                <w:rFonts w:eastAsia="宋体" w:cs="黑体"/>
                <w:color w:val="auto"/>
                <w:sz w:val="24"/>
                <w:szCs w:val="24"/>
                <w:lang w:eastAsia="zh-CN"/>
              </w:rPr>
            </w:pPr>
            <w:r>
              <w:rPr>
                <w:rFonts w:hint="eastAsia" w:eastAsia="宋体" w:cs="黑体"/>
                <w:color w:val="auto"/>
                <w:spacing w:val="3"/>
                <w:sz w:val="24"/>
                <w:szCs w:val="24"/>
                <w:lang w:eastAsia="zh-CN"/>
              </w:rPr>
              <w:t>清洁，防护栏安全可靠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1"/>
              <w:ind w:left="269"/>
              <w:rPr>
                <w:rFonts w:eastAsia="宋体" w:cs="黑体"/>
                <w:color w:val="auto"/>
                <w:sz w:val="24"/>
                <w:szCs w:val="24"/>
              </w:rPr>
            </w:pPr>
            <w:r>
              <w:rPr>
                <w:rFonts w:hint="eastAsia" w:eastAsia="宋体" w:cs="黑体"/>
                <w:color w:val="auto"/>
                <w:spacing w:val="-8"/>
                <w:position w:val="1"/>
                <w:sz w:val="24"/>
                <w:szCs w:val="24"/>
              </w:rPr>
              <w:t>12</w:t>
            </w:r>
          </w:p>
        </w:tc>
        <w:tc>
          <w:tcPr>
            <w:tcW w:w="3567" w:type="dxa"/>
          </w:tcPr>
          <w:p>
            <w:pPr>
              <w:pStyle w:val="32"/>
              <w:spacing w:before="91"/>
              <w:ind w:left="100"/>
              <w:rPr>
                <w:rFonts w:eastAsia="宋体" w:cs="黑体"/>
                <w:color w:val="auto"/>
                <w:sz w:val="24"/>
                <w:szCs w:val="24"/>
                <w:lang w:eastAsia="zh-CN"/>
              </w:rPr>
            </w:pPr>
            <w:r>
              <w:rPr>
                <w:rFonts w:hint="eastAsia" w:eastAsia="宋体" w:cs="黑体"/>
                <w:color w:val="auto"/>
                <w:spacing w:val="3"/>
                <w:sz w:val="24"/>
                <w:szCs w:val="24"/>
                <w:lang w:eastAsia="zh-CN"/>
              </w:rPr>
              <w:t>轿顶检修开关、停止装置</w:t>
            </w:r>
          </w:p>
        </w:tc>
        <w:tc>
          <w:tcPr>
            <w:tcW w:w="5267" w:type="dxa"/>
            <w:tcBorders>
              <w:right w:val="single" w:color="000000" w:sz="10" w:space="0"/>
            </w:tcBorders>
          </w:tcPr>
          <w:p>
            <w:pPr>
              <w:pStyle w:val="32"/>
              <w:spacing w:before="92"/>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3"/>
              <w:ind w:left="269"/>
              <w:rPr>
                <w:rFonts w:eastAsia="宋体" w:cs="黑体"/>
                <w:color w:val="auto"/>
                <w:sz w:val="24"/>
                <w:szCs w:val="24"/>
              </w:rPr>
            </w:pPr>
            <w:r>
              <w:rPr>
                <w:rFonts w:hint="eastAsia" w:eastAsia="宋体" w:cs="黑体"/>
                <w:color w:val="auto"/>
                <w:spacing w:val="-8"/>
                <w:position w:val="1"/>
                <w:sz w:val="24"/>
                <w:szCs w:val="24"/>
              </w:rPr>
              <w:t>13</w:t>
            </w:r>
          </w:p>
        </w:tc>
        <w:tc>
          <w:tcPr>
            <w:tcW w:w="3567" w:type="dxa"/>
          </w:tcPr>
          <w:p>
            <w:pPr>
              <w:pStyle w:val="32"/>
              <w:spacing w:before="93"/>
              <w:ind w:left="106"/>
              <w:rPr>
                <w:rFonts w:eastAsia="宋体" w:cs="黑体"/>
                <w:color w:val="auto"/>
                <w:sz w:val="24"/>
                <w:szCs w:val="24"/>
              </w:rPr>
            </w:pPr>
            <w:r>
              <w:rPr>
                <w:rFonts w:hint="eastAsia" w:eastAsia="宋体" w:cs="黑体"/>
                <w:color w:val="auto"/>
                <w:spacing w:val="1"/>
                <w:sz w:val="24"/>
                <w:szCs w:val="24"/>
              </w:rPr>
              <w:t>导靴上油杯</w:t>
            </w:r>
          </w:p>
        </w:tc>
        <w:tc>
          <w:tcPr>
            <w:tcW w:w="5267" w:type="dxa"/>
            <w:tcBorders>
              <w:right w:val="single" w:color="000000" w:sz="10" w:space="0"/>
            </w:tcBorders>
          </w:tcPr>
          <w:p>
            <w:pPr>
              <w:pStyle w:val="32"/>
              <w:spacing w:before="93"/>
              <w:ind w:left="117"/>
              <w:rPr>
                <w:rFonts w:eastAsia="宋体" w:cs="黑体"/>
                <w:color w:val="auto"/>
                <w:sz w:val="24"/>
                <w:szCs w:val="24"/>
                <w:lang w:eastAsia="zh-CN"/>
              </w:rPr>
            </w:pPr>
            <w:r>
              <w:rPr>
                <w:rFonts w:hint="eastAsia" w:eastAsia="宋体" w:cs="黑体"/>
                <w:color w:val="auto"/>
                <w:spacing w:val="3"/>
                <w:sz w:val="24"/>
                <w:szCs w:val="24"/>
                <w:lang w:eastAsia="zh-CN"/>
              </w:rPr>
              <w:t>吸油毛毡齐全，油量适宜，油杯无泄漏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2"/>
              <w:ind w:left="269"/>
              <w:rPr>
                <w:rFonts w:eastAsia="宋体" w:cs="黑体"/>
                <w:color w:val="auto"/>
                <w:sz w:val="24"/>
                <w:szCs w:val="24"/>
              </w:rPr>
            </w:pPr>
            <w:r>
              <w:rPr>
                <w:rFonts w:hint="eastAsia" w:eastAsia="宋体" w:cs="黑体"/>
                <w:color w:val="auto"/>
                <w:spacing w:val="-8"/>
                <w:position w:val="1"/>
                <w:sz w:val="24"/>
                <w:szCs w:val="24"/>
              </w:rPr>
              <w:t>14</w:t>
            </w:r>
          </w:p>
        </w:tc>
        <w:tc>
          <w:tcPr>
            <w:tcW w:w="3567" w:type="dxa"/>
          </w:tcPr>
          <w:p>
            <w:pPr>
              <w:pStyle w:val="32"/>
              <w:spacing w:before="92"/>
              <w:ind w:left="99"/>
              <w:rPr>
                <w:rFonts w:eastAsia="宋体" w:cs="黑体"/>
                <w:color w:val="auto"/>
                <w:sz w:val="24"/>
                <w:szCs w:val="24"/>
                <w:lang w:eastAsia="zh-CN"/>
              </w:rPr>
            </w:pPr>
            <w:r>
              <w:rPr>
                <w:rFonts w:hint="eastAsia" w:eastAsia="宋体" w:cs="黑体"/>
                <w:color w:val="auto"/>
                <w:spacing w:val="3"/>
                <w:sz w:val="24"/>
                <w:szCs w:val="24"/>
                <w:lang w:eastAsia="zh-CN"/>
              </w:rPr>
              <w:t>对重/平衡重块及其压板</w:t>
            </w:r>
          </w:p>
        </w:tc>
        <w:tc>
          <w:tcPr>
            <w:tcW w:w="5267" w:type="dxa"/>
            <w:tcBorders>
              <w:right w:val="single" w:color="000000" w:sz="10" w:space="0"/>
            </w:tcBorders>
          </w:tcPr>
          <w:p>
            <w:pPr>
              <w:pStyle w:val="32"/>
              <w:spacing w:before="92"/>
              <w:ind w:left="108"/>
              <w:rPr>
                <w:rFonts w:eastAsia="宋体" w:cs="黑体"/>
                <w:color w:val="auto"/>
                <w:sz w:val="24"/>
                <w:szCs w:val="24"/>
                <w:lang w:eastAsia="zh-CN"/>
              </w:rPr>
            </w:pPr>
            <w:r>
              <w:rPr>
                <w:rFonts w:hint="eastAsia" w:eastAsia="宋体" w:cs="黑体"/>
                <w:color w:val="auto"/>
                <w:spacing w:val="3"/>
                <w:sz w:val="24"/>
                <w:szCs w:val="24"/>
                <w:lang w:eastAsia="zh-CN"/>
              </w:rPr>
              <w:t>对重/平衡重块无松动，压板紧固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30" w:type="dxa"/>
            <w:tcBorders>
              <w:left w:val="single" w:color="000000" w:sz="10" w:space="0"/>
            </w:tcBorders>
          </w:tcPr>
          <w:p>
            <w:pPr>
              <w:pStyle w:val="32"/>
              <w:spacing w:before="91"/>
              <w:ind w:left="269"/>
              <w:rPr>
                <w:rFonts w:eastAsia="宋体" w:cs="黑体"/>
                <w:color w:val="auto"/>
                <w:sz w:val="24"/>
                <w:szCs w:val="24"/>
              </w:rPr>
            </w:pPr>
            <w:r>
              <w:rPr>
                <w:rFonts w:hint="eastAsia" w:eastAsia="宋体" w:cs="黑体"/>
                <w:color w:val="auto"/>
                <w:spacing w:val="-8"/>
                <w:position w:val="1"/>
                <w:sz w:val="24"/>
                <w:szCs w:val="24"/>
              </w:rPr>
              <w:t>15</w:t>
            </w:r>
          </w:p>
        </w:tc>
        <w:tc>
          <w:tcPr>
            <w:tcW w:w="3567" w:type="dxa"/>
          </w:tcPr>
          <w:p>
            <w:pPr>
              <w:pStyle w:val="32"/>
              <w:spacing w:before="91"/>
              <w:ind w:left="100"/>
              <w:rPr>
                <w:rFonts w:eastAsia="宋体" w:cs="黑体"/>
                <w:color w:val="auto"/>
                <w:sz w:val="24"/>
                <w:szCs w:val="24"/>
              </w:rPr>
            </w:pPr>
            <w:r>
              <w:rPr>
                <w:rFonts w:hint="eastAsia" w:eastAsia="宋体" w:cs="黑体"/>
                <w:color w:val="auto"/>
                <w:spacing w:val="3"/>
                <w:sz w:val="24"/>
                <w:szCs w:val="24"/>
              </w:rPr>
              <w:t>井道照明</w:t>
            </w:r>
          </w:p>
        </w:tc>
        <w:tc>
          <w:tcPr>
            <w:tcW w:w="5267" w:type="dxa"/>
            <w:tcBorders>
              <w:right w:val="single" w:color="000000" w:sz="10" w:space="0"/>
            </w:tcBorders>
          </w:tcPr>
          <w:p>
            <w:pPr>
              <w:pStyle w:val="32"/>
              <w:spacing w:before="92"/>
              <w:ind w:left="113"/>
              <w:rPr>
                <w:rFonts w:eastAsia="宋体" w:cs="黑体"/>
                <w:color w:val="auto"/>
                <w:sz w:val="24"/>
                <w:szCs w:val="24"/>
              </w:rPr>
            </w:pPr>
            <w:r>
              <w:rPr>
                <w:rFonts w:hint="eastAsia" w:eastAsia="宋体" w:cs="黑体"/>
                <w:color w:val="auto"/>
                <w:sz w:val="24"/>
                <w:szCs w:val="24"/>
              </w:rPr>
              <w:t>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4"/>
              <w:ind w:left="269"/>
              <w:rPr>
                <w:rFonts w:eastAsia="宋体" w:cs="黑体"/>
                <w:color w:val="auto"/>
                <w:sz w:val="24"/>
                <w:szCs w:val="24"/>
              </w:rPr>
            </w:pPr>
            <w:r>
              <w:rPr>
                <w:rFonts w:hint="eastAsia" w:eastAsia="宋体" w:cs="黑体"/>
                <w:color w:val="auto"/>
                <w:spacing w:val="-8"/>
                <w:position w:val="1"/>
                <w:sz w:val="24"/>
                <w:szCs w:val="24"/>
              </w:rPr>
              <w:t>16</w:t>
            </w:r>
          </w:p>
        </w:tc>
        <w:tc>
          <w:tcPr>
            <w:tcW w:w="3567" w:type="dxa"/>
          </w:tcPr>
          <w:p>
            <w:pPr>
              <w:pStyle w:val="32"/>
              <w:spacing w:before="93"/>
              <w:ind w:left="100"/>
              <w:rPr>
                <w:rFonts w:eastAsia="宋体" w:cs="黑体"/>
                <w:color w:val="auto"/>
                <w:sz w:val="24"/>
                <w:szCs w:val="24"/>
                <w:lang w:eastAsia="zh-CN"/>
              </w:rPr>
            </w:pPr>
            <w:r>
              <w:rPr>
                <w:rFonts w:hint="eastAsia" w:eastAsia="宋体" w:cs="黑体"/>
                <w:color w:val="auto"/>
                <w:spacing w:val="3"/>
                <w:sz w:val="24"/>
                <w:szCs w:val="24"/>
                <w:lang w:eastAsia="zh-CN"/>
              </w:rPr>
              <w:t>轿厢照明、风扇、应急照明</w:t>
            </w:r>
          </w:p>
        </w:tc>
        <w:tc>
          <w:tcPr>
            <w:tcW w:w="5267" w:type="dxa"/>
            <w:tcBorders>
              <w:right w:val="single" w:color="000000" w:sz="10" w:space="0"/>
            </w:tcBorders>
          </w:tcPr>
          <w:p>
            <w:pPr>
              <w:pStyle w:val="32"/>
              <w:spacing w:before="94"/>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730" w:type="dxa"/>
            <w:tcBorders>
              <w:left w:val="single" w:color="000000" w:sz="10" w:space="0"/>
            </w:tcBorders>
          </w:tcPr>
          <w:p>
            <w:pPr>
              <w:pStyle w:val="32"/>
              <w:spacing w:before="129"/>
              <w:ind w:left="269"/>
              <w:rPr>
                <w:rFonts w:eastAsia="宋体" w:cs="黑体"/>
                <w:color w:val="auto"/>
                <w:sz w:val="24"/>
                <w:szCs w:val="24"/>
              </w:rPr>
            </w:pPr>
            <w:r>
              <w:rPr>
                <w:rFonts w:hint="eastAsia" w:eastAsia="宋体" w:cs="黑体"/>
                <w:color w:val="auto"/>
                <w:spacing w:val="-8"/>
                <w:position w:val="1"/>
                <w:sz w:val="24"/>
                <w:szCs w:val="24"/>
              </w:rPr>
              <w:t>17</w:t>
            </w:r>
          </w:p>
        </w:tc>
        <w:tc>
          <w:tcPr>
            <w:tcW w:w="3567" w:type="dxa"/>
          </w:tcPr>
          <w:p>
            <w:pPr>
              <w:pStyle w:val="32"/>
              <w:spacing w:before="129"/>
              <w:ind w:left="100"/>
              <w:rPr>
                <w:rFonts w:eastAsia="宋体" w:cs="黑体"/>
                <w:color w:val="auto"/>
                <w:sz w:val="24"/>
                <w:szCs w:val="24"/>
                <w:lang w:eastAsia="zh-CN"/>
              </w:rPr>
            </w:pPr>
            <w:r>
              <w:rPr>
                <w:rFonts w:hint="eastAsia" w:eastAsia="宋体" w:cs="黑体"/>
                <w:color w:val="auto"/>
                <w:spacing w:val="3"/>
                <w:sz w:val="24"/>
                <w:szCs w:val="24"/>
                <w:lang w:eastAsia="zh-CN"/>
              </w:rPr>
              <w:t>轿厢检修开关、停止装置</w:t>
            </w:r>
          </w:p>
        </w:tc>
        <w:tc>
          <w:tcPr>
            <w:tcW w:w="5267" w:type="dxa"/>
            <w:tcBorders>
              <w:right w:val="single" w:color="000000" w:sz="10" w:space="0"/>
            </w:tcBorders>
          </w:tcPr>
          <w:p>
            <w:pPr>
              <w:pStyle w:val="32"/>
              <w:spacing w:before="129"/>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5"/>
              <w:ind w:left="269"/>
              <w:rPr>
                <w:rFonts w:eastAsia="宋体" w:cs="黑体"/>
                <w:color w:val="auto"/>
                <w:sz w:val="24"/>
                <w:szCs w:val="24"/>
              </w:rPr>
            </w:pPr>
            <w:r>
              <w:rPr>
                <w:rFonts w:hint="eastAsia" w:eastAsia="宋体" w:cs="黑体"/>
                <w:color w:val="auto"/>
                <w:spacing w:val="-8"/>
                <w:position w:val="1"/>
                <w:sz w:val="24"/>
                <w:szCs w:val="24"/>
              </w:rPr>
              <w:t>18</w:t>
            </w:r>
          </w:p>
        </w:tc>
        <w:tc>
          <w:tcPr>
            <w:tcW w:w="3567" w:type="dxa"/>
          </w:tcPr>
          <w:p>
            <w:pPr>
              <w:pStyle w:val="32"/>
              <w:spacing w:before="95"/>
              <w:ind w:left="100"/>
              <w:rPr>
                <w:rFonts w:eastAsia="宋体" w:cs="黑体"/>
                <w:color w:val="auto"/>
                <w:sz w:val="24"/>
                <w:szCs w:val="24"/>
                <w:lang w:eastAsia="zh-CN"/>
              </w:rPr>
            </w:pPr>
            <w:r>
              <w:rPr>
                <w:rFonts w:hint="eastAsia" w:eastAsia="宋体" w:cs="黑体"/>
                <w:color w:val="auto"/>
                <w:spacing w:val="3"/>
                <w:sz w:val="24"/>
                <w:szCs w:val="24"/>
                <w:lang w:eastAsia="zh-CN"/>
              </w:rPr>
              <w:t>轿内报警装置、对讲系统</w:t>
            </w:r>
          </w:p>
        </w:tc>
        <w:tc>
          <w:tcPr>
            <w:tcW w:w="5267" w:type="dxa"/>
            <w:tcBorders>
              <w:right w:val="single" w:color="000000" w:sz="10" w:space="0"/>
            </w:tcBorders>
          </w:tcPr>
          <w:p>
            <w:pPr>
              <w:pStyle w:val="32"/>
              <w:spacing w:before="95"/>
              <w:ind w:left="111"/>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30" w:type="dxa"/>
            <w:tcBorders>
              <w:left w:val="single" w:color="000000" w:sz="10" w:space="0"/>
            </w:tcBorders>
          </w:tcPr>
          <w:p>
            <w:pPr>
              <w:pStyle w:val="32"/>
              <w:spacing w:before="94"/>
              <w:ind w:left="269"/>
              <w:rPr>
                <w:rFonts w:eastAsia="宋体" w:cs="黑体"/>
                <w:color w:val="auto"/>
                <w:sz w:val="24"/>
                <w:szCs w:val="24"/>
              </w:rPr>
            </w:pPr>
            <w:r>
              <w:rPr>
                <w:rFonts w:hint="eastAsia" w:eastAsia="宋体" w:cs="黑体"/>
                <w:color w:val="auto"/>
                <w:spacing w:val="-8"/>
                <w:position w:val="1"/>
                <w:sz w:val="24"/>
                <w:szCs w:val="24"/>
              </w:rPr>
              <w:t>19</w:t>
            </w:r>
          </w:p>
        </w:tc>
        <w:tc>
          <w:tcPr>
            <w:tcW w:w="3567" w:type="dxa"/>
          </w:tcPr>
          <w:p>
            <w:pPr>
              <w:pStyle w:val="32"/>
              <w:spacing w:before="94"/>
              <w:ind w:left="100"/>
              <w:rPr>
                <w:rFonts w:eastAsia="宋体" w:cs="黑体"/>
                <w:color w:val="auto"/>
                <w:sz w:val="24"/>
                <w:szCs w:val="24"/>
                <w:lang w:eastAsia="zh-CN"/>
              </w:rPr>
            </w:pPr>
            <w:r>
              <w:rPr>
                <w:rFonts w:hint="eastAsia" w:eastAsia="宋体" w:cs="黑体"/>
                <w:color w:val="auto"/>
                <w:spacing w:val="3"/>
                <w:sz w:val="24"/>
                <w:szCs w:val="24"/>
                <w:lang w:eastAsia="zh-CN"/>
              </w:rPr>
              <w:t>轿内显示、指令按钮、</w:t>
            </w:r>
            <w:r>
              <w:rPr>
                <w:rFonts w:hint="eastAsia" w:eastAsia="宋体" w:cs="黑体"/>
                <w:color w:val="auto"/>
                <w:sz w:val="24"/>
                <w:szCs w:val="24"/>
                <w:lang w:eastAsia="zh-CN"/>
              </w:rPr>
              <w:t>IC</w:t>
            </w:r>
            <w:r>
              <w:rPr>
                <w:rFonts w:hint="eastAsia" w:eastAsia="宋体" w:cs="黑体"/>
                <w:color w:val="auto"/>
                <w:spacing w:val="3"/>
                <w:sz w:val="24"/>
                <w:szCs w:val="24"/>
                <w:lang w:eastAsia="zh-CN"/>
              </w:rPr>
              <w:t xml:space="preserve"> 卡系统</w:t>
            </w:r>
          </w:p>
        </w:tc>
        <w:tc>
          <w:tcPr>
            <w:tcW w:w="5267" w:type="dxa"/>
            <w:tcBorders>
              <w:right w:val="single" w:color="000000" w:sz="10" w:space="0"/>
            </w:tcBorders>
          </w:tcPr>
          <w:p>
            <w:pPr>
              <w:pStyle w:val="32"/>
              <w:spacing w:before="95"/>
              <w:ind w:left="110"/>
              <w:rPr>
                <w:rFonts w:eastAsia="宋体" w:cs="黑体"/>
                <w:color w:val="auto"/>
                <w:sz w:val="24"/>
                <w:szCs w:val="24"/>
              </w:rPr>
            </w:pPr>
            <w:r>
              <w:rPr>
                <w:rFonts w:hint="eastAsia" w:eastAsia="宋体" w:cs="黑体"/>
                <w:color w:val="auto"/>
                <w:spacing w:val="2"/>
                <w:sz w:val="24"/>
                <w:szCs w:val="24"/>
              </w:rPr>
              <w:t>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730" w:type="dxa"/>
            <w:tcBorders>
              <w:left w:val="single" w:color="000000" w:sz="10" w:space="0"/>
            </w:tcBorders>
          </w:tcPr>
          <w:p>
            <w:pPr>
              <w:pStyle w:val="32"/>
              <w:spacing w:before="164"/>
              <w:ind w:left="256"/>
              <w:rPr>
                <w:rFonts w:eastAsia="宋体" w:cs="黑体"/>
                <w:color w:val="auto"/>
                <w:sz w:val="24"/>
                <w:szCs w:val="24"/>
              </w:rPr>
            </w:pPr>
            <w:r>
              <w:rPr>
                <w:rFonts w:hint="eastAsia" w:eastAsia="宋体" w:cs="黑体"/>
                <w:color w:val="auto"/>
                <w:spacing w:val="-2"/>
                <w:position w:val="1"/>
                <w:sz w:val="24"/>
                <w:szCs w:val="24"/>
              </w:rPr>
              <w:t>20</w:t>
            </w:r>
          </w:p>
        </w:tc>
        <w:tc>
          <w:tcPr>
            <w:tcW w:w="3567" w:type="dxa"/>
          </w:tcPr>
          <w:p>
            <w:pPr>
              <w:pStyle w:val="32"/>
              <w:spacing w:before="36"/>
              <w:ind w:left="99" w:right="97"/>
              <w:rPr>
                <w:rFonts w:eastAsia="宋体" w:cs="黑体"/>
                <w:color w:val="auto"/>
                <w:sz w:val="24"/>
                <w:szCs w:val="24"/>
                <w:lang w:eastAsia="zh-CN"/>
              </w:rPr>
            </w:pPr>
            <w:r>
              <w:rPr>
                <w:rFonts w:hint="eastAsia" w:eastAsia="宋体" w:cs="黑体"/>
                <w:color w:val="auto"/>
                <w:spacing w:val="16"/>
                <w:sz w:val="24"/>
                <w:szCs w:val="24"/>
                <w:lang w:eastAsia="zh-CN"/>
              </w:rPr>
              <w:t>轿门防撞击保护装置（安全触板，光</w:t>
            </w:r>
            <w:r>
              <w:rPr>
                <w:rFonts w:hint="eastAsia" w:eastAsia="宋体" w:cs="黑体"/>
                <w:color w:val="auto"/>
                <w:spacing w:val="2"/>
                <w:sz w:val="24"/>
                <w:szCs w:val="24"/>
                <w:lang w:eastAsia="zh-CN"/>
              </w:rPr>
              <w:t>幕、光电等）</w:t>
            </w:r>
          </w:p>
        </w:tc>
        <w:tc>
          <w:tcPr>
            <w:tcW w:w="5267" w:type="dxa"/>
            <w:tcBorders>
              <w:right w:val="single" w:color="000000" w:sz="10" w:space="0"/>
            </w:tcBorders>
          </w:tcPr>
          <w:p>
            <w:pPr>
              <w:pStyle w:val="32"/>
              <w:spacing w:before="164"/>
              <w:ind w:left="112"/>
              <w:rPr>
                <w:rFonts w:eastAsia="宋体" w:cs="黑体"/>
                <w:color w:val="auto"/>
                <w:sz w:val="24"/>
                <w:szCs w:val="24"/>
              </w:rPr>
            </w:pPr>
            <w:r>
              <w:rPr>
                <w:rFonts w:hint="eastAsia" w:eastAsia="宋体" w:cs="黑体"/>
                <w:color w:val="auto"/>
                <w:spacing w:val="2"/>
                <w:sz w:val="24"/>
                <w:szCs w:val="24"/>
              </w:rPr>
              <w:t>功能有效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5"/>
              <w:ind w:left="256"/>
              <w:rPr>
                <w:rFonts w:eastAsia="宋体" w:cs="黑体"/>
                <w:color w:val="auto"/>
                <w:sz w:val="24"/>
                <w:szCs w:val="24"/>
              </w:rPr>
            </w:pPr>
            <w:r>
              <w:rPr>
                <w:rFonts w:hint="eastAsia" w:eastAsia="宋体" w:cs="黑体"/>
                <w:color w:val="auto"/>
                <w:spacing w:val="-2"/>
                <w:position w:val="1"/>
                <w:sz w:val="24"/>
                <w:szCs w:val="24"/>
              </w:rPr>
              <w:t>21</w:t>
            </w:r>
          </w:p>
        </w:tc>
        <w:tc>
          <w:tcPr>
            <w:tcW w:w="3567" w:type="dxa"/>
          </w:tcPr>
          <w:p>
            <w:pPr>
              <w:pStyle w:val="32"/>
              <w:spacing w:before="95"/>
              <w:ind w:left="100"/>
              <w:rPr>
                <w:rFonts w:eastAsia="宋体" w:cs="黑体"/>
                <w:color w:val="auto"/>
                <w:sz w:val="24"/>
                <w:szCs w:val="24"/>
              </w:rPr>
            </w:pPr>
            <w:r>
              <w:rPr>
                <w:rFonts w:hint="eastAsia" w:eastAsia="宋体" w:cs="黑体"/>
                <w:color w:val="auto"/>
                <w:spacing w:val="3"/>
                <w:sz w:val="24"/>
                <w:szCs w:val="24"/>
              </w:rPr>
              <w:t>轿门门锁电气触点</w:t>
            </w:r>
          </w:p>
        </w:tc>
        <w:tc>
          <w:tcPr>
            <w:tcW w:w="5267" w:type="dxa"/>
            <w:tcBorders>
              <w:right w:val="single" w:color="000000" w:sz="10" w:space="0"/>
            </w:tcBorders>
          </w:tcPr>
          <w:p>
            <w:pPr>
              <w:pStyle w:val="32"/>
              <w:tabs>
                <w:tab w:val="left" w:pos="3601"/>
              </w:tabs>
              <w:spacing w:before="94"/>
              <w:ind w:left="109"/>
              <w:rPr>
                <w:rFonts w:eastAsia="宋体" w:cs="黑体"/>
                <w:color w:val="auto"/>
                <w:sz w:val="24"/>
                <w:szCs w:val="24"/>
                <w:lang w:eastAsia="zh-CN"/>
              </w:rPr>
            </w:pPr>
            <w:r>
              <w:rPr>
                <w:rFonts w:hint="eastAsia" w:eastAsia="宋体" w:cs="黑体"/>
                <w:color w:val="auto"/>
                <w:spacing w:val="3"/>
                <w:sz w:val="24"/>
                <w:szCs w:val="24"/>
                <w:lang w:eastAsia="zh-CN"/>
              </w:rPr>
              <w:t>清洁，触点接触良好，接线可靠</w:t>
            </w:r>
            <w:r>
              <w:rPr>
                <w:rFonts w:hint="eastAsia" w:eastAsia="宋体" w:cs="黑体"/>
                <w:color w:val="auto"/>
                <w:spacing w:val="3"/>
                <w:sz w:val="24"/>
                <w:szCs w:val="24"/>
                <w:lang w:eastAsia="zh-CN"/>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6"/>
              <w:ind w:left="256"/>
              <w:rPr>
                <w:rFonts w:eastAsia="宋体" w:cs="黑体"/>
                <w:color w:val="auto"/>
                <w:sz w:val="24"/>
                <w:szCs w:val="24"/>
              </w:rPr>
            </w:pPr>
            <w:r>
              <w:rPr>
                <w:rFonts w:hint="eastAsia" w:eastAsia="宋体" w:cs="黑体"/>
                <w:color w:val="auto"/>
                <w:spacing w:val="-2"/>
                <w:position w:val="1"/>
                <w:sz w:val="24"/>
                <w:szCs w:val="24"/>
              </w:rPr>
              <w:t>22</w:t>
            </w:r>
          </w:p>
        </w:tc>
        <w:tc>
          <w:tcPr>
            <w:tcW w:w="3567" w:type="dxa"/>
          </w:tcPr>
          <w:p>
            <w:pPr>
              <w:pStyle w:val="32"/>
              <w:spacing w:before="97"/>
              <w:ind w:left="100"/>
              <w:rPr>
                <w:rFonts w:eastAsia="宋体" w:cs="黑体"/>
                <w:color w:val="auto"/>
                <w:sz w:val="24"/>
                <w:szCs w:val="24"/>
              </w:rPr>
            </w:pPr>
            <w:r>
              <w:rPr>
                <w:rFonts w:hint="eastAsia" w:eastAsia="宋体" w:cs="黑体"/>
                <w:color w:val="auto"/>
                <w:spacing w:val="3"/>
                <w:sz w:val="24"/>
                <w:szCs w:val="24"/>
              </w:rPr>
              <w:t>轿门运行</w:t>
            </w:r>
          </w:p>
        </w:tc>
        <w:tc>
          <w:tcPr>
            <w:tcW w:w="5267" w:type="dxa"/>
            <w:tcBorders>
              <w:right w:val="single" w:color="000000" w:sz="10" w:space="0"/>
            </w:tcBorders>
          </w:tcPr>
          <w:p>
            <w:pPr>
              <w:pStyle w:val="32"/>
              <w:spacing w:before="97"/>
              <w:ind w:left="110"/>
              <w:rPr>
                <w:rFonts w:eastAsia="宋体" w:cs="黑体"/>
                <w:color w:val="auto"/>
                <w:sz w:val="24"/>
                <w:szCs w:val="24"/>
              </w:rPr>
            </w:pPr>
            <w:r>
              <w:rPr>
                <w:rFonts w:hint="eastAsia" w:eastAsia="宋体" w:cs="黑体"/>
                <w:color w:val="auto"/>
                <w:spacing w:val="3"/>
                <w:sz w:val="24"/>
                <w:szCs w:val="24"/>
              </w:rPr>
              <w:t>开启和关闭工作正常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6"/>
              <w:ind w:left="256"/>
              <w:rPr>
                <w:rFonts w:eastAsia="宋体" w:cs="黑体"/>
                <w:color w:val="auto"/>
                <w:sz w:val="24"/>
                <w:szCs w:val="24"/>
              </w:rPr>
            </w:pPr>
            <w:r>
              <w:rPr>
                <w:rFonts w:hint="eastAsia" w:eastAsia="宋体" w:cs="黑体"/>
                <w:color w:val="auto"/>
                <w:spacing w:val="-2"/>
                <w:position w:val="1"/>
                <w:sz w:val="24"/>
                <w:szCs w:val="24"/>
              </w:rPr>
              <w:t>23</w:t>
            </w:r>
          </w:p>
        </w:tc>
        <w:tc>
          <w:tcPr>
            <w:tcW w:w="3567" w:type="dxa"/>
          </w:tcPr>
          <w:p>
            <w:pPr>
              <w:pStyle w:val="32"/>
              <w:spacing w:before="95"/>
              <w:ind w:left="100"/>
              <w:rPr>
                <w:rFonts w:eastAsia="宋体" w:cs="黑体"/>
                <w:color w:val="auto"/>
                <w:sz w:val="24"/>
                <w:szCs w:val="24"/>
              </w:rPr>
            </w:pPr>
            <w:r>
              <w:rPr>
                <w:rFonts w:hint="eastAsia" w:eastAsia="宋体" w:cs="黑体"/>
                <w:color w:val="auto"/>
                <w:spacing w:val="3"/>
                <w:sz w:val="24"/>
                <w:szCs w:val="24"/>
              </w:rPr>
              <w:t>轿厢平层准确度</w:t>
            </w:r>
          </w:p>
        </w:tc>
        <w:tc>
          <w:tcPr>
            <w:tcW w:w="5267" w:type="dxa"/>
            <w:tcBorders>
              <w:right w:val="single" w:color="000000" w:sz="10" w:space="0"/>
            </w:tcBorders>
          </w:tcPr>
          <w:p>
            <w:pPr>
              <w:pStyle w:val="32"/>
              <w:spacing w:before="95"/>
              <w:ind w:left="111"/>
              <w:rPr>
                <w:rFonts w:eastAsia="宋体" w:cs="黑体"/>
                <w:color w:val="auto"/>
                <w:sz w:val="24"/>
                <w:szCs w:val="24"/>
              </w:rPr>
            </w:pPr>
            <w:r>
              <w:rPr>
                <w:rFonts w:hint="eastAsia" w:eastAsia="宋体" w:cs="黑体"/>
                <w:color w:val="auto"/>
                <w:spacing w:val="2"/>
                <w:sz w:val="24"/>
                <w:szCs w:val="24"/>
              </w:rPr>
              <w:t>符合标准值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30" w:type="dxa"/>
            <w:tcBorders>
              <w:left w:val="single" w:color="000000" w:sz="10" w:space="0"/>
            </w:tcBorders>
          </w:tcPr>
          <w:p>
            <w:pPr>
              <w:pStyle w:val="32"/>
              <w:spacing w:before="95"/>
              <w:ind w:left="256"/>
              <w:rPr>
                <w:rFonts w:eastAsia="宋体" w:cs="黑体"/>
                <w:color w:val="auto"/>
                <w:sz w:val="24"/>
                <w:szCs w:val="24"/>
              </w:rPr>
            </w:pPr>
            <w:r>
              <w:rPr>
                <w:rFonts w:hint="eastAsia" w:eastAsia="宋体" w:cs="黑体"/>
                <w:color w:val="auto"/>
                <w:spacing w:val="-2"/>
                <w:position w:val="1"/>
                <w:sz w:val="24"/>
                <w:szCs w:val="24"/>
              </w:rPr>
              <w:t>24</w:t>
            </w:r>
          </w:p>
        </w:tc>
        <w:tc>
          <w:tcPr>
            <w:tcW w:w="3567" w:type="dxa"/>
          </w:tcPr>
          <w:p>
            <w:pPr>
              <w:pStyle w:val="32"/>
              <w:spacing w:before="94"/>
              <w:ind w:left="100"/>
              <w:rPr>
                <w:rFonts w:eastAsia="宋体" w:cs="黑体"/>
                <w:color w:val="auto"/>
                <w:sz w:val="24"/>
                <w:szCs w:val="24"/>
              </w:rPr>
            </w:pPr>
            <w:r>
              <w:rPr>
                <w:rFonts w:hint="eastAsia" w:eastAsia="宋体" w:cs="黑体"/>
                <w:color w:val="auto"/>
                <w:spacing w:val="3"/>
                <w:sz w:val="24"/>
                <w:szCs w:val="24"/>
              </w:rPr>
              <w:t>层站召唤、层楼显示</w:t>
            </w:r>
          </w:p>
        </w:tc>
        <w:tc>
          <w:tcPr>
            <w:tcW w:w="5267" w:type="dxa"/>
            <w:tcBorders>
              <w:right w:val="single" w:color="000000" w:sz="10" w:space="0"/>
            </w:tcBorders>
          </w:tcPr>
          <w:p>
            <w:pPr>
              <w:pStyle w:val="32"/>
              <w:spacing w:before="95"/>
              <w:ind w:left="110"/>
              <w:rPr>
                <w:rFonts w:eastAsia="宋体" w:cs="黑体"/>
                <w:color w:val="auto"/>
                <w:sz w:val="24"/>
                <w:szCs w:val="24"/>
              </w:rPr>
            </w:pPr>
            <w:r>
              <w:rPr>
                <w:rFonts w:hint="eastAsia" w:eastAsia="宋体" w:cs="黑体"/>
                <w:color w:val="auto"/>
                <w:spacing w:val="2"/>
                <w:sz w:val="24"/>
                <w:szCs w:val="24"/>
              </w:rPr>
              <w:t>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730" w:type="dxa"/>
            <w:tcBorders>
              <w:left w:val="single" w:color="000000" w:sz="10" w:space="0"/>
            </w:tcBorders>
          </w:tcPr>
          <w:p>
            <w:pPr>
              <w:pStyle w:val="32"/>
              <w:spacing w:before="97"/>
              <w:ind w:left="256"/>
              <w:rPr>
                <w:rFonts w:eastAsia="宋体" w:cs="黑体"/>
                <w:color w:val="auto"/>
                <w:sz w:val="24"/>
                <w:szCs w:val="24"/>
              </w:rPr>
            </w:pPr>
            <w:r>
              <w:rPr>
                <w:rFonts w:hint="eastAsia" w:eastAsia="宋体" w:cs="黑体"/>
                <w:color w:val="auto"/>
                <w:spacing w:val="-2"/>
                <w:position w:val="1"/>
                <w:sz w:val="24"/>
                <w:szCs w:val="24"/>
              </w:rPr>
              <w:t>25</w:t>
            </w:r>
          </w:p>
        </w:tc>
        <w:tc>
          <w:tcPr>
            <w:tcW w:w="3567" w:type="dxa"/>
          </w:tcPr>
          <w:p>
            <w:pPr>
              <w:pStyle w:val="32"/>
              <w:spacing w:before="97"/>
              <w:ind w:left="100"/>
              <w:rPr>
                <w:rFonts w:eastAsia="宋体" w:cs="黑体"/>
                <w:color w:val="auto"/>
                <w:sz w:val="24"/>
                <w:szCs w:val="24"/>
              </w:rPr>
            </w:pPr>
            <w:r>
              <w:rPr>
                <w:rFonts w:hint="eastAsia" w:eastAsia="宋体" w:cs="黑体"/>
                <w:color w:val="auto"/>
                <w:spacing w:val="3"/>
                <w:sz w:val="24"/>
                <w:szCs w:val="24"/>
              </w:rPr>
              <w:t>层门地坎</w:t>
            </w:r>
          </w:p>
        </w:tc>
        <w:tc>
          <w:tcPr>
            <w:tcW w:w="5267" w:type="dxa"/>
            <w:tcBorders>
              <w:right w:val="single" w:color="000000" w:sz="10" w:space="0"/>
            </w:tcBorders>
          </w:tcPr>
          <w:p>
            <w:pPr>
              <w:pStyle w:val="32"/>
              <w:spacing w:before="98"/>
              <w:ind w:left="109"/>
              <w:rPr>
                <w:rFonts w:eastAsia="宋体" w:cs="黑体"/>
                <w:color w:val="auto"/>
                <w:sz w:val="24"/>
                <w:szCs w:val="24"/>
              </w:rPr>
            </w:pPr>
            <w:r>
              <w:rPr>
                <w:rFonts w:hint="eastAsia" w:eastAsia="宋体" w:cs="黑体"/>
                <w:color w:val="auto"/>
                <w:spacing w:val="2"/>
                <w:sz w:val="24"/>
                <w:szCs w:val="24"/>
              </w:rPr>
              <w:t>清洁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tcBorders>
              <w:left w:val="single" w:color="000000" w:sz="10" w:space="0"/>
            </w:tcBorders>
          </w:tcPr>
          <w:p>
            <w:pPr>
              <w:pStyle w:val="32"/>
              <w:spacing w:before="97"/>
              <w:ind w:left="256"/>
              <w:rPr>
                <w:rFonts w:eastAsia="宋体" w:cs="黑体"/>
                <w:color w:val="auto"/>
                <w:sz w:val="24"/>
                <w:szCs w:val="24"/>
              </w:rPr>
            </w:pPr>
            <w:r>
              <w:rPr>
                <w:rFonts w:hint="eastAsia" w:eastAsia="宋体" w:cs="黑体"/>
                <w:color w:val="auto"/>
                <w:spacing w:val="-2"/>
                <w:position w:val="1"/>
                <w:sz w:val="24"/>
                <w:szCs w:val="24"/>
              </w:rPr>
              <w:t>26</w:t>
            </w:r>
          </w:p>
        </w:tc>
        <w:tc>
          <w:tcPr>
            <w:tcW w:w="3567" w:type="dxa"/>
          </w:tcPr>
          <w:p>
            <w:pPr>
              <w:pStyle w:val="32"/>
              <w:spacing w:before="96"/>
              <w:ind w:left="100"/>
              <w:rPr>
                <w:rFonts w:eastAsia="宋体" w:cs="黑体"/>
                <w:color w:val="auto"/>
                <w:sz w:val="24"/>
                <w:szCs w:val="24"/>
              </w:rPr>
            </w:pPr>
            <w:r>
              <w:rPr>
                <w:rFonts w:hint="eastAsia" w:eastAsia="宋体" w:cs="黑体"/>
                <w:color w:val="auto"/>
                <w:spacing w:val="3"/>
                <w:sz w:val="24"/>
                <w:szCs w:val="24"/>
              </w:rPr>
              <w:t>层门自动关门装置</w:t>
            </w:r>
          </w:p>
        </w:tc>
        <w:tc>
          <w:tcPr>
            <w:tcW w:w="5267" w:type="dxa"/>
            <w:tcBorders>
              <w:right w:val="single" w:color="000000" w:sz="10" w:space="0"/>
            </w:tcBorders>
          </w:tcPr>
          <w:p>
            <w:pPr>
              <w:pStyle w:val="32"/>
              <w:spacing w:before="97"/>
              <w:ind w:left="113"/>
              <w:rPr>
                <w:rFonts w:eastAsia="宋体" w:cs="黑体"/>
                <w:color w:val="auto"/>
                <w:sz w:val="24"/>
                <w:szCs w:val="24"/>
              </w:rPr>
            </w:pPr>
            <w:r>
              <w:rPr>
                <w:rFonts w:hint="eastAsia" w:eastAsia="宋体" w:cs="黑体"/>
                <w:color w:val="auto"/>
                <w:sz w:val="24"/>
                <w:szCs w:val="24"/>
              </w:rPr>
              <w:t>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tcBorders>
              <w:left w:val="single" w:color="000000" w:sz="10" w:space="0"/>
            </w:tcBorders>
            <w:shd w:val="clear" w:color="auto" w:fill="auto"/>
          </w:tcPr>
          <w:p>
            <w:pPr>
              <w:pStyle w:val="32"/>
              <w:spacing w:before="169" w:line="268" w:lineRule="exact"/>
              <w:ind w:left="256"/>
              <w:rPr>
                <w:rFonts w:eastAsia="宋体" w:cs="黑体"/>
                <w:color w:val="auto"/>
                <w:sz w:val="24"/>
                <w:szCs w:val="24"/>
              </w:rPr>
            </w:pPr>
            <w:r>
              <w:rPr>
                <w:rFonts w:hint="eastAsia" w:eastAsia="宋体" w:cs="黑体"/>
                <w:color w:val="auto"/>
                <w:spacing w:val="-2"/>
                <w:position w:val="1"/>
                <w:sz w:val="24"/>
                <w:szCs w:val="24"/>
              </w:rPr>
              <w:t>27</w:t>
            </w:r>
          </w:p>
        </w:tc>
        <w:tc>
          <w:tcPr>
            <w:tcW w:w="3567" w:type="dxa"/>
            <w:shd w:val="clear" w:color="auto" w:fill="auto"/>
          </w:tcPr>
          <w:p>
            <w:pPr>
              <w:pStyle w:val="32"/>
              <w:spacing w:before="168" w:line="228" w:lineRule="auto"/>
              <w:ind w:left="100"/>
              <w:rPr>
                <w:rFonts w:eastAsia="宋体" w:cs="黑体"/>
                <w:color w:val="auto"/>
                <w:sz w:val="24"/>
                <w:szCs w:val="24"/>
              </w:rPr>
            </w:pPr>
            <w:r>
              <w:rPr>
                <w:rFonts w:hint="eastAsia" w:eastAsia="宋体" w:cs="黑体"/>
                <w:color w:val="auto"/>
                <w:spacing w:val="3"/>
                <w:sz w:val="24"/>
                <w:szCs w:val="24"/>
              </w:rPr>
              <w:t>层门门锁自动复位</w:t>
            </w:r>
          </w:p>
        </w:tc>
        <w:tc>
          <w:tcPr>
            <w:tcW w:w="5267" w:type="dxa"/>
            <w:tcBorders>
              <w:right w:val="single" w:color="000000" w:sz="10" w:space="0"/>
            </w:tcBorders>
            <w:shd w:val="clear" w:color="auto" w:fill="auto"/>
          </w:tcPr>
          <w:p>
            <w:pPr>
              <w:pStyle w:val="32"/>
              <w:spacing w:before="37" w:line="231" w:lineRule="auto"/>
              <w:ind w:left="109" w:right="91" w:firstLine="1"/>
              <w:rPr>
                <w:rFonts w:eastAsia="宋体" w:cs="黑体"/>
                <w:color w:val="auto"/>
                <w:sz w:val="24"/>
                <w:szCs w:val="24"/>
                <w:lang w:eastAsia="zh-CN"/>
              </w:rPr>
            </w:pPr>
            <w:r>
              <w:rPr>
                <w:rFonts w:hint="eastAsia" w:eastAsia="宋体" w:cs="黑体"/>
                <w:color w:val="auto"/>
                <w:spacing w:val="2"/>
                <w:sz w:val="24"/>
                <w:szCs w:val="24"/>
                <w:lang w:eastAsia="zh-CN"/>
              </w:rPr>
              <w:t>用层门钥匙打开手动开锁装置释放后，层门门锁</w:t>
            </w:r>
            <w:r>
              <w:rPr>
                <w:rFonts w:hint="eastAsia" w:eastAsia="宋体" w:cs="黑体"/>
                <w:color w:val="auto"/>
                <w:spacing w:val="1"/>
                <w:sz w:val="24"/>
                <w:szCs w:val="24"/>
                <w:lang w:eastAsia="zh-CN"/>
              </w:rPr>
              <w:t>能自动复</w:t>
            </w:r>
            <w:r>
              <w:rPr>
                <w:rFonts w:hint="eastAsia" w:eastAsia="宋体" w:cs="黑体"/>
                <w:color w:val="auto"/>
                <w:sz w:val="24"/>
                <w:szCs w:val="24"/>
                <w:lang w:eastAsia="zh-CN"/>
              </w:rPr>
              <w:t>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shd w:val="clear" w:color="auto" w:fill="auto"/>
          </w:tcPr>
          <w:p>
            <w:pPr>
              <w:pStyle w:val="32"/>
              <w:spacing w:before="93" w:line="269" w:lineRule="exact"/>
              <w:ind w:left="256"/>
              <w:rPr>
                <w:rFonts w:eastAsia="宋体" w:cs="黑体"/>
                <w:color w:val="auto"/>
                <w:sz w:val="24"/>
                <w:szCs w:val="24"/>
              </w:rPr>
            </w:pPr>
            <w:r>
              <w:rPr>
                <w:rFonts w:hint="eastAsia" w:eastAsia="宋体" w:cs="黑体"/>
                <w:color w:val="auto"/>
                <w:spacing w:val="-2"/>
                <w:position w:val="1"/>
                <w:sz w:val="24"/>
                <w:szCs w:val="24"/>
              </w:rPr>
              <w:t>28</w:t>
            </w:r>
          </w:p>
        </w:tc>
        <w:tc>
          <w:tcPr>
            <w:tcW w:w="3567" w:type="dxa"/>
            <w:shd w:val="clear" w:color="auto" w:fill="auto"/>
          </w:tcPr>
          <w:p>
            <w:pPr>
              <w:pStyle w:val="32"/>
              <w:spacing w:before="93" w:line="228" w:lineRule="auto"/>
              <w:ind w:left="100"/>
              <w:rPr>
                <w:rFonts w:eastAsia="宋体" w:cs="黑体"/>
                <w:color w:val="auto"/>
                <w:sz w:val="24"/>
                <w:szCs w:val="24"/>
              </w:rPr>
            </w:pPr>
            <w:r>
              <w:rPr>
                <w:rFonts w:hint="eastAsia" w:eastAsia="宋体" w:cs="黑体"/>
                <w:color w:val="auto"/>
                <w:spacing w:val="3"/>
                <w:sz w:val="24"/>
                <w:szCs w:val="24"/>
              </w:rPr>
              <w:t>层门门锁电气触点</w:t>
            </w:r>
          </w:p>
        </w:tc>
        <w:tc>
          <w:tcPr>
            <w:tcW w:w="5267" w:type="dxa"/>
            <w:shd w:val="clear" w:color="auto" w:fill="auto"/>
          </w:tcPr>
          <w:p>
            <w:pPr>
              <w:pStyle w:val="32"/>
              <w:spacing w:before="93" w:line="228" w:lineRule="auto"/>
              <w:ind w:left="109"/>
              <w:rPr>
                <w:rFonts w:eastAsia="宋体" w:cs="黑体"/>
                <w:color w:val="auto"/>
                <w:sz w:val="24"/>
                <w:szCs w:val="24"/>
                <w:lang w:eastAsia="zh-CN"/>
              </w:rPr>
            </w:pPr>
            <w:r>
              <w:rPr>
                <w:rFonts w:hint="eastAsia" w:eastAsia="宋体" w:cs="黑体"/>
                <w:color w:val="auto"/>
                <w:spacing w:val="3"/>
                <w:sz w:val="24"/>
                <w:szCs w:val="24"/>
                <w:lang w:eastAsia="zh-CN"/>
              </w:rPr>
              <w:t>清洁，触点接触良好，接线可靠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shd w:val="clear" w:color="auto" w:fill="auto"/>
          </w:tcPr>
          <w:p>
            <w:pPr>
              <w:pStyle w:val="32"/>
              <w:spacing w:before="96" w:line="269" w:lineRule="exact"/>
              <w:ind w:left="256"/>
              <w:rPr>
                <w:rFonts w:eastAsia="宋体" w:cs="黑体"/>
                <w:color w:val="auto"/>
                <w:sz w:val="24"/>
                <w:szCs w:val="24"/>
              </w:rPr>
            </w:pPr>
            <w:r>
              <w:rPr>
                <w:rFonts w:hint="eastAsia" w:eastAsia="宋体" w:cs="黑体"/>
                <w:color w:val="auto"/>
                <w:spacing w:val="-2"/>
                <w:position w:val="1"/>
                <w:sz w:val="24"/>
                <w:szCs w:val="24"/>
              </w:rPr>
              <w:t>29</w:t>
            </w:r>
          </w:p>
        </w:tc>
        <w:tc>
          <w:tcPr>
            <w:tcW w:w="3567" w:type="dxa"/>
            <w:shd w:val="clear" w:color="auto" w:fill="auto"/>
          </w:tcPr>
          <w:p>
            <w:pPr>
              <w:pStyle w:val="32"/>
              <w:spacing w:before="96" w:line="228" w:lineRule="auto"/>
              <w:ind w:left="100"/>
              <w:rPr>
                <w:rFonts w:eastAsia="宋体" w:cs="黑体"/>
                <w:color w:val="auto"/>
                <w:sz w:val="24"/>
                <w:szCs w:val="24"/>
                <w:lang w:eastAsia="zh-CN"/>
              </w:rPr>
            </w:pPr>
            <w:r>
              <w:rPr>
                <w:rFonts w:hint="eastAsia" w:eastAsia="宋体" w:cs="黑体"/>
                <w:color w:val="auto"/>
                <w:spacing w:val="3"/>
                <w:sz w:val="24"/>
                <w:szCs w:val="24"/>
                <w:lang w:eastAsia="zh-CN"/>
              </w:rPr>
              <w:t>层门锁紧元件啮合长度</w:t>
            </w:r>
          </w:p>
        </w:tc>
        <w:tc>
          <w:tcPr>
            <w:tcW w:w="5267" w:type="dxa"/>
            <w:shd w:val="clear" w:color="auto" w:fill="auto"/>
          </w:tcPr>
          <w:p>
            <w:pPr>
              <w:pStyle w:val="32"/>
              <w:spacing w:before="96" w:line="230" w:lineRule="auto"/>
              <w:ind w:left="112"/>
              <w:rPr>
                <w:rFonts w:eastAsia="宋体" w:cs="黑体"/>
                <w:color w:val="auto"/>
                <w:sz w:val="24"/>
                <w:szCs w:val="24"/>
              </w:rPr>
            </w:pPr>
            <w:r>
              <w:rPr>
                <w:rFonts w:hint="eastAsia" w:eastAsia="宋体" w:cs="黑体"/>
                <w:color w:val="auto"/>
                <w:spacing w:val="15"/>
                <w:sz w:val="24"/>
                <w:szCs w:val="24"/>
              </w:rPr>
              <w:t>不小于7</w:t>
            </w:r>
            <w:r>
              <w:rPr>
                <w:rFonts w:hint="eastAsia" w:eastAsia="宋体" w:cs="黑体"/>
                <w:color w:val="auto"/>
                <w:sz w:val="24"/>
                <w:szCs w:val="24"/>
              </w:rPr>
              <w:t>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shd w:val="clear" w:color="auto" w:fill="auto"/>
          </w:tcPr>
          <w:p>
            <w:pPr>
              <w:pStyle w:val="32"/>
              <w:spacing w:before="239" w:line="268" w:lineRule="exact"/>
              <w:ind w:left="258"/>
              <w:rPr>
                <w:rFonts w:eastAsia="宋体" w:cs="黑体"/>
                <w:color w:val="auto"/>
                <w:sz w:val="24"/>
                <w:szCs w:val="24"/>
              </w:rPr>
            </w:pPr>
            <w:r>
              <w:rPr>
                <w:rFonts w:hint="eastAsia" w:eastAsia="宋体" w:cs="黑体"/>
                <w:color w:val="auto"/>
                <w:spacing w:val="-3"/>
                <w:position w:val="1"/>
                <w:sz w:val="24"/>
                <w:szCs w:val="24"/>
              </w:rPr>
              <w:t>30</w:t>
            </w:r>
          </w:p>
        </w:tc>
        <w:tc>
          <w:tcPr>
            <w:tcW w:w="3567" w:type="dxa"/>
            <w:shd w:val="clear" w:color="auto" w:fill="auto"/>
          </w:tcPr>
          <w:p>
            <w:pPr>
              <w:pStyle w:val="32"/>
              <w:spacing w:before="239" w:line="228" w:lineRule="auto"/>
              <w:ind w:left="99"/>
              <w:rPr>
                <w:rFonts w:eastAsia="宋体" w:cs="黑体"/>
                <w:color w:val="auto"/>
                <w:sz w:val="24"/>
                <w:szCs w:val="24"/>
              </w:rPr>
            </w:pPr>
            <w:r>
              <w:rPr>
                <w:rFonts w:hint="eastAsia" w:eastAsia="宋体" w:cs="黑体"/>
                <w:color w:val="auto"/>
                <w:spacing w:val="3"/>
                <w:sz w:val="24"/>
                <w:szCs w:val="24"/>
              </w:rPr>
              <w:t>底坑环境</w:t>
            </w:r>
          </w:p>
        </w:tc>
        <w:tc>
          <w:tcPr>
            <w:tcW w:w="5267" w:type="dxa"/>
            <w:shd w:val="clear" w:color="auto" w:fill="auto"/>
          </w:tcPr>
          <w:p>
            <w:pPr>
              <w:pStyle w:val="32"/>
              <w:spacing w:before="102" w:line="254" w:lineRule="auto"/>
              <w:ind w:left="110" w:right="91" w:hanging="1"/>
              <w:rPr>
                <w:rFonts w:eastAsia="宋体" w:cs="黑体"/>
                <w:color w:val="auto"/>
                <w:sz w:val="24"/>
                <w:szCs w:val="24"/>
                <w:lang w:eastAsia="zh-CN"/>
              </w:rPr>
            </w:pPr>
            <w:r>
              <w:rPr>
                <w:rFonts w:hint="eastAsia" w:eastAsia="宋体" w:cs="黑体"/>
                <w:color w:val="auto"/>
                <w:spacing w:val="2"/>
                <w:sz w:val="24"/>
                <w:szCs w:val="24"/>
                <w:lang w:eastAsia="zh-CN"/>
              </w:rPr>
              <w:t>清洁，无渗水、积水，照明正常（甲方负责确保底</w:t>
            </w:r>
            <w:r>
              <w:rPr>
                <w:rFonts w:hint="eastAsia" w:eastAsia="宋体" w:cs="黑体"/>
                <w:color w:val="auto"/>
                <w:spacing w:val="1"/>
                <w:sz w:val="24"/>
                <w:szCs w:val="24"/>
                <w:lang w:eastAsia="zh-CN"/>
              </w:rPr>
              <w:t>坑干燥</w:t>
            </w:r>
            <w:r>
              <w:rPr>
                <w:rFonts w:hint="eastAsia" w:eastAsia="宋体" w:cs="黑体"/>
                <w:color w:val="auto"/>
                <w:spacing w:val="2"/>
                <w:sz w:val="24"/>
                <w:szCs w:val="24"/>
                <w:lang w:eastAsia="zh-CN"/>
              </w:rPr>
              <w:t>无渗水、无积水）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0" w:type="dxa"/>
            <w:shd w:val="clear" w:color="auto" w:fill="auto"/>
          </w:tcPr>
          <w:p>
            <w:pPr>
              <w:pStyle w:val="32"/>
              <w:spacing w:before="107" w:line="269" w:lineRule="exact"/>
              <w:ind w:left="258"/>
              <w:rPr>
                <w:rFonts w:eastAsia="宋体" w:cs="黑体"/>
                <w:color w:val="auto"/>
                <w:sz w:val="24"/>
                <w:szCs w:val="24"/>
              </w:rPr>
            </w:pPr>
            <w:r>
              <w:rPr>
                <w:rFonts w:hint="eastAsia" w:eastAsia="宋体" w:cs="黑体"/>
                <w:color w:val="auto"/>
                <w:spacing w:val="-3"/>
                <w:position w:val="1"/>
                <w:sz w:val="24"/>
                <w:szCs w:val="24"/>
              </w:rPr>
              <w:t>31</w:t>
            </w:r>
          </w:p>
        </w:tc>
        <w:tc>
          <w:tcPr>
            <w:tcW w:w="3567" w:type="dxa"/>
            <w:shd w:val="clear" w:color="auto" w:fill="auto"/>
          </w:tcPr>
          <w:p>
            <w:pPr>
              <w:pStyle w:val="32"/>
              <w:spacing w:before="108" w:line="228" w:lineRule="auto"/>
              <w:ind w:left="99"/>
              <w:rPr>
                <w:rFonts w:eastAsia="宋体" w:cs="黑体"/>
                <w:color w:val="auto"/>
                <w:sz w:val="24"/>
                <w:szCs w:val="24"/>
              </w:rPr>
            </w:pPr>
            <w:r>
              <w:rPr>
                <w:rFonts w:hint="eastAsia" w:eastAsia="宋体" w:cs="黑体"/>
                <w:color w:val="auto"/>
                <w:spacing w:val="3"/>
                <w:sz w:val="24"/>
                <w:szCs w:val="24"/>
              </w:rPr>
              <w:t>底坑停止装置</w:t>
            </w:r>
          </w:p>
        </w:tc>
        <w:tc>
          <w:tcPr>
            <w:tcW w:w="5267" w:type="dxa"/>
            <w:shd w:val="clear" w:color="auto" w:fill="auto"/>
          </w:tcPr>
          <w:p>
            <w:pPr>
              <w:pStyle w:val="32"/>
              <w:spacing w:before="108" w:line="228" w:lineRule="auto"/>
              <w:ind w:left="111"/>
              <w:rPr>
                <w:rFonts w:eastAsia="宋体" w:cs="黑体"/>
                <w:color w:val="auto"/>
                <w:sz w:val="24"/>
                <w:szCs w:val="24"/>
              </w:rPr>
            </w:pPr>
            <w:r>
              <w:rPr>
                <w:rFonts w:hint="eastAsia" w:eastAsia="宋体" w:cs="黑体"/>
                <w:color w:val="auto"/>
                <w:spacing w:val="2"/>
                <w:sz w:val="24"/>
                <w:szCs w:val="24"/>
              </w:rPr>
              <w:t>工作正常</w:t>
            </w:r>
          </w:p>
        </w:tc>
      </w:tr>
    </w:tbl>
    <w:p/>
    <w:p>
      <w:pPr>
        <w:pStyle w:val="5"/>
      </w:pPr>
      <w:r>
        <w:rPr>
          <w:rFonts w:hint="eastAsia"/>
        </w:rPr>
        <w:t>电梯运维期内维保项目要求</w:t>
      </w:r>
    </w:p>
    <w:tbl>
      <w:tblPr>
        <w:tblStyle w:val="31"/>
        <w:tblW w:w="93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7"/>
        <w:gridCol w:w="3689"/>
        <w:gridCol w:w="4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727" w:type="dxa"/>
            <w:tcBorders>
              <w:top w:val="single" w:color="000000" w:sz="10" w:space="0"/>
              <w:left w:val="single" w:color="000000" w:sz="10" w:space="0"/>
            </w:tcBorders>
          </w:tcPr>
          <w:p>
            <w:pPr>
              <w:pStyle w:val="32"/>
              <w:spacing w:before="98" w:line="229" w:lineRule="auto"/>
              <w:ind w:left="151"/>
              <w:rPr>
                <w:rFonts w:eastAsia="宋体" w:cs="黑体"/>
                <w:color w:val="auto"/>
                <w:sz w:val="24"/>
                <w:szCs w:val="24"/>
              </w:rPr>
            </w:pPr>
            <w:r>
              <w:rPr>
                <w:rFonts w:hint="eastAsia" w:eastAsia="宋体" w:cs="黑体"/>
                <w:color w:val="auto"/>
                <w:spacing w:val="2"/>
                <w:sz w:val="24"/>
                <w:szCs w:val="24"/>
              </w:rPr>
              <w:t>序号</w:t>
            </w:r>
          </w:p>
        </w:tc>
        <w:tc>
          <w:tcPr>
            <w:tcW w:w="3689" w:type="dxa"/>
            <w:tcBorders>
              <w:top w:val="single" w:color="000000" w:sz="10" w:space="0"/>
            </w:tcBorders>
          </w:tcPr>
          <w:p>
            <w:pPr>
              <w:pStyle w:val="32"/>
              <w:spacing w:before="97" w:line="228" w:lineRule="auto"/>
              <w:ind w:left="1032"/>
              <w:rPr>
                <w:rFonts w:eastAsia="宋体" w:cs="黑体"/>
                <w:color w:val="auto"/>
                <w:sz w:val="24"/>
                <w:szCs w:val="24"/>
              </w:rPr>
            </w:pPr>
            <w:r>
              <w:rPr>
                <w:rFonts w:hint="eastAsia" w:eastAsia="宋体" w:cs="黑体"/>
                <w:color w:val="auto"/>
                <w:spacing w:val="2"/>
                <w:sz w:val="24"/>
                <w:szCs w:val="24"/>
              </w:rPr>
              <w:t>维保项目（内容）</w:t>
            </w:r>
          </w:p>
        </w:tc>
        <w:tc>
          <w:tcPr>
            <w:tcW w:w="4917" w:type="dxa"/>
            <w:tcBorders>
              <w:top w:val="single" w:color="000000" w:sz="10" w:space="0"/>
              <w:right w:val="single" w:color="000000" w:sz="10" w:space="0"/>
            </w:tcBorders>
          </w:tcPr>
          <w:p>
            <w:pPr>
              <w:pStyle w:val="32"/>
              <w:spacing w:before="98" w:line="227" w:lineRule="auto"/>
              <w:ind w:left="1852"/>
              <w:rPr>
                <w:rFonts w:eastAsia="宋体" w:cs="黑体"/>
                <w:color w:val="auto"/>
                <w:sz w:val="24"/>
                <w:szCs w:val="24"/>
              </w:rPr>
            </w:pPr>
            <w:r>
              <w:rPr>
                <w:rFonts w:hint="eastAsia" w:eastAsia="宋体" w:cs="黑体"/>
                <w:color w:val="auto"/>
                <w:spacing w:val="2"/>
                <w:sz w:val="24"/>
                <w:szCs w:val="24"/>
              </w:rPr>
              <w:t>维保基本要求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93" w:line="270" w:lineRule="exact"/>
              <w:ind w:left="319"/>
              <w:rPr>
                <w:rFonts w:eastAsia="宋体" w:cs="黑体"/>
                <w:color w:val="auto"/>
                <w:sz w:val="24"/>
                <w:szCs w:val="24"/>
              </w:rPr>
            </w:pPr>
            <w:r>
              <w:rPr>
                <w:rFonts w:hint="eastAsia" w:eastAsia="宋体" w:cs="黑体"/>
                <w:color w:val="auto"/>
                <w:position w:val="1"/>
                <w:sz w:val="24"/>
                <w:szCs w:val="24"/>
              </w:rPr>
              <w:t>1</w:t>
            </w:r>
          </w:p>
        </w:tc>
        <w:tc>
          <w:tcPr>
            <w:tcW w:w="3689" w:type="dxa"/>
          </w:tcPr>
          <w:p>
            <w:pPr>
              <w:pStyle w:val="32"/>
              <w:spacing w:before="92" w:line="227" w:lineRule="auto"/>
              <w:ind w:left="100"/>
              <w:rPr>
                <w:rFonts w:eastAsia="宋体" w:cs="黑体"/>
                <w:color w:val="auto"/>
                <w:sz w:val="24"/>
                <w:szCs w:val="24"/>
              </w:rPr>
            </w:pPr>
            <w:r>
              <w:rPr>
                <w:rFonts w:hint="eastAsia" w:eastAsia="宋体" w:cs="黑体"/>
                <w:color w:val="auto"/>
                <w:spacing w:val="3"/>
                <w:sz w:val="24"/>
                <w:szCs w:val="24"/>
              </w:rPr>
              <w:t>减速机润滑油</w:t>
            </w:r>
          </w:p>
        </w:tc>
        <w:tc>
          <w:tcPr>
            <w:tcW w:w="4917" w:type="dxa"/>
            <w:tcBorders>
              <w:right w:val="single" w:color="000000" w:sz="10" w:space="0"/>
            </w:tcBorders>
          </w:tcPr>
          <w:p>
            <w:pPr>
              <w:pStyle w:val="32"/>
              <w:spacing w:before="92" w:line="228" w:lineRule="auto"/>
              <w:ind w:left="115"/>
              <w:rPr>
                <w:rFonts w:eastAsia="宋体" w:cs="黑体"/>
                <w:color w:val="auto"/>
                <w:sz w:val="24"/>
                <w:szCs w:val="24"/>
                <w:lang w:eastAsia="zh-CN"/>
              </w:rPr>
            </w:pPr>
            <w:r>
              <w:rPr>
                <w:rFonts w:hint="eastAsia" w:eastAsia="宋体" w:cs="黑体"/>
                <w:color w:val="auto"/>
                <w:spacing w:val="3"/>
                <w:sz w:val="24"/>
                <w:szCs w:val="24"/>
                <w:lang w:eastAsia="zh-CN"/>
              </w:rPr>
              <w:t>油量适宜，除蜗杆伸出端外均无渗漏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93" w:line="270" w:lineRule="exact"/>
              <w:ind w:left="306"/>
              <w:rPr>
                <w:rFonts w:eastAsia="宋体" w:cs="黑体"/>
                <w:color w:val="auto"/>
                <w:sz w:val="24"/>
                <w:szCs w:val="24"/>
              </w:rPr>
            </w:pPr>
            <w:r>
              <w:rPr>
                <w:rFonts w:hint="eastAsia" w:eastAsia="宋体" w:cs="黑体"/>
                <w:color w:val="auto"/>
                <w:position w:val="1"/>
                <w:sz w:val="24"/>
                <w:szCs w:val="24"/>
              </w:rPr>
              <w:t>2</w:t>
            </w:r>
          </w:p>
        </w:tc>
        <w:tc>
          <w:tcPr>
            <w:tcW w:w="3689" w:type="dxa"/>
          </w:tcPr>
          <w:p>
            <w:pPr>
              <w:pStyle w:val="32"/>
              <w:spacing w:before="93" w:line="228" w:lineRule="auto"/>
              <w:ind w:left="101"/>
              <w:rPr>
                <w:rFonts w:eastAsia="宋体" w:cs="黑体"/>
                <w:color w:val="auto"/>
                <w:sz w:val="24"/>
                <w:szCs w:val="24"/>
              </w:rPr>
            </w:pPr>
            <w:r>
              <w:rPr>
                <w:rFonts w:hint="eastAsia" w:eastAsia="宋体" w:cs="黑体"/>
                <w:color w:val="auto"/>
                <w:spacing w:val="2"/>
                <w:sz w:val="24"/>
                <w:szCs w:val="24"/>
              </w:rPr>
              <w:t>制动衬</w:t>
            </w:r>
          </w:p>
        </w:tc>
        <w:tc>
          <w:tcPr>
            <w:tcW w:w="4917" w:type="dxa"/>
            <w:tcBorders>
              <w:right w:val="single" w:color="000000" w:sz="10" w:space="0"/>
            </w:tcBorders>
          </w:tcPr>
          <w:p>
            <w:pPr>
              <w:pStyle w:val="32"/>
              <w:spacing w:before="93" w:line="228" w:lineRule="auto"/>
              <w:ind w:left="112"/>
              <w:rPr>
                <w:rFonts w:eastAsia="宋体" w:cs="黑体"/>
                <w:color w:val="auto"/>
                <w:sz w:val="24"/>
                <w:szCs w:val="24"/>
                <w:lang w:eastAsia="zh-CN"/>
              </w:rPr>
            </w:pPr>
            <w:r>
              <w:rPr>
                <w:rFonts w:hint="eastAsia" w:eastAsia="宋体" w:cs="黑体"/>
                <w:color w:val="auto"/>
                <w:spacing w:val="3"/>
                <w:sz w:val="24"/>
                <w:szCs w:val="24"/>
                <w:lang w:eastAsia="zh-CN"/>
              </w:rPr>
              <w:t>清洁，磨损量不超过制造单位要求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96" w:line="268" w:lineRule="exact"/>
              <w:ind w:left="307"/>
              <w:rPr>
                <w:rFonts w:eastAsia="宋体" w:cs="黑体"/>
                <w:color w:val="auto"/>
                <w:sz w:val="24"/>
                <w:szCs w:val="24"/>
              </w:rPr>
            </w:pPr>
            <w:r>
              <w:rPr>
                <w:rFonts w:hint="eastAsia" w:eastAsia="宋体" w:cs="黑体"/>
                <w:color w:val="auto"/>
                <w:position w:val="1"/>
                <w:sz w:val="24"/>
                <w:szCs w:val="24"/>
              </w:rPr>
              <w:t>3</w:t>
            </w:r>
          </w:p>
        </w:tc>
        <w:tc>
          <w:tcPr>
            <w:tcW w:w="3689" w:type="dxa"/>
          </w:tcPr>
          <w:p>
            <w:pPr>
              <w:pStyle w:val="32"/>
              <w:spacing w:before="95" w:line="228" w:lineRule="auto"/>
              <w:ind w:left="101"/>
              <w:rPr>
                <w:rFonts w:eastAsia="宋体" w:cs="黑体"/>
                <w:color w:val="auto"/>
                <w:sz w:val="24"/>
                <w:szCs w:val="24"/>
              </w:rPr>
            </w:pPr>
            <w:r>
              <w:rPr>
                <w:rFonts w:hint="eastAsia" w:eastAsia="宋体" w:cs="黑体"/>
                <w:color w:val="auto"/>
                <w:spacing w:val="2"/>
                <w:sz w:val="24"/>
                <w:szCs w:val="24"/>
              </w:rPr>
              <w:t>编码器</w:t>
            </w:r>
          </w:p>
        </w:tc>
        <w:tc>
          <w:tcPr>
            <w:tcW w:w="4917" w:type="dxa"/>
            <w:tcBorders>
              <w:right w:val="single" w:color="000000" w:sz="10" w:space="0"/>
            </w:tcBorders>
          </w:tcPr>
          <w:p>
            <w:pPr>
              <w:pStyle w:val="32"/>
              <w:spacing w:before="96" w:line="228" w:lineRule="auto"/>
              <w:ind w:left="114"/>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99" w:line="270" w:lineRule="exact"/>
              <w:ind w:left="302"/>
              <w:rPr>
                <w:rFonts w:eastAsia="宋体" w:cs="黑体"/>
                <w:color w:val="auto"/>
                <w:sz w:val="24"/>
                <w:szCs w:val="24"/>
              </w:rPr>
            </w:pPr>
            <w:r>
              <w:rPr>
                <w:rFonts w:hint="eastAsia" w:eastAsia="宋体" w:cs="黑体"/>
                <w:color w:val="auto"/>
                <w:position w:val="1"/>
                <w:sz w:val="24"/>
                <w:szCs w:val="24"/>
              </w:rPr>
              <w:t>4</w:t>
            </w:r>
          </w:p>
        </w:tc>
        <w:tc>
          <w:tcPr>
            <w:tcW w:w="3689" w:type="dxa"/>
          </w:tcPr>
          <w:p>
            <w:pPr>
              <w:pStyle w:val="32"/>
              <w:spacing w:before="98" w:line="227" w:lineRule="auto"/>
              <w:ind w:left="99"/>
              <w:rPr>
                <w:rFonts w:eastAsia="宋体" w:cs="黑体"/>
                <w:color w:val="auto"/>
                <w:sz w:val="24"/>
                <w:szCs w:val="24"/>
              </w:rPr>
            </w:pPr>
            <w:r>
              <w:rPr>
                <w:rFonts w:hint="eastAsia" w:eastAsia="宋体" w:cs="黑体"/>
                <w:color w:val="auto"/>
                <w:spacing w:val="3"/>
                <w:sz w:val="24"/>
                <w:szCs w:val="24"/>
              </w:rPr>
              <w:t>选层器动静触点</w:t>
            </w:r>
          </w:p>
        </w:tc>
        <w:tc>
          <w:tcPr>
            <w:tcW w:w="4917" w:type="dxa"/>
            <w:tcBorders>
              <w:right w:val="single" w:color="000000" w:sz="10" w:space="0"/>
            </w:tcBorders>
          </w:tcPr>
          <w:p>
            <w:pPr>
              <w:pStyle w:val="32"/>
              <w:spacing w:before="98" w:line="227" w:lineRule="auto"/>
              <w:ind w:left="112"/>
              <w:rPr>
                <w:rFonts w:eastAsia="宋体" w:cs="黑体"/>
                <w:color w:val="auto"/>
                <w:sz w:val="24"/>
                <w:szCs w:val="24"/>
              </w:rPr>
            </w:pPr>
            <w:r>
              <w:rPr>
                <w:rFonts w:hint="eastAsia" w:eastAsia="宋体" w:cs="黑体"/>
                <w:color w:val="auto"/>
                <w:spacing w:val="3"/>
                <w:sz w:val="24"/>
                <w:szCs w:val="24"/>
              </w:rPr>
              <w:t>清洁，无烧蚀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99" w:line="268" w:lineRule="exact"/>
              <w:ind w:left="307"/>
              <w:rPr>
                <w:rFonts w:eastAsia="宋体" w:cs="黑体"/>
                <w:color w:val="auto"/>
                <w:sz w:val="24"/>
                <w:szCs w:val="24"/>
              </w:rPr>
            </w:pPr>
            <w:r>
              <w:rPr>
                <w:rFonts w:hint="eastAsia" w:eastAsia="宋体" w:cs="黑体"/>
                <w:color w:val="auto"/>
                <w:position w:val="1"/>
                <w:sz w:val="24"/>
                <w:szCs w:val="24"/>
              </w:rPr>
              <w:t>5</w:t>
            </w:r>
          </w:p>
        </w:tc>
        <w:tc>
          <w:tcPr>
            <w:tcW w:w="3689" w:type="dxa"/>
          </w:tcPr>
          <w:p>
            <w:pPr>
              <w:pStyle w:val="32"/>
              <w:spacing w:before="99" w:line="228" w:lineRule="auto"/>
              <w:ind w:left="106"/>
              <w:rPr>
                <w:rFonts w:eastAsia="宋体" w:cs="黑体"/>
                <w:color w:val="auto"/>
                <w:sz w:val="24"/>
                <w:szCs w:val="24"/>
              </w:rPr>
            </w:pPr>
            <w:r>
              <w:rPr>
                <w:rFonts w:hint="eastAsia" w:eastAsia="宋体" w:cs="黑体"/>
                <w:color w:val="auto"/>
                <w:spacing w:val="2"/>
                <w:sz w:val="24"/>
                <w:szCs w:val="24"/>
              </w:rPr>
              <w:t>曳引轮槽、悬挂装置</w:t>
            </w:r>
          </w:p>
        </w:tc>
        <w:tc>
          <w:tcPr>
            <w:tcW w:w="4917" w:type="dxa"/>
            <w:tcBorders>
              <w:right w:val="single" w:color="000000" w:sz="10" w:space="0"/>
            </w:tcBorders>
          </w:tcPr>
          <w:p>
            <w:pPr>
              <w:pStyle w:val="32"/>
              <w:spacing w:before="99" w:line="228" w:lineRule="auto"/>
              <w:ind w:left="112"/>
              <w:rPr>
                <w:rFonts w:eastAsia="宋体" w:cs="黑体"/>
                <w:color w:val="auto"/>
                <w:sz w:val="24"/>
                <w:szCs w:val="24"/>
                <w:lang w:eastAsia="zh-CN"/>
              </w:rPr>
            </w:pPr>
            <w:r>
              <w:rPr>
                <w:rFonts w:hint="eastAsia" w:eastAsia="宋体" w:cs="黑体"/>
                <w:color w:val="auto"/>
                <w:spacing w:val="3"/>
                <w:sz w:val="24"/>
                <w:szCs w:val="24"/>
                <w:lang w:eastAsia="zh-CN"/>
              </w:rPr>
              <w:t>清洁，无严重油腻，张力均匀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102" w:line="268" w:lineRule="exact"/>
              <w:ind w:left="305"/>
              <w:rPr>
                <w:rFonts w:eastAsia="宋体" w:cs="黑体"/>
                <w:color w:val="auto"/>
                <w:sz w:val="24"/>
                <w:szCs w:val="24"/>
              </w:rPr>
            </w:pPr>
            <w:r>
              <w:rPr>
                <w:rFonts w:hint="eastAsia" w:eastAsia="宋体" w:cs="黑体"/>
                <w:color w:val="auto"/>
                <w:position w:val="1"/>
                <w:sz w:val="24"/>
                <w:szCs w:val="24"/>
              </w:rPr>
              <w:t>6</w:t>
            </w:r>
          </w:p>
        </w:tc>
        <w:tc>
          <w:tcPr>
            <w:tcW w:w="3689" w:type="dxa"/>
          </w:tcPr>
          <w:p>
            <w:pPr>
              <w:pStyle w:val="32"/>
              <w:spacing w:before="101" w:line="228" w:lineRule="auto"/>
              <w:ind w:left="114"/>
              <w:rPr>
                <w:rFonts w:eastAsia="宋体" w:cs="黑体"/>
                <w:color w:val="auto"/>
                <w:sz w:val="24"/>
                <w:szCs w:val="24"/>
                <w:lang w:eastAsia="zh-CN"/>
              </w:rPr>
            </w:pPr>
            <w:r>
              <w:rPr>
                <w:rFonts w:hint="eastAsia" w:eastAsia="宋体" w:cs="黑体"/>
                <w:color w:val="auto"/>
                <w:spacing w:val="2"/>
                <w:sz w:val="24"/>
                <w:szCs w:val="24"/>
                <w:lang w:eastAsia="zh-CN"/>
              </w:rPr>
              <w:t>限速器轮槽、限速器钢丝绳</w:t>
            </w:r>
          </w:p>
        </w:tc>
        <w:tc>
          <w:tcPr>
            <w:tcW w:w="4917" w:type="dxa"/>
            <w:tcBorders>
              <w:right w:val="single" w:color="000000" w:sz="10" w:space="0"/>
            </w:tcBorders>
          </w:tcPr>
          <w:p>
            <w:pPr>
              <w:pStyle w:val="32"/>
              <w:spacing w:before="101" w:line="228" w:lineRule="auto"/>
              <w:ind w:left="112"/>
              <w:rPr>
                <w:rFonts w:eastAsia="宋体" w:cs="黑体"/>
                <w:color w:val="auto"/>
                <w:sz w:val="24"/>
                <w:szCs w:val="24"/>
              </w:rPr>
            </w:pPr>
            <w:r>
              <w:rPr>
                <w:rFonts w:hint="eastAsia" w:eastAsia="宋体" w:cs="黑体"/>
                <w:color w:val="auto"/>
                <w:spacing w:val="3"/>
                <w:sz w:val="24"/>
                <w:szCs w:val="24"/>
              </w:rPr>
              <w:t>清洁，无严重油腻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105" w:line="268" w:lineRule="exact"/>
              <w:ind w:left="308"/>
              <w:rPr>
                <w:rFonts w:eastAsia="宋体" w:cs="黑体"/>
                <w:color w:val="auto"/>
                <w:sz w:val="24"/>
                <w:szCs w:val="24"/>
              </w:rPr>
            </w:pPr>
            <w:r>
              <w:rPr>
                <w:rFonts w:hint="eastAsia" w:eastAsia="宋体" w:cs="黑体"/>
                <w:color w:val="auto"/>
                <w:position w:val="1"/>
                <w:sz w:val="24"/>
                <w:szCs w:val="24"/>
              </w:rPr>
              <w:t>7</w:t>
            </w:r>
          </w:p>
        </w:tc>
        <w:tc>
          <w:tcPr>
            <w:tcW w:w="3689" w:type="dxa"/>
          </w:tcPr>
          <w:p>
            <w:pPr>
              <w:pStyle w:val="32"/>
              <w:spacing w:before="104" w:line="228" w:lineRule="auto"/>
              <w:ind w:left="101"/>
              <w:rPr>
                <w:rFonts w:eastAsia="宋体" w:cs="黑体"/>
                <w:color w:val="auto"/>
                <w:sz w:val="24"/>
                <w:szCs w:val="24"/>
              </w:rPr>
            </w:pPr>
            <w:r>
              <w:rPr>
                <w:rFonts w:hint="eastAsia" w:eastAsia="宋体" w:cs="黑体"/>
                <w:color w:val="auto"/>
                <w:spacing w:val="2"/>
                <w:sz w:val="24"/>
                <w:szCs w:val="24"/>
              </w:rPr>
              <w:t>靴衬、滚轮</w:t>
            </w:r>
          </w:p>
        </w:tc>
        <w:tc>
          <w:tcPr>
            <w:tcW w:w="4917" w:type="dxa"/>
            <w:tcBorders>
              <w:right w:val="single" w:color="000000" w:sz="10" w:space="0"/>
            </w:tcBorders>
          </w:tcPr>
          <w:p>
            <w:pPr>
              <w:pStyle w:val="32"/>
              <w:spacing w:before="105" w:line="228" w:lineRule="auto"/>
              <w:ind w:left="112"/>
              <w:rPr>
                <w:rFonts w:eastAsia="宋体" w:cs="黑体"/>
                <w:color w:val="auto"/>
                <w:sz w:val="24"/>
                <w:szCs w:val="24"/>
                <w:lang w:eastAsia="zh-CN"/>
              </w:rPr>
            </w:pPr>
            <w:r>
              <w:rPr>
                <w:rFonts w:hint="eastAsia" w:eastAsia="宋体" w:cs="黑体"/>
                <w:color w:val="auto"/>
                <w:spacing w:val="3"/>
                <w:sz w:val="24"/>
                <w:szCs w:val="24"/>
                <w:lang w:eastAsia="zh-CN"/>
              </w:rPr>
              <w:t>清洁，磨损量不超过制造单位要求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105" w:line="268" w:lineRule="exact"/>
              <w:ind w:left="304"/>
              <w:rPr>
                <w:rFonts w:eastAsia="宋体" w:cs="黑体"/>
                <w:color w:val="auto"/>
                <w:sz w:val="24"/>
                <w:szCs w:val="24"/>
              </w:rPr>
            </w:pPr>
            <w:r>
              <w:rPr>
                <w:rFonts w:hint="eastAsia" w:eastAsia="宋体" w:cs="黑体"/>
                <w:color w:val="auto"/>
                <w:position w:val="1"/>
                <w:sz w:val="24"/>
                <w:szCs w:val="24"/>
              </w:rPr>
              <w:t>8</w:t>
            </w:r>
          </w:p>
        </w:tc>
        <w:tc>
          <w:tcPr>
            <w:tcW w:w="3689" w:type="dxa"/>
          </w:tcPr>
          <w:p>
            <w:pPr>
              <w:pStyle w:val="32"/>
              <w:spacing w:before="105" w:line="228" w:lineRule="auto"/>
              <w:ind w:left="99"/>
              <w:rPr>
                <w:rFonts w:eastAsia="宋体" w:cs="黑体"/>
                <w:color w:val="auto"/>
                <w:sz w:val="24"/>
                <w:szCs w:val="24"/>
                <w:lang w:eastAsia="zh-CN"/>
              </w:rPr>
            </w:pPr>
            <w:r>
              <w:rPr>
                <w:rFonts w:hint="eastAsia" w:eastAsia="宋体" w:cs="黑体"/>
                <w:color w:val="auto"/>
                <w:spacing w:val="3"/>
                <w:sz w:val="24"/>
                <w:szCs w:val="24"/>
                <w:lang w:eastAsia="zh-CN"/>
              </w:rPr>
              <w:t>验证轿门关闭的电气安全装置</w:t>
            </w:r>
          </w:p>
        </w:tc>
        <w:tc>
          <w:tcPr>
            <w:tcW w:w="4917" w:type="dxa"/>
            <w:tcBorders>
              <w:right w:val="single" w:color="000000" w:sz="10" w:space="0"/>
            </w:tcBorders>
          </w:tcPr>
          <w:p>
            <w:pPr>
              <w:pStyle w:val="32"/>
              <w:spacing w:before="105" w:line="228" w:lineRule="auto"/>
              <w:ind w:left="114"/>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727" w:type="dxa"/>
            <w:tcBorders>
              <w:left w:val="single" w:color="000000" w:sz="10" w:space="0"/>
            </w:tcBorders>
          </w:tcPr>
          <w:p>
            <w:pPr>
              <w:pStyle w:val="32"/>
              <w:spacing w:before="180" w:line="268" w:lineRule="exact"/>
              <w:ind w:left="304"/>
              <w:rPr>
                <w:rFonts w:eastAsia="宋体" w:cs="黑体"/>
                <w:color w:val="auto"/>
                <w:sz w:val="24"/>
                <w:szCs w:val="24"/>
              </w:rPr>
            </w:pPr>
            <w:r>
              <w:rPr>
                <w:rFonts w:hint="eastAsia" w:eastAsia="宋体" w:cs="黑体"/>
                <w:color w:val="auto"/>
                <w:position w:val="1"/>
                <w:sz w:val="24"/>
                <w:szCs w:val="24"/>
              </w:rPr>
              <w:t>9</w:t>
            </w:r>
          </w:p>
        </w:tc>
        <w:tc>
          <w:tcPr>
            <w:tcW w:w="3689" w:type="dxa"/>
          </w:tcPr>
          <w:p>
            <w:pPr>
              <w:pStyle w:val="32"/>
              <w:spacing w:before="46" w:line="227" w:lineRule="auto"/>
              <w:ind w:left="98" w:right="134" w:firstLine="1"/>
              <w:rPr>
                <w:rFonts w:eastAsia="宋体" w:cs="黑体"/>
                <w:color w:val="auto"/>
                <w:sz w:val="24"/>
                <w:szCs w:val="24"/>
                <w:lang w:eastAsia="zh-CN"/>
              </w:rPr>
            </w:pPr>
            <w:r>
              <w:rPr>
                <w:rFonts w:hint="eastAsia" w:eastAsia="宋体" w:cs="黑体"/>
                <w:color w:val="auto"/>
                <w:spacing w:val="2"/>
                <w:sz w:val="24"/>
                <w:szCs w:val="24"/>
                <w:lang w:eastAsia="zh-CN"/>
              </w:rPr>
              <w:t>层门、轿门系统中传动钢丝绳、链条、</w:t>
            </w:r>
            <w:r>
              <w:rPr>
                <w:rFonts w:hint="eastAsia" w:eastAsia="宋体" w:cs="黑体"/>
                <w:color w:val="auto"/>
                <w:spacing w:val="3"/>
                <w:sz w:val="24"/>
                <w:szCs w:val="24"/>
                <w:lang w:eastAsia="zh-CN"/>
              </w:rPr>
              <w:t>传动带</w:t>
            </w:r>
          </w:p>
        </w:tc>
        <w:tc>
          <w:tcPr>
            <w:tcW w:w="4917" w:type="dxa"/>
            <w:tcBorders>
              <w:right w:val="single" w:color="000000" w:sz="10" w:space="0"/>
            </w:tcBorders>
          </w:tcPr>
          <w:p>
            <w:pPr>
              <w:pStyle w:val="32"/>
              <w:spacing w:before="179" w:line="228" w:lineRule="auto"/>
              <w:ind w:left="113"/>
              <w:rPr>
                <w:rFonts w:eastAsia="宋体" w:cs="黑体"/>
                <w:color w:val="auto"/>
                <w:sz w:val="24"/>
                <w:szCs w:val="24"/>
                <w:lang w:eastAsia="zh-CN"/>
              </w:rPr>
            </w:pPr>
            <w:r>
              <w:rPr>
                <w:rFonts w:hint="eastAsia" w:eastAsia="宋体" w:cs="黑体"/>
                <w:color w:val="auto"/>
                <w:spacing w:val="3"/>
                <w:sz w:val="24"/>
                <w:szCs w:val="24"/>
                <w:lang w:eastAsia="zh-CN"/>
              </w:rPr>
              <w:t>按照制造单位要求进行清洁、调整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727" w:type="dxa"/>
            <w:tcBorders>
              <w:left w:val="single" w:color="000000" w:sz="10" w:space="0"/>
            </w:tcBorders>
          </w:tcPr>
          <w:p>
            <w:pPr>
              <w:pStyle w:val="32"/>
              <w:spacing w:before="109" w:line="268" w:lineRule="exact"/>
              <w:ind w:left="268"/>
              <w:rPr>
                <w:rFonts w:eastAsia="宋体" w:cs="黑体"/>
                <w:color w:val="auto"/>
                <w:sz w:val="24"/>
                <w:szCs w:val="24"/>
              </w:rPr>
            </w:pPr>
            <w:r>
              <w:rPr>
                <w:rFonts w:hint="eastAsia" w:eastAsia="宋体" w:cs="黑体"/>
                <w:color w:val="auto"/>
                <w:spacing w:val="-8"/>
                <w:position w:val="1"/>
                <w:sz w:val="24"/>
                <w:szCs w:val="24"/>
              </w:rPr>
              <w:t>10</w:t>
            </w:r>
          </w:p>
        </w:tc>
        <w:tc>
          <w:tcPr>
            <w:tcW w:w="3689" w:type="dxa"/>
          </w:tcPr>
          <w:p>
            <w:pPr>
              <w:pStyle w:val="32"/>
              <w:spacing w:before="109" w:line="228" w:lineRule="auto"/>
              <w:ind w:left="100"/>
              <w:rPr>
                <w:rFonts w:eastAsia="宋体" w:cs="黑体"/>
                <w:color w:val="auto"/>
                <w:sz w:val="24"/>
                <w:szCs w:val="24"/>
              </w:rPr>
            </w:pPr>
            <w:r>
              <w:rPr>
                <w:rFonts w:hint="eastAsia" w:eastAsia="宋体" w:cs="黑体"/>
                <w:color w:val="auto"/>
                <w:spacing w:val="2"/>
                <w:sz w:val="24"/>
                <w:szCs w:val="24"/>
              </w:rPr>
              <w:t>层</w:t>
            </w:r>
            <w:r>
              <w:rPr>
                <w:rFonts w:hint="eastAsia" w:eastAsia="宋体" w:cs="黑体"/>
                <w:color w:val="auto"/>
                <w:spacing w:val="2"/>
                <w:sz w:val="24"/>
                <w:szCs w:val="24"/>
                <w:lang w:eastAsia="zh-CN"/>
              </w:rPr>
              <w:t>门</w:t>
            </w:r>
            <w:r>
              <w:rPr>
                <w:rFonts w:hint="eastAsia" w:eastAsia="宋体" w:cs="黑体"/>
                <w:color w:val="auto"/>
                <w:spacing w:val="2"/>
                <w:sz w:val="24"/>
                <w:szCs w:val="24"/>
              </w:rPr>
              <w:t>导靴</w:t>
            </w:r>
          </w:p>
        </w:tc>
        <w:tc>
          <w:tcPr>
            <w:tcW w:w="4917" w:type="dxa"/>
            <w:tcBorders>
              <w:right w:val="single" w:color="000000" w:sz="10" w:space="0"/>
            </w:tcBorders>
          </w:tcPr>
          <w:p>
            <w:pPr>
              <w:pStyle w:val="32"/>
              <w:spacing w:before="109" w:line="228" w:lineRule="auto"/>
              <w:ind w:left="114"/>
              <w:rPr>
                <w:rFonts w:eastAsia="宋体" w:cs="黑体"/>
                <w:color w:val="auto"/>
                <w:sz w:val="24"/>
                <w:szCs w:val="24"/>
                <w:lang w:eastAsia="zh-CN"/>
              </w:rPr>
            </w:pPr>
            <w:r>
              <w:rPr>
                <w:rFonts w:hint="eastAsia" w:eastAsia="宋体" w:cs="黑体"/>
                <w:color w:val="auto"/>
                <w:spacing w:val="3"/>
                <w:sz w:val="24"/>
                <w:szCs w:val="24"/>
                <w:lang w:eastAsia="zh-CN"/>
              </w:rPr>
              <w:t>磨损量不超过制造单位要求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727" w:type="dxa"/>
            <w:tcBorders>
              <w:left w:val="single" w:color="000000" w:sz="10" w:space="0"/>
            </w:tcBorders>
          </w:tcPr>
          <w:p>
            <w:pPr>
              <w:pStyle w:val="32"/>
              <w:spacing w:before="112" w:line="270" w:lineRule="exact"/>
              <w:ind w:left="268"/>
              <w:rPr>
                <w:rFonts w:eastAsia="宋体" w:cs="黑体"/>
                <w:color w:val="auto"/>
                <w:sz w:val="24"/>
                <w:szCs w:val="24"/>
              </w:rPr>
            </w:pPr>
            <w:r>
              <w:rPr>
                <w:rFonts w:hint="eastAsia" w:eastAsia="宋体" w:cs="黑体"/>
                <w:color w:val="auto"/>
                <w:spacing w:val="-8"/>
                <w:position w:val="1"/>
                <w:sz w:val="24"/>
                <w:szCs w:val="24"/>
              </w:rPr>
              <w:t>11</w:t>
            </w:r>
          </w:p>
        </w:tc>
        <w:tc>
          <w:tcPr>
            <w:tcW w:w="3689" w:type="dxa"/>
          </w:tcPr>
          <w:p>
            <w:pPr>
              <w:pStyle w:val="32"/>
              <w:spacing w:before="112" w:line="228" w:lineRule="auto"/>
              <w:ind w:left="104"/>
              <w:rPr>
                <w:rFonts w:eastAsia="宋体" w:cs="黑体"/>
                <w:color w:val="auto"/>
                <w:sz w:val="24"/>
                <w:szCs w:val="24"/>
              </w:rPr>
            </w:pPr>
            <w:r>
              <w:rPr>
                <w:rFonts w:hint="eastAsia" w:eastAsia="宋体" w:cs="黑体"/>
                <w:color w:val="auto"/>
                <w:spacing w:val="2"/>
                <w:sz w:val="24"/>
                <w:szCs w:val="24"/>
              </w:rPr>
              <w:t>消防开关</w:t>
            </w:r>
          </w:p>
        </w:tc>
        <w:tc>
          <w:tcPr>
            <w:tcW w:w="4917" w:type="dxa"/>
            <w:tcBorders>
              <w:right w:val="single" w:color="000000" w:sz="10" w:space="0"/>
            </w:tcBorders>
          </w:tcPr>
          <w:p>
            <w:pPr>
              <w:pStyle w:val="32"/>
              <w:spacing w:before="112" w:line="228" w:lineRule="auto"/>
              <w:ind w:left="114"/>
              <w:rPr>
                <w:rFonts w:eastAsia="宋体" w:cs="黑体"/>
                <w:color w:val="auto"/>
                <w:sz w:val="24"/>
                <w:szCs w:val="24"/>
              </w:rPr>
            </w:pPr>
            <w:r>
              <w:rPr>
                <w:rFonts w:hint="eastAsia" w:eastAsia="宋体" w:cs="黑体"/>
                <w:color w:val="auto"/>
                <w:spacing w:val="3"/>
                <w:sz w:val="24"/>
                <w:szCs w:val="24"/>
              </w:rPr>
              <w:t>工作正常，功能有效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27" w:type="dxa"/>
            <w:tcBorders>
              <w:left w:val="single" w:color="000000" w:sz="10" w:space="0"/>
            </w:tcBorders>
          </w:tcPr>
          <w:p>
            <w:pPr>
              <w:pStyle w:val="32"/>
              <w:spacing w:before="217" w:line="270" w:lineRule="exact"/>
              <w:ind w:left="268"/>
              <w:rPr>
                <w:rFonts w:eastAsia="宋体" w:cs="黑体"/>
                <w:color w:val="auto"/>
                <w:sz w:val="24"/>
                <w:szCs w:val="24"/>
              </w:rPr>
            </w:pPr>
            <w:r>
              <w:rPr>
                <w:rFonts w:hint="eastAsia" w:eastAsia="宋体" w:cs="黑体"/>
                <w:color w:val="auto"/>
                <w:spacing w:val="-8"/>
                <w:position w:val="1"/>
                <w:sz w:val="24"/>
                <w:szCs w:val="24"/>
              </w:rPr>
              <w:t>12</w:t>
            </w:r>
          </w:p>
        </w:tc>
        <w:tc>
          <w:tcPr>
            <w:tcW w:w="3689" w:type="dxa"/>
          </w:tcPr>
          <w:p>
            <w:pPr>
              <w:pStyle w:val="32"/>
              <w:spacing w:before="216" w:line="228" w:lineRule="auto"/>
              <w:ind w:left="101"/>
              <w:rPr>
                <w:rFonts w:eastAsia="宋体" w:cs="黑体"/>
                <w:color w:val="auto"/>
                <w:sz w:val="24"/>
                <w:szCs w:val="24"/>
              </w:rPr>
            </w:pPr>
            <w:r>
              <w:rPr>
                <w:rFonts w:hint="eastAsia" w:eastAsia="宋体" w:cs="黑体"/>
                <w:color w:val="auto"/>
                <w:spacing w:val="2"/>
                <w:sz w:val="24"/>
                <w:szCs w:val="24"/>
              </w:rPr>
              <w:t>耗能缓冲器</w:t>
            </w:r>
          </w:p>
        </w:tc>
        <w:tc>
          <w:tcPr>
            <w:tcW w:w="4917" w:type="dxa"/>
            <w:tcBorders>
              <w:right w:val="single" w:color="000000" w:sz="10" w:space="0"/>
            </w:tcBorders>
          </w:tcPr>
          <w:p>
            <w:pPr>
              <w:pStyle w:val="32"/>
              <w:spacing w:before="217" w:line="228" w:lineRule="auto"/>
              <w:ind w:left="136"/>
              <w:rPr>
                <w:rFonts w:eastAsia="宋体" w:cs="黑体"/>
                <w:color w:val="auto"/>
                <w:sz w:val="24"/>
                <w:szCs w:val="24"/>
                <w:lang w:eastAsia="zh-CN"/>
              </w:rPr>
            </w:pPr>
            <w:r>
              <w:rPr>
                <w:rFonts w:hint="eastAsia" w:eastAsia="宋体" w:cs="黑体"/>
                <w:color w:val="auto"/>
                <w:spacing w:val="2"/>
                <w:sz w:val="24"/>
                <w:szCs w:val="24"/>
                <w:lang w:eastAsia="zh-CN"/>
              </w:rPr>
              <w:t>电气安全装置功能有效，油量适宜，柱塞无锈蚀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tcBorders>
          </w:tcPr>
          <w:p>
            <w:pPr>
              <w:pStyle w:val="32"/>
              <w:spacing w:before="113" w:line="269" w:lineRule="exact"/>
              <w:ind w:left="268"/>
              <w:rPr>
                <w:rFonts w:eastAsia="宋体" w:cs="黑体"/>
                <w:color w:val="auto"/>
                <w:sz w:val="24"/>
                <w:szCs w:val="24"/>
              </w:rPr>
            </w:pPr>
            <w:r>
              <w:rPr>
                <w:rFonts w:hint="eastAsia" w:eastAsia="宋体" w:cs="黑体"/>
                <w:color w:val="auto"/>
                <w:spacing w:val="-8"/>
                <w:position w:val="1"/>
                <w:sz w:val="24"/>
                <w:szCs w:val="24"/>
              </w:rPr>
              <w:t>13</w:t>
            </w:r>
          </w:p>
        </w:tc>
        <w:tc>
          <w:tcPr>
            <w:tcW w:w="3689" w:type="dxa"/>
          </w:tcPr>
          <w:p>
            <w:pPr>
              <w:pStyle w:val="32"/>
              <w:spacing w:before="113" w:line="228" w:lineRule="auto"/>
              <w:ind w:left="114"/>
              <w:rPr>
                <w:rFonts w:eastAsia="宋体" w:cs="黑体"/>
                <w:color w:val="auto"/>
                <w:sz w:val="24"/>
                <w:szCs w:val="24"/>
                <w:lang w:eastAsia="zh-CN"/>
              </w:rPr>
            </w:pPr>
            <w:r>
              <w:rPr>
                <w:rFonts w:hint="eastAsia" w:eastAsia="宋体" w:cs="黑体"/>
                <w:color w:val="auto"/>
                <w:spacing w:val="2"/>
                <w:sz w:val="24"/>
                <w:szCs w:val="24"/>
                <w:lang w:eastAsia="zh-CN"/>
              </w:rPr>
              <w:t>限速器张紧轮装置和电气安全装置</w:t>
            </w:r>
          </w:p>
        </w:tc>
        <w:tc>
          <w:tcPr>
            <w:tcW w:w="4917" w:type="dxa"/>
            <w:tcBorders>
              <w:right w:val="single" w:color="000000" w:sz="10" w:space="0"/>
            </w:tcBorders>
          </w:tcPr>
          <w:p>
            <w:pPr>
              <w:pStyle w:val="32"/>
              <w:spacing w:before="114" w:line="228" w:lineRule="auto"/>
              <w:ind w:left="114"/>
              <w:rPr>
                <w:rFonts w:eastAsia="宋体" w:cs="黑体"/>
                <w:color w:val="auto"/>
                <w:sz w:val="24"/>
                <w:szCs w:val="24"/>
              </w:rPr>
            </w:pPr>
            <w:r>
              <w:rPr>
                <w:rFonts w:hint="eastAsia" w:eastAsia="宋体" w:cs="黑体"/>
                <w:color w:val="auto"/>
                <w:spacing w:val="2"/>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hint="eastAsia" w:eastAsia="宋体" w:cs="黑体"/>
                <w:color w:val="auto"/>
                <w:spacing w:val="-8"/>
                <w:position w:val="1"/>
                <w:sz w:val="24"/>
                <w:szCs w:val="24"/>
              </w:rPr>
              <w:t>1</w:t>
            </w:r>
            <w:r>
              <w:rPr>
                <w:rFonts w:eastAsia="宋体" w:cs="黑体"/>
                <w:color w:val="auto"/>
                <w:spacing w:val="-8"/>
                <w:position w:val="1"/>
                <w:sz w:val="24"/>
                <w:szCs w:val="24"/>
              </w:rPr>
              <w:t>4</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电动机与减速机联轴器</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连接无松动，弹性元件外观良好，无老化等现象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15</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曳引轮、导向轮轴承部</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无异常声，无振动，润滑良好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16</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曳引轮槽</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磨损量不超过制造单位要求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17</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制动器动作状态监测装置</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工作正常，制动器动作可靠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18</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控制柜内各接线端子</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各接线紧固、整齐，线号齐全清晰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19</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控制柜各仪表</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显示正确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20</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井道、对重、轿顶各反绳轮轴承部</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无异常声，无振动，润滑良好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21</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悬挂装置、补偿绳</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磨损量、断丝数不超过要求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22</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绳头组合</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螺母无松动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23</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限速器钢丝绳</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磨损量、断丝数不超过制造单位要求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24</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层门、轿门门扇</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门扇各相关间隙符合标准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25</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轿门开门限制装置</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工作正常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26</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对重缓冲距离</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符合标准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27</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lang w:eastAsia="zh-CN"/>
              </w:rPr>
            </w:pPr>
            <w:r>
              <w:rPr>
                <w:rFonts w:hint="eastAsia" w:eastAsia="宋体" w:cs="黑体"/>
                <w:color w:val="auto"/>
                <w:spacing w:val="-8"/>
                <w:position w:val="1"/>
                <w:sz w:val="24"/>
                <w:szCs w:val="24"/>
                <w:lang w:eastAsia="zh-CN"/>
              </w:rPr>
              <w:t>补偿链（绳）与轿厢、对重接合处</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固定、无松动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27" w:type="dxa"/>
            <w:tcBorders>
              <w:left w:val="single" w:color="000000" w:sz="10" w:space="0"/>
              <w:bottom w:val="single" w:color="000000" w:sz="10" w:space="0"/>
            </w:tcBorders>
          </w:tcPr>
          <w:p>
            <w:pPr>
              <w:pStyle w:val="32"/>
              <w:spacing w:before="113" w:line="269" w:lineRule="exact"/>
              <w:ind w:left="268"/>
              <w:rPr>
                <w:rFonts w:eastAsia="宋体" w:cs="黑体"/>
                <w:color w:val="auto"/>
                <w:spacing w:val="-8"/>
                <w:position w:val="1"/>
                <w:sz w:val="24"/>
                <w:szCs w:val="24"/>
              </w:rPr>
            </w:pPr>
            <w:r>
              <w:rPr>
                <w:rFonts w:eastAsia="宋体" w:cs="黑体"/>
                <w:color w:val="auto"/>
                <w:spacing w:val="-8"/>
                <w:position w:val="1"/>
                <w:sz w:val="24"/>
                <w:szCs w:val="24"/>
              </w:rPr>
              <w:t>28</w:t>
            </w:r>
          </w:p>
        </w:tc>
        <w:tc>
          <w:tcPr>
            <w:tcW w:w="3689" w:type="dxa"/>
            <w:tcBorders>
              <w:bottom w:val="single" w:color="000000" w:sz="10" w:space="0"/>
            </w:tcBorders>
          </w:tcPr>
          <w:p>
            <w:pPr>
              <w:pStyle w:val="32"/>
              <w:spacing w:before="113"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上下极限开关</w:t>
            </w:r>
          </w:p>
        </w:tc>
        <w:tc>
          <w:tcPr>
            <w:tcW w:w="4917" w:type="dxa"/>
            <w:tcBorders>
              <w:bottom w:val="single" w:color="000000" w:sz="10" w:space="0"/>
              <w:right w:val="single" w:color="000000" w:sz="10" w:space="0"/>
            </w:tcBorders>
          </w:tcPr>
          <w:p>
            <w:pPr>
              <w:pStyle w:val="32"/>
              <w:spacing w:before="114" w:line="228" w:lineRule="auto"/>
              <w:ind w:left="114"/>
              <w:rPr>
                <w:rFonts w:eastAsia="宋体" w:cs="黑体"/>
                <w:color w:val="auto"/>
                <w:spacing w:val="-8"/>
                <w:position w:val="1"/>
                <w:sz w:val="24"/>
                <w:szCs w:val="24"/>
              </w:rPr>
            </w:pPr>
            <w:r>
              <w:rPr>
                <w:rFonts w:hint="eastAsia" w:eastAsia="宋体" w:cs="黑体"/>
                <w:color w:val="auto"/>
                <w:spacing w:val="-8"/>
                <w:position w:val="1"/>
                <w:sz w:val="24"/>
                <w:szCs w:val="24"/>
              </w:rPr>
              <w:t>工作正常</w:t>
            </w:r>
          </w:p>
        </w:tc>
      </w:tr>
    </w:tbl>
    <w:p/>
    <w:p>
      <w:pPr>
        <w:pStyle w:val="5"/>
        <w:numPr>
          <w:ilvl w:val="1"/>
          <w:numId w:val="0"/>
        </w:numPr>
        <w:rPr>
          <w:color w:val="000000"/>
          <w:lang w:val="en-US"/>
        </w:rPr>
      </w:pPr>
      <w:bookmarkStart w:id="21" w:name="_Toc299720409"/>
      <w:bookmarkStart w:id="22" w:name="_Toc300816580"/>
      <w:r>
        <w:rPr>
          <w:rFonts w:hint="eastAsia"/>
          <w:color w:val="000000"/>
          <w:lang w:val="en-US"/>
        </w:rPr>
        <w:t>6.</w:t>
      </w:r>
      <w:r>
        <w:rPr>
          <w:color w:val="000000"/>
          <w:lang w:val="en-US"/>
        </w:rPr>
        <w:t xml:space="preserve">3 </w:t>
      </w:r>
      <w:r>
        <w:rPr>
          <w:rFonts w:hint="eastAsia"/>
          <w:color w:val="000000"/>
          <w:lang w:val="en-US"/>
        </w:rPr>
        <w:t>电梯排障修理要求：</w:t>
      </w:r>
    </w:p>
    <w:p>
      <w:pPr>
        <w:ind w:firstLine="480" w:firstLineChars="200"/>
      </w:pPr>
      <w:r>
        <w:rPr>
          <w:rFonts w:hint="eastAsia"/>
        </w:rPr>
        <w:t>通过本次电梯排障修理，消除电梯故障，</w:t>
      </w:r>
      <w:r>
        <w:t>使其恢复正常载客/载货功能。确保故障排除后，电梯符合《电梯制造与安装安全规范》（GB 7588）及南宁特检院年检要求，杜绝带病运行。</w:t>
      </w:r>
    </w:p>
    <w:bookmarkEnd w:id="21"/>
    <w:bookmarkEnd w:id="22"/>
    <w:p>
      <w:pPr>
        <w:pStyle w:val="4"/>
      </w:pPr>
      <w:bookmarkStart w:id="23" w:name="_Toc227072243"/>
      <w:bookmarkStart w:id="24" w:name="_Toc351129175"/>
      <w:r>
        <w:rPr>
          <w:rFonts w:hint="eastAsia"/>
        </w:rPr>
        <w:t>其他要求</w:t>
      </w:r>
      <w:bookmarkEnd w:id="23"/>
      <w:bookmarkEnd w:id="24"/>
    </w:p>
    <w:p>
      <w:pPr>
        <w:pStyle w:val="5"/>
        <w:rPr>
          <w:color w:val="000000"/>
        </w:rPr>
      </w:pPr>
      <w:r>
        <w:rPr>
          <w:rFonts w:hint="eastAsia" w:hAnsi="宋体" w:cs="宋体"/>
          <w:szCs w:val="24"/>
        </w:rPr>
        <w:t>资质要求</w:t>
      </w:r>
    </w:p>
    <w:p>
      <w:pPr>
        <w:pStyle w:val="6"/>
        <w:keepNext w:val="0"/>
        <w:keepLines w:val="0"/>
        <w:spacing w:before="0" w:after="0" w:line="360" w:lineRule="auto"/>
        <w:rPr>
          <w:color w:val="000000"/>
          <w:sz w:val="24"/>
          <w:szCs w:val="24"/>
        </w:rPr>
      </w:pPr>
      <w:r>
        <w:rPr>
          <w:rFonts w:hint="eastAsia"/>
          <w:color w:val="000000"/>
          <w:sz w:val="24"/>
          <w:szCs w:val="24"/>
        </w:rPr>
        <w:t>运维企业资质</w:t>
      </w:r>
    </w:p>
    <w:p>
      <w:pPr>
        <w:pStyle w:val="20"/>
      </w:pPr>
      <w:r>
        <w:rPr>
          <w:rFonts w:hint="eastAsia"/>
        </w:rPr>
        <w:t>★</w:t>
      </w:r>
      <w:r>
        <w:t>根据《特种设备安全法》，从事电梯维护保养的单位必须取得《特种设备生产许可证》，许可项目需明确包含“电梯修理（含维护保养）”，并在有效期内</w:t>
      </w:r>
      <w:r>
        <w:rPr>
          <w:rFonts w:hint="eastAsia"/>
        </w:rPr>
        <w:t>。</w:t>
      </w:r>
    </w:p>
    <w:p>
      <w:pPr>
        <w:pStyle w:val="6"/>
        <w:keepNext w:val="0"/>
        <w:keepLines w:val="0"/>
        <w:spacing w:before="0" w:after="0" w:line="360" w:lineRule="auto"/>
        <w:rPr>
          <w:sz w:val="24"/>
          <w:szCs w:val="24"/>
        </w:rPr>
      </w:pPr>
      <w:bookmarkStart w:id="25" w:name="_Toc477370885"/>
      <w:bookmarkStart w:id="26" w:name="_Toc477377766"/>
      <w:bookmarkStart w:id="27" w:name="_Toc477294546"/>
      <w:bookmarkStart w:id="28" w:name="_Toc477266283"/>
      <w:r>
        <w:rPr>
          <w:rFonts w:hint="eastAsia"/>
          <w:sz w:val="24"/>
          <w:szCs w:val="24"/>
        </w:rPr>
        <w:t>人员要求</w:t>
      </w:r>
      <w:bookmarkEnd w:id="25"/>
      <w:bookmarkEnd w:id="26"/>
      <w:bookmarkEnd w:id="27"/>
      <w:bookmarkEnd w:id="28"/>
    </w:p>
    <w:p>
      <w:pPr>
        <w:pStyle w:val="20"/>
      </w:pPr>
      <w:bookmarkStart w:id="29" w:name="OLE_LINK5"/>
      <w:r>
        <w:rPr>
          <w:rFonts w:hint="eastAsia"/>
        </w:rPr>
        <w:t>★</w:t>
      </w:r>
      <w:bookmarkEnd w:id="29"/>
      <w:bookmarkStart w:id="30" w:name="_Toc477377767"/>
      <w:bookmarkStart w:id="31" w:name="_Toc477370886"/>
      <w:bookmarkStart w:id="32" w:name="_Toc477294547"/>
      <w:bookmarkStart w:id="33" w:name="_Toc477266284"/>
      <w:r>
        <w:t>现场从事电梯修理、保养、救援的一线人员，必须持</w:t>
      </w:r>
      <w:r>
        <w:rPr>
          <w:rFonts w:hint="eastAsia"/>
        </w:rPr>
        <w:t>有</w:t>
      </w:r>
      <w:r>
        <w:t>《特种设备安全管理和作业人员证》电梯修理 (T)。</w:t>
      </w:r>
    </w:p>
    <w:p>
      <w:pPr>
        <w:pStyle w:val="20"/>
      </w:pPr>
      <w:r>
        <w:rPr>
          <w:rFonts w:hint="eastAsia"/>
        </w:rPr>
        <w:t>★</w:t>
      </w:r>
      <w:r>
        <w:t>现场作业：至少2名持“T证”人员同时到场</w:t>
      </w:r>
      <w:r>
        <w:rPr>
          <w:rFonts w:hint="eastAsia"/>
        </w:rPr>
        <w:t>。</w:t>
      </w:r>
      <w:r>
        <w:t>出于安全互保原则，一人作业一人监护。</w:t>
      </w:r>
    </w:p>
    <w:bookmarkEnd w:id="30"/>
    <w:bookmarkEnd w:id="31"/>
    <w:bookmarkEnd w:id="32"/>
    <w:bookmarkEnd w:id="33"/>
    <w:p>
      <w:pPr>
        <w:pStyle w:val="5"/>
        <w:rPr>
          <w:color w:val="000000"/>
        </w:rPr>
      </w:pPr>
      <w:bookmarkStart w:id="34" w:name="_Toc477370887"/>
      <w:bookmarkStart w:id="35" w:name="_Toc477266285"/>
      <w:bookmarkStart w:id="36" w:name="_Toc477294548"/>
      <w:bookmarkStart w:id="37" w:name="_Toc477377768"/>
      <w:r>
        <w:rPr>
          <w:rFonts w:hint="eastAsia"/>
          <w:color w:val="000000"/>
        </w:rPr>
        <w:t>技术资料和文件</w:t>
      </w:r>
      <w:bookmarkEnd w:id="34"/>
      <w:bookmarkEnd w:id="35"/>
      <w:bookmarkEnd w:id="36"/>
      <w:bookmarkEnd w:id="37"/>
    </w:p>
    <w:p>
      <w:pPr>
        <w:pStyle w:val="7"/>
        <w:rPr>
          <w:color w:val="000000"/>
        </w:rPr>
      </w:pPr>
      <w:r>
        <w:rPr>
          <w:rFonts w:hint="eastAsia"/>
          <w:color w:val="000000"/>
        </w:rPr>
        <w:t>报价人提供的文件和资料应能满足采购人进行维护和进一步完善的需要，应符合采购人标准规格。</w:t>
      </w:r>
    </w:p>
    <w:p>
      <w:pPr>
        <w:pStyle w:val="7"/>
        <w:rPr>
          <w:color w:val="000000"/>
        </w:rPr>
      </w:pPr>
      <w:r>
        <w:rPr>
          <w:rFonts w:hint="eastAsia"/>
          <w:color w:val="000000"/>
        </w:rPr>
        <w:t>报价人应向采购人需求提供项目的全部过程资料的电子版。</w:t>
      </w:r>
    </w:p>
    <w:p>
      <w:pPr>
        <w:pStyle w:val="7"/>
        <w:rPr>
          <w:color w:val="000000"/>
        </w:rPr>
      </w:pPr>
      <w:r>
        <w:rPr>
          <w:rFonts w:hint="eastAsia"/>
          <w:color w:val="000000"/>
        </w:rPr>
        <w:t>项目通过验收后，报价人负责项目档案资料的移交。</w:t>
      </w:r>
    </w:p>
    <w:p>
      <w:pPr>
        <w:pStyle w:val="5"/>
        <w:rPr>
          <w:color w:val="000000"/>
        </w:rPr>
      </w:pPr>
      <w:bookmarkStart w:id="38" w:name="_Toc477370888"/>
      <w:bookmarkStart w:id="39" w:name="_Toc477377769"/>
      <w:bookmarkStart w:id="40" w:name="_Toc477294549"/>
      <w:bookmarkStart w:id="41" w:name="_Toc477266286"/>
      <w:r>
        <w:rPr>
          <w:rFonts w:hint="eastAsia"/>
          <w:color w:val="000000"/>
        </w:rPr>
        <w:t>服务要求</w:t>
      </w:r>
      <w:bookmarkEnd w:id="38"/>
      <w:bookmarkEnd w:id="39"/>
      <w:bookmarkEnd w:id="40"/>
      <w:bookmarkEnd w:id="41"/>
    </w:p>
    <w:p>
      <w:pPr>
        <w:pStyle w:val="7"/>
        <w:rPr>
          <w:color w:val="000000"/>
        </w:rPr>
      </w:pPr>
      <w:r>
        <w:rPr>
          <w:rFonts w:hint="eastAsia"/>
          <w:color w:val="000000"/>
        </w:rPr>
        <w:t>所有服务方式均为报价人本部维护服务，即由报价人或原厂商派员到用户使用现场。由此产生的一切费用均由报价人承担。</w:t>
      </w:r>
    </w:p>
    <w:p>
      <w:pPr>
        <w:pStyle w:val="7"/>
        <w:rPr>
          <w:color w:val="000000"/>
        </w:rPr>
      </w:pPr>
      <w:r>
        <w:rPr>
          <w:rFonts w:hint="eastAsia"/>
          <w:color w:val="000000"/>
        </w:rPr>
        <w:t>对于不能明确是否是报价人服务出现问题时，报价人应尽力配合采购人和其他供应商进行检查，在必要时，能在上述响应时间内到达现场协助排除问题。</w:t>
      </w:r>
    </w:p>
    <w:p>
      <w:pPr>
        <w:pStyle w:val="7"/>
        <w:rPr>
          <w:color w:val="000000"/>
        </w:rPr>
      </w:pPr>
      <w:r>
        <w:rPr>
          <w:rFonts w:hint="eastAsia"/>
          <w:color w:val="000000"/>
        </w:rPr>
        <w:t>报价人须在采购人当地有专业维护人员，能按要求及时响应。</w:t>
      </w:r>
    </w:p>
    <w:p>
      <w:pPr>
        <w:pStyle w:val="4"/>
        <w:rPr>
          <w:color w:val="000000"/>
        </w:rPr>
      </w:pPr>
      <w:bookmarkStart w:id="42" w:name="_Toc351129176"/>
      <w:bookmarkStart w:id="43" w:name="_Toc2417142"/>
      <w:bookmarkStart w:id="44" w:name="_Toc93490630"/>
      <w:bookmarkStart w:id="45" w:name="_Toc167003829"/>
      <w:bookmarkStart w:id="46" w:name="_Toc93490580"/>
      <w:bookmarkStart w:id="47" w:name="_Toc360609690"/>
      <w:bookmarkStart w:id="48" w:name="_Toc137397828"/>
      <w:bookmarkStart w:id="49" w:name="_Toc93490801"/>
      <w:bookmarkStart w:id="50" w:name="_Toc227072244"/>
      <w:r>
        <w:rPr>
          <w:rFonts w:hint="eastAsia"/>
          <w:color w:val="000000"/>
        </w:rPr>
        <w:t>附件</w:t>
      </w:r>
      <w:bookmarkEnd w:id="42"/>
      <w:bookmarkEnd w:id="43"/>
      <w:bookmarkEnd w:id="44"/>
      <w:bookmarkEnd w:id="45"/>
      <w:bookmarkEnd w:id="46"/>
      <w:bookmarkEnd w:id="47"/>
      <w:bookmarkEnd w:id="48"/>
      <w:bookmarkEnd w:id="49"/>
      <w:bookmarkEnd w:id="50"/>
    </w:p>
    <w:p>
      <w:pPr>
        <w:pStyle w:val="5"/>
        <w:rPr>
          <w:color w:val="000000"/>
        </w:rPr>
      </w:pPr>
      <w:r>
        <w:rPr>
          <w:rFonts w:hint="eastAsia"/>
          <w:color w:val="000000"/>
        </w:rPr>
        <w:t>差异表</w:t>
      </w:r>
    </w:p>
    <w:tbl>
      <w:tblPr>
        <w:tblStyle w:val="1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采购文件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color w:val="000000"/>
              </w:rPr>
            </w:pPr>
          </w:p>
        </w:tc>
        <w:tc>
          <w:tcPr>
            <w:tcW w:w="1020" w:type="dxa"/>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color w:val="000000"/>
              </w:rPr>
            </w:pPr>
          </w:p>
        </w:tc>
        <w:tc>
          <w:tcPr>
            <w:tcW w:w="1020" w:type="dxa"/>
            <w:tcBorders>
              <w:top w:val="single" w:color="auto" w:sz="4" w:space="0"/>
              <w:left w:val="single" w:color="auto" w:sz="4" w:space="0"/>
              <w:bottom w:val="single" w:color="auto" w:sz="4" w:space="0"/>
              <w:right w:val="single" w:color="auto" w:sz="4" w:space="0"/>
            </w:tcBorders>
          </w:tcPr>
          <w:p>
            <w:pPr>
              <w:rPr>
                <w:color w:val="000000"/>
              </w:rPr>
            </w:pPr>
          </w:p>
        </w:tc>
        <w:tc>
          <w:tcPr>
            <w:tcW w:w="2835" w:type="dxa"/>
            <w:tcBorders>
              <w:top w:val="single" w:color="auto" w:sz="4" w:space="0"/>
              <w:left w:val="single" w:color="auto" w:sz="4" w:space="0"/>
              <w:bottom w:val="single" w:color="auto" w:sz="4" w:space="0"/>
              <w:right w:val="single" w:color="auto" w:sz="4" w:space="0"/>
            </w:tcBorders>
          </w:tcPr>
          <w:p>
            <w:pPr>
              <w:rPr>
                <w:color w:val="000000"/>
              </w:rPr>
            </w:pPr>
          </w:p>
        </w:tc>
        <w:tc>
          <w:tcPr>
            <w:tcW w:w="1605" w:type="dxa"/>
            <w:tcBorders>
              <w:top w:val="single" w:color="auto" w:sz="4" w:space="0"/>
              <w:left w:val="single" w:color="auto" w:sz="4" w:space="0"/>
              <w:bottom w:val="single" w:color="auto" w:sz="4" w:space="0"/>
              <w:right w:val="single" w:color="auto" w:sz="4" w:space="0"/>
            </w:tcBorders>
          </w:tcPr>
          <w:p>
            <w:pPr>
              <w:rPr>
                <w:color w:val="000000"/>
              </w:rPr>
            </w:pPr>
          </w:p>
        </w:tc>
        <w:tc>
          <w:tcPr>
            <w:tcW w:w="2694" w:type="dxa"/>
            <w:tcBorders>
              <w:top w:val="single" w:color="auto" w:sz="4" w:space="0"/>
              <w:left w:val="single" w:color="auto" w:sz="4" w:space="0"/>
              <w:bottom w:val="single" w:color="auto" w:sz="4" w:space="0"/>
              <w:right w:val="single" w:color="auto" w:sz="4" w:space="0"/>
            </w:tcBorders>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color w:val="000000"/>
              </w:rPr>
            </w:pPr>
          </w:p>
        </w:tc>
        <w:tc>
          <w:tcPr>
            <w:tcW w:w="1020" w:type="dxa"/>
            <w:tcBorders>
              <w:top w:val="single" w:color="auto" w:sz="4" w:space="0"/>
              <w:left w:val="single" w:color="auto" w:sz="4" w:space="0"/>
              <w:bottom w:val="single" w:color="auto" w:sz="4" w:space="0"/>
              <w:right w:val="single" w:color="auto" w:sz="4" w:space="0"/>
            </w:tcBorders>
          </w:tcPr>
          <w:p>
            <w:pPr>
              <w:rPr>
                <w:color w:val="000000"/>
              </w:rPr>
            </w:pPr>
          </w:p>
        </w:tc>
        <w:tc>
          <w:tcPr>
            <w:tcW w:w="2835" w:type="dxa"/>
            <w:tcBorders>
              <w:top w:val="single" w:color="auto" w:sz="4" w:space="0"/>
              <w:left w:val="single" w:color="auto" w:sz="4" w:space="0"/>
              <w:bottom w:val="single" w:color="auto" w:sz="4" w:space="0"/>
              <w:right w:val="single" w:color="auto" w:sz="4" w:space="0"/>
            </w:tcBorders>
          </w:tcPr>
          <w:p>
            <w:pPr>
              <w:rPr>
                <w:color w:val="000000"/>
              </w:rPr>
            </w:pPr>
          </w:p>
        </w:tc>
        <w:tc>
          <w:tcPr>
            <w:tcW w:w="1605" w:type="dxa"/>
            <w:tcBorders>
              <w:top w:val="single" w:color="auto" w:sz="4" w:space="0"/>
              <w:left w:val="single" w:color="auto" w:sz="4" w:space="0"/>
              <w:bottom w:val="single" w:color="auto" w:sz="4" w:space="0"/>
              <w:right w:val="single" w:color="auto" w:sz="4" w:space="0"/>
            </w:tcBorders>
          </w:tcPr>
          <w:p>
            <w:pPr>
              <w:rPr>
                <w:color w:val="000000"/>
              </w:rPr>
            </w:pPr>
          </w:p>
        </w:tc>
        <w:tc>
          <w:tcPr>
            <w:tcW w:w="2694" w:type="dxa"/>
            <w:tcBorders>
              <w:top w:val="single" w:color="auto" w:sz="4" w:space="0"/>
              <w:left w:val="single" w:color="auto" w:sz="4" w:space="0"/>
              <w:bottom w:val="single" w:color="auto" w:sz="4" w:space="0"/>
              <w:right w:val="single" w:color="auto" w:sz="4" w:space="0"/>
            </w:tcBorders>
          </w:tcPr>
          <w:p>
            <w:pPr>
              <w:rPr>
                <w:color w:val="000000"/>
              </w:rPr>
            </w:pPr>
          </w:p>
        </w:tc>
      </w:tr>
    </w:tbl>
    <w:p>
      <w:pPr>
        <w:rPr>
          <w:color w:val="000000"/>
        </w:rPr>
      </w:pPr>
    </w:p>
    <w:p>
      <w:pPr>
        <w:pStyle w:val="5"/>
        <w:rPr>
          <w:color w:val="000000"/>
        </w:rPr>
      </w:pPr>
      <w:r>
        <w:rPr>
          <w:rFonts w:hint="eastAsia"/>
          <w:color w:val="000000"/>
        </w:rPr>
        <w:t>报价人需要说明的其它问题</w:t>
      </w:r>
    </w:p>
    <w:p>
      <w:pPr>
        <w:rPr>
          <w:color w:val="000000"/>
        </w:rPr>
      </w:pPr>
    </w:p>
    <w:p/>
    <w:sectPr>
      <w:headerReference r:id="rId7" w:type="default"/>
      <w:footerReference r:id="rId8" w:type="default"/>
      <w:pgSz w:w="11906" w:h="16838"/>
      <w:pgMar w:top="1440" w:right="1797" w:bottom="1440" w:left="1797"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inherit">
    <w:altName w:val="Cambria"/>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13</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4"/>
      <w:suff w:val="space"/>
      <w:lvlText w:val="%1."/>
      <w:lvlJc w:val="left"/>
      <w:pPr>
        <w:ind w:left="0" w:firstLine="0"/>
      </w:pPr>
      <w:rPr>
        <w:rFonts w:hint="eastAsia"/>
      </w:rPr>
    </w:lvl>
    <w:lvl w:ilvl="1" w:tentative="0">
      <w:start w:val="1"/>
      <w:numFmt w:val="decimal"/>
      <w:pStyle w:val="5"/>
      <w:isLgl/>
      <w:suff w:val="space"/>
      <w:lvlText w:val="%1.%2"/>
      <w:lvlJc w:val="left"/>
      <w:pPr>
        <w:ind w:left="0" w:firstLine="0"/>
      </w:pPr>
      <w:rPr>
        <w:rFonts w:hint="eastAsia"/>
      </w:rPr>
    </w:lvl>
    <w:lvl w:ilvl="2" w:tentative="0">
      <w:start w:val="1"/>
      <w:numFmt w:val="decimal"/>
      <w:pStyle w:val="7"/>
      <w:isLgl/>
      <w:suff w:val="space"/>
      <w:lvlText w:val="%1.%2.%3"/>
      <w:lvlJc w:val="left"/>
      <w:pPr>
        <w:ind w:left="142" w:firstLine="0"/>
      </w:pPr>
      <w:rPr>
        <w:rFonts w:hint="eastAsia"/>
        <w:b w:val="0"/>
        <w:i w:val="0"/>
      </w:rPr>
    </w:lvl>
    <w:lvl w:ilvl="3" w:tentative="0">
      <w:start w:val="1"/>
      <w:numFmt w:val="decimal"/>
      <w:pStyle w:val="20"/>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B6E"/>
    <w:rsid w:val="0003639C"/>
    <w:rsid w:val="000B0F74"/>
    <w:rsid w:val="000E4FFE"/>
    <w:rsid w:val="000F6AA6"/>
    <w:rsid w:val="00192EEA"/>
    <w:rsid w:val="001A701B"/>
    <w:rsid w:val="001B77D1"/>
    <w:rsid w:val="00210697"/>
    <w:rsid w:val="002234AE"/>
    <w:rsid w:val="00284DEA"/>
    <w:rsid w:val="002C1D9F"/>
    <w:rsid w:val="002F5B6E"/>
    <w:rsid w:val="00350C62"/>
    <w:rsid w:val="00353867"/>
    <w:rsid w:val="003D00E2"/>
    <w:rsid w:val="003F28FE"/>
    <w:rsid w:val="004505D0"/>
    <w:rsid w:val="004748EF"/>
    <w:rsid w:val="004C0820"/>
    <w:rsid w:val="004F77A1"/>
    <w:rsid w:val="00587F2C"/>
    <w:rsid w:val="005D52B0"/>
    <w:rsid w:val="00651148"/>
    <w:rsid w:val="008671B4"/>
    <w:rsid w:val="008B013D"/>
    <w:rsid w:val="008F71EC"/>
    <w:rsid w:val="00BA22E1"/>
    <w:rsid w:val="00CD34FD"/>
    <w:rsid w:val="00CF532E"/>
    <w:rsid w:val="00D060F9"/>
    <w:rsid w:val="00D25400"/>
    <w:rsid w:val="00D53253"/>
    <w:rsid w:val="00DA60C8"/>
    <w:rsid w:val="00DD3930"/>
    <w:rsid w:val="00DF086F"/>
    <w:rsid w:val="00EA346F"/>
    <w:rsid w:val="00EA649F"/>
    <w:rsid w:val="00F267DB"/>
    <w:rsid w:val="00FB5095"/>
    <w:rsid w:val="019C59C9"/>
    <w:rsid w:val="01A958ED"/>
    <w:rsid w:val="01C2749C"/>
    <w:rsid w:val="02765542"/>
    <w:rsid w:val="03A56AC7"/>
    <w:rsid w:val="03CE7986"/>
    <w:rsid w:val="041B3C13"/>
    <w:rsid w:val="04800209"/>
    <w:rsid w:val="061239FE"/>
    <w:rsid w:val="06FB2203"/>
    <w:rsid w:val="078D4240"/>
    <w:rsid w:val="08875B4B"/>
    <w:rsid w:val="08A96DA6"/>
    <w:rsid w:val="09303DC8"/>
    <w:rsid w:val="0AB45635"/>
    <w:rsid w:val="0ADF4185"/>
    <w:rsid w:val="0B5D798C"/>
    <w:rsid w:val="0B8B0B7A"/>
    <w:rsid w:val="0C51373F"/>
    <w:rsid w:val="0C5F7548"/>
    <w:rsid w:val="0CBB030B"/>
    <w:rsid w:val="0CD51C81"/>
    <w:rsid w:val="0F4E3399"/>
    <w:rsid w:val="0F833EDC"/>
    <w:rsid w:val="0FAD55EA"/>
    <w:rsid w:val="10235CCA"/>
    <w:rsid w:val="10FB7B18"/>
    <w:rsid w:val="11647DA8"/>
    <w:rsid w:val="12270DD4"/>
    <w:rsid w:val="12FF5495"/>
    <w:rsid w:val="130D6ABB"/>
    <w:rsid w:val="13113222"/>
    <w:rsid w:val="13915164"/>
    <w:rsid w:val="13E878FA"/>
    <w:rsid w:val="1421106E"/>
    <w:rsid w:val="15067AB9"/>
    <w:rsid w:val="15591B40"/>
    <w:rsid w:val="16143CFE"/>
    <w:rsid w:val="16443A91"/>
    <w:rsid w:val="171F7106"/>
    <w:rsid w:val="17AB6C91"/>
    <w:rsid w:val="184245B1"/>
    <w:rsid w:val="18926C2D"/>
    <w:rsid w:val="19FB2F28"/>
    <w:rsid w:val="1AAC7AF4"/>
    <w:rsid w:val="1AE9163C"/>
    <w:rsid w:val="1C737FA2"/>
    <w:rsid w:val="1CAF015E"/>
    <w:rsid w:val="1D986C1F"/>
    <w:rsid w:val="1E05478D"/>
    <w:rsid w:val="1E3C2E15"/>
    <w:rsid w:val="1E62568B"/>
    <w:rsid w:val="1F5F3C72"/>
    <w:rsid w:val="1FAB4042"/>
    <w:rsid w:val="1FF42C15"/>
    <w:rsid w:val="20204F74"/>
    <w:rsid w:val="21DA707D"/>
    <w:rsid w:val="229364F7"/>
    <w:rsid w:val="22A10213"/>
    <w:rsid w:val="232A3E15"/>
    <w:rsid w:val="23463953"/>
    <w:rsid w:val="23B74BDE"/>
    <w:rsid w:val="23B96363"/>
    <w:rsid w:val="23F037AC"/>
    <w:rsid w:val="241378B2"/>
    <w:rsid w:val="248A6964"/>
    <w:rsid w:val="24F64BC5"/>
    <w:rsid w:val="255E3C8B"/>
    <w:rsid w:val="25BE72AA"/>
    <w:rsid w:val="267505FD"/>
    <w:rsid w:val="26AA7544"/>
    <w:rsid w:val="26D33AA2"/>
    <w:rsid w:val="272D0EF4"/>
    <w:rsid w:val="27475600"/>
    <w:rsid w:val="280A1A8A"/>
    <w:rsid w:val="28546703"/>
    <w:rsid w:val="28EC6349"/>
    <w:rsid w:val="2B4D1D8F"/>
    <w:rsid w:val="2B5566DF"/>
    <w:rsid w:val="2B9F0EAB"/>
    <w:rsid w:val="2CCA4889"/>
    <w:rsid w:val="2D6B2A35"/>
    <w:rsid w:val="2F2711FD"/>
    <w:rsid w:val="2FDE3796"/>
    <w:rsid w:val="301F1ED4"/>
    <w:rsid w:val="302A2EC6"/>
    <w:rsid w:val="30525AAC"/>
    <w:rsid w:val="30F537F6"/>
    <w:rsid w:val="319C017F"/>
    <w:rsid w:val="31D058D5"/>
    <w:rsid w:val="31DA547B"/>
    <w:rsid w:val="32496FDF"/>
    <w:rsid w:val="32CE2714"/>
    <w:rsid w:val="33635742"/>
    <w:rsid w:val="34BF2A90"/>
    <w:rsid w:val="34C55DCB"/>
    <w:rsid w:val="35122D80"/>
    <w:rsid w:val="36191A71"/>
    <w:rsid w:val="38293D6A"/>
    <w:rsid w:val="38525F9E"/>
    <w:rsid w:val="39AF2D93"/>
    <w:rsid w:val="3AC70978"/>
    <w:rsid w:val="3BF22773"/>
    <w:rsid w:val="3C2F00C1"/>
    <w:rsid w:val="3E4D3E10"/>
    <w:rsid w:val="3ECB3AD3"/>
    <w:rsid w:val="3F133464"/>
    <w:rsid w:val="418A0AF1"/>
    <w:rsid w:val="423748D7"/>
    <w:rsid w:val="42EF130F"/>
    <w:rsid w:val="434B20C4"/>
    <w:rsid w:val="442D588A"/>
    <w:rsid w:val="44BB641C"/>
    <w:rsid w:val="44BE330A"/>
    <w:rsid w:val="459C2135"/>
    <w:rsid w:val="490A1951"/>
    <w:rsid w:val="4A454C46"/>
    <w:rsid w:val="4BA87A01"/>
    <w:rsid w:val="4E172408"/>
    <w:rsid w:val="4E5A7FAC"/>
    <w:rsid w:val="505D3E92"/>
    <w:rsid w:val="507A0214"/>
    <w:rsid w:val="509274AE"/>
    <w:rsid w:val="51342634"/>
    <w:rsid w:val="52FA1369"/>
    <w:rsid w:val="53536A1A"/>
    <w:rsid w:val="546B1439"/>
    <w:rsid w:val="554907AA"/>
    <w:rsid w:val="55B84ADB"/>
    <w:rsid w:val="562E580C"/>
    <w:rsid w:val="57057F1A"/>
    <w:rsid w:val="582B79DE"/>
    <w:rsid w:val="58364733"/>
    <w:rsid w:val="58F11AB6"/>
    <w:rsid w:val="5928563D"/>
    <w:rsid w:val="59E12A03"/>
    <w:rsid w:val="5A2E03E1"/>
    <w:rsid w:val="5AEC3E43"/>
    <w:rsid w:val="5B480010"/>
    <w:rsid w:val="5B800E10"/>
    <w:rsid w:val="5BEA7BF7"/>
    <w:rsid w:val="5C521782"/>
    <w:rsid w:val="5CDD752B"/>
    <w:rsid w:val="5D8D4618"/>
    <w:rsid w:val="5EA05D79"/>
    <w:rsid w:val="5FC659DC"/>
    <w:rsid w:val="609A1600"/>
    <w:rsid w:val="614A2364"/>
    <w:rsid w:val="619334C4"/>
    <w:rsid w:val="62744735"/>
    <w:rsid w:val="62764915"/>
    <w:rsid w:val="62B83B48"/>
    <w:rsid w:val="63712D75"/>
    <w:rsid w:val="637E4A3E"/>
    <w:rsid w:val="644F17A0"/>
    <w:rsid w:val="66983EE0"/>
    <w:rsid w:val="671F30DB"/>
    <w:rsid w:val="68B331FB"/>
    <w:rsid w:val="691A25F9"/>
    <w:rsid w:val="69460DEF"/>
    <w:rsid w:val="694D0E1F"/>
    <w:rsid w:val="69C668FA"/>
    <w:rsid w:val="69DA0AF8"/>
    <w:rsid w:val="69E05D4B"/>
    <w:rsid w:val="6AF9768E"/>
    <w:rsid w:val="6CE054F0"/>
    <w:rsid w:val="6D3D2608"/>
    <w:rsid w:val="6DE0253E"/>
    <w:rsid w:val="6EE44D8A"/>
    <w:rsid w:val="6F4348CC"/>
    <w:rsid w:val="6FDD2267"/>
    <w:rsid w:val="7005170F"/>
    <w:rsid w:val="7081588C"/>
    <w:rsid w:val="72DD5DED"/>
    <w:rsid w:val="73A7672F"/>
    <w:rsid w:val="73F10F86"/>
    <w:rsid w:val="747E6C57"/>
    <w:rsid w:val="7485034D"/>
    <w:rsid w:val="757F065E"/>
    <w:rsid w:val="76030FFE"/>
    <w:rsid w:val="780E7C72"/>
    <w:rsid w:val="783A1DB6"/>
    <w:rsid w:val="78FB5364"/>
    <w:rsid w:val="794B56D7"/>
    <w:rsid w:val="7AAC221D"/>
    <w:rsid w:val="7B17094D"/>
    <w:rsid w:val="7B2E5FCE"/>
    <w:rsid w:val="7BD16162"/>
    <w:rsid w:val="7BE515DF"/>
    <w:rsid w:val="7C3D70A9"/>
    <w:rsid w:val="7D2E5272"/>
    <w:rsid w:val="7D5419E3"/>
    <w:rsid w:val="7DA26889"/>
    <w:rsid w:val="7E0A6144"/>
    <w:rsid w:val="7E83512A"/>
    <w:rsid w:val="7EE63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1"/>
    <w:basedOn w:val="1"/>
    <w:next w:val="1"/>
    <w:link w:val="18"/>
    <w:qFormat/>
    <w:uiPriority w:val="9"/>
    <w:pPr>
      <w:keepNext/>
      <w:keepLines/>
      <w:numPr>
        <w:ilvl w:val="0"/>
        <w:numId w:val="1"/>
      </w:numPr>
      <w:outlineLvl w:val="0"/>
    </w:pPr>
    <w:rPr>
      <w:b/>
      <w:bCs/>
      <w:kern w:val="44"/>
      <w:szCs w:val="44"/>
      <w:lang w:val="zh-CN"/>
    </w:rPr>
  </w:style>
  <w:style w:type="paragraph" w:styleId="5">
    <w:name w:val="heading 2"/>
    <w:basedOn w:val="1"/>
    <w:next w:val="1"/>
    <w:link w:val="19"/>
    <w:qFormat/>
    <w:uiPriority w:val="0"/>
    <w:pPr>
      <w:keepNext/>
      <w:keepLines/>
      <w:numPr>
        <w:ilvl w:val="1"/>
        <w:numId w:val="1"/>
      </w:numPr>
      <w:outlineLvl w:val="1"/>
    </w:pPr>
    <w:rPr>
      <w:rFonts w:hAnsi="Arial"/>
      <w:b/>
      <w:bCs/>
      <w:szCs w:val="32"/>
      <w:lang w:val="zh-CN"/>
    </w:rPr>
  </w:style>
  <w:style w:type="paragraph" w:styleId="6">
    <w:name w:val="heading 3"/>
    <w:basedOn w:val="7"/>
    <w:next w:val="1"/>
    <w:unhideWhenUsed/>
    <w:qFormat/>
    <w:uiPriority w:val="0"/>
    <w:pPr>
      <w:keepNext/>
      <w:keepLines/>
      <w:spacing w:before="260" w:after="260" w:line="416" w:lineRule="auto"/>
      <w:outlineLvl w:val="2"/>
    </w:pPr>
    <w:rPr>
      <w:b/>
      <w:bCs/>
      <w:kern w:val="0"/>
      <w:sz w:val="32"/>
      <w:szCs w:val="32"/>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Body Text"/>
    <w:next w:val="3"/>
    <w:qFormat/>
    <w:uiPriority w:val="0"/>
    <w:rPr>
      <w:rFonts w:ascii="Times New Roman" w:hAnsi="Times New Roman" w:eastAsia="宋体" w:cstheme="minorBidi"/>
      <w:sz w:val="28"/>
      <w:lang w:val="en-US" w:eastAsia="zh-CN" w:bidi="ar-SA"/>
    </w:rPr>
  </w:style>
  <w:style w:type="paragraph" w:styleId="3">
    <w:name w:val="Normal Indent"/>
    <w:basedOn w:val="1"/>
    <w:qFormat/>
    <w:uiPriority w:val="0"/>
    <w:pPr>
      <w:ind w:firstLine="420" w:firstLineChars="200"/>
    </w:pPr>
  </w:style>
  <w:style w:type="paragraph" w:customStyle="1" w:styleId="7">
    <w:name w:val="样式1"/>
    <w:basedOn w:val="1"/>
    <w:qFormat/>
    <w:uiPriority w:val="0"/>
    <w:pPr>
      <w:numPr>
        <w:ilvl w:val="2"/>
        <w:numId w:val="1"/>
      </w:numPr>
    </w:pPr>
  </w:style>
  <w:style w:type="paragraph" w:styleId="8">
    <w:name w:val="Balloon Text"/>
    <w:basedOn w:val="1"/>
    <w:link w:val="22"/>
    <w:qFormat/>
    <w:uiPriority w:val="99"/>
    <w:pPr>
      <w:spacing w:line="240" w:lineRule="auto"/>
    </w:pPr>
    <w:rPr>
      <w:sz w:val="18"/>
      <w:szCs w:val="18"/>
    </w:rPr>
  </w:style>
  <w:style w:type="paragraph" w:styleId="9">
    <w:name w:val="footer"/>
    <w:basedOn w:val="1"/>
    <w:link w:val="17"/>
    <w:qFormat/>
    <w:uiPriority w:val="99"/>
    <w:pPr>
      <w:tabs>
        <w:tab w:val="center" w:pos="4153"/>
        <w:tab w:val="right" w:pos="8306"/>
      </w:tabs>
      <w:snapToGrid w:val="0"/>
      <w:jc w:val="left"/>
    </w:pPr>
    <w:rPr>
      <w:sz w:val="18"/>
      <w:szCs w:val="18"/>
    </w:rPr>
  </w:style>
  <w:style w:type="paragraph" w:styleId="10">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right" w:leader="dot" w:pos="8296"/>
      </w:tabs>
    </w:pPr>
  </w:style>
  <w:style w:type="character" w:styleId="14">
    <w:name w:val="Strong"/>
    <w:basedOn w:val="13"/>
    <w:qFormat/>
    <w:uiPriority w:val="22"/>
    <w:rPr>
      <w:b/>
      <w:bCs/>
    </w:rPr>
  </w:style>
  <w:style w:type="character" w:styleId="15">
    <w:name w:val="Hyperlink"/>
    <w:qFormat/>
    <w:uiPriority w:val="99"/>
    <w:rPr>
      <w:color w:val="0000FF"/>
      <w:u w:val="single"/>
    </w:rPr>
  </w:style>
  <w:style w:type="character" w:customStyle="1" w:styleId="16">
    <w:name w:val="页眉 字符"/>
    <w:basedOn w:val="13"/>
    <w:link w:val="10"/>
    <w:qFormat/>
    <w:uiPriority w:val="99"/>
    <w:rPr>
      <w:sz w:val="18"/>
      <w:szCs w:val="18"/>
    </w:rPr>
  </w:style>
  <w:style w:type="character" w:customStyle="1" w:styleId="17">
    <w:name w:val="页脚 字符"/>
    <w:basedOn w:val="13"/>
    <w:link w:val="9"/>
    <w:qFormat/>
    <w:uiPriority w:val="99"/>
    <w:rPr>
      <w:sz w:val="18"/>
      <w:szCs w:val="18"/>
    </w:rPr>
  </w:style>
  <w:style w:type="character" w:customStyle="1" w:styleId="18">
    <w:name w:val="标题 1 字符"/>
    <w:basedOn w:val="13"/>
    <w:link w:val="4"/>
    <w:qFormat/>
    <w:uiPriority w:val="9"/>
    <w:rPr>
      <w:rFonts w:ascii="宋体" w:hAnsi="Times New Roman" w:eastAsia="宋体" w:cs="Times New Roman"/>
      <w:b/>
      <w:bCs/>
      <w:kern w:val="44"/>
      <w:sz w:val="24"/>
      <w:szCs w:val="44"/>
      <w:lang w:val="zh-CN"/>
    </w:rPr>
  </w:style>
  <w:style w:type="character" w:customStyle="1" w:styleId="19">
    <w:name w:val="标题 2 字符"/>
    <w:basedOn w:val="13"/>
    <w:link w:val="5"/>
    <w:qFormat/>
    <w:uiPriority w:val="0"/>
    <w:rPr>
      <w:rFonts w:ascii="宋体" w:hAnsi="Arial" w:eastAsia="宋体" w:cs="Times New Roman"/>
      <w:b/>
      <w:bCs/>
      <w:sz w:val="24"/>
      <w:szCs w:val="32"/>
      <w:lang w:val="zh-CN"/>
    </w:rPr>
  </w:style>
  <w:style w:type="paragraph" w:customStyle="1" w:styleId="20">
    <w:name w:val="样式2"/>
    <w:basedOn w:val="1"/>
    <w:link w:val="21"/>
    <w:qFormat/>
    <w:uiPriority w:val="0"/>
    <w:pPr>
      <w:numPr>
        <w:ilvl w:val="3"/>
        <w:numId w:val="1"/>
      </w:numPr>
    </w:pPr>
    <w:rPr>
      <w:lang w:val="zh-CN"/>
    </w:rPr>
  </w:style>
  <w:style w:type="character" w:customStyle="1" w:styleId="21">
    <w:name w:val="样式2 Char"/>
    <w:link w:val="20"/>
    <w:qFormat/>
    <w:uiPriority w:val="0"/>
    <w:rPr>
      <w:rFonts w:ascii="宋体" w:hAnsi="Times New Roman" w:eastAsia="宋体" w:cs="Times New Roman"/>
      <w:sz w:val="24"/>
      <w:szCs w:val="24"/>
      <w:lang w:val="zh-CN"/>
    </w:rPr>
  </w:style>
  <w:style w:type="character" w:customStyle="1" w:styleId="22">
    <w:name w:val="批注框文本 字符"/>
    <w:basedOn w:val="13"/>
    <w:link w:val="8"/>
    <w:qFormat/>
    <w:uiPriority w:val="99"/>
    <w:rPr>
      <w:rFonts w:ascii="宋体" w:hAnsi="Times New Roman" w:eastAsia="宋体" w:cs="Times New Roman"/>
      <w:sz w:val="18"/>
      <w:szCs w:val="18"/>
    </w:rPr>
  </w:style>
  <w:style w:type="paragraph" w:customStyle="1" w:styleId="23">
    <w:name w:val="列出段落1"/>
    <w:basedOn w:val="1"/>
    <w:qFormat/>
    <w:uiPriority w:val="34"/>
    <w:pPr>
      <w:ind w:firstLine="420" w:firstLineChars="200"/>
    </w:pPr>
  </w:style>
  <w:style w:type="paragraph" w:customStyle="1" w:styleId="24">
    <w:name w:val="_Style 2"/>
    <w:basedOn w:val="1"/>
    <w:qFormat/>
    <w:uiPriority w:val="0"/>
    <w:pPr>
      <w:spacing w:line="240" w:lineRule="auto"/>
      <w:ind w:firstLine="420" w:firstLineChars="200"/>
    </w:pPr>
    <w:rPr>
      <w:rFonts w:ascii="Calibri" w:hAnsi="Calibri"/>
      <w:sz w:val="21"/>
    </w:rPr>
  </w:style>
  <w:style w:type="paragraph" w:customStyle="1" w:styleId="25">
    <w:name w:val="_Style 1"/>
    <w:basedOn w:val="1"/>
    <w:qFormat/>
    <w:uiPriority w:val="34"/>
    <w:pPr>
      <w:ind w:firstLine="420" w:firstLineChars="200"/>
    </w:pPr>
  </w:style>
  <w:style w:type="paragraph" w:customStyle="1" w:styleId="26">
    <w:name w:val="列表段落1"/>
    <w:basedOn w:val="1"/>
    <w:qFormat/>
    <w:uiPriority w:val="99"/>
    <w:pPr>
      <w:ind w:firstLine="420" w:firstLineChars="200"/>
    </w:pPr>
  </w:style>
  <w:style w:type="paragraph" w:customStyle="1" w:styleId="27">
    <w:name w:val="正文文字样式"/>
    <w:basedOn w:val="1"/>
    <w:qFormat/>
    <w:uiPriority w:val="0"/>
    <w:pPr>
      <w:spacing w:line="480" w:lineRule="atLeast"/>
      <w:ind w:firstLine="200" w:firstLineChars="200"/>
    </w:pPr>
    <w:rPr>
      <w:rFonts w:ascii="Times New Roman"/>
      <w:kern w:val="0"/>
    </w:rPr>
  </w:style>
  <w:style w:type="paragraph" w:customStyle="1" w:styleId="28">
    <w:name w:val="ybc-li-component"/>
    <w:basedOn w:val="1"/>
    <w:uiPriority w:val="0"/>
    <w:pPr>
      <w:widowControl/>
      <w:spacing w:before="100" w:beforeAutospacing="1" w:after="100" w:afterAutospacing="1" w:line="240" w:lineRule="auto"/>
      <w:jc w:val="left"/>
    </w:pPr>
    <w:rPr>
      <w:rFonts w:hAnsi="宋体" w:cs="宋体"/>
      <w:kern w:val="0"/>
    </w:rPr>
  </w:style>
  <w:style w:type="character" w:customStyle="1" w:styleId="29">
    <w:name w:val="ybc-li-component_content"/>
    <w:basedOn w:val="13"/>
    <w:uiPriority w:val="0"/>
  </w:style>
  <w:style w:type="character" w:customStyle="1" w:styleId="30">
    <w:name w:val="ybc-li-component_dot"/>
    <w:basedOn w:val="13"/>
    <w:uiPriority w:val="0"/>
  </w:style>
  <w:style w:type="table" w:customStyle="1" w:styleId="31">
    <w:name w:val="Table Normal"/>
    <w:semiHidden/>
    <w:unhideWhenUsed/>
    <w:qFormat/>
    <w:uiPriority w:val="0"/>
    <w:rPr>
      <w:rFonts w:asciiTheme="minorHAnsi" w:hAnsiTheme="minorHAnsi" w:eastAsiaTheme="minorEastAsia" w:cstheme="minorBidi"/>
    </w:rPr>
    <w:tblPr>
      <w:tblCellMar>
        <w:top w:w="0" w:type="dxa"/>
        <w:left w:w="0" w:type="dxa"/>
        <w:bottom w:w="0" w:type="dxa"/>
        <w:right w:w="0" w:type="dxa"/>
      </w:tblCellMar>
    </w:tblPr>
  </w:style>
  <w:style w:type="paragraph" w:customStyle="1" w:styleId="32">
    <w:name w:val="Table Text"/>
    <w:basedOn w:val="1"/>
    <w:semiHidden/>
    <w:qFormat/>
    <w:uiPriority w:val="0"/>
    <w:pPr>
      <w:widowControl/>
      <w:kinsoku w:val="0"/>
      <w:autoSpaceDE w:val="0"/>
      <w:autoSpaceDN w:val="0"/>
      <w:adjustRightInd w:val="0"/>
      <w:snapToGrid w:val="0"/>
      <w:spacing w:line="240" w:lineRule="auto"/>
      <w:jc w:val="left"/>
      <w:textAlignment w:val="baseline"/>
    </w:pPr>
    <w:rPr>
      <w:rFonts w:hAnsi="宋体" w:cs="宋体"/>
      <w:snapToGrid w:val="0"/>
      <w:color w:val="000000"/>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AB00-71B4-460B-8832-662557C033F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819</Words>
  <Characters>4669</Characters>
  <Lines>38</Lines>
  <Paragraphs>10</Paragraphs>
  <TotalTime>3</TotalTime>
  <ScaleCrop>false</ScaleCrop>
  <LinksUpToDate>false</LinksUpToDate>
  <CharactersWithSpaces>5478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2026-04-13T07:40:00Z</dcterms:created>
  <dc:creator>admin</dc:creator>
  <cp:lastModifiedBy>王川</cp:lastModifiedBy>
  <dcterms:modified xsi:type="dcterms:W3CDTF">2026-04-16T10:39:46Z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6DE1E1C085F7447E8DA5E880AB0258EE</vt:lpwstr>
  </property>
</Properties>
</file>