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97D64F">
      <w:pPr>
        <w:numPr>
          <w:numId w:val="0"/>
        </w:num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租赁设备技术响应要求</w:t>
      </w:r>
    </w:p>
    <w:p w14:paraId="631D2746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1、具备A3幅面、双面输出、复印功能、扫描功能、网络打印功能，速度不应低于40页/分钟多功能一体机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2、打印设备基本参数：最大幅面A3及以上；2个纸盒及以上；内存4GB及以上；硬盘320GB及以上；2个500张供纸盘及以上；手送90张及以上；彩色液晶触摸屏操作面板；打印分辨率：1200*2400dpi及以上；可实现彩色自动双面复印/彩色网络双面打印/彩色网络双面扫描功能；可实现扫描到电子邮箱/电脑/USB/硬盘；可选配传真功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3、打印设备参考参数：适用于52~300g介质及以上；1~999张及以上连续复印；黑色彩色同速扫描80张/分及以上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4、提供的网络打印设备具备每月不低于100000页的打印负荷承载能力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5、打印设备须具备友好的客户操作界面，可以根据用户的具体需求进行操作界面的自定义，并提供设备的日常售后服务。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Q1MjU1NGYzYWYxZTE2M2Y5YzAwNjU4YzMyMDcwN2MifQ=="/>
  </w:docVars>
  <w:rsids>
    <w:rsidRoot w:val="114F2A88"/>
    <w:rsid w:val="114F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Office_12.1.0.17140_F1E327BC-269C-435d-A152-05C5408002CA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2024-07-03T08:30:00Z</dcterms:created>
  <dc:creator>孙楠溪</dc:creator>
  <cp:lastModifiedBy>孙楠溪</cp:lastModifiedBy>
  <dcterms:modified xsi:type="dcterms:W3CDTF">2024-07-03T08:37:15Z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2052-12.1.0.17140</vt:lpwstr>
  </property>
  <property fmtid="{D5CDD505-2E9C-101B-9397-08002B2CF9AE}" pid="3" name="ICV">
    <vt:lpwstr>4276B783E9AE4D23ADD00022382E649E_11</vt:lpwstr>
  </property>
</Properties>
</file>