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jc w:val="center"/>
        <w:rPr>
          <w:rFonts w:hint="eastAsia" w:ascii="方正小标宋_GBK" w:hAnsi="方正小标宋_GBK" w:eastAsia="方正小标宋_GBK" w:cs="方正小标宋_GBK"/>
          <w:sz w:val="36"/>
          <w:szCs w:val="36"/>
          <w:highlight w:val="none"/>
          <w:lang w:val="en-US" w:eastAsia="zh-CN"/>
        </w:rPr>
      </w:pPr>
      <w:bookmarkStart w:id="0" w:name="_Hlk77898732"/>
      <w:bookmarkEnd w:id="0"/>
      <w:bookmarkStart w:id="1" w:name="_Toc1572"/>
      <w:bookmarkStart w:id="2" w:name="_Toc6059"/>
      <w:r>
        <w:rPr>
          <w:rFonts w:hint="eastAsia" w:ascii="宋体" w:hAnsi="宋体" w:eastAsia="宋体" w:cs="宋体"/>
          <w:color w:val="000000" w:themeColor="text1"/>
          <w:kern w:val="2"/>
          <w:sz w:val="44"/>
          <w:szCs w:val="21"/>
          <w:highlight w:val="none"/>
          <w:lang w:val="en-US" w:eastAsia="zh-CN" w:bidi="ar-SA"/>
          <w14:textFill>
            <w14:solidFill>
              <w14:schemeClr w14:val="tx1"/>
            </w14:solidFill>
          </w14:textFill>
        </w:rPr>
        <w:drawing>
          <wp:anchor distT="0" distB="0" distL="114300" distR="114300" simplePos="0" relativeHeight="251659264" behindDoc="0" locked="0" layoutInCell="1" allowOverlap="1">
            <wp:simplePos x="0" y="0"/>
            <wp:positionH relativeFrom="page">
              <wp:posOffset>0</wp:posOffset>
            </wp:positionH>
            <wp:positionV relativeFrom="paragraph">
              <wp:posOffset>-925195</wp:posOffset>
            </wp:positionV>
            <wp:extent cx="7589520" cy="2769235"/>
            <wp:effectExtent l="0" t="0" r="1905" b="2540"/>
            <wp:wrapNone/>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7">
                      <a:lum/>
                    </a:blip>
                    <a:stretch>
                      <a:fillRect/>
                    </a:stretch>
                  </pic:blipFill>
                  <pic:spPr>
                    <a:xfrm>
                      <a:off x="0" y="0"/>
                      <a:ext cx="7589520" cy="2769235"/>
                    </a:xfrm>
                    <a:prstGeom prst="rect">
                      <a:avLst/>
                    </a:prstGeom>
                    <a:noFill/>
                    <a:ln>
                      <a:noFill/>
                    </a:ln>
                  </pic:spPr>
                </pic:pic>
              </a:graphicData>
            </a:graphic>
          </wp:anchor>
        </w:drawing>
      </w:r>
    </w:p>
    <w:p>
      <w:pPr>
        <w:spacing w:after="0" w:line="240" w:lineRule="auto"/>
        <w:jc w:val="center"/>
        <w:rPr>
          <w:rFonts w:hint="eastAsia" w:ascii="方正小标宋_GBK" w:hAnsi="方正小标宋_GBK" w:eastAsia="方正小标宋_GBK" w:cs="方正小标宋_GBK"/>
          <w:sz w:val="36"/>
          <w:szCs w:val="36"/>
          <w:highlight w:val="none"/>
          <w:lang w:val="en-US" w:eastAsia="zh-CN"/>
        </w:rPr>
      </w:pPr>
    </w:p>
    <w:p>
      <w:pPr>
        <w:spacing w:after="0" w:line="240" w:lineRule="auto"/>
        <w:jc w:val="center"/>
        <w:rPr>
          <w:rFonts w:hint="eastAsia" w:ascii="方正小标宋_GBK" w:hAnsi="方正小标宋_GBK" w:eastAsia="方正小标宋_GBK" w:cs="方正小标宋_GBK"/>
          <w:sz w:val="36"/>
          <w:szCs w:val="36"/>
          <w:highlight w:val="none"/>
          <w:lang w:val="en-US" w:eastAsia="zh-CN"/>
        </w:rPr>
      </w:pPr>
    </w:p>
    <w:p>
      <w:pPr>
        <w:spacing w:after="0" w:line="240" w:lineRule="auto"/>
        <w:jc w:val="center"/>
        <w:rPr>
          <w:rFonts w:hint="eastAsia" w:ascii="方正小标宋_GBK" w:hAnsi="方正小标宋_GBK" w:eastAsia="方正小标宋_GBK" w:cs="方正小标宋_GBK"/>
          <w:sz w:val="36"/>
          <w:szCs w:val="36"/>
          <w:highlight w:val="none"/>
          <w:lang w:val="en-US" w:eastAsia="zh-CN"/>
        </w:rPr>
      </w:pPr>
    </w:p>
    <w:p>
      <w:pPr>
        <w:spacing w:after="0" w:line="240" w:lineRule="auto"/>
        <w:jc w:val="center"/>
        <w:rPr>
          <w:rFonts w:hint="eastAsia" w:ascii="方正小标宋_GBK" w:hAnsi="方正小标宋_GBK" w:eastAsia="方正小标宋_GBK" w:cs="方正小标宋_GBK"/>
          <w:sz w:val="36"/>
          <w:szCs w:val="36"/>
          <w:highlight w:val="none"/>
          <w:lang w:val="en-US" w:eastAsia="zh-CN"/>
        </w:rPr>
      </w:pPr>
    </w:p>
    <w:p>
      <w:pPr>
        <w:spacing w:after="0" w:line="240" w:lineRule="auto"/>
        <w:jc w:val="center"/>
        <w:rPr>
          <w:rFonts w:hint="eastAsia" w:ascii="方正小标宋_GBK" w:hAnsi="方正小标宋_GBK" w:eastAsia="方正小标宋_GBK" w:cs="方正小标宋_GBK"/>
          <w:sz w:val="44"/>
          <w:szCs w:val="44"/>
          <w:highlight w:val="none"/>
          <w:lang w:val="en-US" w:eastAsia="zh-CN"/>
        </w:rPr>
      </w:pPr>
    </w:p>
    <w:p>
      <w:pPr>
        <w:spacing w:after="0" w:line="240" w:lineRule="auto"/>
        <w:jc w:val="center"/>
        <w:rPr>
          <w:rFonts w:hint="eastAsia" w:ascii="方正小标宋_GBK" w:hAnsi="方正小标宋_GBK" w:eastAsia="方正小标宋_GBK" w:cs="方正小标宋_GBK"/>
          <w:sz w:val="44"/>
          <w:szCs w:val="44"/>
          <w:highlight w:val="none"/>
          <w:lang w:val="en-US" w:eastAsia="zh-CN"/>
        </w:rPr>
      </w:pPr>
      <w:r>
        <w:rPr>
          <w:rFonts w:hint="eastAsia" w:ascii="方正小标宋_GBK" w:hAnsi="方正小标宋_GBK" w:eastAsia="方正小标宋_GBK" w:cs="方正小标宋_GBK"/>
          <w:sz w:val="44"/>
          <w:szCs w:val="44"/>
          <w:highlight w:val="none"/>
          <w:lang w:val="en-US" w:eastAsia="zh-CN"/>
        </w:rPr>
        <w:t>南方电网互联网服务有限公司</w:t>
      </w:r>
      <w:bookmarkStart w:id="3" w:name="OLE_LINK1"/>
      <w:r>
        <w:rPr>
          <w:rFonts w:hint="eastAsia" w:ascii="方正小标宋_GBK" w:hAnsi="方正小标宋_GBK" w:eastAsia="方正小标宋_GBK" w:cs="方正小标宋_GBK"/>
          <w:sz w:val="44"/>
          <w:szCs w:val="44"/>
          <w:highlight w:val="none"/>
          <w:lang w:val="en-US" w:eastAsia="zh-CN"/>
        </w:rPr>
        <w:t>常年保密</w:t>
      </w:r>
    </w:p>
    <w:p>
      <w:pPr>
        <w:spacing w:after="0" w:line="240" w:lineRule="auto"/>
        <w:jc w:val="center"/>
        <w:rPr>
          <w:rFonts w:hint="eastAsia" w:ascii="方正小标宋_GBK" w:hAnsi="方正小标宋_GBK" w:eastAsia="方正小标宋_GBK" w:cs="方正小标宋_GBK"/>
          <w:sz w:val="44"/>
          <w:szCs w:val="44"/>
          <w:highlight w:val="none"/>
          <w:lang w:val="en-US" w:eastAsia="zh-CN"/>
        </w:rPr>
      </w:pPr>
      <w:r>
        <w:rPr>
          <w:rFonts w:hint="eastAsia" w:ascii="方正小标宋_GBK" w:hAnsi="方正小标宋_GBK" w:eastAsia="方正小标宋_GBK" w:cs="方正小标宋_GBK"/>
          <w:sz w:val="44"/>
          <w:szCs w:val="44"/>
          <w:highlight w:val="none"/>
          <w:lang w:val="en-US" w:eastAsia="zh-CN"/>
        </w:rPr>
        <w:t>咨询（顾问）服务采购项目服务</w:t>
      </w:r>
      <w:bookmarkEnd w:id="3"/>
      <w:r>
        <w:rPr>
          <w:rFonts w:hint="eastAsia" w:ascii="方正小标宋_GBK" w:hAnsi="方正小标宋_GBK" w:eastAsia="方正小标宋_GBK" w:cs="方正小标宋_GBK"/>
          <w:sz w:val="44"/>
          <w:szCs w:val="44"/>
          <w:highlight w:val="none"/>
          <w:lang w:val="en-US" w:eastAsia="zh-CN"/>
        </w:rPr>
        <w:t>要求</w:t>
      </w:r>
    </w:p>
    <w:p>
      <w:pPr>
        <w:spacing w:after="0" w:line="240" w:lineRule="auto"/>
        <w:jc w:val="center"/>
        <w:rPr>
          <w:rFonts w:hint="eastAsia" w:ascii="方正小标宋_GBK" w:hAnsi="方正小标宋_GBK" w:eastAsia="方正小标宋_GBK" w:cs="方正小标宋_GBK"/>
          <w:sz w:val="44"/>
          <w:szCs w:val="44"/>
          <w:highlight w:val="none"/>
          <w:lang w:val="en-US" w:eastAsia="zh-CN"/>
        </w:rPr>
      </w:pPr>
    </w:p>
    <w:p>
      <w:pPr>
        <w:bidi w:val="0"/>
        <w:rPr>
          <w:rFonts w:hint="eastAsia"/>
          <w:lang w:val="en-US" w:eastAsia="zh-CN"/>
        </w:rPr>
      </w:pPr>
    </w:p>
    <w:p>
      <w:pPr>
        <w:spacing w:after="0" w:line="240" w:lineRule="auto"/>
        <w:jc w:val="center"/>
        <w:rPr>
          <w:rFonts w:hint="eastAsia" w:ascii="方正小标宋_GBK" w:hAnsi="方正小标宋_GBK" w:eastAsia="方正小标宋_GBK" w:cs="方正小标宋_GBK"/>
          <w:sz w:val="36"/>
          <w:szCs w:val="36"/>
          <w:highlight w:val="none"/>
          <w:lang w:val="en-US" w:eastAsia="zh-CN"/>
        </w:rPr>
      </w:pPr>
    </w:p>
    <w:p>
      <w:pPr>
        <w:spacing w:after="0" w:line="240" w:lineRule="auto"/>
        <w:jc w:val="center"/>
        <w:rPr>
          <w:rFonts w:hint="eastAsia" w:ascii="方正小标宋_GBK" w:hAnsi="方正小标宋_GBK" w:eastAsia="方正小标宋_GBK" w:cs="方正小标宋_GBK"/>
          <w:sz w:val="36"/>
          <w:szCs w:val="36"/>
          <w:highlight w:val="none"/>
          <w:lang w:val="en-US" w:eastAsia="zh-CN"/>
        </w:rPr>
      </w:pPr>
    </w:p>
    <w:p>
      <w:pPr>
        <w:spacing w:after="0" w:line="240" w:lineRule="auto"/>
        <w:jc w:val="center"/>
        <w:rPr>
          <w:rFonts w:hint="eastAsia" w:ascii="方正小标宋_GBK" w:hAnsi="方正小标宋_GBK" w:eastAsia="方正小标宋_GBK" w:cs="方正小标宋_GBK"/>
          <w:sz w:val="36"/>
          <w:szCs w:val="36"/>
          <w:highlight w:val="none"/>
          <w:lang w:val="en-US" w:eastAsia="zh-CN"/>
        </w:rPr>
      </w:pPr>
    </w:p>
    <w:p>
      <w:pPr>
        <w:spacing w:after="0" w:line="240" w:lineRule="auto"/>
        <w:jc w:val="center"/>
        <w:rPr>
          <w:rFonts w:hint="eastAsia" w:ascii="方正小标宋_GBK" w:hAnsi="方正小标宋_GBK" w:eastAsia="方正小标宋_GBK" w:cs="方正小标宋_GBK"/>
          <w:sz w:val="32"/>
          <w:szCs w:val="32"/>
          <w:highlight w:val="none"/>
          <w:lang w:val="en-US" w:eastAsia="zh-CN"/>
        </w:rPr>
      </w:pPr>
      <w:r>
        <w:rPr>
          <w:rFonts w:hint="eastAsia" w:ascii="方正小标宋_GBK" w:hAnsi="方正小标宋_GBK" w:eastAsia="方正小标宋_GBK" w:cs="方正小标宋_GBK"/>
          <w:sz w:val="32"/>
          <w:szCs w:val="32"/>
          <w:highlight w:val="none"/>
          <w:lang w:val="en-US" w:eastAsia="zh-CN"/>
        </w:rPr>
        <w:t>南方电网互联网服务有限公司</w:t>
      </w:r>
    </w:p>
    <w:p>
      <w:pPr>
        <w:spacing w:after="0" w:line="240" w:lineRule="auto"/>
        <w:jc w:val="center"/>
        <w:rPr>
          <w:rFonts w:hint="eastAsia" w:ascii="方正小标宋_GBK" w:hAnsi="方正小标宋_GBK" w:eastAsia="方正小标宋_GBK" w:cs="方正小标宋_GBK"/>
          <w:sz w:val="32"/>
          <w:szCs w:val="32"/>
          <w:highlight w:val="none"/>
          <w:lang w:val="en-US" w:eastAsia="zh-CN"/>
        </w:rPr>
      </w:pPr>
      <w:r>
        <w:rPr>
          <w:rFonts w:hint="eastAsia" w:ascii="方正小标宋_GBK" w:hAnsi="方正小标宋_GBK" w:eastAsia="方正小标宋_GBK" w:cs="方正小标宋_GBK"/>
          <w:sz w:val="32"/>
          <w:szCs w:val="32"/>
          <w:highlight w:val="none"/>
          <w:lang w:val="en-US" w:eastAsia="zh-CN"/>
        </w:rPr>
        <w:t>二〇二六年四月</w:t>
      </w:r>
    </w:p>
    <w:bookmarkEnd w:id="1"/>
    <w:bookmarkEnd w:id="2"/>
    <w:p>
      <w:pPr>
        <w:pStyle w:val="3"/>
        <w:shd w:val="clear"/>
        <w:bidi w:val="0"/>
        <w:rPr>
          <w:rFonts w:hint="eastAsia" w:ascii="宋体" w:hAnsi="宋体" w:eastAsia="宋体" w:cs="宋体"/>
          <w:highlight w:val="none"/>
          <w:lang w:val="en-US" w:eastAsia="zh-CN"/>
        </w:rPr>
      </w:pPr>
    </w:p>
    <w:p>
      <w:pPr>
        <w:pStyle w:val="3"/>
        <w:shd w:val="clear"/>
        <w:bidi w:val="0"/>
        <w:rPr>
          <w:rFonts w:hint="eastAsia" w:ascii="宋体" w:hAnsi="宋体" w:eastAsia="宋体" w:cs="宋体"/>
          <w:highlight w:val="none"/>
          <w:lang w:val="en-US" w:eastAsia="zh-CN"/>
        </w:rPr>
      </w:pPr>
    </w:p>
    <w:p>
      <w:pPr>
        <w:pStyle w:val="3"/>
        <w:shd w:val="clear"/>
        <w:bidi w:val="0"/>
        <w:rPr>
          <w:rFonts w:hint="eastAsia" w:ascii="宋体" w:hAnsi="宋体" w:eastAsia="宋体" w:cs="宋体"/>
          <w:highlight w:val="none"/>
          <w:lang w:val="en-US" w:eastAsia="zh-CN"/>
        </w:rPr>
      </w:pPr>
    </w:p>
    <w:p>
      <w:pPr>
        <w:bidi w:val="0"/>
        <w:rPr>
          <w:rFonts w:hint="eastAsia"/>
          <w:lang w:val="en-US" w:eastAsia="zh-CN"/>
        </w:rPr>
      </w:pPr>
    </w:p>
    <w:p>
      <w:pPr>
        <w:bidi w:val="0"/>
        <w:rPr>
          <w:rFonts w:hint="eastAsia"/>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pPr>
        <w:pStyle w:val="3"/>
        <w:bidi w:val="0"/>
        <w:rPr>
          <w:rFonts w:hint="eastAsia"/>
        </w:rPr>
      </w:pPr>
      <w:bookmarkStart w:id="4" w:name="_Toc349747260"/>
      <w:r>
        <w:rPr>
          <w:rFonts w:hint="eastAsia"/>
          <w:lang w:val="en-US" w:eastAsia="zh-CN"/>
        </w:rPr>
        <w:t>1、</w:t>
      </w:r>
      <w:r>
        <w:rPr>
          <w:rFonts w:hint="eastAsia"/>
        </w:rPr>
        <w:t>总则</w:t>
      </w:r>
      <w:bookmarkEnd w:id="4"/>
    </w:p>
    <w:p>
      <w:pPr>
        <w:pStyle w:val="20"/>
        <w:numPr>
          <w:ilvl w:val="0"/>
          <w:numId w:val="0"/>
        </w:numPr>
        <w:spacing w:line="360" w:lineRule="auto"/>
        <w:ind w:firstLine="480" w:firstLineChars="200"/>
        <w:rPr>
          <w:rFonts w:hint="eastAsia" w:asciiTheme="majorEastAsia" w:hAnsiTheme="majorEastAsia" w:eastAsiaTheme="majorEastAsia" w:cstheme="majorEastAsia"/>
          <w:color w:val="000000"/>
          <w:szCs w:val="24"/>
        </w:rPr>
      </w:pPr>
      <w:r>
        <w:rPr>
          <w:rFonts w:hint="eastAsia" w:asciiTheme="majorEastAsia" w:hAnsiTheme="majorEastAsia" w:eastAsiaTheme="majorEastAsia" w:cstheme="majorEastAsia"/>
          <w:color w:val="000000"/>
          <w:szCs w:val="24"/>
          <w:lang w:val="en-US" w:eastAsia="zh-CN"/>
        </w:rPr>
        <w:t>1.1.1</w:t>
      </w:r>
      <w:r>
        <w:rPr>
          <w:rFonts w:hint="eastAsia" w:asciiTheme="majorEastAsia" w:hAnsiTheme="majorEastAsia" w:eastAsiaTheme="majorEastAsia" w:cstheme="majorEastAsia"/>
          <w:color w:val="000000"/>
          <w:szCs w:val="24"/>
        </w:rPr>
        <w:t xml:space="preserve"> 本</w:t>
      </w:r>
      <w:r>
        <w:rPr>
          <w:rFonts w:hint="eastAsia" w:asciiTheme="majorEastAsia" w:hAnsiTheme="majorEastAsia" w:eastAsiaTheme="majorEastAsia" w:cstheme="majorEastAsia"/>
          <w:color w:val="000000"/>
          <w:szCs w:val="24"/>
          <w:lang w:eastAsia="zh-CN"/>
        </w:rPr>
        <w:t>服务要求</w:t>
      </w:r>
      <w:r>
        <w:rPr>
          <w:rFonts w:hint="eastAsia" w:asciiTheme="majorEastAsia" w:hAnsiTheme="majorEastAsia" w:eastAsiaTheme="majorEastAsia" w:cstheme="majorEastAsia"/>
          <w:color w:val="000000"/>
          <w:szCs w:val="24"/>
        </w:rPr>
        <w:t>提出</w:t>
      </w:r>
      <w:r>
        <w:rPr>
          <w:rFonts w:hint="eastAsia" w:asciiTheme="majorEastAsia" w:hAnsiTheme="majorEastAsia" w:eastAsiaTheme="majorEastAsia" w:cstheme="majorEastAsia"/>
          <w:color w:val="000000"/>
          <w:szCs w:val="24"/>
          <w:lang w:val="en-US" w:eastAsia="zh-CN"/>
        </w:rPr>
        <w:t>了《</w:t>
      </w:r>
      <w:r>
        <w:rPr>
          <w:rFonts w:hint="eastAsia" w:asciiTheme="majorEastAsia" w:hAnsiTheme="majorEastAsia" w:eastAsiaTheme="majorEastAsia" w:cstheme="majorEastAsia"/>
          <w:color w:val="auto"/>
          <w:sz w:val="24"/>
          <w:szCs w:val="28"/>
          <w:highlight w:val="none"/>
          <w:lang w:val="en-US" w:eastAsia="zh-CN"/>
        </w:rPr>
        <w:t>南方电网互联网服务有限公司常年保密咨询（顾问）服务采购项目</w:t>
      </w:r>
      <w:r>
        <w:rPr>
          <w:rFonts w:hint="eastAsia" w:asciiTheme="majorEastAsia" w:hAnsiTheme="majorEastAsia" w:eastAsiaTheme="majorEastAsia" w:cstheme="majorEastAsia"/>
          <w:color w:val="000000"/>
          <w:szCs w:val="24"/>
          <w:highlight w:val="none"/>
          <w:lang w:val="en-US" w:eastAsia="zh-CN"/>
        </w:rPr>
        <w:t>》</w:t>
      </w:r>
      <w:r>
        <w:rPr>
          <w:rFonts w:hint="eastAsia" w:asciiTheme="majorEastAsia" w:hAnsiTheme="majorEastAsia" w:eastAsiaTheme="majorEastAsia" w:cstheme="majorEastAsia"/>
          <w:color w:val="000000"/>
          <w:szCs w:val="24"/>
        </w:rPr>
        <w:t>的</w:t>
      </w:r>
      <w:r>
        <w:rPr>
          <w:rFonts w:hint="eastAsia" w:asciiTheme="majorEastAsia" w:hAnsiTheme="majorEastAsia" w:eastAsiaTheme="majorEastAsia" w:cstheme="majorEastAsia"/>
          <w:color w:val="000000"/>
          <w:szCs w:val="24"/>
          <w:lang w:val="en-US" w:eastAsia="zh-CN"/>
        </w:rPr>
        <w:t>服务</w:t>
      </w:r>
      <w:r>
        <w:rPr>
          <w:rFonts w:hint="eastAsia" w:asciiTheme="majorEastAsia" w:hAnsiTheme="majorEastAsia" w:eastAsiaTheme="majorEastAsia" w:cstheme="majorEastAsia"/>
          <w:color w:val="000000"/>
          <w:szCs w:val="24"/>
        </w:rPr>
        <w:t>要求。</w:t>
      </w:r>
    </w:p>
    <w:p>
      <w:pPr>
        <w:pStyle w:val="20"/>
        <w:numPr>
          <w:ilvl w:val="0"/>
          <w:numId w:val="0"/>
        </w:numPr>
        <w:spacing w:line="360" w:lineRule="auto"/>
        <w:ind w:firstLine="480" w:firstLineChars="200"/>
        <w:rPr>
          <w:rFonts w:hint="eastAsia" w:asciiTheme="majorEastAsia" w:hAnsiTheme="majorEastAsia" w:eastAsiaTheme="majorEastAsia" w:cstheme="majorEastAsia"/>
          <w:color w:val="000000"/>
          <w:szCs w:val="24"/>
          <w:highlight w:val="none"/>
          <w:lang w:val="en-US" w:eastAsia="zh-CN"/>
        </w:rPr>
      </w:pPr>
      <w:r>
        <w:rPr>
          <w:rFonts w:hint="eastAsia" w:asciiTheme="majorEastAsia" w:hAnsiTheme="majorEastAsia" w:eastAsiaTheme="majorEastAsia" w:cstheme="majorEastAsia"/>
          <w:color w:val="000000"/>
          <w:szCs w:val="24"/>
          <w:highlight w:val="none"/>
          <w:lang w:val="en-US" w:eastAsia="zh-CN"/>
        </w:rPr>
        <w:t>1.1.2 本服务要求经采购方、报价方双方确认后作为合同的技术附件，与合同正文具有同等的法律效力。</w:t>
      </w:r>
    </w:p>
    <w:p>
      <w:pPr>
        <w:bidi w:val="0"/>
        <w:ind w:firstLine="480" w:firstLineChars="200"/>
        <w:rPr>
          <w:rFonts w:hint="eastAsia"/>
          <w:lang w:val="en-US" w:eastAsia="zh-CN"/>
        </w:rPr>
      </w:pPr>
      <w:r>
        <w:rPr>
          <w:rFonts w:hint="eastAsia" w:asciiTheme="majorEastAsia" w:hAnsiTheme="majorEastAsia" w:eastAsiaTheme="majorEastAsia" w:cstheme="majorEastAsia"/>
          <w:color w:val="000000"/>
          <w:szCs w:val="24"/>
          <w:highlight w:val="none"/>
          <w:lang w:val="en-US" w:eastAsia="zh-CN"/>
        </w:rPr>
        <w:t>1.1.3 本服务要求的最终解释权归采购方。</w:t>
      </w:r>
    </w:p>
    <w:p>
      <w:pPr>
        <w:pStyle w:val="3"/>
        <w:bidi w:val="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2、项目概况</w:t>
      </w:r>
    </w:p>
    <w:p>
      <w:pPr>
        <w:keepNext w:val="0"/>
        <w:keepLines w:val="0"/>
        <w:pageBreakBefore w:val="0"/>
        <w:widowControl w:val="0"/>
        <w:kinsoku/>
        <w:wordWrap/>
        <w:overflowPunct/>
        <w:topLinePunct w:val="0"/>
        <w:autoSpaceDE/>
        <w:autoSpaceDN/>
        <w:bidi w:val="0"/>
        <w:adjustRightInd/>
        <w:snapToGrid/>
        <w:spacing w:after="0"/>
        <w:ind w:firstLine="480" w:firstLineChars="200"/>
        <w:textAlignment w:val="auto"/>
        <w:rPr>
          <w:rFonts w:hint="default"/>
          <w:lang w:val="en-US" w:eastAsia="zh-CN"/>
        </w:rPr>
      </w:pPr>
      <w:r>
        <w:rPr>
          <w:rFonts w:hint="default"/>
          <w:lang w:val="en-US" w:eastAsia="zh-CN"/>
        </w:rPr>
        <w:t>为保障采购方日常保密管理工作规范、有序、高效开展，严格落实涉密信息系统集成资质相关保密管理要求，拟引入具备成熟保密管理经验的</w:t>
      </w:r>
      <w:r>
        <w:rPr>
          <w:rFonts w:hint="eastAsia"/>
          <w:lang w:val="en-US" w:eastAsia="zh-CN"/>
        </w:rPr>
        <w:t>供应商</w:t>
      </w:r>
      <w:r>
        <w:rPr>
          <w:rFonts w:hint="default"/>
          <w:lang w:val="en-US" w:eastAsia="zh-CN"/>
        </w:rPr>
        <w:t>，为采购方保密工作提供专业指导与技术支撑。</w:t>
      </w:r>
    </w:p>
    <w:p>
      <w:pPr>
        <w:keepNext w:val="0"/>
        <w:keepLines w:val="0"/>
        <w:pageBreakBefore w:val="0"/>
        <w:widowControl w:val="0"/>
        <w:kinsoku/>
        <w:wordWrap/>
        <w:overflowPunct/>
        <w:topLinePunct w:val="0"/>
        <w:autoSpaceDE/>
        <w:autoSpaceDN/>
        <w:bidi w:val="0"/>
        <w:adjustRightInd/>
        <w:snapToGrid/>
        <w:spacing w:after="0"/>
        <w:ind w:firstLine="480" w:firstLineChars="200"/>
        <w:textAlignment w:val="auto"/>
        <w:rPr>
          <w:rFonts w:hint="default"/>
          <w:lang w:val="en-US" w:eastAsia="zh-CN"/>
        </w:rPr>
      </w:pPr>
      <w:r>
        <w:rPr>
          <w:rFonts w:hint="default"/>
          <w:lang w:val="en-US" w:eastAsia="zh-CN"/>
        </w:rPr>
        <w:t>供应商</w:t>
      </w:r>
      <w:r>
        <w:rPr>
          <w:rFonts w:hint="eastAsia"/>
          <w:lang w:val="en-US" w:eastAsia="zh-CN"/>
        </w:rPr>
        <w:t>需</w:t>
      </w:r>
      <w:r>
        <w:rPr>
          <w:rFonts w:hint="default"/>
          <w:lang w:val="en-US" w:eastAsia="zh-CN"/>
        </w:rPr>
        <w:t>提供年度日常保密咨询、协助开展年度全面保密检查与专项保密检查、保密业务现场辅导及政策答疑等服务。</w:t>
      </w:r>
    </w:p>
    <w:p>
      <w:pPr>
        <w:keepNext w:val="0"/>
        <w:keepLines w:val="0"/>
        <w:pageBreakBefore w:val="0"/>
        <w:widowControl w:val="0"/>
        <w:kinsoku/>
        <w:wordWrap/>
        <w:overflowPunct/>
        <w:topLinePunct w:val="0"/>
        <w:autoSpaceDE/>
        <w:autoSpaceDN/>
        <w:bidi w:val="0"/>
        <w:adjustRightInd/>
        <w:snapToGrid/>
        <w:spacing w:after="0"/>
        <w:ind w:firstLine="480" w:firstLineChars="200"/>
        <w:textAlignment w:val="auto"/>
        <w:rPr>
          <w:rFonts w:hint="default"/>
          <w:lang w:val="en-US" w:eastAsia="zh-CN"/>
        </w:rPr>
      </w:pPr>
      <w:r>
        <w:rPr>
          <w:rFonts w:hint="default"/>
          <w:lang w:val="en-US" w:eastAsia="zh-CN"/>
        </w:rPr>
        <w:t>所有服务内容均不涉及国家秘密，且严格遵守国家及行业相关保密管理规定。</w:t>
      </w:r>
    </w:p>
    <w:p>
      <w:pPr>
        <w:keepNext w:val="0"/>
        <w:keepLines w:val="0"/>
        <w:pageBreakBefore w:val="0"/>
        <w:widowControl w:val="0"/>
        <w:kinsoku/>
        <w:wordWrap/>
        <w:overflowPunct/>
        <w:topLinePunct w:val="0"/>
        <w:autoSpaceDE/>
        <w:autoSpaceDN/>
        <w:bidi w:val="0"/>
        <w:adjustRightInd/>
        <w:snapToGrid/>
        <w:spacing w:after="0"/>
        <w:ind w:firstLine="480" w:firstLineChars="200"/>
        <w:textAlignment w:val="auto"/>
        <w:rPr>
          <w:rFonts w:hint="default" w:asciiTheme="majorEastAsia" w:hAnsiTheme="majorEastAsia" w:eastAsiaTheme="majorEastAsia" w:cstheme="majorEastAsia"/>
          <w:color w:val="000000"/>
          <w:kern w:val="0"/>
          <w:sz w:val="24"/>
          <w:szCs w:val="24"/>
          <w:highlight w:val="none"/>
          <w:lang w:val="en-US" w:eastAsia="zh-CN" w:bidi="ar-SA"/>
        </w:rPr>
      </w:pPr>
      <w:r>
        <w:rPr>
          <w:rFonts w:hint="default"/>
          <w:lang w:val="en-US" w:eastAsia="zh-CN"/>
        </w:rPr>
        <w:t>本次服务采购</w:t>
      </w:r>
      <w:r>
        <w:rPr>
          <w:rFonts w:hint="eastAsia"/>
          <w:lang w:val="en-US" w:eastAsia="zh-CN"/>
        </w:rPr>
        <w:t>旨在</w:t>
      </w:r>
      <w:r>
        <w:rPr>
          <w:rFonts w:hint="default"/>
          <w:lang w:val="en-US" w:eastAsia="zh-CN"/>
        </w:rPr>
        <w:t>进一步健全完善采购方保密管理体系，全面提升保密管理质效，切实保障涉密信息安全可控，为采购方各项业务合规、有序、高效运行提供坚实的保密支撑与保障。</w:t>
      </w:r>
    </w:p>
    <w:p>
      <w:pPr>
        <w:pStyle w:val="3"/>
        <w:numPr>
          <w:ilvl w:val="0"/>
          <w:numId w:val="2"/>
        </w:numPr>
        <w:bidi w:val="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服务要求</w:t>
      </w:r>
    </w:p>
    <w:p>
      <w:pPr>
        <w:pStyle w:val="4"/>
        <w:bidi w:val="0"/>
        <w:rPr>
          <w:rFonts w:hint="default"/>
          <w:lang w:val="en-US" w:eastAsia="zh-CN"/>
        </w:rPr>
      </w:pPr>
      <w:r>
        <w:rPr>
          <w:rFonts w:hint="eastAsia"/>
          <w:lang w:val="en-US" w:eastAsia="zh-CN"/>
        </w:rPr>
        <w:t>3.1报价方资质要求</w:t>
      </w:r>
    </w:p>
    <w:p>
      <w:pPr>
        <w:keepNext w:val="0"/>
        <w:keepLines w:val="0"/>
        <w:pageBreakBefore w:val="0"/>
        <w:widowControl w:val="0"/>
        <w:numPr>
          <w:ilvl w:val="0"/>
          <w:numId w:val="0"/>
        </w:numPr>
        <w:kinsoku/>
        <w:wordWrap/>
        <w:overflowPunct/>
        <w:topLinePunct w:val="0"/>
        <w:autoSpaceDE/>
        <w:autoSpaceDN/>
        <w:bidi w:val="0"/>
        <w:adjustRightInd/>
        <w:snapToGrid/>
        <w:spacing w:after="0"/>
        <w:ind w:firstLine="480" w:firstLineChars="200"/>
        <w:textAlignment w:val="auto"/>
        <w:rPr>
          <w:rFonts w:hint="eastAsia"/>
          <w:highlight w:val="none"/>
          <w:lang w:val="en-US" w:eastAsia="zh-CN"/>
        </w:rPr>
      </w:pPr>
      <w:r>
        <w:rPr>
          <w:rFonts w:hint="eastAsia"/>
          <w:highlight w:val="none"/>
          <w:lang w:val="en-US" w:eastAsia="zh-CN"/>
        </w:rPr>
        <w:t>报价方必须同时满足以下条件：</w:t>
      </w:r>
    </w:p>
    <w:p>
      <w:pPr>
        <w:keepNext w:val="0"/>
        <w:keepLines w:val="0"/>
        <w:pageBreakBefore w:val="0"/>
        <w:widowControl w:val="0"/>
        <w:numPr>
          <w:ilvl w:val="0"/>
          <w:numId w:val="0"/>
        </w:numPr>
        <w:kinsoku/>
        <w:wordWrap/>
        <w:overflowPunct/>
        <w:topLinePunct w:val="0"/>
        <w:autoSpaceDE/>
        <w:autoSpaceDN/>
        <w:bidi w:val="0"/>
        <w:adjustRightInd/>
        <w:snapToGrid/>
        <w:spacing w:after="0"/>
        <w:textAlignment w:val="auto"/>
        <w:rPr>
          <w:rFonts w:hint="eastAsia"/>
          <w:highlight w:val="none"/>
          <w:lang w:val="en-US" w:eastAsia="zh-CN"/>
        </w:rPr>
      </w:pPr>
      <w:r>
        <w:rPr>
          <w:rFonts w:hint="eastAsia" w:ascii="Times New Roman" w:hAnsi="Times New Roman" w:eastAsia="宋体" w:cs="Times New Roman"/>
          <w:kern w:val="2"/>
          <w:sz w:val="24"/>
          <w:szCs w:val="22"/>
          <w:lang w:val="en-US" w:eastAsia="zh-CN" w:bidi="ar-SA"/>
        </w:rPr>
        <w:t>（1）</w:t>
      </w:r>
      <w:r>
        <w:rPr>
          <w:rFonts w:hint="eastAsia"/>
          <w:highlight w:val="none"/>
          <w:lang w:val="en-US" w:eastAsia="zh-CN"/>
        </w:rPr>
        <w:t>具有独立法人资格，持有有效的营业执照、税务登记证、组织机构代码证（或统一社会信用代码营业执照）。</w:t>
      </w:r>
    </w:p>
    <w:p>
      <w:pPr>
        <w:keepNext w:val="0"/>
        <w:keepLines w:val="0"/>
        <w:pageBreakBefore w:val="0"/>
        <w:widowControl w:val="0"/>
        <w:numPr>
          <w:ilvl w:val="0"/>
          <w:numId w:val="0"/>
        </w:numPr>
        <w:kinsoku/>
        <w:wordWrap/>
        <w:overflowPunct/>
        <w:topLinePunct w:val="0"/>
        <w:autoSpaceDE/>
        <w:autoSpaceDN/>
        <w:bidi w:val="0"/>
        <w:adjustRightInd/>
        <w:snapToGrid/>
        <w:spacing w:after="0"/>
        <w:textAlignment w:val="auto"/>
        <w:rPr>
          <w:rFonts w:hint="eastAsia"/>
          <w:highlight w:val="none"/>
          <w:lang w:val="en-US" w:eastAsia="zh-CN"/>
        </w:rPr>
      </w:pPr>
      <w:r>
        <w:rPr>
          <w:rFonts w:hint="eastAsia" w:ascii="Times New Roman" w:hAnsi="Times New Roman" w:eastAsia="宋体" w:cs="Times New Roman"/>
          <w:kern w:val="2"/>
          <w:sz w:val="24"/>
          <w:szCs w:val="22"/>
          <w:lang w:val="en-US" w:eastAsia="zh-CN" w:bidi="ar-SA"/>
        </w:rPr>
        <w:t>（2）</w:t>
      </w:r>
      <w:r>
        <w:rPr>
          <w:rFonts w:hint="eastAsia"/>
          <w:highlight w:val="none"/>
          <w:lang w:val="en-US" w:eastAsia="zh-CN"/>
        </w:rPr>
        <w:t>具备资质，取得涉密资质满2年，且资质证书在有效期内，合同签订前需提供资质证书纸质复印件，作为本项目合同签订的附件之一。</w:t>
      </w:r>
    </w:p>
    <w:p>
      <w:pPr>
        <w:pStyle w:val="2"/>
        <w:rPr>
          <w:rFonts w:hint="eastAsia" w:cs="Times New Roman"/>
          <w:kern w:val="2"/>
          <w:sz w:val="24"/>
          <w:szCs w:val="22"/>
          <w:lang w:val="en-US" w:eastAsia="zh-CN" w:bidi="ar-SA"/>
        </w:rPr>
      </w:pPr>
      <w:r>
        <w:rPr>
          <w:rFonts w:hint="eastAsia" w:ascii="Times New Roman" w:hAnsi="Times New Roman" w:eastAsia="宋体" w:cs="Times New Roman"/>
          <w:kern w:val="2"/>
          <w:sz w:val="24"/>
          <w:szCs w:val="22"/>
          <w:lang w:val="en-US" w:eastAsia="zh-CN" w:bidi="ar-SA"/>
        </w:rPr>
        <w:t>（</w:t>
      </w:r>
      <w:r>
        <w:rPr>
          <w:rFonts w:hint="eastAsia" w:cs="Times New Roman"/>
          <w:kern w:val="2"/>
          <w:sz w:val="24"/>
          <w:szCs w:val="22"/>
          <w:lang w:val="en-US" w:eastAsia="zh-CN" w:bidi="ar-SA"/>
        </w:rPr>
        <w:t>3</w:t>
      </w:r>
      <w:r>
        <w:rPr>
          <w:rFonts w:hint="eastAsia" w:ascii="Times New Roman" w:hAnsi="Times New Roman" w:eastAsia="宋体" w:cs="Times New Roman"/>
          <w:kern w:val="2"/>
          <w:sz w:val="24"/>
          <w:szCs w:val="22"/>
          <w:lang w:val="en-US" w:eastAsia="zh-CN" w:bidi="ar-SA"/>
        </w:rPr>
        <w:t>）</w:t>
      </w:r>
      <w:r>
        <w:rPr>
          <w:rFonts w:hint="eastAsia" w:cs="Times New Roman"/>
          <w:kern w:val="2"/>
          <w:sz w:val="24"/>
          <w:szCs w:val="22"/>
          <w:lang w:val="en-US" w:eastAsia="zh-CN" w:bidi="ar-SA"/>
        </w:rPr>
        <w:t>具有保密行政主管部门颁发的从业人员证书（保密员证书等）。</w:t>
      </w:r>
    </w:p>
    <w:p>
      <w:pPr>
        <w:pStyle w:val="2"/>
        <w:rPr>
          <w:rFonts w:hint="default"/>
          <w:lang w:val="en-US" w:eastAsia="zh-CN"/>
        </w:rPr>
      </w:pPr>
      <w:r>
        <w:rPr>
          <w:rFonts w:hint="eastAsia" w:ascii="Times New Roman" w:hAnsi="Times New Roman" w:eastAsia="宋体" w:cs="Times New Roman"/>
          <w:kern w:val="2"/>
          <w:sz w:val="24"/>
          <w:szCs w:val="22"/>
          <w:lang w:val="en-US" w:eastAsia="zh-CN" w:bidi="ar-SA"/>
        </w:rPr>
        <w:t>（</w:t>
      </w:r>
      <w:r>
        <w:rPr>
          <w:rFonts w:hint="eastAsia" w:cs="Times New Roman"/>
          <w:kern w:val="2"/>
          <w:sz w:val="24"/>
          <w:szCs w:val="22"/>
          <w:lang w:val="en-US" w:eastAsia="zh-CN" w:bidi="ar-SA"/>
        </w:rPr>
        <w:t>4</w:t>
      </w:r>
      <w:r>
        <w:rPr>
          <w:rFonts w:hint="eastAsia" w:ascii="Times New Roman" w:hAnsi="Times New Roman" w:eastAsia="宋体" w:cs="Times New Roman"/>
          <w:kern w:val="2"/>
          <w:sz w:val="24"/>
          <w:szCs w:val="22"/>
          <w:lang w:val="en-US" w:eastAsia="zh-CN" w:bidi="ar-SA"/>
        </w:rPr>
        <w:t>）</w:t>
      </w:r>
      <w:r>
        <w:rPr>
          <w:rFonts w:hint="eastAsia" w:cs="Times New Roman"/>
          <w:kern w:val="2"/>
          <w:sz w:val="24"/>
          <w:szCs w:val="22"/>
          <w:lang w:val="en-US" w:eastAsia="zh-CN" w:bidi="ar-SA"/>
        </w:rPr>
        <w:t>公司及从业</w:t>
      </w:r>
      <w:r>
        <w:rPr>
          <w:rFonts w:hint="eastAsia" w:cs="Times New Roman"/>
          <w:color w:val="auto"/>
          <w:kern w:val="2"/>
          <w:sz w:val="24"/>
          <w:szCs w:val="22"/>
          <w:lang w:val="en-US" w:eastAsia="zh-CN" w:bidi="ar-SA"/>
        </w:rPr>
        <w:t>人员具备同类咨询服务项目经验（报价方提供同类案例合同复印件及合同内体现该人员从事该工作的具体内容）</w:t>
      </w:r>
      <w:r>
        <w:rPr>
          <w:rFonts w:hint="eastAsia" w:cs="Times New Roman"/>
          <w:kern w:val="2"/>
          <w:sz w:val="24"/>
          <w:szCs w:val="22"/>
          <w:lang w:val="en-US" w:eastAsia="zh-CN" w:bidi="ar-SA"/>
        </w:rPr>
        <w:t>。</w:t>
      </w:r>
    </w:p>
    <w:p>
      <w:pPr>
        <w:pStyle w:val="4"/>
        <w:bidi w:val="0"/>
        <w:rPr>
          <w:rFonts w:hint="eastAsia"/>
          <w:lang w:val="en-US" w:eastAsia="zh-CN"/>
        </w:rPr>
      </w:pPr>
      <w:r>
        <w:rPr>
          <w:rFonts w:hint="eastAsia"/>
          <w:lang w:val="en-US" w:eastAsia="zh-CN"/>
        </w:rPr>
        <w:t>3.2服务要求</w:t>
      </w:r>
    </w:p>
    <w:p>
      <w:pPr>
        <w:spacing w:after="0"/>
        <w:ind w:firstLine="480" w:firstLineChars="200"/>
        <w:rPr>
          <w:rFonts w:hint="eastAsia"/>
          <w:lang w:val="en-US" w:eastAsia="zh-CN"/>
        </w:rPr>
      </w:pPr>
      <w:r>
        <w:rPr>
          <w:rFonts w:hint="eastAsia"/>
          <w:lang w:val="en-US" w:eastAsia="zh-CN"/>
        </w:rPr>
        <w:t>合同签订后，报价方需根据采购方的要求，指派专人负责对接采购方的服务需求，</w:t>
      </w:r>
      <w:r>
        <w:rPr>
          <w:rFonts w:hint="eastAsia"/>
        </w:rPr>
        <w:t>依据《中华人民共和国保守国家秘密法》《中华人民共和国保守国家秘密法实施条例》及国家、广东省有关保密管理规定，</w:t>
      </w:r>
      <w:r>
        <w:rPr>
          <w:rFonts w:hint="eastAsia"/>
          <w:lang w:val="en-US" w:eastAsia="zh-CN"/>
        </w:rPr>
        <w:t>在合同约定的服务期限内</w:t>
      </w:r>
      <w:r>
        <w:rPr>
          <w:rFonts w:hint="eastAsia"/>
        </w:rPr>
        <w:t>为</w:t>
      </w:r>
      <w:r>
        <w:rPr>
          <w:rFonts w:hint="eastAsia"/>
          <w:lang w:val="en-US" w:eastAsia="zh-CN"/>
        </w:rPr>
        <w:t>采购方</w:t>
      </w:r>
      <w:r>
        <w:rPr>
          <w:rFonts w:hint="eastAsia"/>
        </w:rPr>
        <w:t>提供常态化、专业化、规范化的常年保密咨询与顾问服务</w:t>
      </w:r>
      <w:r>
        <w:rPr>
          <w:rFonts w:hint="eastAsia"/>
          <w:lang w:eastAsia="zh-CN"/>
        </w:rPr>
        <w:t>，</w:t>
      </w:r>
      <w:r>
        <w:rPr>
          <w:rFonts w:hint="eastAsia"/>
          <w:lang w:val="en-US" w:eastAsia="zh-CN"/>
        </w:rPr>
        <w:t>具体服务类型见下文“3.3服务类型”。</w:t>
      </w:r>
    </w:p>
    <w:p>
      <w:pPr>
        <w:spacing w:after="0"/>
        <w:ind w:firstLine="480" w:firstLineChars="200"/>
        <w:rPr>
          <w:rFonts w:hint="eastAsia"/>
          <w:lang w:val="en-US" w:eastAsia="zh-CN"/>
        </w:rPr>
      </w:pPr>
      <w:r>
        <w:rPr>
          <w:rFonts w:hint="eastAsia"/>
        </w:rPr>
        <w:t>采购方</w:t>
      </w:r>
      <w:r>
        <w:rPr>
          <w:rFonts w:hint="eastAsia"/>
          <w:lang w:val="en-US" w:eastAsia="zh-CN"/>
        </w:rPr>
        <w:t>可</w:t>
      </w:r>
      <w:r>
        <w:rPr>
          <w:rFonts w:hint="eastAsia"/>
        </w:rPr>
        <w:t>自行选择有关保密业务现场辅导与答疑</w:t>
      </w:r>
      <w:r>
        <w:rPr>
          <w:rFonts w:hint="eastAsia"/>
          <w:lang w:val="en-US" w:eastAsia="zh-CN"/>
        </w:rPr>
        <w:t>的服务内容</w:t>
      </w:r>
      <w:r>
        <w:rPr>
          <w:rFonts w:hint="eastAsia"/>
        </w:rPr>
        <w:t>，采购方可结合实际培训计划确定最终培训内容或及时调整需要培训的内容，</w:t>
      </w:r>
      <w:r>
        <w:rPr>
          <w:rFonts w:hint="eastAsia"/>
          <w:lang w:eastAsia="zh-CN"/>
        </w:rPr>
        <w:t>报价方</w:t>
      </w:r>
      <w:r>
        <w:rPr>
          <w:rFonts w:hint="eastAsia"/>
          <w:lang w:val="en-US" w:eastAsia="zh-CN"/>
        </w:rPr>
        <w:t>应与采购方协商具体服务时间，并安排培训专家</w:t>
      </w:r>
      <w:r>
        <w:rPr>
          <w:rFonts w:hint="eastAsia"/>
        </w:rPr>
        <w:t>上门</w:t>
      </w:r>
      <w:r>
        <w:rPr>
          <w:rFonts w:hint="eastAsia"/>
          <w:lang w:val="en-US" w:eastAsia="zh-CN"/>
        </w:rPr>
        <w:t>提供</w:t>
      </w:r>
      <w:r>
        <w:rPr>
          <w:rFonts w:hint="eastAsia"/>
        </w:rPr>
        <w:t>有关保密业务现场辅导与答疑</w:t>
      </w:r>
      <w:r>
        <w:rPr>
          <w:rFonts w:hint="eastAsia"/>
          <w:lang w:val="en-US" w:eastAsia="zh-CN"/>
        </w:rPr>
        <w:t>服务，每年度（一个服务周期）服务</w:t>
      </w:r>
      <w:r>
        <w:rPr>
          <w:rFonts w:hint="eastAsia"/>
        </w:rPr>
        <w:t>次数为3次。</w:t>
      </w:r>
    </w:p>
    <w:p>
      <w:pPr>
        <w:pStyle w:val="4"/>
        <w:bidi w:val="0"/>
        <w:rPr>
          <w:rFonts w:hint="eastAsia"/>
          <w:lang w:val="en-US" w:eastAsia="zh-CN"/>
        </w:rPr>
      </w:pPr>
      <w:r>
        <w:rPr>
          <w:rFonts w:hint="eastAsia"/>
          <w:lang w:val="en-US" w:eastAsia="zh-CN"/>
        </w:rPr>
        <w:t>3.3服务类型</w:t>
      </w:r>
    </w:p>
    <w:p>
      <w:pPr>
        <w:numPr>
          <w:ilvl w:val="0"/>
          <w:numId w:val="3"/>
        </w:numPr>
        <w:spacing w:after="0" w:line="400" w:lineRule="exact"/>
        <w:rPr>
          <w:rFonts w:hint="eastAsia" w:asciiTheme="minorEastAsia" w:hAnsiTheme="minorEastAsia" w:eastAsiaTheme="minorEastAsia" w:cstheme="minorEastAsia"/>
          <w:color w:val="auto"/>
          <w:sz w:val="24"/>
          <w:szCs w:val="24"/>
          <w:lang w:val="en-US" w:eastAsia="zh-CN"/>
        </w:rPr>
      </w:pPr>
      <w:r>
        <w:rPr>
          <w:rFonts w:hint="eastAsia" w:ascii="Times New Roman" w:hAnsi="Times New Roman" w:eastAsia="宋体" w:cs="Times New Roman"/>
          <w:sz w:val="24"/>
          <w:szCs w:val="22"/>
          <w:lang w:val="en-US" w:eastAsia="zh-CN"/>
        </w:rPr>
        <w:t>提供</w:t>
      </w:r>
      <w:r>
        <w:rPr>
          <w:rFonts w:hint="eastAsia" w:asciiTheme="minorEastAsia" w:hAnsiTheme="minorEastAsia" w:eastAsiaTheme="minorEastAsia" w:cstheme="minorEastAsia"/>
          <w:color w:val="auto"/>
          <w:sz w:val="24"/>
          <w:szCs w:val="24"/>
          <w:lang w:val="en-US" w:eastAsia="zh-CN"/>
        </w:rPr>
        <w:t>年度日常保密咨询服务</w:t>
      </w:r>
    </w:p>
    <w:p>
      <w:pPr>
        <w:keepNext w:val="0"/>
        <w:keepLines w:val="0"/>
        <w:pageBreakBefore w:val="0"/>
        <w:widowControl w:val="0"/>
        <w:numPr>
          <w:ilvl w:val="0"/>
          <w:numId w:val="4"/>
        </w:numPr>
        <w:kinsoku/>
        <w:wordWrap/>
        <w:overflowPunct/>
        <w:topLinePunct w:val="0"/>
        <w:autoSpaceDE/>
        <w:autoSpaceDN/>
        <w:bidi w:val="0"/>
        <w:adjustRightInd/>
        <w:snapToGrid/>
        <w:spacing w:after="0" w:line="400" w:lineRule="exact"/>
        <w:ind w:left="0" w:leftChars="0" w:firstLine="480" w:firstLineChars="200"/>
        <w:jc w:val="lef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解答保密咨询、依法提供建议；</w:t>
      </w:r>
    </w:p>
    <w:p>
      <w:pPr>
        <w:keepNext w:val="0"/>
        <w:keepLines w:val="0"/>
        <w:pageBreakBefore w:val="0"/>
        <w:widowControl w:val="0"/>
        <w:numPr>
          <w:ilvl w:val="0"/>
          <w:numId w:val="4"/>
        </w:numPr>
        <w:kinsoku/>
        <w:wordWrap/>
        <w:overflowPunct/>
        <w:topLinePunct w:val="0"/>
        <w:autoSpaceDE/>
        <w:autoSpaceDN/>
        <w:bidi w:val="0"/>
        <w:adjustRightInd/>
        <w:snapToGrid/>
        <w:spacing w:after="0" w:line="400" w:lineRule="exact"/>
        <w:ind w:left="0" w:leftChars="0" w:firstLine="480" w:firstLineChars="200"/>
        <w:jc w:val="lef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指导采购方有关保密管理体系运行的有关过程文档填写；</w:t>
      </w:r>
    </w:p>
    <w:p>
      <w:pPr>
        <w:keepNext w:val="0"/>
        <w:keepLines w:val="0"/>
        <w:pageBreakBefore w:val="0"/>
        <w:widowControl w:val="0"/>
        <w:numPr>
          <w:ilvl w:val="0"/>
          <w:numId w:val="4"/>
        </w:numPr>
        <w:kinsoku/>
        <w:wordWrap/>
        <w:overflowPunct/>
        <w:topLinePunct w:val="0"/>
        <w:autoSpaceDE/>
        <w:autoSpaceDN/>
        <w:bidi w:val="0"/>
        <w:adjustRightInd/>
        <w:snapToGrid/>
        <w:spacing w:after="0" w:line="400" w:lineRule="exact"/>
        <w:ind w:left="0" w:leftChars="0" w:firstLine="480" w:firstLineChars="200"/>
        <w:jc w:val="lef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协助审查采购方项目开展过程中的合规行为，提供项目开展全过程的咨询服务，帮助采购方及时控制规避保密风险，避免招投标过程或者项目实施过程不规范导致出现泄密隐患；</w:t>
      </w:r>
    </w:p>
    <w:p>
      <w:pPr>
        <w:keepNext w:val="0"/>
        <w:keepLines w:val="0"/>
        <w:pageBreakBefore w:val="0"/>
        <w:widowControl w:val="0"/>
        <w:numPr>
          <w:ilvl w:val="0"/>
          <w:numId w:val="4"/>
        </w:numPr>
        <w:kinsoku/>
        <w:wordWrap/>
        <w:overflowPunct/>
        <w:topLinePunct w:val="0"/>
        <w:autoSpaceDE/>
        <w:autoSpaceDN/>
        <w:bidi w:val="0"/>
        <w:adjustRightInd/>
        <w:snapToGrid/>
        <w:spacing w:after="0" w:line="400" w:lineRule="exact"/>
        <w:ind w:left="0" w:leftChars="0" w:firstLine="480" w:firstLineChars="200"/>
        <w:jc w:val="lef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提供与采购方经营有关的保密资讯信息；</w:t>
      </w:r>
    </w:p>
    <w:p>
      <w:pPr>
        <w:keepNext w:val="0"/>
        <w:keepLines w:val="0"/>
        <w:pageBreakBefore w:val="0"/>
        <w:widowControl w:val="0"/>
        <w:numPr>
          <w:ilvl w:val="0"/>
          <w:numId w:val="4"/>
        </w:numPr>
        <w:kinsoku/>
        <w:wordWrap/>
        <w:overflowPunct/>
        <w:topLinePunct w:val="0"/>
        <w:autoSpaceDE/>
        <w:autoSpaceDN/>
        <w:bidi w:val="0"/>
        <w:adjustRightInd/>
        <w:snapToGrid/>
        <w:spacing w:after="0" w:line="400" w:lineRule="exact"/>
        <w:ind w:left="0" w:leftChars="0" w:firstLine="480" w:firstLineChars="200"/>
        <w:jc w:val="lef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应采购方要求，出具咨询函；</w:t>
      </w:r>
    </w:p>
    <w:p>
      <w:pPr>
        <w:keepNext w:val="0"/>
        <w:keepLines w:val="0"/>
        <w:pageBreakBefore w:val="0"/>
        <w:widowControl w:val="0"/>
        <w:numPr>
          <w:ilvl w:val="0"/>
          <w:numId w:val="4"/>
        </w:numPr>
        <w:kinsoku/>
        <w:wordWrap/>
        <w:overflowPunct/>
        <w:topLinePunct w:val="0"/>
        <w:autoSpaceDE/>
        <w:autoSpaceDN/>
        <w:bidi w:val="0"/>
        <w:adjustRightInd/>
        <w:snapToGrid/>
        <w:spacing w:after="0" w:line="400" w:lineRule="exact"/>
        <w:ind w:left="0" w:leftChars="0" w:firstLine="480" w:firstLineChars="200"/>
        <w:jc w:val="lef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应采购方要求，为采购方生产、经营、管理方面的关于国家秘密、商业秘密以及工作秘密（敏感信息）的日常管理内容出具咨询意见（不包括尽职调查内容）；</w:t>
      </w:r>
    </w:p>
    <w:p>
      <w:pPr>
        <w:keepNext w:val="0"/>
        <w:keepLines w:val="0"/>
        <w:pageBreakBefore w:val="0"/>
        <w:widowControl w:val="0"/>
        <w:numPr>
          <w:ilvl w:val="0"/>
          <w:numId w:val="4"/>
        </w:numPr>
        <w:kinsoku/>
        <w:wordWrap/>
        <w:overflowPunct/>
        <w:topLinePunct w:val="0"/>
        <w:autoSpaceDE/>
        <w:autoSpaceDN/>
        <w:bidi w:val="0"/>
        <w:adjustRightInd/>
        <w:snapToGrid/>
        <w:spacing w:after="0" w:line="400" w:lineRule="exact"/>
        <w:ind w:left="0" w:leftChars="0" w:firstLine="480" w:firstLineChars="200"/>
        <w:jc w:val="both"/>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报价方工作日期间（5*7小时）及时解答采购方日常保密管理过程中所遇到的问题。</w:t>
      </w:r>
    </w:p>
    <w:p>
      <w:pPr>
        <w:numPr>
          <w:ilvl w:val="0"/>
          <w:numId w:val="3"/>
        </w:numPr>
        <w:spacing w:after="0" w:line="400" w:lineRule="exact"/>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协助采购方开展年度全面检查和专项检查服务</w:t>
      </w:r>
    </w:p>
    <w:p>
      <w:pPr>
        <w:keepNext w:val="0"/>
        <w:keepLines w:val="0"/>
        <w:pageBreakBefore w:val="0"/>
        <w:widowControl w:val="0"/>
        <w:kinsoku/>
        <w:wordWrap/>
        <w:overflowPunct/>
        <w:topLinePunct w:val="0"/>
        <w:autoSpaceDE/>
        <w:autoSpaceDN/>
        <w:bidi w:val="0"/>
        <w:adjustRightInd/>
        <w:snapToGrid/>
        <w:spacing w:after="0" w:line="400" w:lineRule="exact"/>
        <w:ind w:firstLine="64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按采购方保密工作计划要求，协助采购方开展年度保密工作的全面检查和专项检查。</w:t>
      </w:r>
    </w:p>
    <w:p>
      <w:pPr>
        <w:numPr>
          <w:ilvl w:val="0"/>
          <w:numId w:val="3"/>
        </w:numPr>
        <w:spacing w:after="0" w:line="400" w:lineRule="exact"/>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有关保密业务现场辅导与答疑</w:t>
      </w:r>
    </w:p>
    <w:p>
      <w:pPr>
        <w:keepNext w:val="0"/>
        <w:keepLines w:val="0"/>
        <w:pageBreakBefore w:val="0"/>
        <w:widowControl w:val="0"/>
        <w:kinsoku/>
        <w:wordWrap/>
        <w:overflowPunct/>
        <w:topLinePunct w:val="0"/>
        <w:autoSpaceDE/>
        <w:autoSpaceDN/>
        <w:bidi w:val="0"/>
        <w:adjustRightInd/>
        <w:snapToGrid/>
        <w:spacing w:after="0" w:line="400" w:lineRule="exact"/>
        <w:ind w:firstLine="64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auto"/>
          <w:sz w:val="24"/>
          <w:szCs w:val="24"/>
          <w:lang w:val="en-US" w:eastAsia="zh-CN"/>
        </w:rPr>
        <w:t>现场服务包括但不限于以下：《保密监督检查管理》、《涉密人员管理》、《涉密载体管理》、</w:t>
      </w:r>
      <w:r>
        <w:rPr>
          <w:rFonts w:hint="eastAsia" w:asciiTheme="minorEastAsia" w:hAnsiTheme="minorEastAsia" w:eastAsiaTheme="minorEastAsia" w:cstheme="minorEastAsia"/>
          <w:sz w:val="24"/>
          <w:szCs w:val="24"/>
          <w:lang w:val="en-US" w:eastAsia="zh-CN"/>
        </w:rPr>
        <w:t>《保密法》剖解、《日常保密管理知识讲解》、《项目管理实务指导》、《保密风险评估分析》培训等等，采购方可结合本单位保密工作计划请报价方委派相应专家提供相关现场培训或答疑服务。可供选择的培训服务有：</w:t>
      </w:r>
    </w:p>
    <w:p>
      <w:pPr>
        <w:pStyle w:val="2"/>
        <w:keepNext w:val="0"/>
        <w:keepLines w:val="0"/>
        <w:pageBreakBefore w:val="0"/>
        <w:widowControl w:val="0"/>
        <w:numPr>
          <w:ilvl w:val="0"/>
          <w:numId w:val="5"/>
        </w:numPr>
        <w:kinsoku/>
        <w:wordWrap/>
        <w:overflowPunct/>
        <w:topLinePunct w:val="0"/>
        <w:autoSpaceDE/>
        <w:autoSpaceDN/>
        <w:bidi w:val="0"/>
        <w:adjustRightInd/>
        <w:snapToGrid/>
        <w:spacing w:after="0" w:line="400" w:lineRule="exact"/>
        <w:ind w:left="0" w:leftChars="0"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保密监督检查管理讲解</w:t>
      </w:r>
    </w:p>
    <w:p>
      <w:pPr>
        <w:pStyle w:val="2"/>
        <w:keepNext w:val="0"/>
        <w:keepLines w:val="0"/>
        <w:pageBreakBefore w:val="0"/>
        <w:widowControl w:val="0"/>
        <w:kinsoku/>
        <w:wordWrap/>
        <w:overflowPunct/>
        <w:topLinePunct w:val="0"/>
        <w:autoSpaceDE/>
        <w:autoSpaceDN/>
        <w:bidi w:val="0"/>
        <w:adjustRightInd/>
        <w:snapToGrid/>
        <w:spacing w:after="0" w:line="40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针对单位日常管理中的《保密监督检查》项开展剖析讲解，介绍有关管理经验。</w:t>
      </w:r>
    </w:p>
    <w:p>
      <w:pPr>
        <w:pStyle w:val="2"/>
        <w:keepNext w:val="0"/>
        <w:keepLines w:val="0"/>
        <w:pageBreakBefore w:val="0"/>
        <w:widowControl w:val="0"/>
        <w:numPr>
          <w:ilvl w:val="0"/>
          <w:numId w:val="5"/>
        </w:numPr>
        <w:kinsoku/>
        <w:wordWrap/>
        <w:overflowPunct/>
        <w:topLinePunct w:val="0"/>
        <w:autoSpaceDE/>
        <w:autoSpaceDN/>
        <w:bidi w:val="0"/>
        <w:adjustRightInd/>
        <w:snapToGrid/>
        <w:spacing w:after="0" w:line="400" w:lineRule="exact"/>
        <w:ind w:left="0" w:leftChars="0"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涉密人员管理讲解</w:t>
      </w:r>
    </w:p>
    <w:p>
      <w:pPr>
        <w:pStyle w:val="2"/>
        <w:keepNext w:val="0"/>
        <w:keepLines w:val="0"/>
        <w:pageBreakBefore w:val="0"/>
        <w:widowControl w:val="0"/>
        <w:kinsoku/>
        <w:wordWrap/>
        <w:overflowPunct/>
        <w:topLinePunct w:val="0"/>
        <w:autoSpaceDE/>
        <w:autoSpaceDN/>
        <w:bidi w:val="0"/>
        <w:adjustRightInd/>
        <w:snapToGrid/>
        <w:spacing w:after="0" w:line="40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针对涉密人员管理有关保密要求以及管理经验，讲解涉密人员管理知识，防范有关风险，杜绝主观的失泄密风险。</w:t>
      </w:r>
    </w:p>
    <w:p>
      <w:pPr>
        <w:pStyle w:val="2"/>
        <w:keepNext w:val="0"/>
        <w:keepLines w:val="0"/>
        <w:pageBreakBefore w:val="0"/>
        <w:widowControl w:val="0"/>
        <w:numPr>
          <w:ilvl w:val="0"/>
          <w:numId w:val="5"/>
        </w:numPr>
        <w:kinsoku/>
        <w:wordWrap/>
        <w:overflowPunct/>
        <w:topLinePunct w:val="0"/>
        <w:autoSpaceDE/>
        <w:autoSpaceDN/>
        <w:bidi w:val="0"/>
        <w:adjustRightInd/>
        <w:snapToGrid/>
        <w:spacing w:after="0" w:line="400" w:lineRule="exact"/>
        <w:ind w:left="0" w:leftChars="0"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涉密载体管理讲解</w:t>
      </w:r>
    </w:p>
    <w:p>
      <w:pPr>
        <w:pStyle w:val="2"/>
        <w:keepNext w:val="0"/>
        <w:keepLines w:val="0"/>
        <w:pageBreakBefore w:val="0"/>
        <w:widowControl w:val="0"/>
        <w:kinsoku/>
        <w:wordWrap/>
        <w:overflowPunct/>
        <w:topLinePunct w:val="0"/>
        <w:autoSpaceDE/>
        <w:autoSpaceDN/>
        <w:bidi w:val="0"/>
        <w:adjustRightInd/>
        <w:snapToGrid/>
        <w:spacing w:after="0" w:line="40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结合有关要求，针对国有企事业单位或有关机关单位日常保密工作中所遇到的涉密载体的管理疑点、难点进行重点讲解，传授有关管理经验。</w:t>
      </w:r>
    </w:p>
    <w:p>
      <w:pPr>
        <w:pStyle w:val="2"/>
        <w:keepNext w:val="0"/>
        <w:keepLines w:val="0"/>
        <w:pageBreakBefore w:val="0"/>
        <w:widowControl w:val="0"/>
        <w:numPr>
          <w:ilvl w:val="0"/>
          <w:numId w:val="5"/>
        </w:numPr>
        <w:kinsoku/>
        <w:wordWrap/>
        <w:overflowPunct/>
        <w:topLinePunct w:val="0"/>
        <w:autoSpaceDE/>
        <w:autoSpaceDN/>
        <w:bidi w:val="0"/>
        <w:adjustRightInd/>
        <w:snapToGrid/>
        <w:spacing w:after="0" w:line="400" w:lineRule="exact"/>
        <w:ind w:left="0" w:leftChars="0"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《保密法》剖解</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64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针对最新的保密法进行剖析讲解。</w:t>
      </w:r>
    </w:p>
    <w:p>
      <w:pPr>
        <w:pStyle w:val="2"/>
        <w:keepNext w:val="0"/>
        <w:keepLines w:val="0"/>
        <w:pageBreakBefore w:val="0"/>
        <w:widowControl w:val="0"/>
        <w:numPr>
          <w:ilvl w:val="0"/>
          <w:numId w:val="5"/>
        </w:numPr>
        <w:kinsoku/>
        <w:wordWrap/>
        <w:overflowPunct/>
        <w:topLinePunct w:val="0"/>
        <w:autoSpaceDE/>
        <w:autoSpaceDN/>
        <w:bidi w:val="0"/>
        <w:adjustRightInd/>
        <w:snapToGrid/>
        <w:spacing w:after="0" w:line="400" w:lineRule="exact"/>
        <w:ind w:left="0" w:leftChars="0"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保密日常管理知识讲解</w:t>
      </w:r>
    </w:p>
    <w:p>
      <w:pPr>
        <w:pStyle w:val="2"/>
        <w:keepNext w:val="0"/>
        <w:keepLines w:val="0"/>
        <w:pageBreakBefore w:val="0"/>
        <w:widowControl w:val="0"/>
        <w:kinsoku/>
        <w:wordWrap/>
        <w:overflowPunct/>
        <w:topLinePunct w:val="0"/>
        <w:autoSpaceDE/>
        <w:autoSpaceDN/>
        <w:bidi w:val="0"/>
        <w:adjustRightInd/>
        <w:snapToGrid/>
        <w:spacing w:after="0" w:line="40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针对单位日常保密管理中可能会遇到的问题，逐项展开讲解与培训。</w:t>
      </w:r>
    </w:p>
    <w:p>
      <w:pPr>
        <w:pStyle w:val="2"/>
        <w:keepNext w:val="0"/>
        <w:keepLines w:val="0"/>
        <w:pageBreakBefore w:val="0"/>
        <w:widowControl w:val="0"/>
        <w:numPr>
          <w:ilvl w:val="0"/>
          <w:numId w:val="5"/>
        </w:numPr>
        <w:kinsoku/>
        <w:wordWrap/>
        <w:overflowPunct/>
        <w:topLinePunct w:val="0"/>
        <w:autoSpaceDE/>
        <w:autoSpaceDN/>
        <w:bidi w:val="0"/>
        <w:adjustRightInd/>
        <w:snapToGrid/>
        <w:spacing w:after="0" w:line="400" w:lineRule="exact"/>
        <w:ind w:left="0" w:leftChars="0"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保密设施设备及信息化的安全保密设备检查</w:t>
      </w:r>
    </w:p>
    <w:p>
      <w:pPr>
        <w:pStyle w:val="2"/>
        <w:keepNext w:val="0"/>
        <w:keepLines w:val="0"/>
        <w:pageBreakBefore w:val="0"/>
        <w:widowControl w:val="0"/>
        <w:kinsoku/>
        <w:wordWrap/>
        <w:overflowPunct/>
        <w:topLinePunct w:val="0"/>
        <w:autoSpaceDE/>
        <w:autoSpaceDN/>
        <w:bidi w:val="0"/>
        <w:adjustRightInd/>
        <w:snapToGrid/>
        <w:spacing w:after="0" w:line="40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按照有关保密要求，针对该公司现有的保密设施设备以及运行情况开展梳理检查（含保密风险检查），并结合单位实际情况，指导该公司按最新要求完备保密设施设备、合理化开展运行维护工作。</w:t>
      </w:r>
    </w:p>
    <w:p>
      <w:pPr>
        <w:pStyle w:val="2"/>
        <w:keepNext w:val="0"/>
        <w:keepLines w:val="0"/>
        <w:pageBreakBefore w:val="0"/>
        <w:widowControl w:val="0"/>
        <w:numPr>
          <w:ilvl w:val="0"/>
          <w:numId w:val="5"/>
        </w:numPr>
        <w:kinsoku/>
        <w:wordWrap/>
        <w:overflowPunct/>
        <w:topLinePunct w:val="0"/>
        <w:autoSpaceDE/>
        <w:autoSpaceDN/>
        <w:bidi w:val="0"/>
        <w:adjustRightInd/>
        <w:snapToGrid/>
        <w:spacing w:after="0" w:line="400" w:lineRule="exact"/>
        <w:ind w:left="0" w:leftChars="0"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涉密项目管理指导</w:t>
      </w:r>
    </w:p>
    <w:p>
      <w:pPr>
        <w:pStyle w:val="2"/>
        <w:keepNext w:val="0"/>
        <w:keepLines w:val="0"/>
        <w:pageBreakBefore w:val="0"/>
        <w:widowControl w:val="0"/>
        <w:kinsoku/>
        <w:wordWrap/>
        <w:overflowPunct/>
        <w:topLinePunct w:val="0"/>
        <w:autoSpaceDE/>
        <w:autoSpaceDN/>
        <w:bidi w:val="0"/>
        <w:adjustRightInd/>
        <w:snapToGrid/>
        <w:spacing w:after="0" w:line="40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对照采购方项目实施流程，梳理每个环节中所涉及的保密知识和对应制度，对所涉及项目的人员进行知识普及和讲解，为采购方提前规避涉密项目开展过程中的风险。</w:t>
      </w:r>
    </w:p>
    <w:p>
      <w:pPr>
        <w:pStyle w:val="2"/>
        <w:keepNext w:val="0"/>
        <w:keepLines w:val="0"/>
        <w:pageBreakBefore w:val="0"/>
        <w:widowControl w:val="0"/>
        <w:numPr>
          <w:ilvl w:val="0"/>
          <w:numId w:val="5"/>
        </w:numPr>
        <w:kinsoku/>
        <w:wordWrap/>
        <w:overflowPunct/>
        <w:topLinePunct w:val="0"/>
        <w:autoSpaceDE/>
        <w:autoSpaceDN/>
        <w:bidi w:val="0"/>
        <w:adjustRightInd/>
        <w:snapToGrid/>
        <w:spacing w:after="0" w:line="400" w:lineRule="exact"/>
        <w:ind w:left="0" w:leftChars="0"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协助应对保密突发事件</w:t>
      </w:r>
    </w:p>
    <w:p>
      <w:pPr>
        <w:pStyle w:val="2"/>
        <w:keepNext w:val="0"/>
        <w:keepLines w:val="0"/>
        <w:pageBreakBefore w:val="0"/>
        <w:widowControl w:val="0"/>
        <w:kinsoku/>
        <w:wordWrap/>
        <w:overflowPunct/>
        <w:topLinePunct w:val="0"/>
        <w:autoSpaceDE/>
        <w:autoSpaceDN/>
        <w:bidi w:val="0"/>
        <w:adjustRightInd/>
        <w:snapToGrid/>
        <w:spacing w:after="0" w:line="40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若采购方在年度保密工作中遇到各类保密突发事件，报价方应及时响应，提供咨询服务与解决方案，协助采购方完成合规化管理提升。</w:t>
      </w:r>
    </w:p>
    <w:p>
      <w:pPr>
        <w:pStyle w:val="2"/>
        <w:keepNext w:val="0"/>
        <w:keepLines w:val="0"/>
        <w:pageBreakBefore w:val="0"/>
        <w:widowControl w:val="0"/>
        <w:numPr>
          <w:ilvl w:val="0"/>
          <w:numId w:val="5"/>
        </w:numPr>
        <w:kinsoku/>
        <w:wordWrap/>
        <w:overflowPunct/>
        <w:topLinePunct w:val="0"/>
        <w:autoSpaceDE/>
        <w:autoSpaceDN/>
        <w:bidi w:val="0"/>
        <w:adjustRightInd/>
        <w:snapToGrid/>
        <w:spacing w:after="0" w:line="400" w:lineRule="exact"/>
        <w:ind w:left="0" w:leftChars="0"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体系运行情况检查</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64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针对该公司现有的保密管理体系开展一次全面的检查并梳理，提出整改意见并指导如何整改。</w:t>
      </w:r>
    </w:p>
    <w:p>
      <w:pPr>
        <w:pStyle w:val="2"/>
        <w:keepNext w:val="0"/>
        <w:keepLines w:val="0"/>
        <w:pageBreakBefore w:val="0"/>
        <w:widowControl w:val="0"/>
        <w:numPr>
          <w:ilvl w:val="0"/>
          <w:numId w:val="5"/>
        </w:numPr>
        <w:kinsoku/>
        <w:wordWrap/>
        <w:overflowPunct/>
        <w:topLinePunct w:val="0"/>
        <w:autoSpaceDE/>
        <w:autoSpaceDN/>
        <w:bidi w:val="0"/>
        <w:adjustRightInd/>
        <w:snapToGrid/>
        <w:spacing w:after="0" w:line="400" w:lineRule="exact"/>
        <w:ind w:left="0" w:leftChars="0"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计算机检查</w:t>
      </w:r>
    </w:p>
    <w:p>
      <w:pPr>
        <w:rPr>
          <w:rFonts w:hint="eastAsia"/>
          <w:lang w:val="en-US" w:eastAsia="zh-CN"/>
        </w:rPr>
      </w:pPr>
      <w:r>
        <w:rPr>
          <w:rFonts w:hint="eastAsia" w:asciiTheme="minorEastAsia" w:hAnsiTheme="minorEastAsia" w:eastAsiaTheme="minorEastAsia" w:cstheme="minorEastAsia"/>
          <w:sz w:val="24"/>
          <w:szCs w:val="24"/>
          <w:lang w:val="en-US" w:eastAsia="zh-CN"/>
        </w:rPr>
        <w:t>指导采购方规范开展计算机检查工作，提前把控风险。</w:t>
      </w:r>
    </w:p>
    <w:p>
      <w:pPr>
        <w:pStyle w:val="4"/>
        <w:bidi w:val="0"/>
        <w:rPr>
          <w:rFonts w:hint="default"/>
          <w:lang w:val="en-US" w:eastAsia="zh-CN"/>
        </w:rPr>
      </w:pPr>
      <w:r>
        <w:rPr>
          <w:rFonts w:hint="eastAsia"/>
          <w:lang w:val="en-US" w:eastAsia="zh-CN"/>
        </w:rPr>
        <w:t>4、服务工期及履约要求</w:t>
      </w:r>
    </w:p>
    <w:p>
      <w:pPr>
        <w:pStyle w:val="4"/>
        <w:bidi w:val="0"/>
        <w:rPr>
          <w:rFonts w:hint="eastAsia"/>
          <w:lang w:val="en-US" w:eastAsia="zh-CN"/>
        </w:rPr>
      </w:pPr>
      <w:r>
        <w:rPr>
          <w:rFonts w:hint="eastAsia"/>
          <w:lang w:val="en-US" w:eastAsia="zh-CN"/>
        </w:rPr>
        <w:t>4.1服务工期</w:t>
      </w:r>
    </w:p>
    <w:p>
      <w:pPr>
        <w:ind w:firstLine="480" w:firstLineChars="200"/>
        <w:rPr>
          <w:rFonts w:hint="eastAsia"/>
          <w:lang w:val="en-US" w:eastAsia="zh-CN"/>
        </w:rPr>
      </w:pPr>
      <w:r>
        <w:rPr>
          <w:rFonts w:hint="eastAsia"/>
          <w:lang w:val="en-US" w:eastAsia="zh-CN"/>
        </w:rPr>
        <w:t>本项目的服务期限为自合同签订日起1年，报价方应在双方签订合同后5各工作日内，安排专人负责对接采购方的服务需求，如因报价方原因导致服务无法开展而产生延误，每延误一天，报价方应按照合同总价的1%向采购方支付违约金；如延误超过10个工作日，采购方有权解除合同，并要求报价方承担由此造成的一切损失。</w:t>
      </w:r>
    </w:p>
    <w:p>
      <w:pPr>
        <w:pStyle w:val="2"/>
        <w:rPr>
          <w:rFonts w:hint="eastAsia" w:ascii="Arial" w:hAnsi="Arial" w:eastAsia="宋体" w:cs="Times New Roman"/>
          <w:b/>
          <w:kern w:val="2"/>
          <w:sz w:val="30"/>
          <w:szCs w:val="22"/>
          <w:lang w:val="en-US" w:eastAsia="zh-CN" w:bidi="ar-SA"/>
        </w:rPr>
      </w:pPr>
      <w:r>
        <w:rPr>
          <w:rFonts w:hint="eastAsia" w:ascii="Arial" w:hAnsi="Arial" w:eastAsia="宋体" w:cs="Times New Roman"/>
          <w:b/>
          <w:kern w:val="2"/>
          <w:sz w:val="30"/>
          <w:szCs w:val="22"/>
          <w:lang w:val="en-US" w:eastAsia="zh-CN" w:bidi="ar-SA"/>
        </w:rPr>
        <w:t>4.2履约要求</w:t>
      </w:r>
    </w:p>
    <w:p>
      <w:pPr>
        <w:keepNext w:val="0"/>
        <w:keepLines w:val="0"/>
        <w:pageBreakBefore w:val="0"/>
        <w:widowControl w:val="0"/>
        <w:kinsoku/>
        <w:wordWrap/>
        <w:overflowPunct/>
        <w:topLinePunct w:val="0"/>
        <w:autoSpaceDE/>
        <w:autoSpaceDN/>
        <w:bidi w:val="0"/>
        <w:adjustRightInd/>
        <w:snapToGrid/>
        <w:spacing w:after="0"/>
        <w:textAlignment w:val="auto"/>
        <w:rPr>
          <w:rFonts w:hint="default"/>
          <w:highlight w:val="none"/>
          <w:lang w:val="en-US" w:eastAsia="zh-CN"/>
        </w:rPr>
      </w:pPr>
      <w:r>
        <w:rPr>
          <w:rFonts w:hint="eastAsia"/>
          <w:highlight w:val="none"/>
          <w:lang w:val="en-US" w:eastAsia="zh-CN"/>
        </w:rPr>
        <w:t>（1）报</w:t>
      </w:r>
      <w:bookmarkStart w:id="5" w:name="_GoBack"/>
      <w:bookmarkEnd w:id="5"/>
      <w:r>
        <w:rPr>
          <w:rFonts w:hint="eastAsia"/>
          <w:highlight w:val="none"/>
          <w:lang w:val="en-US" w:eastAsia="zh-CN"/>
        </w:rPr>
        <w:t>价方</w:t>
      </w:r>
      <w:r>
        <w:rPr>
          <w:rFonts w:hint="default"/>
          <w:highlight w:val="none"/>
          <w:lang w:val="en-US" w:eastAsia="zh-CN"/>
        </w:rPr>
        <w:t>应保证</w:t>
      </w:r>
      <w:r>
        <w:rPr>
          <w:rFonts w:hint="eastAsia"/>
          <w:highlight w:val="none"/>
          <w:lang w:val="en-US" w:eastAsia="zh-CN"/>
        </w:rPr>
        <w:t>服务工期内</w:t>
      </w:r>
      <w:r>
        <w:rPr>
          <w:rFonts w:hint="default"/>
          <w:highlight w:val="none"/>
          <w:lang w:val="en-US" w:eastAsia="zh-CN"/>
        </w:rPr>
        <w:t>，</w:t>
      </w:r>
      <w:r>
        <w:rPr>
          <w:rFonts w:hint="eastAsia"/>
          <w:highlight w:val="none"/>
          <w:lang w:val="en-US" w:eastAsia="zh-CN"/>
        </w:rPr>
        <w:t>始终有不少于1人</w:t>
      </w:r>
      <w:r>
        <w:rPr>
          <w:rFonts w:hint="eastAsia"/>
          <w:lang w:val="en-US" w:eastAsia="zh-CN"/>
        </w:rPr>
        <w:t>负责对接采购方的服务需求</w:t>
      </w:r>
      <w:r>
        <w:rPr>
          <w:rFonts w:hint="default"/>
          <w:highlight w:val="none"/>
          <w:lang w:val="en-US" w:eastAsia="zh-CN"/>
        </w:rPr>
        <w:t>。如发现</w:t>
      </w:r>
      <w:r>
        <w:rPr>
          <w:rFonts w:hint="eastAsia"/>
          <w:highlight w:val="none"/>
          <w:lang w:val="en-US" w:eastAsia="zh-CN"/>
        </w:rPr>
        <w:t>报价方的对接人员无故失约或长时间无法履约</w:t>
      </w:r>
      <w:r>
        <w:rPr>
          <w:rFonts w:hint="default"/>
          <w:highlight w:val="none"/>
          <w:lang w:val="en-US" w:eastAsia="zh-CN"/>
        </w:rPr>
        <w:t>，</w:t>
      </w:r>
      <w:r>
        <w:rPr>
          <w:rFonts w:hint="eastAsia"/>
          <w:highlight w:val="none"/>
          <w:lang w:val="en-US" w:eastAsia="zh-CN"/>
        </w:rPr>
        <w:t>采购方</w:t>
      </w:r>
      <w:r>
        <w:rPr>
          <w:rFonts w:hint="default"/>
          <w:highlight w:val="none"/>
          <w:lang w:val="en-US" w:eastAsia="zh-CN"/>
        </w:rPr>
        <w:t>有权要求</w:t>
      </w:r>
      <w:r>
        <w:rPr>
          <w:rFonts w:hint="eastAsia"/>
          <w:highlight w:val="none"/>
          <w:lang w:val="en-US" w:eastAsia="zh-CN"/>
        </w:rPr>
        <w:t>报价方</w:t>
      </w:r>
      <w:r>
        <w:rPr>
          <w:rFonts w:hint="default"/>
          <w:highlight w:val="none"/>
          <w:lang w:val="en-US" w:eastAsia="zh-CN"/>
        </w:rPr>
        <w:t>立即更换，如给</w:t>
      </w:r>
      <w:r>
        <w:rPr>
          <w:rFonts w:hint="eastAsia"/>
          <w:highlight w:val="none"/>
          <w:lang w:val="en-US" w:eastAsia="zh-CN"/>
        </w:rPr>
        <w:t>采购方</w:t>
      </w:r>
      <w:r>
        <w:rPr>
          <w:rFonts w:hint="default"/>
          <w:highlight w:val="none"/>
          <w:lang w:val="en-US" w:eastAsia="zh-CN"/>
        </w:rPr>
        <w:t>造成损失的，</w:t>
      </w:r>
      <w:r>
        <w:rPr>
          <w:rFonts w:hint="eastAsia"/>
          <w:highlight w:val="none"/>
          <w:lang w:val="en-US" w:eastAsia="zh-CN"/>
        </w:rPr>
        <w:t>报价方</w:t>
      </w:r>
      <w:r>
        <w:rPr>
          <w:rFonts w:hint="default"/>
          <w:highlight w:val="none"/>
          <w:lang w:val="en-US" w:eastAsia="zh-CN"/>
        </w:rPr>
        <w:t>应承担赔偿责任。</w:t>
      </w:r>
    </w:p>
    <w:p>
      <w:pPr>
        <w:keepNext w:val="0"/>
        <w:keepLines w:val="0"/>
        <w:pageBreakBefore w:val="0"/>
        <w:widowControl w:val="0"/>
        <w:kinsoku/>
        <w:wordWrap/>
        <w:overflowPunct/>
        <w:topLinePunct w:val="0"/>
        <w:autoSpaceDE/>
        <w:autoSpaceDN/>
        <w:bidi w:val="0"/>
        <w:adjustRightInd/>
        <w:snapToGrid/>
        <w:spacing w:after="0"/>
        <w:textAlignment w:val="auto"/>
        <w:rPr>
          <w:rFonts w:hint="default"/>
          <w:highlight w:val="none"/>
          <w:lang w:val="en-US" w:eastAsia="zh-CN"/>
        </w:rPr>
      </w:pPr>
      <w:r>
        <w:rPr>
          <w:rFonts w:hint="eastAsia"/>
          <w:highlight w:val="none"/>
          <w:lang w:val="en-US" w:eastAsia="zh-CN"/>
        </w:rPr>
        <w:t>（2）</w:t>
      </w:r>
      <w:r>
        <w:rPr>
          <w:rFonts w:hint="default"/>
          <w:highlight w:val="none"/>
          <w:lang w:val="en-US" w:eastAsia="zh-CN"/>
        </w:rPr>
        <w:t>在</w:t>
      </w:r>
      <w:r>
        <w:rPr>
          <w:rFonts w:hint="eastAsia"/>
          <w:highlight w:val="none"/>
          <w:lang w:val="en-US" w:eastAsia="zh-CN"/>
        </w:rPr>
        <w:t>服务</w:t>
      </w:r>
      <w:r>
        <w:rPr>
          <w:rFonts w:hint="default"/>
          <w:highlight w:val="none"/>
          <w:lang w:val="en-US" w:eastAsia="zh-CN"/>
        </w:rPr>
        <w:t>过程中，</w:t>
      </w:r>
      <w:r>
        <w:rPr>
          <w:rFonts w:hint="eastAsia"/>
          <w:highlight w:val="none"/>
          <w:lang w:val="en-US" w:eastAsia="zh-CN"/>
        </w:rPr>
        <w:t>报价方</w:t>
      </w:r>
      <w:r>
        <w:rPr>
          <w:rFonts w:hint="default"/>
          <w:highlight w:val="none"/>
          <w:lang w:val="en-US" w:eastAsia="zh-CN"/>
        </w:rPr>
        <w:t>应做好保密工作，确保涉密信息不被泄露。与</w:t>
      </w:r>
      <w:r>
        <w:rPr>
          <w:rFonts w:hint="eastAsia"/>
          <w:highlight w:val="none"/>
          <w:lang w:val="en-US" w:eastAsia="zh-CN"/>
        </w:rPr>
        <w:t>采购方</w:t>
      </w:r>
      <w:r>
        <w:rPr>
          <w:rFonts w:hint="default"/>
          <w:highlight w:val="none"/>
          <w:lang w:val="en-US" w:eastAsia="zh-CN"/>
        </w:rPr>
        <w:t>签订保密协议，明确双方的保密责任和义务。如因</w:t>
      </w:r>
      <w:r>
        <w:rPr>
          <w:rFonts w:hint="eastAsia"/>
          <w:highlight w:val="none"/>
          <w:lang w:val="en-US" w:eastAsia="zh-CN"/>
        </w:rPr>
        <w:t>报价方</w:t>
      </w:r>
      <w:r>
        <w:rPr>
          <w:rFonts w:hint="default"/>
          <w:highlight w:val="none"/>
          <w:lang w:val="en-US" w:eastAsia="zh-CN"/>
        </w:rPr>
        <w:t>原因导致涉密信息泄露，</w:t>
      </w:r>
      <w:r>
        <w:rPr>
          <w:rFonts w:hint="eastAsia"/>
          <w:highlight w:val="none"/>
          <w:lang w:val="en-US" w:eastAsia="zh-CN"/>
        </w:rPr>
        <w:t>报价方</w:t>
      </w:r>
      <w:r>
        <w:rPr>
          <w:rFonts w:hint="default"/>
          <w:highlight w:val="none"/>
          <w:lang w:val="en-US" w:eastAsia="zh-CN"/>
        </w:rPr>
        <w:t>应承担全部法律责任，并赔偿</w:t>
      </w:r>
      <w:r>
        <w:rPr>
          <w:rFonts w:hint="eastAsia"/>
          <w:highlight w:val="none"/>
          <w:lang w:val="en-US" w:eastAsia="zh-CN"/>
        </w:rPr>
        <w:t>采购方</w:t>
      </w:r>
      <w:r>
        <w:rPr>
          <w:rFonts w:hint="default"/>
          <w:highlight w:val="none"/>
          <w:lang w:val="en-US" w:eastAsia="zh-CN"/>
        </w:rPr>
        <w:t>因此遭受的一切损失。</w:t>
      </w:r>
    </w:p>
    <w:p>
      <w:pPr>
        <w:pStyle w:val="2"/>
        <w:rPr>
          <w:rFonts w:hint="default"/>
          <w:lang w:val="en-US" w:eastAsia="zh-CN"/>
        </w:rPr>
      </w:pPr>
      <w:r>
        <w:rPr>
          <w:rFonts w:hint="eastAsia"/>
          <w:highlight w:val="none"/>
          <w:lang w:val="en-US" w:eastAsia="zh-CN"/>
        </w:rPr>
        <w:t>（3）报价方应提供</w:t>
      </w:r>
      <w:r>
        <w:rPr>
          <w:rFonts w:hint="eastAsia"/>
          <w:highlight w:val="none"/>
        </w:rPr>
        <w:t>有关保密业务现场辅导与答疑服务，每年度（一个服务周期）服务次数为3次</w:t>
      </w:r>
      <w:r>
        <w:rPr>
          <w:rFonts w:hint="eastAsia"/>
          <w:highlight w:val="none"/>
          <w:lang w:val="en-US" w:eastAsia="zh-CN"/>
        </w:rPr>
        <w:t>，超出后以优惠价格另行计算。</w:t>
      </w:r>
    </w:p>
    <w:p>
      <w:pPr>
        <w:pStyle w:val="3"/>
        <w:bidi w:val="0"/>
        <w:rPr>
          <w:rFonts w:hint="eastAsia"/>
          <w:lang w:val="en-US" w:eastAsia="zh-CN"/>
        </w:rPr>
      </w:pPr>
      <w:r>
        <w:rPr>
          <w:rFonts w:hint="eastAsia"/>
          <w:lang w:val="en-US" w:eastAsia="zh-CN"/>
        </w:rPr>
        <w:t>5、项目验收</w:t>
      </w:r>
    </w:p>
    <w:p>
      <w:pPr>
        <w:pStyle w:val="2"/>
        <w:ind w:firstLine="480" w:firstLineChars="200"/>
        <w:rPr>
          <w:rFonts w:hint="eastAsia"/>
          <w:lang w:val="en-US" w:eastAsia="zh-CN"/>
        </w:rPr>
      </w:pPr>
      <w:r>
        <w:rPr>
          <w:rFonts w:hint="eastAsia"/>
          <w:lang w:val="en-US" w:eastAsia="zh-CN"/>
        </w:rPr>
        <w:t>项目实行年度履约验收，报价方在服务工期结束后，报价方应向采购方提供本次服务工期的咨询服务工作报告。采购方组织相关人员按照本服务要求进行验收确认，对发现的问题要求报价方限期整改，采购方确认无误后签字盖章，确认本次项目验收。</w:t>
      </w:r>
    </w:p>
    <w:p>
      <w:pPr>
        <w:pStyle w:val="3"/>
        <w:bidi w:val="0"/>
        <w:rPr>
          <w:rFonts w:hint="default"/>
          <w:lang w:val="en-US" w:eastAsia="zh-CN"/>
        </w:rPr>
      </w:pPr>
      <w:r>
        <w:rPr>
          <w:rFonts w:hint="eastAsia"/>
          <w:lang w:val="en-US" w:eastAsia="zh-CN"/>
        </w:rPr>
        <w:t>6、</w:t>
      </w:r>
      <w:r>
        <w:rPr>
          <w:rFonts w:hint="default"/>
          <w:lang w:val="en-US" w:eastAsia="zh-CN"/>
        </w:rPr>
        <w:t>保密要求</w:t>
      </w:r>
    </w:p>
    <w:p>
      <w:pPr>
        <w:ind w:firstLine="480" w:firstLineChars="200"/>
        <w:rPr>
          <w:rFonts w:hint="default"/>
          <w:lang w:val="en-US" w:eastAsia="zh-CN"/>
        </w:rPr>
      </w:pPr>
      <w:r>
        <w:rPr>
          <w:rFonts w:hint="eastAsia"/>
          <w:lang w:val="en-US" w:eastAsia="zh-CN"/>
        </w:rPr>
        <w:t>报价方须与采购方签订《保密承诺书》，报价方</w:t>
      </w:r>
      <w:r>
        <w:rPr>
          <w:rFonts w:hint="default"/>
          <w:lang w:val="en-US" w:eastAsia="zh-CN"/>
        </w:rPr>
        <w:t>及其工作人员在项目实施过程中，必须严格遵守国家保密法律法规和采购人的保密规定，对所接触到的涉密信息和涉密室相关情况予以严格保密。</w:t>
      </w:r>
    </w:p>
    <w:p>
      <w:pPr>
        <w:ind w:firstLine="480" w:firstLineChars="200"/>
        <w:rPr>
          <w:rFonts w:hint="default"/>
          <w:lang w:val="en-US" w:eastAsia="zh-CN"/>
        </w:rPr>
      </w:pPr>
      <w:r>
        <w:rPr>
          <w:rFonts w:hint="eastAsia"/>
          <w:lang w:val="en-US" w:eastAsia="zh-CN"/>
        </w:rPr>
        <w:t>报价方</w:t>
      </w:r>
      <w:r>
        <w:rPr>
          <w:rFonts w:hint="default"/>
          <w:lang w:val="en-US" w:eastAsia="zh-CN"/>
        </w:rPr>
        <w:t>应与参与项目的所有人员签订保密协议，明确保密责任和义务。如因</w:t>
      </w:r>
      <w:r>
        <w:rPr>
          <w:rFonts w:hint="eastAsia"/>
          <w:lang w:val="en-US" w:eastAsia="zh-CN"/>
        </w:rPr>
        <w:t>报价方</w:t>
      </w:r>
      <w:r>
        <w:rPr>
          <w:rFonts w:hint="default"/>
          <w:lang w:val="en-US" w:eastAsia="zh-CN"/>
        </w:rPr>
        <w:t>原因导致涉密信息泄露，</w:t>
      </w:r>
      <w:r>
        <w:rPr>
          <w:rFonts w:hint="eastAsia"/>
          <w:lang w:val="en-US" w:eastAsia="zh-CN"/>
        </w:rPr>
        <w:t>报价方</w:t>
      </w:r>
      <w:r>
        <w:rPr>
          <w:rFonts w:hint="default"/>
          <w:lang w:val="en-US" w:eastAsia="zh-CN"/>
        </w:rPr>
        <w:t>应承担相应的法律责任和经济赔偿责任。</w:t>
      </w:r>
    </w:p>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D09B69"/>
    <w:multiLevelType w:val="singleLevel"/>
    <w:tmpl w:val="9ED09B69"/>
    <w:lvl w:ilvl="0" w:tentative="0">
      <w:start w:val="1"/>
      <w:numFmt w:val="decimalEnclosedCircleChinese"/>
      <w:suff w:val="nothing"/>
      <w:lvlText w:val="%1　"/>
      <w:lvlJc w:val="left"/>
      <w:pPr>
        <w:ind w:left="0" w:firstLine="400"/>
      </w:pPr>
      <w:rPr>
        <w:rFonts w:hint="eastAsia"/>
      </w:rPr>
    </w:lvl>
  </w:abstractNum>
  <w:abstractNum w:abstractNumId="1">
    <w:nsid w:val="D1ED8800"/>
    <w:multiLevelType w:val="singleLevel"/>
    <w:tmpl w:val="D1ED8800"/>
    <w:lvl w:ilvl="0" w:tentative="0">
      <w:start w:val="1"/>
      <w:numFmt w:val="decimalEnclosedCircleChinese"/>
      <w:suff w:val="nothing"/>
      <w:lvlText w:val="%1　"/>
      <w:lvlJc w:val="left"/>
      <w:pPr>
        <w:ind w:left="0" w:firstLine="400"/>
      </w:pPr>
      <w:rPr>
        <w:rFonts w:hint="eastAsia"/>
      </w:rPr>
    </w:lvl>
  </w:abstractNum>
  <w:abstractNum w:abstractNumId="2">
    <w:nsid w:val="280D1BFD"/>
    <w:multiLevelType w:val="singleLevel"/>
    <w:tmpl w:val="280D1BFD"/>
    <w:lvl w:ilvl="0" w:tentative="0">
      <w:start w:val="1"/>
      <w:numFmt w:val="decimal"/>
      <w:suff w:val="nothing"/>
      <w:lvlText w:val="（%1）"/>
      <w:lvlJc w:val="left"/>
    </w:lvl>
  </w:abstractNum>
  <w:abstractNum w:abstractNumId="3">
    <w:nsid w:val="4271DA7F"/>
    <w:multiLevelType w:val="singleLevel"/>
    <w:tmpl w:val="4271DA7F"/>
    <w:lvl w:ilvl="0" w:tentative="0">
      <w:start w:val="3"/>
      <w:numFmt w:val="decimal"/>
      <w:suff w:val="nothing"/>
      <w:lvlText w:val="%1、"/>
      <w:lvlJc w:val="left"/>
    </w:lvl>
  </w:abstractNum>
  <w:abstractNum w:abstractNumId="4">
    <w:nsid w:val="53AF26C9"/>
    <w:multiLevelType w:val="singleLevel"/>
    <w:tmpl w:val="53AF26C9"/>
    <w:lvl w:ilvl="0" w:tentative="0">
      <w:start w:val="1"/>
      <w:numFmt w:val="lowerLetter"/>
      <w:pStyle w:val="20"/>
      <w:lvlText w:val="%1)"/>
      <w:lvlJc w:val="left"/>
      <w:pPr>
        <w:tabs>
          <w:tab w:val="left" w:pos="425"/>
        </w:tabs>
        <w:ind w:left="425" w:hanging="425"/>
      </w:pPr>
      <w:rPr>
        <w:rFonts w:hint="default" w:ascii="Times New Roman" w:hAnsi="Times New Roman"/>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1DAE7ACD"/>
    <w:rsid w:val="0018274C"/>
    <w:rsid w:val="002E21F1"/>
    <w:rsid w:val="008D7B22"/>
    <w:rsid w:val="0167398B"/>
    <w:rsid w:val="019B6C32"/>
    <w:rsid w:val="01B22B8D"/>
    <w:rsid w:val="024259E1"/>
    <w:rsid w:val="02DE5ECF"/>
    <w:rsid w:val="04425FE9"/>
    <w:rsid w:val="051279BD"/>
    <w:rsid w:val="063F594E"/>
    <w:rsid w:val="06FF6413"/>
    <w:rsid w:val="07983134"/>
    <w:rsid w:val="079E08CA"/>
    <w:rsid w:val="094310E2"/>
    <w:rsid w:val="09B201B2"/>
    <w:rsid w:val="0A5A4E2B"/>
    <w:rsid w:val="0AAF11E9"/>
    <w:rsid w:val="0ADD6A6C"/>
    <w:rsid w:val="0AE5406E"/>
    <w:rsid w:val="0BA31A63"/>
    <w:rsid w:val="0C8A677F"/>
    <w:rsid w:val="0CC233A9"/>
    <w:rsid w:val="0CCA3508"/>
    <w:rsid w:val="0D3F0696"/>
    <w:rsid w:val="0E936FA6"/>
    <w:rsid w:val="0F3849FF"/>
    <w:rsid w:val="0F5F04B7"/>
    <w:rsid w:val="0F794915"/>
    <w:rsid w:val="0F841BAC"/>
    <w:rsid w:val="10C03C65"/>
    <w:rsid w:val="114D44BF"/>
    <w:rsid w:val="1198193E"/>
    <w:rsid w:val="119A198D"/>
    <w:rsid w:val="122D30E1"/>
    <w:rsid w:val="129E37F0"/>
    <w:rsid w:val="13C95947"/>
    <w:rsid w:val="145449B1"/>
    <w:rsid w:val="1595602A"/>
    <w:rsid w:val="15965CC6"/>
    <w:rsid w:val="172872C1"/>
    <w:rsid w:val="182B5B48"/>
    <w:rsid w:val="189D4D0E"/>
    <w:rsid w:val="18AE1A47"/>
    <w:rsid w:val="1A1B6396"/>
    <w:rsid w:val="1A7E2606"/>
    <w:rsid w:val="1B43044F"/>
    <w:rsid w:val="1B64485A"/>
    <w:rsid w:val="1B8847D2"/>
    <w:rsid w:val="1BF1246E"/>
    <w:rsid w:val="1C0E4A0A"/>
    <w:rsid w:val="1CFF40A9"/>
    <w:rsid w:val="1DAE7ACD"/>
    <w:rsid w:val="1F9E2BED"/>
    <w:rsid w:val="205128A2"/>
    <w:rsid w:val="21026F3C"/>
    <w:rsid w:val="21A97250"/>
    <w:rsid w:val="21E66885"/>
    <w:rsid w:val="21EA7F94"/>
    <w:rsid w:val="23584229"/>
    <w:rsid w:val="235F043D"/>
    <w:rsid w:val="238E7B47"/>
    <w:rsid w:val="24546D6F"/>
    <w:rsid w:val="246B110F"/>
    <w:rsid w:val="249B35D5"/>
    <w:rsid w:val="25787893"/>
    <w:rsid w:val="26280DF4"/>
    <w:rsid w:val="26430DED"/>
    <w:rsid w:val="26A35D1E"/>
    <w:rsid w:val="273A5C77"/>
    <w:rsid w:val="279A37F0"/>
    <w:rsid w:val="27D86AE1"/>
    <w:rsid w:val="282D033B"/>
    <w:rsid w:val="289753D2"/>
    <w:rsid w:val="2A385D68"/>
    <w:rsid w:val="2A762B23"/>
    <w:rsid w:val="2AD56D55"/>
    <w:rsid w:val="2B9909C4"/>
    <w:rsid w:val="2C7B2DD7"/>
    <w:rsid w:val="2CDF621C"/>
    <w:rsid w:val="2F18751A"/>
    <w:rsid w:val="2F7621A1"/>
    <w:rsid w:val="300B5777"/>
    <w:rsid w:val="3070298D"/>
    <w:rsid w:val="30D33A5F"/>
    <w:rsid w:val="30E107B4"/>
    <w:rsid w:val="31C81974"/>
    <w:rsid w:val="31DE3FAF"/>
    <w:rsid w:val="33C9572E"/>
    <w:rsid w:val="34232E92"/>
    <w:rsid w:val="34BB5070"/>
    <w:rsid w:val="351B5D26"/>
    <w:rsid w:val="3532368F"/>
    <w:rsid w:val="359C0A53"/>
    <w:rsid w:val="36E56B24"/>
    <w:rsid w:val="36EE03E6"/>
    <w:rsid w:val="374B35BC"/>
    <w:rsid w:val="37633109"/>
    <w:rsid w:val="37691EBB"/>
    <w:rsid w:val="37BE184F"/>
    <w:rsid w:val="37BE26F8"/>
    <w:rsid w:val="383166DB"/>
    <w:rsid w:val="38447DF9"/>
    <w:rsid w:val="38671EDB"/>
    <w:rsid w:val="39BB256B"/>
    <w:rsid w:val="3A043D05"/>
    <w:rsid w:val="3A3B48E2"/>
    <w:rsid w:val="3A442876"/>
    <w:rsid w:val="3ACE2467"/>
    <w:rsid w:val="3B0E43B0"/>
    <w:rsid w:val="3B357B14"/>
    <w:rsid w:val="3C75570C"/>
    <w:rsid w:val="3D5F4F3E"/>
    <w:rsid w:val="3E700EED"/>
    <w:rsid w:val="3E834C59"/>
    <w:rsid w:val="3F9E08E1"/>
    <w:rsid w:val="41054F8D"/>
    <w:rsid w:val="41844344"/>
    <w:rsid w:val="41D30290"/>
    <w:rsid w:val="43444B9E"/>
    <w:rsid w:val="438D5F05"/>
    <w:rsid w:val="44A877A0"/>
    <w:rsid w:val="44E16B7D"/>
    <w:rsid w:val="46362EF9"/>
    <w:rsid w:val="46435FB5"/>
    <w:rsid w:val="46AA5358"/>
    <w:rsid w:val="47183E92"/>
    <w:rsid w:val="47863A0C"/>
    <w:rsid w:val="47A07250"/>
    <w:rsid w:val="47AE17EF"/>
    <w:rsid w:val="48DE6951"/>
    <w:rsid w:val="4A4439F9"/>
    <w:rsid w:val="4A6A3171"/>
    <w:rsid w:val="4ABB7443"/>
    <w:rsid w:val="4ABE0F21"/>
    <w:rsid w:val="4C9148B7"/>
    <w:rsid w:val="4D623459"/>
    <w:rsid w:val="4DCE691D"/>
    <w:rsid w:val="4E93783C"/>
    <w:rsid w:val="4EA24A54"/>
    <w:rsid w:val="4F0516DF"/>
    <w:rsid w:val="4F267703"/>
    <w:rsid w:val="4FC50A6E"/>
    <w:rsid w:val="50E83C9C"/>
    <w:rsid w:val="510F05CE"/>
    <w:rsid w:val="521C33C2"/>
    <w:rsid w:val="521F74E6"/>
    <w:rsid w:val="52432141"/>
    <w:rsid w:val="52CD24EF"/>
    <w:rsid w:val="52E15F9A"/>
    <w:rsid w:val="53E262B7"/>
    <w:rsid w:val="54011118"/>
    <w:rsid w:val="54534C76"/>
    <w:rsid w:val="54F45976"/>
    <w:rsid w:val="566E2FD6"/>
    <w:rsid w:val="56E83D9B"/>
    <w:rsid w:val="573653FE"/>
    <w:rsid w:val="57412909"/>
    <w:rsid w:val="57D3087B"/>
    <w:rsid w:val="583D3C73"/>
    <w:rsid w:val="59C83B13"/>
    <w:rsid w:val="59ED31D2"/>
    <w:rsid w:val="5A5E6D39"/>
    <w:rsid w:val="5AD42B5B"/>
    <w:rsid w:val="5AD43A5D"/>
    <w:rsid w:val="5AFD1DA7"/>
    <w:rsid w:val="5B4377F2"/>
    <w:rsid w:val="5BD20B76"/>
    <w:rsid w:val="5C6A0DAE"/>
    <w:rsid w:val="5EC55836"/>
    <w:rsid w:val="5F341785"/>
    <w:rsid w:val="5FAA4F49"/>
    <w:rsid w:val="61A64A13"/>
    <w:rsid w:val="61AC7771"/>
    <w:rsid w:val="627414C0"/>
    <w:rsid w:val="64007074"/>
    <w:rsid w:val="643D0886"/>
    <w:rsid w:val="64E70858"/>
    <w:rsid w:val="65905D2A"/>
    <w:rsid w:val="65CB6D62"/>
    <w:rsid w:val="66742F55"/>
    <w:rsid w:val="67A073EA"/>
    <w:rsid w:val="67F02CB7"/>
    <w:rsid w:val="68534DEC"/>
    <w:rsid w:val="691E189E"/>
    <w:rsid w:val="69C92AD0"/>
    <w:rsid w:val="6A5F7BF4"/>
    <w:rsid w:val="6AE12510"/>
    <w:rsid w:val="6AF1726A"/>
    <w:rsid w:val="6CB6092D"/>
    <w:rsid w:val="6CF748E0"/>
    <w:rsid w:val="6D5D4301"/>
    <w:rsid w:val="6E4C1C73"/>
    <w:rsid w:val="704D100A"/>
    <w:rsid w:val="70BF7D55"/>
    <w:rsid w:val="71A37926"/>
    <w:rsid w:val="71C97FC6"/>
    <w:rsid w:val="72111E04"/>
    <w:rsid w:val="725105EF"/>
    <w:rsid w:val="7294672D"/>
    <w:rsid w:val="73571C35"/>
    <w:rsid w:val="74A01F3A"/>
    <w:rsid w:val="765468FF"/>
    <w:rsid w:val="7689448C"/>
    <w:rsid w:val="772D04C3"/>
    <w:rsid w:val="775C2530"/>
    <w:rsid w:val="78BA6E21"/>
    <w:rsid w:val="798A42B2"/>
    <w:rsid w:val="7A9D7238"/>
    <w:rsid w:val="7B6507A8"/>
    <w:rsid w:val="7B6F1B8E"/>
    <w:rsid w:val="7C57797D"/>
    <w:rsid w:val="7CDB7DC9"/>
    <w:rsid w:val="7CFA3B06"/>
    <w:rsid w:val="7D313692"/>
    <w:rsid w:val="7D6438CC"/>
    <w:rsid w:val="7DE40569"/>
    <w:rsid w:val="7E573155"/>
    <w:rsid w:val="7E9B4895"/>
    <w:rsid w:val="7FA726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400" w:lineRule="exact"/>
      <w:jc w:val="both"/>
    </w:pPr>
    <w:rPr>
      <w:rFonts w:ascii="Times New Roman" w:hAnsi="Times New Roman" w:eastAsia="宋体" w:cs="Times New Roman"/>
      <w:kern w:val="2"/>
      <w:sz w:val="24"/>
      <w:szCs w:val="22"/>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400" w:lineRule="exact"/>
      <w:outlineLvl w:val="0"/>
    </w:pPr>
    <w:rPr>
      <w:rFonts w:ascii="Times New Roman" w:hAnsi="Times New Roman" w:eastAsia="宋体"/>
      <w:b/>
      <w:kern w:val="44"/>
      <w:sz w:val="32"/>
    </w:rPr>
  </w:style>
  <w:style w:type="paragraph" w:styleId="4">
    <w:name w:val="heading 2"/>
    <w:basedOn w:val="1"/>
    <w:next w:val="1"/>
    <w:link w:val="16"/>
    <w:unhideWhenUsed/>
    <w:qFormat/>
    <w:uiPriority w:val="0"/>
    <w:pPr>
      <w:keepNext/>
      <w:keepLines/>
      <w:spacing w:before="260" w:beforeLines="0" w:beforeAutospacing="0" w:after="260" w:afterLines="0" w:afterAutospacing="0" w:line="240" w:lineRule="auto"/>
      <w:outlineLvl w:val="1"/>
    </w:pPr>
    <w:rPr>
      <w:rFonts w:ascii="Arial" w:hAnsi="Arial" w:eastAsia="宋体"/>
      <w:b/>
      <w:sz w:val="30"/>
    </w:rPr>
  </w:style>
  <w:style w:type="paragraph" w:styleId="5">
    <w:name w:val="heading 3"/>
    <w:basedOn w:val="1"/>
    <w:next w:val="1"/>
    <w:unhideWhenUsed/>
    <w:qFormat/>
    <w:uiPriority w:val="0"/>
    <w:pPr>
      <w:keepNext/>
      <w:keepLines/>
      <w:spacing w:before="260" w:beforeLines="0" w:beforeAutospacing="0" w:after="260" w:afterLines="0" w:afterAutospacing="0" w:line="240" w:lineRule="auto"/>
      <w:outlineLvl w:val="2"/>
    </w:pPr>
    <w:rPr>
      <w:rFonts w:ascii="Times New Roman" w:hAnsi="Times New Roman" w:eastAsia="宋体"/>
      <w:sz w:val="28"/>
    </w:rPr>
  </w:style>
  <w:style w:type="paragraph" w:styleId="6">
    <w:name w:val="heading 4"/>
    <w:basedOn w:val="1"/>
    <w:next w:val="1"/>
    <w:unhideWhenUsed/>
    <w:qFormat/>
    <w:uiPriority w:val="0"/>
    <w:pPr>
      <w:keepNext/>
      <w:keepLines/>
      <w:spacing w:before="280" w:beforeLines="0" w:beforeAutospacing="0" w:after="290" w:afterLines="0" w:afterAutospacing="0" w:line="300" w:lineRule="exact"/>
      <w:outlineLvl w:val="3"/>
    </w:pPr>
    <w:rPr>
      <w:rFonts w:ascii="Arial" w:hAnsi="Arial" w:eastAsia="宋体"/>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7">
    <w:name w:val="Plain Text"/>
    <w:basedOn w:val="1"/>
    <w:qFormat/>
    <w:uiPriority w:val="0"/>
    <w:rPr>
      <w:rFonts w:ascii="宋体" w:hAnsi="Courier New" w:cs="Courier New"/>
      <w:szCs w:val="21"/>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character" w:styleId="13">
    <w:name w:val="page number"/>
    <w:basedOn w:val="12"/>
    <w:qFormat/>
    <w:uiPriority w:val="0"/>
  </w:style>
  <w:style w:type="paragraph" w:customStyle="1" w:styleId="14">
    <w:name w:val="首页日期"/>
    <w:basedOn w:val="1"/>
    <w:link w:val="15"/>
    <w:qFormat/>
    <w:uiPriority w:val="0"/>
    <w:pPr>
      <w:jc w:val="center"/>
    </w:pPr>
    <w:rPr>
      <w:rFonts w:eastAsia="楷体"/>
      <w:sz w:val="32"/>
    </w:rPr>
  </w:style>
  <w:style w:type="character" w:customStyle="1" w:styleId="15">
    <w:name w:val="首页日期 Char"/>
    <w:link w:val="14"/>
    <w:qFormat/>
    <w:uiPriority w:val="0"/>
    <w:rPr>
      <w:rFonts w:eastAsia="楷体"/>
      <w:sz w:val="32"/>
    </w:rPr>
  </w:style>
  <w:style w:type="character" w:customStyle="1" w:styleId="16">
    <w:name w:val="标题 2 Char"/>
    <w:link w:val="4"/>
    <w:qFormat/>
    <w:uiPriority w:val="0"/>
    <w:rPr>
      <w:rFonts w:ascii="Arial" w:hAnsi="Arial" w:eastAsia="宋体"/>
      <w:b/>
      <w:sz w:val="30"/>
    </w:rPr>
  </w:style>
  <w:style w:type="paragraph" w:customStyle="1" w:styleId="17">
    <w:name w:val="*Z表内容"/>
    <w:qFormat/>
    <w:uiPriority w:val="0"/>
    <w:pPr>
      <w:snapToGrid w:val="0"/>
      <w:jc w:val="center"/>
    </w:pPr>
    <w:rPr>
      <w:rFonts w:ascii="Times New Roman" w:hAnsi="Times New Roman" w:eastAsia="宋体" w:cs="Times New Roman"/>
      <w:bCs/>
      <w:kern w:val="2"/>
      <w:sz w:val="18"/>
      <w:szCs w:val="21"/>
      <w:lang w:val="en-US" w:eastAsia="zh-CN" w:bidi="ar-SA"/>
    </w:rPr>
  </w:style>
  <w:style w:type="paragraph" w:customStyle="1" w:styleId="1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paragraph" w:customStyle="1" w:styleId="19">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paragraph" w:customStyle="1" w:styleId="20">
    <w:name w:val="英文标号正文"/>
    <w:basedOn w:val="1"/>
    <w:qFormat/>
    <w:uiPriority w:val="0"/>
    <w:pPr>
      <w:widowControl/>
      <w:numPr>
        <w:ilvl w:val="0"/>
        <w:numId w:val="1"/>
      </w:numPr>
      <w:autoSpaceDE w:val="0"/>
      <w:autoSpaceDN w:val="0"/>
    </w:pPr>
    <w:rPr>
      <w:rFonts w:ascii="Times New Roman" w:hAnsi="Times New Roman" w:eastAsia="宋体" w:cs="Times New Roman"/>
      <w:kern w:val="0"/>
      <w:sz w:val="24"/>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2749</Words>
  <Characters>2797</Characters>
  <Lines>0</Lines>
  <Paragraphs>0</Paragraphs>
  <TotalTime>11</TotalTime>
  <ScaleCrop>false</ScaleCrop>
  <LinksUpToDate>false</LinksUpToDate>
  <CharactersWithSpaces>2803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2024-07-31T08:59:00Z</dcterms:created>
  <dc:creator>€+¶=Ψ</dc:creator>
  <cp:lastModifiedBy>总文书</cp:lastModifiedBy>
  <dcterms:modified xsi:type="dcterms:W3CDTF">2026-04-14T09:48:31Z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DF0A46A4E8D84774ABCF8E3064C97B5D_13</vt:lpwstr>
  </property>
  <property fmtid="{D5CDD505-2E9C-101B-9397-08002B2CF9AE}" pid="4" name="KSOTemplateDocerSaveRecord">
    <vt:lpwstr>eyJoZGlkIjoiY2UwMzFiMTMyMGFkYTVmMDU4ZGM2NGU4NDJlZjJiY2UiLCJ1c2VySWQiOiIyMzMzMDM4NjcifQ==</vt:lpwstr>
  </property>
</Properties>
</file>