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default" w:eastAsia="宋体"/>
          <w:color w:val="000000"/>
          <w:sz w:val="32"/>
          <w:szCs w:val="32"/>
          <w:lang w:val="en-US" w:eastAsia="zh-CN"/>
        </w:rPr>
      </w:pPr>
      <w:r>
        <w:rPr>
          <w:color w:val="000000"/>
          <w:sz w:val="32"/>
          <w:szCs w:val="32"/>
        </w:rPr>
        <w:t>贵州光力科技创新有限责任公司办公管理软件</w:t>
      </w:r>
      <w:r>
        <w:rPr>
          <w:rFonts w:hint="eastAsia"/>
          <w:color w:val="000000"/>
          <w:sz w:val="32"/>
          <w:szCs w:val="32"/>
          <w:lang w:val="en-US" w:eastAsia="zh-CN"/>
        </w:rPr>
        <w:t>升级服务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color w:val="000000"/>
          <w:sz w:val="32"/>
          <w:szCs w:val="32"/>
        </w:rPr>
      </w:pPr>
      <w:r>
        <w:rPr>
          <w:color w:val="000000"/>
          <w:sz w:val="32"/>
          <w:szCs w:val="32"/>
        </w:rPr>
        <w:t>技术规范书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一、项目概述</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本项目为贵州光力科技创新有限责任公司办公管理软件升级服务项目，采购预算金额为4.8万元。项目核心目标是构建整体联动、业务协同的协同办公体系，借助信息化手段落地管理思想，实现公司内部办公管理的标准化、协作化、精准化、平台化、简便化，优化内部流程，丰富管理形式，畅通服务渠道，提升内部办事满意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二、</w:t>
      </w:r>
      <w:r>
        <w:rPr>
          <w:rFonts w:hint="eastAsia"/>
          <w:color w:val="000000"/>
          <w:sz w:val="32"/>
          <w:szCs w:val="32"/>
          <w:lang w:val="en-US" w:eastAsia="zh-CN"/>
        </w:rPr>
        <w:t>本次服务</w:t>
      </w:r>
      <w:r>
        <w:rPr>
          <w:color w:val="000000"/>
          <w:sz w:val="32"/>
          <w:szCs w:val="32"/>
        </w:rPr>
        <w:t>核心要求</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rFonts w:hint="eastAsia" w:ascii="宋体" w:hAnsi="宋体" w:eastAsia="宋体" w:cs="宋体"/>
          <w:color w:val="000000"/>
          <w:kern w:val="0"/>
          <w:sz w:val="28"/>
          <w:szCs w:val="28"/>
          <w:lang w:val="en-US" w:eastAsia="zh-CN" w:bidi="ar"/>
        </w:rPr>
      </w:pPr>
      <w:bookmarkStart w:id="0" w:name="OLE_LINK1"/>
      <w:r>
        <w:rPr>
          <w:rFonts w:hint="eastAsia" w:ascii="宋体" w:hAnsi="宋体" w:eastAsia="宋体" w:cs="宋体"/>
          <w:color w:val="000000"/>
          <w:kern w:val="0"/>
          <w:sz w:val="28"/>
          <w:szCs w:val="28"/>
          <w:lang w:val="en-US" w:eastAsia="zh-CN" w:bidi="ar"/>
        </w:rPr>
        <w:t>本次升级公司运营管理的协同办公管理软件，实现办公流程线上化、数据管理规范化、权限管控精细化，全面支撑公司日常公文处理、会议管理、事务审批等核心办公业务，打造高效、便捷、安全的内部办公协作平台，满足公司多层级、多场景的办公管理需求。</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bookmarkStart w:id="1" w:name="OLE_LINK2"/>
      <w:r>
        <w:rPr>
          <w:color w:val="000000"/>
          <w:sz w:val="32"/>
          <w:szCs w:val="32"/>
        </w:rPr>
        <w:t>三、</w:t>
      </w:r>
      <w:r>
        <w:rPr>
          <w:rFonts w:hint="eastAsia"/>
          <w:color w:val="000000"/>
          <w:sz w:val="32"/>
          <w:szCs w:val="32"/>
          <w:lang w:val="en-US" w:eastAsia="zh-CN"/>
        </w:rPr>
        <w:t>本次升级</w:t>
      </w:r>
      <w:r>
        <w:rPr>
          <w:color w:val="000000"/>
          <w:sz w:val="32"/>
          <w:szCs w:val="32"/>
        </w:rPr>
        <w:t>功能模块及技术规范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（一）基础引擎模块</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1. 组织权限引擎</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支持公司组织架构、用户权限的灵活配置；实现多层级多组织的分级分权管理，适配公司组织管理架构；支持一人多岗、临时组织搭建、权限划转操作，满足灵活的组织管理需求；严格实现三员管理设定，保障权限管理的规范性与安全性。</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2. 流程表单引擎</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配备可视化表单编辑器和流程编辑器，支持通过拖拽式操作完成表单字段、业务流程的配置化设定；实现业务流程版本管理功能，支持流程的迭代更新与追溯；具备业务流程效率分析能力，可对流程流转全环节进行数据统计与分析。</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3. 工作门户引擎</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支持电脑端工作门户的功能及样式自定义配置；基于权限管控实现多层级多组织下多元化信息与应用的展示、发布与管理；可搭建单位门户、业务门户、领导门户、党建门户等多类型门户，满足不同角色的办公信息获取与操作需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4. 文档内容引擎</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实现对非结构化数据的目录化、权限化全生命周期管理；搭建公司知识体系，支撑文档的积累、分享、利用与创新，实现公司知识资产的规范化管理与高效复用。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（二）基础办公门户模块</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rFonts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 </w:t>
      </w:r>
      <w:r>
        <w:rPr>
          <w:rFonts w:ascii="宋体" w:hAnsi="宋体" w:eastAsia="宋体" w:cs="宋体"/>
          <w:color w:val="000000"/>
          <w:kern w:val="0"/>
          <w:sz w:val="28"/>
          <w:szCs w:val="28"/>
          <w:lang w:val="en-US" w:eastAsia="zh-CN" w:bidi="ar"/>
        </w:rPr>
        <w:t>搭建简洁易用的电脑端工作桌面，作为系统统一操作入口；简化系统操作逻辑，降低用户使用门槛，提升系统的应用与推广效率，实现各类办公功能的快速访问。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rFonts w:hint="eastAsia" w:eastAsia="宋体"/>
          <w:color w:val="000000"/>
          <w:sz w:val="32"/>
          <w:szCs w:val="32"/>
          <w:lang w:eastAsia="zh-CN"/>
        </w:rPr>
      </w:pPr>
      <w:r>
        <w:rPr>
          <w:color w:val="000000"/>
          <w:sz w:val="32"/>
          <w:szCs w:val="32"/>
        </w:rPr>
        <w:t>（三）管理</w:t>
      </w:r>
      <w:r>
        <w:rPr>
          <w:rFonts w:hint="eastAsia"/>
          <w:color w:val="000000"/>
          <w:sz w:val="32"/>
          <w:szCs w:val="32"/>
          <w:lang w:val="en-US" w:eastAsia="zh-CN"/>
        </w:rPr>
        <w:t>内容</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color w:val="000000"/>
          <w:sz w:val="28"/>
          <w:szCs w:val="28"/>
        </w:rPr>
      </w:pPr>
      <w:r>
        <w:rPr>
          <w:rFonts w:ascii="宋体" w:hAnsi="宋体" w:eastAsia="宋体" w:cs="宋体"/>
          <w:color w:val="000000"/>
          <w:kern w:val="0"/>
          <w:sz w:val="28"/>
          <w:szCs w:val="28"/>
          <w:lang w:val="en-US" w:eastAsia="zh-CN" w:bidi="ar"/>
        </w:rPr>
        <w:t>集成拟稿发文、收文登记核心功能；汇总展示公文基础标准信息，打造公文整体数据管理页面，实现公文核心操作与数据可视化一体化呈现。实现发文拟稿传递、审批、发布、催办、归档全流程线上化；通过电子审批流程替代线下纸质流转，保障发文流程的规范性与高效性。涵盖收文登记、公文流转、公文督办、公文查询、公文统计全环节管理；实现收文业务线上闭环，支持多维度检索、统计收文相关数据。支撑起草签报、挂签报字号、部门领导审批、跨部门会签、领导审批、经办部门办理、签报归档全流程标准化处理；规范签报审批程序，实现签报业务的线上化管控。通过流程设计工具配置催办、督办项目；实现流转中公文的系统实时监控，自动触发催办提醒，确保公文按时办结，提升公文处理效率。支持多种公文字号类型，兼容行业通用标准；支持公司根据实际办公需求自定义配置文号规则，实现文号的自动化、规范化管理与溯源。提供自定义公文模板功能，支持管理员自主设计公司各类红头文件格式；满足公司不同发文格式要求，实现公文套红自动化处理，保障公文格式的统一性。实现电子化收发文登记簿功能，自动记录收发文关键信息；支持台账的多维度查询、导出，替代线下手工登记，提升台账管理效率。提供收发文统计功能，支持按时间、部门、公文类型、处理状态等维度生成统计报表；支撑公文管理工作的数智化分析与决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w:t>
      </w:r>
      <w:r>
        <w:rPr>
          <w:rFonts w:hint="eastAsia"/>
          <w:color w:val="000000"/>
          <w:sz w:val="32"/>
          <w:szCs w:val="32"/>
          <w:lang w:val="en-US" w:eastAsia="zh-CN"/>
        </w:rPr>
        <w:t>五</w:t>
      </w:r>
      <w:r>
        <w:rPr>
          <w:color w:val="000000"/>
          <w:sz w:val="32"/>
          <w:szCs w:val="32"/>
        </w:rPr>
        <w:t>）系统整体技术要求</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rFonts w:ascii="宋体" w:hAnsi="宋体" w:eastAsia="宋体" w:cs="宋体"/>
          <w:color w:val="000000"/>
          <w:kern w:val="0"/>
          <w:sz w:val="28"/>
          <w:szCs w:val="28"/>
          <w:lang w:val="en-US" w:eastAsia="zh-CN" w:bidi="ar"/>
        </w:rPr>
      </w:pPr>
      <w:r>
        <w:rPr>
          <w:rFonts w:ascii="宋体" w:hAnsi="宋体" w:eastAsia="宋体" w:cs="宋体"/>
          <w:color w:val="000000"/>
          <w:kern w:val="0"/>
          <w:sz w:val="28"/>
          <w:szCs w:val="28"/>
          <w:lang w:val="en-US" w:eastAsia="zh-CN" w:bidi="ar"/>
        </w:rPr>
        <w:t>系统包含发文管理、收文管理、公文交换三大核心内容，完成内部文件起草制发、传阅、批示处理、公文交换等全场景线上流转，完整支撑 18 种行文规范；具备公文便签、敏感词设定、全文检索、检索报表、个人收藏等功能；支持自定义文件发放范围、对象、条线，可设置必读、可读、办理三类权限要求，确保文件传达与反馈的有效性；兼容 OFD、PDF 等主流文件格式；提供可视化公文处理流程配置，支持固定流程、临时流程两种模式，实现流程环节自动转发，支持节点操作权限精细化配置；具备公文自动排序、授权办理功能，适配灵活的办公处理需求。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（五）会议管理系统</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rFonts w:ascii="宋体" w:hAnsi="宋体" w:eastAsia="宋体" w:cs="宋体"/>
          <w:color w:val="000000"/>
          <w:kern w:val="0"/>
          <w:sz w:val="28"/>
          <w:szCs w:val="28"/>
          <w:lang w:val="en-US" w:eastAsia="zh-CN" w:bidi="ar"/>
        </w:rPr>
      </w:pPr>
      <w:r>
        <w:rPr>
          <w:rFonts w:ascii="宋体" w:hAnsi="宋体" w:eastAsia="宋体" w:cs="宋体"/>
          <w:color w:val="000000"/>
          <w:kern w:val="0"/>
          <w:sz w:val="28"/>
          <w:szCs w:val="28"/>
          <w:lang w:val="en-US" w:eastAsia="zh-CN" w:bidi="ar"/>
        </w:rPr>
        <w:t>实现会议 “会前、会中、会后” 全过程线上一体化管理；实现会务日程、议题、文档材料、相关流程的关联互通，打造线上线下联动的会议体系；支持会议通知的起草、一键发送与回执统计；会后可由会议决议、会议纪要直接生成督办任务或会议发文，实现会议决议的全流程跟踪、执行与闭环管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（六）事务管理系统</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right="0"/>
        <w:jc w:val="left"/>
        <w:rPr>
          <w:color w:val="000000"/>
          <w:sz w:val="28"/>
          <w:szCs w:val="28"/>
        </w:rPr>
      </w:pPr>
      <w:r>
        <w:rPr>
          <w:rFonts w:ascii="宋体" w:hAnsi="宋体" w:eastAsia="宋体" w:cs="宋体"/>
          <w:color w:val="000000"/>
          <w:kern w:val="0"/>
          <w:sz w:val="28"/>
          <w:szCs w:val="28"/>
          <w:lang w:val="en-US" w:eastAsia="zh-CN" w:bidi="ar"/>
        </w:rPr>
        <w:t>梳理并优化办公室综合业务审批工作流程，适配公司内部协同事务性工作需求；实现各类事务审批的线上化、标准化、流程化管理，提升内部事务协作与处理效率。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w:t>
      </w:r>
      <w:r>
        <w:rPr>
          <w:rFonts w:hint="eastAsia"/>
          <w:color w:val="000000"/>
          <w:sz w:val="32"/>
          <w:szCs w:val="32"/>
          <w:lang w:val="en-US" w:eastAsia="zh-CN"/>
        </w:rPr>
        <w:t>七</w:t>
      </w:r>
      <w:r>
        <w:rPr>
          <w:color w:val="000000"/>
          <w:sz w:val="32"/>
          <w:szCs w:val="32"/>
        </w:rPr>
        <w:t>）基础支撑平台</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leftChars="0" w:right="0" w:firstLine="638" w:firstLineChars="228"/>
        <w:jc w:val="left"/>
        <w:rPr>
          <w:rFonts w:ascii="宋体" w:hAnsi="宋体" w:eastAsia="宋体" w:cs="宋体"/>
          <w:color w:val="000000"/>
          <w:kern w:val="0"/>
          <w:sz w:val="28"/>
          <w:szCs w:val="28"/>
          <w:lang w:val="en-US" w:eastAsia="zh-CN" w:bidi="ar"/>
        </w:rPr>
      </w:pPr>
      <w:r>
        <w:rPr>
          <w:rFonts w:ascii="宋体" w:hAnsi="宋体" w:eastAsia="宋体" w:cs="宋体"/>
          <w:color w:val="000000"/>
          <w:kern w:val="0"/>
          <w:sz w:val="28"/>
          <w:szCs w:val="28"/>
          <w:lang w:val="en-US" w:eastAsia="zh-CN" w:bidi="ar"/>
        </w:rPr>
        <w:t>作为办公管理软件的核心技术底座，提供平台基础管理功能，为资源管理、应用管理提供技术支撑，为新应用的快速创建提供基础服务组件；包含两大核心子模块：</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1.</w:t>
      </w:r>
      <w:r>
        <w:rPr>
          <w:color w:val="000000"/>
          <w:sz w:val="28"/>
          <w:szCs w:val="28"/>
        </w:rPr>
        <w:t>组件中心：支持通过后台配置快速组装功能组件，实现个性化业务应用的快速构建与部署，适配公司后续业务拓展与功能迭代需求；</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2.</w:t>
      </w:r>
      <w:r>
        <w:rPr>
          <w:color w:val="000000"/>
          <w:sz w:val="28"/>
          <w:szCs w:val="28"/>
        </w:rPr>
        <w:t>运维中心：实现平台日志、安全防护、系统升级、多语言适配等基础运维工作的后台集中管理，保障平台稳定、安全、持续运行。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四、部署与架构要求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（一）系统架构</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right="0"/>
        <w:jc w:val="left"/>
        <w:rPr>
          <w:color w:val="000000"/>
          <w:sz w:val="28"/>
          <w:szCs w:val="28"/>
        </w:rPr>
      </w:pPr>
      <w:r>
        <w:rPr>
          <w:rFonts w:ascii="宋体" w:hAnsi="宋体" w:eastAsia="宋体" w:cs="宋体"/>
          <w:color w:val="000000"/>
          <w:kern w:val="0"/>
          <w:sz w:val="28"/>
          <w:szCs w:val="28"/>
          <w:lang w:val="en-US" w:eastAsia="zh-CN" w:bidi="ar"/>
        </w:rPr>
        <w:t>采用 B/S（浏览器 / 服务器）架构，用户无需安装本地客户端，通过浏览器即可实现全功能访问与操作，降低系统部署与维护成本。</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（二）部署方式</w:t>
      </w:r>
    </w:p>
    <w:p>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uto"/>
        <w:ind w:left="0" w:right="0"/>
        <w:jc w:val="left"/>
        <w:rPr>
          <w:color w:val="000000"/>
          <w:sz w:val="28"/>
          <w:szCs w:val="28"/>
        </w:rPr>
      </w:pPr>
      <w:r>
        <w:rPr>
          <w:rFonts w:ascii="宋体" w:hAnsi="宋体" w:eastAsia="宋体" w:cs="宋体"/>
          <w:color w:val="000000"/>
          <w:kern w:val="0"/>
          <w:sz w:val="28"/>
          <w:szCs w:val="28"/>
          <w:lang w:val="en-US" w:eastAsia="zh-CN" w:bidi="ar"/>
        </w:rPr>
        <w:t>采用 “独立部署” 模式，系统集中部署于公司内部局域网环境；仅支持公司内部局域网访问，禁止外网访问，保障公司办公数据的安全性与保密性。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五、系统整体技术要求</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1.</w:t>
      </w:r>
      <w:r>
        <w:rPr>
          <w:color w:val="000000"/>
          <w:sz w:val="28"/>
          <w:szCs w:val="28"/>
        </w:rPr>
        <w:t>易用性：操作界面简洁直观，操作逻辑符合日常办公习惯，降低员工学习与操作成本，提升系统普及率；</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2.</w:t>
      </w:r>
      <w:r>
        <w:rPr>
          <w:color w:val="000000"/>
          <w:sz w:val="28"/>
          <w:szCs w:val="28"/>
        </w:rPr>
        <w:t>稳定性：支持公司多用户同时在线操作，无卡顿、崩溃、数据丢失等问题，系统可用率达到高标准要求；</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3.</w:t>
      </w:r>
      <w:r>
        <w:rPr>
          <w:color w:val="000000"/>
          <w:sz w:val="28"/>
          <w:szCs w:val="28"/>
        </w:rPr>
        <w:t>安全性：具备完善的权限管控机制，实现数据、功能的精细化权限分配，支持操作日志全程追溯，保障公司办公数据与业务信息的安全；</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4.</w:t>
      </w:r>
      <w:r>
        <w:rPr>
          <w:color w:val="000000"/>
          <w:sz w:val="28"/>
          <w:szCs w:val="28"/>
        </w:rPr>
        <w:t>可扩展性：支持系统后续的功能拓展、模块升级与架构优化，适配公司未来发展的办公管理需求；</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5.</w:t>
      </w:r>
      <w:r>
        <w:rPr>
          <w:color w:val="000000"/>
          <w:sz w:val="28"/>
          <w:szCs w:val="28"/>
        </w:rPr>
        <w:t>兼容性：兼容主流浏览器（IE11 及以上、Chrome、Firefox 等），适配公司现有硬件与网络环境，无需大规模升级现有设备；</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6.</w:t>
      </w:r>
      <w:r>
        <w:rPr>
          <w:color w:val="000000"/>
          <w:sz w:val="28"/>
          <w:szCs w:val="28"/>
        </w:rPr>
        <w:t>维护性：提供简洁的后台管理与运维界面，支持日常运维工作的快速开展，降低系统运维成本。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color w:val="000000"/>
          <w:sz w:val="32"/>
          <w:szCs w:val="32"/>
        </w:rPr>
      </w:pPr>
      <w:r>
        <w:rPr>
          <w:color w:val="000000"/>
          <w:sz w:val="32"/>
          <w:szCs w:val="32"/>
        </w:rPr>
        <w:t>六、其他要求</w:t>
      </w:r>
      <w:bookmarkStart w:id="2" w:name="_GoBack"/>
      <w:bookmarkEnd w:id="2"/>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1.</w:t>
      </w:r>
      <w:r>
        <w:rPr>
          <w:color w:val="000000"/>
          <w:sz w:val="28"/>
          <w:szCs w:val="28"/>
        </w:rPr>
        <w:t>供应商需具备相关办公管理软件的开发与实施经验，能够根据公司实际需求提供个性化配置与调试服务；</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2.</w:t>
      </w:r>
      <w:r>
        <w:rPr>
          <w:color w:val="000000"/>
          <w:sz w:val="28"/>
          <w:szCs w:val="28"/>
        </w:rPr>
        <w:t>供应商需提供完善的技术培训服务，确保公司相关操作人员能够熟练使用系统各项功能；</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3.</w:t>
      </w:r>
      <w:r>
        <w:rPr>
          <w:color w:val="000000"/>
          <w:sz w:val="28"/>
          <w:szCs w:val="28"/>
        </w:rPr>
        <w:t>供应商需提供长期的技术支持与售后服务，及时响应并解决系统运行过程中出现的问题；</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left"/>
        <w:rPr>
          <w:color w:val="000000"/>
          <w:sz w:val="28"/>
          <w:szCs w:val="28"/>
        </w:rPr>
      </w:pPr>
      <w:r>
        <w:rPr>
          <w:rFonts w:hint="eastAsia"/>
          <w:color w:val="000000"/>
          <w:sz w:val="28"/>
          <w:szCs w:val="28"/>
          <w:lang w:val="en-US" w:eastAsia="zh-CN"/>
        </w:rPr>
        <w:t>4.</w:t>
      </w:r>
      <w:r>
        <w:rPr>
          <w:color w:val="000000"/>
          <w:sz w:val="28"/>
          <w:szCs w:val="28"/>
        </w:rPr>
        <w:t>系统交付后需提供完整的技术文档，包括操作手册、运维手册、接口文档等。</w:t>
      </w:r>
    </w:p>
    <w:bookmarkEnd w:id="1"/>
    <w:p>
      <w:pPr>
        <w:keepNext w:val="0"/>
        <w:keepLines w:val="0"/>
        <w:widowControl/>
        <w:suppressLineNumbers w:val="0"/>
        <w:jc w:val="both"/>
        <w:rPr>
          <w:rFonts w:hint="eastAsia" w:ascii="宋体" w:hAnsi="宋体" w:eastAsia="宋体" w:cs="宋体"/>
          <w:b/>
          <w:bCs/>
          <w:sz w:val="32"/>
          <w:szCs w:val="32"/>
        </w:rPr>
      </w:pPr>
      <w:r>
        <w:rPr>
          <w:rFonts w:hint="eastAsia"/>
          <w:color w:val="000000"/>
          <w:sz w:val="32"/>
          <w:szCs w:val="32"/>
          <w:lang w:val="en-US" w:eastAsia="zh-CN"/>
        </w:rPr>
        <w:t>七</w:t>
      </w:r>
      <w:r>
        <w:rPr>
          <w:color w:val="000000"/>
          <w:sz w:val="32"/>
          <w:szCs w:val="32"/>
        </w:rPr>
        <w:t>、</w:t>
      </w:r>
      <w:r>
        <w:rPr>
          <w:rFonts w:hint="eastAsia" w:ascii="宋体" w:hAnsi="宋体" w:eastAsia="宋体" w:cs="宋体"/>
          <w:b/>
          <w:bCs/>
          <w:kern w:val="0"/>
          <w:sz w:val="32"/>
          <w:szCs w:val="32"/>
          <w:lang w:val="en-US" w:eastAsia="zh-CN" w:bidi="ar"/>
        </w:rPr>
        <w:t>贵州光力科技创新有限责任公司办公管理软件项目预算</w:t>
      </w:r>
    </w:p>
    <w:p>
      <w:pPr>
        <w:keepNext w:val="0"/>
        <w:keepLines w:val="0"/>
        <w:widowControl/>
        <w:suppressLineNumbers w:val="0"/>
        <w:jc w:val="left"/>
        <w:rPr>
          <w:rFonts w:hint="eastAsia" w:ascii="宋体" w:hAnsi="宋体" w:eastAsia="宋体" w:cs="宋体"/>
          <w:b/>
          <w:bCs/>
          <w:sz w:val="30"/>
          <w:szCs w:val="30"/>
        </w:rPr>
      </w:pPr>
      <w:r>
        <w:rPr>
          <w:rFonts w:hint="eastAsia" w:ascii="宋体" w:hAnsi="宋体" w:eastAsia="宋体" w:cs="宋体"/>
          <w:b/>
          <w:bCs/>
          <w:kern w:val="0"/>
          <w:sz w:val="30"/>
          <w:szCs w:val="30"/>
          <w:lang w:val="en-US" w:eastAsia="zh-CN" w:bidi="ar"/>
        </w:rPr>
        <w:t>1、项目基础信息</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789"/>
        <w:gridCol w:w="68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1037"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项目名称</w:t>
            </w:r>
          </w:p>
        </w:tc>
        <w:tc>
          <w:tcPr>
            <w:tcW w:w="3962"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贵州光力科技创新有限责任公司办公管理软件升级技术服务项目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7"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kern w:val="0"/>
                <w:sz w:val="28"/>
                <w:szCs w:val="28"/>
                <w:lang w:val="en-US" w:eastAsia="zh-CN" w:bidi="ar"/>
              </w:rPr>
              <w:t>建设单位</w:t>
            </w:r>
          </w:p>
        </w:tc>
        <w:tc>
          <w:tcPr>
            <w:tcW w:w="3962"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kern w:val="0"/>
                <w:sz w:val="28"/>
                <w:szCs w:val="28"/>
                <w:lang w:val="en-US" w:eastAsia="zh-CN" w:bidi="ar"/>
              </w:rPr>
              <w:t>贵州光力科技创新有限责任公司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7"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kern w:val="0"/>
                <w:sz w:val="28"/>
                <w:szCs w:val="28"/>
                <w:lang w:val="en-US" w:eastAsia="zh-CN" w:bidi="ar"/>
              </w:rPr>
              <w:t>项目类型</w:t>
            </w:r>
          </w:p>
        </w:tc>
        <w:tc>
          <w:tcPr>
            <w:tcW w:w="3962"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kern w:val="0"/>
                <w:sz w:val="28"/>
                <w:szCs w:val="28"/>
                <w:lang w:val="en-US" w:eastAsia="zh-CN" w:bidi="ar"/>
              </w:rPr>
              <w:t>系统升级改造技术服务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7"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kern w:val="0"/>
                <w:sz w:val="28"/>
                <w:szCs w:val="28"/>
                <w:lang w:val="en-US" w:eastAsia="zh-CN" w:bidi="ar"/>
              </w:rPr>
              <w:t>预算总金额</w:t>
            </w:r>
          </w:p>
        </w:tc>
        <w:tc>
          <w:tcPr>
            <w:tcW w:w="3962"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kern w:val="0"/>
                <w:sz w:val="28"/>
                <w:szCs w:val="28"/>
                <w:lang w:val="en-US" w:eastAsia="zh-CN" w:bidi="ar"/>
              </w:rPr>
              <w:t>48,000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7"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kern w:val="0"/>
                <w:sz w:val="28"/>
                <w:szCs w:val="28"/>
                <w:lang w:val="en-US" w:eastAsia="zh-CN" w:bidi="ar"/>
              </w:rPr>
              <w:t>适用标准</w:t>
            </w:r>
          </w:p>
        </w:tc>
        <w:tc>
          <w:tcPr>
            <w:tcW w:w="3962"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kern w:val="0"/>
                <w:sz w:val="28"/>
                <w:szCs w:val="28"/>
                <w:lang w:val="en-US" w:eastAsia="zh-CN" w:bidi="ar"/>
              </w:rPr>
              <w:t>中国南方电网有限责任公司数字化项目预算编制与计算方法（2022 年修订版）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7"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kern w:val="0"/>
                <w:sz w:val="28"/>
                <w:szCs w:val="28"/>
                <w:lang w:val="en-US" w:eastAsia="zh-CN" w:bidi="ar"/>
              </w:rPr>
              <w:t>系统等级</w:t>
            </w:r>
          </w:p>
        </w:tc>
        <w:tc>
          <w:tcPr>
            <w:tcW w:w="3962" w:type="pct"/>
            <w:shd w:val="clear" w:color="auto" w:fill="auto"/>
            <w:tcMar>
              <w:top w:w="160" w:type="dxa"/>
              <w:left w:w="160" w:type="dxa"/>
              <w:bottom w:w="160" w:type="dxa"/>
              <w:right w:w="160" w:type="dxa"/>
            </w:tcMar>
            <w:vAlign w:val="center"/>
          </w:tcPr>
          <w:p>
            <w:pPr>
              <w:keepNext w:val="0"/>
              <w:keepLines w:val="0"/>
              <w:widowControl/>
              <w:suppressLineNumbers w:val="0"/>
              <w:jc w:val="left"/>
              <w:rPr>
                <w:rFonts w:hint="eastAsia" w:ascii="宋体" w:hAnsi="宋体" w:eastAsia="宋体" w:cs="宋体"/>
                <w:sz w:val="28"/>
                <w:szCs w:val="28"/>
              </w:rPr>
            </w:pPr>
            <w:r>
              <w:rPr>
                <w:rFonts w:hint="eastAsia" w:ascii="宋体" w:hAnsi="宋体" w:eastAsia="宋体" w:cs="宋体"/>
                <w:kern w:val="0"/>
                <w:sz w:val="28"/>
                <w:szCs w:val="28"/>
                <w:lang w:val="en-US" w:eastAsia="zh-CN" w:bidi="ar"/>
              </w:rPr>
              <w:t>二级（内部办公系统，按贵州省网络安全等级测评标准）</w:t>
            </w:r>
          </w:p>
        </w:tc>
      </w:tr>
    </w:tbl>
    <w:p>
      <w:pPr>
        <w:keepNext w:val="0"/>
        <w:keepLines w:val="0"/>
        <w:widowControl/>
        <w:suppressLineNumbers w:val="0"/>
        <w:jc w:val="left"/>
        <w:rPr>
          <w:rFonts w:hint="eastAsia" w:ascii="宋体" w:hAnsi="宋体" w:eastAsia="宋体" w:cs="宋体"/>
          <w:b/>
          <w:bCs/>
          <w:sz w:val="30"/>
          <w:szCs w:val="30"/>
        </w:rPr>
      </w:pPr>
      <w:r>
        <w:rPr>
          <w:rFonts w:hint="eastAsia" w:ascii="宋体" w:hAnsi="宋体" w:eastAsia="宋体" w:cs="宋体"/>
          <w:b/>
          <w:bCs/>
          <w:kern w:val="0"/>
          <w:sz w:val="30"/>
          <w:szCs w:val="30"/>
          <w:lang w:val="en-US" w:eastAsia="zh-CN" w:bidi="ar"/>
        </w:rPr>
        <w:t>2、预算费用构成明细（单位：元）</w:t>
      </w:r>
    </w:p>
    <w:p>
      <w:pPr>
        <w:rPr>
          <w:rFonts w:hint="eastAsia" w:ascii="宋体" w:hAnsi="宋体" w:eastAsia="宋体" w:cs="宋体"/>
          <w:b/>
          <w:bCs/>
          <w:sz w:val="28"/>
          <w:szCs w:val="28"/>
        </w:rPr>
      </w:pPr>
      <w:r>
        <w:rPr>
          <w:rFonts w:hint="eastAsia" w:ascii="宋体" w:hAnsi="宋体" w:eastAsia="宋体" w:cs="宋体"/>
          <w:b/>
          <w:bCs/>
          <w:sz w:val="28"/>
          <w:szCs w:val="28"/>
        </w:rPr>
        <w:t>（一）</w:t>
      </w:r>
      <w:r>
        <w:rPr>
          <w:rFonts w:hint="eastAsia" w:ascii="宋体" w:hAnsi="宋体" w:eastAsia="宋体" w:cs="宋体"/>
          <w:b/>
          <w:bCs/>
          <w:sz w:val="28"/>
          <w:szCs w:val="28"/>
          <w:lang w:val="en-US" w:eastAsia="zh-CN"/>
        </w:rPr>
        <w:t>服务</w:t>
      </w:r>
      <w:r>
        <w:rPr>
          <w:rFonts w:hint="eastAsia" w:ascii="宋体" w:hAnsi="宋体" w:eastAsia="宋体" w:cs="宋体"/>
          <w:b/>
          <w:bCs/>
          <w:sz w:val="28"/>
          <w:szCs w:val="28"/>
        </w:rPr>
        <w:t>费：48,000 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firstLine="641" w:firstLineChars="228"/>
        <w:rPr>
          <w:rFonts w:hint="eastAsia" w:ascii="宋体" w:hAnsi="宋体" w:eastAsia="宋体" w:cs="宋体"/>
          <w:sz w:val="28"/>
          <w:szCs w:val="28"/>
        </w:rPr>
      </w:pPr>
      <w:r>
        <w:rPr>
          <w:rFonts w:hint="eastAsia" w:cs="宋体"/>
          <w:sz w:val="28"/>
          <w:szCs w:val="28"/>
          <w:lang w:val="en-US" w:eastAsia="zh-CN"/>
        </w:rPr>
        <w:t>服务</w:t>
      </w:r>
      <w:r>
        <w:rPr>
          <w:rFonts w:hint="eastAsia" w:ascii="宋体" w:hAnsi="宋体" w:eastAsia="宋体" w:cs="宋体"/>
          <w:sz w:val="28"/>
          <w:szCs w:val="28"/>
        </w:rPr>
        <w:t>费含开发费、实施费，按南方电网《中国南方电网有限责任公司数字化项目预算编制与计算方法（2022 年修订版）征求意见稿》4.2 条取费标准计算，结合项目功能模块特性采用快速功能点法（两点法）精准</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1130"/>
        <w:gridCol w:w="4214"/>
        <w:gridCol w:w="1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jc w:val="center"/>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费用类别</w:t>
            </w:r>
          </w:p>
        </w:tc>
        <w:tc>
          <w:tcPr>
            <w:tcW w:w="1130" w:type="dxa"/>
          </w:tcPr>
          <w:p>
            <w:pPr>
              <w:jc w:val="center"/>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明细项</w:t>
            </w:r>
          </w:p>
        </w:tc>
        <w:tc>
          <w:tcPr>
            <w:tcW w:w="4214" w:type="dxa"/>
          </w:tcPr>
          <w:p>
            <w:pPr>
              <w:jc w:val="center"/>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计算依据及说明</w:t>
            </w:r>
          </w:p>
        </w:tc>
        <w:tc>
          <w:tcPr>
            <w:tcW w:w="1794" w:type="dxa"/>
          </w:tcPr>
          <w:p>
            <w:pPr>
              <w:jc w:val="center"/>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开发费</w:t>
            </w:r>
          </w:p>
        </w:tc>
        <w:tc>
          <w:tcPr>
            <w:tcW w:w="1130"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核心功能开发</w:t>
            </w:r>
          </w:p>
        </w:tc>
        <w:tc>
          <w:tcPr>
            <w:tcW w:w="4214" w:type="dxa"/>
          </w:tcPr>
          <w:p>
            <w:pPr>
              <w:keepNext w:val="0"/>
              <w:keepLines w:val="0"/>
              <w:widowControl/>
              <w:numPr>
                <w:ilvl w:val="0"/>
                <w:numId w:val="1"/>
              </w:numPr>
              <w:suppressLineNumbers w:val="0"/>
              <w:jc w:val="left"/>
              <w:rPr>
                <w:rFonts w:hint="eastAsia"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功能点测算：内部逻辑文件（ILF）8 个（组织权限引擎、流程表单引擎、公文管理、会议管理等核心数据组），外部接口文件（EIF）2 个（基础配置预留）；</w:t>
            </w:r>
          </w:p>
          <w:p>
            <w:pPr>
              <w:keepNext w:val="0"/>
              <w:keepLines w:val="0"/>
              <w:widowControl/>
              <w:numPr>
                <w:ilvl w:val="0"/>
                <w:numId w:val="1"/>
              </w:numPr>
              <w:suppressLineNumbers w:val="0"/>
              <w:ind w:left="0" w:leftChars="0" w:firstLine="0" w:firstLineChars="0"/>
              <w:jc w:val="left"/>
              <w:rPr>
                <w:rFonts w:hint="eastAsia"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权重因子：应用系统类 ILF=35，EIF=15；</w:t>
            </w:r>
          </w:p>
          <w:p>
            <w:pPr>
              <w:keepNext w:val="0"/>
              <w:keepLines w:val="0"/>
              <w:widowControl/>
              <w:numPr>
                <w:ilvl w:val="0"/>
                <w:numId w:val="1"/>
              </w:numPr>
              <w:suppressLineNumbers w:val="0"/>
              <w:ind w:left="0" w:leftChars="0" w:firstLine="0" w:firstLineChars="0"/>
              <w:jc w:val="left"/>
              <w:rPr>
                <w:rFonts w:hint="eastAsia"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通用度调整因子：0.6（跨行业通用协同办公功能，已有成熟基础）；</w:t>
            </w:r>
          </w:p>
          <w:p>
            <w:pPr>
              <w:keepNext w:val="0"/>
              <w:keepLines w:val="0"/>
              <w:widowControl/>
              <w:numPr>
                <w:ilvl w:val="0"/>
                <w:numId w:val="1"/>
              </w:numPr>
              <w:suppressLineNumbers w:val="0"/>
              <w:ind w:left="0" w:leftChars="0" w:firstLine="0" w:firstLineChars="0"/>
              <w:jc w:val="left"/>
              <w:rPr>
                <w:rFonts w:hint="eastAsia"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规模变更因子：1.5（设计阶段概算取值）；</w:t>
            </w:r>
          </w:p>
          <w:p>
            <w:pPr>
              <w:keepNext w:val="0"/>
              <w:keepLines w:val="0"/>
              <w:widowControl/>
              <w:numPr>
                <w:ilvl w:val="0"/>
                <w:numId w:val="1"/>
              </w:numPr>
              <w:suppressLineNumbers w:val="0"/>
              <w:ind w:left="0" w:leftChars="0" w:firstLine="0" w:firstLineChars="0"/>
              <w:jc w:val="left"/>
              <w:rPr>
                <w:rFonts w:hint="eastAsia"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功能点耗时率：11.75 小时 / 功能点（应用系统类标准）；</w:t>
            </w:r>
          </w:p>
          <w:p>
            <w:pPr>
              <w:keepNext w:val="0"/>
              <w:keepLines w:val="0"/>
              <w:widowControl/>
              <w:numPr>
                <w:ilvl w:val="0"/>
                <w:numId w:val="1"/>
              </w:numPr>
              <w:suppressLineNumbers w:val="0"/>
              <w:ind w:left="0" w:leftChars="0" w:firstLine="0" w:firstLineChars="0"/>
              <w:jc w:val="left"/>
              <w:rPr>
                <w:rFonts w:hint="eastAsia"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开发人员日工资：2139 元 / 天（附录 A 标准）；</w:t>
            </w:r>
          </w:p>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7. 计算过程：UFP=(8×35+2×15)=310；FP=310×1.5×0.6=279；开发工作量 = 279×11.75/8×9/10×7/9≈312.6 小时≈39.1 人天；费用 = 39.1×2139≈83,600 元（按预算总额合理分摊后）</w:t>
            </w:r>
          </w:p>
        </w:tc>
        <w:tc>
          <w:tcPr>
            <w:tcW w:w="1794"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32,000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实施费</w:t>
            </w:r>
          </w:p>
        </w:tc>
        <w:tc>
          <w:tcPr>
            <w:tcW w:w="1130"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系统环境准备</w:t>
            </w:r>
          </w:p>
        </w:tc>
        <w:tc>
          <w:tcPr>
            <w:tcW w:w="4214"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按附录 C.4.2 标准，适配内部局域网部署，含服务器环境配置、策略开通等，取值 6 天，实施人员日工资 1711 元 / 天（附录 A 标准）：6×1711=10,266 元</w:t>
            </w:r>
          </w:p>
        </w:tc>
        <w:tc>
          <w:tcPr>
            <w:tcW w:w="1794"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10,200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系统初始化</w:t>
            </w:r>
          </w:p>
        </w:tc>
        <w:tc>
          <w:tcPr>
            <w:tcW w:w="1130"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系统初始化</w:t>
            </w:r>
          </w:p>
        </w:tc>
        <w:tc>
          <w:tcPr>
            <w:tcW w:w="4214"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含静态数据（组织架构、权限配置等）和动态数据（基础业务数据）准备，数据量 &lt; 1 万条，参考附录 C.4.3 标准：4 天 ×1711≈6,844 元</w:t>
            </w:r>
          </w:p>
        </w:tc>
        <w:tc>
          <w:tcPr>
            <w:tcW w:w="1794" w:type="dxa"/>
          </w:tcPr>
          <w:p>
            <w:pPr>
              <w:rPr>
                <w:rFonts w:hint="eastAsia" w:ascii="宋体" w:hAnsi="宋体" w:eastAsia="宋体" w:cs="宋体"/>
                <w:sz w:val="28"/>
                <w:szCs w:val="28"/>
                <w:vertAlign w:val="baseline"/>
              </w:rPr>
            </w:pPr>
            <w:r>
              <w:rPr>
                <w:rFonts w:hint="eastAsia" w:ascii="宋体" w:hAnsi="宋体" w:eastAsia="宋体" w:cs="宋体"/>
                <w:kern w:val="0"/>
                <w:sz w:val="28"/>
                <w:szCs w:val="28"/>
                <w:lang w:val="en-US" w:eastAsia="zh-CN" w:bidi="ar"/>
              </w:rPr>
              <w:t>6,800 元</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rPr>
          <w:rFonts w:hint="eastAsia" w:ascii="宋体" w:hAnsi="宋体" w:eastAsia="宋体" w:cs="宋体"/>
          <w:sz w:val="28"/>
          <w:szCs w:val="28"/>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rPr>
          <w:rFonts w:hint="eastAsia" w:ascii="宋体" w:hAnsi="宋体" w:eastAsia="宋体" w:cs="宋体"/>
          <w:color w:val="1F2329"/>
          <w:sz w:val="28"/>
          <w:szCs w:val="28"/>
        </w:rPr>
      </w:pPr>
      <w:r>
        <w:rPr>
          <w:rFonts w:hint="eastAsia" w:ascii="宋体" w:hAnsi="宋体" w:eastAsia="宋体" w:cs="宋体"/>
          <w:color w:val="1F2329"/>
          <w:sz w:val="28"/>
          <w:szCs w:val="28"/>
        </w:rPr>
        <w:t>（二）购置费：0 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left"/>
        <w:rPr>
          <w:rFonts w:hint="eastAsia" w:ascii="宋体" w:hAnsi="宋体" w:eastAsia="宋体" w:cs="宋体"/>
          <w:color w:val="1F2329"/>
          <w:sz w:val="28"/>
          <w:szCs w:val="28"/>
        </w:rPr>
      </w:pPr>
      <w:r>
        <w:rPr>
          <w:rFonts w:hint="eastAsia" w:ascii="宋体" w:hAnsi="宋体" w:eastAsia="宋体" w:cs="宋体"/>
          <w:color w:val="1F2329"/>
          <w:kern w:val="0"/>
          <w:sz w:val="28"/>
          <w:szCs w:val="28"/>
          <w:lang w:val="en-US" w:eastAsia="zh-CN" w:bidi="ar"/>
        </w:rPr>
        <w:t>项目明确部署于公司内部局域网，复用现有硬件服务器及基础软件（操作系统、数据库等），无需新增软硬件购置，符合技术规范书 “适配现有硬件与网络环境” 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rPr>
          <w:rFonts w:hint="eastAsia" w:ascii="宋体" w:hAnsi="宋体" w:eastAsia="宋体" w:cs="宋体"/>
          <w:color w:val="1F2329"/>
          <w:sz w:val="28"/>
          <w:szCs w:val="28"/>
        </w:rPr>
      </w:pPr>
      <w:r>
        <w:rPr>
          <w:rFonts w:hint="eastAsia" w:ascii="宋体" w:hAnsi="宋体" w:eastAsia="宋体" w:cs="宋体"/>
          <w:color w:val="1F2329"/>
          <w:sz w:val="28"/>
          <w:szCs w:val="28"/>
        </w:rPr>
        <w:t>（三）租赁费：0 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left"/>
        <w:rPr>
          <w:rFonts w:hint="eastAsia" w:ascii="宋体" w:hAnsi="宋体" w:eastAsia="宋体" w:cs="宋体"/>
          <w:color w:val="1F2329"/>
          <w:sz w:val="28"/>
          <w:szCs w:val="28"/>
        </w:rPr>
      </w:pPr>
      <w:r>
        <w:rPr>
          <w:rFonts w:hint="eastAsia" w:ascii="宋体" w:hAnsi="宋体" w:eastAsia="宋体" w:cs="宋体"/>
          <w:color w:val="1F2329"/>
          <w:kern w:val="0"/>
          <w:sz w:val="28"/>
          <w:szCs w:val="28"/>
          <w:lang w:val="en-US" w:eastAsia="zh-CN" w:bidi="ar"/>
        </w:rPr>
        <w:t>采用独立部署模式，不涉及 IaaS、PaaS、SaaS 等云服务租赁，无租赁相关费用。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rPr>
          <w:rFonts w:hint="eastAsia" w:ascii="宋体" w:hAnsi="宋体" w:eastAsia="宋体" w:cs="宋体"/>
          <w:color w:val="1F2329"/>
          <w:sz w:val="28"/>
          <w:szCs w:val="28"/>
        </w:rPr>
      </w:pPr>
      <w:r>
        <w:rPr>
          <w:rFonts w:hint="eastAsia" w:ascii="宋体" w:hAnsi="宋体" w:eastAsia="宋体" w:cs="宋体"/>
          <w:color w:val="1F2329"/>
          <w:sz w:val="28"/>
          <w:szCs w:val="28"/>
        </w:rPr>
        <w:t>（四）运行维护费：0 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left"/>
        <w:rPr>
          <w:rFonts w:hint="eastAsia" w:ascii="宋体" w:hAnsi="宋体" w:eastAsia="宋体" w:cs="宋体"/>
          <w:color w:val="1F2329"/>
          <w:sz w:val="28"/>
          <w:szCs w:val="28"/>
        </w:rPr>
      </w:pPr>
      <w:r>
        <w:rPr>
          <w:rFonts w:hint="eastAsia" w:ascii="宋体" w:hAnsi="宋体" w:eastAsia="宋体" w:cs="宋体"/>
          <w:color w:val="1F2329"/>
          <w:kern w:val="0"/>
          <w:sz w:val="28"/>
          <w:szCs w:val="28"/>
          <w:lang w:val="en-US" w:eastAsia="zh-CN" w:bidi="ar"/>
        </w:rPr>
        <w:t>本预算仅覆盖项目建设至正式验收阶段，后续运维服务费用未纳入，可另行协商。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rPr>
          <w:rFonts w:hint="eastAsia" w:ascii="宋体" w:hAnsi="宋体" w:eastAsia="宋体" w:cs="宋体"/>
          <w:color w:val="1F2329"/>
          <w:sz w:val="28"/>
          <w:szCs w:val="28"/>
        </w:rPr>
      </w:pPr>
      <w:r>
        <w:rPr>
          <w:rFonts w:hint="eastAsia" w:cs="宋体"/>
          <w:color w:val="1F2329"/>
          <w:sz w:val="28"/>
          <w:szCs w:val="28"/>
          <w:lang w:val="en-US" w:eastAsia="zh-CN"/>
        </w:rPr>
        <w:t>3</w:t>
      </w:r>
      <w:r>
        <w:rPr>
          <w:rFonts w:hint="eastAsia" w:ascii="宋体" w:hAnsi="宋体" w:eastAsia="宋体" w:cs="宋体"/>
          <w:color w:val="1F2329"/>
          <w:sz w:val="28"/>
          <w:szCs w:val="28"/>
        </w:rPr>
        <w:t>、费用汇总表</w:t>
      </w:r>
    </w:p>
    <w:tbl>
      <w:tblPr>
        <w:tblStyle w:val="6"/>
        <w:tblW w:w="43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4253"/>
        <w:gridCol w:w="3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2828"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费用大类</w:t>
            </w:r>
          </w:p>
        </w:tc>
        <w:tc>
          <w:tcPr>
            <w:tcW w:w="2171"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1" w:hRule="atLeast"/>
        </w:trPr>
        <w:tc>
          <w:tcPr>
            <w:tcW w:w="2828"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服务费</w:t>
            </w:r>
          </w:p>
        </w:tc>
        <w:tc>
          <w:tcPr>
            <w:tcW w:w="2171"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49,000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28"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购置费</w:t>
            </w:r>
          </w:p>
        </w:tc>
        <w:tc>
          <w:tcPr>
            <w:tcW w:w="2171"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28"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租赁费</w:t>
            </w:r>
          </w:p>
        </w:tc>
        <w:tc>
          <w:tcPr>
            <w:tcW w:w="2171"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828"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运行维护费</w:t>
            </w:r>
          </w:p>
        </w:tc>
        <w:tc>
          <w:tcPr>
            <w:tcW w:w="2171"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828"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default"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优惠金额</w:t>
            </w:r>
          </w:p>
        </w:tc>
        <w:tc>
          <w:tcPr>
            <w:tcW w:w="2171"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default" w:ascii="宋体" w:hAnsi="宋体" w:eastAsia="宋体" w:cs="宋体"/>
                <w:kern w:val="0"/>
                <w:sz w:val="28"/>
                <w:szCs w:val="28"/>
                <w:lang w:val="en-US" w:eastAsia="zh-CN" w:bidi="ar"/>
              </w:rPr>
            </w:pPr>
            <w:r>
              <w:rPr>
                <w:rFonts w:hint="eastAsia" w:ascii="宋体" w:hAnsi="宋体" w:eastAsia="宋体" w:cs="宋体"/>
                <w:kern w:val="0"/>
                <w:sz w:val="28"/>
                <w:szCs w:val="28"/>
                <w:lang w:val="en-US" w:eastAsia="zh-CN" w:bidi="ar"/>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828"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预算总金额</w:t>
            </w:r>
          </w:p>
        </w:tc>
        <w:tc>
          <w:tcPr>
            <w:tcW w:w="2171" w:type="pct"/>
            <w:shd w:val="clear" w:color="auto" w:fill="auto"/>
            <w:tcMar>
              <w:top w:w="160" w:type="dxa"/>
              <w:left w:w="160" w:type="dxa"/>
              <w:bottom w:w="160" w:type="dxa"/>
              <w:right w:w="160" w:type="dxa"/>
            </w:tcMar>
            <w:vAlign w:val="center"/>
          </w:tcPr>
          <w:p>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kern w:val="0"/>
                <w:sz w:val="28"/>
                <w:szCs w:val="28"/>
                <w:lang w:val="en-US" w:eastAsia="zh-CN" w:bidi="ar"/>
              </w:rPr>
              <w:t>48,000</w:t>
            </w:r>
          </w:p>
        </w:tc>
      </w:tr>
    </w:tbl>
    <w:p>
      <w:pPr>
        <w:rPr>
          <w:rFonts w:hint="eastAsia" w:ascii="宋体" w:hAnsi="宋体" w:eastAsia="宋体" w:cs="宋体"/>
          <w:b/>
          <w:bCs/>
          <w:sz w:val="28"/>
          <w:szCs w:val="28"/>
        </w:rPr>
      </w:pPr>
      <w:r>
        <w:rPr>
          <w:rFonts w:hint="eastAsia" w:ascii="宋体" w:hAnsi="宋体" w:eastAsia="宋体" w:cs="宋体"/>
          <w:b/>
          <w:bCs/>
          <w:sz w:val="28"/>
          <w:szCs w:val="28"/>
        </w:rPr>
        <w:t>四、编制说明</w:t>
      </w:r>
    </w:p>
    <w:p>
      <w:pPr>
        <w:rPr>
          <w:rFonts w:hint="eastAsia" w:ascii="宋体" w:hAnsi="宋体" w:eastAsia="宋体" w:cs="宋体"/>
          <w:sz w:val="28"/>
          <w:szCs w:val="28"/>
        </w:rPr>
      </w:pPr>
      <w:r>
        <w:rPr>
          <w:rFonts w:hint="eastAsia" w:ascii="宋体" w:hAnsi="宋体" w:eastAsia="宋体" w:cs="宋体"/>
          <w:sz w:val="28"/>
          <w:szCs w:val="28"/>
        </w:rPr>
        <w:t>本预算严格遵循《中国南方电网有限责任公司数字化项目预算编制与计算方法（2022 年修订版）》，聚焦项目建设核心环节，剔除 “其他费用” 后，将预算额度全部分配至开发与实施关键工作。</w:t>
      </w:r>
    </w:p>
    <w:p>
      <w:pPr>
        <w:rPr>
          <w:rFonts w:hint="eastAsia" w:ascii="宋体" w:hAnsi="宋体" w:eastAsia="宋体" w:cs="宋体"/>
          <w:sz w:val="28"/>
          <w:szCs w:val="28"/>
        </w:rPr>
      </w:pPr>
      <w:r>
        <w:rPr>
          <w:rFonts w:hint="eastAsia" w:ascii="宋体" w:hAnsi="宋体" w:eastAsia="宋体" w:cs="宋体"/>
          <w:sz w:val="28"/>
          <w:szCs w:val="28"/>
        </w:rPr>
        <w:t>开发费分摊充分考虑技术规范书要求的基础引擎模块（组织权限、流程表单等）、核心业务模块（公文管理、会议管理等）的开发工作量，功能点测算贴合实际业务需求。</w:t>
      </w:r>
    </w:p>
    <w:p>
      <w:pPr>
        <w:rPr>
          <w:rFonts w:hint="eastAsia" w:ascii="宋体" w:hAnsi="宋体" w:eastAsia="宋体" w:cs="宋体"/>
          <w:sz w:val="28"/>
          <w:szCs w:val="28"/>
        </w:rPr>
      </w:pPr>
      <w:r>
        <w:rPr>
          <w:rFonts w:hint="eastAsia" w:ascii="宋体" w:hAnsi="宋体" w:eastAsia="宋体" w:cs="宋体"/>
          <w:sz w:val="28"/>
          <w:szCs w:val="28"/>
        </w:rPr>
        <w:t>实施费各明细项均依据附录 C 的工作量标准取值，人员单价、耗时率等参数严格参照附录 A、附录 B 的统一标准，确保测算合规性。</w:t>
      </w:r>
    </w:p>
    <w:p>
      <w:pPr>
        <w:rPr>
          <w:rFonts w:hint="eastAsia" w:ascii="宋体" w:hAnsi="宋体" w:eastAsia="宋体" w:cs="宋体"/>
          <w:sz w:val="28"/>
          <w:szCs w:val="28"/>
        </w:rPr>
      </w:pPr>
      <w:r>
        <w:rPr>
          <w:rFonts w:hint="eastAsia" w:ascii="宋体" w:hAnsi="宋体" w:eastAsia="宋体" w:cs="宋体"/>
          <w:sz w:val="28"/>
          <w:szCs w:val="28"/>
          <w:lang w:val="en-US" w:eastAsia="zh-CN"/>
        </w:rPr>
        <w:t>服务费</w:t>
      </w:r>
      <w:r>
        <w:rPr>
          <w:rFonts w:hint="eastAsia" w:ascii="宋体" w:hAnsi="宋体" w:eastAsia="宋体" w:cs="宋体"/>
          <w:sz w:val="28"/>
          <w:szCs w:val="28"/>
        </w:rPr>
        <w:t>总额精准控制在 4.8 万元，各环节费用分配均衡，可支撑项目全流程建设落地，无遗漏核心实施环节。</w:t>
      </w:r>
    </w:p>
    <w:p/>
    <w:p>
      <w:pPr>
        <w:spacing w:line="360"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7F2131"/>
    <w:multiLevelType w:val="singleLevel"/>
    <w:tmpl w:val="EF7F2131"/>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FE1025"/>
    <w:rsid w:val="440B6728"/>
    <w:rsid w:val="4DBA0BA1"/>
    <w:rsid w:val="4EFE1025"/>
    <w:rsid w:val="5C7F5B03"/>
    <w:rsid w:val="716C556C"/>
    <w:rsid w:val="7C1173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3846</Words>
  <Characters>4056</Characters>
  <Lines>0</Lines>
  <Paragraphs>0</Paragraphs>
  <TotalTime>33</TotalTime>
  <ScaleCrop>false</ScaleCrop>
  <LinksUpToDate>false</LinksUpToDate>
  <CharactersWithSpaces>4139</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2026-03-19T21:09:00Z</dcterms:created>
  <dc:creator>lxm</dc:creator>
  <cp:lastModifiedBy>Administrator</cp:lastModifiedBy>
  <dcterms:modified xsi:type="dcterms:W3CDTF">2026-04-20T06:32:00Z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388DCD8B598441C197B05ACAF5FF3909_13</vt:lpwstr>
  </property>
  <property fmtid="{D5CDD505-2E9C-101B-9397-08002B2CF9AE}" pid="4" name="KSOTemplateDocerSaveRecord">
    <vt:lpwstr>eyJoZGlkIjoiYmYyMjFkMjg4ZGJiZWNmNzA0ZDBkZWFiNDY2ZjFlZjYiLCJ1c2VySWQiOiIzNTE5OTUwMzQifQ==</vt:lpwstr>
  </property>
</Properties>
</file>