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5BABCB">
      <w:pPr>
        <w:jc w:val="center"/>
        <w:rPr>
          <w:rFonts w:hint="eastAsia"/>
          <w:b/>
          <w:color w:val="auto"/>
          <w:sz w:val="52"/>
          <w:szCs w:val="52"/>
        </w:rPr>
      </w:pPr>
      <w:r>
        <w:rPr>
          <w:rFonts w:hint="eastAsia"/>
          <w:b/>
          <w:color w:val="auto"/>
          <w:sz w:val="52"/>
          <w:szCs w:val="52"/>
          <w:lang w:val="en-US"/>
        </w:rPr>
        <w:drawing>
          <wp:anchor distT="0" distB="0" distL="114300" distR="114300" simplePos="0" relativeHeight="251659264" behindDoc="1" locked="0" layoutInCell="1" allowOverlap="1">
            <wp:simplePos x="0" y="0"/>
            <wp:positionH relativeFrom="column">
              <wp:posOffset>-2103120</wp:posOffset>
            </wp:positionH>
            <wp:positionV relativeFrom="paragraph">
              <wp:posOffset>-906145</wp:posOffset>
            </wp:positionV>
            <wp:extent cx="8067040" cy="2680970"/>
            <wp:effectExtent l="0" t="0" r="10160" b="5080"/>
            <wp:wrapTight wrapText="bothSides">
              <wp:wrapPolygon>
                <wp:start x="0" y="0"/>
                <wp:lineTo x="0" y="21487"/>
                <wp:lineTo x="21525" y="21487"/>
                <wp:lineTo x="21525"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8067040" cy="2680970"/>
                    </a:xfrm>
                    <a:prstGeom prst="rect">
                      <a:avLst/>
                    </a:prstGeom>
                    <a:noFill/>
                    <a:ln>
                      <a:noFill/>
                    </a:ln>
                  </pic:spPr>
                </pic:pic>
              </a:graphicData>
            </a:graphic>
          </wp:anchor>
        </w:drawing>
      </w:r>
    </w:p>
    <w:p w14:paraId="415143FB">
      <w:pPr>
        <w:pStyle w:val="5"/>
        <w:spacing w:line="240" w:lineRule="auto"/>
        <w:ind w:firstLine="0" w:firstLineChars="0"/>
        <w:jc w:val="center"/>
        <w:rPr>
          <w:rFonts w:hint="eastAsia" w:ascii="黑体" w:hAnsi="黑体" w:eastAsia="黑体" w:cs="黑体"/>
          <w:b/>
          <w:bCs/>
          <w:color w:val="auto"/>
          <w:kern w:val="0"/>
          <w:sz w:val="52"/>
          <w:szCs w:val="52"/>
          <w:highlight w:val="none"/>
          <w:rtl w:val="0"/>
          <w:lang w:val="zh-CN" w:eastAsia="zh-CN" w:bidi="ar"/>
        </w:rPr>
      </w:pPr>
      <w:r>
        <w:rPr>
          <w:rFonts w:hint="eastAsia" w:ascii="黑体" w:hAnsi="黑体" w:eastAsia="黑体" w:cs="黑体"/>
          <w:b/>
          <w:bCs/>
          <w:color w:val="auto"/>
          <w:kern w:val="0"/>
          <w:sz w:val="52"/>
          <w:szCs w:val="52"/>
          <w:highlight w:val="none"/>
          <w:rtl w:val="0"/>
          <w:lang w:val="zh-CN" w:eastAsia="zh-CN" w:bidi="ar"/>
        </w:rPr>
        <w:t>202</w:t>
      </w:r>
      <w:r>
        <w:rPr>
          <w:rFonts w:hint="eastAsia" w:ascii="黑体" w:hAnsi="黑体" w:eastAsia="黑体" w:cs="黑体"/>
          <w:b/>
          <w:bCs/>
          <w:color w:val="auto"/>
          <w:kern w:val="0"/>
          <w:sz w:val="52"/>
          <w:szCs w:val="52"/>
          <w:highlight w:val="none"/>
          <w:rtl w:val="0"/>
          <w:lang w:val="en-US" w:eastAsia="zh-CN" w:bidi="ar"/>
        </w:rPr>
        <w:t>6</w:t>
      </w:r>
      <w:r>
        <w:rPr>
          <w:rFonts w:hint="eastAsia" w:ascii="黑体" w:hAnsi="黑体" w:eastAsia="黑体" w:cs="黑体"/>
          <w:b/>
          <w:bCs/>
          <w:color w:val="auto"/>
          <w:kern w:val="0"/>
          <w:sz w:val="52"/>
          <w:szCs w:val="52"/>
          <w:highlight w:val="none"/>
          <w:rtl w:val="0"/>
          <w:lang w:val="zh-CN" w:eastAsia="zh-CN" w:bidi="ar"/>
        </w:rPr>
        <w:t>年玉溪新平供电局营销活动推广</w:t>
      </w:r>
    </w:p>
    <w:p w14:paraId="7CF1BEFE">
      <w:pPr>
        <w:pStyle w:val="5"/>
        <w:spacing w:line="240" w:lineRule="auto"/>
        <w:ind w:firstLine="0" w:firstLineChars="0"/>
        <w:jc w:val="center"/>
        <w:rPr>
          <w:rFonts w:hint="eastAsia" w:ascii="宋体" w:hAnsi="宋体"/>
          <w:b/>
          <w:bCs/>
          <w:color w:val="auto"/>
          <w:sz w:val="30"/>
          <w:szCs w:val="30"/>
        </w:rPr>
      </w:pPr>
      <w:r>
        <w:rPr>
          <w:rFonts w:hint="eastAsia" w:ascii="黑体" w:hAnsi="黑体" w:eastAsia="黑体" w:cs="黑体"/>
          <w:b/>
          <w:bCs/>
          <w:color w:val="auto"/>
          <w:kern w:val="0"/>
          <w:sz w:val="52"/>
          <w:szCs w:val="52"/>
          <w:highlight w:val="none"/>
          <w:rtl w:val="0"/>
          <w:lang w:val="zh-CN" w:eastAsia="zh-CN" w:bidi="ar"/>
        </w:rPr>
        <w:t>项目</w:t>
      </w:r>
      <w:r>
        <w:rPr>
          <w:rFonts w:hint="eastAsia" w:ascii="黑体" w:hAnsi="黑体" w:eastAsia="黑体" w:cs="黑体"/>
          <w:b/>
          <w:bCs/>
          <w:color w:val="auto"/>
          <w:sz w:val="52"/>
          <w:szCs w:val="52"/>
          <w:highlight w:val="none"/>
        </w:rPr>
        <w:t>技术规范书</w:t>
      </w:r>
    </w:p>
    <w:p w14:paraId="064D8E4B">
      <w:pPr>
        <w:jc w:val="center"/>
        <w:rPr>
          <w:rFonts w:hint="eastAsia" w:ascii="宋体" w:hAnsi="宋体"/>
          <w:b/>
          <w:bCs/>
          <w:color w:val="auto"/>
          <w:sz w:val="30"/>
          <w:szCs w:val="30"/>
        </w:rPr>
      </w:pPr>
    </w:p>
    <w:p w14:paraId="29E101E4">
      <w:pPr>
        <w:jc w:val="center"/>
        <w:rPr>
          <w:rFonts w:hint="eastAsia" w:ascii="宋体" w:hAnsi="宋体"/>
          <w:b/>
          <w:bCs/>
          <w:color w:val="auto"/>
          <w:sz w:val="36"/>
          <w:szCs w:val="36"/>
        </w:rPr>
      </w:pPr>
    </w:p>
    <w:p w14:paraId="32160F64">
      <w:pPr>
        <w:pStyle w:val="2"/>
        <w:rPr>
          <w:rFonts w:hint="eastAsia" w:ascii="宋体" w:hAnsi="宋体"/>
          <w:b/>
          <w:bCs/>
          <w:color w:val="auto"/>
          <w:sz w:val="36"/>
          <w:szCs w:val="36"/>
        </w:rPr>
      </w:pPr>
      <w:bookmarkStart w:id="11" w:name="_GoBack"/>
      <w:bookmarkEnd w:id="11"/>
    </w:p>
    <w:p w14:paraId="4AB693DD">
      <w:pPr>
        <w:pStyle w:val="2"/>
        <w:rPr>
          <w:rFonts w:hint="eastAsia" w:ascii="宋体" w:hAnsi="宋体"/>
          <w:b/>
          <w:bCs/>
          <w:color w:val="auto"/>
          <w:sz w:val="36"/>
          <w:szCs w:val="36"/>
        </w:rPr>
      </w:pPr>
    </w:p>
    <w:p w14:paraId="094347B1">
      <w:pPr>
        <w:pStyle w:val="2"/>
        <w:rPr>
          <w:rFonts w:hint="eastAsia" w:ascii="宋体" w:hAnsi="宋体"/>
          <w:b/>
          <w:bCs/>
          <w:color w:val="auto"/>
          <w:sz w:val="36"/>
          <w:szCs w:val="36"/>
        </w:rPr>
      </w:pPr>
    </w:p>
    <w:p w14:paraId="5B1640E7">
      <w:pPr>
        <w:pStyle w:val="2"/>
        <w:rPr>
          <w:rFonts w:hint="eastAsia" w:ascii="宋体" w:hAnsi="宋体"/>
          <w:b/>
          <w:bCs/>
          <w:color w:val="auto"/>
          <w:sz w:val="36"/>
          <w:szCs w:val="36"/>
        </w:rPr>
      </w:pPr>
    </w:p>
    <w:p w14:paraId="70ADD6CF">
      <w:pPr>
        <w:pStyle w:val="2"/>
        <w:rPr>
          <w:rFonts w:hint="eastAsia" w:ascii="宋体" w:hAnsi="宋体"/>
          <w:b/>
          <w:bCs/>
          <w:color w:val="auto"/>
          <w:sz w:val="36"/>
          <w:szCs w:val="36"/>
        </w:rPr>
      </w:pPr>
    </w:p>
    <w:p w14:paraId="0B234A07">
      <w:pPr>
        <w:pStyle w:val="2"/>
        <w:rPr>
          <w:rFonts w:hint="eastAsia" w:ascii="宋体" w:hAnsi="宋体"/>
          <w:b/>
          <w:bCs/>
          <w:color w:val="auto"/>
          <w:sz w:val="36"/>
          <w:szCs w:val="36"/>
        </w:rPr>
      </w:pPr>
    </w:p>
    <w:p w14:paraId="47B122B6">
      <w:pPr>
        <w:pStyle w:val="2"/>
        <w:rPr>
          <w:rFonts w:hint="eastAsia" w:ascii="宋体" w:hAnsi="宋体"/>
          <w:b/>
          <w:bCs/>
          <w:color w:val="auto"/>
          <w:sz w:val="36"/>
          <w:szCs w:val="36"/>
        </w:rPr>
      </w:pPr>
    </w:p>
    <w:p w14:paraId="3BC52A87">
      <w:pPr>
        <w:pStyle w:val="2"/>
        <w:rPr>
          <w:rFonts w:hint="eastAsia" w:ascii="宋体" w:hAnsi="宋体"/>
          <w:b/>
          <w:bCs/>
          <w:color w:val="auto"/>
          <w:sz w:val="36"/>
          <w:szCs w:val="36"/>
        </w:rPr>
      </w:pPr>
    </w:p>
    <w:p w14:paraId="1E4B5702">
      <w:pPr>
        <w:pStyle w:val="2"/>
        <w:rPr>
          <w:rFonts w:hint="eastAsia" w:ascii="宋体" w:hAnsi="宋体"/>
          <w:b/>
          <w:bCs/>
          <w:color w:val="auto"/>
          <w:sz w:val="36"/>
          <w:szCs w:val="36"/>
        </w:rPr>
      </w:pPr>
    </w:p>
    <w:p w14:paraId="2FEAC1F3">
      <w:pPr>
        <w:jc w:val="center"/>
        <w:rPr>
          <w:rFonts w:hint="eastAsia"/>
          <w:b/>
          <w:color w:val="auto"/>
          <w:sz w:val="28"/>
          <w:szCs w:val="28"/>
        </w:rPr>
      </w:pPr>
      <w:r>
        <w:rPr>
          <w:rFonts w:hint="eastAsia"/>
          <w:b/>
          <w:color w:val="auto"/>
          <w:sz w:val="28"/>
          <w:szCs w:val="28"/>
          <w:lang w:eastAsia="zh-CN"/>
        </w:rPr>
        <w:t>玉溪新平供电局</w:t>
      </w:r>
    </w:p>
    <w:p w14:paraId="051D243A">
      <w:pPr>
        <w:jc w:val="center"/>
        <w:rPr>
          <w:rFonts w:hint="eastAsia" w:ascii="宋体" w:hAnsi="宋体"/>
          <w:b/>
          <w:bCs/>
          <w:color w:val="auto"/>
          <w:sz w:val="36"/>
          <w:szCs w:val="36"/>
        </w:rPr>
      </w:pPr>
      <w:r>
        <w:rPr>
          <w:rFonts w:hint="eastAsia" w:ascii="宋体" w:hAnsi="宋体"/>
          <w:b/>
          <w:bCs/>
          <w:color w:val="auto"/>
          <w:sz w:val="28"/>
          <w:szCs w:val="28"/>
          <w:lang w:val="en-US" w:eastAsia="zh-CN"/>
        </w:rPr>
        <w:t>2026</w:t>
      </w:r>
      <w:r>
        <w:rPr>
          <w:rFonts w:hint="eastAsia" w:ascii="宋体" w:hAnsi="宋体"/>
          <w:b/>
          <w:bCs/>
          <w:color w:val="auto"/>
          <w:sz w:val="28"/>
          <w:szCs w:val="28"/>
        </w:rPr>
        <w:t>年</w:t>
      </w:r>
      <w:r>
        <w:rPr>
          <w:rFonts w:hint="eastAsia" w:ascii="宋体" w:hAnsi="宋体"/>
          <w:b/>
          <w:bCs/>
          <w:color w:val="auto"/>
          <w:sz w:val="28"/>
          <w:szCs w:val="28"/>
          <w:lang w:val="en-US" w:eastAsia="zh-CN"/>
        </w:rPr>
        <w:t>4</w:t>
      </w:r>
      <w:r>
        <w:rPr>
          <w:rFonts w:hint="eastAsia" w:ascii="宋体" w:hAnsi="宋体"/>
          <w:b/>
          <w:bCs/>
          <w:color w:val="auto"/>
          <w:sz w:val="28"/>
          <w:szCs w:val="28"/>
        </w:rPr>
        <w:t>月</w:t>
      </w:r>
    </w:p>
    <w:p w14:paraId="50124177">
      <w:pPr>
        <w:outlineLvl w:val="0"/>
        <w:rPr>
          <w:rFonts w:hint="eastAsia"/>
          <w:b/>
          <w:color w:val="auto"/>
          <w:sz w:val="24"/>
        </w:rPr>
      </w:pPr>
      <w:bookmarkStart w:id="0" w:name="_Toc273344698"/>
    </w:p>
    <w:p w14:paraId="579F5F6C">
      <w:pPr>
        <w:outlineLvl w:val="0"/>
        <w:rPr>
          <w:rFonts w:hint="eastAsia"/>
          <w:b/>
          <w:color w:val="auto"/>
          <w:sz w:val="24"/>
        </w:rPr>
      </w:pPr>
    </w:p>
    <w:p w14:paraId="55F0543F">
      <w:pPr>
        <w:spacing w:before="0" w:beforeLines="0" w:after="0" w:afterLines="0" w:line="360" w:lineRule="auto"/>
        <w:ind w:left="0" w:leftChars="0" w:right="0" w:rightChars="0" w:firstLine="0" w:firstLineChars="0"/>
        <w:jc w:val="center"/>
        <w:rPr>
          <w:rFonts w:ascii="宋体" w:hAnsi="宋体" w:eastAsia="宋体"/>
          <w:color w:val="auto"/>
          <w:sz w:val="28"/>
          <w:szCs w:val="36"/>
        </w:rPr>
      </w:pPr>
      <w:bookmarkStart w:id="1" w:name="_Toc20366_WPSOffice_Type2"/>
    </w:p>
    <w:p w14:paraId="5592B281">
      <w:pPr>
        <w:spacing w:before="0" w:beforeLines="0" w:after="0" w:afterLines="0" w:line="360" w:lineRule="auto"/>
        <w:ind w:left="0" w:leftChars="0" w:right="0" w:rightChars="0" w:firstLine="0" w:firstLineChars="0"/>
        <w:jc w:val="center"/>
        <w:rPr>
          <w:color w:val="auto"/>
          <w:sz w:val="36"/>
          <w:szCs w:val="36"/>
        </w:rPr>
      </w:pPr>
      <w:r>
        <w:rPr>
          <w:rFonts w:ascii="宋体" w:hAnsi="宋体" w:eastAsia="宋体"/>
          <w:color w:val="auto"/>
          <w:sz w:val="28"/>
          <w:szCs w:val="36"/>
        </w:rPr>
        <w:t>目录</w:t>
      </w:r>
    </w:p>
    <w:p w14:paraId="5A6E22F0">
      <w:pPr>
        <w:pStyle w:val="6"/>
        <w:tabs>
          <w:tab w:val="right" w:leader="dot" w:pos="8306"/>
        </w:tabs>
        <w:spacing w:line="360" w:lineRule="auto"/>
        <w:rPr>
          <w:color w:val="auto"/>
          <w:sz w:val="24"/>
          <w:szCs w:val="24"/>
        </w:rPr>
      </w:pPr>
      <w:r>
        <w:rPr>
          <w:b/>
          <w:bCs/>
          <w:color w:val="auto"/>
          <w:sz w:val="24"/>
          <w:szCs w:val="24"/>
        </w:rPr>
        <w:fldChar w:fldCharType="begin"/>
      </w:r>
      <w:r>
        <w:rPr>
          <w:color w:val="auto"/>
          <w:sz w:val="24"/>
          <w:szCs w:val="24"/>
        </w:rPr>
        <w:instrText xml:space="preserve"> HYPERLINK \l _Toc20366_WPSOffice_Level1 </w:instrText>
      </w:r>
      <w:r>
        <w:rPr>
          <w:b/>
          <w:bCs/>
          <w:color w:val="auto"/>
          <w:sz w:val="24"/>
          <w:szCs w:val="24"/>
        </w:rPr>
        <w:fldChar w:fldCharType="separate"/>
      </w:r>
      <w:r>
        <w:rPr>
          <w:rFonts w:ascii="宋体" w:hAnsi="宋体" w:eastAsia="宋体" w:cs="宋体"/>
          <w:b/>
          <w:bCs/>
          <w:color w:val="auto"/>
          <w:sz w:val="24"/>
          <w:szCs w:val="24"/>
        </w:rPr>
        <w:t>一、总则</w:t>
      </w:r>
      <w:r>
        <w:rPr>
          <w:b/>
          <w:bCs/>
          <w:color w:val="auto"/>
          <w:sz w:val="24"/>
          <w:szCs w:val="24"/>
        </w:rPr>
        <w:tab/>
      </w:r>
      <w:r>
        <w:rPr>
          <w:rFonts w:hint="eastAsia"/>
          <w:b/>
          <w:bCs/>
          <w:color w:val="auto"/>
          <w:sz w:val="24"/>
          <w:szCs w:val="24"/>
          <w:lang w:val="en-US" w:eastAsia="zh-CN"/>
        </w:rPr>
        <w:t>4</w:t>
      </w:r>
      <w:r>
        <w:rPr>
          <w:b/>
          <w:bCs/>
          <w:color w:val="auto"/>
          <w:sz w:val="24"/>
          <w:szCs w:val="24"/>
        </w:rPr>
        <w:fldChar w:fldCharType="end"/>
      </w:r>
    </w:p>
    <w:p w14:paraId="7F802015">
      <w:pPr>
        <w:pStyle w:val="6"/>
        <w:tabs>
          <w:tab w:val="right" w:leader="dot" w:pos="8306"/>
        </w:tabs>
        <w:spacing w:line="360" w:lineRule="auto"/>
        <w:rPr>
          <w:color w:val="auto"/>
          <w:sz w:val="24"/>
          <w:szCs w:val="24"/>
        </w:rPr>
      </w:pPr>
      <w:r>
        <w:rPr>
          <w:b/>
          <w:bCs/>
          <w:color w:val="auto"/>
          <w:sz w:val="24"/>
          <w:szCs w:val="24"/>
        </w:rPr>
        <w:fldChar w:fldCharType="begin"/>
      </w:r>
      <w:r>
        <w:rPr>
          <w:color w:val="auto"/>
          <w:sz w:val="24"/>
          <w:szCs w:val="24"/>
        </w:rPr>
        <w:instrText xml:space="preserve"> HYPERLINK \l _Toc18296_WPSOffice_Level1 </w:instrText>
      </w:r>
      <w:r>
        <w:rPr>
          <w:b/>
          <w:bCs/>
          <w:color w:val="auto"/>
          <w:sz w:val="24"/>
          <w:szCs w:val="24"/>
        </w:rPr>
        <w:fldChar w:fldCharType="separate"/>
      </w:r>
      <w:r>
        <w:rPr>
          <w:rFonts w:hint="eastAsia" w:ascii="宋体" w:hAnsi="宋体" w:eastAsia="宋体" w:cs="宋体"/>
          <w:b/>
          <w:bCs/>
          <w:color w:val="auto"/>
          <w:sz w:val="24"/>
          <w:szCs w:val="24"/>
        </w:rPr>
        <w:t>二、</w:t>
      </w:r>
      <w:r>
        <w:rPr>
          <w:rFonts w:ascii="宋体" w:hAnsi="宋体" w:eastAsia="宋体" w:cs="宋体"/>
          <w:b/>
          <w:bCs/>
          <w:color w:val="auto"/>
          <w:sz w:val="24"/>
          <w:szCs w:val="24"/>
        </w:rPr>
        <w:t>背景及现状</w:t>
      </w:r>
      <w:r>
        <w:rPr>
          <w:b/>
          <w:bCs/>
          <w:color w:val="auto"/>
          <w:sz w:val="24"/>
          <w:szCs w:val="24"/>
        </w:rPr>
        <w:tab/>
      </w:r>
      <w:r>
        <w:rPr>
          <w:rFonts w:hint="eastAsia"/>
          <w:b/>
          <w:bCs/>
          <w:color w:val="auto"/>
          <w:sz w:val="24"/>
          <w:szCs w:val="24"/>
          <w:lang w:val="en-US" w:eastAsia="zh-CN"/>
        </w:rPr>
        <w:t>4</w:t>
      </w:r>
      <w:r>
        <w:rPr>
          <w:b/>
          <w:bCs/>
          <w:color w:val="auto"/>
          <w:sz w:val="24"/>
          <w:szCs w:val="24"/>
        </w:rPr>
        <w:fldChar w:fldCharType="end"/>
      </w:r>
    </w:p>
    <w:p w14:paraId="6ED422CB">
      <w:pPr>
        <w:pStyle w:val="6"/>
        <w:tabs>
          <w:tab w:val="right" w:leader="dot" w:pos="8306"/>
        </w:tabs>
        <w:spacing w:line="360" w:lineRule="auto"/>
        <w:rPr>
          <w:color w:val="auto"/>
          <w:sz w:val="24"/>
          <w:szCs w:val="24"/>
        </w:rPr>
      </w:pPr>
      <w:r>
        <w:rPr>
          <w:b/>
          <w:bCs/>
          <w:color w:val="auto"/>
          <w:sz w:val="24"/>
          <w:szCs w:val="24"/>
        </w:rPr>
        <w:fldChar w:fldCharType="begin"/>
      </w:r>
      <w:r>
        <w:rPr>
          <w:color w:val="auto"/>
          <w:sz w:val="24"/>
          <w:szCs w:val="24"/>
        </w:rPr>
        <w:instrText xml:space="preserve"> HYPERLINK \l _Toc20426_WPSOffice_Level1 </w:instrText>
      </w:r>
      <w:r>
        <w:rPr>
          <w:b/>
          <w:bCs/>
          <w:color w:val="auto"/>
          <w:sz w:val="24"/>
          <w:szCs w:val="24"/>
        </w:rPr>
        <w:fldChar w:fldCharType="separate"/>
      </w:r>
      <w:r>
        <w:rPr>
          <w:rFonts w:hint="eastAsia" w:ascii="宋体" w:hAnsi="宋体" w:eastAsia="宋体" w:cs="宋体"/>
          <w:b/>
          <w:bCs/>
          <w:color w:val="auto"/>
          <w:sz w:val="24"/>
          <w:szCs w:val="24"/>
        </w:rPr>
        <w:t>三、项目概况</w:t>
      </w:r>
      <w:r>
        <w:rPr>
          <w:b/>
          <w:bCs/>
          <w:color w:val="auto"/>
          <w:sz w:val="24"/>
          <w:szCs w:val="24"/>
        </w:rPr>
        <w:tab/>
      </w:r>
      <w:r>
        <w:rPr>
          <w:rFonts w:hint="eastAsia"/>
          <w:b/>
          <w:bCs/>
          <w:color w:val="auto"/>
          <w:sz w:val="24"/>
          <w:szCs w:val="24"/>
          <w:lang w:val="en-US" w:eastAsia="zh-CN"/>
        </w:rPr>
        <w:t>4</w:t>
      </w:r>
      <w:r>
        <w:rPr>
          <w:b/>
          <w:bCs/>
          <w:color w:val="auto"/>
          <w:sz w:val="24"/>
          <w:szCs w:val="24"/>
        </w:rPr>
        <w:fldChar w:fldCharType="end"/>
      </w:r>
    </w:p>
    <w:p w14:paraId="221CC983">
      <w:pPr>
        <w:pStyle w:val="6"/>
        <w:tabs>
          <w:tab w:val="right" w:leader="dot" w:pos="8306"/>
        </w:tabs>
        <w:spacing w:line="360" w:lineRule="auto"/>
        <w:rPr>
          <w:color w:val="auto"/>
          <w:sz w:val="24"/>
          <w:szCs w:val="24"/>
        </w:rPr>
      </w:pPr>
      <w:r>
        <w:rPr>
          <w:b/>
          <w:bCs/>
          <w:color w:val="auto"/>
          <w:sz w:val="24"/>
          <w:szCs w:val="24"/>
        </w:rPr>
        <w:fldChar w:fldCharType="begin"/>
      </w:r>
      <w:r>
        <w:rPr>
          <w:color w:val="auto"/>
          <w:sz w:val="24"/>
          <w:szCs w:val="24"/>
        </w:rPr>
        <w:instrText xml:space="preserve"> HYPERLINK \l _Toc27282_WPSOffice_Level1 </w:instrText>
      </w:r>
      <w:r>
        <w:rPr>
          <w:b/>
          <w:bCs/>
          <w:color w:val="auto"/>
          <w:sz w:val="24"/>
          <w:szCs w:val="24"/>
        </w:rPr>
        <w:fldChar w:fldCharType="separate"/>
      </w:r>
      <w:r>
        <w:rPr>
          <w:rFonts w:hint="eastAsia" w:ascii="宋体" w:hAnsi="宋体" w:eastAsia="宋体" w:cs="宋体"/>
          <w:b/>
          <w:bCs/>
          <w:color w:val="auto"/>
          <w:sz w:val="24"/>
          <w:szCs w:val="24"/>
        </w:rPr>
        <w:t>四</w:t>
      </w:r>
      <w:r>
        <w:rPr>
          <w:rFonts w:ascii="宋体" w:hAnsi="宋体" w:eastAsia="宋体" w:cs="宋体"/>
          <w:b/>
          <w:bCs/>
          <w:color w:val="auto"/>
          <w:sz w:val="24"/>
          <w:szCs w:val="24"/>
        </w:rPr>
        <w:t>、技术</w:t>
      </w:r>
      <w:r>
        <w:rPr>
          <w:rFonts w:hint="eastAsia" w:ascii="宋体" w:hAnsi="宋体" w:eastAsia="宋体" w:cs="宋体"/>
          <w:b/>
          <w:bCs/>
          <w:color w:val="auto"/>
          <w:sz w:val="24"/>
          <w:szCs w:val="24"/>
        </w:rPr>
        <w:t>服务</w:t>
      </w:r>
      <w:r>
        <w:rPr>
          <w:rFonts w:ascii="宋体" w:hAnsi="宋体" w:eastAsia="宋体" w:cs="宋体"/>
          <w:b/>
          <w:bCs/>
          <w:color w:val="auto"/>
          <w:sz w:val="24"/>
          <w:szCs w:val="24"/>
        </w:rPr>
        <w:t>要求</w:t>
      </w:r>
      <w:r>
        <w:rPr>
          <w:b/>
          <w:bCs/>
          <w:color w:val="auto"/>
          <w:sz w:val="24"/>
          <w:szCs w:val="24"/>
        </w:rPr>
        <w:tab/>
      </w:r>
      <w:r>
        <w:rPr>
          <w:rFonts w:hint="eastAsia"/>
          <w:b/>
          <w:bCs/>
          <w:color w:val="auto"/>
          <w:sz w:val="24"/>
          <w:szCs w:val="24"/>
          <w:lang w:val="en-US" w:eastAsia="zh-CN"/>
        </w:rPr>
        <w:t>5</w:t>
      </w:r>
      <w:r>
        <w:rPr>
          <w:b/>
          <w:bCs/>
          <w:color w:val="auto"/>
          <w:sz w:val="24"/>
          <w:szCs w:val="24"/>
        </w:rPr>
        <w:fldChar w:fldCharType="end"/>
      </w:r>
    </w:p>
    <w:p w14:paraId="611FA40E">
      <w:pPr>
        <w:pStyle w:val="7"/>
        <w:tabs>
          <w:tab w:val="right" w:leader="dot" w:pos="8306"/>
        </w:tabs>
        <w:spacing w:line="360" w:lineRule="auto"/>
        <w:rPr>
          <w:color w:val="auto"/>
          <w:sz w:val="24"/>
          <w:szCs w:val="24"/>
        </w:rPr>
      </w:pPr>
      <w:r>
        <w:rPr>
          <w:color w:val="auto"/>
          <w:sz w:val="24"/>
          <w:szCs w:val="24"/>
        </w:rPr>
        <w:fldChar w:fldCharType="begin"/>
      </w:r>
      <w:r>
        <w:rPr>
          <w:color w:val="auto"/>
          <w:sz w:val="24"/>
          <w:szCs w:val="24"/>
        </w:rPr>
        <w:instrText xml:space="preserve"> HYPERLINK \l _Toc20366_WPSOffice_Level2 </w:instrText>
      </w:r>
      <w:r>
        <w:rPr>
          <w:color w:val="auto"/>
          <w:sz w:val="24"/>
          <w:szCs w:val="24"/>
        </w:rPr>
        <w:fldChar w:fldCharType="separate"/>
      </w:r>
      <w:r>
        <w:rPr>
          <w:rFonts w:hint="eastAsia" w:ascii="宋体" w:hAnsi="宋体" w:eastAsia="宋体" w:cs="宋体"/>
          <w:color w:val="auto"/>
          <w:sz w:val="24"/>
          <w:szCs w:val="24"/>
        </w:rPr>
        <w:t>4.1项目总体要求</w:t>
      </w:r>
      <w:r>
        <w:rPr>
          <w:color w:val="auto"/>
          <w:sz w:val="24"/>
          <w:szCs w:val="24"/>
        </w:rPr>
        <w:tab/>
      </w:r>
      <w:r>
        <w:rPr>
          <w:rFonts w:hint="eastAsia"/>
          <w:color w:val="auto"/>
          <w:sz w:val="24"/>
          <w:szCs w:val="24"/>
          <w:lang w:val="en-US" w:eastAsia="zh-CN"/>
        </w:rPr>
        <w:t>5</w:t>
      </w:r>
      <w:r>
        <w:rPr>
          <w:color w:val="auto"/>
          <w:sz w:val="24"/>
          <w:szCs w:val="24"/>
        </w:rPr>
        <w:fldChar w:fldCharType="end"/>
      </w:r>
    </w:p>
    <w:p w14:paraId="782C7C34">
      <w:pPr>
        <w:pStyle w:val="7"/>
        <w:tabs>
          <w:tab w:val="right" w:leader="dot" w:pos="8306"/>
        </w:tabs>
        <w:spacing w:line="360" w:lineRule="auto"/>
        <w:rPr>
          <w:color w:val="auto"/>
          <w:sz w:val="24"/>
          <w:szCs w:val="24"/>
        </w:rPr>
      </w:pPr>
      <w:r>
        <w:rPr>
          <w:color w:val="auto"/>
          <w:sz w:val="24"/>
          <w:szCs w:val="24"/>
        </w:rPr>
        <w:fldChar w:fldCharType="begin"/>
      </w:r>
      <w:r>
        <w:rPr>
          <w:color w:val="auto"/>
          <w:sz w:val="24"/>
          <w:szCs w:val="24"/>
        </w:rPr>
        <w:instrText xml:space="preserve"> HYPERLINK \l _Toc18296_WPSOffice_Level2 </w:instrText>
      </w:r>
      <w:r>
        <w:rPr>
          <w:color w:val="auto"/>
          <w:sz w:val="24"/>
          <w:szCs w:val="24"/>
        </w:rPr>
        <w:fldChar w:fldCharType="separate"/>
      </w:r>
      <w:r>
        <w:rPr>
          <w:rFonts w:hint="eastAsia" w:ascii="宋体" w:hAnsi="宋体" w:eastAsia="宋体" w:cs="宋体"/>
          <w:color w:val="auto"/>
          <w:sz w:val="24"/>
          <w:szCs w:val="24"/>
        </w:rPr>
        <w:t>4.2 项目机构要求</w:t>
      </w:r>
      <w:r>
        <w:rPr>
          <w:color w:val="auto"/>
          <w:sz w:val="24"/>
          <w:szCs w:val="24"/>
        </w:rPr>
        <w:tab/>
      </w:r>
      <w:r>
        <w:rPr>
          <w:rFonts w:hint="eastAsia"/>
          <w:color w:val="auto"/>
          <w:sz w:val="24"/>
          <w:szCs w:val="24"/>
          <w:lang w:val="en-US" w:eastAsia="zh-CN"/>
        </w:rPr>
        <w:t>6</w:t>
      </w:r>
      <w:r>
        <w:rPr>
          <w:color w:val="auto"/>
          <w:sz w:val="24"/>
          <w:szCs w:val="24"/>
        </w:rPr>
        <w:fldChar w:fldCharType="end"/>
      </w:r>
    </w:p>
    <w:p w14:paraId="1BFF37A9">
      <w:pPr>
        <w:pStyle w:val="7"/>
        <w:tabs>
          <w:tab w:val="right" w:leader="dot" w:pos="8306"/>
        </w:tabs>
        <w:spacing w:line="360" w:lineRule="auto"/>
        <w:rPr>
          <w:color w:val="auto"/>
          <w:sz w:val="24"/>
          <w:szCs w:val="24"/>
        </w:rPr>
      </w:pPr>
      <w:r>
        <w:rPr>
          <w:color w:val="auto"/>
          <w:sz w:val="24"/>
          <w:szCs w:val="24"/>
        </w:rPr>
        <w:fldChar w:fldCharType="begin"/>
      </w:r>
      <w:r>
        <w:rPr>
          <w:color w:val="auto"/>
          <w:sz w:val="24"/>
          <w:szCs w:val="24"/>
        </w:rPr>
        <w:instrText xml:space="preserve"> HYPERLINK \l _Toc20426_WPSOffice_Level2 </w:instrText>
      </w:r>
      <w:r>
        <w:rPr>
          <w:color w:val="auto"/>
          <w:sz w:val="24"/>
          <w:szCs w:val="24"/>
        </w:rPr>
        <w:fldChar w:fldCharType="separate"/>
      </w:r>
      <w:r>
        <w:rPr>
          <w:rFonts w:hint="eastAsia" w:ascii="宋体" w:hAnsi="宋体" w:eastAsia="宋体" w:cs="宋体"/>
          <w:color w:val="auto"/>
          <w:sz w:val="24"/>
          <w:szCs w:val="24"/>
        </w:rPr>
        <w:t xml:space="preserve">4.3 </w:t>
      </w:r>
      <w:r>
        <w:rPr>
          <w:rFonts w:ascii="宋体" w:hAnsi="宋体" w:eastAsia="宋体" w:cs="宋体"/>
          <w:color w:val="auto"/>
          <w:sz w:val="24"/>
          <w:szCs w:val="24"/>
        </w:rPr>
        <w:t>项目实施要求</w:t>
      </w:r>
      <w:r>
        <w:rPr>
          <w:color w:val="auto"/>
          <w:sz w:val="24"/>
          <w:szCs w:val="24"/>
        </w:rPr>
        <w:tab/>
      </w:r>
      <w:r>
        <w:rPr>
          <w:rFonts w:hint="eastAsia"/>
          <w:color w:val="auto"/>
          <w:sz w:val="24"/>
          <w:szCs w:val="24"/>
          <w:lang w:val="en-US" w:eastAsia="zh-CN"/>
        </w:rPr>
        <w:t>6</w:t>
      </w:r>
      <w:r>
        <w:rPr>
          <w:color w:val="auto"/>
          <w:sz w:val="24"/>
          <w:szCs w:val="24"/>
        </w:rPr>
        <w:fldChar w:fldCharType="end"/>
      </w:r>
    </w:p>
    <w:p w14:paraId="7175AAA3">
      <w:pPr>
        <w:pStyle w:val="7"/>
        <w:tabs>
          <w:tab w:val="right" w:leader="dot" w:pos="8306"/>
        </w:tabs>
        <w:spacing w:line="360" w:lineRule="auto"/>
        <w:rPr>
          <w:color w:val="auto"/>
          <w:sz w:val="24"/>
          <w:szCs w:val="24"/>
        </w:rPr>
      </w:pPr>
      <w:r>
        <w:rPr>
          <w:color w:val="auto"/>
          <w:sz w:val="24"/>
          <w:szCs w:val="24"/>
        </w:rPr>
        <w:fldChar w:fldCharType="begin"/>
      </w:r>
      <w:r>
        <w:rPr>
          <w:color w:val="auto"/>
          <w:sz w:val="24"/>
          <w:szCs w:val="24"/>
        </w:rPr>
        <w:instrText xml:space="preserve"> HYPERLINK \l _Toc27282_WPSOffice_Level2 </w:instrText>
      </w:r>
      <w:r>
        <w:rPr>
          <w:color w:val="auto"/>
          <w:sz w:val="24"/>
          <w:szCs w:val="24"/>
        </w:rPr>
        <w:fldChar w:fldCharType="separate"/>
      </w:r>
      <w:r>
        <w:rPr>
          <w:rFonts w:hint="eastAsia" w:ascii="宋体" w:hAnsi="宋体" w:eastAsia="宋体" w:cs="宋体"/>
          <w:color w:val="auto"/>
          <w:sz w:val="24"/>
          <w:szCs w:val="24"/>
        </w:rPr>
        <w:t>4.4</w:t>
      </w:r>
      <w:r>
        <w:rPr>
          <w:rFonts w:ascii="宋体" w:hAnsi="宋体" w:eastAsia="宋体" w:cs="宋体"/>
          <w:color w:val="auto"/>
          <w:sz w:val="24"/>
          <w:szCs w:val="24"/>
        </w:rPr>
        <w:t>项目验收要求</w:t>
      </w:r>
      <w:r>
        <w:rPr>
          <w:color w:val="auto"/>
          <w:sz w:val="24"/>
          <w:szCs w:val="24"/>
        </w:rPr>
        <w:tab/>
      </w:r>
      <w:r>
        <w:rPr>
          <w:rFonts w:hint="eastAsia"/>
          <w:color w:val="auto"/>
          <w:sz w:val="24"/>
          <w:szCs w:val="24"/>
          <w:lang w:val="en-US" w:eastAsia="zh-CN"/>
        </w:rPr>
        <w:t>7</w:t>
      </w:r>
      <w:r>
        <w:rPr>
          <w:color w:val="auto"/>
          <w:sz w:val="24"/>
          <w:szCs w:val="24"/>
        </w:rPr>
        <w:fldChar w:fldCharType="end"/>
      </w:r>
    </w:p>
    <w:p w14:paraId="75DC812E">
      <w:pPr>
        <w:pStyle w:val="7"/>
        <w:tabs>
          <w:tab w:val="right" w:leader="dot" w:pos="8306"/>
        </w:tabs>
        <w:spacing w:line="360" w:lineRule="auto"/>
        <w:rPr>
          <w:color w:val="auto"/>
          <w:sz w:val="24"/>
          <w:szCs w:val="24"/>
        </w:rPr>
      </w:pPr>
      <w:r>
        <w:rPr>
          <w:color w:val="auto"/>
          <w:sz w:val="24"/>
          <w:szCs w:val="24"/>
        </w:rPr>
        <w:fldChar w:fldCharType="begin"/>
      </w:r>
      <w:r>
        <w:rPr>
          <w:color w:val="auto"/>
          <w:sz w:val="24"/>
          <w:szCs w:val="24"/>
        </w:rPr>
        <w:instrText xml:space="preserve"> HYPERLINK \l _Toc13100_WPSOffice_Level2 </w:instrText>
      </w:r>
      <w:r>
        <w:rPr>
          <w:color w:val="auto"/>
          <w:sz w:val="24"/>
          <w:szCs w:val="24"/>
        </w:rPr>
        <w:fldChar w:fldCharType="separate"/>
      </w:r>
      <w:r>
        <w:rPr>
          <w:rFonts w:hint="eastAsia" w:ascii="宋体" w:hAnsi="宋体" w:eastAsia="宋体" w:cs="宋体"/>
          <w:color w:val="auto"/>
          <w:sz w:val="24"/>
          <w:szCs w:val="24"/>
        </w:rPr>
        <w:t>4.5</w:t>
      </w:r>
      <w:r>
        <w:rPr>
          <w:rFonts w:ascii="宋体" w:hAnsi="宋体" w:eastAsia="宋体" w:cs="宋体"/>
          <w:color w:val="auto"/>
          <w:sz w:val="24"/>
          <w:szCs w:val="24"/>
        </w:rPr>
        <w:t>其他要求</w:t>
      </w:r>
      <w:r>
        <w:rPr>
          <w:color w:val="auto"/>
          <w:sz w:val="24"/>
          <w:szCs w:val="24"/>
        </w:rPr>
        <w:tab/>
      </w:r>
      <w:r>
        <w:rPr>
          <w:rFonts w:hint="eastAsia"/>
          <w:color w:val="auto"/>
          <w:sz w:val="24"/>
          <w:szCs w:val="24"/>
          <w:lang w:val="en-US" w:eastAsia="zh-CN"/>
        </w:rPr>
        <w:t>7</w:t>
      </w:r>
      <w:r>
        <w:rPr>
          <w:color w:val="auto"/>
          <w:sz w:val="24"/>
          <w:szCs w:val="24"/>
        </w:rPr>
        <w:fldChar w:fldCharType="end"/>
      </w:r>
      <w:bookmarkEnd w:id="1"/>
    </w:p>
    <w:p w14:paraId="6081F9C2">
      <w:pPr>
        <w:spacing w:line="360" w:lineRule="auto"/>
        <w:ind w:firstLine="482"/>
        <w:rPr>
          <w:rFonts w:hint="eastAsia" w:ascii="宋体" w:hAnsi="宋体" w:cs="宋体"/>
          <w:b/>
          <w:color w:val="auto"/>
          <w:sz w:val="36"/>
          <w:szCs w:val="36"/>
          <w:lang w:val="en-US" w:eastAsia="zh-CN"/>
        </w:rPr>
      </w:pPr>
    </w:p>
    <w:p w14:paraId="37E7EBC5">
      <w:pPr>
        <w:outlineLvl w:val="0"/>
        <w:rPr>
          <w:b/>
          <w:color w:val="auto"/>
          <w:sz w:val="24"/>
        </w:rPr>
      </w:pPr>
    </w:p>
    <w:p w14:paraId="162C21B9">
      <w:pPr>
        <w:pStyle w:val="2"/>
        <w:rPr>
          <w:b/>
          <w:color w:val="auto"/>
          <w:sz w:val="24"/>
        </w:rPr>
      </w:pPr>
    </w:p>
    <w:p w14:paraId="1EF7A22A">
      <w:pPr>
        <w:pStyle w:val="2"/>
        <w:rPr>
          <w:b/>
          <w:color w:val="auto"/>
          <w:sz w:val="24"/>
        </w:rPr>
      </w:pPr>
    </w:p>
    <w:p w14:paraId="2C835D6C">
      <w:pPr>
        <w:pStyle w:val="2"/>
        <w:rPr>
          <w:b/>
          <w:color w:val="auto"/>
          <w:sz w:val="24"/>
        </w:rPr>
      </w:pPr>
    </w:p>
    <w:p w14:paraId="0AB23D9C">
      <w:pPr>
        <w:pStyle w:val="2"/>
        <w:rPr>
          <w:b/>
          <w:color w:val="auto"/>
          <w:sz w:val="24"/>
        </w:rPr>
      </w:pPr>
    </w:p>
    <w:p w14:paraId="2DC38C62">
      <w:pPr>
        <w:pStyle w:val="2"/>
        <w:rPr>
          <w:b/>
          <w:color w:val="auto"/>
          <w:sz w:val="24"/>
        </w:rPr>
      </w:pPr>
    </w:p>
    <w:p w14:paraId="1B109106">
      <w:pPr>
        <w:pStyle w:val="2"/>
        <w:rPr>
          <w:b/>
          <w:color w:val="auto"/>
          <w:sz w:val="24"/>
        </w:rPr>
      </w:pPr>
    </w:p>
    <w:p w14:paraId="2E3F74C1">
      <w:pPr>
        <w:pStyle w:val="2"/>
        <w:rPr>
          <w:b/>
          <w:color w:val="auto"/>
          <w:sz w:val="24"/>
        </w:rPr>
      </w:pPr>
    </w:p>
    <w:p w14:paraId="5196BCC5">
      <w:pPr>
        <w:pStyle w:val="2"/>
        <w:rPr>
          <w:b/>
          <w:color w:val="auto"/>
          <w:sz w:val="24"/>
        </w:rPr>
      </w:pPr>
    </w:p>
    <w:p w14:paraId="6E2007CC">
      <w:pPr>
        <w:pStyle w:val="2"/>
        <w:rPr>
          <w:b/>
          <w:color w:val="auto"/>
          <w:sz w:val="24"/>
        </w:rPr>
      </w:pPr>
    </w:p>
    <w:p w14:paraId="601ACEE3">
      <w:pPr>
        <w:pStyle w:val="2"/>
        <w:rPr>
          <w:b/>
          <w:color w:val="auto"/>
          <w:sz w:val="24"/>
        </w:rPr>
      </w:pPr>
    </w:p>
    <w:p w14:paraId="7ECEF424">
      <w:pPr>
        <w:pStyle w:val="2"/>
        <w:rPr>
          <w:b/>
          <w:color w:val="auto"/>
          <w:sz w:val="24"/>
        </w:rPr>
      </w:pPr>
    </w:p>
    <w:p w14:paraId="0A566CE7">
      <w:pPr>
        <w:pStyle w:val="2"/>
        <w:rPr>
          <w:b/>
          <w:color w:val="auto"/>
          <w:sz w:val="24"/>
        </w:rPr>
      </w:pPr>
    </w:p>
    <w:p w14:paraId="48F959D8">
      <w:pPr>
        <w:pStyle w:val="2"/>
        <w:rPr>
          <w:b/>
          <w:color w:val="auto"/>
          <w:sz w:val="24"/>
        </w:rPr>
      </w:pPr>
    </w:p>
    <w:p w14:paraId="30AE903C">
      <w:pPr>
        <w:pStyle w:val="2"/>
        <w:rPr>
          <w:b/>
          <w:color w:val="auto"/>
          <w:sz w:val="24"/>
        </w:rPr>
      </w:pPr>
    </w:p>
    <w:p w14:paraId="109877F6">
      <w:pPr>
        <w:pStyle w:val="2"/>
        <w:rPr>
          <w:b/>
          <w:color w:val="auto"/>
          <w:sz w:val="24"/>
        </w:rPr>
      </w:pPr>
    </w:p>
    <w:p w14:paraId="76A9419E">
      <w:pPr>
        <w:spacing w:line="360" w:lineRule="auto"/>
        <w:ind w:firstLine="482"/>
        <w:rPr>
          <w:rFonts w:hint="eastAsia" w:ascii="黑体" w:hAnsi="黑体" w:eastAsia="黑体" w:cs="黑体"/>
          <w:color w:val="auto"/>
          <w:sz w:val="28"/>
          <w:szCs w:val="28"/>
        </w:rPr>
      </w:pPr>
      <w:bookmarkStart w:id="2" w:name="_Toc20366_WPSOffice_Level1"/>
      <w:r>
        <w:rPr>
          <w:rFonts w:hint="eastAsia" w:ascii="黑体" w:hAnsi="黑体" w:eastAsia="黑体" w:cs="黑体"/>
          <w:b/>
          <w:color w:val="auto"/>
          <w:sz w:val="28"/>
          <w:szCs w:val="28"/>
        </w:rPr>
        <w:t>一、总则</w:t>
      </w:r>
      <w:bookmarkEnd w:id="2"/>
    </w:p>
    <w:p w14:paraId="32E96E88">
      <w:pPr>
        <w:spacing w:line="360" w:lineRule="auto"/>
        <w:ind w:firstLine="480"/>
        <w:rPr>
          <w:rFonts w:hint="eastAsia" w:ascii="宋体" w:hAnsi="宋体" w:eastAsia="宋体" w:cs="宋体"/>
          <w:color w:val="auto"/>
          <w:sz w:val="28"/>
          <w:szCs w:val="28"/>
        </w:rPr>
      </w:pPr>
      <w:r>
        <w:rPr>
          <w:rFonts w:hint="eastAsia" w:ascii="宋体" w:hAnsi="宋体" w:eastAsia="宋体" w:cs="宋体"/>
          <w:color w:val="auto"/>
          <w:sz w:val="28"/>
          <w:szCs w:val="28"/>
          <w:highlight w:val="none"/>
        </w:rPr>
        <w:t>本规范书适用于</w:t>
      </w:r>
      <w:r>
        <w:rPr>
          <w:rFonts w:hint="eastAsia" w:ascii="宋体" w:hAnsi="宋体" w:eastAsia="宋体" w:cs="宋体"/>
          <w:color w:val="auto"/>
          <w:sz w:val="28"/>
          <w:szCs w:val="28"/>
          <w:highlight w:val="none"/>
          <w:rtl w:val="0"/>
          <w:lang w:val="zh-CN" w:eastAsia="zh-CN"/>
        </w:rPr>
        <w:t>202</w:t>
      </w:r>
      <w:r>
        <w:rPr>
          <w:rFonts w:hint="eastAsia" w:ascii="宋体" w:hAnsi="宋体" w:cs="宋体"/>
          <w:color w:val="auto"/>
          <w:sz w:val="28"/>
          <w:szCs w:val="28"/>
          <w:highlight w:val="none"/>
          <w:rtl w:val="0"/>
          <w:lang w:val="en-US" w:eastAsia="zh-CN"/>
        </w:rPr>
        <w:t>6</w:t>
      </w:r>
      <w:r>
        <w:rPr>
          <w:rFonts w:hint="eastAsia" w:ascii="宋体" w:hAnsi="宋体" w:eastAsia="宋体" w:cs="宋体"/>
          <w:color w:val="auto"/>
          <w:sz w:val="28"/>
          <w:szCs w:val="28"/>
          <w:highlight w:val="none"/>
          <w:rtl w:val="0"/>
          <w:lang w:val="zh-CN" w:eastAsia="zh-CN"/>
        </w:rPr>
        <w:t>年玉溪新平供电局营销活动推广</w:t>
      </w:r>
      <w:r>
        <w:rPr>
          <w:rFonts w:hint="eastAsia" w:ascii="宋体" w:hAnsi="宋体" w:eastAsia="宋体" w:cs="宋体"/>
          <w:color w:val="auto"/>
          <w:sz w:val="28"/>
          <w:szCs w:val="28"/>
        </w:rPr>
        <w:t>宣传服务</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融媒体）招标、合同签订、项目验收、项目实施的管理</w:t>
      </w:r>
      <w:r>
        <w:rPr>
          <w:rFonts w:hint="eastAsia" w:ascii="宋体" w:hAnsi="宋体" w:eastAsia="宋体" w:cs="宋体"/>
          <w:color w:val="auto"/>
          <w:sz w:val="28"/>
          <w:szCs w:val="28"/>
        </w:rPr>
        <w:t>。</w:t>
      </w:r>
    </w:p>
    <w:p w14:paraId="39193FC9">
      <w:pPr>
        <w:spacing w:line="360" w:lineRule="auto"/>
        <w:ind w:firstLine="480"/>
        <w:rPr>
          <w:rFonts w:hint="eastAsia" w:ascii="宋体" w:hAnsi="宋体" w:eastAsia="宋体" w:cs="宋体"/>
          <w:color w:val="auto"/>
          <w:sz w:val="28"/>
          <w:szCs w:val="28"/>
        </w:rPr>
      </w:pPr>
      <w:r>
        <w:rPr>
          <w:rFonts w:hint="eastAsia" w:ascii="宋体" w:hAnsi="宋体" w:eastAsia="宋体" w:cs="宋体"/>
          <w:color w:val="auto"/>
          <w:sz w:val="28"/>
          <w:szCs w:val="28"/>
        </w:rPr>
        <w:t>本技术条件书提出的是最基本的技术要求，并未对所有技术细节作出规定, 也未充分引述有关标准和规范的条文。投标者应满足本技术标书的要求，未涉及部分应不低于现行国家、行业、南方电网有限责任公司、云南电网有限责任公司有关标准及要求。</w:t>
      </w:r>
    </w:p>
    <w:p w14:paraId="53BBA4CC">
      <w:pPr>
        <w:spacing w:line="360" w:lineRule="auto"/>
        <w:ind w:firstLine="480"/>
        <w:rPr>
          <w:rFonts w:hint="eastAsia" w:ascii="宋体" w:hAnsi="宋体" w:eastAsia="宋体" w:cs="宋体"/>
          <w:color w:val="auto"/>
          <w:sz w:val="28"/>
          <w:szCs w:val="28"/>
        </w:rPr>
      </w:pPr>
      <w:r>
        <w:rPr>
          <w:rFonts w:hint="eastAsia" w:ascii="宋体" w:hAnsi="宋体" w:eastAsia="宋体" w:cs="宋体"/>
          <w:color w:val="auto"/>
          <w:sz w:val="28"/>
          <w:szCs w:val="28"/>
        </w:rPr>
        <w:t>如果</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没有以书面形式对本规范书的条文提出异议, 则意味着</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完全符合本规范书的要求。</w:t>
      </w:r>
    </w:p>
    <w:p w14:paraId="17B0334C">
      <w:pPr>
        <w:spacing w:line="360" w:lineRule="auto"/>
        <w:ind w:firstLine="480"/>
        <w:rPr>
          <w:rFonts w:hint="eastAsia"/>
          <w:b/>
          <w:color w:val="auto"/>
          <w:sz w:val="24"/>
        </w:rPr>
      </w:pPr>
      <w:r>
        <w:rPr>
          <w:rFonts w:hint="eastAsia" w:ascii="宋体" w:hAnsi="宋体" w:eastAsia="宋体" w:cs="宋体"/>
          <w:color w:val="auto"/>
          <w:sz w:val="28"/>
          <w:szCs w:val="28"/>
        </w:rPr>
        <w:t>本技术规范书所使用的标准如遇与</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所执行的标准不一致时, 按较高标准执行。</w:t>
      </w:r>
    </w:p>
    <w:bookmarkEnd w:id="0"/>
    <w:p w14:paraId="3FB05DB1">
      <w:pPr>
        <w:spacing w:line="360" w:lineRule="auto"/>
        <w:ind w:firstLine="482"/>
        <w:rPr>
          <w:rFonts w:hint="eastAsia" w:ascii="黑体" w:hAnsi="黑体" w:eastAsia="黑体" w:cs="黑体"/>
          <w:b/>
          <w:color w:val="auto"/>
          <w:sz w:val="28"/>
          <w:szCs w:val="28"/>
        </w:rPr>
      </w:pPr>
      <w:bookmarkStart w:id="3" w:name="_Toc18296_WPSOffice_Level1"/>
      <w:bookmarkStart w:id="4" w:name="_Toc488139763"/>
      <w:bookmarkStart w:id="5" w:name="_Toc475092208"/>
      <w:bookmarkStart w:id="6" w:name="_Toc119396095"/>
      <w:r>
        <w:rPr>
          <w:rFonts w:hint="eastAsia" w:ascii="黑体" w:hAnsi="黑体" w:eastAsia="黑体" w:cs="黑体"/>
          <w:b/>
          <w:color w:val="auto"/>
          <w:sz w:val="28"/>
          <w:szCs w:val="28"/>
          <w:lang w:val="en-US" w:eastAsia="zh-CN"/>
        </w:rPr>
        <w:t>二、</w:t>
      </w:r>
      <w:r>
        <w:rPr>
          <w:rFonts w:hint="eastAsia" w:ascii="黑体" w:hAnsi="黑体" w:eastAsia="黑体" w:cs="黑体"/>
          <w:b/>
          <w:color w:val="auto"/>
          <w:sz w:val="28"/>
          <w:szCs w:val="28"/>
        </w:rPr>
        <w:t>背景及现状</w:t>
      </w:r>
      <w:bookmarkEnd w:id="3"/>
    </w:p>
    <w:p w14:paraId="407699B5">
      <w:pPr>
        <w:spacing w:line="360" w:lineRule="auto"/>
        <w:ind w:firstLine="482"/>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为</w:t>
      </w:r>
      <w:r>
        <w:rPr>
          <w:rFonts w:hint="eastAsia" w:ascii="宋体" w:hAnsi="宋体" w:eastAsia="宋体" w:cs="宋体"/>
          <w:color w:val="auto"/>
          <w:sz w:val="28"/>
          <w:szCs w:val="28"/>
          <w:lang w:val="en-US" w:eastAsia="zh-CN"/>
        </w:rPr>
        <w:t>开展电力服务宣传，向广大客户宣传普及用电知识，增进供电企业与用户之间的交流，不断</w:t>
      </w:r>
      <w:r>
        <w:rPr>
          <w:rFonts w:hint="eastAsia" w:ascii="宋体" w:hAnsi="宋体" w:eastAsia="宋体" w:cs="宋体"/>
          <w:color w:val="auto"/>
          <w:sz w:val="28"/>
          <w:szCs w:val="28"/>
        </w:rPr>
        <w:t>提高客户满意度</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tl w:val="0"/>
          <w:lang w:val="zh-CN" w:eastAsia="zh-CN"/>
        </w:rPr>
        <w:t>玉</w:t>
      </w:r>
      <w:r>
        <w:rPr>
          <w:rFonts w:hint="eastAsia" w:ascii="宋体" w:hAnsi="宋体" w:eastAsia="宋体" w:cs="宋体"/>
          <w:color w:val="auto"/>
          <w:sz w:val="28"/>
          <w:szCs w:val="28"/>
          <w:highlight w:val="none"/>
          <w:rtl w:val="0"/>
          <w:lang w:val="zh-CN" w:eastAsia="zh-CN"/>
        </w:rPr>
        <w:t>溪</w:t>
      </w:r>
      <w:r>
        <w:rPr>
          <w:rFonts w:hint="eastAsia" w:ascii="宋体" w:hAnsi="宋体" w:eastAsia="宋体" w:cs="宋体"/>
          <w:color w:val="auto"/>
          <w:sz w:val="28"/>
          <w:szCs w:val="28"/>
          <w:highlight w:val="none"/>
          <w:lang w:eastAsia="zh-CN"/>
        </w:rPr>
        <w:t>新平供电局</w:t>
      </w:r>
      <w:r>
        <w:rPr>
          <w:rFonts w:hint="eastAsia" w:ascii="宋体" w:hAnsi="宋体" w:eastAsia="宋体" w:cs="宋体"/>
          <w:color w:val="auto"/>
          <w:sz w:val="28"/>
          <w:szCs w:val="28"/>
          <w:highlight w:val="none"/>
          <w:lang w:val="en-US" w:eastAsia="zh-CN"/>
        </w:rPr>
        <w:t>计划</w:t>
      </w:r>
      <w:r>
        <w:rPr>
          <w:rFonts w:hint="eastAsia" w:ascii="宋体" w:hAnsi="宋体" w:eastAsia="宋体" w:cs="宋体"/>
          <w:color w:val="auto"/>
          <w:sz w:val="28"/>
          <w:szCs w:val="28"/>
          <w:highlight w:val="none"/>
        </w:rPr>
        <w:t>通过</w:t>
      </w:r>
      <w:r>
        <w:rPr>
          <w:rFonts w:hint="eastAsia" w:ascii="宋体" w:hAnsi="宋体" w:eastAsia="宋体" w:cs="宋体"/>
          <w:color w:val="auto"/>
          <w:sz w:val="28"/>
          <w:szCs w:val="28"/>
          <w:highlight w:val="none"/>
          <w:lang w:val="en-US" w:eastAsia="zh-CN"/>
        </w:rPr>
        <w:t>新平大美文化传媒有限公司现有的</w:t>
      </w:r>
      <w:r>
        <w:rPr>
          <w:rFonts w:hint="eastAsia" w:ascii="宋体" w:hAnsi="宋体" w:eastAsia="宋体" w:cs="宋体"/>
          <w:color w:val="auto"/>
          <w:sz w:val="28"/>
          <w:szCs w:val="28"/>
          <w:highlight w:val="none"/>
        </w:rPr>
        <w:t>宣传</w:t>
      </w:r>
      <w:r>
        <w:rPr>
          <w:rFonts w:hint="eastAsia" w:ascii="宋体" w:hAnsi="宋体" w:eastAsia="宋体" w:cs="宋体"/>
          <w:color w:val="auto"/>
          <w:sz w:val="28"/>
          <w:szCs w:val="28"/>
          <w:highlight w:val="none"/>
          <w:lang w:val="en-US" w:eastAsia="zh-CN"/>
        </w:rPr>
        <w:t>渠道</w:t>
      </w:r>
      <w:r>
        <w:rPr>
          <w:rFonts w:hint="eastAsia" w:ascii="宋体" w:hAnsi="宋体" w:eastAsia="宋体" w:cs="宋体"/>
          <w:color w:val="auto"/>
          <w:sz w:val="28"/>
          <w:szCs w:val="28"/>
          <w:highlight w:val="none"/>
        </w:rPr>
        <w:t>拓展营销宣传</w:t>
      </w:r>
      <w:r>
        <w:rPr>
          <w:rFonts w:hint="eastAsia" w:ascii="宋体" w:hAnsi="宋体" w:eastAsia="宋体" w:cs="宋体"/>
          <w:color w:val="auto"/>
          <w:sz w:val="28"/>
          <w:szCs w:val="28"/>
          <w:highlight w:val="none"/>
          <w:lang w:val="en-US" w:eastAsia="zh-CN"/>
        </w:rPr>
        <w:t>渠道</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开展南网在线、智能缴费、停电公告、供电服务热线、用电办理流程、安全用电知识、优化营商环境等宣传等业务的</w:t>
      </w:r>
      <w:r>
        <w:rPr>
          <w:rFonts w:hint="eastAsia" w:ascii="宋体" w:hAnsi="宋体" w:eastAsia="宋体" w:cs="宋体"/>
          <w:color w:val="auto"/>
          <w:sz w:val="28"/>
          <w:szCs w:val="28"/>
          <w:highlight w:val="none"/>
        </w:rPr>
        <w:t>宣传，</w:t>
      </w:r>
      <w:r>
        <w:rPr>
          <w:rFonts w:hint="eastAsia" w:ascii="宋体" w:hAnsi="宋体" w:eastAsia="宋体" w:cs="宋体"/>
          <w:color w:val="auto"/>
          <w:sz w:val="28"/>
          <w:szCs w:val="28"/>
          <w:highlight w:val="none"/>
          <w:lang w:val="en-US" w:eastAsia="zh-CN"/>
        </w:rPr>
        <w:t>结合实际需要进行满意度广告策划制作，持</w:t>
      </w:r>
      <w:r>
        <w:rPr>
          <w:rFonts w:hint="eastAsia" w:ascii="宋体" w:hAnsi="宋体" w:eastAsia="宋体" w:cs="宋体"/>
          <w:color w:val="auto"/>
          <w:sz w:val="28"/>
          <w:szCs w:val="28"/>
          <w:lang w:val="en-US" w:eastAsia="zh-CN"/>
        </w:rPr>
        <w:t>续优化服务方式，不断提高供电服务品质，积极营造安全和谐的供用电环境，充分</w:t>
      </w:r>
      <w:r>
        <w:rPr>
          <w:rFonts w:hint="eastAsia" w:ascii="宋体" w:hAnsi="宋体" w:eastAsia="宋体" w:cs="宋体"/>
          <w:color w:val="auto"/>
          <w:sz w:val="28"/>
          <w:szCs w:val="28"/>
          <w:highlight w:val="none"/>
          <w:lang w:val="en-US" w:eastAsia="zh-CN"/>
        </w:rPr>
        <w:t>彰显</w:t>
      </w:r>
      <w:r>
        <w:rPr>
          <w:rFonts w:hint="eastAsia" w:ascii="宋体" w:hAnsi="宋体" w:eastAsia="宋体" w:cs="宋体"/>
          <w:color w:val="auto"/>
          <w:sz w:val="28"/>
          <w:szCs w:val="28"/>
          <w:lang w:val="en-US" w:eastAsia="zh-CN"/>
        </w:rPr>
        <w:t>供电企业良好的品牌形象。</w:t>
      </w:r>
    </w:p>
    <w:p w14:paraId="09AEF2E0">
      <w:pPr>
        <w:spacing w:line="360" w:lineRule="auto"/>
        <w:ind w:firstLine="482"/>
        <w:rPr>
          <w:rFonts w:hint="eastAsia" w:ascii="黑体" w:hAnsi="黑体" w:eastAsia="黑体" w:cs="黑体"/>
          <w:b/>
          <w:color w:val="auto"/>
          <w:sz w:val="28"/>
          <w:szCs w:val="28"/>
          <w:lang w:val="en-US" w:eastAsia="zh-CN"/>
        </w:rPr>
      </w:pPr>
      <w:r>
        <w:rPr>
          <w:rFonts w:hint="eastAsia" w:ascii="黑体" w:hAnsi="黑体" w:eastAsia="黑体" w:cs="黑体"/>
          <w:b/>
          <w:color w:val="auto"/>
          <w:sz w:val="28"/>
          <w:szCs w:val="28"/>
          <w:lang w:val="en-US" w:eastAsia="zh-CN"/>
        </w:rPr>
        <w:t>三、项目概况</w:t>
      </w:r>
    </w:p>
    <w:p w14:paraId="44BB2817">
      <w:pPr>
        <w:spacing w:line="360" w:lineRule="auto"/>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新平大美文化传媒有限公司是新平县唯一家面向全县播报的官方电视媒体平台，所以与新平大美文化传媒有限公司合作编制文本</w:t>
      </w:r>
      <w:r>
        <w:rPr>
          <w:rFonts w:hint="eastAsia" w:ascii="宋体" w:hAnsi="宋体" w:eastAsia="宋体" w:cs="宋体"/>
          <w:color w:val="auto"/>
          <w:sz w:val="28"/>
          <w:szCs w:val="28"/>
          <w:highlight w:val="none"/>
        </w:rPr>
        <w:t>、图片、音频、视频等供电服务信息，通过</w:t>
      </w:r>
      <w:r>
        <w:rPr>
          <w:rFonts w:hint="eastAsia" w:ascii="宋体" w:hAnsi="宋体" w:eastAsia="宋体" w:cs="宋体"/>
          <w:color w:val="auto"/>
          <w:sz w:val="28"/>
          <w:szCs w:val="28"/>
          <w:highlight w:val="none"/>
          <w:lang w:val="en-US" w:eastAsia="zh-CN"/>
        </w:rPr>
        <w:t>新平大美文化传媒有限公司现有的主流宣传</w:t>
      </w:r>
      <w:r>
        <w:rPr>
          <w:rFonts w:hint="eastAsia" w:ascii="宋体" w:hAnsi="宋体" w:eastAsia="宋体" w:cs="宋体"/>
          <w:color w:val="auto"/>
          <w:sz w:val="28"/>
          <w:szCs w:val="28"/>
          <w:highlight w:val="none"/>
        </w:rPr>
        <w:t>渠道提供给用户。</w:t>
      </w:r>
    </w:p>
    <w:p w14:paraId="4616909D">
      <w:pPr>
        <w:spacing w:line="360" w:lineRule="auto"/>
        <w:ind w:firstLine="567"/>
        <w:jc w:val="center"/>
        <w:rPr>
          <w:rFonts w:hint="default" w:ascii="宋体" w:hAnsi="宋体" w:eastAsia="宋体" w:cs="宋体"/>
          <w:b/>
          <w:color w:val="auto"/>
          <w:lang w:val="en-US" w:eastAsia="zh-CN"/>
        </w:rPr>
      </w:pPr>
      <w:r>
        <w:rPr>
          <w:rFonts w:hint="eastAsia" w:ascii="宋体" w:hAnsi="宋体" w:cs="宋体"/>
          <w:b/>
          <w:color w:val="auto"/>
          <w:lang w:val="en-US" w:eastAsia="zh-CN"/>
        </w:rPr>
        <w:t>项目需求</w:t>
      </w:r>
    </w:p>
    <w:tbl>
      <w:tblPr>
        <w:tblStyle w:val="3"/>
        <w:tblW w:w="10714" w:type="dxa"/>
        <w:jc w:val="center"/>
        <w:tblLayout w:type="fixed"/>
        <w:tblCellMar>
          <w:top w:w="0" w:type="dxa"/>
          <w:left w:w="0" w:type="dxa"/>
          <w:bottom w:w="0" w:type="dxa"/>
          <w:right w:w="0" w:type="dxa"/>
        </w:tblCellMar>
      </w:tblPr>
      <w:tblGrid>
        <w:gridCol w:w="975"/>
        <w:gridCol w:w="5187"/>
        <w:gridCol w:w="1234"/>
        <w:gridCol w:w="1659"/>
        <w:gridCol w:w="1659"/>
      </w:tblGrid>
      <w:tr w14:paraId="604B0CFE">
        <w:tblPrEx>
          <w:tblCellMar>
            <w:top w:w="0" w:type="dxa"/>
            <w:left w:w="0" w:type="dxa"/>
            <w:bottom w:w="0" w:type="dxa"/>
            <w:right w:w="0" w:type="dxa"/>
          </w:tblCellMar>
        </w:tblPrEx>
        <w:trPr>
          <w:trHeight w:val="478" w:hRule="atLeast"/>
          <w:jc w:val="center"/>
        </w:trPr>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A4C8FE">
            <w:pPr>
              <w:jc w:val="center"/>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序号</w:t>
            </w:r>
          </w:p>
        </w:tc>
        <w:tc>
          <w:tcPr>
            <w:tcW w:w="51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543F57">
            <w:pPr>
              <w:jc w:val="center"/>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采购</w:t>
            </w:r>
            <w:r>
              <w:rPr>
                <w:rFonts w:hint="eastAsia" w:ascii="宋体" w:hAnsi="宋体"/>
                <w:b/>
                <w:color w:val="auto"/>
                <w:sz w:val="21"/>
                <w:szCs w:val="21"/>
                <w:highlight w:val="none"/>
                <w:lang w:val="zh-CN"/>
              </w:rPr>
              <w:t>项目</w:t>
            </w:r>
          </w:p>
        </w:tc>
        <w:tc>
          <w:tcPr>
            <w:tcW w:w="12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89BDD2">
            <w:pPr>
              <w:jc w:val="center"/>
              <w:rPr>
                <w:rFonts w:hint="eastAsia" w:ascii="宋体" w:hAnsi="宋体"/>
                <w:b/>
                <w:color w:val="auto"/>
                <w:sz w:val="21"/>
                <w:szCs w:val="21"/>
                <w:highlight w:val="none"/>
              </w:rPr>
            </w:pPr>
            <w:r>
              <w:rPr>
                <w:rFonts w:hint="eastAsia" w:ascii="宋体" w:hAnsi="宋体"/>
                <w:b/>
                <w:color w:val="auto"/>
                <w:sz w:val="21"/>
                <w:szCs w:val="21"/>
                <w:highlight w:val="none"/>
                <w:lang w:val="zh-CN"/>
              </w:rPr>
              <w:t>单位</w:t>
            </w:r>
          </w:p>
        </w:tc>
        <w:tc>
          <w:tcPr>
            <w:tcW w:w="16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BA66E4">
            <w:pPr>
              <w:jc w:val="center"/>
              <w:rPr>
                <w:rFonts w:hint="eastAsia"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预估采购</w:t>
            </w:r>
            <w:r>
              <w:rPr>
                <w:rFonts w:hint="eastAsia" w:ascii="宋体" w:hAnsi="宋体"/>
                <w:b/>
                <w:color w:val="auto"/>
                <w:sz w:val="21"/>
                <w:szCs w:val="21"/>
                <w:highlight w:val="none"/>
                <w:lang w:val="zh-CN"/>
              </w:rPr>
              <w:t>数量</w:t>
            </w:r>
          </w:p>
        </w:tc>
        <w:tc>
          <w:tcPr>
            <w:tcW w:w="16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7F8CC1">
            <w:pPr>
              <w:jc w:val="center"/>
              <w:rPr>
                <w:rFonts w:hint="default"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备注</w:t>
            </w:r>
          </w:p>
        </w:tc>
      </w:tr>
      <w:tr w14:paraId="558D01BC">
        <w:tblPrEx>
          <w:tblCellMar>
            <w:top w:w="0" w:type="dxa"/>
            <w:left w:w="0" w:type="dxa"/>
            <w:bottom w:w="0" w:type="dxa"/>
            <w:right w:w="0" w:type="dxa"/>
          </w:tblCellMar>
        </w:tblPrEx>
        <w:trPr>
          <w:trHeight w:val="825" w:hRule="atLeast"/>
          <w:jc w:val="center"/>
        </w:trPr>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DB7F89">
            <w:pPr>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1</w:t>
            </w:r>
          </w:p>
        </w:tc>
        <w:tc>
          <w:tcPr>
            <w:tcW w:w="51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236446">
            <w:pPr>
              <w:widowControl/>
              <w:jc w:val="center"/>
              <w:textAlignment w:val="center"/>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sz w:val="28"/>
                <w:szCs w:val="28"/>
                <w:highlight w:val="none"/>
                <w:rtl w:val="0"/>
                <w:lang w:val="en-US" w:eastAsia="zh-CN"/>
              </w:rPr>
              <w:t>新平电视台综合频道月度停电计划播出</w:t>
            </w:r>
            <w:r>
              <w:rPr>
                <w:rFonts w:hint="eastAsia" w:ascii="仿宋" w:hAnsi="仿宋" w:eastAsia="仿宋" w:cs="仿宋"/>
                <w:color w:val="auto"/>
                <w:sz w:val="28"/>
                <w:szCs w:val="28"/>
                <w:highlight w:val="none"/>
              </w:rPr>
              <w:t>发布停电公告、</w:t>
            </w:r>
            <w:r>
              <w:rPr>
                <w:rFonts w:hint="eastAsia" w:ascii="仿宋" w:hAnsi="仿宋" w:eastAsia="仿宋" w:cs="仿宋"/>
                <w:color w:val="auto"/>
                <w:sz w:val="28"/>
                <w:szCs w:val="28"/>
                <w:highlight w:val="none"/>
                <w:rtl w:val="0"/>
                <w:lang w:val="en-US" w:eastAsia="zh-CN"/>
              </w:rPr>
              <w:t>供电服务</w:t>
            </w:r>
            <w:r>
              <w:rPr>
                <w:rFonts w:hint="eastAsia" w:ascii="仿宋" w:hAnsi="仿宋" w:eastAsia="仿宋" w:cs="仿宋"/>
                <w:color w:val="auto"/>
                <w:sz w:val="28"/>
                <w:szCs w:val="28"/>
                <w:highlight w:val="none"/>
              </w:rPr>
              <w:t>等信息内容</w:t>
            </w:r>
            <w:r>
              <w:rPr>
                <w:rFonts w:hint="eastAsia" w:ascii="仿宋" w:hAnsi="仿宋" w:eastAsia="仿宋" w:cs="仿宋"/>
                <w:color w:val="auto"/>
                <w:sz w:val="28"/>
                <w:szCs w:val="28"/>
                <w:highlight w:val="none"/>
                <w:rtl w:val="0"/>
                <w:lang w:val="en-US" w:eastAsia="zh-CN"/>
              </w:rPr>
              <w:t>。</w:t>
            </w:r>
          </w:p>
        </w:tc>
        <w:tc>
          <w:tcPr>
            <w:tcW w:w="12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4DFF6F">
            <w:pPr>
              <w:widowControl/>
              <w:jc w:val="center"/>
              <w:textAlignment w:val="center"/>
              <w:rPr>
                <w:rFonts w:hint="default" w:ascii="仿宋" w:hAnsi="仿宋" w:eastAsia="仿宋" w:cs="仿宋"/>
                <w:color w:val="auto"/>
                <w:kern w:val="2"/>
                <w:sz w:val="28"/>
                <w:szCs w:val="28"/>
                <w:highlight w:val="none"/>
                <w:rtl w:val="0"/>
                <w:lang w:val="en-US" w:eastAsia="zh-CN" w:bidi="ar-SA"/>
              </w:rPr>
            </w:pPr>
            <w:r>
              <w:rPr>
                <w:rFonts w:hint="eastAsia" w:ascii="仿宋" w:hAnsi="仿宋" w:eastAsia="仿宋" w:cs="仿宋"/>
                <w:color w:val="auto"/>
                <w:sz w:val="28"/>
                <w:szCs w:val="28"/>
                <w:highlight w:val="none"/>
                <w:lang w:val="en-US" w:eastAsia="zh-CN"/>
              </w:rPr>
              <w:t>条</w:t>
            </w:r>
          </w:p>
        </w:tc>
        <w:tc>
          <w:tcPr>
            <w:tcW w:w="16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B64318">
            <w:pPr>
              <w:widowControl/>
              <w:jc w:val="center"/>
              <w:textAlignment w:val="center"/>
              <w:rPr>
                <w:rFonts w:hint="default" w:ascii="仿宋" w:hAnsi="仿宋" w:eastAsia="仿宋" w:cs="仿宋"/>
                <w:color w:val="auto"/>
                <w:kern w:val="2"/>
                <w:sz w:val="28"/>
                <w:szCs w:val="28"/>
                <w:highlight w:val="none"/>
                <w:rtl w:val="0"/>
                <w:lang w:val="en-US" w:eastAsia="zh-CN" w:bidi="ar-SA"/>
              </w:rPr>
            </w:pPr>
            <w:r>
              <w:rPr>
                <w:rFonts w:hint="eastAsia" w:ascii="仿宋" w:hAnsi="仿宋" w:eastAsia="仿宋" w:cs="仿宋"/>
                <w:color w:val="auto"/>
                <w:sz w:val="28"/>
                <w:szCs w:val="28"/>
                <w:highlight w:val="none"/>
                <w:lang w:val="en-US" w:eastAsia="zh-CN"/>
              </w:rPr>
              <w:t>23</w:t>
            </w:r>
          </w:p>
        </w:tc>
        <w:tc>
          <w:tcPr>
            <w:tcW w:w="1659"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6B15062E">
            <w:pPr>
              <w:keepNext w:val="0"/>
              <w:keepLines w:val="0"/>
              <w:pageBreakBefore w:val="0"/>
              <w:widowControl/>
              <w:kinsoku/>
              <w:wordWrap/>
              <w:overflowPunct/>
              <w:topLinePunct w:val="0"/>
              <w:autoSpaceDE/>
              <w:autoSpaceDN/>
              <w:bidi w:val="0"/>
              <w:adjustRightInd/>
              <w:snapToGrid/>
              <w:spacing w:line="460" w:lineRule="exact"/>
              <w:jc w:val="center"/>
              <w:textAlignment w:val="center"/>
              <w:rPr>
                <w:rFonts w:hint="eastAsia" w:ascii="仿宋" w:hAnsi="仿宋" w:eastAsia="仿宋" w:cs="仿宋"/>
                <w:color w:val="auto"/>
                <w:sz w:val="28"/>
                <w:szCs w:val="28"/>
                <w:highlight w:val="none"/>
                <w:rtl w:val="0"/>
                <w:lang w:val="en-US" w:eastAsia="zh-CN"/>
              </w:rPr>
            </w:pPr>
            <w:r>
              <w:rPr>
                <w:rFonts w:hint="eastAsia" w:ascii="仿宋" w:hAnsi="仿宋" w:eastAsia="仿宋" w:cs="仿宋"/>
                <w:color w:val="auto"/>
                <w:sz w:val="28"/>
                <w:szCs w:val="28"/>
                <w:highlight w:val="none"/>
                <w:rtl w:val="0"/>
                <w:lang w:val="en-US" w:eastAsia="zh-CN"/>
              </w:rPr>
              <w:t>具体以招标人制定工作任务量为准</w:t>
            </w:r>
          </w:p>
          <w:p w14:paraId="77A0FCA5">
            <w:pPr>
              <w:keepNext w:val="0"/>
              <w:keepLines w:val="0"/>
              <w:pageBreakBefore w:val="0"/>
              <w:widowControl/>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8"/>
                <w:szCs w:val="28"/>
                <w:highlight w:val="none"/>
                <w:rtl w:val="0"/>
                <w:lang w:val="en-US" w:eastAsia="zh-CN"/>
              </w:rPr>
            </w:pPr>
          </w:p>
        </w:tc>
      </w:tr>
      <w:tr w14:paraId="65E8009D">
        <w:tblPrEx>
          <w:tblCellMar>
            <w:top w:w="0" w:type="dxa"/>
            <w:left w:w="0" w:type="dxa"/>
            <w:bottom w:w="0" w:type="dxa"/>
            <w:right w:w="0" w:type="dxa"/>
          </w:tblCellMar>
        </w:tblPrEx>
        <w:trPr>
          <w:trHeight w:val="375" w:hRule="atLeast"/>
          <w:jc w:val="center"/>
        </w:trPr>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EC84B1">
            <w:pPr>
              <w:jc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2</w:t>
            </w:r>
          </w:p>
        </w:tc>
        <w:tc>
          <w:tcPr>
            <w:tcW w:w="51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92DC60">
            <w:pPr>
              <w:widowControl/>
              <w:jc w:val="center"/>
              <w:textAlignment w:val="center"/>
              <w:rPr>
                <w:rFonts w:hint="eastAsia" w:ascii="仿宋" w:hAnsi="仿宋" w:eastAsia="仿宋" w:cs="仿宋"/>
                <w:color w:val="auto"/>
                <w:kern w:val="2"/>
                <w:sz w:val="28"/>
                <w:szCs w:val="28"/>
                <w:highlight w:val="none"/>
                <w:rtl w:val="0"/>
                <w:lang w:val="en-US" w:eastAsia="zh-CN" w:bidi="ar-SA"/>
              </w:rPr>
            </w:pPr>
            <w:r>
              <w:rPr>
                <w:rFonts w:hint="eastAsia" w:ascii="仿宋" w:hAnsi="仿宋" w:eastAsia="仿宋" w:cs="仿宋"/>
                <w:color w:val="auto"/>
                <w:sz w:val="28"/>
                <w:szCs w:val="28"/>
                <w:highlight w:val="none"/>
                <w:rtl w:val="0"/>
                <w:lang w:val="zh-TW" w:eastAsia="zh-CN"/>
              </w:rPr>
              <w:t>“</w:t>
            </w:r>
            <w:r>
              <w:rPr>
                <w:rFonts w:hint="eastAsia" w:ascii="仿宋" w:hAnsi="仿宋" w:eastAsia="仿宋" w:cs="仿宋"/>
                <w:color w:val="auto"/>
                <w:sz w:val="28"/>
                <w:szCs w:val="28"/>
                <w:highlight w:val="none"/>
                <w:rtl w:val="0"/>
                <w:lang w:val="en-US" w:eastAsia="zh-CN"/>
              </w:rPr>
              <w:t>大美新平”微信公众号</w:t>
            </w:r>
            <w:r>
              <w:rPr>
                <w:rFonts w:hint="eastAsia" w:ascii="仿宋" w:hAnsi="仿宋" w:eastAsia="仿宋" w:cs="仿宋"/>
                <w:color w:val="auto"/>
                <w:sz w:val="28"/>
                <w:szCs w:val="28"/>
                <w:highlight w:val="none"/>
                <w:rtl w:val="0"/>
                <w:lang w:val="zh-TW" w:eastAsia="zh-CN"/>
              </w:rPr>
              <w:t>、</w:t>
            </w:r>
            <w:r>
              <w:rPr>
                <w:rFonts w:hint="eastAsia" w:ascii="仿宋" w:hAnsi="仿宋" w:eastAsia="仿宋" w:cs="仿宋"/>
                <w:color w:val="auto"/>
                <w:sz w:val="28"/>
                <w:szCs w:val="28"/>
                <w:highlight w:val="none"/>
                <w:rtl w:val="0"/>
                <w:lang w:val="zh-TW" w:eastAsia="zh-TW"/>
              </w:rPr>
              <w:t>“</w:t>
            </w:r>
            <w:r>
              <w:rPr>
                <w:rFonts w:hint="eastAsia" w:ascii="仿宋" w:hAnsi="仿宋" w:eastAsia="仿宋" w:cs="仿宋"/>
                <w:color w:val="auto"/>
                <w:sz w:val="28"/>
                <w:szCs w:val="28"/>
                <w:highlight w:val="none"/>
                <w:rtl w:val="0"/>
                <w:lang w:val="zh-TW" w:eastAsia="zh-CN"/>
              </w:rPr>
              <w:t>大美新平</w:t>
            </w:r>
            <w:r>
              <w:rPr>
                <w:rFonts w:hint="eastAsia" w:ascii="仿宋" w:hAnsi="仿宋" w:eastAsia="仿宋" w:cs="仿宋"/>
                <w:color w:val="auto"/>
                <w:sz w:val="28"/>
                <w:szCs w:val="28"/>
                <w:highlight w:val="none"/>
                <w:rtl w:val="0"/>
                <w:lang w:val="en-US" w:eastAsia="zh-CN"/>
              </w:rPr>
              <w:t>APP</w:t>
            </w:r>
            <w:r>
              <w:rPr>
                <w:rFonts w:hint="eastAsia" w:ascii="仿宋" w:hAnsi="仿宋" w:eastAsia="仿宋" w:cs="仿宋"/>
                <w:color w:val="auto"/>
                <w:sz w:val="28"/>
                <w:szCs w:val="28"/>
                <w:highlight w:val="none"/>
                <w:rtl w:val="0"/>
                <w:lang w:val="zh-TW" w:eastAsia="zh-TW"/>
              </w:rPr>
              <w:t>”、“</w:t>
            </w:r>
            <w:r>
              <w:rPr>
                <w:rFonts w:hint="eastAsia" w:ascii="仿宋" w:hAnsi="仿宋" w:eastAsia="仿宋" w:cs="仿宋"/>
                <w:color w:val="auto"/>
                <w:sz w:val="28"/>
                <w:szCs w:val="28"/>
                <w:highlight w:val="none"/>
                <w:rtl w:val="0"/>
                <w:lang w:val="zh-TW" w:eastAsia="zh-CN"/>
              </w:rPr>
              <w:t>大美新平抖音号</w:t>
            </w:r>
            <w:r>
              <w:rPr>
                <w:rFonts w:hint="eastAsia" w:ascii="仿宋" w:hAnsi="仿宋" w:eastAsia="仿宋" w:cs="仿宋"/>
                <w:color w:val="auto"/>
                <w:sz w:val="28"/>
                <w:szCs w:val="28"/>
                <w:highlight w:val="none"/>
                <w:rtl w:val="0"/>
                <w:lang w:val="zh-TW" w:eastAsia="zh-TW"/>
              </w:rPr>
              <w:t>”</w:t>
            </w:r>
            <w:r>
              <w:rPr>
                <w:rFonts w:hint="eastAsia" w:ascii="仿宋" w:hAnsi="仿宋" w:eastAsia="仿宋" w:cs="仿宋"/>
                <w:color w:val="auto"/>
                <w:sz w:val="28"/>
                <w:szCs w:val="28"/>
                <w:highlight w:val="none"/>
                <w:rtl w:val="0"/>
                <w:lang w:val="en-US" w:eastAsia="zh-CN"/>
              </w:rPr>
              <w:t>等新</w:t>
            </w:r>
            <w:r>
              <w:rPr>
                <w:rFonts w:hint="eastAsia" w:ascii="仿宋" w:hAnsi="仿宋" w:eastAsia="仿宋" w:cs="仿宋"/>
                <w:color w:val="auto"/>
                <w:sz w:val="28"/>
                <w:szCs w:val="28"/>
                <w:highlight w:val="none"/>
                <w:rtl w:val="0"/>
                <w:lang w:val="zh-TW" w:eastAsia="zh-TW"/>
              </w:rPr>
              <w:t>媒体</w:t>
            </w:r>
            <w:r>
              <w:rPr>
                <w:rFonts w:hint="eastAsia" w:ascii="仿宋" w:hAnsi="仿宋" w:eastAsia="仿宋" w:cs="仿宋"/>
                <w:color w:val="auto"/>
                <w:sz w:val="28"/>
                <w:szCs w:val="28"/>
                <w:highlight w:val="none"/>
                <w:rtl w:val="0"/>
                <w:lang w:val="en-US" w:eastAsia="zh-CN"/>
              </w:rPr>
              <w:t>按月</w:t>
            </w:r>
            <w:r>
              <w:rPr>
                <w:rFonts w:hint="eastAsia" w:ascii="仿宋" w:hAnsi="仿宋" w:eastAsia="仿宋" w:cs="仿宋"/>
                <w:color w:val="auto"/>
                <w:sz w:val="28"/>
                <w:szCs w:val="28"/>
                <w:highlight w:val="none"/>
              </w:rPr>
              <w:t>发布停电公告、</w:t>
            </w:r>
            <w:r>
              <w:rPr>
                <w:rFonts w:hint="eastAsia" w:ascii="仿宋" w:hAnsi="仿宋" w:eastAsia="仿宋" w:cs="仿宋"/>
                <w:color w:val="auto"/>
                <w:sz w:val="28"/>
                <w:szCs w:val="28"/>
                <w:highlight w:val="none"/>
                <w:rtl w:val="0"/>
                <w:lang w:val="en-US" w:eastAsia="zh-CN"/>
              </w:rPr>
              <w:t>供电服务</w:t>
            </w:r>
            <w:r>
              <w:rPr>
                <w:rFonts w:hint="eastAsia" w:ascii="仿宋" w:hAnsi="仿宋" w:eastAsia="仿宋" w:cs="仿宋"/>
                <w:color w:val="auto"/>
                <w:sz w:val="28"/>
                <w:szCs w:val="28"/>
                <w:highlight w:val="none"/>
              </w:rPr>
              <w:t>等信息内容</w:t>
            </w:r>
            <w:r>
              <w:rPr>
                <w:rFonts w:hint="eastAsia" w:ascii="仿宋" w:hAnsi="仿宋" w:eastAsia="仿宋" w:cs="仿宋"/>
                <w:color w:val="auto"/>
                <w:sz w:val="28"/>
                <w:szCs w:val="28"/>
                <w:highlight w:val="none"/>
                <w:rtl w:val="0"/>
                <w:lang w:val="en-US" w:eastAsia="zh-CN"/>
              </w:rPr>
              <w:t>。</w:t>
            </w:r>
          </w:p>
        </w:tc>
        <w:tc>
          <w:tcPr>
            <w:tcW w:w="123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38E8AF">
            <w:pPr>
              <w:widowControl/>
              <w:jc w:val="center"/>
              <w:textAlignment w:val="center"/>
              <w:rPr>
                <w:rFonts w:hint="eastAsia" w:ascii="仿宋" w:hAnsi="仿宋" w:eastAsia="仿宋" w:cs="仿宋"/>
                <w:color w:val="auto"/>
                <w:kern w:val="2"/>
                <w:sz w:val="28"/>
                <w:szCs w:val="28"/>
                <w:highlight w:val="none"/>
                <w:rtl w:val="0"/>
                <w:lang w:val="en-US" w:eastAsia="zh-CN" w:bidi="ar-SA"/>
              </w:rPr>
            </w:pPr>
            <w:r>
              <w:rPr>
                <w:rFonts w:hint="eastAsia" w:ascii="仿宋" w:hAnsi="仿宋" w:eastAsia="仿宋" w:cs="仿宋"/>
                <w:color w:val="auto"/>
                <w:sz w:val="28"/>
                <w:szCs w:val="28"/>
                <w:highlight w:val="none"/>
                <w:rtl w:val="0"/>
                <w:lang w:val="en-US" w:eastAsia="zh-CN"/>
              </w:rPr>
              <w:t>条</w:t>
            </w:r>
          </w:p>
        </w:tc>
        <w:tc>
          <w:tcPr>
            <w:tcW w:w="16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616B2E">
            <w:pPr>
              <w:widowControl/>
              <w:jc w:val="center"/>
              <w:textAlignment w:val="center"/>
              <w:rPr>
                <w:rFonts w:hint="default" w:ascii="仿宋" w:hAnsi="仿宋" w:eastAsia="仿宋" w:cs="仿宋"/>
                <w:color w:val="auto"/>
                <w:kern w:val="2"/>
                <w:sz w:val="28"/>
                <w:szCs w:val="28"/>
                <w:highlight w:val="none"/>
                <w:rtl w:val="0"/>
                <w:lang w:val="en-US" w:eastAsia="zh-CN" w:bidi="ar-SA"/>
              </w:rPr>
            </w:pPr>
            <w:r>
              <w:rPr>
                <w:rFonts w:hint="eastAsia" w:ascii="仿宋" w:hAnsi="仿宋" w:eastAsia="仿宋" w:cs="仿宋"/>
                <w:color w:val="auto"/>
                <w:sz w:val="28"/>
                <w:szCs w:val="28"/>
                <w:highlight w:val="none"/>
                <w:lang w:val="en-US" w:eastAsia="zh-CN"/>
              </w:rPr>
              <w:t>12</w:t>
            </w:r>
          </w:p>
        </w:tc>
        <w:tc>
          <w:tcPr>
            <w:tcW w:w="1659" w:type="dxa"/>
            <w:vMerge w:val="continue"/>
            <w:tcBorders>
              <w:left w:val="single" w:color="000000" w:sz="4" w:space="0"/>
              <w:right w:val="single" w:color="000000" w:sz="4" w:space="0"/>
            </w:tcBorders>
            <w:noWrap w:val="0"/>
            <w:tcMar>
              <w:top w:w="15" w:type="dxa"/>
              <w:left w:w="15" w:type="dxa"/>
              <w:right w:w="15" w:type="dxa"/>
            </w:tcMar>
            <w:vAlign w:val="center"/>
          </w:tcPr>
          <w:p w14:paraId="3566DF4C">
            <w:pPr>
              <w:keepNext w:val="0"/>
              <w:keepLines w:val="0"/>
              <w:pageBreakBefore w:val="0"/>
              <w:widowControl/>
              <w:kinsoku/>
              <w:wordWrap/>
              <w:overflowPunct/>
              <w:topLinePunct w:val="0"/>
              <w:autoSpaceDE/>
              <w:autoSpaceDN/>
              <w:bidi w:val="0"/>
              <w:adjustRightInd/>
              <w:snapToGrid/>
              <w:spacing w:line="460" w:lineRule="exact"/>
              <w:jc w:val="center"/>
              <w:textAlignment w:val="center"/>
              <w:rPr>
                <w:rFonts w:hint="default" w:ascii="仿宋" w:hAnsi="仿宋" w:eastAsia="仿宋" w:cs="仿宋"/>
                <w:color w:val="auto"/>
                <w:sz w:val="28"/>
                <w:szCs w:val="28"/>
                <w:highlight w:val="none"/>
                <w:rtl w:val="0"/>
                <w:lang w:val="en-US" w:eastAsia="zh-CN"/>
              </w:rPr>
            </w:pPr>
          </w:p>
        </w:tc>
      </w:tr>
      <w:tr w14:paraId="2887B1E1">
        <w:tblPrEx>
          <w:tblCellMar>
            <w:top w:w="0" w:type="dxa"/>
            <w:left w:w="0" w:type="dxa"/>
            <w:bottom w:w="0" w:type="dxa"/>
            <w:right w:w="0" w:type="dxa"/>
          </w:tblCellMar>
        </w:tblPrEx>
        <w:trPr>
          <w:trHeight w:val="375" w:hRule="atLeast"/>
          <w:jc w:val="center"/>
        </w:trPr>
        <w:tc>
          <w:tcPr>
            <w:tcW w:w="10714" w:type="dxa"/>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6514CC">
            <w:pPr>
              <w:keepNext w:val="0"/>
              <w:keepLines w:val="0"/>
              <w:pageBreakBefore w:val="0"/>
              <w:widowControl/>
              <w:tabs>
                <w:tab w:val="left" w:pos="4117"/>
              </w:tabs>
              <w:kinsoku/>
              <w:wordWrap/>
              <w:overflowPunct/>
              <w:topLinePunct w:val="0"/>
              <w:autoSpaceDE/>
              <w:autoSpaceDN/>
              <w:bidi w:val="0"/>
              <w:adjustRightInd/>
              <w:snapToGrid/>
              <w:spacing w:line="460" w:lineRule="exact"/>
              <w:jc w:val="left"/>
              <w:textAlignment w:val="center"/>
              <w:rPr>
                <w:rFonts w:hint="default" w:ascii="仿宋" w:hAnsi="仿宋" w:eastAsia="仿宋" w:cs="仿宋"/>
                <w:color w:val="auto"/>
                <w:sz w:val="28"/>
                <w:szCs w:val="28"/>
                <w:highlight w:val="none"/>
                <w:rtl w:val="0"/>
                <w:lang w:val="en-US" w:eastAsia="zh-CN"/>
              </w:rPr>
            </w:pPr>
            <w:r>
              <w:rPr>
                <w:rFonts w:hint="eastAsia" w:ascii="仿宋" w:hAnsi="仿宋" w:eastAsia="仿宋" w:cs="仿宋"/>
                <w:color w:val="auto"/>
                <w:sz w:val="28"/>
                <w:szCs w:val="28"/>
                <w:highlight w:val="none"/>
              </w:rPr>
              <w:t>注：本项目为单价招标采购，实际的需求具体与当年实际发生需求为准。</w:t>
            </w:r>
          </w:p>
        </w:tc>
      </w:tr>
    </w:tbl>
    <w:p w14:paraId="34775B66">
      <w:pPr>
        <w:spacing w:line="360" w:lineRule="auto"/>
        <w:ind w:firstLine="482"/>
        <w:rPr>
          <w:rFonts w:hint="eastAsia" w:ascii="黑体" w:hAnsi="黑体" w:eastAsia="黑体" w:cs="黑体"/>
          <w:b/>
          <w:bCs w:val="0"/>
          <w:color w:val="auto"/>
          <w:sz w:val="28"/>
          <w:szCs w:val="28"/>
          <w:lang w:val="en-US" w:eastAsia="zh-CN"/>
        </w:rPr>
      </w:pPr>
      <w:r>
        <w:rPr>
          <w:rFonts w:hint="eastAsia" w:ascii="黑体" w:hAnsi="黑体" w:eastAsia="黑体" w:cs="黑体"/>
          <w:b/>
          <w:bCs w:val="0"/>
          <w:color w:val="auto"/>
          <w:sz w:val="28"/>
          <w:szCs w:val="28"/>
          <w:lang w:val="en-US" w:eastAsia="zh-CN"/>
        </w:rPr>
        <w:t>四、技术服务要求</w:t>
      </w:r>
    </w:p>
    <w:p w14:paraId="6F163169">
      <w:pPr>
        <w:spacing w:line="360" w:lineRule="auto"/>
        <w:ind w:firstLine="560" w:firstLineChars="200"/>
        <w:rPr>
          <w:rFonts w:hint="eastAsia" w:ascii="黑体" w:hAnsi="黑体" w:eastAsia="黑体" w:cs="黑体"/>
          <w:b w:val="0"/>
          <w:bCs/>
          <w:color w:val="auto"/>
          <w:sz w:val="28"/>
          <w:szCs w:val="28"/>
          <w:rtl w:val="0"/>
          <w:lang w:val="en-US" w:eastAsia="zh-CN"/>
        </w:rPr>
      </w:pPr>
      <w:r>
        <w:rPr>
          <w:rFonts w:hint="eastAsia" w:ascii="黑体" w:hAnsi="黑体" w:eastAsia="黑体" w:cs="黑体"/>
          <w:b w:val="0"/>
          <w:bCs/>
          <w:color w:val="auto"/>
          <w:sz w:val="28"/>
          <w:szCs w:val="28"/>
          <w:rtl w:val="0"/>
          <w:lang w:val="en-US" w:eastAsia="zh-CN"/>
        </w:rPr>
        <w:t>4.1发布要求</w:t>
      </w:r>
    </w:p>
    <w:p w14:paraId="2B5D2FAB">
      <w:pPr>
        <w:spacing w:line="360" w:lineRule="auto"/>
        <w:ind w:firstLine="560" w:firstLineChars="200"/>
        <w:rPr>
          <w:rFonts w:hint="eastAsia" w:ascii="宋体" w:hAnsi="宋体" w:eastAsia="宋体" w:cs="宋体"/>
          <w:color w:val="auto"/>
          <w:sz w:val="28"/>
          <w:szCs w:val="28"/>
          <w:highlight w:val="none"/>
          <w:rtl w:val="0"/>
          <w:lang w:val="zh-CN" w:eastAsia="zh-CN"/>
        </w:rPr>
      </w:pPr>
      <w:r>
        <w:rPr>
          <w:rFonts w:hint="eastAsia" w:ascii="宋体" w:hAnsi="宋体" w:cs="宋体"/>
          <w:color w:val="auto"/>
          <w:sz w:val="28"/>
          <w:szCs w:val="28"/>
          <w:rtl w:val="0"/>
          <w:lang w:val="en-US" w:eastAsia="zh-CN"/>
        </w:rPr>
        <w:t>4.1.</w:t>
      </w:r>
      <w:r>
        <w:rPr>
          <w:rFonts w:hint="eastAsia" w:ascii="宋体" w:hAnsi="宋体" w:eastAsia="宋体" w:cs="宋体"/>
          <w:color w:val="auto"/>
          <w:sz w:val="28"/>
          <w:szCs w:val="28"/>
          <w:rtl w:val="0"/>
          <w:lang w:val="en-US" w:eastAsia="zh-CN"/>
        </w:rPr>
        <w:t>1</w:t>
      </w:r>
      <w:r>
        <w:rPr>
          <w:rFonts w:hint="eastAsia" w:ascii="宋体" w:hAnsi="宋体" w:eastAsia="宋体" w:cs="宋体"/>
          <w:color w:val="auto"/>
          <w:sz w:val="28"/>
          <w:szCs w:val="28"/>
          <w:rtl w:val="0"/>
          <w:lang w:val="zh-CN" w:eastAsia="zh-CN"/>
        </w:rPr>
        <w:t>按照玉溪</w:t>
      </w:r>
      <w:r>
        <w:rPr>
          <w:rFonts w:hint="eastAsia" w:ascii="宋体" w:hAnsi="宋体" w:cs="宋体"/>
          <w:color w:val="auto"/>
          <w:sz w:val="28"/>
          <w:szCs w:val="28"/>
          <w:rtl w:val="0"/>
          <w:lang w:val="en-US" w:eastAsia="zh-CN"/>
        </w:rPr>
        <w:t>新平供电局</w:t>
      </w:r>
      <w:r>
        <w:rPr>
          <w:rFonts w:hint="eastAsia" w:ascii="宋体" w:hAnsi="宋体" w:eastAsia="宋体" w:cs="宋体"/>
          <w:color w:val="auto"/>
          <w:sz w:val="28"/>
          <w:szCs w:val="28"/>
          <w:rtl w:val="0"/>
          <w:lang w:val="zh-CN" w:eastAsia="zh-CN"/>
        </w:rPr>
        <w:t>提供的</w:t>
      </w:r>
      <w:r>
        <w:rPr>
          <w:rFonts w:hint="eastAsia" w:ascii="宋体" w:hAnsi="宋体" w:eastAsia="宋体" w:cs="宋体"/>
          <w:color w:val="auto"/>
          <w:sz w:val="28"/>
          <w:szCs w:val="28"/>
          <w:rtl w:val="0"/>
          <w:lang w:val="en-US" w:eastAsia="zh-CN"/>
        </w:rPr>
        <w:t>次月</w:t>
      </w:r>
      <w:r>
        <w:rPr>
          <w:rFonts w:hint="eastAsia" w:ascii="宋体" w:hAnsi="宋体" w:eastAsia="宋体" w:cs="宋体"/>
          <w:color w:val="auto"/>
          <w:sz w:val="28"/>
          <w:szCs w:val="28"/>
          <w:rtl w:val="0"/>
          <w:lang w:val="zh-CN" w:eastAsia="zh-CN"/>
        </w:rPr>
        <w:t>计划停电信息，</w:t>
      </w:r>
      <w:r>
        <w:rPr>
          <w:rFonts w:hint="eastAsia" w:ascii="宋体" w:hAnsi="宋体" w:eastAsia="宋体" w:cs="宋体"/>
          <w:color w:val="auto"/>
          <w:sz w:val="28"/>
          <w:szCs w:val="28"/>
          <w:highlight w:val="none"/>
          <w:lang w:val="en-US" w:eastAsia="zh-CN"/>
        </w:rPr>
        <w:t>新平大美文化传媒有限公司</w:t>
      </w:r>
      <w:r>
        <w:rPr>
          <w:rFonts w:hint="eastAsia" w:ascii="宋体" w:hAnsi="宋体" w:eastAsia="宋体" w:cs="宋体"/>
          <w:color w:val="auto"/>
          <w:sz w:val="28"/>
          <w:szCs w:val="28"/>
          <w:highlight w:val="none"/>
          <w:rtl w:val="0"/>
          <w:lang w:val="zh-CN" w:eastAsia="zh-CN"/>
        </w:rPr>
        <w:t>提前</w:t>
      </w:r>
      <w:r>
        <w:rPr>
          <w:rFonts w:hint="eastAsia" w:ascii="宋体" w:hAnsi="宋体" w:eastAsia="宋体" w:cs="宋体"/>
          <w:color w:val="auto"/>
          <w:sz w:val="28"/>
          <w:szCs w:val="28"/>
          <w:highlight w:val="none"/>
          <w:rtl w:val="0"/>
          <w:lang w:val="en-US" w:eastAsia="zh-CN"/>
        </w:rPr>
        <w:t>7</w:t>
      </w:r>
      <w:r>
        <w:rPr>
          <w:rFonts w:hint="eastAsia" w:ascii="宋体" w:hAnsi="宋体" w:eastAsia="宋体" w:cs="宋体"/>
          <w:color w:val="auto"/>
          <w:sz w:val="28"/>
          <w:szCs w:val="28"/>
          <w:highlight w:val="none"/>
          <w:rtl w:val="0"/>
          <w:lang w:val="zh-CN" w:eastAsia="zh-CN"/>
        </w:rPr>
        <w:t>天在新平电视台每晚</w:t>
      </w:r>
      <w:r>
        <w:rPr>
          <w:rFonts w:hint="eastAsia" w:ascii="宋体" w:hAnsi="宋体" w:eastAsia="宋体" w:cs="宋体"/>
          <w:color w:val="auto"/>
          <w:sz w:val="28"/>
          <w:szCs w:val="28"/>
          <w:highlight w:val="none"/>
          <w:rtl w:val="0"/>
          <w:lang w:val="en-US" w:eastAsia="zh-CN"/>
        </w:rPr>
        <w:t>20</w:t>
      </w:r>
      <w:r>
        <w:rPr>
          <w:rFonts w:hint="eastAsia" w:ascii="宋体" w:hAnsi="宋体" w:eastAsia="宋体" w:cs="宋体"/>
          <w:color w:val="auto"/>
          <w:sz w:val="28"/>
          <w:szCs w:val="28"/>
          <w:highlight w:val="none"/>
          <w:rtl w:val="0"/>
          <w:lang w:val="zh-CN" w:eastAsia="zh-CN"/>
        </w:rPr>
        <w:t>:</w:t>
      </w:r>
      <w:r>
        <w:rPr>
          <w:rFonts w:hint="eastAsia" w:ascii="宋体" w:hAnsi="宋体" w:eastAsia="宋体" w:cs="宋体"/>
          <w:color w:val="auto"/>
          <w:sz w:val="28"/>
          <w:szCs w:val="28"/>
          <w:highlight w:val="none"/>
          <w:rtl w:val="0"/>
          <w:lang w:val="en-US" w:eastAsia="zh-CN"/>
        </w:rPr>
        <w:t>45</w:t>
      </w:r>
      <w:r>
        <w:rPr>
          <w:rFonts w:hint="eastAsia" w:ascii="宋体" w:hAnsi="宋体" w:eastAsia="宋体" w:cs="宋体"/>
          <w:color w:val="auto"/>
          <w:sz w:val="28"/>
          <w:szCs w:val="28"/>
          <w:highlight w:val="none"/>
          <w:rtl w:val="0"/>
          <w:lang w:val="zh-CN" w:eastAsia="zh-CN"/>
        </w:rPr>
        <w:t>至</w:t>
      </w:r>
      <w:r>
        <w:rPr>
          <w:rFonts w:hint="eastAsia" w:ascii="宋体" w:hAnsi="宋体" w:eastAsia="宋体" w:cs="宋体"/>
          <w:color w:val="auto"/>
          <w:sz w:val="28"/>
          <w:szCs w:val="28"/>
          <w:highlight w:val="none"/>
          <w:rtl w:val="0"/>
          <w:lang w:val="en-US" w:eastAsia="zh-CN"/>
        </w:rPr>
        <w:t>20</w:t>
      </w:r>
      <w:r>
        <w:rPr>
          <w:rFonts w:hint="eastAsia" w:ascii="宋体" w:hAnsi="宋体" w:eastAsia="宋体" w:cs="宋体"/>
          <w:color w:val="auto"/>
          <w:sz w:val="28"/>
          <w:szCs w:val="28"/>
          <w:highlight w:val="none"/>
          <w:rtl w:val="0"/>
          <w:lang w:val="zh-CN" w:eastAsia="zh-CN"/>
        </w:rPr>
        <w:t>:5</w:t>
      </w:r>
      <w:r>
        <w:rPr>
          <w:rFonts w:hint="eastAsia" w:ascii="宋体" w:hAnsi="宋体" w:eastAsia="宋体" w:cs="宋体"/>
          <w:color w:val="auto"/>
          <w:sz w:val="28"/>
          <w:szCs w:val="28"/>
          <w:highlight w:val="none"/>
          <w:rtl w:val="0"/>
          <w:lang w:val="en-US" w:eastAsia="zh-CN"/>
        </w:rPr>
        <w:t>5</w:t>
      </w:r>
      <w:r>
        <w:rPr>
          <w:rFonts w:hint="eastAsia" w:ascii="宋体" w:hAnsi="宋体" w:eastAsia="宋体" w:cs="宋体"/>
          <w:color w:val="auto"/>
          <w:sz w:val="28"/>
          <w:szCs w:val="28"/>
          <w:highlight w:val="none"/>
          <w:rtl w:val="0"/>
          <w:lang w:val="zh-CN" w:eastAsia="zh-CN"/>
        </w:rPr>
        <w:t>之间档期（</w:t>
      </w:r>
      <w:r>
        <w:rPr>
          <w:rFonts w:hint="eastAsia" w:ascii="宋体" w:hAnsi="宋体" w:eastAsia="宋体" w:cs="宋体"/>
          <w:color w:val="auto"/>
          <w:sz w:val="28"/>
          <w:szCs w:val="28"/>
          <w:highlight w:val="none"/>
          <w:rtl w:val="0"/>
          <w:lang w:val="en-US" w:eastAsia="zh-CN"/>
        </w:rPr>
        <w:t>新平新闻播出后</w:t>
      </w:r>
      <w:r>
        <w:rPr>
          <w:rFonts w:hint="eastAsia" w:ascii="宋体" w:hAnsi="宋体" w:eastAsia="宋体" w:cs="宋体"/>
          <w:color w:val="auto"/>
          <w:sz w:val="28"/>
          <w:szCs w:val="28"/>
          <w:highlight w:val="none"/>
          <w:rtl w:val="0"/>
          <w:lang w:val="zh-CN" w:eastAsia="zh-CN"/>
        </w:rPr>
        <w:t>10分钟内）、每晚2</w:t>
      </w:r>
      <w:r>
        <w:rPr>
          <w:rFonts w:hint="eastAsia" w:ascii="宋体" w:hAnsi="宋体" w:eastAsia="宋体" w:cs="宋体"/>
          <w:color w:val="auto"/>
          <w:sz w:val="28"/>
          <w:szCs w:val="28"/>
          <w:highlight w:val="none"/>
          <w:rtl w:val="0"/>
          <w:lang w:val="en-US" w:eastAsia="zh-CN"/>
        </w:rPr>
        <w:t>1</w:t>
      </w:r>
      <w:r>
        <w:rPr>
          <w:rFonts w:hint="eastAsia" w:ascii="宋体" w:hAnsi="宋体" w:eastAsia="宋体" w:cs="宋体"/>
          <w:color w:val="auto"/>
          <w:sz w:val="28"/>
          <w:szCs w:val="28"/>
          <w:highlight w:val="none"/>
          <w:rtl w:val="0"/>
          <w:lang w:val="zh-CN" w:eastAsia="zh-CN"/>
        </w:rPr>
        <w:t>:</w:t>
      </w:r>
      <w:r>
        <w:rPr>
          <w:rFonts w:hint="eastAsia" w:ascii="宋体" w:hAnsi="宋体" w:eastAsia="宋体" w:cs="宋体"/>
          <w:color w:val="auto"/>
          <w:sz w:val="28"/>
          <w:szCs w:val="28"/>
          <w:highlight w:val="none"/>
          <w:rtl w:val="0"/>
          <w:lang w:val="en-US" w:eastAsia="zh-CN"/>
        </w:rPr>
        <w:t>50</w:t>
      </w:r>
      <w:r>
        <w:rPr>
          <w:rFonts w:hint="eastAsia" w:ascii="宋体" w:hAnsi="宋体" w:eastAsia="宋体" w:cs="宋体"/>
          <w:color w:val="auto"/>
          <w:sz w:val="28"/>
          <w:szCs w:val="28"/>
          <w:highlight w:val="none"/>
          <w:rtl w:val="0"/>
          <w:lang w:val="zh-CN" w:eastAsia="zh-CN"/>
        </w:rPr>
        <w:t>至2</w:t>
      </w:r>
      <w:r>
        <w:rPr>
          <w:rFonts w:hint="eastAsia" w:ascii="宋体" w:hAnsi="宋体" w:eastAsia="宋体" w:cs="宋体"/>
          <w:color w:val="auto"/>
          <w:sz w:val="28"/>
          <w:szCs w:val="28"/>
          <w:highlight w:val="none"/>
          <w:rtl w:val="0"/>
          <w:lang w:val="en-US" w:eastAsia="zh-CN"/>
        </w:rPr>
        <w:t>2</w:t>
      </w:r>
      <w:r>
        <w:rPr>
          <w:rFonts w:hint="eastAsia" w:ascii="宋体" w:hAnsi="宋体" w:eastAsia="宋体" w:cs="宋体"/>
          <w:color w:val="auto"/>
          <w:sz w:val="28"/>
          <w:szCs w:val="28"/>
          <w:highlight w:val="none"/>
          <w:rtl w:val="0"/>
          <w:lang w:val="zh-CN" w:eastAsia="zh-CN"/>
        </w:rPr>
        <w:t>:</w:t>
      </w:r>
      <w:r>
        <w:rPr>
          <w:rFonts w:hint="eastAsia" w:ascii="宋体" w:hAnsi="宋体" w:eastAsia="宋体" w:cs="宋体"/>
          <w:color w:val="auto"/>
          <w:sz w:val="28"/>
          <w:szCs w:val="28"/>
          <w:highlight w:val="none"/>
          <w:rtl w:val="0"/>
          <w:lang w:val="en-US" w:eastAsia="zh-CN"/>
        </w:rPr>
        <w:t>00</w:t>
      </w:r>
      <w:r>
        <w:rPr>
          <w:rFonts w:hint="eastAsia" w:ascii="宋体" w:hAnsi="宋体" w:eastAsia="宋体" w:cs="宋体"/>
          <w:color w:val="auto"/>
          <w:sz w:val="28"/>
          <w:szCs w:val="28"/>
          <w:highlight w:val="none"/>
          <w:rtl w:val="0"/>
          <w:lang w:val="zh-CN" w:eastAsia="zh-CN"/>
        </w:rPr>
        <w:t>之间档期（</w:t>
      </w:r>
      <w:r>
        <w:rPr>
          <w:rFonts w:hint="eastAsia" w:ascii="宋体" w:hAnsi="宋体" w:eastAsia="宋体" w:cs="宋体"/>
          <w:color w:val="auto"/>
          <w:sz w:val="28"/>
          <w:szCs w:val="28"/>
          <w:highlight w:val="none"/>
          <w:rtl w:val="0"/>
          <w:lang w:val="en-US" w:eastAsia="zh-CN"/>
        </w:rPr>
        <w:t>新平新闻播出前</w:t>
      </w:r>
      <w:r>
        <w:rPr>
          <w:rFonts w:hint="eastAsia" w:ascii="宋体" w:hAnsi="宋体" w:eastAsia="宋体" w:cs="宋体"/>
          <w:color w:val="auto"/>
          <w:sz w:val="28"/>
          <w:szCs w:val="28"/>
          <w:highlight w:val="none"/>
          <w:rtl w:val="0"/>
          <w:lang w:val="zh-CN" w:eastAsia="zh-CN"/>
        </w:rPr>
        <w:t>10分钟内）、</w:t>
      </w:r>
      <w:r>
        <w:rPr>
          <w:rFonts w:hint="eastAsia" w:ascii="宋体" w:hAnsi="宋体" w:eastAsia="宋体" w:cs="宋体"/>
          <w:color w:val="auto"/>
          <w:sz w:val="28"/>
          <w:szCs w:val="28"/>
          <w:highlight w:val="none"/>
          <w:rtl w:val="0"/>
          <w:lang w:val="en-US" w:eastAsia="zh-CN"/>
        </w:rPr>
        <w:t>次日12:15至12：25之间档期（新平新闻重播后10分钟内）</w:t>
      </w:r>
      <w:r>
        <w:rPr>
          <w:rFonts w:hint="eastAsia" w:ascii="宋体" w:hAnsi="宋体" w:eastAsia="宋体" w:cs="宋体"/>
          <w:color w:val="auto"/>
          <w:sz w:val="28"/>
          <w:szCs w:val="28"/>
          <w:highlight w:val="none"/>
          <w:rtl w:val="0"/>
          <w:lang w:val="zh-CN" w:eastAsia="zh-CN"/>
        </w:rPr>
        <w:t>公示当月计划停电信息，连续进行公示。</w:t>
      </w:r>
    </w:p>
    <w:p w14:paraId="53F203E6">
      <w:pPr>
        <w:spacing w:line="360" w:lineRule="auto"/>
        <w:ind w:firstLine="560" w:firstLineChars="200"/>
        <w:rPr>
          <w:rFonts w:hint="eastAsia" w:ascii="宋体" w:hAnsi="宋体" w:eastAsia="宋体" w:cs="宋体"/>
          <w:color w:val="auto"/>
          <w:sz w:val="28"/>
          <w:szCs w:val="28"/>
          <w:rtl w:val="0"/>
          <w:lang w:val="zh-CN" w:eastAsia="zh-CN"/>
        </w:rPr>
      </w:pPr>
      <w:r>
        <w:rPr>
          <w:rFonts w:hint="eastAsia" w:ascii="宋体" w:hAnsi="宋体" w:cs="宋体"/>
          <w:color w:val="auto"/>
          <w:sz w:val="28"/>
          <w:szCs w:val="28"/>
          <w:highlight w:val="none"/>
          <w:rtl w:val="0"/>
          <w:lang w:val="en-US" w:eastAsia="zh-CN"/>
        </w:rPr>
        <w:t>4.1.2</w:t>
      </w:r>
      <w:r>
        <w:rPr>
          <w:rFonts w:hint="eastAsia" w:ascii="宋体" w:hAnsi="宋体" w:eastAsia="宋体" w:cs="宋体"/>
          <w:color w:val="auto"/>
          <w:sz w:val="28"/>
          <w:szCs w:val="28"/>
          <w:highlight w:val="none"/>
          <w:rtl w:val="0"/>
          <w:lang w:val="zh-CN" w:eastAsia="zh-CN"/>
        </w:rPr>
        <w:t>除在《</w:t>
      </w:r>
      <w:r>
        <w:rPr>
          <w:rFonts w:hint="eastAsia" w:ascii="宋体" w:hAnsi="宋体" w:eastAsia="宋体" w:cs="宋体"/>
          <w:color w:val="auto"/>
          <w:sz w:val="28"/>
          <w:szCs w:val="28"/>
          <w:highlight w:val="none"/>
          <w:rtl w:val="0"/>
          <w:lang w:val="en-US" w:eastAsia="zh-CN"/>
        </w:rPr>
        <w:t>新平新闻</w:t>
      </w:r>
      <w:r>
        <w:rPr>
          <w:rFonts w:hint="eastAsia" w:ascii="宋体" w:hAnsi="宋体" w:eastAsia="宋体" w:cs="宋体"/>
          <w:color w:val="auto"/>
          <w:sz w:val="28"/>
          <w:szCs w:val="28"/>
          <w:highlight w:val="none"/>
          <w:rtl w:val="0"/>
          <w:lang w:val="zh-CN" w:eastAsia="zh-CN"/>
        </w:rPr>
        <w:t>》</w:t>
      </w:r>
      <w:r>
        <w:rPr>
          <w:rFonts w:hint="eastAsia" w:ascii="宋体" w:hAnsi="宋体" w:eastAsia="宋体" w:cs="宋体"/>
          <w:color w:val="auto"/>
          <w:sz w:val="28"/>
          <w:szCs w:val="28"/>
          <w:highlight w:val="none"/>
          <w:rtl w:val="0"/>
          <w:lang w:val="en-US" w:eastAsia="zh-CN"/>
        </w:rPr>
        <w:t>前后</w:t>
      </w:r>
      <w:r>
        <w:rPr>
          <w:rFonts w:hint="eastAsia" w:ascii="宋体" w:hAnsi="宋体" w:eastAsia="宋体" w:cs="宋体"/>
          <w:color w:val="auto"/>
          <w:sz w:val="28"/>
          <w:szCs w:val="28"/>
          <w:highlight w:val="none"/>
          <w:rtl w:val="0"/>
          <w:lang w:val="zh-CN" w:eastAsia="zh-CN"/>
        </w:rPr>
        <w:t>公示当月计划停电信息外，其余时间段</w:t>
      </w:r>
      <w:r>
        <w:rPr>
          <w:rFonts w:hint="eastAsia" w:ascii="宋体" w:hAnsi="宋体" w:eastAsia="宋体" w:cs="宋体"/>
          <w:color w:val="auto"/>
          <w:sz w:val="28"/>
          <w:szCs w:val="28"/>
          <w:highlight w:val="none"/>
          <w:lang w:val="en-US" w:eastAsia="zh-CN"/>
        </w:rPr>
        <w:t>新平大美文化传媒有限公司</w:t>
      </w:r>
      <w:r>
        <w:rPr>
          <w:rFonts w:hint="eastAsia" w:ascii="宋体" w:hAnsi="宋体" w:eastAsia="宋体" w:cs="宋体"/>
          <w:color w:val="auto"/>
          <w:sz w:val="28"/>
          <w:szCs w:val="28"/>
          <w:highlight w:val="none"/>
          <w:rtl w:val="0"/>
          <w:lang w:val="zh-CN" w:eastAsia="zh-CN"/>
        </w:rPr>
        <w:t>根据玉溪新平供电局的宣传要求，实时宣传南网在线、智能缴费、节电常识、安全用电、满意度测评等业务</w:t>
      </w:r>
      <w:r>
        <w:rPr>
          <w:rFonts w:hint="eastAsia" w:ascii="宋体" w:hAnsi="宋体" w:eastAsia="宋体" w:cs="宋体"/>
          <w:color w:val="auto"/>
          <w:sz w:val="28"/>
          <w:szCs w:val="28"/>
          <w:rtl w:val="0"/>
          <w:lang w:val="zh-CN" w:eastAsia="zh-CN"/>
        </w:rPr>
        <w:t>信息。</w:t>
      </w:r>
    </w:p>
    <w:p w14:paraId="7F4F4742">
      <w:pPr>
        <w:spacing w:line="360" w:lineRule="auto"/>
        <w:ind w:firstLine="560" w:firstLineChars="200"/>
        <w:rPr>
          <w:rFonts w:hint="default" w:ascii="宋体" w:hAnsi="宋体" w:eastAsia="宋体" w:cs="宋体"/>
          <w:color w:val="auto"/>
          <w:sz w:val="28"/>
          <w:szCs w:val="28"/>
          <w:highlight w:val="none"/>
          <w:rtl w:val="0"/>
          <w:lang w:val="en-US" w:eastAsia="zh-CN"/>
        </w:rPr>
      </w:pPr>
      <w:r>
        <w:rPr>
          <w:rFonts w:hint="eastAsia" w:ascii="宋体" w:hAnsi="宋体" w:cs="宋体"/>
          <w:color w:val="auto"/>
          <w:sz w:val="28"/>
          <w:szCs w:val="28"/>
          <w:rtl w:val="0"/>
          <w:lang w:val="en-US" w:eastAsia="zh-CN"/>
        </w:rPr>
        <w:t>4.1.3</w:t>
      </w:r>
      <w:r>
        <w:rPr>
          <w:rFonts w:hint="eastAsia" w:ascii="宋体" w:hAnsi="宋体" w:eastAsia="宋体" w:cs="宋体"/>
          <w:color w:val="auto"/>
          <w:sz w:val="28"/>
          <w:szCs w:val="28"/>
          <w:rtl w:val="0"/>
          <w:lang w:val="zh-TW" w:eastAsia="zh-TW"/>
        </w:rPr>
        <w:t>按照</w:t>
      </w:r>
      <w:r>
        <w:rPr>
          <w:rFonts w:hint="eastAsia" w:ascii="宋体" w:hAnsi="宋体" w:eastAsia="宋体" w:cs="宋体"/>
          <w:color w:val="auto"/>
          <w:sz w:val="28"/>
          <w:szCs w:val="28"/>
          <w:rtl w:val="0"/>
          <w:lang w:val="zh-CN" w:eastAsia="zh-CN"/>
        </w:rPr>
        <w:t>玉溪</w:t>
      </w:r>
      <w:r>
        <w:rPr>
          <w:rFonts w:hint="eastAsia" w:ascii="宋体" w:hAnsi="宋体" w:cs="宋体"/>
          <w:color w:val="auto"/>
          <w:sz w:val="28"/>
          <w:szCs w:val="28"/>
          <w:rtl w:val="0"/>
          <w:lang w:val="en-US" w:eastAsia="zh-CN"/>
        </w:rPr>
        <w:t>新平供电局</w:t>
      </w:r>
      <w:r>
        <w:rPr>
          <w:rFonts w:hint="eastAsia" w:ascii="宋体" w:hAnsi="宋体" w:eastAsia="宋体" w:cs="宋体"/>
          <w:color w:val="auto"/>
          <w:sz w:val="28"/>
          <w:szCs w:val="28"/>
          <w:rtl w:val="0"/>
          <w:lang w:val="zh-TW" w:eastAsia="zh-TW"/>
        </w:rPr>
        <w:t>要求</w:t>
      </w:r>
      <w:r>
        <w:rPr>
          <w:rFonts w:hint="eastAsia" w:ascii="宋体" w:hAnsi="宋体" w:eastAsia="宋体" w:cs="宋体"/>
          <w:color w:val="auto"/>
          <w:sz w:val="28"/>
          <w:szCs w:val="28"/>
          <w:rtl w:val="0"/>
          <w:lang w:val="zh-TW" w:eastAsia="zh-CN"/>
        </w:rPr>
        <w:t>，</w:t>
      </w:r>
      <w:r>
        <w:rPr>
          <w:rFonts w:hint="eastAsia" w:ascii="宋体" w:hAnsi="宋体" w:eastAsia="宋体" w:cs="宋体"/>
          <w:color w:val="auto"/>
          <w:sz w:val="28"/>
          <w:szCs w:val="28"/>
          <w:highlight w:val="none"/>
          <w:lang w:val="en-US" w:eastAsia="zh-CN"/>
        </w:rPr>
        <w:t>新平大美文化传媒有限公司</w:t>
      </w:r>
      <w:r>
        <w:rPr>
          <w:rFonts w:hint="eastAsia" w:ascii="宋体" w:hAnsi="宋体" w:eastAsia="宋体" w:cs="宋体"/>
          <w:color w:val="auto"/>
          <w:sz w:val="28"/>
          <w:szCs w:val="28"/>
          <w:highlight w:val="none"/>
          <w:rtl w:val="0"/>
          <w:lang w:val="zh-TW" w:eastAsia="zh-TW"/>
        </w:rPr>
        <w:t>通过</w:t>
      </w:r>
      <w:r>
        <w:rPr>
          <w:rFonts w:hint="eastAsia" w:ascii="宋体" w:hAnsi="宋体" w:eastAsia="宋体" w:cs="宋体"/>
          <w:color w:val="auto"/>
          <w:sz w:val="28"/>
          <w:szCs w:val="28"/>
          <w:highlight w:val="none"/>
          <w:rtl w:val="0"/>
          <w:lang w:val="zh-TW" w:eastAsia="zh-CN"/>
        </w:rPr>
        <w:t>“</w:t>
      </w:r>
      <w:r>
        <w:rPr>
          <w:rFonts w:hint="eastAsia" w:ascii="宋体" w:hAnsi="宋体" w:eastAsia="宋体" w:cs="宋体"/>
          <w:color w:val="auto"/>
          <w:sz w:val="28"/>
          <w:szCs w:val="28"/>
          <w:highlight w:val="none"/>
          <w:rtl w:val="0"/>
          <w:lang w:val="en-US" w:eastAsia="zh-CN"/>
        </w:rPr>
        <w:t>大美新平微信公众号</w:t>
      </w:r>
      <w:r>
        <w:rPr>
          <w:rFonts w:hint="eastAsia" w:ascii="宋体" w:hAnsi="宋体" w:eastAsia="宋体" w:cs="宋体"/>
          <w:color w:val="auto"/>
          <w:sz w:val="28"/>
          <w:szCs w:val="28"/>
          <w:highlight w:val="none"/>
          <w:rtl w:val="0"/>
          <w:lang w:val="zh-TW" w:eastAsia="zh-CN"/>
        </w:rPr>
        <w:t>”、</w:t>
      </w:r>
      <w:r>
        <w:rPr>
          <w:rFonts w:hint="eastAsia" w:ascii="宋体" w:hAnsi="宋体" w:eastAsia="宋体" w:cs="宋体"/>
          <w:color w:val="auto"/>
          <w:sz w:val="28"/>
          <w:szCs w:val="28"/>
          <w:highlight w:val="none"/>
          <w:rtl w:val="0"/>
          <w:lang w:val="zh-TW" w:eastAsia="zh-TW"/>
        </w:rPr>
        <w:t>“</w:t>
      </w:r>
      <w:r>
        <w:rPr>
          <w:rFonts w:hint="eastAsia" w:ascii="宋体" w:hAnsi="宋体" w:eastAsia="宋体" w:cs="宋体"/>
          <w:color w:val="auto"/>
          <w:sz w:val="28"/>
          <w:szCs w:val="28"/>
          <w:highlight w:val="none"/>
          <w:rtl w:val="0"/>
          <w:lang w:val="zh-TW" w:eastAsia="zh-CN"/>
        </w:rPr>
        <w:t>大美新平</w:t>
      </w:r>
      <w:r>
        <w:rPr>
          <w:rFonts w:hint="eastAsia" w:ascii="宋体" w:hAnsi="宋体" w:eastAsia="宋体" w:cs="宋体"/>
          <w:color w:val="auto"/>
          <w:sz w:val="28"/>
          <w:szCs w:val="28"/>
          <w:highlight w:val="none"/>
          <w:rtl w:val="0"/>
          <w:lang w:val="en-US" w:eastAsia="zh-CN"/>
        </w:rPr>
        <w:t>APP</w:t>
      </w:r>
      <w:r>
        <w:rPr>
          <w:rFonts w:hint="eastAsia" w:ascii="宋体" w:hAnsi="宋体" w:eastAsia="宋体" w:cs="宋体"/>
          <w:color w:val="auto"/>
          <w:sz w:val="28"/>
          <w:szCs w:val="28"/>
          <w:highlight w:val="none"/>
          <w:rtl w:val="0"/>
          <w:lang w:val="zh-TW" w:eastAsia="zh-TW"/>
        </w:rPr>
        <w:t>”、“</w:t>
      </w:r>
      <w:r>
        <w:rPr>
          <w:rFonts w:hint="eastAsia" w:ascii="宋体" w:hAnsi="宋体" w:eastAsia="宋体" w:cs="宋体"/>
          <w:color w:val="auto"/>
          <w:sz w:val="28"/>
          <w:szCs w:val="28"/>
          <w:highlight w:val="none"/>
          <w:rtl w:val="0"/>
          <w:lang w:val="zh-TW" w:eastAsia="zh-CN"/>
        </w:rPr>
        <w:t>大美新平抖音号</w:t>
      </w:r>
      <w:r>
        <w:rPr>
          <w:rFonts w:hint="eastAsia" w:ascii="宋体" w:hAnsi="宋体" w:eastAsia="宋体" w:cs="宋体"/>
          <w:color w:val="auto"/>
          <w:sz w:val="28"/>
          <w:szCs w:val="28"/>
          <w:highlight w:val="none"/>
          <w:rtl w:val="0"/>
          <w:lang w:val="zh-TW" w:eastAsia="zh-TW"/>
        </w:rPr>
        <w:t>”等新媒体按月发布停电公告、供电服务等信息进行宣传</w:t>
      </w:r>
      <w:r>
        <w:rPr>
          <w:rFonts w:hint="eastAsia" w:ascii="宋体" w:hAnsi="宋体" w:eastAsia="宋体" w:cs="宋体"/>
          <w:color w:val="auto"/>
          <w:sz w:val="28"/>
          <w:szCs w:val="28"/>
          <w:highlight w:val="none"/>
          <w:rtl w:val="0"/>
          <w:lang w:val="zh-TW" w:eastAsia="zh-CN"/>
        </w:rPr>
        <w:t>，</w:t>
      </w:r>
      <w:r>
        <w:rPr>
          <w:rFonts w:hint="eastAsia" w:ascii="宋体" w:hAnsi="宋体" w:eastAsia="宋体" w:cs="宋体"/>
          <w:color w:val="auto"/>
          <w:sz w:val="28"/>
          <w:szCs w:val="28"/>
          <w:highlight w:val="none"/>
          <w:rtl w:val="0"/>
          <w:lang w:val="en-US" w:eastAsia="zh-CN"/>
        </w:rPr>
        <w:t>且在</w:t>
      </w:r>
      <w:r>
        <w:rPr>
          <w:rFonts w:hint="eastAsia" w:ascii="宋体" w:hAnsi="宋体" w:eastAsia="宋体" w:cs="宋体"/>
          <w:color w:val="auto"/>
          <w:sz w:val="28"/>
          <w:szCs w:val="28"/>
          <w:highlight w:val="none"/>
          <w:rtl w:val="0"/>
          <w:lang w:val="zh-TW" w:eastAsia="zh-TW"/>
        </w:rPr>
        <w:t>“</w:t>
      </w:r>
      <w:r>
        <w:rPr>
          <w:rFonts w:hint="eastAsia" w:ascii="宋体" w:hAnsi="宋体" w:eastAsia="宋体" w:cs="宋体"/>
          <w:color w:val="auto"/>
          <w:sz w:val="28"/>
          <w:szCs w:val="28"/>
          <w:highlight w:val="none"/>
          <w:rtl w:val="0"/>
          <w:lang w:val="zh-TW" w:eastAsia="zh-CN"/>
        </w:rPr>
        <w:t>大美新平</w:t>
      </w:r>
      <w:r>
        <w:rPr>
          <w:rFonts w:hint="eastAsia" w:ascii="宋体" w:hAnsi="宋体" w:eastAsia="宋体" w:cs="宋体"/>
          <w:color w:val="auto"/>
          <w:sz w:val="28"/>
          <w:szCs w:val="28"/>
          <w:highlight w:val="none"/>
          <w:rtl w:val="0"/>
          <w:lang w:val="en-US" w:eastAsia="zh-CN"/>
        </w:rPr>
        <w:t>APP</w:t>
      </w:r>
      <w:r>
        <w:rPr>
          <w:rFonts w:hint="eastAsia" w:ascii="宋体" w:hAnsi="宋体" w:eastAsia="宋体" w:cs="宋体"/>
          <w:color w:val="auto"/>
          <w:sz w:val="28"/>
          <w:szCs w:val="28"/>
          <w:highlight w:val="none"/>
          <w:rtl w:val="0"/>
          <w:lang w:val="zh-TW" w:eastAsia="zh-TW"/>
        </w:rPr>
        <w:t>”、“</w:t>
      </w:r>
      <w:r>
        <w:rPr>
          <w:rFonts w:hint="eastAsia" w:ascii="宋体" w:hAnsi="宋体" w:eastAsia="宋体" w:cs="宋体"/>
          <w:color w:val="auto"/>
          <w:sz w:val="28"/>
          <w:szCs w:val="28"/>
          <w:highlight w:val="none"/>
          <w:rtl w:val="0"/>
          <w:lang w:val="zh-TW" w:eastAsia="zh-CN"/>
        </w:rPr>
        <w:t>大美新平抖音号</w:t>
      </w:r>
      <w:r>
        <w:rPr>
          <w:rFonts w:hint="eastAsia" w:ascii="宋体" w:hAnsi="宋体" w:eastAsia="宋体" w:cs="宋体"/>
          <w:color w:val="auto"/>
          <w:sz w:val="28"/>
          <w:szCs w:val="28"/>
          <w:highlight w:val="none"/>
          <w:rtl w:val="0"/>
          <w:lang w:val="zh-TW" w:eastAsia="zh-TW"/>
        </w:rPr>
        <w:t>”</w:t>
      </w:r>
      <w:r>
        <w:rPr>
          <w:rFonts w:hint="eastAsia" w:ascii="宋体" w:hAnsi="宋体" w:eastAsia="宋体" w:cs="宋体"/>
          <w:color w:val="auto"/>
          <w:sz w:val="28"/>
          <w:szCs w:val="28"/>
          <w:highlight w:val="none"/>
          <w:rtl w:val="0"/>
          <w:lang w:val="en-US" w:eastAsia="zh-CN"/>
        </w:rPr>
        <w:t>显著位置保留7天及以上。</w:t>
      </w:r>
    </w:p>
    <w:p w14:paraId="1C15F9A1">
      <w:pPr>
        <w:spacing w:line="360" w:lineRule="auto"/>
        <w:ind w:firstLine="560" w:firstLineChars="200"/>
        <w:rPr>
          <w:rFonts w:hint="eastAsia" w:ascii="宋体" w:hAnsi="宋体" w:eastAsia="宋体" w:cs="宋体"/>
          <w:color w:val="auto"/>
          <w:sz w:val="28"/>
          <w:szCs w:val="28"/>
          <w:highlight w:val="none"/>
          <w:rtl w:val="0"/>
          <w:lang w:val="en-US" w:eastAsia="zh-CN"/>
        </w:rPr>
      </w:pPr>
      <w:r>
        <w:rPr>
          <w:rFonts w:hint="eastAsia" w:ascii="宋体" w:hAnsi="宋体" w:cs="宋体"/>
          <w:color w:val="auto"/>
          <w:sz w:val="28"/>
          <w:szCs w:val="28"/>
          <w:highlight w:val="none"/>
          <w:rtl w:val="0"/>
          <w:lang w:val="en-US" w:eastAsia="zh-CN"/>
        </w:rPr>
        <w:t>4.1.4</w:t>
      </w:r>
      <w:r>
        <w:rPr>
          <w:rFonts w:hint="eastAsia" w:ascii="宋体" w:hAnsi="宋体" w:eastAsia="宋体" w:cs="宋体"/>
          <w:color w:val="auto"/>
          <w:sz w:val="28"/>
          <w:szCs w:val="28"/>
          <w:highlight w:val="none"/>
          <w:lang w:val="en-US" w:eastAsia="zh-CN"/>
        </w:rPr>
        <w:t>新平大美文化传媒有限公司所制作发布的</w:t>
      </w:r>
      <w:r>
        <w:rPr>
          <w:rFonts w:hint="eastAsia" w:ascii="宋体" w:hAnsi="宋体" w:eastAsia="宋体" w:cs="宋体"/>
          <w:color w:val="auto"/>
          <w:sz w:val="28"/>
          <w:szCs w:val="28"/>
          <w:highlight w:val="none"/>
          <w:rtl w:val="0"/>
          <w:lang w:val="en-US" w:eastAsia="zh-CN"/>
        </w:rPr>
        <w:t>公告宣传不得侵犯他人肖像权、著作权、商标权、外观专利、企业名称（含企业字号、商号、标示）、字体、图片等合法、在先的知识产权、民事权利。</w:t>
      </w:r>
    </w:p>
    <w:p w14:paraId="68E69E40">
      <w:pPr>
        <w:spacing w:line="360" w:lineRule="auto"/>
        <w:ind w:firstLine="560" w:firstLineChars="200"/>
        <w:rPr>
          <w:rFonts w:hint="eastAsia" w:ascii="宋体" w:hAnsi="宋体" w:eastAsia="宋体" w:cs="宋体"/>
          <w:color w:val="auto"/>
          <w:sz w:val="28"/>
          <w:szCs w:val="28"/>
          <w:rtl w:val="0"/>
          <w:lang w:val="en-US" w:eastAsia="zh-CN"/>
        </w:rPr>
      </w:pPr>
      <w:r>
        <w:rPr>
          <w:rFonts w:hint="eastAsia" w:ascii="宋体" w:hAnsi="宋体" w:cs="宋体"/>
          <w:color w:val="auto"/>
          <w:sz w:val="28"/>
          <w:szCs w:val="28"/>
          <w:highlight w:val="none"/>
          <w:rtl w:val="0"/>
          <w:lang w:val="en-US" w:eastAsia="zh-CN"/>
        </w:rPr>
        <w:t>4.1.5</w:t>
      </w:r>
      <w:r>
        <w:rPr>
          <w:rFonts w:hint="eastAsia" w:ascii="宋体" w:hAnsi="宋体" w:eastAsia="宋体" w:cs="宋体"/>
          <w:color w:val="auto"/>
          <w:sz w:val="28"/>
          <w:szCs w:val="28"/>
          <w:highlight w:val="none"/>
          <w:rtl w:val="0"/>
          <w:lang w:val="en-US" w:eastAsia="zh-CN"/>
        </w:rPr>
        <w:t>新平大美文化传媒有限公司</w:t>
      </w:r>
      <w:r>
        <w:rPr>
          <w:rFonts w:hint="eastAsia" w:ascii="宋体" w:hAnsi="宋体" w:eastAsia="宋体" w:cs="宋体"/>
          <w:color w:val="auto"/>
          <w:sz w:val="28"/>
          <w:szCs w:val="28"/>
          <w:highlight w:val="none"/>
          <w:rtl w:val="0"/>
          <w:lang w:val="zh-TW" w:eastAsia="zh-TW"/>
        </w:rPr>
        <w:t>必须按时按质按量完成</w:t>
      </w:r>
      <w:r>
        <w:rPr>
          <w:rFonts w:hint="eastAsia" w:ascii="宋体" w:hAnsi="宋体" w:eastAsia="宋体" w:cs="宋体"/>
          <w:color w:val="auto"/>
          <w:sz w:val="28"/>
          <w:szCs w:val="28"/>
          <w:highlight w:val="none"/>
          <w:rtl w:val="0"/>
          <w:lang w:val="en-US" w:eastAsia="zh-CN"/>
        </w:rPr>
        <w:t>玉溪新平供</w:t>
      </w:r>
      <w:r>
        <w:rPr>
          <w:rFonts w:hint="eastAsia" w:ascii="宋体" w:hAnsi="宋体" w:eastAsia="宋体" w:cs="宋体"/>
          <w:color w:val="auto"/>
          <w:sz w:val="28"/>
          <w:szCs w:val="28"/>
          <w:rtl w:val="0"/>
          <w:lang w:val="en-US" w:eastAsia="zh-CN"/>
        </w:rPr>
        <w:t>电局</w:t>
      </w:r>
      <w:r>
        <w:rPr>
          <w:rFonts w:hint="eastAsia" w:ascii="宋体" w:hAnsi="宋体" w:eastAsia="宋体" w:cs="宋体"/>
          <w:color w:val="auto"/>
          <w:sz w:val="28"/>
          <w:szCs w:val="28"/>
          <w:rtl w:val="0"/>
          <w:lang w:val="zh-TW" w:eastAsia="zh-TW"/>
        </w:rPr>
        <w:t>委托</w:t>
      </w:r>
      <w:r>
        <w:rPr>
          <w:rFonts w:hint="eastAsia" w:ascii="宋体" w:hAnsi="宋体" w:eastAsia="宋体" w:cs="宋体"/>
          <w:color w:val="auto"/>
          <w:sz w:val="28"/>
          <w:szCs w:val="28"/>
          <w:rtl w:val="0"/>
          <w:lang w:val="zh-TW" w:eastAsia="zh-CN"/>
        </w:rPr>
        <w:t>的</w:t>
      </w:r>
      <w:r>
        <w:rPr>
          <w:rFonts w:hint="eastAsia" w:ascii="宋体" w:hAnsi="宋体" w:eastAsia="宋体" w:cs="宋体"/>
          <w:color w:val="auto"/>
          <w:sz w:val="28"/>
          <w:szCs w:val="28"/>
          <w:rtl w:val="0"/>
          <w:lang w:val="zh-TW" w:eastAsia="zh-TW"/>
        </w:rPr>
        <w:t>业务工作，</w:t>
      </w:r>
      <w:r>
        <w:rPr>
          <w:rFonts w:hint="eastAsia" w:ascii="宋体" w:hAnsi="宋体" w:eastAsia="宋体" w:cs="宋体"/>
          <w:color w:val="auto"/>
          <w:sz w:val="28"/>
          <w:szCs w:val="28"/>
          <w:rtl w:val="0"/>
          <w:lang w:val="en-US" w:eastAsia="zh-CN"/>
        </w:rPr>
        <w:t>制作精良，发布及时，</w:t>
      </w:r>
      <w:bookmarkStart w:id="7" w:name="_Toc18296_WPSOffice_Level2"/>
      <w:r>
        <w:rPr>
          <w:rFonts w:hint="eastAsia" w:ascii="宋体" w:hAnsi="宋体" w:eastAsia="宋体" w:cs="宋体"/>
          <w:color w:val="auto"/>
          <w:sz w:val="28"/>
          <w:szCs w:val="28"/>
          <w:rtl w:val="0"/>
          <w:lang w:val="zh-TW" w:eastAsia="zh-TW"/>
        </w:rPr>
        <w:t>不发生造成社会影响恶劣的服务</w:t>
      </w:r>
      <w:r>
        <w:rPr>
          <w:rFonts w:hint="eastAsia" w:ascii="宋体" w:hAnsi="宋体" w:eastAsia="宋体" w:cs="宋体"/>
          <w:color w:val="auto"/>
          <w:sz w:val="28"/>
          <w:szCs w:val="28"/>
          <w:rtl w:val="0"/>
          <w:lang w:val="en-US" w:eastAsia="zh-CN"/>
        </w:rPr>
        <w:t>事件</w:t>
      </w:r>
      <w:r>
        <w:rPr>
          <w:rFonts w:hint="eastAsia" w:ascii="宋体" w:hAnsi="宋体" w:eastAsia="宋体" w:cs="宋体"/>
          <w:color w:val="auto"/>
          <w:sz w:val="28"/>
          <w:szCs w:val="28"/>
          <w:rtl w:val="0"/>
          <w:lang w:val="zh-TW" w:eastAsia="zh-TW"/>
        </w:rPr>
        <w:t>、用户投诉</w:t>
      </w:r>
      <w:r>
        <w:rPr>
          <w:rFonts w:hint="eastAsia" w:ascii="宋体" w:hAnsi="宋体" w:eastAsia="宋体" w:cs="宋体"/>
          <w:color w:val="auto"/>
          <w:sz w:val="28"/>
          <w:szCs w:val="28"/>
          <w:rtl w:val="0"/>
          <w:lang w:val="en-US" w:eastAsia="zh-CN"/>
        </w:rPr>
        <w:t>及舆情等</w:t>
      </w:r>
      <w:r>
        <w:rPr>
          <w:rFonts w:hint="eastAsia" w:ascii="宋体" w:hAnsi="宋体" w:eastAsia="宋体" w:cs="宋体"/>
          <w:color w:val="auto"/>
          <w:sz w:val="28"/>
          <w:szCs w:val="28"/>
          <w:rtl w:val="0"/>
          <w:lang w:val="zh-TW" w:eastAsia="zh-TW"/>
        </w:rPr>
        <w:t>。</w:t>
      </w:r>
    </w:p>
    <w:p w14:paraId="1ED43476">
      <w:pPr>
        <w:spacing w:line="360" w:lineRule="auto"/>
        <w:ind w:firstLine="560" w:firstLineChars="200"/>
        <w:rPr>
          <w:rFonts w:hint="eastAsia" w:ascii="宋体" w:hAnsi="宋体" w:eastAsia="宋体" w:cs="宋体"/>
          <w:b w:val="0"/>
          <w:bCs/>
          <w:color w:val="auto"/>
          <w:sz w:val="28"/>
          <w:szCs w:val="28"/>
          <w:highlight w:val="none"/>
        </w:rPr>
      </w:pPr>
      <w:r>
        <w:rPr>
          <w:rFonts w:hint="eastAsia" w:ascii="黑体" w:hAnsi="黑体" w:eastAsia="黑体" w:cs="黑体"/>
          <w:b w:val="0"/>
          <w:bCs/>
          <w:color w:val="auto"/>
          <w:sz w:val="28"/>
          <w:szCs w:val="28"/>
          <w:rtl w:val="0"/>
          <w:lang w:val="en-US" w:eastAsia="zh-CN"/>
        </w:rPr>
        <w:t>4.2 项目机构要求</w:t>
      </w:r>
      <w:bookmarkEnd w:id="7"/>
    </w:p>
    <w:p w14:paraId="40454142">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4.2.1</w:t>
      </w:r>
      <w:r>
        <w:rPr>
          <w:rFonts w:hint="eastAsia" w:ascii="宋体" w:hAnsi="宋体" w:eastAsia="宋体" w:cs="宋体"/>
          <w:color w:val="auto"/>
          <w:sz w:val="28"/>
          <w:szCs w:val="28"/>
          <w:rtl w:val="0"/>
          <w:lang w:val="zh-TW" w:eastAsia="zh-TW"/>
        </w:rPr>
        <w:t>受托方</w:t>
      </w:r>
      <w:r>
        <w:rPr>
          <w:rFonts w:hint="eastAsia" w:ascii="宋体" w:hAnsi="宋体" w:eastAsia="宋体" w:cs="宋体"/>
          <w:color w:val="auto"/>
          <w:sz w:val="28"/>
          <w:szCs w:val="28"/>
          <w:highlight w:val="none"/>
        </w:rPr>
        <w:t>应按照招标方要求配备服务团队，并设置</w:t>
      </w:r>
      <w:r>
        <w:rPr>
          <w:rFonts w:hint="eastAsia" w:ascii="宋体" w:hAnsi="宋体" w:eastAsia="宋体" w:cs="宋体"/>
          <w:color w:val="auto"/>
          <w:sz w:val="28"/>
          <w:szCs w:val="28"/>
          <w:highlight w:val="none"/>
          <w:lang w:val="en-US" w:eastAsia="zh-CN"/>
        </w:rPr>
        <w:t>信息联络</w:t>
      </w:r>
      <w:r>
        <w:rPr>
          <w:rFonts w:hint="eastAsia" w:ascii="宋体" w:hAnsi="宋体" w:eastAsia="宋体" w:cs="宋体"/>
          <w:color w:val="auto"/>
          <w:sz w:val="28"/>
          <w:szCs w:val="28"/>
          <w:highlight w:val="none"/>
        </w:rPr>
        <w:t>负责人。</w:t>
      </w:r>
    </w:p>
    <w:p w14:paraId="0DE089B5">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4.2.2</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必须加强对</w:t>
      </w:r>
      <w:r>
        <w:rPr>
          <w:rFonts w:hint="eastAsia" w:ascii="宋体" w:hAnsi="宋体" w:eastAsia="宋体" w:cs="宋体"/>
          <w:color w:val="auto"/>
          <w:sz w:val="28"/>
          <w:szCs w:val="28"/>
          <w:highlight w:val="none"/>
          <w:lang w:val="en-US" w:eastAsia="zh-CN"/>
        </w:rPr>
        <w:t>信息联络</w:t>
      </w:r>
      <w:r>
        <w:rPr>
          <w:rFonts w:hint="eastAsia" w:ascii="宋体" w:hAnsi="宋体" w:eastAsia="宋体" w:cs="宋体"/>
          <w:color w:val="auto"/>
          <w:sz w:val="28"/>
          <w:szCs w:val="28"/>
          <w:highlight w:val="none"/>
        </w:rPr>
        <w:t>负责人</w:t>
      </w:r>
      <w:r>
        <w:rPr>
          <w:rFonts w:hint="eastAsia" w:ascii="宋体" w:hAnsi="宋体" w:eastAsia="宋体" w:cs="宋体"/>
          <w:color w:val="auto"/>
          <w:sz w:val="28"/>
          <w:szCs w:val="28"/>
        </w:rPr>
        <w:t>的管理，在服务期内不得随意更换项目负责人。</w:t>
      </w:r>
    </w:p>
    <w:p w14:paraId="61C5D291">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4.2.3在项目实施过程中，如遇</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确实无法按要求完成项目服务时，</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应按照招标方要求更换项目服务团队人员。</w:t>
      </w:r>
    </w:p>
    <w:p w14:paraId="1AB77F80">
      <w:pPr>
        <w:spacing w:line="360" w:lineRule="auto"/>
        <w:ind w:firstLine="560" w:firstLineChars="200"/>
        <w:rPr>
          <w:rFonts w:hint="eastAsia" w:ascii="黑体" w:hAnsi="黑体" w:eastAsia="黑体" w:cs="黑体"/>
          <w:b w:val="0"/>
          <w:bCs/>
          <w:color w:val="auto"/>
          <w:sz w:val="28"/>
          <w:szCs w:val="28"/>
          <w:rtl w:val="0"/>
          <w:lang w:val="en-US" w:eastAsia="zh-CN"/>
        </w:rPr>
      </w:pPr>
      <w:bookmarkStart w:id="8" w:name="_Toc20426_WPSOffice_Level2"/>
      <w:r>
        <w:rPr>
          <w:rFonts w:hint="eastAsia" w:ascii="黑体" w:hAnsi="黑体" w:eastAsia="黑体" w:cs="黑体"/>
          <w:b w:val="0"/>
          <w:bCs/>
          <w:color w:val="auto"/>
          <w:sz w:val="28"/>
          <w:szCs w:val="28"/>
          <w:rtl w:val="0"/>
          <w:lang w:val="en-US" w:eastAsia="zh-CN"/>
        </w:rPr>
        <w:t>4.3 项目实施要求</w:t>
      </w:r>
      <w:bookmarkEnd w:id="8"/>
    </w:p>
    <w:p w14:paraId="22C2EDF0">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4.3.1</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应按照招标方不同</w:t>
      </w:r>
      <w:r>
        <w:rPr>
          <w:rFonts w:hint="eastAsia" w:ascii="宋体" w:hAnsi="宋体" w:eastAsia="宋体" w:cs="宋体"/>
          <w:color w:val="auto"/>
          <w:sz w:val="28"/>
          <w:szCs w:val="28"/>
          <w:lang w:val="en-US" w:eastAsia="zh-CN"/>
        </w:rPr>
        <w:t>信息发布</w:t>
      </w:r>
      <w:r>
        <w:rPr>
          <w:rFonts w:hint="eastAsia" w:ascii="宋体" w:hAnsi="宋体" w:eastAsia="宋体" w:cs="宋体"/>
          <w:color w:val="auto"/>
          <w:sz w:val="28"/>
          <w:szCs w:val="28"/>
        </w:rPr>
        <w:t>需求提出完整的</w:t>
      </w:r>
      <w:r>
        <w:rPr>
          <w:rFonts w:hint="eastAsia" w:ascii="宋体" w:hAnsi="宋体" w:eastAsia="宋体" w:cs="宋体"/>
          <w:color w:val="auto"/>
          <w:sz w:val="28"/>
          <w:szCs w:val="28"/>
          <w:lang w:val="en-US" w:eastAsia="zh-CN"/>
        </w:rPr>
        <w:t>发布</w:t>
      </w:r>
      <w:r>
        <w:rPr>
          <w:rFonts w:hint="eastAsia" w:ascii="宋体" w:hAnsi="宋体" w:eastAsia="宋体" w:cs="宋体"/>
          <w:color w:val="auto"/>
          <w:sz w:val="28"/>
          <w:szCs w:val="28"/>
        </w:rPr>
        <w:t>计划，保证项目实施期间各项工作高效、有效运行。</w:t>
      </w:r>
    </w:p>
    <w:p w14:paraId="5661E111">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4.3.2</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在签订项目合同后即开始项目工作，并能提供资源确保后续项目工作按计划推进。</w:t>
      </w:r>
    </w:p>
    <w:p w14:paraId="53FEC8CB">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4.3.3</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严格按照其投标承诺及双方商务谈判结果来签署和履行合同。若</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在合同签署过程中提出超出其投标承诺及双方商务谈判结果范围的其它要求，招标方有权拒绝接受；同时，招标方有权认为</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企图跳标，将取消其中标资格。</w:t>
      </w:r>
    </w:p>
    <w:p w14:paraId="44EEAD2F">
      <w:pPr>
        <w:keepNext w:val="0"/>
        <w:keepLines w:val="0"/>
        <w:pageBreakBefore w:val="0"/>
        <w:widowControl w:val="0"/>
        <w:kinsoku/>
        <w:wordWrap/>
        <w:overflowPunct/>
        <w:topLinePunct w:val="0"/>
        <w:autoSpaceDE/>
        <w:autoSpaceDN/>
        <w:bidi w:val="0"/>
        <w:spacing w:line="360" w:lineRule="auto"/>
        <w:ind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4.3.4</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提供的封装必须符合国家相关的环保与安全标准。</w:t>
      </w:r>
    </w:p>
    <w:p w14:paraId="56F7D8A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4.3.5</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应确保项目履行期间不发生因乙方原因导致的</w:t>
      </w:r>
      <w:r>
        <w:rPr>
          <w:rFonts w:hint="eastAsia" w:ascii="宋体" w:hAnsi="宋体" w:eastAsia="宋体" w:cs="宋体"/>
          <w:color w:val="auto"/>
          <w:sz w:val="28"/>
          <w:szCs w:val="28"/>
          <w:lang w:val="en-US" w:eastAsia="zh-CN"/>
        </w:rPr>
        <w:t>投诉</w:t>
      </w:r>
      <w:r>
        <w:rPr>
          <w:rFonts w:hint="eastAsia" w:ascii="宋体" w:hAnsi="宋体" w:eastAsia="宋体" w:cs="宋体"/>
          <w:color w:val="auto"/>
          <w:sz w:val="28"/>
          <w:szCs w:val="28"/>
        </w:rPr>
        <w:t>服务事件。</w:t>
      </w:r>
    </w:p>
    <w:p w14:paraId="68C4A609">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4.3.6 </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小组人员应根据招标方需要保证工作及时完成，若发生特殊情况不能按期派送，须及时通知招标方，须在派送前2天通知。招标方在工作中如发现问题，立即函、电</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收到函、电后应及时调整，对招标方提出的需求作出及时响应并及时协助解决。</w:t>
      </w:r>
    </w:p>
    <w:p w14:paraId="28B908CB">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4.3.8</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应根据竞争环境、招标方客户群体特点，依据派送经验向招标方提出合理化派送建议。</w:t>
      </w:r>
    </w:p>
    <w:p w14:paraId="28D1EED9">
      <w:pPr>
        <w:spacing w:line="360" w:lineRule="auto"/>
        <w:ind w:firstLine="560" w:firstLineChars="200"/>
        <w:rPr>
          <w:rFonts w:hint="eastAsia" w:ascii="黑体" w:hAnsi="黑体" w:eastAsia="黑体" w:cs="黑体"/>
          <w:b w:val="0"/>
          <w:bCs/>
          <w:color w:val="auto"/>
          <w:sz w:val="28"/>
          <w:szCs w:val="28"/>
          <w:rtl w:val="0"/>
          <w:lang w:val="en-US" w:eastAsia="zh-CN"/>
        </w:rPr>
      </w:pPr>
      <w:bookmarkStart w:id="9" w:name="_Toc27282_WPSOffice_Level2"/>
      <w:r>
        <w:rPr>
          <w:rFonts w:hint="eastAsia" w:ascii="黑体" w:hAnsi="黑体" w:eastAsia="黑体" w:cs="黑体"/>
          <w:b w:val="0"/>
          <w:bCs/>
          <w:color w:val="auto"/>
          <w:sz w:val="28"/>
          <w:szCs w:val="28"/>
          <w:rtl w:val="0"/>
          <w:lang w:val="en-US" w:eastAsia="zh-CN"/>
        </w:rPr>
        <w:t>4.4项目验收要求</w:t>
      </w:r>
      <w:bookmarkEnd w:id="9"/>
    </w:p>
    <w:p w14:paraId="19E43C9E">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4.4.1在项目前期准备阶段和项目实施阶段，</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应投入足够的人力资源及技术力量，完全负责地进行项目实施工作，直至项目完全达到预定要求，保证项目的顺利完成。</w:t>
      </w:r>
    </w:p>
    <w:p w14:paraId="285AF580">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4.4.2</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在验收前需按要求提交符合招标方要求派送记录，经验收合格后，项目方可验收成功。</w:t>
      </w:r>
    </w:p>
    <w:p w14:paraId="150424E0">
      <w:pPr>
        <w:spacing w:line="360" w:lineRule="auto"/>
        <w:ind w:firstLine="560" w:firstLineChars="200"/>
        <w:rPr>
          <w:rFonts w:hint="eastAsia" w:ascii="黑体" w:hAnsi="黑体" w:eastAsia="黑体" w:cs="黑体"/>
          <w:b w:val="0"/>
          <w:bCs/>
          <w:color w:val="auto"/>
          <w:sz w:val="28"/>
          <w:szCs w:val="28"/>
          <w:rtl w:val="0"/>
          <w:lang w:val="en-US" w:eastAsia="zh-CN"/>
        </w:rPr>
      </w:pPr>
      <w:bookmarkStart w:id="10" w:name="_Toc13100_WPSOffice_Level2"/>
      <w:r>
        <w:rPr>
          <w:rFonts w:hint="eastAsia" w:ascii="黑体" w:hAnsi="黑体" w:eastAsia="黑体" w:cs="黑体"/>
          <w:b w:val="0"/>
          <w:bCs/>
          <w:color w:val="auto"/>
          <w:sz w:val="28"/>
          <w:szCs w:val="28"/>
          <w:rtl w:val="0"/>
          <w:lang w:val="en-US" w:eastAsia="zh-CN"/>
        </w:rPr>
        <w:t>4.5其他要求</w:t>
      </w:r>
      <w:bookmarkEnd w:id="10"/>
    </w:p>
    <w:p w14:paraId="7040298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4.5.1 </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应严格履行合作协议范围内的工作项目。由于</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的失误造成招标方损失的，</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应根据合作协议的相关条款承担相应责任；</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除负责采取补救措施，还应自行承担因采取补救而发生的费用，具体服务要求以招标方与</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签订的合同、补充协议为准。</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违反合同约定的各项服务要求，均须承担相应的违约责任或损害赔偿责任。</w:t>
      </w:r>
    </w:p>
    <w:p w14:paraId="1EDE97A2">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4.5.2 合作期间，在不触犯法律的情况下，</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须做到对招标方形象的保护和支持。</w:t>
      </w:r>
    </w:p>
    <w:p w14:paraId="3441267E">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4.5.3 </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必须具备突发问题的应急和故障处置能力，如</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不具备相应能力的，甲方有权中止项目合同。</w:t>
      </w:r>
    </w:p>
    <w:p w14:paraId="63470ACD">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4.5.4</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在收到本技术条件书后，应根据此技术条件书提出相应的建议，建议应满足本技术条件书的要求和相关技术规范的最新版本，如有不符合之处，需提出充分理由并加以详尽说明。</w:t>
      </w:r>
    </w:p>
    <w:p w14:paraId="381B5338">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4.5.5当招标方有新建议，而本技术条件书又尚未包括或和本技术条件书不符时，则应符合招标方新建议的要求；对于招标方尚未有标准的，而本技术条件书又未提及的部分，</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提出其标准，留待双方认可后执行。</w:t>
      </w:r>
    </w:p>
    <w:p w14:paraId="7D4B5893">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4.5.6因</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原因造成的工期延误，由</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赔偿招标方的损失。</w:t>
      </w:r>
    </w:p>
    <w:p w14:paraId="53796BFC">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4.5.7</w:t>
      </w:r>
      <w:r>
        <w:rPr>
          <w:rFonts w:hint="eastAsia" w:ascii="宋体" w:hAnsi="宋体" w:eastAsia="宋体" w:cs="宋体"/>
          <w:color w:val="auto"/>
          <w:sz w:val="28"/>
          <w:szCs w:val="28"/>
        </w:rPr>
        <w:t>招标方将根据实际投放量进行统计，并提交正式签证单作为结算依据，</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开具符合财务、税务规定的票据后</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结算与合同签订为准</w:t>
      </w:r>
      <w:r>
        <w:rPr>
          <w:rFonts w:hint="eastAsia" w:ascii="宋体" w:hAnsi="宋体" w:eastAsia="宋体" w:cs="宋体"/>
          <w:color w:val="auto"/>
          <w:sz w:val="28"/>
          <w:szCs w:val="28"/>
        </w:rPr>
        <w:t>。</w:t>
      </w:r>
    </w:p>
    <w:p w14:paraId="3530731B">
      <w:pPr>
        <w:keepNext w:val="0"/>
        <w:keepLines w:val="0"/>
        <w:pageBreakBefore w:val="0"/>
        <w:widowControl w:val="0"/>
        <w:kinsoku/>
        <w:wordWrap/>
        <w:overflowPunct/>
        <w:topLinePunct w:val="0"/>
        <w:autoSpaceDE/>
        <w:autoSpaceDN/>
        <w:bidi w:val="0"/>
        <w:spacing w:line="360" w:lineRule="auto"/>
        <w:ind w:firstLine="560" w:firstLineChars="200"/>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 xml:space="preserve">4.5.8 </w:t>
      </w:r>
      <w:r>
        <w:rPr>
          <w:rFonts w:hint="eastAsia" w:ascii="宋体" w:hAnsi="宋体" w:eastAsia="宋体" w:cs="宋体"/>
          <w:color w:val="auto"/>
          <w:sz w:val="28"/>
          <w:szCs w:val="28"/>
          <w:lang w:eastAsia="zh-CN"/>
        </w:rPr>
        <w:t>投标方</w:t>
      </w:r>
      <w:r>
        <w:rPr>
          <w:rFonts w:hint="eastAsia" w:ascii="宋体" w:hAnsi="宋体" w:eastAsia="宋体" w:cs="宋体"/>
          <w:color w:val="auto"/>
          <w:sz w:val="28"/>
          <w:szCs w:val="28"/>
        </w:rPr>
        <w:t>能满足招标方提出的付款条件与时间要求，在付款时间上具有灵活性</w:t>
      </w:r>
      <w:r>
        <w:rPr>
          <w:rFonts w:hint="eastAsia" w:ascii="宋体" w:hAnsi="宋体" w:eastAsia="宋体" w:cs="宋体"/>
          <w:color w:val="auto"/>
          <w:sz w:val="28"/>
          <w:szCs w:val="28"/>
          <w:lang w:eastAsia="zh-CN"/>
        </w:rPr>
        <w:t>。</w:t>
      </w:r>
    </w:p>
    <w:p w14:paraId="35082DFE">
      <w:pPr>
        <w:keepNext w:val="0"/>
        <w:keepLines w:val="0"/>
        <w:pageBreakBefore w:val="0"/>
        <w:numPr>
          <w:ilvl w:val="0"/>
          <w:numId w:val="0"/>
        </w:numPr>
        <w:kinsoku/>
        <w:wordWrap/>
        <w:overflowPunct/>
        <w:topLinePunct w:val="0"/>
        <w:autoSpaceDE/>
        <w:autoSpaceDN/>
        <w:bidi w:val="0"/>
        <w:adjustRightInd/>
        <w:spacing w:line="600" w:lineRule="exact"/>
        <w:ind w:leftChars="0" w:firstLine="560" w:firstLineChars="200"/>
        <w:jc w:val="both"/>
        <w:textAlignment w:val="auto"/>
        <w:outlineLvl w:val="9"/>
        <w:rPr>
          <w:rFonts w:hint="eastAsia" w:ascii="仿宋" w:hAnsi="仿宋" w:eastAsia="仿宋" w:cs="仿宋"/>
          <w:b/>
          <w:bCs/>
          <w:color w:val="auto"/>
          <w:sz w:val="32"/>
          <w:szCs w:val="32"/>
          <w:lang w:val="en-US" w:eastAsia="zh-CN"/>
        </w:rPr>
      </w:pPr>
      <w:r>
        <w:rPr>
          <w:rFonts w:hint="eastAsia" w:ascii="黑体" w:hAnsi="黑体" w:eastAsia="黑体" w:cs="黑体"/>
          <w:b w:val="0"/>
          <w:bCs/>
          <w:color w:val="auto"/>
          <w:sz w:val="28"/>
          <w:szCs w:val="28"/>
          <w:rtl w:val="0"/>
          <w:lang w:val="en-US" w:eastAsia="zh-CN"/>
        </w:rPr>
        <w:t>4.6合作期限</w:t>
      </w:r>
    </w:p>
    <w:p w14:paraId="3EE68724">
      <w:pPr>
        <w:keepNext w:val="0"/>
        <w:keepLines w:val="0"/>
        <w:pageBreakBefore w:val="0"/>
        <w:widowControl w:val="0"/>
        <w:kinsoku/>
        <w:wordWrap/>
        <w:overflowPunct/>
        <w:topLinePunct w:val="0"/>
        <w:autoSpaceDE/>
        <w:autoSpaceDN/>
        <w:bidi w:val="0"/>
        <w:spacing w:line="560" w:lineRule="exact"/>
        <w:ind w:firstLine="560" w:firstLineChars="2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自确定成交之日起至202</w:t>
      </w: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年12月31日</w:t>
      </w:r>
      <w:r>
        <w:rPr>
          <w:rFonts w:hint="eastAsia" w:ascii="宋体" w:hAnsi="宋体" w:cs="宋体"/>
          <w:color w:val="auto"/>
          <w:sz w:val="28"/>
          <w:szCs w:val="28"/>
          <w:lang w:val="en-US" w:eastAsia="zh-CN"/>
        </w:rPr>
        <w:t>。</w:t>
      </w:r>
    </w:p>
    <w:p w14:paraId="5105A3BE">
      <w:pPr>
        <w:spacing w:line="360" w:lineRule="auto"/>
        <w:rPr>
          <w:rFonts w:ascii="宋体" w:hAnsi="宋体" w:cs="宋体"/>
          <w:color w:val="auto"/>
        </w:rPr>
      </w:pPr>
      <w:r>
        <w:rPr>
          <w:rFonts w:hint="eastAsia" w:ascii="宋体" w:hAnsi="宋体" w:eastAsia="宋体" w:cs="宋体"/>
          <w:color w:val="auto"/>
          <w:sz w:val="28"/>
          <w:szCs w:val="28"/>
          <w:lang w:val="en-US" w:eastAsia="zh-CN"/>
        </w:rPr>
        <w:t>附件：报价表</w:t>
      </w:r>
    </w:p>
    <w:p w14:paraId="6C463509">
      <w:pPr>
        <w:pStyle w:val="2"/>
        <w:ind w:left="0" w:leftChars="0" w:firstLine="0" w:firstLineChars="0"/>
        <w:rPr>
          <w:rFonts w:hint="eastAsia"/>
          <w:color w:val="auto"/>
        </w:rPr>
      </w:pPr>
    </w:p>
    <w:bookmarkEnd w:id="4"/>
    <w:bookmarkEnd w:id="5"/>
    <w:bookmarkEnd w:id="6"/>
    <w:p w14:paraId="517A04EC">
      <w:pPr>
        <w:keepNext w:val="0"/>
        <w:keepLines w:val="0"/>
        <w:pageBreakBefore w:val="0"/>
        <w:widowControl w:val="0"/>
        <w:kinsoku/>
        <w:wordWrap/>
        <w:overflowPunct/>
        <w:topLinePunct w:val="0"/>
        <w:autoSpaceDE/>
        <w:autoSpaceDN/>
        <w:bidi w:val="0"/>
        <w:adjustRightInd/>
        <w:snapToGrid/>
        <w:spacing w:line="520" w:lineRule="exact"/>
        <w:textAlignment w:val="auto"/>
        <w:outlineLvl w:val="9"/>
        <w:rPr>
          <w:rFonts w:hint="eastAsia" w:ascii="宋体" w:hAnsi="宋体"/>
          <w:color w:val="auto"/>
          <w:sz w:val="24"/>
        </w:rPr>
      </w:pPr>
    </w:p>
    <w:p w14:paraId="13672E33"/>
    <w:sectPr>
      <w:footerReference r:id="rId3" w:type="default"/>
      <w:pgSz w:w="11906" w:h="16838"/>
      <w:pgMar w:top="1157" w:right="1463" w:bottom="1100" w:left="1463"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4B2BB">
    <w:pPr>
      <w:jc w:val="center"/>
    </w:pPr>
    <w:r>
      <w:fldChar w:fldCharType="begin"/>
    </w:r>
    <w:r>
      <w:instrText xml:space="preserve">PAGE \* MERGEFORMAT</w:instrText>
    </w:r>
    <w:r>
      <w:fldChar w:fldCharType="separate"/>
    </w:r>
    <w:r>
      <w:t>7</w:t>
    </w:r>
    <w:r>
      <w:fldChar w:fldCharType="end"/>
    </w:r>
  </w:p>
  <w:p w14:paraId="3A20EEA3"/>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DF04DD"/>
    <w:rsid w:val="73DF04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uiPriority w:val="0"/>
    <w:pPr>
      <w:spacing w:line="360" w:lineRule="auto"/>
      <w:ind w:firstLine="420"/>
    </w:pPr>
    <w:rPr>
      <w:szCs w:val="20"/>
    </w:rPr>
  </w:style>
  <w:style w:type="paragraph" w:customStyle="1" w:styleId="5">
    <w:name w:val="gedi封面"/>
    <w:basedOn w:val="1"/>
    <w:qFormat/>
    <w:uiPriority w:val="0"/>
    <w:pPr>
      <w:jc w:val="both"/>
    </w:pPr>
  </w:style>
  <w:style w:type="paragraph" w:customStyle="1" w:styleId="6">
    <w:name w:val="WPSOffice手动目录 1"/>
    <w:qFormat/>
    <w:uiPriority w:val="0"/>
    <w:pPr>
      <w:ind w:leftChars="0"/>
    </w:pPr>
    <w:rPr>
      <w:rFonts w:ascii="Calibri" w:hAnsi="Calibri" w:eastAsia="宋体" w:cs="Times New Roman"/>
      <w:sz w:val="20"/>
      <w:szCs w:val="20"/>
    </w:rPr>
  </w:style>
  <w:style w:type="paragraph" w:customStyle="1" w:styleId="7">
    <w:name w:val="WPSOffice手动目录 2"/>
    <w:qFormat/>
    <w:uiPriority w:val="0"/>
    <w:pPr>
      <w:ind w:leftChars="200"/>
    </w:pPr>
    <w:rPr>
      <w:rFonts w:ascii="Calibri" w:hAnsi="Calibri"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玉溪市新平县党政机关单位</Company>
  <Pages>7</Pages>
  <Words>0</Words>
  <Characters>0</Characters>
  <Lines>0</Lines>
  <Paragraphs>0</Paragraphs>
  <TotalTime>5</TotalTime>
  <ScaleCrop>false</ScaleCrop>
  <LinksUpToDate>false</LinksUpToDate>
  <CharactersWithSpaces>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2026-04-15T07:55:00Z</dcterms:created>
  <dc:creator>李玉莎</dc:creator>
  <cp:lastModifiedBy>李玉莎</cp:lastModifiedBy>
  <dcterms:modified xsi:type="dcterms:W3CDTF">2026-04-15T08:01:24Z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39B6FBC9217C45808525D6178A0D5316_11</vt:lpwstr>
  </property>
  <property fmtid="{D5CDD505-2E9C-101B-9397-08002B2CF9AE}" pid="4" name="KSOTemplateDocerSaveRecord">
    <vt:lpwstr>eyJoZGlkIjoiNjZjZjY4MzJlNjY0OGExNGE0M2MxZjAxMzU4MWMyYzgiLCJ1c2VySWQiOiIxNDQ1Nzc5MjMzIn0=</vt:lpwstr>
  </property>
</Properties>
</file>