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_GB2312" w:eastAsia="仿宋_GB2312"/>
          <w:b/>
          <w:sz w:val="32"/>
          <w:szCs w:val="32"/>
        </w:rPr>
      </w:pPr>
      <w:r>
        <w:rPr>
          <w:rFonts w:hint="eastAsia"/>
          <w:b/>
          <w:sz w:val="44"/>
          <w:szCs w:val="44"/>
          <w:lang w:eastAsia="zh-CN"/>
        </w:rPr>
        <w:t>汽轮机油</w:t>
      </w:r>
      <w:r>
        <w:rPr>
          <w:rFonts w:hint="eastAsia"/>
          <w:b/>
          <w:sz w:val="44"/>
          <w:szCs w:val="44"/>
        </w:rPr>
        <w:t>技术规范书</w:t>
      </w:r>
    </w:p>
    <w:p>
      <w:pPr>
        <w:ind w:firstLine="316" w:firstLineChars="150"/>
        <w:rPr>
          <w:rFonts w:ascii="宋体" w:hAnsi="宋体"/>
          <w:b/>
          <w:bCs/>
        </w:rPr>
      </w:pPr>
      <w:r>
        <w:rPr>
          <w:rFonts w:hint="eastAsia" w:ascii="宋体" w:hAnsi="宋体"/>
          <w:b/>
          <w:bCs/>
        </w:rPr>
        <w:t>一、总则</w:t>
      </w:r>
    </w:p>
    <w:p>
      <w:pPr>
        <w:pStyle w:val="3"/>
        <w:snapToGrid w:val="0"/>
        <w:ind w:firstLine="480" w:firstLineChars="200"/>
        <w:jc w:val="both"/>
        <w:rPr>
          <w:rFonts w:hint="eastAsia" w:hAnsi="Times New Roman" w:cs="Times New Roman"/>
          <w:b w:val="0"/>
          <w:bCs w:val="0"/>
          <w:sz w:val="24"/>
          <w:szCs w:val="24"/>
        </w:rPr>
      </w:pPr>
      <w:r>
        <w:rPr>
          <w:rFonts w:hint="eastAsia" w:hAnsi="Times New Roman" w:cs="Times New Roman"/>
          <w:b w:val="0"/>
          <w:bCs w:val="0"/>
          <w:sz w:val="24"/>
          <w:szCs w:val="24"/>
        </w:rPr>
        <w:t>1、本规范书适用于</w:t>
      </w:r>
      <w:r>
        <w:rPr>
          <w:rFonts w:hint="eastAsia" w:hAnsi="Times New Roman" w:cs="Times New Roman"/>
          <w:b w:val="0"/>
          <w:bCs w:val="0"/>
          <w:sz w:val="24"/>
          <w:szCs w:val="24"/>
          <w:lang w:eastAsia="zh-CN"/>
        </w:rPr>
        <w:t>汽轮机油</w:t>
      </w:r>
      <w:r>
        <w:rPr>
          <w:rFonts w:hint="eastAsia" w:hAnsi="Times New Roman" w:cs="Times New Roman"/>
          <w:b w:val="0"/>
          <w:bCs w:val="0"/>
          <w:sz w:val="24"/>
          <w:szCs w:val="24"/>
        </w:rPr>
        <w:t>的</w:t>
      </w:r>
      <w:r>
        <w:rPr>
          <w:rFonts w:hint="eastAsia" w:hAnsi="Times New Roman" w:cs="Times New Roman"/>
          <w:b w:val="0"/>
          <w:bCs w:val="0"/>
          <w:sz w:val="24"/>
          <w:szCs w:val="24"/>
          <w:lang w:eastAsia="zh-CN"/>
        </w:rPr>
        <w:t>用途参数</w:t>
      </w:r>
      <w:r>
        <w:rPr>
          <w:rFonts w:hint="eastAsia" w:hAnsi="Times New Roman" w:cs="Times New Roman"/>
          <w:b w:val="0"/>
          <w:bCs w:val="0"/>
          <w:sz w:val="24"/>
          <w:szCs w:val="24"/>
        </w:rPr>
        <w:t>、性能等方面的要求。</w:t>
      </w:r>
    </w:p>
    <w:p>
      <w:pPr>
        <w:pStyle w:val="8"/>
        <w:spacing w:before="156" w:beforeLines="50" w:after="156" w:afterLines="50" w:line="440" w:lineRule="exact"/>
        <w:ind w:firstLine="540" w:firstLineChars="224"/>
        <w:rPr>
          <w:rFonts w:hint="eastAsia" w:hAnsi="宋体"/>
          <w:b/>
          <w:sz w:val="24"/>
          <w:szCs w:val="24"/>
        </w:rPr>
      </w:pPr>
      <w:r>
        <w:rPr>
          <w:rFonts w:hint="eastAsia" w:hAnsi="宋体"/>
          <w:b/>
          <w:sz w:val="24"/>
          <w:szCs w:val="24"/>
        </w:rPr>
        <w:t>2 规范性引用文件</w:t>
      </w:r>
    </w:p>
    <w:p>
      <w:pPr>
        <w:ind w:firstLine="480" w:firstLineChars="200"/>
        <w:rPr>
          <w:rFonts w:hint="default" w:ascii="宋体" w:hAnsi="宋体" w:eastAsia="宋体"/>
          <w:b/>
          <w:kern w:val="0"/>
          <w:sz w:val="24"/>
          <w:lang w:val="en-US" w:eastAsia="zh-CN"/>
        </w:rPr>
      </w:pPr>
      <w:r>
        <w:rPr>
          <w:rFonts w:hint="eastAsia" w:ascii="宋体" w:hAnsi="宋体"/>
          <w:b w:val="0"/>
          <w:bCs/>
          <w:kern w:val="0"/>
          <w:sz w:val="24"/>
          <w:lang w:val="en-US" w:eastAsia="zh-CN"/>
        </w:rPr>
        <w:t>符合</w:t>
      </w:r>
      <w:r>
        <w:rPr>
          <w:rFonts w:hint="eastAsia" w:hAnsi="Times New Roman" w:cs="Times New Roman"/>
          <w:b w:val="0"/>
          <w:bCs w:val="0"/>
          <w:sz w:val="24"/>
          <w:szCs w:val="24"/>
          <w:lang w:eastAsia="zh-CN"/>
        </w:rPr>
        <w:t>汽轮机油</w:t>
      </w:r>
      <w:r>
        <w:rPr>
          <w:rFonts w:hint="eastAsia" w:ascii="宋体" w:hAnsi="宋体"/>
          <w:b w:val="0"/>
          <w:bCs/>
          <w:kern w:val="0"/>
          <w:sz w:val="24"/>
          <w:lang w:val="en-US" w:eastAsia="zh-CN"/>
        </w:rPr>
        <w:t>国家标准</w:t>
      </w:r>
    </w:p>
    <w:p>
      <w:pPr>
        <w:spacing w:line="360" w:lineRule="auto"/>
        <w:ind w:firstLine="482" w:firstLineChars="200"/>
        <w:rPr>
          <w:rFonts w:hint="eastAsia" w:ascii="宋体" w:hAnsi="宋体"/>
          <w:b/>
          <w:kern w:val="0"/>
          <w:sz w:val="24"/>
        </w:rPr>
      </w:pPr>
      <w:r>
        <w:rPr>
          <w:rFonts w:hint="eastAsia" w:ascii="宋体" w:hAnsi="宋体"/>
          <w:b/>
          <w:kern w:val="0"/>
          <w:sz w:val="24"/>
        </w:rPr>
        <w:t>3、适用环境工作条件</w:t>
      </w:r>
    </w:p>
    <w:p>
      <w:pPr>
        <w:spacing w:line="360" w:lineRule="auto"/>
        <w:ind w:firstLine="550" w:firstLineChars="250"/>
        <w:rPr>
          <w:rFonts w:hint="eastAsia" w:ascii="ˎ̥" w:hAnsi="ˎ̥"/>
          <w:sz w:val="22"/>
          <w:szCs w:val="22"/>
        </w:rPr>
      </w:pPr>
      <w:r>
        <w:rPr>
          <w:rFonts w:hint="eastAsia" w:ascii="ˎ̥" w:hAnsi="ˎ̥"/>
          <w:sz w:val="22"/>
          <w:szCs w:val="22"/>
        </w:rPr>
        <w:t>环境温度-5℃－+</w:t>
      </w:r>
      <w:r>
        <w:rPr>
          <w:rFonts w:hint="eastAsia" w:ascii="ˎ̥" w:hAnsi="ˎ̥"/>
          <w:sz w:val="22"/>
          <w:szCs w:val="22"/>
          <w:lang w:val="en-US" w:eastAsia="zh-CN"/>
        </w:rPr>
        <w:t>80</w:t>
      </w:r>
      <w:r>
        <w:rPr>
          <w:rFonts w:hint="eastAsia" w:ascii="ˎ̥" w:hAnsi="ˎ̥"/>
          <w:sz w:val="22"/>
          <w:szCs w:val="22"/>
        </w:rPr>
        <w:t>℃。</w:t>
      </w:r>
    </w:p>
    <w:p>
      <w:pPr>
        <w:spacing w:line="240" w:lineRule="atLeast"/>
        <w:ind w:firstLine="482" w:firstLineChars="200"/>
        <w:rPr>
          <w:rFonts w:hint="eastAsia" w:ascii="宋体" w:hAnsi="宋体"/>
          <w:b/>
          <w:kern w:val="0"/>
          <w:sz w:val="24"/>
        </w:rPr>
      </w:pPr>
      <w:r>
        <w:rPr>
          <w:rFonts w:hint="eastAsia" w:ascii="宋体" w:hAnsi="宋体"/>
          <w:b/>
          <w:kern w:val="0"/>
          <w:sz w:val="24"/>
        </w:rPr>
        <w:t>二．使用场合、技术要求</w:t>
      </w:r>
    </w:p>
    <w:p>
      <w:pPr>
        <w:spacing w:line="360" w:lineRule="auto"/>
        <w:ind w:firstLine="511" w:firstLineChars="213"/>
        <w:rPr>
          <w:rFonts w:hint="eastAsia" w:ascii="宋体" w:hAnsi="宋体" w:eastAsia="宋体"/>
          <w:sz w:val="24"/>
          <w:lang w:eastAsia="zh-CN"/>
        </w:rPr>
      </w:pPr>
      <w:r>
        <w:rPr>
          <w:rFonts w:hint="eastAsia" w:ascii="宋体" w:hAnsi="宋体"/>
          <w:sz w:val="24"/>
        </w:rPr>
        <w:t>1、使用场合：</w:t>
      </w:r>
      <w:r>
        <w:rPr>
          <w:rFonts w:hint="eastAsia" w:ascii="宋体" w:hAnsi="宋体"/>
          <w:sz w:val="24"/>
          <w:lang w:eastAsia="zh-CN"/>
        </w:rPr>
        <w:t>水轮机组的润滑。</w:t>
      </w:r>
    </w:p>
    <w:p>
      <w:pPr>
        <w:spacing w:line="360" w:lineRule="auto"/>
        <w:ind w:firstLine="506" w:firstLineChars="211"/>
        <w:rPr>
          <w:rFonts w:hint="eastAsia" w:ascii="宋体" w:hAnsi="宋体" w:eastAsia="宋体"/>
          <w:sz w:val="24"/>
          <w:lang w:val="en-US" w:eastAsia="zh-CN"/>
        </w:rPr>
      </w:pPr>
      <w:r>
        <w:rPr>
          <w:rFonts w:hint="eastAsia" w:ascii="宋体" w:hAnsi="宋体"/>
          <w:sz w:val="24"/>
          <w:lang w:val="en-US" w:eastAsia="zh-CN"/>
        </w:rPr>
        <w:t>2、产品主要参数</w:t>
      </w:r>
    </w:p>
    <w:p>
      <w:pPr>
        <w:keepNext w:val="0"/>
        <w:keepLines w:val="0"/>
        <w:pageBreakBefore w:val="0"/>
        <w:widowControl w:val="0"/>
        <w:kinsoku/>
        <w:wordWrap/>
        <w:overflowPunct/>
        <w:topLinePunct w:val="0"/>
        <w:autoSpaceDE/>
        <w:autoSpaceDN/>
        <w:bidi w:val="0"/>
        <w:adjustRightInd/>
        <w:snapToGrid/>
        <w:spacing w:line="360" w:lineRule="exact"/>
        <w:ind w:firstLine="464" w:firstLineChars="211"/>
        <w:textAlignment w:val="auto"/>
        <w:rPr>
          <w:rFonts w:hint="eastAsia" w:ascii="ˎ̥" w:hAnsi="ˎ̥"/>
          <w:b w:val="0"/>
          <w:bCs/>
          <w:sz w:val="22"/>
          <w:szCs w:val="22"/>
          <w:lang w:val="en-US" w:eastAsia="zh-CN"/>
        </w:rPr>
      </w:pPr>
      <w:r>
        <w:rPr>
          <w:rFonts w:hint="eastAsia" w:ascii="ˎ̥" w:hAnsi="ˎ̥"/>
          <w:b w:val="0"/>
          <w:bCs/>
          <w:sz w:val="22"/>
          <w:szCs w:val="22"/>
          <w:lang w:eastAsia="zh-CN"/>
        </w:rPr>
        <w:t>产品型号：</w:t>
      </w:r>
      <w:r>
        <w:rPr>
          <w:rFonts w:hint="eastAsia" w:ascii="ˎ̥" w:hAnsi="ˎ̥"/>
          <w:b w:val="0"/>
          <w:bCs/>
          <w:sz w:val="22"/>
          <w:szCs w:val="22"/>
          <w:lang w:val="en-US" w:eastAsia="zh-CN"/>
        </w:rPr>
        <w:t>L-TSA 46</w:t>
      </w:r>
    </w:p>
    <w:p>
      <w:pPr>
        <w:keepNext w:val="0"/>
        <w:keepLines w:val="0"/>
        <w:pageBreakBefore w:val="0"/>
        <w:widowControl w:val="0"/>
        <w:kinsoku/>
        <w:wordWrap/>
        <w:overflowPunct/>
        <w:topLinePunct w:val="0"/>
        <w:autoSpaceDE/>
        <w:autoSpaceDN/>
        <w:bidi w:val="0"/>
        <w:adjustRightInd/>
        <w:snapToGrid/>
        <w:spacing w:line="360" w:lineRule="exact"/>
        <w:ind w:firstLine="506" w:firstLineChars="211"/>
        <w:textAlignment w:val="auto"/>
        <w:rPr>
          <w:rFonts w:hint="eastAsia" w:ascii="ˎ̥" w:hAnsi="ˎ̥"/>
          <w:b w:val="0"/>
          <w:bCs/>
          <w:sz w:val="22"/>
          <w:szCs w:val="22"/>
          <w:lang w:val="en-US" w:eastAsia="zh-CN"/>
        </w:rPr>
      </w:pPr>
      <w:r>
        <w:rPr>
          <w:rFonts w:hint="eastAsia" w:ascii="宋体" w:hAnsi="宋体"/>
          <w:sz w:val="24"/>
          <w:lang w:val="en-US" w:eastAsia="zh-CN"/>
        </w:rPr>
        <w:t>产品包装</w:t>
      </w:r>
      <w:r>
        <w:rPr>
          <w:rFonts w:hint="eastAsia" w:ascii="ˎ̥" w:hAnsi="ˎ̥"/>
          <w:b w:val="0"/>
          <w:bCs/>
          <w:sz w:val="22"/>
          <w:szCs w:val="22"/>
          <w:lang w:val="en-US" w:eastAsia="zh-CN"/>
        </w:rPr>
        <w:t>：</w:t>
      </w:r>
      <w:r>
        <w:rPr>
          <w:rFonts w:hint="eastAsia" w:ascii="宋体" w:hAnsi="宋体" w:cs="宋体"/>
          <w:kern w:val="0"/>
          <w:sz w:val="24"/>
          <w:szCs w:val="24"/>
          <w:lang w:val="en-US" w:eastAsia="zh-CN"/>
        </w:rPr>
        <w:t>封闭口带取油孔铁桶</w:t>
      </w:r>
      <w:r>
        <w:rPr>
          <w:rFonts w:hint="eastAsia" w:ascii="宋体" w:hAnsi="宋体" w:cs="宋体"/>
          <w:i w:val="0"/>
          <w:color w:val="000000"/>
          <w:kern w:val="0"/>
          <w:sz w:val="24"/>
          <w:szCs w:val="24"/>
          <w:u w:val="none"/>
          <w:lang w:val="en-US" w:eastAsia="zh-CN" w:bidi="ar"/>
        </w:rPr>
        <w:t>包装，1</w:t>
      </w:r>
      <w:r>
        <w:rPr>
          <w:rFonts w:hint="eastAsia" w:ascii="宋体" w:hAnsi="宋体" w:eastAsia="宋体" w:cs="宋体"/>
          <w:i w:val="0"/>
          <w:color w:val="000000"/>
          <w:kern w:val="0"/>
          <w:sz w:val="24"/>
          <w:szCs w:val="24"/>
          <w:u w:val="none"/>
          <w:lang w:val="en-US" w:eastAsia="zh-CN" w:bidi="ar"/>
        </w:rPr>
        <w:t>桶</w:t>
      </w:r>
      <w:r>
        <w:rPr>
          <w:rFonts w:hint="eastAsia" w:ascii="宋体" w:hAnsi="宋体" w:cs="宋体"/>
          <w:i w:val="0"/>
          <w:color w:val="000000"/>
          <w:kern w:val="0"/>
          <w:sz w:val="24"/>
          <w:szCs w:val="24"/>
          <w:u w:val="none"/>
          <w:lang w:val="en-US" w:eastAsia="zh-CN" w:bidi="ar"/>
        </w:rPr>
        <w:t>100L</w:t>
      </w:r>
    </w:p>
    <w:p>
      <w:pPr>
        <w:keepNext w:val="0"/>
        <w:keepLines w:val="0"/>
        <w:pageBreakBefore w:val="0"/>
        <w:widowControl w:val="0"/>
        <w:kinsoku/>
        <w:wordWrap/>
        <w:overflowPunct/>
        <w:topLinePunct w:val="0"/>
        <w:autoSpaceDE/>
        <w:autoSpaceDN/>
        <w:bidi w:val="0"/>
        <w:adjustRightInd/>
        <w:snapToGrid/>
        <w:spacing w:line="360" w:lineRule="exact"/>
        <w:ind w:firstLine="464" w:firstLineChars="211"/>
        <w:textAlignment w:val="auto"/>
        <w:rPr>
          <w:rFonts w:hint="eastAsia" w:ascii="ˎ̥" w:hAnsi="ˎ̥"/>
          <w:b w:val="0"/>
          <w:bCs/>
          <w:sz w:val="22"/>
          <w:szCs w:val="22"/>
          <w:lang w:val="en-US" w:eastAsia="zh-CN"/>
        </w:rPr>
      </w:pPr>
      <w:r>
        <w:rPr>
          <w:rFonts w:hint="eastAsia" w:ascii="ˎ̥" w:hAnsi="ˎ̥"/>
          <w:b w:val="0"/>
          <w:bCs/>
          <w:sz w:val="22"/>
          <w:szCs w:val="22"/>
          <w:lang w:val="en-US" w:eastAsia="zh-CN"/>
        </w:rPr>
        <w:t>净含量：200L/170</w:t>
      </w:r>
      <w:r>
        <w:rPr>
          <w:rFonts w:hint="eastAsia" w:ascii="宋体" w:hAnsi="宋体" w:eastAsia="宋体" w:cs="宋体"/>
          <w:i w:val="0"/>
          <w:color w:val="000000"/>
          <w:kern w:val="0"/>
          <w:sz w:val="24"/>
          <w:szCs w:val="24"/>
          <w:u w:val="none"/>
          <w:lang w:val="en-US" w:eastAsia="zh-CN" w:bidi="ar"/>
        </w:rPr>
        <w:t>kg</w:t>
      </w:r>
    </w:p>
    <w:p>
      <w:pPr>
        <w:keepNext w:val="0"/>
        <w:keepLines w:val="0"/>
        <w:pageBreakBefore w:val="0"/>
        <w:widowControl w:val="0"/>
        <w:kinsoku/>
        <w:wordWrap/>
        <w:overflowPunct/>
        <w:topLinePunct w:val="0"/>
        <w:autoSpaceDE/>
        <w:autoSpaceDN/>
        <w:bidi w:val="0"/>
        <w:adjustRightInd/>
        <w:snapToGrid/>
        <w:spacing w:line="360" w:lineRule="exact"/>
        <w:ind w:firstLine="464" w:firstLineChars="211"/>
        <w:textAlignment w:val="auto"/>
        <w:rPr>
          <w:rFonts w:hint="eastAsia" w:ascii="ˎ̥" w:hAnsi="ˎ̥"/>
          <w:b w:val="0"/>
          <w:bCs/>
          <w:sz w:val="22"/>
          <w:szCs w:val="22"/>
          <w:lang w:val="en-US" w:eastAsia="zh-CN"/>
        </w:rPr>
      </w:pPr>
      <w:r>
        <w:rPr>
          <w:rFonts w:hint="eastAsia" w:ascii="ˎ̥" w:hAnsi="ˎ̥"/>
          <w:b w:val="0"/>
          <w:bCs/>
          <w:sz w:val="22"/>
          <w:szCs w:val="22"/>
          <w:lang w:val="en-US" w:eastAsia="zh-CN"/>
        </w:rPr>
        <w:t>ISO黏度等级：46</w:t>
      </w:r>
    </w:p>
    <w:p>
      <w:pPr>
        <w:keepNext w:val="0"/>
        <w:keepLines w:val="0"/>
        <w:pageBreakBefore w:val="0"/>
        <w:widowControl w:val="0"/>
        <w:kinsoku/>
        <w:wordWrap/>
        <w:overflowPunct/>
        <w:topLinePunct w:val="0"/>
        <w:autoSpaceDE/>
        <w:autoSpaceDN/>
        <w:bidi w:val="0"/>
        <w:adjustRightInd/>
        <w:snapToGrid/>
        <w:spacing w:line="360" w:lineRule="exact"/>
        <w:ind w:firstLine="464" w:firstLineChars="211"/>
        <w:textAlignment w:val="auto"/>
        <w:rPr>
          <w:rFonts w:hint="eastAsia" w:ascii="ˎ̥" w:hAnsi="ˎ̥"/>
          <w:b w:val="0"/>
          <w:bCs/>
          <w:sz w:val="22"/>
          <w:szCs w:val="22"/>
          <w:lang w:val="en-US" w:eastAsia="zh-CN"/>
        </w:rPr>
      </w:pPr>
      <w:r>
        <w:rPr>
          <w:rFonts w:hint="eastAsia" w:ascii="ˎ̥" w:hAnsi="ˎ̥"/>
          <w:b w:val="0"/>
          <w:bCs/>
          <w:sz w:val="22"/>
          <w:szCs w:val="22"/>
          <w:lang w:val="en-US" w:eastAsia="zh-CN"/>
        </w:rPr>
        <w:t>运动黏度（40℃）：45.2</w:t>
      </w:r>
    </w:p>
    <w:p>
      <w:pPr>
        <w:keepNext w:val="0"/>
        <w:keepLines w:val="0"/>
        <w:pageBreakBefore w:val="0"/>
        <w:widowControl w:val="0"/>
        <w:kinsoku/>
        <w:wordWrap/>
        <w:overflowPunct/>
        <w:topLinePunct w:val="0"/>
        <w:autoSpaceDE/>
        <w:autoSpaceDN/>
        <w:bidi w:val="0"/>
        <w:adjustRightInd/>
        <w:snapToGrid/>
        <w:spacing w:line="360" w:lineRule="exact"/>
        <w:ind w:firstLine="464" w:firstLineChars="211"/>
        <w:textAlignment w:val="auto"/>
        <w:rPr>
          <w:rFonts w:hint="eastAsia" w:ascii="ˎ̥" w:hAnsi="ˎ̥"/>
          <w:b w:val="0"/>
          <w:bCs/>
          <w:sz w:val="22"/>
          <w:szCs w:val="22"/>
          <w:lang w:val="en-US" w:eastAsia="zh-CN"/>
        </w:rPr>
      </w:pPr>
      <w:r>
        <w:rPr>
          <w:rFonts w:hint="eastAsia" w:ascii="ˎ̥" w:hAnsi="ˎ̥"/>
          <w:b w:val="0"/>
          <w:bCs/>
          <w:sz w:val="22"/>
          <w:szCs w:val="22"/>
          <w:lang w:val="en-US" w:eastAsia="zh-CN"/>
        </w:rPr>
        <w:t>闪点（开口）：210℃</w:t>
      </w:r>
    </w:p>
    <w:p>
      <w:pPr>
        <w:keepNext w:val="0"/>
        <w:keepLines w:val="0"/>
        <w:pageBreakBefore w:val="0"/>
        <w:widowControl w:val="0"/>
        <w:kinsoku/>
        <w:wordWrap/>
        <w:overflowPunct/>
        <w:topLinePunct w:val="0"/>
        <w:autoSpaceDE/>
        <w:autoSpaceDN/>
        <w:bidi w:val="0"/>
        <w:adjustRightInd/>
        <w:snapToGrid/>
        <w:spacing w:line="360" w:lineRule="exact"/>
        <w:ind w:firstLine="464" w:firstLineChars="211"/>
        <w:textAlignment w:val="auto"/>
        <w:rPr>
          <w:rFonts w:hint="eastAsia" w:ascii="ˎ̥" w:hAnsi="ˎ̥"/>
          <w:b w:val="0"/>
          <w:bCs/>
          <w:sz w:val="22"/>
          <w:szCs w:val="22"/>
          <w:lang w:val="en-US" w:eastAsia="zh-CN"/>
        </w:rPr>
      </w:pPr>
      <w:r>
        <w:rPr>
          <w:rFonts w:hint="eastAsia" w:ascii="ˎ̥" w:hAnsi="ˎ̥"/>
          <w:b w:val="0"/>
          <w:bCs/>
          <w:sz w:val="22"/>
          <w:szCs w:val="22"/>
          <w:lang w:val="en-US" w:eastAsia="zh-CN"/>
        </w:rPr>
        <w:t>倾点：-9℃</w:t>
      </w:r>
    </w:p>
    <w:p>
      <w:pPr>
        <w:keepNext w:val="0"/>
        <w:keepLines w:val="0"/>
        <w:pageBreakBefore w:val="0"/>
        <w:widowControl w:val="0"/>
        <w:kinsoku/>
        <w:wordWrap/>
        <w:overflowPunct/>
        <w:topLinePunct w:val="0"/>
        <w:autoSpaceDE/>
        <w:autoSpaceDN/>
        <w:bidi w:val="0"/>
        <w:adjustRightInd/>
        <w:snapToGrid/>
        <w:spacing w:line="360" w:lineRule="exact"/>
        <w:ind w:firstLine="464" w:firstLineChars="211"/>
        <w:textAlignment w:val="auto"/>
        <w:rPr>
          <w:rFonts w:hint="eastAsia" w:ascii="ˎ̥" w:hAnsi="ˎ̥"/>
          <w:b w:val="0"/>
          <w:bCs/>
          <w:sz w:val="22"/>
          <w:szCs w:val="22"/>
          <w:lang w:val="en-US" w:eastAsia="zh-CN"/>
        </w:rPr>
      </w:pPr>
      <w:r>
        <w:rPr>
          <w:rFonts w:hint="eastAsia" w:ascii="ˎ̥" w:hAnsi="ˎ̥"/>
          <w:b w:val="0"/>
          <w:bCs/>
          <w:sz w:val="22"/>
          <w:szCs w:val="22"/>
          <w:lang w:val="en-US" w:eastAsia="zh-CN"/>
        </w:rPr>
        <w:t>氧化安定性（D943）:＞5000h</w:t>
      </w:r>
    </w:p>
    <w:p>
      <w:pPr>
        <w:ind w:firstLine="464" w:firstLineChars="211"/>
        <w:rPr>
          <w:rFonts w:hint="eastAsia" w:ascii="ˎ̥" w:hAnsi="ˎ̥"/>
          <w:b w:val="0"/>
          <w:bCs/>
          <w:sz w:val="22"/>
          <w:szCs w:val="22"/>
          <w:lang w:val="en-US" w:eastAsia="zh-CN"/>
        </w:rPr>
      </w:pPr>
    </w:p>
    <w:p>
      <w:pPr>
        <w:numPr>
          <w:ilvl w:val="0"/>
          <w:numId w:val="1"/>
        </w:numPr>
        <w:ind w:firstLine="466" w:firstLineChars="211"/>
        <w:rPr>
          <w:rFonts w:hint="eastAsia" w:ascii="ˎ̥" w:hAnsi="ˎ̥"/>
          <w:b/>
          <w:sz w:val="22"/>
          <w:szCs w:val="22"/>
        </w:rPr>
      </w:pPr>
      <w:r>
        <w:rPr>
          <w:rFonts w:hint="eastAsia" w:ascii="ˎ̥" w:hAnsi="ˎ̥"/>
          <w:b/>
          <w:sz w:val="22"/>
          <w:szCs w:val="22"/>
        </w:rPr>
        <w:t>供货范围</w:t>
      </w:r>
    </w:p>
    <w:p>
      <w:pPr>
        <w:numPr>
          <w:ilvl w:val="0"/>
          <w:numId w:val="0"/>
        </w:numPr>
        <w:rPr>
          <w:rFonts w:hint="eastAsia" w:ascii="ˎ̥" w:hAnsi="ˎ̥"/>
          <w:b/>
          <w:sz w:val="22"/>
          <w:szCs w:val="22"/>
        </w:rPr>
      </w:pPr>
    </w:p>
    <w:p>
      <w:pPr>
        <w:numPr>
          <w:ilvl w:val="0"/>
          <w:numId w:val="0"/>
        </w:numPr>
        <w:spacing w:line="360" w:lineRule="auto"/>
        <w:ind w:firstLine="240" w:firstLineChars="100"/>
        <w:rPr>
          <w:rFonts w:hint="eastAsia" w:ascii="ˎ̥" w:hAnsi="ˎ̥"/>
          <w:b/>
          <w:sz w:val="22"/>
          <w:szCs w:val="22"/>
        </w:rPr>
      </w:pPr>
      <w:r>
        <w:rPr>
          <w:rFonts w:hint="eastAsia" w:ascii="ˎ̥" w:hAnsi="ˎ̥"/>
          <w:b w:val="0"/>
          <w:bCs/>
          <w:sz w:val="24"/>
          <w:szCs w:val="24"/>
          <w:lang w:eastAsia="zh-CN"/>
        </w:rPr>
        <w:t>项目名称：2026年河池金城江供电局生产低值易耗品购置项目</w:t>
      </w:r>
    </w:p>
    <w:tbl>
      <w:tblPr>
        <w:tblStyle w:val="6"/>
        <w:tblW w:w="8607" w:type="dxa"/>
        <w:tblInd w:w="93" w:type="dxa"/>
        <w:tblLayout w:type="fixed"/>
        <w:tblCellMar>
          <w:top w:w="0" w:type="dxa"/>
          <w:left w:w="108" w:type="dxa"/>
          <w:bottom w:w="0" w:type="dxa"/>
          <w:right w:w="108" w:type="dxa"/>
        </w:tblCellMar>
      </w:tblPr>
      <w:tblGrid>
        <w:gridCol w:w="1415"/>
        <w:gridCol w:w="1900"/>
        <w:gridCol w:w="852"/>
        <w:gridCol w:w="936"/>
        <w:gridCol w:w="3504"/>
      </w:tblGrid>
      <w:tr>
        <w:tblPrEx>
          <w:tblCellMar>
            <w:top w:w="0" w:type="dxa"/>
            <w:left w:w="108" w:type="dxa"/>
            <w:bottom w:w="0" w:type="dxa"/>
            <w:right w:w="108" w:type="dxa"/>
          </w:tblCellMar>
        </w:tblPrEx>
        <w:trPr>
          <w:trHeight w:val="829" w:hRule="atLeast"/>
        </w:trPr>
        <w:tc>
          <w:tcPr>
            <w:tcW w:w="1415"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24"/>
                <w:szCs w:val="24"/>
              </w:rPr>
            </w:pPr>
            <w:r>
              <w:rPr>
                <w:rFonts w:hint="eastAsia" w:ascii="宋体" w:hAnsi="宋体" w:cs="宋体"/>
                <w:kern w:val="0"/>
                <w:sz w:val="24"/>
                <w:szCs w:val="24"/>
              </w:rPr>
              <w:t>名称</w:t>
            </w:r>
          </w:p>
        </w:tc>
        <w:tc>
          <w:tcPr>
            <w:tcW w:w="1900"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kern w:val="0"/>
                <w:sz w:val="24"/>
                <w:szCs w:val="24"/>
              </w:rPr>
            </w:pPr>
            <w:r>
              <w:rPr>
                <w:rFonts w:hint="eastAsia" w:ascii="宋体" w:hAnsi="宋体" w:cs="宋体"/>
                <w:kern w:val="0"/>
                <w:sz w:val="24"/>
                <w:szCs w:val="24"/>
              </w:rPr>
              <w:t>规 格</w:t>
            </w:r>
          </w:p>
        </w:tc>
        <w:tc>
          <w:tcPr>
            <w:tcW w:w="852"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kern w:val="0"/>
                <w:sz w:val="24"/>
                <w:szCs w:val="24"/>
              </w:rPr>
            </w:pPr>
            <w:r>
              <w:rPr>
                <w:rFonts w:hint="eastAsia" w:ascii="宋体" w:hAnsi="宋体" w:cs="宋体"/>
                <w:kern w:val="0"/>
                <w:sz w:val="24"/>
                <w:szCs w:val="24"/>
              </w:rPr>
              <w:t>单位</w:t>
            </w:r>
          </w:p>
        </w:tc>
        <w:tc>
          <w:tcPr>
            <w:tcW w:w="936"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kern w:val="0"/>
                <w:sz w:val="24"/>
                <w:szCs w:val="24"/>
              </w:rPr>
            </w:pPr>
            <w:r>
              <w:rPr>
                <w:rFonts w:hint="eastAsia" w:ascii="宋体" w:hAnsi="宋体" w:cs="宋体"/>
                <w:kern w:val="0"/>
                <w:sz w:val="24"/>
                <w:szCs w:val="24"/>
              </w:rPr>
              <w:t>数量</w:t>
            </w:r>
          </w:p>
        </w:tc>
        <w:tc>
          <w:tcPr>
            <w:tcW w:w="3504"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kern w:val="0"/>
                <w:sz w:val="24"/>
                <w:szCs w:val="24"/>
              </w:rPr>
            </w:pPr>
            <w:r>
              <w:rPr>
                <w:rFonts w:hint="eastAsia" w:ascii="宋体" w:hAnsi="宋体" w:cs="宋体"/>
                <w:kern w:val="0"/>
                <w:sz w:val="24"/>
                <w:szCs w:val="24"/>
              </w:rPr>
              <w:t>备  注</w:t>
            </w:r>
          </w:p>
        </w:tc>
      </w:tr>
      <w:tr>
        <w:tblPrEx>
          <w:tblCellMar>
            <w:top w:w="0" w:type="dxa"/>
            <w:left w:w="108" w:type="dxa"/>
            <w:bottom w:w="0" w:type="dxa"/>
            <w:right w:w="108" w:type="dxa"/>
          </w:tblCellMar>
        </w:tblPrEx>
        <w:trPr>
          <w:trHeight w:val="2158" w:hRule="atLeast"/>
        </w:trPr>
        <w:tc>
          <w:tcPr>
            <w:tcW w:w="1415"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kern w:val="0"/>
                <w:sz w:val="24"/>
                <w:szCs w:val="24"/>
                <w:lang w:eastAsia="zh-CN"/>
              </w:rPr>
            </w:pPr>
            <w:r>
              <w:rPr>
                <w:rFonts w:hint="eastAsia" w:ascii="宋体" w:hAnsi="宋体" w:cs="宋体"/>
                <w:kern w:val="0"/>
                <w:sz w:val="24"/>
                <w:szCs w:val="24"/>
                <w:lang w:eastAsia="zh-CN"/>
              </w:rPr>
              <w:t>汽轮机油</w:t>
            </w:r>
          </w:p>
        </w:tc>
        <w:tc>
          <w:tcPr>
            <w:tcW w:w="1900" w:type="dxa"/>
            <w:tcBorders>
              <w:top w:val="nil"/>
              <w:left w:val="nil"/>
              <w:bottom w:val="single" w:color="auto" w:sz="4" w:space="0"/>
              <w:right w:val="single" w:color="auto" w:sz="4" w:space="0"/>
            </w:tcBorders>
            <w:noWrap w:val="0"/>
            <w:vAlign w:val="center"/>
          </w:tcPr>
          <w:p>
            <w:pPr>
              <w:widowControl/>
              <w:jc w:val="left"/>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46号汽轮机油，封闭口带取油孔铁桶</w:t>
            </w:r>
            <w:r>
              <w:rPr>
                <w:rFonts w:hint="eastAsia" w:ascii="宋体" w:hAnsi="宋体" w:cs="宋体"/>
                <w:i w:val="0"/>
                <w:color w:val="000000"/>
                <w:kern w:val="0"/>
                <w:sz w:val="24"/>
                <w:szCs w:val="24"/>
                <w:u w:val="none"/>
                <w:lang w:val="en-US" w:eastAsia="zh-CN" w:bidi="ar"/>
              </w:rPr>
              <w:t>包装，1</w:t>
            </w:r>
            <w:r>
              <w:rPr>
                <w:rFonts w:hint="eastAsia" w:ascii="宋体" w:hAnsi="宋体" w:eastAsia="宋体" w:cs="宋体"/>
                <w:i w:val="0"/>
                <w:color w:val="000000"/>
                <w:kern w:val="0"/>
                <w:sz w:val="24"/>
                <w:szCs w:val="24"/>
                <w:u w:val="none"/>
                <w:lang w:val="en-US" w:eastAsia="zh-CN" w:bidi="ar"/>
              </w:rPr>
              <w:t>桶</w:t>
            </w:r>
            <w:r>
              <w:rPr>
                <w:rFonts w:hint="eastAsia" w:ascii="宋体" w:hAnsi="宋体" w:cs="宋体"/>
                <w:i w:val="0"/>
                <w:color w:val="000000"/>
                <w:kern w:val="0"/>
                <w:sz w:val="24"/>
                <w:szCs w:val="24"/>
                <w:u w:val="none"/>
                <w:lang w:val="en-US" w:eastAsia="zh-CN" w:bidi="ar"/>
              </w:rPr>
              <w:t>100L</w:t>
            </w:r>
          </w:p>
        </w:tc>
        <w:tc>
          <w:tcPr>
            <w:tcW w:w="852" w:type="dxa"/>
            <w:tcBorders>
              <w:top w:val="nil"/>
              <w:left w:val="nil"/>
              <w:bottom w:val="single" w:color="auto" w:sz="4" w:space="0"/>
              <w:right w:val="single" w:color="auto" w:sz="4" w:space="0"/>
            </w:tcBorders>
            <w:noWrap w:val="0"/>
            <w:vAlign w:val="center"/>
          </w:tcPr>
          <w:p>
            <w:pPr>
              <w:widowControl/>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公斤</w:t>
            </w:r>
          </w:p>
        </w:tc>
        <w:tc>
          <w:tcPr>
            <w:tcW w:w="936" w:type="dxa"/>
            <w:tcBorders>
              <w:top w:val="nil"/>
              <w:left w:val="nil"/>
              <w:bottom w:val="single" w:color="auto" w:sz="4" w:space="0"/>
              <w:right w:val="single" w:color="auto" w:sz="4" w:space="0"/>
            </w:tcBorders>
            <w:noWrap w:val="0"/>
            <w:vAlign w:val="center"/>
          </w:tcPr>
          <w:p>
            <w:pPr>
              <w:widowControl/>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400</w:t>
            </w:r>
          </w:p>
        </w:tc>
        <w:tc>
          <w:tcPr>
            <w:tcW w:w="3504" w:type="dxa"/>
            <w:tcBorders>
              <w:top w:val="nil"/>
              <w:left w:val="nil"/>
              <w:bottom w:val="single" w:color="auto" w:sz="4" w:space="0"/>
              <w:right w:val="single" w:color="auto" w:sz="4" w:space="0"/>
            </w:tcBorders>
            <w:noWrap w:val="0"/>
            <w:vAlign w:val="center"/>
          </w:tcPr>
          <w:p>
            <w:pPr>
              <w:numPr>
                <w:ilvl w:val="0"/>
                <w:numId w:val="0"/>
              </w:numPr>
              <w:ind w:firstLine="480" w:firstLineChars="200"/>
              <w:jc w:val="left"/>
              <w:rPr>
                <w:rFonts w:hint="eastAsia" w:ascii="ˎ̥" w:hAnsi="ˎ̥" w:eastAsia="宋体"/>
                <w:b w:val="0"/>
                <w:bCs/>
                <w:sz w:val="24"/>
                <w:szCs w:val="24"/>
                <w:lang w:eastAsia="zh-CN"/>
              </w:rPr>
            </w:pPr>
            <w:r>
              <w:rPr>
                <w:rFonts w:hint="eastAsia" w:ascii="宋体" w:hAnsi="宋体" w:cs="宋体"/>
                <w:i w:val="0"/>
                <w:color w:val="000000"/>
                <w:sz w:val="24"/>
                <w:szCs w:val="24"/>
                <w:u w:val="none"/>
                <w:lang w:eastAsia="zh-CN"/>
              </w:rPr>
              <w:t>供应商</w:t>
            </w:r>
            <w:r>
              <w:rPr>
                <w:rFonts w:hint="eastAsia" w:ascii="宋体" w:hAnsi="宋体" w:cs="宋体"/>
                <w:i w:val="0"/>
                <w:color w:val="000000"/>
                <w:sz w:val="24"/>
                <w:szCs w:val="24"/>
                <w:u w:val="none"/>
                <w:lang w:val="en-US" w:eastAsia="zh-CN"/>
              </w:rPr>
              <w:t>负责</w:t>
            </w:r>
            <w:r>
              <w:rPr>
                <w:rFonts w:hint="eastAsia" w:ascii="宋体" w:hAnsi="宋体" w:cs="宋体"/>
                <w:i w:val="0"/>
                <w:color w:val="000000"/>
                <w:sz w:val="24"/>
                <w:szCs w:val="24"/>
                <w:u w:val="none"/>
                <w:lang w:eastAsia="zh-CN"/>
              </w:rPr>
              <w:t>送货到广西河池市金城江区长老乡拉谐村拉南屯长老电站宿舍现场仓库。（距离金城江区长老街</w:t>
            </w:r>
            <w:r>
              <w:rPr>
                <w:rFonts w:hint="eastAsia" w:ascii="宋体" w:hAnsi="宋体" w:cs="宋体"/>
                <w:i w:val="0"/>
                <w:color w:val="000000"/>
                <w:sz w:val="24"/>
                <w:szCs w:val="24"/>
                <w:u w:val="none"/>
                <w:lang w:val="en-US" w:eastAsia="zh-CN"/>
              </w:rPr>
              <w:t>8公里，道路为</w:t>
            </w:r>
            <w:bookmarkStart w:id="0" w:name="_GoBack"/>
            <w:bookmarkEnd w:id="0"/>
            <w:r>
              <w:rPr>
                <w:rFonts w:hint="eastAsia" w:ascii="宋体" w:hAnsi="宋体" w:cs="宋体"/>
                <w:i w:val="0"/>
                <w:color w:val="000000"/>
                <w:sz w:val="24"/>
                <w:szCs w:val="24"/>
                <w:u w:val="none"/>
                <w:lang w:val="en-US" w:eastAsia="zh-CN"/>
              </w:rPr>
              <w:t>屯级水泥路，路面较窄。</w:t>
            </w:r>
            <w:r>
              <w:rPr>
                <w:rFonts w:hint="eastAsia" w:ascii="宋体" w:hAnsi="宋体" w:cs="宋体"/>
                <w:i w:val="0"/>
                <w:color w:val="000000"/>
                <w:sz w:val="24"/>
                <w:szCs w:val="24"/>
                <w:u w:val="none"/>
                <w:lang w:eastAsia="zh-CN"/>
              </w:rPr>
              <w:t>）</w:t>
            </w:r>
          </w:p>
          <w:p>
            <w:pPr>
              <w:widowControl/>
              <w:jc w:val="center"/>
              <w:rPr>
                <w:rFonts w:hint="eastAsia" w:ascii="宋体" w:hAnsi="宋体" w:eastAsia="宋体" w:cs="宋体"/>
                <w:kern w:val="0"/>
                <w:sz w:val="24"/>
                <w:szCs w:val="24"/>
                <w:lang w:val="en-US" w:eastAsia="zh-CN"/>
              </w:rPr>
            </w:pPr>
          </w:p>
        </w:tc>
      </w:tr>
    </w:tbl>
    <w:p>
      <w:pPr>
        <w:rPr>
          <w:rFonts w:hint="eastAsia" w:ascii="ˎ̥" w:hAnsi="ˎ̥"/>
          <w:b/>
          <w:sz w:val="22"/>
          <w:szCs w:val="22"/>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531" w:bottom="1440"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EE8EDD"/>
    <w:multiLevelType w:val="singleLevel"/>
    <w:tmpl w:val="F5EE8EDD"/>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8131B6"/>
    <w:rsid w:val="000F78FF"/>
    <w:rsid w:val="007E74E9"/>
    <w:rsid w:val="00992894"/>
    <w:rsid w:val="00B9279C"/>
    <w:rsid w:val="00DD2191"/>
    <w:rsid w:val="017E30EF"/>
    <w:rsid w:val="01994181"/>
    <w:rsid w:val="01A92D68"/>
    <w:rsid w:val="01BC7F2B"/>
    <w:rsid w:val="01ED20E9"/>
    <w:rsid w:val="01FB3D69"/>
    <w:rsid w:val="02DE158A"/>
    <w:rsid w:val="02E908F6"/>
    <w:rsid w:val="03247E65"/>
    <w:rsid w:val="03A06815"/>
    <w:rsid w:val="03AA10DC"/>
    <w:rsid w:val="044B787A"/>
    <w:rsid w:val="04CF09E3"/>
    <w:rsid w:val="04E255B1"/>
    <w:rsid w:val="05596FD8"/>
    <w:rsid w:val="057C4600"/>
    <w:rsid w:val="058131B6"/>
    <w:rsid w:val="0588482E"/>
    <w:rsid w:val="05B84165"/>
    <w:rsid w:val="05C33311"/>
    <w:rsid w:val="05E8555D"/>
    <w:rsid w:val="061B3ABC"/>
    <w:rsid w:val="062C6FEF"/>
    <w:rsid w:val="0669574A"/>
    <w:rsid w:val="06E27440"/>
    <w:rsid w:val="075E61B1"/>
    <w:rsid w:val="07731749"/>
    <w:rsid w:val="079613D5"/>
    <w:rsid w:val="07A35FAC"/>
    <w:rsid w:val="08341350"/>
    <w:rsid w:val="083538BD"/>
    <w:rsid w:val="08B23922"/>
    <w:rsid w:val="08F428BD"/>
    <w:rsid w:val="09011B56"/>
    <w:rsid w:val="094270E6"/>
    <w:rsid w:val="09607AD2"/>
    <w:rsid w:val="09886AA6"/>
    <w:rsid w:val="09A06BA6"/>
    <w:rsid w:val="0A247463"/>
    <w:rsid w:val="0A5528A5"/>
    <w:rsid w:val="0AB87BF1"/>
    <w:rsid w:val="0ABD1895"/>
    <w:rsid w:val="0B080730"/>
    <w:rsid w:val="0B70300D"/>
    <w:rsid w:val="0BAB58C2"/>
    <w:rsid w:val="0BE50F96"/>
    <w:rsid w:val="0BFC1461"/>
    <w:rsid w:val="0D3C5786"/>
    <w:rsid w:val="0D605E30"/>
    <w:rsid w:val="0D60656B"/>
    <w:rsid w:val="0D7C6C94"/>
    <w:rsid w:val="0D8E3D7D"/>
    <w:rsid w:val="0DA110EC"/>
    <w:rsid w:val="0DAB1054"/>
    <w:rsid w:val="0DB640D2"/>
    <w:rsid w:val="0DC14276"/>
    <w:rsid w:val="0DC43390"/>
    <w:rsid w:val="0E0F4AAD"/>
    <w:rsid w:val="0F0F569C"/>
    <w:rsid w:val="0F434156"/>
    <w:rsid w:val="0F951E31"/>
    <w:rsid w:val="10BC70A0"/>
    <w:rsid w:val="10C516D7"/>
    <w:rsid w:val="112F4C15"/>
    <w:rsid w:val="1144354C"/>
    <w:rsid w:val="1348115E"/>
    <w:rsid w:val="13493673"/>
    <w:rsid w:val="1367504E"/>
    <w:rsid w:val="139E3285"/>
    <w:rsid w:val="13FF6E76"/>
    <w:rsid w:val="142257B8"/>
    <w:rsid w:val="14480C91"/>
    <w:rsid w:val="14B60155"/>
    <w:rsid w:val="14EF5C0D"/>
    <w:rsid w:val="15540AB3"/>
    <w:rsid w:val="15B9074E"/>
    <w:rsid w:val="15F774BE"/>
    <w:rsid w:val="162E0400"/>
    <w:rsid w:val="16721889"/>
    <w:rsid w:val="16844BE0"/>
    <w:rsid w:val="16A15F13"/>
    <w:rsid w:val="16BD7B8F"/>
    <w:rsid w:val="16EC1F64"/>
    <w:rsid w:val="17583C4A"/>
    <w:rsid w:val="17615560"/>
    <w:rsid w:val="17EF33AF"/>
    <w:rsid w:val="17F35933"/>
    <w:rsid w:val="18110EA9"/>
    <w:rsid w:val="18456749"/>
    <w:rsid w:val="189D4211"/>
    <w:rsid w:val="195B5CBA"/>
    <w:rsid w:val="197110AA"/>
    <w:rsid w:val="19997083"/>
    <w:rsid w:val="19C55ACD"/>
    <w:rsid w:val="19DA094A"/>
    <w:rsid w:val="19E30D93"/>
    <w:rsid w:val="1A0C7FE7"/>
    <w:rsid w:val="1A224D70"/>
    <w:rsid w:val="1A227E92"/>
    <w:rsid w:val="1A5B6C28"/>
    <w:rsid w:val="1AA95EED"/>
    <w:rsid w:val="1ADE1BF5"/>
    <w:rsid w:val="1AE106BD"/>
    <w:rsid w:val="1AEE0DB3"/>
    <w:rsid w:val="1B171022"/>
    <w:rsid w:val="1B3F6F59"/>
    <w:rsid w:val="1B6E5336"/>
    <w:rsid w:val="1BB209A0"/>
    <w:rsid w:val="1BE26D78"/>
    <w:rsid w:val="1BF74DDC"/>
    <w:rsid w:val="1C026A39"/>
    <w:rsid w:val="1D000AC6"/>
    <w:rsid w:val="1D0E65B5"/>
    <w:rsid w:val="1D560A5B"/>
    <w:rsid w:val="1DA05768"/>
    <w:rsid w:val="1E0E324A"/>
    <w:rsid w:val="1E5D2F5E"/>
    <w:rsid w:val="1E71490C"/>
    <w:rsid w:val="1E875910"/>
    <w:rsid w:val="1EA6298D"/>
    <w:rsid w:val="1EFD0B4A"/>
    <w:rsid w:val="1F070C88"/>
    <w:rsid w:val="1F650DEA"/>
    <w:rsid w:val="1F917176"/>
    <w:rsid w:val="1FB37AFF"/>
    <w:rsid w:val="20303DB3"/>
    <w:rsid w:val="207129EF"/>
    <w:rsid w:val="211B789B"/>
    <w:rsid w:val="215C6D70"/>
    <w:rsid w:val="21A35C74"/>
    <w:rsid w:val="22243357"/>
    <w:rsid w:val="225C0BBC"/>
    <w:rsid w:val="22747FDC"/>
    <w:rsid w:val="22B109A5"/>
    <w:rsid w:val="22F90AFC"/>
    <w:rsid w:val="23440BE9"/>
    <w:rsid w:val="235F3AEF"/>
    <w:rsid w:val="236A33A9"/>
    <w:rsid w:val="238235A3"/>
    <w:rsid w:val="2390697B"/>
    <w:rsid w:val="23AD7E95"/>
    <w:rsid w:val="23EC42DC"/>
    <w:rsid w:val="23FF0E24"/>
    <w:rsid w:val="241218EF"/>
    <w:rsid w:val="241D4959"/>
    <w:rsid w:val="24271ECC"/>
    <w:rsid w:val="24343E43"/>
    <w:rsid w:val="243E130E"/>
    <w:rsid w:val="24427556"/>
    <w:rsid w:val="245D619F"/>
    <w:rsid w:val="245F7BEE"/>
    <w:rsid w:val="253C3667"/>
    <w:rsid w:val="25882B79"/>
    <w:rsid w:val="258B78FE"/>
    <w:rsid w:val="25D41AE6"/>
    <w:rsid w:val="26164430"/>
    <w:rsid w:val="262365CB"/>
    <w:rsid w:val="265865E5"/>
    <w:rsid w:val="27D9348E"/>
    <w:rsid w:val="28170036"/>
    <w:rsid w:val="28471641"/>
    <w:rsid w:val="288D6954"/>
    <w:rsid w:val="28E10CF1"/>
    <w:rsid w:val="29AA20BF"/>
    <w:rsid w:val="29B45DAF"/>
    <w:rsid w:val="2A0B690C"/>
    <w:rsid w:val="2A586239"/>
    <w:rsid w:val="2AD00637"/>
    <w:rsid w:val="2AD02954"/>
    <w:rsid w:val="2AD82BC1"/>
    <w:rsid w:val="2B1B28F3"/>
    <w:rsid w:val="2C07117C"/>
    <w:rsid w:val="2C0B4C17"/>
    <w:rsid w:val="2C103873"/>
    <w:rsid w:val="2C2608FE"/>
    <w:rsid w:val="2C653B71"/>
    <w:rsid w:val="2C6A7CDA"/>
    <w:rsid w:val="2D032F3B"/>
    <w:rsid w:val="2D0F5835"/>
    <w:rsid w:val="2D1D346F"/>
    <w:rsid w:val="2D4706E4"/>
    <w:rsid w:val="2D730E01"/>
    <w:rsid w:val="2D922E71"/>
    <w:rsid w:val="2DC357FE"/>
    <w:rsid w:val="2EB56D0E"/>
    <w:rsid w:val="2F256893"/>
    <w:rsid w:val="2F360E8A"/>
    <w:rsid w:val="2F72073A"/>
    <w:rsid w:val="2F994889"/>
    <w:rsid w:val="2FE36517"/>
    <w:rsid w:val="305647A1"/>
    <w:rsid w:val="30DF6901"/>
    <w:rsid w:val="31181BDF"/>
    <w:rsid w:val="311E1ECE"/>
    <w:rsid w:val="314A2AA9"/>
    <w:rsid w:val="31551F0A"/>
    <w:rsid w:val="316731F9"/>
    <w:rsid w:val="31CD562C"/>
    <w:rsid w:val="31F027B4"/>
    <w:rsid w:val="31FC6EEF"/>
    <w:rsid w:val="32BD2370"/>
    <w:rsid w:val="32F010CA"/>
    <w:rsid w:val="333A261A"/>
    <w:rsid w:val="34487BC4"/>
    <w:rsid w:val="344B7980"/>
    <w:rsid w:val="34631375"/>
    <w:rsid w:val="34DF2DE1"/>
    <w:rsid w:val="353B3F51"/>
    <w:rsid w:val="35D40750"/>
    <w:rsid w:val="361A2C59"/>
    <w:rsid w:val="36262538"/>
    <w:rsid w:val="362650BA"/>
    <w:rsid w:val="362B50F4"/>
    <w:rsid w:val="3655299E"/>
    <w:rsid w:val="36A6790D"/>
    <w:rsid w:val="36B0330D"/>
    <w:rsid w:val="36B45260"/>
    <w:rsid w:val="36B82170"/>
    <w:rsid w:val="38447F0B"/>
    <w:rsid w:val="38743A12"/>
    <w:rsid w:val="39195F1C"/>
    <w:rsid w:val="39562523"/>
    <w:rsid w:val="39635633"/>
    <w:rsid w:val="39893367"/>
    <w:rsid w:val="39D80FC4"/>
    <w:rsid w:val="39E24B1B"/>
    <w:rsid w:val="3A1F639E"/>
    <w:rsid w:val="3A82634F"/>
    <w:rsid w:val="3A921075"/>
    <w:rsid w:val="3AA2003E"/>
    <w:rsid w:val="3B156F22"/>
    <w:rsid w:val="3B53126D"/>
    <w:rsid w:val="3C564D13"/>
    <w:rsid w:val="3D271378"/>
    <w:rsid w:val="3DFA50E5"/>
    <w:rsid w:val="3E081532"/>
    <w:rsid w:val="3E236967"/>
    <w:rsid w:val="3E442FE5"/>
    <w:rsid w:val="3E492D6E"/>
    <w:rsid w:val="3E62259E"/>
    <w:rsid w:val="3F0260AB"/>
    <w:rsid w:val="3F274043"/>
    <w:rsid w:val="3F576544"/>
    <w:rsid w:val="3F5C247F"/>
    <w:rsid w:val="3FB3766C"/>
    <w:rsid w:val="3FCB06CE"/>
    <w:rsid w:val="3FE2692D"/>
    <w:rsid w:val="40273743"/>
    <w:rsid w:val="404F417B"/>
    <w:rsid w:val="40643CB1"/>
    <w:rsid w:val="409E2FB8"/>
    <w:rsid w:val="40A262F2"/>
    <w:rsid w:val="41A308CE"/>
    <w:rsid w:val="41D42A78"/>
    <w:rsid w:val="41D9757E"/>
    <w:rsid w:val="41F849FC"/>
    <w:rsid w:val="427F7AC3"/>
    <w:rsid w:val="42B0356C"/>
    <w:rsid w:val="42C20230"/>
    <w:rsid w:val="42E40453"/>
    <w:rsid w:val="42F94F97"/>
    <w:rsid w:val="430A0F06"/>
    <w:rsid w:val="43127090"/>
    <w:rsid w:val="431C75A1"/>
    <w:rsid w:val="43C94E64"/>
    <w:rsid w:val="4419696D"/>
    <w:rsid w:val="4435226F"/>
    <w:rsid w:val="44A45E1E"/>
    <w:rsid w:val="456D44C3"/>
    <w:rsid w:val="45E14A57"/>
    <w:rsid w:val="45ED35E9"/>
    <w:rsid w:val="46095C12"/>
    <w:rsid w:val="463531B3"/>
    <w:rsid w:val="46500252"/>
    <w:rsid w:val="476827B0"/>
    <w:rsid w:val="47834613"/>
    <w:rsid w:val="47915C00"/>
    <w:rsid w:val="47D762BC"/>
    <w:rsid w:val="48072D2C"/>
    <w:rsid w:val="482220BF"/>
    <w:rsid w:val="48406E03"/>
    <w:rsid w:val="48AD5C0B"/>
    <w:rsid w:val="48B7021D"/>
    <w:rsid w:val="48D26FE0"/>
    <w:rsid w:val="48FC0C92"/>
    <w:rsid w:val="49383A30"/>
    <w:rsid w:val="493F79FA"/>
    <w:rsid w:val="49EF0B92"/>
    <w:rsid w:val="4A1C2B49"/>
    <w:rsid w:val="4A3B03E4"/>
    <w:rsid w:val="4A3C34B3"/>
    <w:rsid w:val="4A7651B2"/>
    <w:rsid w:val="4A8411E4"/>
    <w:rsid w:val="4AD2754A"/>
    <w:rsid w:val="4B7D791F"/>
    <w:rsid w:val="4B8273AC"/>
    <w:rsid w:val="4B8D5831"/>
    <w:rsid w:val="4B963CC4"/>
    <w:rsid w:val="4C1E2853"/>
    <w:rsid w:val="4C323779"/>
    <w:rsid w:val="4CD81670"/>
    <w:rsid w:val="4CE449B3"/>
    <w:rsid w:val="4DE64C21"/>
    <w:rsid w:val="4E807A49"/>
    <w:rsid w:val="4F417075"/>
    <w:rsid w:val="4FD9388E"/>
    <w:rsid w:val="505B165B"/>
    <w:rsid w:val="51387AF0"/>
    <w:rsid w:val="518C7163"/>
    <w:rsid w:val="51DE2AE8"/>
    <w:rsid w:val="521D15F6"/>
    <w:rsid w:val="52347AB3"/>
    <w:rsid w:val="528B2817"/>
    <w:rsid w:val="52BE4C6D"/>
    <w:rsid w:val="52C46496"/>
    <w:rsid w:val="5336569F"/>
    <w:rsid w:val="5384132B"/>
    <w:rsid w:val="54080688"/>
    <w:rsid w:val="540A1B05"/>
    <w:rsid w:val="54305513"/>
    <w:rsid w:val="54365FFC"/>
    <w:rsid w:val="54AE27FD"/>
    <w:rsid w:val="552C4944"/>
    <w:rsid w:val="557D3CC9"/>
    <w:rsid w:val="564E5DD0"/>
    <w:rsid w:val="564F5492"/>
    <w:rsid w:val="565260A4"/>
    <w:rsid w:val="573D4207"/>
    <w:rsid w:val="57AA2F74"/>
    <w:rsid w:val="57C96C10"/>
    <w:rsid w:val="57D37CD2"/>
    <w:rsid w:val="5804702C"/>
    <w:rsid w:val="58341725"/>
    <w:rsid w:val="58671A3D"/>
    <w:rsid w:val="59095ADA"/>
    <w:rsid w:val="590D7F7C"/>
    <w:rsid w:val="59B52163"/>
    <w:rsid w:val="59FA5386"/>
    <w:rsid w:val="5A0E7B3D"/>
    <w:rsid w:val="5A574560"/>
    <w:rsid w:val="5A68428D"/>
    <w:rsid w:val="5A772A51"/>
    <w:rsid w:val="5A946D75"/>
    <w:rsid w:val="5B337FCF"/>
    <w:rsid w:val="5B5A7731"/>
    <w:rsid w:val="5CAF06E6"/>
    <w:rsid w:val="5CBF746D"/>
    <w:rsid w:val="5CC6716A"/>
    <w:rsid w:val="5CEB3645"/>
    <w:rsid w:val="5CEF24DF"/>
    <w:rsid w:val="5D673F81"/>
    <w:rsid w:val="5D8F68CB"/>
    <w:rsid w:val="5D9415C8"/>
    <w:rsid w:val="5DB260CD"/>
    <w:rsid w:val="5DF05AD8"/>
    <w:rsid w:val="5DF70731"/>
    <w:rsid w:val="5E0D0306"/>
    <w:rsid w:val="5E736781"/>
    <w:rsid w:val="5EEB016E"/>
    <w:rsid w:val="5F0812D2"/>
    <w:rsid w:val="5F5549BB"/>
    <w:rsid w:val="5FDB0F08"/>
    <w:rsid w:val="607F3F93"/>
    <w:rsid w:val="609032E8"/>
    <w:rsid w:val="60EA0DDF"/>
    <w:rsid w:val="61006517"/>
    <w:rsid w:val="610E340E"/>
    <w:rsid w:val="61131757"/>
    <w:rsid w:val="61545545"/>
    <w:rsid w:val="617236C7"/>
    <w:rsid w:val="617D5C37"/>
    <w:rsid w:val="618A00B2"/>
    <w:rsid w:val="622B17F7"/>
    <w:rsid w:val="62786158"/>
    <w:rsid w:val="627B45CC"/>
    <w:rsid w:val="62902829"/>
    <w:rsid w:val="62B01045"/>
    <w:rsid w:val="63557F21"/>
    <w:rsid w:val="63742EE6"/>
    <w:rsid w:val="638C7144"/>
    <w:rsid w:val="63FF2491"/>
    <w:rsid w:val="64433BB9"/>
    <w:rsid w:val="64D1583E"/>
    <w:rsid w:val="650804CD"/>
    <w:rsid w:val="650D0F51"/>
    <w:rsid w:val="65761215"/>
    <w:rsid w:val="65C74C65"/>
    <w:rsid w:val="66D40AA0"/>
    <w:rsid w:val="675B6C9D"/>
    <w:rsid w:val="676443C0"/>
    <w:rsid w:val="67E350B4"/>
    <w:rsid w:val="68063ECB"/>
    <w:rsid w:val="680B700F"/>
    <w:rsid w:val="68221A94"/>
    <w:rsid w:val="686F4862"/>
    <w:rsid w:val="691A0BCD"/>
    <w:rsid w:val="69457EFC"/>
    <w:rsid w:val="699472FA"/>
    <w:rsid w:val="69B65F05"/>
    <w:rsid w:val="69D15062"/>
    <w:rsid w:val="69FB49F8"/>
    <w:rsid w:val="6A27093D"/>
    <w:rsid w:val="6A4C6CA0"/>
    <w:rsid w:val="6AA56F2B"/>
    <w:rsid w:val="6AB344C4"/>
    <w:rsid w:val="6B393BD3"/>
    <w:rsid w:val="6B6F6869"/>
    <w:rsid w:val="6BDB5885"/>
    <w:rsid w:val="6C2542F6"/>
    <w:rsid w:val="6C404583"/>
    <w:rsid w:val="6C604735"/>
    <w:rsid w:val="6C672C4F"/>
    <w:rsid w:val="6CA06BE7"/>
    <w:rsid w:val="6D5876AF"/>
    <w:rsid w:val="6DD94C07"/>
    <w:rsid w:val="6E7E324D"/>
    <w:rsid w:val="6ED17295"/>
    <w:rsid w:val="6EE37295"/>
    <w:rsid w:val="6F1A2945"/>
    <w:rsid w:val="6F1D39F5"/>
    <w:rsid w:val="6F6272A1"/>
    <w:rsid w:val="6FA87071"/>
    <w:rsid w:val="6FBC5D7D"/>
    <w:rsid w:val="6FC07691"/>
    <w:rsid w:val="6FC30D8B"/>
    <w:rsid w:val="6FF90822"/>
    <w:rsid w:val="6FFE06FA"/>
    <w:rsid w:val="700B4B8F"/>
    <w:rsid w:val="703838B8"/>
    <w:rsid w:val="70C10F07"/>
    <w:rsid w:val="70DB7BC9"/>
    <w:rsid w:val="711C3605"/>
    <w:rsid w:val="71257D4A"/>
    <w:rsid w:val="71A514DF"/>
    <w:rsid w:val="71DA3A67"/>
    <w:rsid w:val="71E77E1E"/>
    <w:rsid w:val="725607BF"/>
    <w:rsid w:val="72896184"/>
    <w:rsid w:val="72941727"/>
    <w:rsid w:val="72A4188D"/>
    <w:rsid w:val="72AA7097"/>
    <w:rsid w:val="72D8536D"/>
    <w:rsid w:val="73055DD5"/>
    <w:rsid w:val="73065B1A"/>
    <w:rsid w:val="737867D6"/>
    <w:rsid w:val="73BD5601"/>
    <w:rsid w:val="73DF64AF"/>
    <w:rsid w:val="74833863"/>
    <w:rsid w:val="749918F8"/>
    <w:rsid w:val="74A21657"/>
    <w:rsid w:val="74BA0A58"/>
    <w:rsid w:val="75B4120C"/>
    <w:rsid w:val="75B67306"/>
    <w:rsid w:val="75B964B9"/>
    <w:rsid w:val="75D31E87"/>
    <w:rsid w:val="75D97145"/>
    <w:rsid w:val="760561F9"/>
    <w:rsid w:val="776C5ED2"/>
    <w:rsid w:val="776D5939"/>
    <w:rsid w:val="778E3DD5"/>
    <w:rsid w:val="779D12D2"/>
    <w:rsid w:val="783267D4"/>
    <w:rsid w:val="78CF3015"/>
    <w:rsid w:val="78E44BDD"/>
    <w:rsid w:val="792B1C98"/>
    <w:rsid w:val="79577564"/>
    <w:rsid w:val="796C0CE2"/>
    <w:rsid w:val="798816DC"/>
    <w:rsid w:val="7AAF0697"/>
    <w:rsid w:val="7AF84F7C"/>
    <w:rsid w:val="7B092D06"/>
    <w:rsid w:val="7B1A34EE"/>
    <w:rsid w:val="7B470F8D"/>
    <w:rsid w:val="7B673419"/>
    <w:rsid w:val="7B8E4F2C"/>
    <w:rsid w:val="7B9265CA"/>
    <w:rsid w:val="7C1072BB"/>
    <w:rsid w:val="7C401C87"/>
    <w:rsid w:val="7D142410"/>
    <w:rsid w:val="7D26583B"/>
    <w:rsid w:val="7D573406"/>
    <w:rsid w:val="7DAB67B6"/>
    <w:rsid w:val="7DCB04D8"/>
    <w:rsid w:val="7E0A3AC1"/>
    <w:rsid w:val="7E134FC3"/>
    <w:rsid w:val="7E1C480E"/>
    <w:rsid w:val="7E3319B1"/>
    <w:rsid w:val="7E4E6535"/>
    <w:rsid w:val="7E91790C"/>
    <w:rsid w:val="7EB36E61"/>
    <w:rsid w:val="7FC90080"/>
    <w:rsid w:val="7FF618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widowControl/>
      <w:spacing w:before="100" w:beforeAutospacing="1" w:after="100" w:afterAutospacing="1"/>
      <w:jc w:val="left"/>
      <w:outlineLvl w:val="1"/>
    </w:pPr>
    <w:rPr>
      <w:rFonts w:ascii="宋体" w:hAnsi="宋体" w:cs="宋体"/>
      <w:b/>
      <w:bCs/>
      <w:kern w:val="0"/>
      <w:sz w:val="36"/>
      <w:szCs w:val="36"/>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2021-04-18T09:51:00Z</dcterms:created>
  <dc:creator>朱亭雅</dc:creator>
  <cp:lastModifiedBy>朱亭雅</cp:lastModifiedBy>
  <dcterms:modified xsi:type="dcterms:W3CDTF">2026-03-23T01:25:18Z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77C6068441DA4C23A1E1256606B5042B</vt:lpwstr>
  </property>
</Properties>
</file>