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cs="宋体"/>
        </w:rPr>
      </w:pPr>
      <w:bookmarkStart w:id="0" w:name="_Toc114028927"/>
      <w:r>
        <w:rPr>
          <w:rFonts w:hint="eastAsia" w:ascii="宋体" w:hAnsi="宋体" w:cs="宋体"/>
          <w:sz w:val="52"/>
          <w:szCs w:val="52"/>
        </w:rPr>
        <w:drawing>
          <wp:anchor distT="0" distB="0" distL="114300" distR="114300" simplePos="0" relativeHeight="251660288" behindDoc="1" locked="0" layoutInCell="1" allowOverlap="1">
            <wp:simplePos x="0" y="0"/>
            <wp:positionH relativeFrom="column">
              <wp:posOffset>-887095</wp:posOffset>
            </wp:positionH>
            <wp:positionV relativeFrom="paragraph">
              <wp:posOffset>-1185545</wp:posOffset>
            </wp:positionV>
            <wp:extent cx="7972425" cy="2585720"/>
            <wp:effectExtent l="0" t="0" r="9525" b="5080"/>
            <wp:wrapTight wrapText="bothSides">
              <wp:wrapPolygon>
                <wp:start x="21592" y="-2"/>
                <wp:lineTo x="0" y="0"/>
                <wp:lineTo x="0" y="21599"/>
                <wp:lineTo x="21592" y="21601"/>
                <wp:lineTo x="8" y="21601"/>
                <wp:lineTo x="21600" y="21599"/>
                <wp:lineTo x="21600" y="0"/>
                <wp:lineTo x="8" y="-2"/>
                <wp:lineTo x="21592" y="-2"/>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pic:cNvPicPr>
                  </pic:nvPicPr>
                  <pic:blipFill>
                    <a:blip r:embed="rId10"/>
                    <a:stretch>
                      <a:fillRect/>
                    </a:stretch>
                  </pic:blipFill>
                  <pic:spPr>
                    <a:xfrm>
                      <a:off x="0" y="0"/>
                      <a:ext cx="7972425" cy="2585720"/>
                    </a:xfrm>
                    <a:prstGeom prst="rect">
                      <a:avLst/>
                    </a:prstGeom>
                    <a:noFill/>
                    <a:ln>
                      <a:noFill/>
                    </a:ln>
                  </pic:spPr>
                </pic:pic>
              </a:graphicData>
            </a:graphic>
          </wp:anchor>
        </w:drawing>
      </w:r>
    </w:p>
    <w:p>
      <w:pPr>
        <w:pStyle w:val="158"/>
        <w:ind w:firstLine="0" w:firstLineChars="0"/>
        <w:jc w:val="center"/>
        <w:rPr>
          <w:rFonts w:hint="eastAsia" w:cs="宋体"/>
          <w:sz w:val="52"/>
          <w:szCs w:val="52"/>
        </w:rPr>
      </w:pPr>
      <w:r>
        <w:rPr>
          <w:rFonts w:hint="eastAsia" w:cs="宋体"/>
          <w:sz w:val="52"/>
          <w:szCs w:val="52"/>
        </w:rPr>
        <mc:AlternateContent>
          <mc:Choice Requires="wps">
            <w:drawing>
              <wp:anchor distT="0" distB="0" distL="114300" distR="114300" simplePos="0" relativeHeight="251659264" behindDoc="0" locked="0" layoutInCell="1" allowOverlap="1">
                <wp:simplePos x="0" y="0"/>
                <wp:positionH relativeFrom="column">
                  <wp:posOffset>-311785</wp:posOffset>
                </wp:positionH>
                <wp:positionV relativeFrom="paragraph">
                  <wp:posOffset>62865</wp:posOffset>
                </wp:positionV>
                <wp:extent cx="6267450" cy="6271895"/>
                <wp:effectExtent l="0" t="0" r="0" b="14605"/>
                <wp:wrapNone/>
                <wp:docPr id="1" name="文本框 3"/>
                <wp:cNvGraphicFramePr/>
                <a:graphic xmlns:a="http://schemas.openxmlformats.org/drawingml/2006/main">
                  <a:graphicData uri="http://schemas.microsoft.com/office/word/2010/wordprocessingShape">
                    <wps:wsp>
                      <wps:cNvSpPr txBox="1"/>
                      <wps:spPr>
                        <a:xfrm>
                          <a:off x="0" y="0"/>
                          <a:ext cx="6267450" cy="6271895"/>
                        </a:xfrm>
                        <a:prstGeom prst="rect">
                          <a:avLst/>
                        </a:prstGeom>
                        <a:solidFill>
                          <a:srgbClr val="FFFFFF"/>
                        </a:solidFill>
                        <a:ln>
                          <a:noFill/>
                        </a:ln>
                      </wps:spPr>
                      <wps:txbx>
                        <w:txbxContent>
                          <w:p>
                            <w:pPr>
                              <w:jc w:val="center"/>
                              <w:rPr>
                                <w:rFonts w:hint="eastAsia" w:eastAsia="黑体"/>
                                <w:b/>
                                <w:sz w:val="52"/>
                              </w:rPr>
                            </w:pPr>
                            <w:r>
                              <w:rPr>
                                <w:rFonts w:hint="eastAsia" w:eastAsia="黑体"/>
                                <w:b/>
                                <w:sz w:val="52"/>
                              </w:rPr>
                              <w:t>220V单相低压调压器</w:t>
                            </w:r>
                          </w:p>
                          <w:p>
                            <w:pPr>
                              <w:jc w:val="center"/>
                              <w:rPr>
                                <w:rFonts w:hint="eastAsia" w:eastAsia="黑体"/>
                                <w:b/>
                                <w:sz w:val="52"/>
                              </w:rPr>
                            </w:pPr>
                            <w:r>
                              <w:rPr>
                                <w:rFonts w:hint="eastAsia" w:eastAsia="黑体"/>
                                <w:b/>
                                <w:sz w:val="52"/>
                              </w:rPr>
                              <w:t>技术规范书</w:t>
                            </w:r>
                          </w:p>
                          <w:p>
                            <w:pPr>
                              <w:spacing w:before="624" w:beforeLines="200"/>
                              <w:ind w:firstLine="2873" w:firstLineChars="795"/>
                              <w:jc w:val="left"/>
                              <w:rPr>
                                <w:rFonts w:hint="eastAsia" w:eastAsia="黑体"/>
                                <w:b/>
                                <w:sz w:val="36"/>
                              </w:rPr>
                            </w:pPr>
                          </w:p>
                          <w:p>
                            <w:pPr>
                              <w:spacing w:before="624" w:beforeLines="200"/>
                              <w:ind w:firstLine="2873" w:firstLineChars="795"/>
                              <w:jc w:val="left"/>
                              <w:rPr>
                                <w:rFonts w:hint="eastAsia" w:eastAsia="黑体"/>
                                <w:b/>
                                <w:sz w:val="36"/>
                              </w:rPr>
                            </w:pPr>
                          </w:p>
                          <w:p>
                            <w:pPr>
                              <w:spacing w:before="624" w:beforeLines="200"/>
                              <w:jc w:val="center"/>
                              <w:rPr>
                                <w:rFonts w:hint="eastAsia" w:ascii="黑体" w:eastAsia="黑体"/>
                                <w:b/>
                                <w:spacing w:val="20"/>
                                <w:w w:val="135"/>
                                <w:sz w:val="30"/>
                              </w:rPr>
                            </w:pPr>
                          </w:p>
                          <w:p>
                            <w:pPr>
                              <w:pStyle w:val="2"/>
                              <w:rPr>
                                <w:rFonts w:hint="eastAsia" w:ascii="黑体" w:eastAsia="黑体"/>
                                <w:b/>
                                <w:spacing w:val="20"/>
                                <w:w w:val="135"/>
                                <w:sz w:val="30"/>
                              </w:rPr>
                            </w:pPr>
                          </w:p>
                          <w:p>
                            <w:pPr>
                              <w:pStyle w:val="2"/>
                              <w:rPr>
                                <w:rFonts w:hint="eastAsia" w:ascii="黑体" w:eastAsia="黑体"/>
                                <w:b/>
                                <w:spacing w:val="20"/>
                                <w:w w:val="135"/>
                                <w:sz w:val="30"/>
                              </w:rPr>
                            </w:pPr>
                          </w:p>
                          <w:p>
                            <w:pPr>
                              <w:pStyle w:val="2"/>
                              <w:rPr>
                                <w:rFonts w:hint="eastAsia" w:ascii="黑体" w:eastAsia="黑体"/>
                                <w:b/>
                                <w:spacing w:val="20"/>
                                <w:w w:val="135"/>
                                <w:sz w:val="30"/>
                              </w:rPr>
                            </w:pPr>
                          </w:p>
                          <w:p>
                            <w:pPr>
                              <w:jc w:val="center"/>
                              <w:rPr>
                                <w:rFonts w:hint="eastAsia" w:ascii="黑体" w:eastAsia="黑体"/>
                                <w:b/>
                                <w:spacing w:val="20"/>
                                <w:w w:val="135"/>
                                <w:sz w:val="30"/>
                              </w:rPr>
                            </w:pPr>
                            <w:r>
                              <w:rPr>
                                <w:rFonts w:hint="eastAsia" w:ascii="黑体" w:eastAsia="黑体"/>
                                <w:b/>
                                <w:spacing w:val="20"/>
                                <w:w w:val="135"/>
                                <w:sz w:val="30"/>
                                <w:lang w:val="en-US" w:eastAsia="zh-CN"/>
                              </w:rPr>
                              <w:t>广西</w:t>
                            </w:r>
                            <w:r>
                              <w:rPr>
                                <w:rFonts w:hint="eastAsia" w:ascii="黑体" w:eastAsia="黑体"/>
                                <w:b/>
                                <w:spacing w:val="20"/>
                                <w:w w:val="135"/>
                                <w:sz w:val="30"/>
                              </w:rPr>
                              <w:t>电网有限责任公司</w:t>
                            </w:r>
                          </w:p>
                          <w:p>
                            <w:pPr>
                              <w:jc w:val="center"/>
                              <w:rPr>
                                <w:rFonts w:hint="eastAsia" w:eastAsia="黑体"/>
                                <w:b/>
                                <w:sz w:val="36"/>
                              </w:rPr>
                            </w:pPr>
                            <w:r>
                              <w:rPr>
                                <w:rFonts w:hint="eastAsia" w:ascii="黑体" w:eastAsia="黑体"/>
                                <w:b/>
                                <w:spacing w:val="20"/>
                                <w:w w:val="135"/>
                                <w:sz w:val="30"/>
                              </w:rPr>
                              <w:t>202</w:t>
                            </w:r>
                            <w:r>
                              <w:rPr>
                                <w:rFonts w:hint="eastAsia" w:ascii="黑体" w:eastAsia="黑体"/>
                                <w:b/>
                                <w:spacing w:val="20"/>
                                <w:w w:val="135"/>
                                <w:sz w:val="30"/>
                                <w:lang w:val="en-US" w:eastAsia="zh-CN"/>
                              </w:rPr>
                              <w:t>6</w:t>
                            </w:r>
                            <w:r>
                              <w:rPr>
                                <w:rFonts w:hint="eastAsia" w:ascii="黑体" w:eastAsia="黑体"/>
                                <w:b/>
                                <w:spacing w:val="20"/>
                                <w:w w:val="135"/>
                                <w:sz w:val="30"/>
                              </w:rPr>
                              <w:t>年0</w:t>
                            </w:r>
                            <w:r>
                              <w:rPr>
                                <w:rFonts w:hint="eastAsia" w:ascii="黑体" w:eastAsia="黑体"/>
                                <w:b/>
                                <w:spacing w:val="20"/>
                                <w:w w:val="135"/>
                                <w:sz w:val="30"/>
                                <w:lang w:val="en-US" w:eastAsia="zh-CN"/>
                              </w:rPr>
                              <w:t>3</w:t>
                            </w:r>
                            <w:r>
                              <w:rPr>
                                <w:rFonts w:hint="eastAsia" w:ascii="黑体" w:eastAsia="黑体"/>
                                <w:b/>
                                <w:spacing w:val="20"/>
                                <w:w w:val="135"/>
                                <w:sz w:val="30"/>
                              </w:rPr>
                              <w:t>月</w:t>
                            </w:r>
                          </w:p>
                          <w:p>
                            <w:pPr>
                              <w:spacing w:before="624" w:beforeLines="200"/>
                              <w:ind w:firstLine="2873" w:firstLineChars="795"/>
                              <w:jc w:val="left"/>
                              <w:rPr>
                                <w:rFonts w:hint="eastAsia" w:eastAsia="黑体"/>
                                <w:b/>
                                <w:sz w:val="36"/>
                              </w:rPr>
                            </w:pPr>
                          </w:p>
                          <w:p>
                            <w:pPr>
                              <w:spacing w:before="624" w:beforeLines="200"/>
                              <w:jc w:val="center"/>
                              <w:rPr>
                                <w:rFonts w:hint="eastAsia" w:eastAsia="黑体"/>
                                <w:b/>
                                <w:sz w:val="52"/>
                              </w:rPr>
                            </w:pPr>
                          </w:p>
                          <w:p>
                            <w:pPr>
                              <w:spacing w:before="624" w:beforeLines="200"/>
                              <w:jc w:val="center"/>
                              <w:rPr>
                                <w:rFonts w:hint="eastAsia" w:eastAsia="黑体"/>
                                <w:b/>
                                <w:sz w:val="52"/>
                              </w:rPr>
                            </w:pPr>
                          </w:p>
                          <w:p>
                            <w:pPr>
                              <w:spacing w:before="624" w:beforeLines="200"/>
                              <w:jc w:val="center"/>
                              <w:rPr>
                                <w:rFonts w:hint="eastAsia" w:eastAsia="黑体"/>
                                <w:b/>
                                <w:sz w:val="52"/>
                              </w:rPr>
                            </w:pPr>
                          </w:p>
                          <w:p>
                            <w:pPr>
                              <w:spacing w:before="624" w:beforeLines="200"/>
                              <w:jc w:val="center"/>
                              <w:rPr>
                                <w:rFonts w:hint="eastAsia" w:eastAsia="黑体"/>
                                <w:b/>
                                <w:sz w:val="52"/>
                              </w:rPr>
                            </w:pPr>
                          </w:p>
                          <w:p>
                            <w:pPr>
                              <w:spacing w:before="624" w:beforeLines="200"/>
                              <w:jc w:val="center"/>
                              <w:rPr>
                                <w:rFonts w:hint="eastAsia" w:eastAsia="黑体"/>
                                <w:b/>
                                <w:sz w:val="52"/>
                              </w:rPr>
                            </w:pPr>
                          </w:p>
                          <w:p>
                            <w:pPr>
                              <w:jc w:val="center"/>
                              <w:rPr>
                                <w:rFonts w:hint="eastAsia" w:eastAsia="黑体"/>
                                <w:b/>
                                <w:sz w:val="52"/>
                              </w:rPr>
                            </w:pPr>
                          </w:p>
                          <w:p>
                            <w:pPr>
                              <w:jc w:val="center"/>
                              <w:rPr>
                                <w:rFonts w:hint="eastAsia" w:eastAsia="黑体"/>
                                <w:b/>
                                <w:sz w:val="52"/>
                              </w:rPr>
                            </w:pPr>
                          </w:p>
                          <w:p>
                            <w:pPr>
                              <w:jc w:val="center"/>
                              <w:rPr>
                                <w:rFonts w:hint="eastAsia" w:eastAsia="黑体"/>
                                <w:b/>
                                <w:sz w:val="52"/>
                              </w:rPr>
                            </w:pPr>
                          </w:p>
                        </w:txbxContent>
                      </wps:txbx>
                      <wps:bodyPr lIns="0" tIns="0" rIns="91440" bIns="45720" upright="1"/>
                    </wps:wsp>
                  </a:graphicData>
                </a:graphic>
              </wp:anchor>
            </w:drawing>
          </mc:Choice>
          <mc:Fallback>
            <w:pict>
              <v:shape id="文本框 3" o:spid="_x0000_s1026" o:spt="202" type="#_x0000_t202" style="position:absolute;left:0pt;margin-left:-24.55pt;margin-top:4.95pt;height:493.85pt;width:493.5pt;z-index:251659264;mso-width-relative:page;mso-height-relative:page;" fillcolor="#FFFFFF" filled="t" stroked="f" coordsize="21600,21600" o:gfxdata="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FtA17ZAAAACQEAAA8AAAAAAAAA&#10;AQAgAAAAIgAAAGRycy9kb3ducmV2LnhtbFBLAQIUABQAAAAIAIdO4kBt42L/1wEAAKQDAAAOAAAA&#10;AAAAAAEAIAAAACgBAABkcnMvZTJvRG9jLnhtbFBLBQYAAAAABgAGAFkBAABxBQAAAAA=&#10;">
                <v:fill on="t" focussize="0,0"/>
                <v:stroke on="f"/>
                <v:imagedata o:title=""/>
                <o:lock v:ext="edit" aspectratio="f"/>
                <v:textbox inset="0mm,0mm,2.54mm,1.27mm">
                  <w:txbxContent>
                    <w:p>
                      <w:pPr>
                        <w:jc w:val="center"/>
                        <w:rPr>
                          <w:rFonts w:hint="eastAsia" w:eastAsia="黑体"/>
                          <w:b/>
                          <w:sz w:val="52"/>
                        </w:rPr>
                      </w:pPr>
                      <w:r>
                        <w:rPr>
                          <w:rFonts w:hint="eastAsia" w:eastAsia="黑体"/>
                          <w:b/>
                          <w:sz w:val="52"/>
                        </w:rPr>
                        <w:t>220V单相低压调压器</w:t>
                      </w:r>
                    </w:p>
                    <w:p>
                      <w:pPr>
                        <w:jc w:val="center"/>
                        <w:rPr>
                          <w:rFonts w:hint="eastAsia" w:eastAsia="黑体"/>
                          <w:b/>
                          <w:sz w:val="52"/>
                        </w:rPr>
                      </w:pPr>
                      <w:r>
                        <w:rPr>
                          <w:rFonts w:hint="eastAsia" w:eastAsia="黑体"/>
                          <w:b/>
                          <w:sz w:val="52"/>
                        </w:rPr>
                        <w:t>技术规范书</w:t>
                      </w:r>
                    </w:p>
                    <w:p>
                      <w:pPr>
                        <w:spacing w:before="624" w:beforeLines="200"/>
                        <w:ind w:firstLine="2873" w:firstLineChars="795"/>
                        <w:jc w:val="left"/>
                        <w:rPr>
                          <w:rFonts w:hint="eastAsia" w:eastAsia="黑体"/>
                          <w:b/>
                          <w:sz w:val="36"/>
                        </w:rPr>
                      </w:pPr>
                    </w:p>
                    <w:p>
                      <w:pPr>
                        <w:spacing w:before="624" w:beforeLines="200"/>
                        <w:ind w:firstLine="2873" w:firstLineChars="795"/>
                        <w:jc w:val="left"/>
                        <w:rPr>
                          <w:rFonts w:hint="eastAsia" w:eastAsia="黑体"/>
                          <w:b/>
                          <w:sz w:val="36"/>
                        </w:rPr>
                      </w:pPr>
                    </w:p>
                    <w:p>
                      <w:pPr>
                        <w:spacing w:before="624" w:beforeLines="200"/>
                        <w:jc w:val="center"/>
                        <w:rPr>
                          <w:rFonts w:hint="eastAsia" w:ascii="黑体" w:eastAsia="黑体"/>
                          <w:b/>
                          <w:spacing w:val="20"/>
                          <w:w w:val="135"/>
                          <w:sz w:val="30"/>
                        </w:rPr>
                      </w:pPr>
                    </w:p>
                    <w:p>
                      <w:pPr>
                        <w:pStyle w:val="2"/>
                        <w:rPr>
                          <w:rFonts w:hint="eastAsia" w:ascii="黑体" w:eastAsia="黑体"/>
                          <w:b/>
                          <w:spacing w:val="20"/>
                          <w:w w:val="135"/>
                          <w:sz w:val="30"/>
                        </w:rPr>
                      </w:pPr>
                    </w:p>
                    <w:p>
                      <w:pPr>
                        <w:pStyle w:val="2"/>
                        <w:rPr>
                          <w:rFonts w:hint="eastAsia" w:ascii="黑体" w:eastAsia="黑体"/>
                          <w:b/>
                          <w:spacing w:val="20"/>
                          <w:w w:val="135"/>
                          <w:sz w:val="30"/>
                        </w:rPr>
                      </w:pPr>
                    </w:p>
                    <w:p>
                      <w:pPr>
                        <w:pStyle w:val="2"/>
                        <w:rPr>
                          <w:rFonts w:hint="eastAsia" w:ascii="黑体" w:eastAsia="黑体"/>
                          <w:b/>
                          <w:spacing w:val="20"/>
                          <w:w w:val="135"/>
                          <w:sz w:val="30"/>
                        </w:rPr>
                      </w:pPr>
                    </w:p>
                    <w:p>
                      <w:pPr>
                        <w:jc w:val="center"/>
                        <w:rPr>
                          <w:rFonts w:hint="eastAsia" w:ascii="黑体" w:eastAsia="黑体"/>
                          <w:b/>
                          <w:spacing w:val="20"/>
                          <w:w w:val="135"/>
                          <w:sz w:val="30"/>
                        </w:rPr>
                      </w:pPr>
                      <w:r>
                        <w:rPr>
                          <w:rFonts w:hint="eastAsia" w:ascii="黑体" w:eastAsia="黑体"/>
                          <w:b/>
                          <w:spacing w:val="20"/>
                          <w:w w:val="135"/>
                          <w:sz w:val="30"/>
                          <w:lang w:val="en-US" w:eastAsia="zh-CN"/>
                        </w:rPr>
                        <w:t>广西</w:t>
                      </w:r>
                      <w:r>
                        <w:rPr>
                          <w:rFonts w:hint="eastAsia" w:ascii="黑体" w:eastAsia="黑体"/>
                          <w:b/>
                          <w:spacing w:val="20"/>
                          <w:w w:val="135"/>
                          <w:sz w:val="30"/>
                        </w:rPr>
                        <w:t>电网有限责任公司</w:t>
                      </w:r>
                    </w:p>
                    <w:p>
                      <w:pPr>
                        <w:jc w:val="center"/>
                        <w:rPr>
                          <w:rFonts w:hint="eastAsia" w:eastAsia="黑体"/>
                          <w:b/>
                          <w:sz w:val="36"/>
                        </w:rPr>
                      </w:pPr>
                      <w:r>
                        <w:rPr>
                          <w:rFonts w:hint="eastAsia" w:ascii="黑体" w:eastAsia="黑体"/>
                          <w:b/>
                          <w:spacing w:val="20"/>
                          <w:w w:val="135"/>
                          <w:sz w:val="30"/>
                        </w:rPr>
                        <w:t>202</w:t>
                      </w:r>
                      <w:r>
                        <w:rPr>
                          <w:rFonts w:hint="eastAsia" w:ascii="黑体" w:eastAsia="黑体"/>
                          <w:b/>
                          <w:spacing w:val="20"/>
                          <w:w w:val="135"/>
                          <w:sz w:val="30"/>
                          <w:lang w:val="en-US" w:eastAsia="zh-CN"/>
                        </w:rPr>
                        <w:t>6</w:t>
                      </w:r>
                      <w:r>
                        <w:rPr>
                          <w:rFonts w:hint="eastAsia" w:ascii="黑体" w:eastAsia="黑体"/>
                          <w:b/>
                          <w:spacing w:val="20"/>
                          <w:w w:val="135"/>
                          <w:sz w:val="30"/>
                        </w:rPr>
                        <w:t>年0</w:t>
                      </w:r>
                      <w:r>
                        <w:rPr>
                          <w:rFonts w:hint="eastAsia" w:ascii="黑体" w:eastAsia="黑体"/>
                          <w:b/>
                          <w:spacing w:val="20"/>
                          <w:w w:val="135"/>
                          <w:sz w:val="30"/>
                          <w:lang w:val="en-US" w:eastAsia="zh-CN"/>
                        </w:rPr>
                        <w:t>3</w:t>
                      </w:r>
                      <w:r>
                        <w:rPr>
                          <w:rFonts w:hint="eastAsia" w:ascii="黑体" w:eastAsia="黑体"/>
                          <w:b/>
                          <w:spacing w:val="20"/>
                          <w:w w:val="135"/>
                          <w:sz w:val="30"/>
                        </w:rPr>
                        <w:t>月</w:t>
                      </w:r>
                    </w:p>
                    <w:p>
                      <w:pPr>
                        <w:spacing w:before="624" w:beforeLines="200"/>
                        <w:ind w:firstLine="2873" w:firstLineChars="795"/>
                        <w:jc w:val="left"/>
                        <w:rPr>
                          <w:rFonts w:hint="eastAsia" w:eastAsia="黑体"/>
                          <w:b/>
                          <w:sz w:val="36"/>
                        </w:rPr>
                      </w:pPr>
                    </w:p>
                    <w:p>
                      <w:pPr>
                        <w:spacing w:before="624" w:beforeLines="200"/>
                        <w:jc w:val="center"/>
                        <w:rPr>
                          <w:rFonts w:hint="eastAsia" w:eastAsia="黑体"/>
                          <w:b/>
                          <w:sz w:val="52"/>
                        </w:rPr>
                      </w:pPr>
                    </w:p>
                    <w:p>
                      <w:pPr>
                        <w:spacing w:before="624" w:beforeLines="200"/>
                        <w:jc w:val="center"/>
                        <w:rPr>
                          <w:rFonts w:hint="eastAsia" w:eastAsia="黑体"/>
                          <w:b/>
                          <w:sz w:val="52"/>
                        </w:rPr>
                      </w:pPr>
                    </w:p>
                    <w:p>
                      <w:pPr>
                        <w:spacing w:before="624" w:beforeLines="200"/>
                        <w:jc w:val="center"/>
                        <w:rPr>
                          <w:rFonts w:hint="eastAsia" w:eastAsia="黑体"/>
                          <w:b/>
                          <w:sz w:val="52"/>
                        </w:rPr>
                      </w:pPr>
                    </w:p>
                    <w:p>
                      <w:pPr>
                        <w:spacing w:before="624" w:beforeLines="200"/>
                        <w:jc w:val="center"/>
                        <w:rPr>
                          <w:rFonts w:hint="eastAsia" w:eastAsia="黑体"/>
                          <w:b/>
                          <w:sz w:val="52"/>
                        </w:rPr>
                      </w:pPr>
                    </w:p>
                    <w:p>
                      <w:pPr>
                        <w:spacing w:before="624" w:beforeLines="200"/>
                        <w:jc w:val="center"/>
                        <w:rPr>
                          <w:rFonts w:hint="eastAsia" w:eastAsia="黑体"/>
                          <w:b/>
                          <w:sz w:val="52"/>
                        </w:rPr>
                      </w:pPr>
                    </w:p>
                    <w:p>
                      <w:pPr>
                        <w:jc w:val="center"/>
                        <w:rPr>
                          <w:rFonts w:hint="eastAsia" w:eastAsia="黑体"/>
                          <w:b/>
                          <w:sz w:val="52"/>
                        </w:rPr>
                      </w:pPr>
                    </w:p>
                    <w:p>
                      <w:pPr>
                        <w:jc w:val="center"/>
                        <w:rPr>
                          <w:rFonts w:hint="eastAsia" w:eastAsia="黑体"/>
                          <w:b/>
                          <w:sz w:val="52"/>
                        </w:rPr>
                      </w:pPr>
                    </w:p>
                    <w:p>
                      <w:pPr>
                        <w:jc w:val="center"/>
                        <w:rPr>
                          <w:rFonts w:hint="eastAsia" w:eastAsia="黑体"/>
                          <w:b/>
                          <w:sz w:val="52"/>
                        </w:rPr>
                      </w:pPr>
                    </w:p>
                  </w:txbxContent>
                </v:textbox>
              </v:shape>
            </w:pict>
          </mc:Fallback>
        </mc:AlternateContent>
      </w:r>
    </w:p>
    <w:p>
      <w:pPr>
        <w:pStyle w:val="158"/>
        <w:ind w:firstLine="0" w:firstLineChars="0"/>
        <w:jc w:val="center"/>
        <w:rPr>
          <w:rFonts w:hint="eastAsia" w:cs="宋体"/>
          <w:sz w:val="52"/>
          <w:szCs w:val="52"/>
        </w:rPr>
      </w:pPr>
    </w:p>
    <w:p>
      <w:pPr>
        <w:pStyle w:val="158"/>
        <w:ind w:firstLine="0" w:firstLineChars="0"/>
        <w:jc w:val="center"/>
        <w:rPr>
          <w:rFonts w:hint="eastAsia" w:cs="宋体"/>
          <w:sz w:val="52"/>
          <w:szCs w:val="52"/>
        </w:rPr>
      </w:pPr>
    </w:p>
    <w:p>
      <w:pPr>
        <w:pStyle w:val="158"/>
        <w:ind w:firstLine="0" w:firstLineChars="0"/>
        <w:jc w:val="center"/>
        <w:rPr>
          <w:rFonts w:hint="eastAsia" w:cs="宋体"/>
          <w:sz w:val="52"/>
          <w:szCs w:val="52"/>
        </w:rPr>
      </w:pPr>
    </w:p>
    <w:p>
      <w:pPr>
        <w:jc w:val="center"/>
        <w:rPr>
          <w:rFonts w:hint="eastAsia" w:ascii="宋体" w:hAnsi="宋体" w:cs="宋体"/>
          <w:b/>
          <w:sz w:val="28"/>
          <w:szCs w:val="28"/>
        </w:rPr>
      </w:pPr>
      <w:r>
        <w:rPr>
          <w:rFonts w:hint="eastAsia" w:ascii="宋体" w:hAnsi="宋体" w:cs="宋体"/>
          <w:b/>
          <w:sz w:val="28"/>
          <w:szCs w:val="28"/>
        </w:rPr>
        <w:t xml:space="preserve"> </w:t>
      </w:r>
    </w:p>
    <w:bookmarkEnd w:id="0"/>
    <w:p>
      <w:pPr>
        <w:topLinePunct/>
        <w:spacing w:line="1200" w:lineRule="auto"/>
        <w:jc w:val="center"/>
        <w:rPr>
          <w:rFonts w:hint="eastAsia" w:ascii="宋体" w:hAnsi="宋体" w:cs="宋体"/>
          <w:sz w:val="32"/>
        </w:rPr>
        <w:sectPr>
          <w:headerReference r:id="rId4" w:type="first"/>
          <w:footerReference r:id="rId5" w:type="default"/>
          <w:headerReference r:id="rId3" w:type="even"/>
          <w:footerReference r:id="rId6" w:type="even"/>
          <w:pgSz w:w="11907" w:h="16840"/>
          <w:pgMar w:top="1814" w:right="1247" w:bottom="1531" w:left="1247" w:header="1134" w:footer="1077" w:gutter="0"/>
          <w:cols w:space="708" w:num="1"/>
          <w:docGrid w:type="lines" w:linePitch="312" w:charSpace="0"/>
        </w:sectPr>
      </w:pPr>
      <w:bookmarkStart w:id="1" w:name="_Toc246957458"/>
      <w:bookmarkStart w:id="2" w:name="_Toc246957404"/>
      <w:bookmarkStart w:id="3" w:name="_Toc246945977"/>
    </w:p>
    <w:p>
      <w:pPr>
        <w:topLinePunct/>
        <w:jc w:val="center"/>
        <w:rPr>
          <w:rFonts w:hint="eastAsia" w:ascii="宋体" w:hAnsi="宋体" w:cs="宋体"/>
          <w:sz w:val="36"/>
          <w:szCs w:val="21"/>
        </w:rPr>
      </w:pPr>
      <w:r>
        <w:rPr>
          <w:rFonts w:hint="eastAsia" w:ascii="宋体" w:hAnsi="宋体" w:cs="宋体"/>
          <w:sz w:val="36"/>
          <w:szCs w:val="21"/>
        </w:rPr>
        <w:t>目　　录</w:t>
      </w:r>
    </w:p>
    <w:p>
      <w:pPr>
        <w:topLinePunct/>
        <w:jc w:val="center"/>
        <w:rPr>
          <w:rFonts w:hint="eastAsia" w:ascii="宋体" w:hAnsi="宋体" w:cs="宋体"/>
          <w:sz w:val="36"/>
          <w:szCs w:val="21"/>
        </w:rPr>
      </w:pPr>
    </w:p>
    <w:bookmarkEnd w:id="1"/>
    <w:bookmarkEnd w:id="2"/>
    <w:bookmarkEnd w:id="3"/>
    <w:p>
      <w:pPr>
        <w:pStyle w:val="51"/>
        <w:tabs>
          <w:tab w:val="right" w:leader="dot" w:pos="9413"/>
        </w:tabs>
        <w:rPr>
          <w:rFonts w:hint="eastAsia" w:ascii="宋体" w:hAnsi="宋体" w:cs="宋体"/>
        </w:rPr>
      </w:pPr>
      <w:bookmarkStart w:id="4" w:name="_Toc252067447"/>
      <w:bookmarkStart w:id="5" w:name="_Toc246945978"/>
      <w:r>
        <w:rPr>
          <w:rFonts w:hint="eastAsia" w:ascii="宋体" w:hAnsi="宋体" w:cs="宋体"/>
          <w:bCs/>
          <w:sz w:val="22"/>
          <w:szCs w:val="21"/>
        </w:rPr>
        <w:fldChar w:fldCharType="begin"/>
      </w:r>
      <w:r>
        <w:rPr>
          <w:rFonts w:hint="eastAsia" w:ascii="宋体" w:hAnsi="宋体" w:cs="宋体"/>
          <w:bCs/>
          <w:sz w:val="22"/>
          <w:szCs w:val="21"/>
        </w:rPr>
        <w:instrText xml:space="preserve">TOC \o "1-2" \h  \u </w:instrText>
      </w:r>
      <w:r>
        <w:rPr>
          <w:rFonts w:hint="eastAsia" w:ascii="宋体" w:hAnsi="宋体" w:cs="宋体"/>
          <w:bCs/>
          <w:sz w:val="22"/>
          <w:szCs w:val="21"/>
        </w:rPr>
        <w:fldChar w:fldCharType="separate"/>
      </w:r>
      <w:r>
        <w:fldChar w:fldCharType="begin"/>
      </w:r>
      <w:r>
        <w:instrText xml:space="preserve"> HYPERLINK \l "_Toc32698" </w:instrText>
      </w:r>
      <w:r>
        <w:fldChar w:fldCharType="separate"/>
      </w:r>
      <w:r>
        <w:rPr>
          <w:rFonts w:hint="eastAsia" w:ascii="宋体" w:hAnsi="宋体" w:cs="宋体"/>
          <w:bCs/>
          <w:snapToGrid w:val="0"/>
          <w:kern w:val="0"/>
        </w:rPr>
        <w:t>1　总则</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_Toc32698 \h </w:instrText>
      </w:r>
      <w:r>
        <w:rPr>
          <w:rFonts w:hint="eastAsia" w:ascii="宋体" w:hAnsi="宋体" w:cs="宋体"/>
        </w:rPr>
        <w:fldChar w:fldCharType="separate"/>
      </w:r>
      <w:r>
        <w:rPr>
          <w:rFonts w:hint="eastAsia" w:ascii="宋体" w:hAnsi="宋体" w:cs="宋体"/>
        </w:rPr>
        <w:t>3</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"_Toc18810" </w:instrText>
      </w:r>
      <w:r>
        <w:fldChar w:fldCharType="separate"/>
      </w:r>
      <w:r>
        <w:rPr>
          <w:rFonts w:hint="eastAsia" w:ascii="宋体" w:hAnsi="宋体" w:cs="宋体"/>
          <w:bCs/>
          <w:snapToGrid w:val="0"/>
          <w:kern w:val="0"/>
        </w:rPr>
        <w:t>2　工作范围</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_Toc18810 \h </w:instrText>
      </w:r>
      <w:r>
        <w:rPr>
          <w:rFonts w:hint="eastAsia" w:ascii="宋体" w:hAnsi="宋体" w:cs="宋体"/>
        </w:rPr>
        <w:fldChar w:fldCharType="separate"/>
      </w:r>
      <w:r>
        <w:rPr>
          <w:rFonts w:hint="eastAsia" w:ascii="宋体" w:hAnsi="宋体" w:cs="宋体"/>
        </w:rPr>
        <w:t>3</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"_Toc21519" </w:instrText>
      </w:r>
      <w:r>
        <w:fldChar w:fldCharType="separate"/>
      </w:r>
      <w:r>
        <w:rPr>
          <w:rFonts w:hint="eastAsia" w:ascii="宋体" w:hAnsi="宋体" w:cs="宋体"/>
          <w:bCs/>
          <w:snapToGrid w:val="0"/>
          <w:kern w:val="0"/>
        </w:rPr>
        <w:t>3　应遵循的主要标准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_Toc21519 \h </w:instrText>
      </w:r>
      <w:r>
        <w:rPr>
          <w:rFonts w:hint="eastAsia" w:ascii="宋体" w:hAnsi="宋体" w:cs="宋体"/>
        </w:rPr>
        <w:fldChar w:fldCharType="separate"/>
      </w:r>
      <w:r>
        <w:rPr>
          <w:rFonts w:hint="eastAsia" w:ascii="宋体" w:hAnsi="宋体" w:cs="宋体"/>
        </w:rPr>
        <w:t>4</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"_Toc31043" </w:instrText>
      </w:r>
      <w:r>
        <w:fldChar w:fldCharType="separate"/>
      </w:r>
      <w:r>
        <w:rPr>
          <w:rFonts w:hint="eastAsia" w:ascii="宋体" w:hAnsi="宋体" w:cs="宋体"/>
          <w:bCs/>
          <w:snapToGrid w:val="0"/>
          <w:kern w:val="0"/>
        </w:rPr>
        <w:t>4　使用环境条件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_Toc31043 \h </w:instrText>
      </w:r>
      <w:r>
        <w:rPr>
          <w:rFonts w:hint="eastAsia" w:ascii="宋体" w:hAnsi="宋体" w:cs="宋体"/>
        </w:rPr>
        <w:fldChar w:fldCharType="separate"/>
      </w:r>
      <w:r>
        <w:rPr>
          <w:rFonts w:hint="eastAsia" w:ascii="宋体" w:hAnsi="宋体" w:cs="宋体"/>
        </w:rPr>
        <w:t>5</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"_Toc1406" </w:instrText>
      </w:r>
      <w:r>
        <w:fldChar w:fldCharType="separate"/>
      </w:r>
      <w:r>
        <w:rPr>
          <w:rFonts w:hint="eastAsia" w:ascii="宋体" w:hAnsi="宋体" w:cs="宋体"/>
        </w:rPr>
        <w:t>4.1</w:t>
      </w:r>
      <w:r>
        <w:rPr>
          <w:rFonts w:hint="eastAsia" w:ascii="宋体" w:hAnsi="宋体" w:cs="宋体"/>
          <w:szCs w:val="22"/>
        </w:rPr>
        <w:t xml:space="preserve"> 工作场所环境温度和湿度分级</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_Toc1406 \h </w:instrText>
      </w:r>
      <w:r>
        <w:rPr>
          <w:rFonts w:hint="eastAsia" w:ascii="宋体" w:hAnsi="宋体" w:cs="宋体"/>
        </w:rPr>
        <w:fldChar w:fldCharType="separate"/>
      </w:r>
      <w:r>
        <w:rPr>
          <w:rFonts w:hint="eastAsia" w:ascii="宋体" w:hAnsi="宋体" w:cs="宋体"/>
        </w:rPr>
        <w:t>5</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"_Toc19768" </w:instrText>
      </w:r>
      <w:r>
        <w:fldChar w:fldCharType="separate"/>
      </w:r>
      <w:r>
        <w:rPr>
          <w:rFonts w:hint="eastAsia" w:ascii="宋体" w:hAnsi="宋体" w:cs="宋体"/>
        </w:rPr>
        <w:t>4.2</w:t>
      </w:r>
      <w:r>
        <w:rPr>
          <w:rFonts w:hint="eastAsia" w:ascii="宋体" w:hAnsi="宋体" w:cs="宋体"/>
          <w:szCs w:val="22"/>
        </w:rPr>
        <w:t xml:space="preserve"> 大气压力</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_Toc19768 \h </w:instrText>
      </w:r>
      <w:r>
        <w:rPr>
          <w:rFonts w:hint="eastAsia" w:ascii="宋体" w:hAnsi="宋体" w:cs="宋体"/>
        </w:rPr>
        <w:fldChar w:fldCharType="separate"/>
      </w:r>
      <w:r>
        <w:rPr>
          <w:rFonts w:hint="eastAsia" w:ascii="宋体" w:hAnsi="宋体" w:cs="宋体"/>
        </w:rPr>
        <w:t>5</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"_Toc20730" </w:instrText>
      </w:r>
      <w:r>
        <w:fldChar w:fldCharType="separate"/>
      </w:r>
      <w:r>
        <w:rPr>
          <w:rFonts w:hint="eastAsia" w:ascii="宋体" w:hAnsi="宋体" w:cs="宋体"/>
          <w:bCs/>
          <w:snapToGrid w:val="0"/>
          <w:kern w:val="0"/>
        </w:rPr>
        <w:t>5　技术要求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_Toc20730 \h </w:instrText>
      </w:r>
      <w:r>
        <w:rPr>
          <w:rFonts w:hint="eastAsia" w:ascii="宋体" w:hAnsi="宋体" w:cs="宋体"/>
        </w:rPr>
        <w:fldChar w:fldCharType="separate"/>
      </w:r>
      <w:r>
        <w:rPr>
          <w:rFonts w:hint="eastAsia" w:ascii="宋体" w:hAnsi="宋体" w:cs="宋体"/>
        </w:rPr>
        <w:t>5</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"_Toc5201" </w:instrText>
      </w:r>
      <w:r>
        <w:fldChar w:fldCharType="separate"/>
      </w:r>
      <w:r>
        <w:rPr>
          <w:rFonts w:hint="eastAsia" w:ascii="宋体" w:hAnsi="宋体" w:cs="宋体"/>
        </w:rPr>
        <w:t xml:space="preserve">5.1 </w:t>
      </w:r>
      <w:r>
        <w:rPr>
          <w:rFonts w:hint="eastAsia" w:ascii="宋体" w:hAnsi="宋体" w:cs="宋体"/>
          <w:snapToGrid w:val="0"/>
          <w:kern w:val="0"/>
        </w:rPr>
        <w:t>硬件配置</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_Toc5201 \h </w:instrText>
      </w:r>
      <w:r>
        <w:rPr>
          <w:rFonts w:hint="eastAsia" w:ascii="宋体" w:hAnsi="宋体" w:cs="宋体"/>
        </w:rPr>
        <w:fldChar w:fldCharType="separate"/>
      </w:r>
      <w:r>
        <w:rPr>
          <w:rFonts w:hint="eastAsia" w:ascii="宋体" w:hAnsi="宋体" w:cs="宋体"/>
        </w:rPr>
        <w:t>5</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"_Toc37" </w:instrText>
      </w:r>
      <w:r>
        <w:fldChar w:fldCharType="separate"/>
      </w:r>
      <w:r>
        <w:rPr>
          <w:rFonts w:hint="eastAsia" w:ascii="宋体" w:hAnsi="宋体" w:cs="宋体"/>
        </w:rPr>
        <w:t xml:space="preserve">5.2 </w:t>
      </w:r>
      <w:r>
        <w:rPr>
          <w:rFonts w:hint="eastAsia" w:ascii="宋体" w:hAnsi="宋体" w:cs="宋体"/>
          <w:snapToGrid w:val="0"/>
          <w:kern w:val="0"/>
        </w:rPr>
        <w:t>技术参数</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_Toc37 \h </w:instrText>
      </w:r>
      <w:r>
        <w:rPr>
          <w:rFonts w:hint="eastAsia" w:ascii="宋体" w:hAnsi="宋体" w:cs="宋体"/>
        </w:rPr>
        <w:fldChar w:fldCharType="separate"/>
      </w:r>
      <w:r>
        <w:rPr>
          <w:rFonts w:hint="eastAsia" w:ascii="宋体" w:hAnsi="宋体" w:cs="宋体"/>
        </w:rPr>
        <w:t>6</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"_Toc30219" </w:instrText>
      </w:r>
      <w:r>
        <w:fldChar w:fldCharType="separate"/>
      </w:r>
      <w:r>
        <w:rPr>
          <w:rFonts w:hint="eastAsia" w:ascii="宋体" w:hAnsi="宋体" w:cs="宋体"/>
        </w:rPr>
        <w:t xml:space="preserve">5.3 </w:t>
      </w:r>
      <w:r>
        <w:rPr>
          <w:rFonts w:hint="eastAsia" w:ascii="宋体" w:hAnsi="宋体" w:cs="宋体"/>
          <w:snapToGrid w:val="0"/>
          <w:kern w:val="0"/>
        </w:rPr>
        <w:t>正常使用条件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_Toc30219 \h </w:instrText>
      </w:r>
      <w:r>
        <w:rPr>
          <w:rFonts w:hint="eastAsia" w:ascii="宋体" w:hAnsi="宋体" w:cs="宋体"/>
        </w:rPr>
        <w:fldChar w:fldCharType="separate"/>
      </w:r>
      <w:r>
        <w:rPr>
          <w:rFonts w:hint="eastAsia" w:ascii="宋体" w:hAnsi="宋体" w:cs="宋体"/>
        </w:rPr>
        <w:t>7</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"_Toc5987" </w:instrText>
      </w:r>
      <w:r>
        <w:fldChar w:fldCharType="separate"/>
      </w:r>
      <w:r>
        <w:rPr>
          <w:rFonts w:hint="eastAsia" w:ascii="宋体" w:hAnsi="宋体" w:cs="宋体"/>
        </w:rPr>
        <w:t xml:space="preserve">5.4 </w:t>
      </w:r>
      <w:r>
        <w:rPr>
          <w:rFonts w:hint="eastAsia" w:ascii="宋体" w:hAnsi="宋体" w:cs="宋体"/>
          <w:snapToGrid w:val="0"/>
          <w:kern w:val="0"/>
        </w:rPr>
        <w:t>220V单相低压调压器工作原理及其拓扑图</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_Toc5987 \h </w:instrText>
      </w:r>
      <w:r>
        <w:rPr>
          <w:rFonts w:hint="eastAsia" w:ascii="宋体" w:hAnsi="宋体" w:cs="宋体"/>
        </w:rPr>
        <w:fldChar w:fldCharType="separate"/>
      </w:r>
      <w:r>
        <w:rPr>
          <w:rFonts w:hint="eastAsia" w:ascii="宋体" w:hAnsi="宋体" w:cs="宋体"/>
        </w:rPr>
        <w:t>7</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"_Toc23727" </w:instrText>
      </w:r>
      <w:r>
        <w:fldChar w:fldCharType="separate"/>
      </w:r>
      <w:r>
        <w:rPr>
          <w:rFonts w:hint="eastAsia" w:ascii="宋体" w:hAnsi="宋体" w:cs="宋体"/>
          <w:bCs/>
          <w:snapToGrid w:val="0"/>
          <w:kern w:val="0"/>
        </w:rPr>
        <w:t>6　试验</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_Toc23727 \h </w:instrText>
      </w:r>
      <w:r>
        <w:rPr>
          <w:rFonts w:hint="eastAsia" w:ascii="宋体" w:hAnsi="宋体" w:cs="宋体"/>
        </w:rPr>
        <w:fldChar w:fldCharType="separate"/>
      </w:r>
      <w:r>
        <w:rPr>
          <w:rFonts w:hint="eastAsia" w:ascii="宋体" w:hAnsi="宋体" w:cs="宋体"/>
        </w:rPr>
        <w:t>8</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"_Toc14724" </w:instrText>
      </w:r>
      <w:r>
        <w:fldChar w:fldCharType="separate"/>
      </w:r>
      <w:r>
        <w:rPr>
          <w:rFonts w:hint="eastAsia" w:ascii="宋体" w:hAnsi="宋体" w:cs="宋体"/>
        </w:rPr>
        <w:t>6.1  试验要求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_Toc14724 \h </w:instrText>
      </w:r>
      <w:r>
        <w:rPr>
          <w:rFonts w:hint="eastAsia" w:ascii="宋体" w:hAnsi="宋体" w:cs="宋体"/>
        </w:rPr>
        <w:fldChar w:fldCharType="separate"/>
      </w:r>
      <w:r>
        <w:rPr>
          <w:rFonts w:hint="eastAsia" w:ascii="宋体" w:hAnsi="宋体" w:cs="宋体"/>
        </w:rPr>
        <w:t>8</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"_Toc25291" </w:instrText>
      </w:r>
      <w:r>
        <w:fldChar w:fldCharType="separate"/>
      </w:r>
      <w:r>
        <w:rPr>
          <w:rFonts w:hint="eastAsia" w:ascii="宋体" w:hAnsi="宋体" w:cs="宋体"/>
        </w:rPr>
        <w:t>6.2  电气性能试验</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_Toc25291 \h </w:instrText>
      </w:r>
      <w:r>
        <w:rPr>
          <w:rFonts w:hint="eastAsia" w:ascii="宋体" w:hAnsi="宋体" w:cs="宋体"/>
        </w:rPr>
        <w:fldChar w:fldCharType="separate"/>
      </w:r>
      <w:r>
        <w:rPr>
          <w:rFonts w:hint="eastAsia" w:ascii="宋体" w:hAnsi="宋体" w:cs="宋体"/>
        </w:rPr>
        <w:t>8</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"_Toc5587" </w:instrText>
      </w:r>
      <w:r>
        <w:fldChar w:fldCharType="separate"/>
      </w:r>
      <w:r>
        <w:rPr>
          <w:rFonts w:hint="eastAsia" w:ascii="宋体" w:hAnsi="宋体" w:cs="宋体"/>
        </w:rPr>
        <w:t>6.3　现场试验</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_Toc5587 \h </w:instrText>
      </w:r>
      <w:r>
        <w:rPr>
          <w:rFonts w:hint="eastAsia" w:ascii="宋体" w:hAnsi="宋体" w:cs="宋体"/>
        </w:rPr>
        <w:fldChar w:fldCharType="separate"/>
      </w:r>
      <w:r>
        <w:rPr>
          <w:rFonts w:hint="eastAsia" w:ascii="宋体" w:hAnsi="宋体" w:cs="宋体"/>
        </w:rPr>
        <w:t>8</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"_Toc26000" </w:instrText>
      </w:r>
      <w:r>
        <w:fldChar w:fldCharType="separate"/>
      </w:r>
      <w:r>
        <w:rPr>
          <w:rFonts w:hint="eastAsia" w:ascii="宋体" w:hAnsi="宋体" w:cs="宋体"/>
          <w:bCs/>
          <w:snapToGrid w:val="0"/>
          <w:kern w:val="0"/>
        </w:rPr>
        <w:t>7　技术服务、设计联络、工厂检验和监造</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_Toc26000 \h </w:instrText>
      </w:r>
      <w:r>
        <w:rPr>
          <w:rFonts w:hint="eastAsia" w:ascii="宋体" w:hAnsi="宋体" w:cs="宋体"/>
        </w:rPr>
        <w:fldChar w:fldCharType="separate"/>
      </w:r>
      <w:r>
        <w:rPr>
          <w:rFonts w:hint="eastAsia" w:ascii="宋体" w:hAnsi="宋体" w:cs="宋体"/>
        </w:rPr>
        <w:t>8</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"_Toc7054" </w:instrText>
      </w:r>
      <w:r>
        <w:fldChar w:fldCharType="separate"/>
      </w:r>
      <w:r>
        <w:rPr>
          <w:rFonts w:hint="eastAsia" w:ascii="宋体" w:hAnsi="宋体" w:cs="宋体"/>
        </w:rPr>
        <w:t>7.1  投标方提供的样本资料</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_Toc7054 \h </w:instrText>
      </w:r>
      <w:r>
        <w:rPr>
          <w:rFonts w:hint="eastAsia" w:ascii="宋体" w:hAnsi="宋体" w:cs="宋体"/>
        </w:rPr>
        <w:fldChar w:fldCharType="separate"/>
      </w:r>
      <w:r>
        <w:rPr>
          <w:rFonts w:hint="eastAsia" w:ascii="宋体" w:hAnsi="宋体" w:cs="宋体"/>
        </w:rPr>
        <w:t>8</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"_Toc10984" </w:instrText>
      </w:r>
      <w:r>
        <w:fldChar w:fldCharType="separate"/>
      </w:r>
      <w:r>
        <w:rPr>
          <w:rFonts w:hint="eastAsia" w:ascii="宋体" w:hAnsi="宋体" w:cs="宋体"/>
        </w:rPr>
        <w:t>7.2  技术资料、图纸和说明书格式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_Toc10984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"_Toc17928" </w:instrText>
      </w:r>
      <w:r>
        <w:fldChar w:fldCharType="separate"/>
      </w:r>
      <w:r>
        <w:rPr>
          <w:rFonts w:hint="eastAsia" w:ascii="宋体" w:hAnsi="宋体" w:cs="宋体"/>
        </w:rPr>
        <w:t>7.3  供确认的图纸</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_Toc17928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"_Toc16778" </w:instrText>
      </w:r>
      <w:r>
        <w:fldChar w:fldCharType="separate"/>
      </w:r>
      <w:r>
        <w:rPr>
          <w:rFonts w:hint="eastAsia" w:ascii="宋体" w:hAnsi="宋体" w:cs="宋体"/>
        </w:rPr>
        <w:t>7.4　设计联络会议</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_Toc16778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"_Toc12047" </w:instrText>
      </w:r>
      <w:r>
        <w:fldChar w:fldCharType="separate"/>
      </w:r>
      <w:r>
        <w:rPr>
          <w:rFonts w:hint="eastAsia" w:ascii="宋体" w:hAnsi="宋体" w:cs="宋体"/>
        </w:rPr>
        <w:t>7.5　使用方、投标方双方设计的图纸</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_Toc12047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"_Toc12881" </w:instrText>
      </w:r>
      <w:r>
        <w:fldChar w:fldCharType="separate"/>
      </w:r>
      <w:r>
        <w:rPr>
          <w:rFonts w:hint="eastAsia" w:ascii="宋体" w:hAnsi="宋体" w:cs="宋体"/>
        </w:rPr>
        <w:t>7.6　其他资料和说明书</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_Toc12881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"_Toc16713" </w:instrText>
      </w:r>
      <w:r>
        <w:fldChar w:fldCharType="separate"/>
      </w:r>
      <w:r>
        <w:rPr>
          <w:rFonts w:hint="eastAsia" w:ascii="宋体" w:hAnsi="宋体" w:cs="宋体"/>
        </w:rPr>
        <w:t>7.7　投标方提供的数据</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_Toc16713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r>
        <w:fldChar w:fldCharType="begin"/>
      </w:r>
      <w:r>
        <w:instrText xml:space="preserve"> HYPERLINK \l "_Toc5533" </w:instrText>
      </w:r>
      <w:r>
        <w:fldChar w:fldCharType="separate"/>
      </w:r>
      <w:r>
        <w:rPr>
          <w:rFonts w:hint="eastAsia" w:ascii="宋体" w:hAnsi="宋体" w:cs="宋体"/>
        </w:rPr>
        <w:t>7.8  监造</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_Toc5533 \h </w:instrText>
      </w:r>
      <w:r>
        <w:rPr>
          <w:rFonts w:hint="eastAsia" w:ascii="宋体" w:hAnsi="宋体" w:cs="宋体"/>
        </w:rPr>
        <w:fldChar w:fldCharType="separate"/>
      </w:r>
      <w:r>
        <w:rPr>
          <w:rFonts w:hint="eastAsia" w:ascii="宋体" w:hAnsi="宋体" w:cs="宋体"/>
        </w:rPr>
        <w:t>10</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"_Toc29342" </w:instrText>
      </w:r>
      <w:r>
        <w:fldChar w:fldCharType="separate"/>
      </w:r>
      <w:r>
        <w:rPr>
          <w:rFonts w:hint="eastAsia" w:ascii="宋体" w:hAnsi="宋体" w:cs="宋体"/>
          <w:bCs/>
          <w:snapToGrid w:val="0"/>
          <w:kern w:val="0"/>
        </w:rPr>
        <w:t>8 现场验收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_Toc29342 \h </w:instrText>
      </w:r>
      <w:r>
        <w:rPr>
          <w:rFonts w:hint="eastAsia" w:ascii="宋体" w:hAnsi="宋体" w:cs="宋体"/>
        </w:rPr>
        <w:fldChar w:fldCharType="separate"/>
      </w:r>
      <w:r>
        <w:rPr>
          <w:rFonts w:hint="eastAsia" w:ascii="宋体" w:hAnsi="宋体" w:cs="宋体"/>
        </w:rPr>
        <w:t>10</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"_Toc29844" </w:instrText>
      </w:r>
      <w:r>
        <w:fldChar w:fldCharType="separate"/>
      </w:r>
      <w:r>
        <w:rPr>
          <w:rFonts w:hint="eastAsia" w:ascii="宋体" w:hAnsi="宋体" w:cs="宋体"/>
          <w:bCs/>
          <w:snapToGrid w:val="0"/>
          <w:kern w:val="0"/>
        </w:rPr>
        <w:t>9 安装调试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_Toc29844 \h </w:instrText>
      </w:r>
      <w:r>
        <w:rPr>
          <w:rFonts w:hint="eastAsia" w:ascii="宋体" w:hAnsi="宋体" w:cs="宋体"/>
        </w:rPr>
        <w:fldChar w:fldCharType="separate"/>
      </w:r>
      <w:r>
        <w:rPr>
          <w:rFonts w:hint="eastAsia" w:ascii="宋体" w:hAnsi="宋体" w:cs="宋体"/>
        </w:rPr>
        <w:t>10</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"_Toc28406" </w:instrText>
      </w:r>
      <w:r>
        <w:fldChar w:fldCharType="separate"/>
      </w:r>
      <w:r>
        <w:rPr>
          <w:rFonts w:hint="eastAsia" w:ascii="宋体" w:hAnsi="宋体" w:cs="宋体"/>
          <w:bCs/>
          <w:snapToGrid w:val="0"/>
          <w:kern w:val="0"/>
        </w:rPr>
        <w:t>10　质量保证</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_Toc28406 \h </w:instrText>
      </w:r>
      <w:r>
        <w:rPr>
          <w:rFonts w:hint="eastAsia" w:ascii="宋体" w:hAnsi="宋体" w:cs="宋体"/>
        </w:rPr>
        <w:fldChar w:fldCharType="separate"/>
      </w:r>
      <w:r>
        <w:rPr>
          <w:rFonts w:hint="eastAsia" w:ascii="宋体" w:hAnsi="宋体" w:cs="宋体"/>
        </w:rPr>
        <w:t>10</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"_Toc23921" </w:instrText>
      </w:r>
      <w:r>
        <w:fldChar w:fldCharType="separate"/>
      </w:r>
      <w:r>
        <w:rPr>
          <w:rFonts w:hint="eastAsia" w:ascii="宋体" w:hAnsi="宋体" w:cs="宋体"/>
          <w:bCs/>
          <w:snapToGrid w:val="0"/>
          <w:kern w:val="0"/>
        </w:rPr>
        <w:t>11  售后服务</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_Toc23921 \h </w:instrText>
      </w:r>
      <w:r>
        <w:rPr>
          <w:rFonts w:hint="eastAsia" w:ascii="宋体" w:hAnsi="宋体" w:cs="宋体"/>
        </w:rPr>
        <w:fldChar w:fldCharType="separate"/>
      </w:r>
      <w:r>
        <w:rPr>
          <w:rFonts w:hint="eastAsia" w:ascii="宋体" w:hAnsi="宋体" w:cs="宋体"/>
        </w:rPr>
        <w:t>11</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"_Toc7628" </w:instrText>
      </w:r>
      <w:r>
        <w:fldChar w:fldCharType="separate"/>
      </w:r>
      <w:r>
        <w:rPr>
          <w:rFonts w:hint="eastAsia" w:ascii="宋体" w:hAnsi="宋体" w:cs="宋体"/>
          <w:bCs/>
          <w:snapToGrid w:val="0"/>
          <w:kern w:val="0"/>
        </w:rPr>
        <w:t>12  投标产品主要组部件材料</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_Toc7628 \h </w:instrText>
      </w:r>
      <w:r>
        <w:rPr>
          <w:rFonts w:hint="eastAsia" w:ascii="宋体" w:hAnsi="宋体" w:cs="宋体"/>
        </w:rPr>
        <w:fldChar w:fldCharType="separate"/>
      </w:r>
      <w:r>
        <w:rPr>
          <w:rFonts w:hint="eastAsia" w:ascii="宋体" w:hAnsi="宋体" w:cs="宋体"/>
        </w:rPr>
        <w:t>11</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"_Toc2886" </w:instrText>
      </w:r>
      <w:r>
        <w:fldChar w:fldCharType="separate"/>
      </w:r>
      <w:r>
        <w:rPr>
          <w:rFonts w:hint="eastAsia" w:ascii="宋体" w:hAnsi="宋体" w:cs="宋体"/>
          <w:bCs/>
          <w:snapToGrid w:val="0"/>
          <w:kern w:val="0"/>
        </w:rPr>
        <w:t>13  推荐的备品备件、专用工具和仪器仪表供货</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_Toc2886 \h </w:instrText>
      </w:r>
      <w:r>
        <w:rPr>
          <w:rFonts w:hint="eastAsia" w:ascii="宋体" w:hAnsi="宋体" w:cs="宋体"/>
        </w:rPr>
        <w:fldChar w:fldCharType="separate"/>
      </w:r>
      <w:r>
        <w:rPr>
          <w:rFonts w:hint="eastAsia" w:ascii="宋体" w:hAnsi="宋体" w:cs="宋体"/>
        </w:rPr>
        <w:t>11</w:t>
      </w:r>
      <w:r>
        <w:rPr>
          <w:rFonts w:hint="eastAsia" w:ascii="宋体" w:hAnsi="宋体" w:cs="宋体"/>
        </w:rPr>
        <w:fldChar w:fldCharType="end"/>
      </w:r>
      <w:r>
        <w:rPr>
          <w:rFonts w:hint="eastAsia" w:ascii="宋体" w:hAnsi="宋体" w:cs="宋体"/>
        </w:rPr>
        <w:fldChar w:fldCharType="end"/>
      </w:r>
    </w:p>
    <w:p>
      <w:pPr>
        <w:pStyle w:val="51"/>
        <w:tabs>
          <w:tab w:val="right" w:leader="dot" w:pos="9413"/>
        </w:tabs>
        <w:rPr>
          <w:rFonts w:hint="eastAsia" w:ascii="宋体" w:hAnsi="宋体" w:cs="宋体"/>
        </w:rPr>
      </w:pPr>
      <w:r>
        <w:fldChar w:fldCharType="begin"/>
      </w:r>
      <w:r>
        <w:instrText xml:space="preserve"> HYPERLINK \l "_Toc355" </w:instrText>
      </w:r>
      <w:r>
        <w:fldChar w:fldCharType="separate"/>
      </w:r>
      <w:r>
        <w:rPr>
          <w:rFonts w:hint="eastAsia" w:ascii="宋体" w:hAnsi="宋体" w:cs="宋体"/>
          <w:bCs/>
          <w:snapToGrid w:val="0"/>
          <w:kern w:val="0"/>
        </w:rPr>
        <w:t xml:space="preserve">14  </w:t>
      </w:r>
      <w:r>
        <w:rPr>
          <w:rFonts w:hint="eastAsia" w:ascii="宋体" w:hAnsi="宋体" w:cs="宋体"/>
          <w:szCs w:val="22"/>
        </w:rPr>
        <w:t>投标技术偏差表格</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_Toc355 \h </w:instrText>
      </w:r>
      <w:r>
        <w:rPr>
          <w:rFonts w:hint="eastAsia" w:ascii="宋体" w:hAnsi="宋体" w:cs="宋体"/>
        </w:rPr>
        <w:fldChar w:fldCharType="separate"/>
      </w:r>
      <w:r>
        <w:rPr>
          <w:rFonts w:hint="eastAsia" w:ascii="宋体" w:hAnsi="宋体" w:cs="宋体"/>
        </w:rPr>
        <w:t>11</w:t>
      </w:r>
      <w:r>
        <w:rPr>
          <w:rFonts w:hint="eastAsia" w:ascii="宋体" w:hAnsi="宋体" w:cs="宋体"/>
        </w:rPr>
        <w:fldChar w:fldCharType="end"/>
      </w:r>
      <w:r>
        <w:rPr>
          <w:rFonts w:hint="eastAsia" w:ascii="宋体" w:hAnsi="宋体" w:cs="宋体"/>
        </w:rPr>
        <w:fldChar w:fldCharType="end"/>
      </w:r>
    </w:p>
    <w:p>
      <w:pPr>
        <w:pStyle w:val="64"/>
        <w:tabs>
          <w:tab w:val="right" w:leader="dot" w:pos="9413"/>
        </w:tabs>
        <w:rPr>
          <w:rFonts w:hint="eastAsia" w:ascii="宋体" w:hAnsi="宋体" w:cs="宋体"/>
        </w:rPr>
      </w:pPr>
    </w:p>
    <w:p>
      <w:pPr>
        <w:pStyle w:val="51"/>
        <w:tabs>
          <w:tab w:val="right" w:leader="middleDot" w:pos="9412"/>
        </w:tabs>
        <w:spacing w:line="360" w:lineRule="auto"/>
        <w:rPr>
          <w:rFonts w:hint="eastAsia" w:ascii="宋体" w:hAnsi="宋体" w:cs="宋体"/>
          <w:bCs/>
          <w:sz w:val="22"/>
          <w:szCs w:val="21"/>
        </w:rPr>
      </w:pPr>
      <w:r>
        <w:rPr>
          <w:rFonts w:hint="eastAsia" w:ascii="宋体" w:hAnsi="宋体" w:cs="宋体"/>
          <w:bCs/>
          <w:szCs w:val="22"/>
        </w:rPr>
        <w:fldChar w:fldCharType="end"/>
      </w:r>
    </w:p>
    <w:p>
      <w:pPr>
        <w:pStyle w:val="145"/>
        <w:rPr>
          <w:rFonts w:hint="eastAsia" w:ascii="宋体" w:hAnsi="宋体" w:eastAsia="宋体" w:cs="宋体"/>
        </w:rPr>
      </w:pPr>
    </w:p>
    <w:p>
      <w:pPr>
        <w:pStyle w:val="145"/>
        <w:rPr>
          <w:rFonts w:hint="eastAsia" w:ascii="宋体" w:hAnsi="宋体" w:eastAsia="宋体" w:cs="宋体"/>
        </w:rPr>
      </w:pPr>
    </w:p>
    <w:p>
      <w:pPr>
        <w:pStyle w:val="145"/>
        <w:topLinePunct/>
        <w:outlineLvl w:val="0"/>
        <w:rPr>
          <w:rFonts w:hint="eastAsia" w:ascii="宋体" w:hAnsi="宋体" w:eastAsia="宋体" w:cs="宋体"/>
          <w:b/>
          <w:bCs/>
          <w:snapToGrid w:val="0"/>
          <w:kern w:val="0"/>
        </w:rPr>
      </w:pPr>
      <w:r>
        <w:rPr>
          <w:rFonts w:hint="eastAsia" w:ascii="宋体" w:hAnsi="宋体" w:eastAsia="宋体" w:cs="宋体"/>
        </w:rPr>
        <w:br w:type="page"/>
      </w:r>
      <w:bookmarkEnd w:id="4"/>
      <w:bookmarkEnd w:id="5"/>
      <w:bookmarkStart w:id="6" w:name="_Toc112999467"/>
      <w:bookmarkStart w:id="7" w:name="_Toc252534613"/>
      <w:bookmarkStart w:id="8" w:name="_Toc21837"/>
      <w:bookmarkStart w:id="9" w:name="_Toc6818"/>
      <w:bookmarkStart w:id="10" w:name="_Toc247855636"/>
      <w:bookmarkStart w:id="11" w:name="_Toc9389"/>
      <w:bookmarkStart w:id="12" w:name="_Toc256370329"/>
      <w:bookmarkStart w:id="13" w:name="_Toc32698"/>
      <w:bookmarkStart w:id="14" w:name="_Toc254894642"/>
      <w:bookmarkStart w:id="15" w:name="_Toc253150063"/>
      <w:bookmarkStart w:id="16" w:name="_Toc253218521"/>
      <w:bookmarkStart w:id="17" w:name="_Toc255048351"/>
      <w:bookmarkStart w:id="18" w:name="_Toc255133060"/>
      <w:bookmarkStart w:id="19" w:name="_Toc246261053"/>
      <w:r>
        <w:rPr>
          <w:rFonts w:hint="eastAsia" w:ascii="宋体" w:hAnsi="宋体" w:eastAsia="宋体" w:cs="宋体"/>
          <w:b/>
          <w:bCs/>
          <w:snapToGrid w:val="0"/>
          <w:kern w:val="0"/>
        </w:rPr>
        <w:t>1</w:t>
      </w:r>
      <w:bookmarkEnd w:id="6"/>
      <w:r>
        <w:rPr>
          <w:rFonts w:hint="eastAsia" w:ascii="宋体" w:hAnsi="宋体" w:eastAsia="宋体" w:cs="宋体"/>
          <w:b/>
          <w:bCs/>
          <w:snapToGrid w:val="0"/>
          <w:kern w:val="0"/>
        </w:rPr>
        <w:t>　总则</w:t>
      </w:r>
      <w:bookmarkEnd w:id="7"/>
      <w:bookmarkEnd w:id="8"/>
      <w:bookmarkEnd w:id="9"/>
      <w:bookmarkEnd w:id="10"/>
      <w:bookmarkEnd w:id="11"/>
      <w:bookmarkEnd w:id="12"/>
      <w:bookmarkEnd w:id="13"/>
    </w:p>
    <w:p>
      <w:pPr>
        <w:snapToGrid w:val="0"/>
        <w:spacing w:line="360" w:lineRule="auto"/>
        <w:rPr>
          <w:rFonts w:hint="eastAsia" w:ascii="宋体" w:hAnsi="宋体" w:cs="宋体"/>
        </w:rPr>
      </w:pPr>
      <w:r>
        <w:rPr>
          <w:rStyle w:val="103"/>
          <w:rFonts w:hint="eastAsia" w:ascii="宋体" w:hAnsi="宋体" w:eastAsia="宋体" w:cs="宋体"/>
        </w:rPr>
        <w:t>1.1</w:t>
      </w:r>
      <w:r>
        <w:rPr>
          <w:rFonts w:hint="eastAsia" w:ascii="宋体" w:hAnsi="宋体" w:cs="宋体"/>
        </w:rPr>
        <w:t xml:space="preserve"> 本技术规范书适用于</w:t>
      </w:r>
      <w:r>
        <w:rPr>
          <w:rFonts w:hint="eastAsia" w:ascii="宋体" w:hAnsi="宋体" w:cs="宋体"/>
          <w:lang w:val="en-US" w:eastAsia="zh-CN"/>
        </w:rPr>
        <w:t>广西</w:t>
      </w:r>
      <w:r>
        <w:rPr>
          <w:rFonts w:hint="eastAsia" w:ascii="宋体" w:hAnsi="宋体" w:cs="宋体"/>
        </w:rPr>
        <w:t>电网有限责任公司采购的220V单相低压调压器，它提出了</w:t>
      </w:r>
      <w:r>
        <w:rPr>
          <w:rFonts w:hint="eastAsia" w:ascii="宋体" w:hAnsi="宋体" w:cs="宋体"/>
          <w:szCs w:val="21"/>
        </w:rPr>
        <w:t>该设备</w:t>
      </w:r>
      <w:r>
        <w:rPr>
          <w:rFonts w:hint="eastAsia" w:ascii="宋体" w:hAnsi="宋体" w:cs="宋体"/>
        </w:rPr>
        <w:t>的使用条件、技术要求、试验方法、检验规则、标志及包装等方面的技术要求。</w:t>
      </w:r>
    </w:p>
    <w:p>
      <w:pPr>
        <w:pStyle w:val="39"/>
        <w:spacing w:line="360" w:lineRule="auto"/>
        <w:rPr>
          <w:rFonts w:hint="eastAsia" w:hAnsi="宋体" w:cs="宋体"/>
          <w:szCs w:val="24"/>
        </w:rPr>
      </w:pPr>
      <w:r>
        <w:rPr>
          <w:rStyle w:val="103"/>
          <w:rFonts w:hint="eastAsia" w:ascii="宋体" w:hAnsi="宋体" w:eastAsia="宋体" w:cs="宋体"/>
        </w:rPr>
        <w:t>1.2</w:t>
      </w:r>
      <w:r>
        <w:rPr>
          <w:rFonts w:hint="eastAsia" w:hAnsi="宋体" w:cs="宋体"/>
          <w:szCs w:val="24"/>
        </w:rPr>
        <w:t>本</w:t>
      </w:r>
      <w:r>
        <w:rPr>
          <w:rFonts w:hint="eastAsia" w:hAnsi="宋体" w:cs="宋体"/>
        </w:rPr>
        <w:t>技术规范书</w:t>
      </w:r>
      <w:r>
        <w:rPr>
          <w:rFonts w:hint="eastAsia" w:hAnsi="宋体" w:cs="宋体"/>
          <w:szCs w:val="24"/>
        </w:rPr>
        <w:t>提出的是最低限度的技术要求。凡本</w:t>
      </w:r>
      <w:r>
        <w:rPr>
          <w:rFonts w:hint="eastAsia" w:hAnsi="宋体" w:cs="宋体"/>
        </w:rPr>
        <w:t>技术规范书</w:t>
      </w:r>
      <w:r>
        <w:rPr>
          <w:rFonts w:hint="eastAsia" w:hAnsi="宋体" w:cs="宋体"/>
          <w:szCs w:val="24"/>
        </w:rPr>
        <w:t>中未规定，但在相关设备的行业标准、国家标准或IEC标准中有规定的规范条文，投标方应按相应标准的条文进行设备设计、制造、试验和安装。对国家有关安全、环保等强制性标准，必须满足其要求。</w:t>
      </w:r>
    </w:p>
    <w:p>
      <w:pPr>
        <w:snapToGrid w:val="0"/>
        <w:spacing w:line="360" w:lineRule="auto"/>
        <w:rPr>
          <w:rFonts w:hint="eastAsia" w:ascii="宋体" w:hAnsi="宋体" w:cs="宋体"/>
          <w:highlight w:val="yellow"/>
        </w:rPr>
      </w:pPr>
      <w:r>
        <w:rPr>
          <w:rFonts w:hint="eastAsia" w:ascii="宋体" w:hAnsi="宋体" w:cs="宋体"/>
        </w:rPr>
        <w:t>1.3 如果投标方没有以书面形式对本技术规范书的条文提出异议，则意味着投标方提供的设备完全符合本技术规范书的要求。如有异议，不管是多么微小，都应在投标文件中详细描述。</w:t>
      </w:r>
    </w:p>
    <w:p>
      <w:pPr>
        <w:snapToGrid w:val="0"/>
        <w:spacing w:line="360" w:lineRule="auto"/>
        <w:rPr>
          <w:rFonts w:hint="eastAsia" w:ascii="宋体" w:hAnsi="宋体" w:cs="宋体"/>
        </w:rPr>
      </w:pPr>
      <w:r>
        <w:rPr>
          <w:rStyle w:val="103"/>
          <w:rFonts w:hint="eastAsia" w:ascii="宋体" w:hAnsi="宋体" w:eastAsia="宋体" w:cs="宋体"/>
        </w:rPr>
        <w:t xml:space="preserve">1.4 </w:t>
      </w:r>
      <w:r>
        <w:rPr>
          <w:rFonts w:hint="eastAsia" w:ascii="宋体" w:hAnsi="宋体" w:cs="宋体"/>
        </w:rPr>
        <w:t>本技术规范书所使用的标准如遇与投标方所执行的标准不一致时，按较高标准执行。</w:t>
      </w:r>
    </w:p>
    <w:p>
      <w:pPr>
        <w:snapToGrid w:val="0"/>
        <w:spacing w:line="360" w:lineRule="auto"/>
        <w:rPr>
          <w:rFonts w:hint="eastAsia" w:ascii="宋体" w:hAnsi="宋体" w:cs="宋体"/>
        </w:rPr>
      </w:pPr>
      <w:r>
        <w:rPr>
          <w:rStyle w:val="103"/>
          <w:rFonts w:hint="eastAsia" w:ascii="宋体" w:hAnsi="宋体" w:eastAsia="宋体" w:cs="宋体"/>
        </w:rPr>
        <w:t xml:space="preserve">1.5 </w:t>
      </w:r>
      <w:r>
        <w:rPr>
          <w:rFonts w:hint="eastAsia" w:ascii="宋体" w:hAnsi="宋体" w:cs="宋体"/>
        </w:rPr>
        <w:t>本技术规范书经招、投标双方确认后作为订货合同的技术附件，与合同正文具有同等的法律效力。</w:t>
      </w:r>
    </w:p>
    <w:p>
      <w:pPr>
        <w:snapToGrid w:val="0"/>
        <w:spacing w:line="360" w:lineRule="auto"/>
        <w:rPr>
          <w:rFonts w:hint="eastAsia" w:ascii="宋体" w:hAnsi="宋体" w:cs="宋体"/>
        </w:rPr>
      </w:pPr>
      <w:r>
        <w:rPr>
          <w:rStyle w:val="103"/>
          <w:rFonts w:hint="eastAsia" w:ascii="宋体" w:hAnsi="宋体" w:eastAsia="宋体" w:cs="宋体"/>
        </w:rPr>
        <w:t xml:space="preserve">1.6 </w:t>
      </w:r>
      <w:r>
        <w:rPr>
          <w:rFonts w:hint="eastAsia" w:ascii="宋体" w:hAnsi="宋体" w:cs="宋体"/>
        </w:rPr>
        <w:t>本技术规范书未尽事宜，由招、投方双方协商确定。</w:t>
      </w:r>
    </w:p>
    <w:p>
      <w:pPr>
        <w:pStyle w:val="39"/>
        <w:spacing w:line="360" w:lineRule="auto"/>
        <w:rPr>
          <w:rFonts w:hint="eastAsia" w:hAnsi="宋体" w:cs="宋体"/>
          <w:szCs w:val="24"/>
        </w:rPr>
      </w:pPr>
      <w:r>
        <w:rPr>
          <w:rStyle w:val="103"/>
          <w:rFonts w:hint="eastAsia" w:ascii="宋体" w:hAnsi="宋体" w:eastAsia="宋体" w:cs="宋体"/>
        </w:rPr>
        <w:t xml:space="preserve">1.7 </w:t>
      </w:r>
      <w:r>
        <w:rPr>
          <w:rFonts w:hint="eastAsia" w:hAnsi="宋体" w:cs="宋体"/>
          <w:szCs w:val="24"/>
        </w:rPr>
        <w:t>投标方在应标技术规范书中应如实反映应标产品与本技术规范书的技术差异。如果投标方没有提出技术差异，而在执行合同的过程中，招标方发现投标方提供的产品与其应标技术规范书的条文存在差异，招标方有权利要求退货。</w:t>
      </w:r>
    </w:p>
    <w:p>
      <w:pPr>
        <w:pStyle w:val="39"/>
        <w:spacing w:line="360" w:lineRule="auto"/>
        <w:rPr>
          <w:rFonts w:hint="eastAsia" w:hAnsi="宋体" w:cs="宋体"/>
          <w:szCs w:val="24"/>
        </w:rPr>
      </w:pPr>
      <w:r>
        <w:rPr>
          <w:rStyle w:val="103"/>
          <w:rFonts w:hint="eastAsia" w:ascii="宋体" w:hAnsi="宋体" w:eastAsia="宋体" w:cs="宋体"/>
        </w:rPr>
        <w:t>1.8</w:t>
      </w:r>
      <w:r>
        <w:rPr>
          <w:rFonts w:hint="eastAsia" w:hAnsi="宋体" w:cs="宋体"/>
          <w:szCs w:val="24"/>
        </w:rPr>
        <w:t xml:space="preserve"> 投标方应在应标技术部分按本技术规范书的要求如实详细填写应标设备的标准配置表，并在应标商务部分按此标准配置进行报价。</w:t>
      </w:r>
    </w:p>
    <w:p>
      <w:pPr>
        <w:snapToGrid w:val="0"/>
        <w:spacing w:line="360" w:lineRule="auto"/>
        <w:rPr>
          <w:rFonts w:hint="eastAsia" w:ascii="宋体" w:hAnsi="宋体" w:cs="宋体"/>
          <w:highlight w:val="none"/>
        </w:rPr>
      </w:pPr>
      <w:r>
        <w:rPr>
          <w:rStyle w:val="103"/>
          <w:rFonts w:hint="eastAsia" w:ascii="宋体" w:hAnsi="宋体" w:eastAsia="宋体" w:cs="宋体"/>
        </w:rPr>
        <w:t>1.9</w:t>
      </w:r>
      <w:r>
        <w:rPr>
          <w:rFonts w:hint="eastAsia" w:ascii="宋体" w:hAnsi="宋体" w:cs="宋体"/>
        </w:rPr>
        <w:t xml:space="preserve"> 投标方应充分理解本技术规范书并按本技术规范书的具体条款、格式要求填写应标的技术文件，如发现应标的技术文件条款、格式不符合本技术规范书</w:t>
      </w:r>
      <w:r>
        <w:rPr>
          <w:rFonts w:hint="eastAsia" w:ascii="宋体" w:hAnsi="宋体" w:cs="宋体"/>
          <w:highlight w:val="none"/>
        </w:rPr>
        <w:t>的要求，则认为应标不严肃。</w:t>
      </w:r>
    </w:p>
    <w:p>
      <w:pPr>
        <w:pStyle w:val="145"/>
        <w:topLinePunct/>
        <w:spacing w:line="360" w:lineRule="auto"/>
        <w:outlineLvl w:val="0"/>
        <w:rPr>
          <w:rFonts w:hint="eastAsia" w:ascii="宋体" w:hAnsi="宋体" w:eastAsia="宋体" w:cs="宋体"/>
          <w:b/>
          <w:bCs/>
          <w:snapToGrid w:val="0"/>
          <w:kern w:val="0"/>
          <w:highlight w:val="none"/>
        </w:rPr>
      </w:pPr>
      <w:bookmarkStart w:id="20" w:name="_Toc178439780"/>
      <w:bookmarkStart w:id="21" w:name="_Toc3370"/>
      <w:bookmarkStart w:id="22" w:name="_Toc252534615"/>
      <w:bookmarkStart w:id="23" w:name="_Toc247855638"/>
      <w:bookmarkStart w:id="24" w:name="_Toc20031"/>
      <w:bookmarkStart w:id="25" w:name="_Toc256370331"/>
      <w:bookmarkStart w:id="26" w:name="_Toc18810"/>
      <w:bookmarkStart w:id="27" w:name="_Toc3246"/>
      <w:r>
        <w:rPr>
          <w:rFonts w:hint="eastAsia" w:ascii="宋体" w:hAnsi="宋体" w:eastAsia="宋体" w:cs="宋体"/>
          <w:b/>
          <w:bCs/>
          <w:snapToGrid w:val="0"/>
          <w:kern w:val="0"/>
          <w:highlight w:val="none"/>
        </w:rPr>
        <w:t>2　</w:t>
      </w:r>
      <w:bookmarkEnd w:id="20"/>
      <w:bookmarkEnd w:id="21"/>
      <w:bookmarkEnd w:id="22"/>
      <w:bookmarkEnd w:id="23"/>
      <w:bookmarkEnd w:id="24"/>
      <w:bookmarkEnd w:id="25"/>
      <w:r>
        <w:rPr>
          <w:rFonts w:hint="eastAsia" w:ascii="宋体" w:hAnsi="宋体" w:eastAsia="宋体" w:cs="宋体"/>
          <w:b/>
          <w:bCs/>
          <w:snapToGrid w:val="0"/>
          <w:kern w:val="0"/>
          <w:highlight w:val="none"/>
        </w:rPr>
        <w:t>工作范围</w:t>
      </w:r>
      <w:bookmarkEnd w:id="26"/>
      <w:bookmarkEnd w:id="27"/>
    </w:p>
    <w:p>
      <w:pPr>
        <w:snapToGrid w:val="0"/>
        <w:spacing w:line="360" w:lineRule="auto"/>
        <w:rPr>
          <w:rFonts w:hint="eastAsia" w:ascii="宋体" w:hAnsi="宋体" w:cs="宋体"/>
          <w:szCs w:val="21"/>
        </w:rPr>
      </w:pPr>
      <w:r>
        <w:rPr>
          <w:rStyle w:val="103"/>
          <w:rFonts w:hint="eastAsia" w:ascii="宋体" w:hAnsi="宋体" w:eastAsia="宋体" w:cs="宋体"/>
        </w:rPr>
        <w:t>2.1</w:t>
      </w:r>
      <w:r>
        <w:rPr>
          <w:rFonts w:hint="eastAsia" w:ascii="宋体" w:hAnsi="宋体" w:cs="宋体"/>
          <w:szCs w:val="21"/>
        </w:rPr>
        <w:t xml:space="preserve"> 投标方的工作范围将包括下列内容，但不仅仅限于此内容：</w:t>
      </w:r>
    </w:p>
    <w:p>
      <w:pPr>
        <w:snapToGrid w:val="0"/>
        <w:spacing w:line="360" w:lineRule="auto"/>
        <w:ind w:firstLine="420" w:firstLineChars="200"/>
        <w:rPr>
          <w:rFonts w:hint="eastAsia" w:ascii="宋体" w:hAnsi="宋体" w:cs="宋体"/>
          <w:szCs w:val="22"/>
        </w:rPr>
      </w:pPr>
      <w:r>
        <w:rPr>
          <w:rFonts w:hint="eastAsia" w:ascii="宋体" w:hAnsi="宋体" w:cs="宋体"/>
          <w:szCs w:val="22"/>
        </w:rPr>
        <w:t>1） 提供技术规范内所有设备及设计说明书及制造方面的说明。</w:t>
      </w:r>
    </w:p>
    <w:p>
      <w:pPr>
        <w:snapToGrid w:val="0"/>
        <w:spacing w:line="360" w:lineRule="auto"/>
        <w:ind w:firstLine="420" w:firstLineChars="200"/>
        <w:rPr>
          <w:rFonts w:hint="eastAsia" w:ascii="宋体" w:hAnsi="宋体" w:cs="宋体"/>
          <w:szCs w:val="22"/>
        </w:rPr>
      </w:pPr>
      <w:r>
        <w:rPr>
          <w:rFonts w:hint="eastAsia" w:ascii="宋体" w:hAnsi="宋体" w:cs="宋体"/>
          <w:szCs w:val="22"/>
          <w:lang w:val="en-US" w:eastAsia="zh-CN"/>
        </w:rPr>
        <w:t>2</w:t>
      </w:r>
      <w:r>
        <w:rPr>
          <w:rFonts w:hint="eastAsia" w:ascii="宋体" w:hAnsi="宋体" w:cs="宋体"/>
          <w:szCs w:val="22"/>
        </w:rPr>
        <w:t>） 提供设备安装、使用的说明书。</w:t>
      </w:r>
    </w:p>
    <w:p>
      <w:pPr>
        <w:snapToGrid w:val="0"/>
        <w:spacing w:line="360" w:lineRule="auto"/>
        <w:ind w:firstLine="420" w:firstLineChars="200"/>
        <w:rPr>
          <w:rFonts w:hint="eastAsia" w:ascii="宋体" w:hAnsi="宋体" w:cs="宋体"/>
          <w:szCs w:val="22"/>
        </w:rPr>
      </w:pPr>
      <w:r>
        <w:rPr>
          <w:rFonts w:hint="eastAsia" w:ascii="宋体" w:hAnsi="宋体" w:cs="宋体"/>
          <w:szCs w:val="22"/>
          <w:lang w:val="en-US" w:eastAsia="zh-CN"/>
        </w:rPr>
        <w:t>3</w:t>
      </w:r>
      <w:r>
        <w:rPr>
          <w:rFonts w:hint="eastAsia" w:ascii="宋体" w:hAnsi="宋体" w:cs="宋体"/>
          <w:szCs w:val="22"/>
        </w:rPr>
        <w:t>） 提供试验和检验的标准，包括试验报告和试验数据。</w:t>
      </w:r>
    </w:p>
    <w:p>
      <w:pPr>
        <w:snapToGrid w:val="0"/>
        <w:spacing w:line="360" w:lineRule="auto"/>
        <w:ind w:firstLine="420" w:firstLineChars="200"/>
        <w:rPr>
          <w:rFonts w:hint="eastAsia" w:ascii="宋体" w:hAnsi="宋体" w:cs="宋体"/>
          <w:szCs w:val="22"/>
        </w:rPr>
      </w:pPr>
      <w:r>
        <w:rPr>
          <w:rFonts w:hint="eastAsia" w:ascii="宋体" w:hAnsi="宋体" w:cs="宋体"/>
          <w:szCs w:val="22"/>
          <w:lang w:val="en-US" w:eastAsia="zh-CN"/>
        </w:rPr>
        <w:t>4</w:t>
      </w:r>
      <w:r>
        <w:rPr>
          <w:rFonts w:hint="eastAsia" w:ascii="宋体" w:hAnsi="宋体" w:cs="宋体"/>
          <w:szCs w:val="22"/>
        </w:rPr>
        <w:t>） 提供图纸、制造和质量保证过程的一览表以及技术规范书规定的其他资料。</w:t>
      </w:r>
    </w:p>
    <w:p>
      <w:pPr>
        <w:snapToGrid w:val="0"/>
        <w:spacing w:line="360" w:lineRule="auto"/>
        <w:ind w:firstLine="420" w:firstLineChars="200"/>
        <w:rPr>
          <w:rFonts w:hint="eastAsia" w:ascii="宋体" w:hAnsi="宋体" w:cs="宋体"/>
          <w:szCs w:val="22"/>
        </w:rPr>
      </w:pPr>
      <w:r>
        <w:rPr>
          <w:rFonts w:hint="eastAsia" w:ascii="宋体" w:hAnsi="宋体" w:cs="宋体"/>
          <w:szCs w:val="22"/>
          <w:lang w:val="en-US" w:eastAsia="zh-CN"/>
        </w:rPr>
        <w:t>5</w:t>
      </w:r>
      <w:r>
        <w:rPr>
          <w:rFonts w:hint="eastAsia" w:ascii="宋体" w:hAnsi="宋体" w:cs="宋体"/>
          <w:szCs w:val="22"/>
        </w:rPr>
        <w:t>） 提供设备管理和运行所需有关资料。</w:t>
      </w:r>
    </w:p>
    <w:p>
      <w:pPr>
        <w:snapToGrid w:val="0"/>
        <w:spacing w:line="360" w:lineRule="auto"/>
        <w:ind w:firstLine="420" w:firstLineChars="200"/>
        <w:rPr>
          <w:rFonts w:hint="eastAsia" w:ascii="宋体" w:hAnsi="宋体" w:cs="宋体"/>
          <w:szCs w:val="22"/>
        </w:rPr>
      </w:pPr>
      <w:r>
        <w:rPr>
          <w:rFonts w:hint="eastAsia" w:ascii="宋体" w:hAnsi="宋体" w:cs="宋体"/>
          <w:szCs w:val="22"/>
          <w:lang w:val="en-US" w:eastAsia="zh-CN"/>
        </w:rPr>
        <w:t>6</w:t>
      </w:r>
      <w:r>
        <w:rPr>
          <w:rFonts w:hint="eastAsia" w:ascii="宋体" w:hAnsi="宋体" w:cs="宋体"/>
          <w:szCs w:val="22"/>
        </w:rPr>
        <w:t>） 所提供设备应发运到规定的目的地。</w:t>
      </w:r>
    </w:p>
    <w:p>
      <w:pPr>
        <w:snapToGrid w:val="0"/>
        <w:spacing w:line="360" w:lineRule="auto"/>
        <w:ind w:firstLine="420" w:firstLineChars="200"/>
        <w:rPr>
          <w:rFonts w:hint="eastAsia" w:ascii="宋体" w:hAnsi="宋体" w:cs="宋体"/>
          <w:szCs w:val="22"/>
        </w:rPr>
      </w:pPr>
      <w:r>
        <w:rPr>
          <w:rFonts w:hint="eastAsia" w:ascii="宋体" w:hAnsi="宋体" w:cs="宋体"/>
          <w:szCs w:val="22"/>
          <w:lang w:val="en-US" w:eastAsia="zh-CN"/>
        </w:rPr>
        <w:t>7</w:t>
      </w:r>
      <w:r>
        <w:rPr>
          <w:rFonts w:hint="eastAsia" w:ascii="宋体" w:hAnsi="宋体" w:cs="宋体"/>
          <w:szCs w:val="22"/>
        </w:rPr>
        <w:t>） 如投标方标准、规范与本技术规范有明显的冲突，则投标方应在制造设备前，用书面形式将冲突和解决办法告知招标方，并经招标方确认后，才能进行设备制造。</w:t>
      </w:r>
    </w:p>
    <w:p>
      <w:pPr>
        <w:snapToGrid w:val="0"/>
        <w:spacing w:line="360" w:lineRule="auto"/>
        <w:ind w:firstLine="420" w:firstLineChars="200"/>
        <w:rPr>
          <w:rFonts w:hint="eastAsia" w:ascii="宋体" w:hAnsi="宋体" w:cs="宋体"/>
          <w:szCs w:val="22"/>
        </w:rPr>
      </w:pPr>
      <w:r>
        <w:rPr>
          <w:rFonts w:hint="eastAsia" w:ascii="宋体" w:hAnsi="宋体" w:cs="宋体"/>
          <w:szCs w:val="22"/>
          <w:lang w:val="en-US" w:eastAsia="zh-CN"/>
        </w:rPr>
        <w:t>8</w:t>
      </w:r>
      <w:r>
        <w:rPr>
          <w:rFonts w:hint="eastAsia" w:ascii="宋体" w:hAnsi="宋体" w:cs="宋体"/>
          <w:szCs w:val="22"/>
        </w:rPr>
        <w:t>） 在更换所用的准则、标准、规程或修改设备技术数据时，投标方有责任接受招标方的选择。</w:t>
      </w:r>
    </w:p>
    <w:p>
      <w:pPr>
        <w:snapToGrid w:val="0"/>
        <w:spacing w:line="360" w:lineRule="auto"/>
        <w:ind w:firstLine="420" w:firstLineChars="200"/>
        <w:rPr>
          <w:rFonts w:hint="eastAsia" w:ascii="宋体" w:hAnsi="宋体" w:cs="宋体"/>
          <w:szCs w:val="22"/>
        </w:rPr>
      </w:pPr>
      <w:r>
        <w:rPr>
          <w:rFonts w:hint="eastAsia" w:ascii="宋体" w:hAnsi="宋体" w:cs="宋体"/>
          <w:szCs w:val="22"/>
          <w:lang w:val="en-US" w:eastAsia="zh-CN"/>
        </w:rPr>
        <w:t>9</w:t>
      </w:r>
      <w:r>
        <w:rPr>
          <w:rFonts w:hint="eastAsia" w:ascii="宋体" w:hAnsi="宋体" w:cs="宋体"/>
          <w:szCs w:val="22"/>
        </w:rPr>
        <w:t>）现场服务。</w:t>
      </w:r>
    </w:p>
    <w:p>
      <w:pPr>
        <w:pStyle w:val="168"/>
        <w:adjustRightInd w:val="0"/>
        <w:snapToGrid w:val="0"/>
        <w:spacing w:line="360" w:lineRule="auto"/>
        <w:ind w:firstLine="0" w:firstLineChars="0"/>
        <w:rPr>
          <w:rFonts w:hint="eastAsia" w:ascii="宋体" w:hAnsi="宋体" w:eastAsia="宋体"/>
          <w:szCs w:val="21"/>
        </w:rPr>
      </w:pPr>
      <w:r>
        <w:rPr>
          <w:rStyle w:val="103"/>
          <w:rFonts w:hint="eastAsia" w:ascii="宋体" w:hAnsi="宋体" w:eastAsia="宋体" w:cs="宋体"/>
        </w:rPr>
        <w:t>2.2</w:t>
      </w:r>
      <w:r>
        <w:rPr>
          <w:rFonts w:hint="eastAsia" w:ascii="宋体" w:hAnsi="宋体" w:eastAsia="宋体"/>
          <w:szCs w:val="21"/>
        </w:rPr>
        <w:t xml:space="preserve"> 供货范围一览表</w:t>
      </w:r>
    </w:p>
    <w:p>
      <w:pPr>
        <w:pStyle w:val="168"/>
        <w:adjustRightInd w:val="0"/>
        <w:snapToGrid w:val="0"/>
        <w:spacing w:line="360" w:lineRule="auto"/>
        <w:rPr>
          <w:rFonts w:hint="eastAsia" w:ascii="宋体" w:hAnsi="宋体" w:eastAsia="宋体"/>
          <w:szCs w:val="21"/>
        </w:rPr>
      </w:pPr>
      <w:r>
        <w:rPr>
          <w:rFonts w:hint="eastAsia" w:ascii="宋体" w:hAnsi="宋体" w:eastAsia="宋体"/>
          <w:szCs w:val="21"/>
        </w:rPr>
        <w:t>投标方提供的</w:t>
      </w:r>
      <w:r>
        <w:rPr>
          <w:rFonts w:hint="eastAsia" w:ascii="宋体" w:hAnsi="宋体" w:eastAsia="宋体"/>
        </w:rPr>
        <w:t>220V单相低压调压器</w:t>
      </w:r>
      <w:r>
        <w:rPr>
          <w:rFonts w:hint="eastAsia" w:ascii="宋体" w:hAnsi="宋体" w:eastAsia="宋体"/>
          <w:szCs w:val="21"/>
        </w:rPr>
        <w:t>的具体规格、数量见表1。投标方应如实填写“投标方保证”栏。</w:t>
      </w:r>
    </w:p>
    <w:p>
      <w:pPr>
        <w:spacing w:line="360" w:lineRule="auto"/>
        <w:jc w:val="center"/>
        <w:rPr>
          <w:rFonts w:hint="eastAsia" w:ascii="宋体" w:hAnsi="宋体" w:cs="宋体"/>
          <w:b/>
          <w:bCs/>
          <w:sz w:val="18"/>
          <w:szCs w:val="18"/>
        </w:rPr>
      </w:pPr>
      <w:r>
        <w:rPr>
          <w:rFonts w:hint="eastAsia" w:ascii="宋体" w:hAnsi="宋体" w:cs="宋体"/>
          <w:b/>
          <w:bCs/>
          <w:sz w:val="18"/>
          <w:szCs w:val="18"/>
        </w:rPr>
        <w:t>表1 供货范围及设备技术规格一览表</w:t>
      </w:r>
    </w:p>
    <w:tbl>
      <w:tblPr>
        <w:tblStyle w:val="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11"/>
        <w:gridCol w:w="2059"/>
        <w:gridCol w:w="500"/>
        <w:gridCol w:w="3359"/>
        <w:gridCol w:w="466"/>
        <w:gridCol w:w="2004"/>
        <w:gridCol w:w="48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511" w:type="dxa"/>
            <w:vMerge w:val="restart"/>
            <w:vAlign w:val="center"/>
          </w:tcPr>
          <w:p>
            <w:pPr>
              <w:jc w:val="center"/>
              <w:rPr>
                <w:rFonts w:hint="eastAsia" w:ascii="宋体" w:hAnsi="宋体" w:cs="宋体"/>
              </w:rPr>
            </w:pPr>
            <w:r>
              <w:rPr>
                <w:rFonts w:hint="eastAsia" w:ascii="宋体" w:hAnsi="宋体" w:cs="宋体"/>
              </w:rPr>
              <w:t>序号</w:t>
            </w:r>
          </w:p>
        </w:tc>
        <w:tc>
          <w:tcPr>
            <w:tcW w:w="2059" w:type="dxa"/>
            <w:vMerge w:val="restart"/>
            <w:vAlign w:val="center"/>
          </w:tcPr>
          <w:p>
            <w:pPr>
              <w:jc w:val="center"/>
              <w:rPr>
                <w:rFonts w:hint="eastAsia" w:ascii="宋体" w:hAnsi="宋体" w:cs="宋体"/>
              </w:rPr>
            </w:pPr>
            <w:r>
              <w:rPr>
                <w:rFonts w:hint="eastAsia" w:ascii="宋体" w:hAnsi="宋体" w:cs="宋体"/>
              </w:rPr>
              <w:t>名  称</w:t>
            </w:r>
          </w:p>
        </w:tc>
        <w:tc>
          <w:tcPr>
            <w:tcW w:w="500" w:type="dxa"/>
            <w:vMerge w:val="restart"/>
            <w:tcBorders>
              <w:right w:val="single" w:color="auto" w:sz="4" w:space="0"/>
            </w:tcBorders>
            <w:vAlign w:val="center"/>
          </w:tcPr>
          <w:p>
            <w:pPr>
              <w:jc w:val="center"/>
              <w:rPr>
                <w:rFonts w:hint="eastAsia" w:ascii="宋体" w:hAnsi="宋体" w:cs="宋体"/>
              </w:rPr>
            </w:pPr>
            <w:r>
              <w:rPr>
                <w:rFonts w:hint="eastAsia" w:ascii="宋体" w:hAnsi="宋体" w:cs="宋体"/>
              </w:rPr>
              <w:t>单位</w:t>
            </w:r>
          </w:p>
        </w:tc>
        <w:tc>
          <w:tcPr>
            <w:tcW w:w="3825" w:type="dxa"/>
            <w:gridSpan w:val="2"/>
            <w:tcBorders>
              <w:left w:val="single" w:color="auto" w:sz="4" w:space="0"/>
              <w:bottom w:val="single" w:color="auto" w:sz="4" w:space="0"/>
            </w:tcBorders>
            <w:vAlign w:val="center"/>
          </w:tcPr>
          <w:p>
            <w:pPr>
              <w:jc w:val="center"/>
              <w:rPr>
                <w:rFonts w:hint="eastAsia" w:ascii="宋体" w:hAnsi="宋体" w:cs="宋体"/>
              </w:rPr>
            </w:pPr>
            <w:r>
              <w:rPr>
                <w:rFonts w:hint="eastAsia" w:ascii="宋体" w:hAnsi="宋体" w:cs="宋体"/>
              </w:rPr>
              <w:t>项目要求</w:t>
            </w:r>
          </w:p>
        </w:tc>
        <w:tc>
          <w:tcPr>
            <w:tcW w:w="2484" w:type="dxa"/>
            <w:gridSpan w:val="2"/>
            <w:tcBorders>
              <w:bottom w:val="single" w:color="auto" w:sz="4" w:space="0"/>
            </w:tcBorders>
            <w:vAlign w:val="center"/>
          </w:tcPr>
          <w:p>
            <w:pPr>
              <w:jc w:val="center"/>
              <w:rPr>
                <w:rFonts w:hint="eastAsia" w:ascii="宋体" w:hAnsi="宋体" w:cs="宋体"/>
              </w:rPr>
            </w:pPr>
            <w:r>
              <w:rPr>
                <w:rFonts w:hint="eastAsia" w:ascii="宋体" w:hAnsi="宋体" w:cs="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511" w:type="dxa"/>
            <w:vMerge w:val="continue"/>
            <w:vAlign w:val="center"/>
          </w:tcPr>
          <w:p>
            <w:pPr>
              <w:jc w:val="center"/>
              <w:rPr>
                <w:rFonts w:hint="eastAsia" w:ascii="宋体" w:hAnsi="宋体" w:cs="宋体"/>
              </w:rPr>
            </w:pPr>
          </w:p>
        </w:tc>
        <w:tc>
          <w:tcPr>
            <w:tcW w:w="2059" w:type="dxa"/>
            <w:vMerge w:val="continue"/>
            <w:vAlign w:val="center"/>
          </w:tcPr>
          <w:p>
            <w:pPr>
              <w:jc w:val="center"/>
              <w:rPr>
                <w:rFonts w:hint="eastAsia" w:ascii="宋体" w:hAnsi="宋体" w:cs="宋体"/>
              </w:rPr>
            </w:pPr>
          </w:p>
        </w:tc>
        <w:tc>
          <w:tcPr>
            <w:tcW w:w="500" w:type="dxa"/>
            <w:vMerge w:val="continue"/>
            <w:tcBorders>
              <w:right w:val="single" w:color="auto" w:sz="4" w:space="0"/>
            </w:tcBorders>
            <w:vAlign w:val="center"/>
          </w:tcPr>
          <w:p>
            <w:pPr>
              <w:jc w:val="center"/>
              <w:rPr>
                <w:rFonts w:hint="eastAsia" w:ascii="宋体" w:hAnsi="宋体" w:cs="宋体"/>
              </w:rPr>
            </w:pPr>
          </w:p>
        </w:tc>
        <w:tc>
          <w:tcPr>
            <w:tcW w:w="3359" w:type="dxa"/>
            <w:tcBorders>
              <w:top w:val="single" w:color="auto" w:sz="4" w:space="0"/>
              <w:left w:val="single" w:color="auto" w:sz="4" w:space="0"/>
              <w:right w:val="single" w:color="auto" w:sz="4" w:space="0"/>
            </w:tcBorders>
            <w:vAlign w:val="center"/>
          </w:tcPr>
          <w:p>
            <w:pPr>
              <w:jc w:val="center"/>
              <w:rPr>
                <w:rFonts w:hint="eastAsia" w:ascii="宋体" w:hAnsi="宋体" w:cs="宋体"/>
              </w:rPr>
            </w:pPr>
            <w:r>
              <w:rPr>
                <w:rFonts w:hint="eastAsia" w:ascii="宋体" w:hAnsi="宋体" w:cs="宋体"/>
              </w:rPr>
              <w:t>型式、规格</w:t>
            </w:r>
          </w:p>
        </w:tc>
        <w:tc>
          <w:tcPr>
            <w:tcW w:w="466" w:type="dxa"/>
            <w:tcBorders>
              <w:top w:val="single" w:color="auto" w:sz="4" w:space="0"/>
              <w:left w:val="single" w:color="auto" w:sz="4" w:space="0"/>
            </w:tcBorders>
            <w:vAlign w:val="center"/>
          </w:tcPr>
          <w:p>
            <w:pPr>
              <w:jc w:val="center"/>
              <w:rPr>
                <w:rFonts w:hint="eastAsia" w:ascii="宋体" w:hAnsi="宋体" w:cs="宋体"/>
              </w:rPr>
            </w:pPr>
            <w:r>
              <w:rPr>
                <w:rFonts w:hint="eastAsia" w:ascii="宋体" w:hAnsi="宋体" w:cs="宋体"/>
              </w:rPr>
              <w:t>数量</w:t>
            </w:r>
          </w:p>
        </w:tc>
        <w:tc>
          <w:tcPr>
            <w:tcW w:w="2004" w:type="dxa"/>
            <w:tcBorders>
              <w:top w:val="single" w:color="auto" w:sz="4" w:space="0"/>
              <w:right w:val="single" w:color="auto" w:sz="4" w:space="0"/>
            </w:tcBorders>
            <w:vAlign w:val="center"/>
          </w:tcPr>
          <w:p>
            <w:pPr>
              <w:jc w:val="center"/>
              <w:rPr>
                <w:rFonts w:hint="eastAsia" w:ascii="宋体" w:hAnsi="宋体" w:cs="宋体"/>
              </w:rPr>
            </w:pPr>
            <w:r>
              <w:rPr>
                <w:rFonts w:hint="eastAsia" w:ascii="宋体" w:hAnsi="宋体" w:cs="宋体"/>
              </w:rPr>
              <w:t>型式、规格</w:t>
            </w:r>
          </w:p>
        </w:tc>
        <w:tc>
          <w:tcPr>
            <w:tcW w:w="480" w:type="dxa"/>
            <w:tcBorders>
              <w:top w:val="single" w:color="auto" w:sz="4" w:space="0"/>
              <w:left w:val="single" w:color="auto" w:sz="4" w:space="0"/>
            </w:tcBorders>
            <w:vAlign w:val="center"/>
          </w:tcPr>
          <w:p>
            <w:pPr>
              <w:jc w:val="center"/>
              <w:rPr>
                <w:rFonts w:hint="eastAsia" w:ascii="宋体" w:hAnsi="宋体" w:cs="宋体"/>
              </w:rPr>
            </w:pPr>
            <w:r>
              <w:rPr>
                <w:rFonts w:hint="eastAsia" w:ascii="宋体" w:hAnsi="宋体" w:cs="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511" w:type="dxa"/>
            <w:vAlign w:val="center"/>
          </w:tcPr>
          <w:p>
            <w:pPr>
              <w:jc w:val="center"/>
              <w:rPr>
                <w:rFonts w:hint="eastAsia" w:ascii="宋体" w:hAnsi="宋体" w:cs="宋体"/>
              </w:rPr>
            </w:pPr>
            <w:r>
              <w:rPr>
                <w:rFonts w:hint="eastAsia" w:ascii="宋体" w:hAnsi="宋体" w:cs="宋体"/>
              </w:rPr>
              <w:t>1</w:t>
            </w:r>
          </w:p>
        </w:tc>
        <w:tc>
          <w:tcPr>
            <w:tcW w:w="2059" w:type="dxa"/>
            <w:vAlign w:val="center"/>
          </w:tcPr>
          <w:p>
            <w:pPr>
              <w:jc w:val="center"/>
              <w:rPr>
                <w:rFonts w:hint="eastAsia" w:ascii="宋体" w:hAnsi="宋体" w:cs="宋体"/>
              </w:rPr>
            </w:pPr>
            <w:r>
              <w:rPr>
                <w:rFonts w:hint="eastAsia" w:ascii="宋体" w:hAnsi="宋体" w:cs="宋体"/>
                <w:sz w:val="18"/>
                <w:szCs w:val="18"/>
              </w:rPr>
              <w:t>220V单相低压调压器</w:t>
            </w:r>
          </w:p>
        </w:tc>
        <w:tc>
          <w:tcPr>
            <w:tcW w:w="500" w:type="dxa"/>
            <w:tcBorders>
              <w:right w:val="single" w:color="auto" w:sz="4" w:space="0"/>
            </w:tcBorders>
            <w:vAlign w:val="center"/>
          </w:tcPr>
          <w:p>
            <w:pPr>
              <w:jc w:val="center"/>
              <w:rPr>
                <w:rFonts w:hint="eastAsia" w:ascii="宋体" w:hAnsi="宋体" w:eastAsia="宋体" w:cs="宋体"/>
                <w:lang w:eastAsia="zh-CN"/>
              </w:rPr>
            </w:pPr>
            <w:r>
              <w:rPr>
                <w:rFonts w:hint="eastAsia" w:ascii="宋体" w:hAnsi="宋体" w:cs="宋体"/>
                <w:sz w:val="18"/>
                <w:szCs w:val="18"/>
                <w:lang w:val="en-US" w:eastAsia="zh-CN"/>
              </w:rPr>
              <w:t>个</w:t>
            </w:r>
          </w:p>
        </w:tc>
        <w:tc>
          <w:tcPr>
            <w:tcW w:w="3359" w:type="dxa"/>
            <w:tcBorders>
              <w:left w:val="single" w:color="auto" w:sz="4" w:space="0"/>
              <w:right w:val="single" w:color="auto" w:sz="4" w:space="0"/>
            </w:tcBorders>
            <w:vAlign w:val="center"/>
          </w:tcPr>
          <w:p>
            <w:pPr>
              <w:jc w:val="center"/>
              <w:rPr>
                <w:rFonts w:hint="eastAsia" w:ascii="宋体" w:hAnsi="宋体" w:cs="宋体"/>
              </w:rPr>
            </w:pPr>
            <w:r>
              <w:rPr>
                <w:rFonts w:hint="eastAsia" w:ascii="宋体" w:hAnsi="宋体" w:cs="宋体"/>
                <w:sz w:val="18"/>
                <w:szCs w:val="18"/>
              </w:rPr>
              <w:t>AC220V，30kVA，单相（含安装支架）电容器组单组容量为1.67kVAR,额定电压为220V，共三组，合计总补偿容量为5kVAR。</w:t>
            </w:r>
          </w:p>
        </w:tc>
        <w:tc>
          <w:tcPr>
            <w:tcW w:w="466" w:type="dxa"/>
            <w:tcBorders>
              <w:left w:val="single" w:color="auto" w:sz="4" w:space="0"/>
            </w:tcBorders>
            <w:vAlign w:val="center"/>
          </w:tcPr>
          <w:p>
            <w:pPr>
              <w:jc w:val="center"/>
              <w:rPr>
                <w:rFonts w:hint="eastAsia" w:ascii="宋体" w:hAnsi="宋体" w:eastAsia="宋体" w:cs="宋体"/>
                <w:lang w:eastAsia="zh-CN"/>
              </w:rPr>
            </w:pPr>
            <w:r>
              <w:rPr>
                <w:rFonts w:hint="eastAsia" w:ascii="宋体" w:hAnsi="宋体" w:cs="宋体"/>
                <w:lang w:val="en-US" w:eastAsia="zh-CN"/>
              </w:rPr>
              <w:t>1</w:t>
            </w:r>
          </w:p>
        </w:tc>
        <w:tc>
          <w:tcPr>
            <w:tcW w:w="2004" w:type="dxa"/>
            <w:tcBorders>
              <w:right w:val="single" w:color="auto" w:sz="4" w:space="0"/>
            </w:tcBorders>
            <w:vAlign w:val="center"/>
          </w:tcPr>
          <w:p>
            <w:pPr>
              <w:jc w:val="center"/>
              <w:rPr>
                <w:rFonts w:hint="eastAsia" w:ascii="宋体" w:hAnsi="宋体" w:cs="宋体"/>
              </w:rPr>
            </w:pPr>
          </w:p>
        </w:tc>
        <w:tc>
          <w:tcPr>
            <w:tcW w:w="480" w:type="dxa"/>
            <w:tcBorders>
              <w:left w:val="single" w:color="auto" w:sz="4" w:space="0"/>
            </w:tcBorders>
          </w:tcPr>
          <w:p>
            <w:pPr>
              <w:rPr>
                <w:rFonts w:hint="eastAsia" w:ascii="宋体" w:hAnsi="宋体" w:cs="宋体"/>
              </w:rPr>
            </w:pPr>
          </w:p>
        </w:tc>
      </w:tr>
    </w:tbl>
    <w:p>
      <w:pPr>
        <w:pStyle w:val="168"/>
        <w:adjustRightInd w:val="0"/>
        <w:snapToGrid w:val="0"/>
        <w:spacing w:line="360" w:lineRule="auto"/>
        <w:ind w:firstLine="0" w:firstLineChars="0"/>
        <w:rPr>
          <w:rFonts w:hint="eastAsia" w:ascii="宋体" w:hAnsi="宋体" w:eastAsia="宋体"/>
          <w:szCs w:val="21"/>
        </w:rPr>
      </w:pPr>
      <w:r>
        <w:rPr>
          <w:rStyle w:val="103"/>
          <w:rFonts w:hint="eastAsia" w:ascii="宋体" w:hAnsi="宋体" w:eastAsia="宋体" w:cs="宋体"/>
        </w:rPr>
        <w:t>2.3</w:t>
      </w:r>
      <w:r>
        <w:rPr>
          <w:rFonts w:hint="eastAsia" w:ascii="宋体" w:hAnsi="宋体" w:eastAsia="宋体"/>
          <w:szCs w:val="21"/>
        </w:rPr>
        <w:t xml:space="preserve"> 工厂试验由投标方在生产厂家内完成, 但应有招标方代表参加, 参加工厂验收的人数及天数等规定详见技术规范书商务部分。</w:t>
      </w:r>
      <w:bookmarkStart w:id="220" w:name="_GoBack"/>
      <w:bookmarkEnd w:id="220"/>
    </w:p>
    <w:p>
      <w:pPr>
        <w:pStyle w:val="168"/>
        <w:adjustRightInd w:val="0"/>
        <w:snapToGrid w:val="0"/>
        <w:spacing w:line="360" w:lineRule="auto"/>
        <w:ind w:firstLine="0" w:firstLineChars="0"/>
        <w:rPr>
          <w:rFonts w:hint="eastAsia" w:ascii="宋体" w:hAnsi="宋体" w:eastAsia="宋体"/>
          <w:szCs w:val="21"/>
        </w:rPr>
      </w:pPr>
      <w:r>
        <w:rPr>
          <w:rStyle w:val="103"/>
          <w:rFonts w:hint="eastAsia" w:ascii="宋体" w:hAnsi="宋体" w:eastAsia="宋体" w:cs="宋体"/>
        </w:rPr>
        <w:t>2.4</w:t>
      </w:r>
      <w:r>
        <w:rPr>
          <w:rFonts w:hint="eastAsia" w:ascii="宋体" w:hAnsi="宋体" w:eastAsia="宋体"/>
          <w:szCs w:val="22"/>
        </w:rPr>
        <w:t xml:space="preserve"> </w:t>
      </w:r>
      <w:r>
        <w:rPr>
          <w:rFonts w:hint="eastAsia" w:ascii="宋体" w:hAnsi="宋体" w:eastAsia="宋体"/>
          <w:bCs/>
          <w:szCs w:val="21"/>
        </w:rPr>
        <w:t>设备安装位置选点、</w:t>
      </w:r>
      <w:r>
        <w:rPr>
          <w:rFonts w:hint="eastAsia" w:ascii="宋体" w:hAnsi="宋体" w:eastAsia="宋体"/>
          <w:szCs w:val="21"/>
        </w:rPr>
        <w:t>现场安装和试验在投标方的技术指导下由招标方完成, 投标方协助招标方按标准检查安装质量, 处理调试投运过程中出现的问题，并提供备品、备件，做好销售服务工作。投标方应选派有经验的技术人员，对安装和运行人员免费培训。</w:t>
      </w:r>
    </w:p>
    <w:p>
      <w:pPr>
        <w:pStyle w:val="168"/>
        <w:adjustRightInd w:val="0"/>
        <w:snapToGrid w:val="0"/>
        <w:spacing w:line="360" w:lineRule="auto"/>
        <w:ind w:firstLine="0" w:firstLineChars="0"/>
        <w:rPr>
          <w:rFonts w:hint="eastAsia" w:ascii="宋体" w:hAnsi="宋体" w:eastAsia="宋体"/>
          <w:szCs w:val="21"/>
        </w:rPr>
      </w:pPr>
      <w:r>
        <w:rPr>
          <w:rStyle w:val="103"/>
          <w:rFonts w:hint="eastAsia" w:ascii="宋体" w:hAnsi="宋体" w:eastAsia="宋体" w:cs="宋体"/>
        </w:rPr>
        <w:t>2.5</w:t>
      </w:r>
      <w:r>
        <w:rPr>
          <w:rFonts w:hint="eastAsia" w:ascii="宋体" w:hAnsi="宋体" w:eastAsia="宋体"/>
          <w:szCs w:val="22"/>
        </w:rPr>
        <w:t xml:space="preserve"> </w:t>
      </w:r>
      <w:r>
        <w:rPr>
          <w:rFonts w:hint="eastAsia" w:ascii="宋体" w:hAnsi="宋体" w:eastAsia="宋体"/>
          <w:szCs w:val="21"/>
        </w:rPr>
        <w:t>投标方应协助招标方解决设备运行中出现的问题。</w:t>
      </w:r>
    </w:p>
    <w:p>
      <w:pPr>
        <w:pStyle w:val="168"/>
        <w:adjustRightInd w:val="0"/>
        <w:snapToGrid w:val="0"/>
        <w:spacing w:line="360" w:lineRule="auto"/>
        <w:ind w:firstLine="0" w:firstLineChars="0"/>
        <w:rPr>
          <w:rFonts w:hint="eastAsia" w:ascii="宋体" w:hAnsi="宋体" w:eastAsia="宋体"/>
          <w:szCs w:val="21"/>
        </w:rPr>
      </w:pPr>
      <w:r>
        <w:rPr>
          <w:rStyle w:val="103"/>
          <w:rFonts w:hint="eastAsia" w:ascii="宋体" w:hAnsi="宋体" w:eastAsia="宋体" w:cs="宋体"/>
        </w:rPr>
        <w:t>2.6</w:t>
      </w:r>
      <w:r>
        <w:rPr>
          <w:rFonts w:hint="eastAsia" w:ascii="宋体" w:hAnsi="宋体" w:eastAsia="宋体"/>
          <w:szCs w:val="22"/>
        </w:rPr>
        <w:t xml:space="preserve"> </w:t>
      </w:r>
      <w:r>
        <w:rPr>
          <w:rFonts w:hint="eastAsia" w:ascii="宋体" w:hAnsi="宋体" w:eastAsia="宋体"/>
          <w:szCs w:val="21"/>
        </w:rPr>
        <w:t>设计联络会议的地点及招标方参加人员的人数和天数等规定详见技术规范书商务部分。</w:t>
      </w:r>
    </w:p>
    <w:p>
      <w:pPr>
        <w:pStyle w:val="145"/>
        <w:topLinePunct/>
        <w:outlineLvl w:val="0"/>
        <w:rPr>
          <w:rFonts w:hint="eastAsia" w:ascii="宋体" w:hAnsi="宋体" w:eastAsia="宋体" w:cs="宋体"/>
          <w:b/>
          <w:bCs/>
          <w:snapToGrid w:val="0"/>
          <w:kern w:val="0"/>
        </w:rPr>
      </w:pPr>
      <w:bookmarkStart w:id="28" w:name="_Toc455373921"/>
      <w:bookmarkStart w:id="29" w:name="_Toc23550"/>
      <w:bookmarkStart w:id="30" w:name="_Toc457979127"/>
      <w:bookmarkStart w:id="31" w:name="_Toc457986926"/>
      <w:bookmarkStart w:id="32" w:name="_Toc459534976"/>
      <w:bookmarkStart w:id="33" w:name="_Toc252534616"/>
      <w:bookmarkStart w:id="34" w:name="_Toc256370332"/>
      <w:bookmarkStart w:id="35" w:name="_Toc455543289"/>
      <w:bookmarkStart w:id="36" w:name="_Toc448828694"/>
      <w:bookmarkStart w:id="37" w:name="_Toc247855639"/>
      <w:bookmarkStart w:id="38" w:name="_Toc15571"/>
      <w:bookmarkStart w:id="39" w:name="_Toc482581219"/>
      <w:bookmarkStart w:id="40" w:name="_Toc5653"/>
      <w:bookmarkStart w:id="41" w:name="_Toc21519"/>
      <w:r>
        <w:rPr>
          <w:rFonts w:hint="eastAsia" w:ascii="宋体" w:hAnsi="宋体" w:eastAsia="宋体" w:cs="宋体"/>
          <w:b/>
          <w:bCs/>
          <w:snapToGrid w:val="0"/>
          <w:kern w:val="0"/>
        </w:rPr>
        <w:t>3　</w:t>
      </w:r>
      <w:bookmarkEnd w:id="28"/>
      <w:bookmarkEnd w:id="29"/>
      <w:bookmarkEnd w:id="30"/>
      <w:bookmarkEnd w:id="31"/>
      <w:bookmarkEnd w:id="32"/>
      <w:bookmarkEnd w:id="33"/>
      <w:bookmarkEnd w:id="34"/>
      <w:bookmarkEnd w:id="35"/>
      <w:bookmarkEnd w:id="36"/>
      <w:bookmarkEnd w:id="37"/>
      <w:bookmarkEnd w:id="38"/>
      <w:bookmarkEnd w:id="39"/>
      <w:r>
        <w:rPr>
          <w:rFonts w:hint="eastAsia" w:ascii="宋体" w:hAnsi="宋体" w:eastAsia="宋体" w:cs="宋体"/>
          <w:b/>
          <w:bCs/>
          <w:snapToGrid w:val="0"/>
          <w:kern w:val="0"/>
        </w:rPr>
        <w:t>应遵循的主要标准</w:t>
      </w:r>
      <w:bookmarkEnd w:id="40"/>
      <w:bookmarkEnd w:id="41"/>
    </w:p>
    <w:p>
      <w:pPr>
        <w:spacing w:line="360" w:lineRule="auto"/>
        <w:ind w:firstLine="420" w:firstLineChars="200"/>
        <w:rPr>
          <w:rFonts w:hint="eastAsia" w:ascii="宋体" w:hAnsi="宋体" w:cs="宋体"/>
          <w:szCs w:val="21"/>
        </w:rPr>
      </w:pPr>
      <w:bookmarkStart w:id="42" w:name="_Toc247855640"/>
      <w:bookmarkStart w:id="43" w:name="_Toc15837"/>
      <w:bookmarkStart w:id="44" w:name="_Toc27536"/>
      <w:bookmarkStart w:id="45" w:name="_Toc244335886"/>
      <w:r>
        <w:rPr>
          <w:rFonts w:hint="eastAsia" w:ascii="宋体" w:hAnsi="宋体" w:cs="宋体"/>
        </w:rPr>
        <w:t>除本技术规范书特殊规定外, 投标方所提供的设备均按规定的标准和规程的最新版本进行设计、制造、试验和安装。如果这些标准内容有矛盾时, 应按最高标准的条款执行或按双方商定的标准执行。如果投标方选用本技术规范书规定以外的标准时, 则需提交这种替换标准供审查和分析。仅在投标方已证明替换标准相当或优于技术规范书规定的标准, 并从招标方处获得书面的认可才能使用。提交供审查的标准应为中文或英文版本。主要引用标准如下：</w:t>
      </w:r>
    </w:p>
    <w:p>
      <w:pPr>
        <w:spacing w:line="360" w:lineRule="auto"/>
        <w:jc w:val="center"/>
        <w:rPr>
          <w:rFonts w:hint="eastAsia" w:ascii="宋体" w:hAnsi="宋体" w:cs="宋体"/>
          <w:snapToGrid w:val="0"/>
          <w:kern w:val="0"/>
        </w:rPr>
      </w:pPr>
      <w:r>
        <w:rPr>
          <w:rFonts w:hint="eastAsia" w:ascii="宋体" w:hAnsi="宋体" w:cs="宋体"/>
          <w:b/>
          <w:bCs/>
          <w:sz w:val="18"/>
          <w:szCs w:val="18"/>
        </w:rPr>
        <w:t>表2　引用标准</w:t>
      </w:r>
      <w:bookmarkStart w:id="46" w:name="_Toc252534618"/>
    </w:p>
    <w:tbl>
      <w:tblPr>
        <w:tblStyle w:val="77"/>
        <w:tblW w:w="0" w:type="auto"/>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2717"/>
        <w:gridCol w:w="6704"/>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0" w:hRule="atLeast"/>
          <w:tblHeader/>
          <w:jc w:val="center"/>
        </w:trPr>
        <w:tc>
          <w:tcPr>
            <w:tcW w:w="2717" w:type="dxa"/>
            <w:vAlign w:val="center"/>
          </w:tcPr>
          <w:p>
            <w:pPr>
              <w:snapToGrid w:val="0"/>
              <w:spacing w:before="60" w:after="60"/>
              <w:jc w:val="center"/>
              <w:rPr>
                <w:rFonts w:hint="eastAsia" w:ascii="宋体" w:hAnsi="宋体" w:cs="宋体"/>
                <w:snapToGrid w:val="0"/>
                <w:sz w:val="18"/>
                <w:szCs w:val="18"/>
              </w:rPr>
            </w:pPr>
            <w:bookmarkStart w:id="47" w:name="_Toc256370334"/>
            <w:bookmarkStart w:id="48" w:name="_Toc14895"/>
            <w:r>
              <w:rPr>
                <w:rFonts w:hint="eastAsia" w:ascii="宋体" w:hAnsi="宋体" w:cs="宋体"/>
                <w:snapToGrid w:val="0"/>
                <w:sz w:val="18"/>
                <w:szCs w:val="18"/>
              </w:rPr>
              <w:t>标准号</w:t>
            </w:r>
          </w:p>
        </w:tc>
        <w:tc>
          <w:tcPr>
            <w:tcW w:w="6704" w:type="dxa"/>
            <w:vAlign w:val="center"/>
          </w:tcPr>
          <w:p>
            <w:pPr>
              <w:snapToGrid w:val="0"/>
              <w:spacing w:before="60" w:after="60"/>
              <w:jc w:val="center"/>
              <w:rPr>
                <w:rFonts w:hint="eastAsia" w:ascii="宋体" w:hAnsi="宋体" w:cs="宋体"/>
                <w:snapToGrid w:val="0"/>
                <w:sz w:val="18"/>
                <w:szCs w:val="18"/>
              </w:rPr>
            </w:pPr>
            <w:r>
              <w:rPr>
                <w:rFonts w:hint="eastAsia" w:ascii="宋体" w:hAnsi="宋体" w:cs="宋体"/>
                <w:snapToGrid w:val="0"/>
                <w:sz w:val="18"/>
                <w:szCs w:val="18"/>
              </w:rPr>
              <w:t>标　准　名　称</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GB/T 6388</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运输包装收发货标志</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GB/T 2423</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电工电子产品环境试验</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GB/T 17626.1</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电磁兼容 试验和测量技术 抗扰度试验总论</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GB/T 17626.2</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电磁兼容 试验和测量技术 静电放电抗扰度试验</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GB 4208</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外壳防护等级（IP代码）</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GB 7251.12</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低压成套开关设备和控制设备 第2部分：成套电力开关和控制设备</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GB/T 10217</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电工控制设备造型设计导则</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GB/T 14436</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工业产品保证文件　总则</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JB/T 5877</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低压固定封闭式成套开关设备</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GB 1094.1</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电力变压器 第1部分 总则</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YD/T1270</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无触点补偿式交流稳压器</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2717"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GB12325</w:t>
            </w:r>
          </w:p>
        </w:tc>
        <w:tc>
          <w:tcPr>
            <w:tcW w:w="6704" w:type="dxa"/>
            <w:vAlign w:val="center"/>
          </w:tcPr>
          <w:p>
            <w:pPr>
              <w:pStyle w:val="236"/>
              <w:tabs>
                <w:tab w:val="left" w:pos="2284"/>
              </w:tabs>
              <w:snapToGrid w:val="0"/>
              <w:spacing w:before="60" w:after="60"/>
              <w:jc w:val="left"/>
              <w:rPr>
                <w:rFonts w:hint="eastAsia" w:ascii="宋体" w:hAnsi="宋体" w:cs="宋体"/>
                <w:sz w:val="18"/>
                <w:szCs w:val="18"/>
              </w:rPr>
            </w:pPr>
            <w:r>
              <w:rPr>
                <w:rFonts w:hint="eastAsia" w:ascii="宋体" w:hAnsi="宋体" w:cs="宋体"/>
                <w:sz w:val="18"/>
                <w:szCs w:val="18"/>
              </w:rPr>
              <w:t>电能质量 供电电压允许偏差</w:t>
            </w:r>
          </w:p>
        </w:tc>
      </w:tr>
    </w:tbl>
    <w:p>
      <w:pPr>
        <w:spacing w:line="360" w:lineRule="auto"/>
        <w:rPr>
          <w:rFonts w:hint="eastAsia" w:ascii="宋体" w:hAnsi="宋体" w:cs="宋体"/>
        </w:rPr>
      </w:pPr>
      <w:r>
        <w:rPr>
          <w:rFonts w:hint="eastAsia" w:ascii="宋体" w:hAnsi="宋体" w:cs="宋体"/>
          <w:snapToGrid w:val="0"/>
          <w:kern w:val="0"/>
        </w:rPr>
        <w:t>注：以上标准均按照国家、行业最新标准执行</w:t>
      </w:r>
    </w:p>
    <w:p>
      <w:pPr>
        <w:pStyle w:val="145"/>
        <w:topLinePunct/>
        <w:outlineLvl w:val="0"/>
        <w:rPr>
          <w:rFonts w:hint="eastAsia" w:ascii="宋体" w:hAnsi="宋体" w:eastAsia="宋体" w:cs="宋体"/>
          <w:b/>
          <w:bCs/>
          <w:snapToGrid w:val="0"/>
          <w:kern w:val="0"/>
        </w:rPr>
      </w:pPr>
      <w:bookmarkStart w:id="49" w:name="_Toc31043"/>
      <w:r>
        <w:rPr>
          <w:rFonts w:hint="eastAsia" w:ascii="宋体" w:hAnsi="宋体" w:eastAsia="宋体" w:cs="宋体"/>
          <w:b/>
          <w:bCs/>
          <w:snapToGrid w:val="0"/>
          <w:kern w:val="0"/>
        </w:rPr>
        <w:t>4　使用环境条件</w:t>
      </w:r>
      <w:bookmarkEnd w:id="42"/>
      <w:bookmarkEnd w:id="43"/>
      <w:bookmarkEnd w:id="44"/>
      <w:bookmarkEnd w:id="45"/>
      <w:bookmarkEnd w:id="46"/>
      <w:bookmarkEnd w:id="47"/>
      <w:bookmarkEnd w:id="48"/>
      <w:bookmarkEnd w:id="49"/>
    </w:p>
    <w:p>
      <w:pPr>
        <w:pStyle w:val="99"/>
        <w:topLinePunct/>
        <w:spacing w:line="360" w:lineRule="auto"/>
        <w:outlineLvl w:val="1"/>
        <w:rPr>
          <w:rFonts w:hint="eastAsia" w:ascii="宋体" w:hAnsi="宋体" w:eastAsia="宋体" w:cs="宋体"/>
          <w:szCs w:val="22"/>
        </w:rPr>
      </w:pPr>
      <w:bookmarkStart w:id="50" w:name="_Toc12322"/>
      <w:bookmarkStart w:id="51" w:name="_Toc1406"/>
      <w:r>
        <w:rPr>
          <w:rStyle w:val="103"/>
          <w:rFonts w:hint="eastAsia" w:ascii="宋体" w:hAnsi="宋体" w:eastAsia="宋体" w:cs="宋体"/>
        </w:rPr>
        <w:t>4.1</w:t>
      </w:r>
      <w:r>
        <w:rPr>
          <w:rFonts w:hint="eastAsia" w:ascii="宋体" w:hAnsi="宋体" w:eastAsia="宋体" w:cs="宋体"/>
          <w:szCs w:val="22"/>
        </w:rPr>
        <w:t xml:space="preserve"> 工作场所环境温度和湿度分级</w:t>
      </w:r>
      <w:bookmarkEnd w:id="50"/>
      <w:bookmarkEnd w:id="51"/>
    </w:p>
    <w:p>
      <w:pPr>
        <w:spacing w:line="360" w:lineRule="auto"/>
        <w:jc w:val="center"/>
        <w:rPr>
          <w:rFonts w:hint="eastAsia" w:ascii="宋体" w:hAnsi="宋体" w:cs="宋体"/>
          <w:b/>
          <w:bCs/>
          <w:sz w:val="18"/>
          <w:szCs w:val="18"/>
        </w:rPr>
      </w:pPr>
      <w:r>
        <w:rPr>
          <w:rFonts w:hint="eastAsia" w:ascii="宋体" w:hAnsi="宋体" w:cs="宋体"/>
          <w:b/>
          <w:bCs/>
          <w:sz w:val="18"/>
          <w:szCs w:val="18"/>
        </w:rPr>
        <w:t>表3　工作场所环境温度和湿度分级</w:t>
      </w:r>
    </w:p>
    <w:tbl>
      <w:tblPr>
        <w:tblStyle w:val="7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9"/>
        <w:gridCol w:w="1857"/>
        <w:gridCol w:w="1857"/>
        <w:gridCol w:w="1857"/>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dxa"/>
            <w:vMerge w:val="restart"/>
            <w:tcBorders>
              <w:top w:val="single" w:color="auto" w:sz="8" w:space="0"/>
            </w:tcBorders>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级别</w:t>
            </w:r>
          </w:p>
        </w:tc>
        <w:tc>
          <w:tcPr>
            <w:tcW w:w="3714" w:type="dxa"/>
            <w:gridSpan w:val="2"/>
            <w:tcBorders>
              <w:top w:val="single" w:color="auto" w:sz="8" w:space="0"/>
            </w:tcBorders>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温度</w:t>
            </w:r>
          </w:p>
        </w:tc>
        <w:tc>
          <w:tcPr>
            <w:tcW w:w="3958" w:type="dxa"/>
            <w:gridSpan w:val="2"/>
            <w:tcBorders>
              <w:top w:val="single" w:color="auto" w:sz="8" w:space="0"/>
            </w:tcBorders>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dxa"/>
            <w:vMerge w:val="continue"/>
            <w:vAlign w:val="center"/>
          </w:tcPr>
          <w:p>
            <w:pPr>
              <w:snapToGrid w:val="0"/>
              <w:spacing w:before="60" w:after="60"/>
              <w:jc w:val="center"/>
              <w:rPr>
                <w:rFonts w:hint="eastAsia" w:ascii="宋体" w:hAnsi="宋体" w:cs="宋体"/>
                <w:sz w:val="18"/>
                <w:szCs w:val="18"/>
              </w:rPr>
            </w:pPr>
          </w:p>
        </w:tc>
        <w:tc>
          <w:tcPr>
            <w:tcW w:w="1857"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范围</w:t>
            </w:r>
          </w:p>
          <w:p>
            <w:pPr>
              <w:snapToGrid w:val="0"/>
              <w:spacing w:before="60" w:after="60"/>
              <w:jc w:val="center"/>
              <w:rPr>
                <w:rFonts w:hint="eastAsia" w:ascii="宋体" w:hAnsi="宋体" w:cs="宋体"/>
                <w:sz w:val="18"/>
                <w:szCs w:val="18"/>
              </w:rPr>
            </w:pPr>
            <w:r>
              <w:rPr>
                <w:rFonts w:hint="eastAsia" w:ascii="宋体" w:hAnsi="宋体" w:cs="宋体"/>
                <w:sz w:val="18"/>
                <w:szCs w:val="18"/>
              </w:rPr>
              <w:t>℃</w:t>
            </w:r>
          </w:p>
        </w:tc>
        <w:tc>
          <w:tcPr>
            <w:tcW w:w="1857"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最大变化率</w:t>
            </w:r>
          </w:p>
          <w:p>
            <w:pPr>
              <w:snapToGrid w:val="0"/>
              <w:spacing w:before="60" w:after="60"/>
              <w:jc w:val="center"/>
              <w:rPr>
                <w:rFonts w:hint="eastAsia" w:ascii="宋体" w:hAnsi="宋体" w:cs="宋体"/>
                <w:sz w:val="18"/>
                <w:szCs w:val="18"/>
              </w:rPr>
            </w:pPr>
            <w:r>
              <w:rPr>
                <w:rFonts w:hint="eastAsia" w:ascii="宋体" w:hAnsi="宋体" w:cs="宋体"/>
                <w:sz w:val="18"/>
                <w:szCs w:val="18"/>
              </w:rPr>
              <w:t>℃/min</w:t>
            </w:r>
          </w:p>
        </w:tc>
        <w:tc>
          <w:tcPr>
            <w:tcW w:w="1857"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相对湿度</w:t>
            </w:r>
          </w:p>
          <w:p>
            <w:pPr>
              <w:snapToGrid w:val="0"/>
              <w:spacing w:before="60" w:after="60"/>
              <w:jc w:val="center"/>
              <w:rPr>
                <w:rFonts w:hint="eastAsia" w:ascii="宋体" w:hAnsi="宋体" w:cs="宋体"/>
                <w:sz w:val="18"/>
                <w:szCs w:val="18"/>
              </w:rPr>
            </w:pPr>
            <w:r>
              <w:rPr>
                <w:rFonts w:hint="eastAsia" w:ascii="宋体" w:hAnsi="宋体" w:cs="宋体"/>
                <w:sz w:val="18"/>
                <w:szCs w:val="18"/>
              </w:rPr>
              <w:t>%</w:t>
            </w:r>
          </w:p>
        </w:tc>
        <w:tc>
          <w:tcPr>
            <w:tcW w:w="2101"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最大绝对湿度</w:t>
            </w:r>
          </w:p>
          <w:p>
            <w:pPr>
              <w:snapToGrid w:val="0"/>
              <w:spacing w:before="60" w:after="60"/>
              <w:jc w:val="center"/>
              <w:rPr>
                <w:rFonts w:hint="eastAsia" w:ascii="宋体" w:hAnsi="宋体" w:cs="宋体"/>
                <w:sz w:val="18"/>
                <w:szCs w:val="18"/>
                <w:vertAlign w:val="superscript"/>
              </w:rPr>
            </w:pPr>
            <w:r>
              <w:rPr>
                <w:rFonts w:hint="eastAsia" w:ascii="宋体" w:hAnsi="宋体" w:cs="宋体"/>
                <w:sz w:val="18"/>
                <w:szCs w:val="18"/>
              </w:rPr>
              <w:t>g/m</w:t>
            </w:r>
            <w:r>
              <w:rPr>
                <w:rFonts w:hint="eastAsia" w:ascii="宋体" w:hAnsi="宋体" w:cs="宋体"/>
                <w:sz w:val="18"/>
                <w:szCs w:val="18"/>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C0</w:t>
            </w:r>
          </w:p>
        </w:tc>
        <w:tc>
          <w:tcPr>
            <w:tcW w:w="1857" w:type="dxa"/>
            <w:vAlign w:val="center"/>
          </w:tcPr>
          <w:p>
            <w:pPr>
              <w:snapToGrid w:val="0"/>
              <w:spacing w:before="60" w:after="60"/>
              <w:jc w:val="center"/>
              <w:rPr>
                <w:rFonts w:hint="eastAsia" w:ascii="宋体" w:hAnsi="宋体" w:cs="宋体"/>
                <w:sz w:val="18"/>
                <w:szCs w:val="18"/>
              </w:rPr>
            </w:pPr>
            <w:r>
              <w:rPr>
                <w:rFonts w:ascii="Symbol" w:hAnsi="Symbol" w:cs="宋体"/>
                <w:sz w:val="18"/>
                <w:szCs w:val="18"/>
              </w:rPr>
              <w:sym w:font="Symbol" w:char="F02D"/>
            </w:r>
            <w:r>
              <w:rPr>
                <w:rFonts w:hint="eastAsia" w:ascii="宋体" w:hAnsi="宋体" w:cs="宋体"/>
                <w:sz w:val="18"/>
                <w:szCs w:val="18"/>
              </w:rPr>
              <w:t>5～＋45</w:t>
            </w:r>
          </w:p>
        </w:tc>
        <w:tc>
          <w:tcPr>
            <w:tcW w:w="1857"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0.5</w:t>
            </w:r>
          </w:p>
        </w:tc>
        <w:tc>
          <w:tcPr>
            <w:tcW w:w="1857"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5～95</w:t>
            </w:r>
          </w:p>
        </w:tc>
        <w:tc>
          <w:tcPr>
            <w:tcW w:w="2101"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dxa"/>
            <w:tcBorders>
              <w:bottom w:val="single" w:color="auto" w:sz="8" w:space="0"/>
            </w:tcBorders>
          </w:tcPr>
          <w:p>
            <w:pPr>
              <w:snapToGrid w:val="0"/>
              <w:spacing w:before="60" w:after="60"/>
              <w:jc w:val="center"/>
              <w:rPr>
                <w:rFonts w:hint="eastAsia" w:ascii="宋体" w:hAnsi="宋体" w:cs="宋体"/>
                <w:sz w:val="18"/>
                <w:szCs w:val="18"/>
              </w:rPr>
            </w:pPr>
            <w:r>
              <w:rPr>
                <w:rFonts w:hint="eastAsia" w:ascii="宋体" w:hAnsi="宋体" w:cs="宋体"/>
                <w:sz w:val="18"/>
                <w:szCs w:val="18"/>
              </w:rPr>
              <w:t>CX</w:t>
            </w:r>
          </w:p>
        </w:tc>
        <w:tc>
          <w:tcPr>
            <w:tcW w:w="7672" w:type="dxa"/>
            <w:gridSpan w:val="4"/>
            <w:tcBorders>
              <w:bottom w:val="single" w:color="auto" w:sz="8" w:space="0"/>
            </w:tcBorders>
          </w:tcPr>
          <w:p>
            <w:pPr>
              <w:snapToGrid w:val="0"/>
              <w:spacing w:before="60" w:after="60"/>
              <w:jc w:val="center"/>
              <w:rPr>
                <w:rFonts w:hint="eastAsia" w:ascii="宋体" w:hAnsi="宋体" w:cs="宋体"/>
                <w:sz w:val="18"/>
                <w:szCs w:val="18"/>
              </w:rPr>
            </w:pPr>
            <w:r>
              <w:rPr>
                <w:rFonts w:hint="eastAsia" w:ascii="宋体" w:hAnsi="宋体" w:cs="宋体"/>
                <w:sz w:val="18"/>
                <w:szCs w:val="18"/>
              </w:rPr>
              <w:t>特定</w:t>
            </w:r>
          </w:p>
        </w:tc>
      </w:tr>
    </w:tbl>
    <w:p>
      <w:pPr>
        <w:spacing w:line="312" w:lineRule="exact"/>
        <w:ind w:firstLine="360" w:firstLineChars="200"/>
        <w:rPr>
          <w:rFonts w:hint="eastAsia" w:ascii="宋体" w:hAnsi="宋体" w:cs="宋体"/>
          <w:szCs w:val="21"/>
        </w:rPr>
      </w:pPr>
      <w:r>
        <w:rPr>
          <w:rFonts w:hint="eastAsia" w:ascii="宋体" w:hAnsi="宋体" w:cs="宋体"/>
          <w:sz w:val="18"/>
          <w:szCs w:val="18"/>
        </w:rPr>
        <w:t>注：　</w:t>
      </w:r>
      <w:r>
        <w:rPr>
          <w:rFonts w:hint="eastAsia" w:ascii="宋体" w:hAnsi="宋体" w:cs="宋体"/>
          <w:i/>
          <w:sz w:val="18"/>
          <w:szCs w:val="18"/>
        </w:rPr>
        <w:t>CX</w:t>
      </w:r>
      <w:r>
        <w:rPr>
          <w:rFonts w:hint="eastAsia" w:ascii="宋体" w:hAnsi="宋体" w:cs="宋体"/>
          <w:sz w:val="18"/>
          <w:szCs w:val="18"/>
        </w:rPr>
        <w:t>级别根据需要由用户和厂家协商确定。</w:t>
      </w:r>
    </w:p>
    <w:p>
      <w:pPr>
        <w:pStyle w:val="99"/>
        <w:topLinePunct/>
        <w:spacing w:line="360" w:lineRule="auto"/>
        <w:outlineLvl w:val="1"/>
        <w:rPr>
          <w:rFonts w:hint="eastAsia" w:ascii="宋体" w:hAnsi="宋体" w:eastAsia="宋体" w:cs="宋体"/>
          <w:szCs w:val="22"/>
        </w:rPr>
      </w:pPr>
      <w:bookmarkStart w:id="52" w:name="_Toc19768"/>
      <w:bookmarkStart w:id="53" w:name="_Toc32241"/>
      <w:r>
        <w:rPr>
          <w:rStyle w:val="103"/>
          <w:rFonts w:hint="eastAsia" w:ascii="宋体" w:hAnsi="宋体" w:eastAsia="宋体" w:cs="宋体"/>
        </w:rPr>
        <w:t>4.2</w:t>
      </w:r>
      <w:r>
        <w:rPr>
          <w:rFonts w:hint="eastAsia" w:ascii="宋体" w:hAnsi="宋体" w:eastAsia="宋体" w:cs="宋体"/>
          <w:szCs w:val="22"/>
        </w:rPr>
        <w:t xml:space="preserve"> 大气压力</w:t>
      </w:r>
      <w:bookmarkEnd w:id="52"/>
      <w:bookmarkEnd w:id="53"/>
    </w:p>
    <w:p>
      <w:pPr>
        <w:pStyle w:val="168"/>
        <w:adjustRightInd w:val="0"/>
        <w:snapToGrid w:val="0"/>
        <w:spacing w:line="360" w:lineRule="auto"/>
        <w:rPr>
          <w:rFonts w:hint="eastAsia" w:ascii="宋体" w:hAnsi="宋体" w:eastAsia="宋体"/>
          <w:szCs w:val="22"/>
        </w:rPr>
      </w:pPr>
      <w:r>
        <w:rPr>
          <w:rFonts w:hint="eastAsia" w:ascii="宋体" w:hAnsi="宋体" w:eastAsia="宋体"/>
          <w:szCs w:val="22"/>
        </w:rPr>
        <w:t>70kPa～106kPa。</w:t>
      </w:r>
    </w:p>
    <w:p>
      <w:pPr>
        <w:spacing w:line="360" w:lineRule="auto"/>
        <w:jc w:val="left"/>
        <w:rPr>
          <w:rFonts w:hint="eastAsia" w:ascii="宋体" w:hAnsi="宋体" w:cs="宋体"/>
          <w:szCs w:val="21"/>
        </w:rPr>
      </w:pPr>
      <w:bookmarkStart w:id="54" w:name="_Toc252534619"/>
      <w:bookmarkStart w:id="55" w:name="_Toc17688"/>
      <w:bookmarkStart w:id="56" w:name="_Toc4257"/>
      <w:bookmarkStart w:id="57" w:name="_Toc247855641"/>
      <w:bookmarkStart w:id="58" w:name="_Toc244335888"/>
      <w:bookmarkStart w:id="59" w:name="_Toc256370335"/>
      <w:r>
        <w:rPr>
          <w:rStyle w:val="103"/>
          <w:rFonts w:hint="eastAsia" w:ascii="宋体" w:hAnsi="宋体" w:eastAsia="宋体" w:cs="宋体"/>
        </w:rPr>
        <w:t>4.3</w:t>
      </w:r>
      <w:r>
        <w:rPr>
          <w:rFonts w:hint="eastAsia" w:ascii="宋体" w:hAnsi="宋体" w:cs="宋体"/>
          <w:szCs w:val="21"/>
        </w:rPr>
        <w:t>装置额定参数</w:t>
      </w:r>
      <w:bookmarkEnd w:id="54"/>
      <w:bookmarkEnd w:id="55"/>
      <w:bookmarkEnd w:id="56"/>
      <w:bookmarkEnd w:id="57"/>
      <w:bookmarkEnd w:id="58"/>
      <w:bookmarkEnd w:id="59"/>
    </w:p>
    <w:p>
      <w:pPr>
        <w:spacing w:line="360" w:lineRule="auto"/>
        <w:jc w:val="left"/>
        <w:rPr>
          <w:rFonts w:hint="eastAsia" w:ascii="宋体" w:hAnsi="宋体" w:cs="宋体"/>
          <w:szCs w:val="21"/>
        </w:rPr>
      </w:pPr>
      <w:r>
        <w:rPr>
          <w:rStyle w:val="103"/>
          <w:rFonts w:hint="eastAsia" w:ascii="宋体" w:hAnsi="宋体" w:eastAsia="宋体" w:cs="宋体"/>
        </w:rPr>
        <w:t xml:space="preserve">4.3.1 </w:t>
      </w:r>
      <w:r>
        <w:rPr>
          <w:rFonts w:hint="eastAsia" w:ascii="宋体" w:hAnsi="宋体" w:cs="宋体"/>
          <w:szCs w:val="21"/>
        </w:rPr>
        <w:t>220V单相低压调压器</w:t>
      </w:r>
    </w:p>
    <w:p>
      <w:pPr>
        <w:spacing w:line="360" w:lineRule="auto"/>
        <w:ind w:firstLine="420" w:firstLineChars="200"/>
        <w:rPr>
          <w:rFonts w:hint="eastAsia" w:ascii="宋体" w:hAnsi="宋体" w:cs="宋体"/>
          <w:szCs w:val="21"/>
        </w:rPr>
      </w:pPr>
      <w:bookmarkStart w:id="60" w:name="_Toc256370337"/>
      <w:bookmarkStart w:id="61" w:name="_Toc244335889"/>
      <w:bookmarkStart w:id="62" w:name="_Toc252534621"/>
      <w:bookmarkStart w:id="63" w:name="_Toc3272"/>
      <w:bookmarkStart w:id="64" w:name="_Toc9610"/>
      <w:bookmarkStart w:id="65" w:name="_Toc247855643"/>
      <w:r>
        <w:rPr>
          <w:rFonts w:hint="eastAsia" w:ascii="宋体" w:hAnsi="宋体" w:cs="宋体"/>
          <w:szCs w:val="21"/>
        </w:rPr>
        <w:t>额定工作电压：220V，允许偏差</w:t>
      </w:r>
      <w:r>
        <w:rPr>
          <w:rFonts w:ascii="Symbol" w:hAnsi="Symbol" w:cs="宋体"/>
          <w:szCs w:val="21"/>
        </w:rPr>
        <w:sym w:font="Symbol" w:char="F02D"/>
      </w:r>
      <w:r>
        <w:rPr>
          <w:rFonts w:hint="eastAsia" w:ascii="宋体" w:hAnsi="宋体" w:cs="宋体"/>
          <w:szCs w:val="21"/>
        </w:rPr>
        <w:t>20％～＋20％。</w:t>
      </w:r>
    </w:p>
    <w:p>
      <w:pPr>
        <w:spacing w:line="360" w:lineRule="auto"/>
        <w:ind w:firstLine="420"/>
        <w:rPr>
          <w:rFonts w:hint="eastAsia" w:ascii="宋体" w:hAnsi="宋体" w:cs="宋体"/>
          <w:szCs w:val="21"/>
        </w:rPr>
      </w:pPr>
      <w:r>
        <w:rPr>
          <w:rFonts w:hint="eastAsia" w:ascii="宋体" w:hAnsi="宋体" w:cs="宋体"/>
          <w:szCs w:val="21"/>
        </w:rPr>
        <w:t>额定主电路工作电流：170A（30kVA）。</w:t>
      </w:r>
    </w:p>
    <w:p>
      <w:pPr>
        <w:spacing w:line="360" w:lineRule="auto"/>
        <w:ind w:firstLine="420"/>
        <w:rPr>
          <w:rFonts w:hint="eastAsia" w:ascii="宋体" w:hAnsi="宋体" w:cs="宋体"/>
          <w:szCs w:val="21"/>
        </w:rPr>
      </w:pPr>
      <w:r>
        <w:rPr>
          <w:rFonts w:hint="eastAsia" w:ascii="宋体" w:hAnsi="宋体" w:cs="宋体"/>
          <w:szCs w:val="21"/>
        </w:rPr>
        <w:t>电容器组单组容量为1.67kVAR,额定电压为220V，共三组，合计总补偿容量为5kVAR。</w:t>
      </w:r>
    </w:p>
    <w:p>
      <w:pPr>
        <w:spacing w:line="360" w:lineRule="auto"/>
        <w:ind w:firstLine="420"/>
        <w:rPr>
          <w:rFonts w:hint="eastAsia" w:ascii="宋体" w:hAnsi="宋体" w:cs="宋体"/>
          <w:szCs w:val="21"/>
        </w:rPr>
      </w:pPr>
      <w:r>
        <w:rPr>
          <w:rFonts w:hint="eastAsia" w:ascii="宋体" w:hAnsi="宋体" w:cs="宋体"/>
          <w:szCs w:val="21"/>
        </w:rPr>
        <w:t>额定频率：50Hz，允许偏差-5％～＋5％。</w:t>
      </w:r>
    </w:p>
    <w:p>
      <w:pPr>
        <w:widowControl/>
        <w:spacing w:line="360" w:lineRule="auto"/>
        <w:ind w:firstLine="420" w:firstLineChars="200"/>
        <w:jc w:val="left"/>
        <w:rPr>
          <w:rFonts w:hint="eastAsia" w:ascii="宋体" w:hAnsi="宋体" w:cs="宋体"/>
          <w:szCs w:val="21"/>
        </w:rPr>
      </w:pPr>
      <w:r>
        <w:rPr>
          <w:rFonts w:hint="eastAsia" w:ascii="宋体" w:hAnsi="宋体" w:cs="宋体"/>
        </w:rPr>
        <w:t>海拔：</w:t>
      </w:r>
      <w:r>
        <w:rPr>
          <w:rFonts w:hint="eastAsia" w:ascii="宋体" w:hAnsi="宋体" w:cs="宋体"/>
          <w:szCs w:val="21"/>
        </w:rPr>
        <w:t>2000m，大于2000m 根据国标GB/T3859.2，每增加100m，输出功率降低不大于1%。</w:t>
      </w:r>
    </w:p>
    <w:p>
      <w:pPr>
        <w:pStyle w:val="145"/>
        <w:topLinePunct/>
        <w:outlineLvl w:val="0"/>
        <w:rPr>
          <w:rFonts w:hint="eastAsia" w:ascii="宋体" w:hAnsi="宋体" w:eastAsia="宋体" w:cs="宋体"/>
          <w:b/>
          <w:bCs/>
          <w:snapToGrid w:val="0"/>
          <w:kern w:val="0"/>
        </w:rPr>
      </w:pPr>
      <w:bookmarkStart w:id="66" w:name="_Toc16959"/>
      <w:bookmarkStart w:id="67" w:name="_Toc20730"/>
      <w:r>
        <w:rPr>
          <w:rFonts w:hint="eastAsia" w:ascii="宋体" w:hAnsi="宋体" w:eastAsia="宋体" w:cs="宋体"/>
          <w:b/>
          <w:bCs/>
          <w:snapToGrid w:val="0"/>
          <w:kern w:val="0"/>
        </w:rPr>
        <w:t>5　</w:t>
      </w:r>
      <w:bookmarkEnd w:id="60"/>
      <w:bookmarkEnd w:id="61"/>
      <w:bookmarkEnd w:id="62"/>
      <w:bookmarkEnd w:id="63"/>
      <w:bookmarkEnd w:id="64"/>
      <w:bookmarkEnd w:id="65"/>
      <w:r>
        <w:rPr>
          <w:rFonts w:hint="eastAsia" w:ascii="宋体" w:hAnsi="宋体" w:eastAsia="宋体" w:cs="宋体"/>
          <w:b/>
          <w:bCs/>
          <w:snapToGrid w:val="0"/>
          <w:kern w:val="0"/>
        </w:rPr>
        <w:t>技术要求</w:t>
      </w:r>
      <w:bookmarkEnd w:id="66"/>
      <w:bookmarkEnd w:id="67"/>
    </w:p>
    <w:p>
      <w:pPr>
        <w:pStyle w:val="99"/>
        <w:spacing w:line="360" w:lineRule="auto"/>
        <w:outlineLvl w:val="1"/>
        <w:rPr>
          <w:rFonts w:hint="eastAsia" w:ascii="宋体" w:hAnsi="宋体" w:eastAsia="宋体" w:cs="宋体"/>
          <w:snapToGrid w:val="0"/>
          <w:kern w:val="0"/>
        </w:rPr>
      </w:pPr>
      <w:bookmarkStart w:id="68" w:name="_Toc30230"/>
      <w:bookmarkStart w:id="69" w:name="_Toc5201"/>
      <w:r>
        <w:rPr>
          <w:rStyle w:val="103"/>
          <w:rFonts w:hint="eastAsia" w:ascii="宋体" w:hAnsi="宋体" w:eastAsia="宋体" w:cs="宋体"/>
        </w:rPr>
        <w:t>5.</w:t>
      </w:r>
      <w:bookmarkStart w:id="70" w:name="_Toc245308259"/>
      <w:r>
        <w:rPr>
          <w:rStyle w:val="103"/>
          <w:rFonts w:hint="eastAsia" w:ascii="宋体" w:hAnsi="宋体" w:eastAsia="宋体" w:cs="宋体"/>
        </w:rPr>
        <w:t xml:space="preserve">1 </w:t>
      </w:r>
      <w:r>
        <w:rPr>
          <w:rFonts w:hint="eastAsia" w:ascii="宋体" w:hAnsi="宋体" w:eastAsia="宋体" w:cs="宋体"/>
          <w:snapToGrid w:val="0"/>
          <w:kern w:val="0"/>
        </w:rPr>
        <w:t>硬件配置</w:t>
      </w:r>
      <w:bookmarkEnd w:id="68"/>
      <w:bookmarkEnd w:id="69"/>
      <w:bookmarkEnd w:id="70"/>
    </w:p>
    <w:p>
      <w:pPr>
        <w:pStyle w:val="168"/>
        <w:adjustRightInd w:val="0"/>
        <w:snapToGrid w:val="0"/>
        <w:spacing w:line="360" w:lineRule="auto"/>
        <w:rPr>
          <w:rFonts w:hint="eastAsia" w:ascii="宋体" w:hAnsi="宋体" w:eastAsia="宋体"/>
          <w:szCs w:val="22"/>
        </w:rPr>
      </w:pPr>
      <w:r>
        <w:rPr>
          <w:rFonts w:hint="eastAsia" w:ascii="宋体" w:hAnsi="宋体" w:eastAsia="宋体"/>
          <w:szCs w:val="22"/>
        </w:rPr>
        <w:t>220V单相低压调压器由采集单元、主控单元、保护单元、调压单元、电压补偿单元、旁路开关、无功补偿、柜体等组成。</w:t>
      </w:r>
    </w:p>
    <w:p>
      <w:pPr>
        <w:pStyle w:val="168"/>
        <w:adjustRightInd w:val="0"/>
        <w:snapToGrid w:val="0"/>
        <w:spacing w:line="360" w:lineRule="auto"/>
        <w:rPr>
          <w:rFonts w:hint="eastAsia" w:ascii="宋体" w:hAnsi="宋体" w:eastAsia="宋体"/>
          <w:szCs w:val="22"/>
        </w:rPr>
      </w:pPr>
      <w:r>
        <w:rPr>
          <w:rFonts w:hint="eastAsia" w:ascii="宋体" w:hAnsi="宋体" w:eastAsia="宋体"/>
          <w:szCs w:val="22"/>
        </w:rPr>
        <w:t>1) 采集单元：采集进出线电压、电流。</w:t>
      </w:r>
    </w:p>
    <w:p>
      <w:pPr>
        <w:pStyle w:val="168"/>
        <w:adjustRightInd w:val="0"/>
        <w:snapToGrid w:val="0"/>
        <w:spacing w:line="360" w:lineRule="auto"/>
        <w:rPr>
          <w:rFonts w:hint="eastAsia" w:ascii="宋体" w:hAnsi="宋体" w:eastAsia="宋体"/>
          <w:szCs w:val="22"/>
        </w:rPr>
      </w:pPr>
      <w:r>
        <w:rPr>
          <w:rFonts w:hint="eastAsia" w:ascii="宋体" w:hAnsi="宋体" w:eastAsia="宋体"/>
          <w:szCs w:val="22"/>
        </w:rPr>
        <w:t>2) 主控单元：自动跟踪监测线路电压、电流信息，生成相应的控制指令。</w:t>
      </w:r>
    </w:p>
    <w:p>
      <w:pPr>
        <w:pStyle w:val="168"/>
        <w:adjustRightInd w:val="0"/>
        <w:snapToGrid w:val="0"/>
        <w:spacing w:line="360" w:lineRule="auto"/>
        <w:rPr>
          <w:rFonts w:hint="eastAsia" w:ascii="宋体" w:hAnsi="宋体" w:eastAsia="宋体"/>
          <w:szCs w:val="22"/>
        </w:rPr>
      </w:pPr>
      <w:r>
        <w:rPr>
          <w:rFonts w:hint="eastAsia" w:ascii="宋体" w:hAnsi="宋体" w:eastAsia="宋体"/>
          <w:szCs w:val="22"/>
        </w:rPr>
        <w:t>3) 保护单元：过流、速断、过压、欠压、设备故障等保护指令。</w:t>
      </w:r>
    </w:p>
    <w:p>
      <w:pPr>
        <w:pStyle w:val="168"/>
        <w:adjustRightInd w:val="0"/>
        <w:snapToGrid w:val="0"/>
        <w:spacing w:line="360" w:lineRule="auto"/>
        <w:rPr>
          <w:rFonts w:hint="eastAsia" w:ascii="宋体" w:hAnsi="宋体" w:eastAsia="宋体"/>
          <w:szCs w:val="22"/>
        </w:rPr>
      </w:pPr>
      <w:r>
        <w:rPr>
          <w:rFonts w:hint="eastAsia" w:ascii="宋体" w:hAnsi="宋体" w:eastAsia="宋体"/>
          <w:szCs w:val="22"/>
        </w:rPr>
        <w:t>4) 调压单元：自耦变压器自动产生系统所需补偿的电压。</w:t>
      </w:r>
    </w:p>
    <w:p>
      <w:pPr>
        <w:pStyle w:val="168"/>
        <w:adjustRightInd w:val="0"/>
        <w:snapToGrid w:val="0"/>
        <w:spacing w:line="360" w:lineRule="auto"/>
        <w:rPr>
          <w:rFonts w:hint="eastAsia" w:ascii="宋体" w:hAnsi="宋体" w:eastAsia="宋体"/>
          <w:szCs w:val="22"/>
        </w:rPr>
      </w:pPr>
      <w:r>
        <w:rPr>
          <w:rFonts w:hint="eastAsia" w:ascii="宋体" w:hAnsi="宋体" w:eastAsia="宋体"/>
          <w:szCs w:val="22"/>
        </w:rPr>
        <w:t>5) 电压补偿单元：补偿变压器为主电路电压补偿元件，实现能量转换。</w:t>
      </w:r>
    </w:p>
    <w:p>
      <w:pPr>
        <w:pStyle w:val="168"/>
        <w:adjustRightInd w:val="0"/>
        <w:snapToGrid w:val="0"/>
        <w:spacing w:line="360" w:lineRule="auto"/>
        <w:rPr>
          <w:rFonts w:hint="eastAsia" w:ascii="宋体" w:hAnsi="宋体" w:eastAsia="宋体"/>
          <w:szCs w:val="22"/>
        </w:rPr>
      </w:pPr>
      <w:r>
        <w:rPr>
          <w:rFonts w:hint="eastAsia" w:ascii="宋体" w:hAnsi="宋体" w:eastAsia="宋体"/>
          <w:szCs w:val="22"/>
        </w:rPr>
        <w:t>6) 旁路开关：动作执行为直流控制的交流接触器，用于旁路控制。旁路开关是用于旁路调压器的开关，用的是直流控制的交流接触器。</w:t>
      </w:r>
    </w:p>
    <w:p>
      <w:pPr>
        <w:pStyle w:val="168"/>
        <w:adjustRightInd w:val="0"/>
        <w:snapToGrid w:val="0"/>
        <w:spacing w:line="360" w:lineRule="auto"/>
        <w:rPr>
          <w:rFonts w:hint="eastAsia" w:ascii="宋体" w:hAnsi="宋体" w:eastAsia="宋体"/>
          <w:szCs w:val="22"/>
        </w:rPr>
      </w:pPr>
      <w:r>
        <w:rPr>
          <w:rFonts w:hint="eastAsia" w:ascii="宋体" w:hAnsi="宋体" w:eastAsia="宋体"/>
          <w:szCs w:val="22"/>
        </w:rPr>
        <w:t>7)无功补偿单元：采用电容器组自动投切的无功补偿单元。</w:t>
      </w:r>
    </w:p>
    <w:p>
      <w:pPr>
        <w:pStyle w:val="99"/>
        <w:spacing w:line="360" w:lineRule="auto"/>
        <w:outlineLvl w:val="1"/>
        <w:rPr>
          <w:rFonts w:hint="eastAsia" w:ascii="宋体" w:hAnsi="宋体" w:eastAsia="宋体" w:cs="宋体"/>
          <w:snapToGrid w:val="0"/>
          <w:kern w:val="0"/>
        </w:rPr>
      </w:pPr>
      <w:bookmarkStart w:id="71" w:name="_Toc31355"/>
      <w:bookmarkStart w:id="72" w:name="_Toc37"/>
      <w:r>
        <w:rPr>
          <w:rStyle w:val="103"/>
          <w:rFonts w:hint="eastAsia" w:ascii="宋体" w:hAnsi="宋体" w:eastAsia="宋体" w:cs="宋体"/>
        </w:rPr>
        <w:t xml:space="preserve">5.2 </w:t>
      </w:r>
      <w:r>
        <w:rPr>
          <w:rFonts w:hint="eastAsia" w:ascii="宋体" w:hAnsi="宋体" w:eastAsia="宋体" w:cs="宋体"/>
          <w:snapToGrid w:val="0"/>
          <w:kern w:val="0"/>
        </w:rPr>
        <w:t>技术参数</w:t>
      </w:r>
      <w:bookmarkEnd w:id="71"/>
      <w:bookmarkEnd w:id="72"/>
    </w:p>
    <w:p>
      <w:pPr>
        <w:spacing w:line="360" w:lineRule="auto"/>
        <w:jc w:val="center"/>
        <w:rPr>
          <w:rFonts w:hint="eastAsia" w:ascii="宋体" w:hAnsi="宋体" w:cs="宋体"/>
          <w:b/>
          <w:bCs/>
          <w:sz w:val="18"/>
          <w:szCs w:val="18"/>
        </w:rPr>
      </w:pPr>
      <w:r>
        <w:rPr>
          <w:rFonts w:hint="eastAsia" w:ascii="宋体" w:hAnsi="宋体" w:cs="宋体"/>
          <w:b/>
          <w:bCs/>
          <w:sz w:val="18"/>
          <w:szCs w:val="18"/>
        </w:rPr>
        <w:t>表4　220V单相低压调压器标准技术参数表</w:t>
      </w:r>
    </w:p>
    <w:tbl>
      <w:tblPr>
        <w:tblStyle w:val="77"/>
        <w:tblW w:w="0" w:type="auto"/>
        <w:tblInd w:w="122"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00"/>
        <w:gridCol w:w="2520"/>
        <w:gridCol w:w="1134"/>
        <w:gridCol w:w="466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trPr>
        <w:tc>
          <w:tcPr>
            <w:tcW w:w="70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序号</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参数名称</w:t>
            </w:r>
          </w:p>
        </w:tc>
        <w:tc>
          <w:tcPr>
            <w:tcW w:w="113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单位</w:t>
            </w: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1</w:t>
            </w:r>
          </w:p>
        </w:tc>
        <w:tc>
          <w:tcPr>
            <w:tcW w:w="2520" w:type="dxa"/>
            <w:vAlign w:val="center"/>
          </w:tcPr>
          <w:p>
            <w:pPr>
              <w:pStyle w:val="46"/>
              <w:snapToGrid w:val="0"/>
              <w:spacing w:before="64" w:after="64"/>
              <w:jc w:val="center"/>
              <w:rPr>
                <w:rFonts w:hint="eastAsia" w:ascii="宋体" w:hAnsi="宋体" w:cs="宋体"/>
              </w:rPr>
            </w:pPr>
            <w:r>
              <w:rPr>
                <w:rFonts w:hint="eastAsia" w:ascii="宋体" w:hAnsi="宋体" w:cs="宋体"/>
              </w:rPr>
              <w:t>额定工作电压</w:t>
            </w:r>
          </w:p>
        </w:tc>
        <w:tc>
          <w:tcPr>
            <w:tcW w:w="1134" w:type="dxa"/>
            <w:vAlign w:val="center"/>
          </w:tcPr>
          <w:p>
            <w:pPr>
              <w:pStyle w:val="46"/>
              <w:snapToGrid w:val="0"/>
              <w:spacing w:before="64" w:after="64"/>
              <w:jc w:val="center"/>
              <w:rPr>
                <w:rFonts w:hint="eastAsia" w:ascii="宋体" w:hAnsi="宋体" w:cs="宋体"/>
              </w:rPr>
            </w:pPr>
            <w:r>
              <w:rPr>
                <w:rFonts w:hint="eastAsia" w:ascii="宋体" w:hAnsi="宋体" w:cs="宋体"/>
              </w:rPr>
              <w:t>V</w:t>
            </w:r>
          </w:p>
        </w:tc>
        <w:tc>
          <w:tcPr>
            <w:tcW w:w="4664" w:type="dxa"/>
            <w:vAlign w:val="center"/>
          </w:tcPr>
          <w:p>
            <w:pPr>
              <w:snapToGrid w:val="0"/>
              <w:spacing w:before="64" w:after="64"/>
              <w:jc w:val="center"/>
              <w:rPr>
                <w:rFonts w:hint="eastAsia" w:ascii="宋体" w:hAnsi="宋体" w:cs="宋体"/>
                <w:sz w:val="18"/>
                <w:szCs w:val="18"/>
              </w:rPr>
            </w:pPr>
            <w:r>
              <w:rPr>
                <w:rStyle w:val="120"/>
                <w:rFonts w:hint="eastAsia" w:ascii="宋体" w:hAnsi="宋体" w:eastAsia="宋体" w:cs="宋体"/>
                <w:sz w:val="18"/>
                <w:szCs w:val="18"/>
              </w:rPr>
              <w:t xml:space="preserve">AC 220V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2</w:t>
            </w:r>
          </w:p>
        </w:tc>
        <w:tc>
          <w:tcPr>
            <w:tcW w:w="2520" w:type="dxa"/>
            <w:vAlign w:val="center"/>
          </w:tcPr>
          <w:p>
            <w:pPr>
              <w:pStyle w:val="46"/>
              <w:snapToGrid w:val="0"/>
              <w:spacing w:before="64" w:after="64"/>
              <w:jc w:val="center"/>
              <w:rPr>
                <w:rFonts w:hint="eastAsia" w:ascii="宋体" w:hAnsi="宋体" w:cs="宋体"/>
              </w:rPr>
            </w:pPr>
            <w:r>
              <w:rPr>
                <w:rFonts w:hint="eastAsia" w:ascii="宋体" w:hAnsi="宋体" w:cs="宋体"/>
              </w:rPr>
              <w:t>额定容量</w:t>
            </w:r>
          </w:p>
        </w:tc>
        <w:tc>
          <w:tcPr>
            <w:tcW w:w="1134" w:type="dxa"/>
            <w:vAlign w:val="center"/>
          </w:tcPr>
          <w:p>
            <w:pPr>
              <w:pStyle w:val="46"/>
              <w:snapToGrid w:val="0"/>
              <w:spacing w:before="64" w:after="64"/>
              <w:jc w:val="center"/>
              <w:rPr>
                <w:rFonts w:hint="eastAsia" w:ascii="宋体" w:hAnsi="宋体" w:cs="宋体"/>
              </w:rPr>
            </w:pPr>
            <w:r>
              <w:rPr>
                <w:rFonts w:hint="eastAsia" w:ascii="宋体" w:hAnsi="宋体" w:cs="宋体"/>
              </w:rPr>
              <w:t>kVA</w:t>
            </w: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30kVA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3</w:t>
            </w:r>
          </w:p>
        </w:tc>
        <w:tc>
          <w:tcPr>
            <w:tcW w:w="2520" w:type="dxa"/>
            <w:vAlign w:val="center"/>
          </w:tcPr>
          <w:p>
            <w:pPr>
              <w:pStyle w:val="46"/>
              <w:snapToGrid w:val="0"/>
              <w:spacing w:before="64" w:after="64"/>
              <w:jc w:val="center"/>
              <w:rPr>
                <w:rFonts w:hint="eastAsia" w:ascii="宋体" w:hAnsi="宋体" w:cs="宋体"/>
              </w:rPr>
            </w:pPr>
            <w:r>
              <w:rPr>
                <w:rFonts w:hint="eastAsia" w:ascii="宋体" w:hAnsi="宋体" w:cs="宋体"/>
              </w:rPr>
              <w:t>无功补偿</w:t>
            </w:r>
          </w:p>
        </w:tc>
        <w:tc>
          <w:tcPr>
            <w:tcW w:w="1134" w:type="dxa"/>
            <w:vAlign w:val="center"/>
          </w:tcPr>
          <w:p>
            <w:pPr>
              <w:pStyle w:val="46"/>
              <w:snapToGrid w:val="0"/>
              <w:spacing w:before="64" w:after="64"/>
              <w:jc w:val="center"/>
              <w:rPr>
                <w:rFonts w:hint="eastAsia" w:ascii="宋体" w:hAnsi="宋体" w:cs="宋体"/>
              </w:rPr>
            </w:pPr>
            <w:r>
              <w:rPr>
                <w:rFonts w:hint="eastAsia" w:ascii="宋体" w:hAnsi="宋体" w:cs="宋体"/>
              </w:rPr>
              <w:t>KVAR</w:t>
            </w: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三组，每组1.67kVar,合计5KVAR</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4</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Cs w:val="21"/>
              </w:rPr>
              <w:t>★</w:t>
            </w:r>
            <w:r>
              <w:rPr>
                <w:rFonts w:hint="eastAsia" w:ascii="宋体" w:hAnsi="宋体" w:cs="宋体"/>
                <w:sz w:val="18"/>
                <w:szCs w:val="18"/>
              </w:rPr>
              <w:t>额定工作频率</w:t>
            </w:r>
          </w:p>
        </w:tc>
        <w:tc>
          <w:tcPr>
            <w:tcW w:w="1134" w:type="dxa"/>
            <w:vAlign w:val="center"/>
          </w:tcPr>
          <w:p>
            <w:pPr>
              <w:pStyle w:val="46"/>
              <w:snapToGrid w:val="0"/>
              <w:spacing w:before="64" w:after="64"/>
              <w:jc w:val="center"/>
              <w:rPr>
                <w:rFonts w:hint="eastAsia" w:ascii="宋体" w:hAnsi="宋体" w:cs="宋体"/>
              </w:rPr>
            </w:pPr>
            <w:r>
              <w:rPr>
                <w:rFonts w:hint="eastAsia" w:ascii="宋体" w:hAnsi="宋体" w:cs="宋体"/>
              </w:rPr>
              <w:t>Hz</w:t>
            </w: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50Hz±5%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5</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采集精度</w:t>
            </w:r>
          </w:p>
        </w:tc>
        <w:tc>
          <w:tcPr>
            <w:tcW w:w="1134" w:type="dxa"/>
            <w:vAlign w:val="center"/>
          </w:tcPr>
          <w:p>
            <w:pPr>
              <w:pStyle w:val="46"/>
              <w:snapToGrid w:val="0"/>
              <w:spacing w:before="64" w:after="64"/>
              <w:jc w:val="center"/>
              <w:rPr>
                <w:rFonts w:hint="eastAsia" w:ascii="宋体" w:hAnsi="宋体" w:cs="宋体"/>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0.5级</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6</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工作模式</w:t>
            </w:r>
          </w:p>
        </w:tc>
        <w:tc>
          <w:tcPr>
            <w:tcW w:w="1134" w:type="dxa"/>
            <w:vAlign w:val="center"/>
          </w:tcPr>
          <w:p>
            <w:pPr>
              <w:pStyle w:val="46"/>
              <w:snapToGrid w:val="0"/>
              <w:spacing w:before="64" w:after="64"/>
              <w:jc w:val="center"/>
              <w:rPr>
                <w:rFonts w:hint="eastAsia" w:ascii="宋体" w:hAnsi="宋体" w:cs="宋体"/>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自动调压模式、旁路模式、无功补偿</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7</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控制方式</w:t>
            </w:r>
          </w:p>
        </w:tc>
        <w:tc>
          <w:tcPr>
            <w:tcW w:w="1134" w:type="dxa"/>
            <w:vAlign w:val="center"/>
          </w:tcPr>
          <w:p>
            <w:pPr>
              <w:snapToGrid w:val="0"/>
              <w:spacing w:before="64" w:after="64"/>
              <w:jc w:val="center"/>
              <w:rPr>
                <w:rFonts w:hint="eastAsia" w:ascii="宋体" w:hAnsi="宋体" w:cs="宋体"/>
                <w:sz w:val="18"/>
                <w:szCs w:val="18"/>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自动跟踪输出电压，动态调节补偿电压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snapToGrid w:val="0"/>
              <w:jc w:val="center"/>
              <w:rPr>
                <w:rFonts w:hint="eastAsia" w:ascii="宋体" w:hAnsi="宋体" w:cs="宋体"/>
                <w:sz w:val="18"/>
                <w:szCs w:val="18"/>
              </w:rPr>
            </w:pPr>
            <w:r>
              <w:rPr>
                <w:rFonts w:hint="eastAsia" w:ascii="宋体" w:hAnsi="宋体" w:cs="宋体"/>
                <w:sz w:val="18"/>
                <w:szCs w:val="18"/>
              </w:rPr>
              <w:t>8</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Cs w:val="21"/>
              </w:rPr>
              <w:t>★</w:t>
            </w:r>
            <w:r>
              <w:rPr>
                <w:rFonts w:hint="eastAsia" w:ascii="宋体" w:hAnsi="宋体" w:cs="宋体"/>
                <w:sz w:val="18"/>
                <w:szCs w:val="18"/>
              </w:rPr>
              <w:t>输入电压范围</w:t>
            </w:r>
          </w:p>
        </w:tc>
        <w:tc>
          <w:tcPr>
            <w:tcW w:w="113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V</w:t>
            </w: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176V～242V</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snapToGrid w:val="0"/>
              <w:jc w:val="center"/>
              <w:rPr>
                <w:rFonts w:hint="eastAsia" w:ascii="宋体" w:hAnsi="宋体" w:cs="宋体"/>
                <w:sz w:val="18"/>
                <w:szCs w:val="18"/>
              </w:rPr>
            </w:pPr>
            <w:r>
              <w:rPr>
                <w:rFonts w:hint="eastAsia" w:ascii="宋体" w:hAnsi="宋体" w:cs="宋体"/>
                <w:sz w:val="18"/>
                <w:szCs w:val="18"/>
              </w:rPr>
              <w:t>9</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Cs w:val="21"/>
              </w:rPr>
              <w:t>★</w:t>
            </w:r>
            <w:r>
              <w:rPr>
                <w:rFonts w:hint="eastAsia" w:ascii="宋体" w:hAnsi="宋体" w:cs="宋体"/>
                <w:sz w:val="18"/>
                <w:szCs w:val="18"/>
              </w:rPr>
              <w:t>调压效果</w:t>
            </w:r>
          </w:p>
        </w:tc>
        <w:tc>
          <w:tcPr>
            <w:tcW w:w="1134" w:type="dxa"/>
            <w:vAlign w:val="center"/>
          </w:tcPr>
          <w:p>
            <w:pPr>
              <w:snapToGrid w:val="0"/>
              <w:spacing w:before="64" w:after="64"/>
              <w:jc w:val="center"/>
              <w:rPr>
                <w:rFonts w:hint="eastAsia" w:ascii="宋体" w:hAnsi="宋体" w:cs="宋体"/>
                <w:sz w:val="18"/>
                <w:szCs w:val="18"/>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输入电压176V以上，满足GB12325-2008《电能质量 供电电压允许偏差》国标要求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10</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Cs w:val="21"/>
              </w:rPr>
              <w:t>★</w:t>
            </w:r>
            <w:r>
              <w:rPr>
                <w:rFonts w:hint="eastAsia" w:ascii="宋体" w:hAnsi="宋体" w:cs="宋体"/>
                <w:sz w:val="18"/>
                <w:szCs w:val="18"/>
              </w:rPr>
              <w:t>调压范围</w:t>
            </w:r>
          </w:p>
        </w:tc>
        <w:tc>
          <w:tcPr>
            <w:tcW w:w="113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w:t>
            </w: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升压/降压调节，-10%～20%Ui</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11</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Cs w:val="21"/>
              </w:rPr>
              <w:t>★</w:t>
            </w:r>
            <w:r>
              <w:rPr>
                <w:rFonts w:hint="eastAsia" w:ascii="宋体" w:hAnsi="宋体" w:cs="宋体"/>
                <w:sz w:val="18"/>
                <w:szCs w:val="18"/>
              </w:rPr>
              <w:t>跟踪调节速度</w:t>
            </w:r>
          </w:p>
        </w:tc>
        <w:tc>
          <w:tcPr>
            <w:tcW w:w="113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ms</w:t>
            </w: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≤100ms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12</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旁路开关过流倍数</w:t>
            </w:r>
          </w:p>
        </w:tc>
        <w:tc>
          <w:tcPr>
            <w:tcW w:w="1134" w:type="dxa"/>
            <w:vAlign w:val="center"/>
          </w:tcPr>
          <w:p>
            <w:pPr>
              <w:pStyle w:val="46"/>
              <w:snapToGrid w:val="0"/>
              <w:spacing w:before="64" w:after="64"/>
              <w:jc w:val="center"/>
              <w:rPr>
                <w:rFonts w:hint="eastAsia" w:ascii="宋体" w:hAnsi="宋体" w:cs="宋体"/>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旁路开关额定电流不低于设备额定值的2.5 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13</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冷却方式</w:t>
            </w:r>
          </w:p>
        </w:tc>
        <w:tc>
          <w:tcPr>
            <w:tcW w:w="1134" w:type="dxa"/>
            <w:vAlign w:val="center"/>
          </w:tcPr>
          <w:p>
            <w:pPr>
              <w:snapToGrid w:val="0"/>
              <w:spacing w:before="64" w:after="64"/>
              <w:jc w:val="center"/>
              <w:rPr>
                <w:rFonts w:hint="eastAsia" w:ascii="宋体" w:hAnsi="宋体" w:cs="宋体"/>
                <w:sz w:val="18"/>
                <w:szCs w:val="18"/>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自然风冷+强迫风冷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14</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保护功能</w:t>
            </w:r>
          </w:p>
        </w:tc>
        <w:tc>
          <w:tcPr>
            <w:tcW w:w="1134" w:type="dxa"/>
            <w:vAlign w:val="center"/>
          </w:tcPr>
          <w:p>
            <w:pPr>
              <w:pStyle w:val="46"/>
              <w:snapToGrid w:val="0"/>
              <w:spacing w:before="64" w:after="64"/>
              <w:jc w:val="center"/>
              <w:rPr>
                <w:rFonts w:hint="eastAsia" w:ascii="宋体" w:hAnsi="宋体" w:cs="宋体"/>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过压、欠压、过流、速断、旁路、自诊断</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15</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通讯接口</w:t>
            </w:r>
          </w:p>
        </w:tc>
        <w:tc>
          <w:tcPr>
            <w:tcW w:w="1134" w:type="dxa"/>
            <w:vAlign w:val="center"/>
          </w:tcPr>
          <w:p>
            <w:pPr>
              <w:snapToGrid w:val="0"/>
              <w:spacing w:before="64" w:after="64"/>
              <w:jc w:val="center"/>
              <w:rPr>
                <w:rFonts w:hint="eastAsia" w:ascii="宋体" w:hAnsi="宋体" w:cs="宋体"/>
                <w:sz w:val="18"/>
                <w:szCs w:val="18"/>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CAN；GPRS / WIFI / RS485（选配）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16</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运维方式</w:t>
            </w:r>
          </w:p>
        </w:tc>
        <w:tc>
          <w:tcPr>
            <w:tcW w:w="1134" w:type="dxa"/>
            <w:vAlign w:val="center"/>
          </w:tcPr>
          <w:p>
            <w:pPr>
              <w:pStyle w:val="46"/>
              <w:snapToGrid w:val="0"/>
              <w:spacing w:before="64" w:after="64"/>
              <w:jc w:val="center"/>
              <w:rPr>
                <w:rFonts w:hint="eastAsia" w:ascii="宋体" w:hAnsi="宋体" w:cs="宋体"/>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免维护</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17</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安装方式</w:t>
            </w:r>
          </w:p>
        </w:tc>
        <w:tc>
          <w:tcPr>
            <w:tcW w:w="1134" w:type="dxa"/>
            <w:vAlign w:val="center"/>
          </w:tcPr>
          <w:p>
            <w:pPr>
              <w:pStyle w:val="46"/>
              <w:snapToGrid w:val="0"/>
              <w:spacing w:before="64" w:after="64"/>
              <w:jc w:val="center"/>
              <w:rPr>
                <w:rFonts w:hint="eastAsia" w:ascii="宋体" w:hAnsi="宋体" w:cs="宋体"/>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户外单杆安装</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18</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进线方式</w:t>
            </w:r>
          </w:p>
        </w:tc>
        <w:tc>
          <w:tcPr>
            <w:tcW w:w="1134" w:type="dxa"/>
            <w:vAlign w:val="center"/>
          </w:tcPr>
          <w:p>
            <w:pPr>
              <w:pStyle w:val="46"/>
              <w:snapToGrid w:val="0"/>
              <w:spacing w:before="64" w:after="64"/>
              <w:jc w:val="center"/>
              <w:rPr>
                <w:rFonts w:hint="eastAsia" w:ascii="宋体" w:hAnsi="宋体" w:cs="宋体"/>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下进线</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19</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防护等级</w:t>
            </w:r>
          </w:p>
        </w:tc>
        <w:tc>
          <w:tcPr>
            <w:tcW w:w="1134" w:type="dxa"/>
            <w:vAlign w:val="center"/>
          </w:tcPr>
          <w:p>
            <w:pPr>
              <w:pStyle w:val="46"/>
              <w:snapToGrid w:val="0"/>
              <w:spacing w:before="64" w:after="64"/>
              <w:jc w:val="center"/>
              <w:rPr>
                <w:rFonts w:hint="eastAsia" w:ascii="宋体" w:hAnsi="宋体" w:cs="宋体"/>
              </w:rPr>
            </w:pP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≥IP44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20</w:t>
            </w:r>
          </w:p>
        </w:tc>
        <w:tc>
          <w:tcPr>
            <w:tcW w:w="2520" w:type="dxa"/>
            <w:vAlign w:val="center"/>
          </w:tcPr>
          <w:p>
            <w:pPr>
              <w:snapToGrid w:val="0"/>
              <w:spacing w:before="64" w:after="64"/>
              <w:jc w:val="center"/>
              <w:rPr>
                <w:rFonts w:hint="eastAsia" w:ascii="宋体" w:hAnsi="宋体" w:cs="宋体"/>
                <w:sz w:val="18"/>
                <w:szCs w:val="18"/>
              </w:rPr>
            </w:pPr>
            <w:r>
              <w:rPr>
                <w:rFonts w:hint="eastAsia" w:ascii="宋体" w:hAnsi="宋体" w:cs="宋体"/>
                <w:szCs w:val="21"/>
              </w:rPr>
              <w:t>★</w:t>
            </w:r>
            <w:r>
              <w:rPr>
                <w:rFonts w:hint="eastAsia" w:ascii="宋体" w:hAnsi="宋体" w:cs="宋体"/>
                <w:sz w:val="18"/>
                <w:szCs w:val="18"/>
              </w:rPr>
              <w:t>噪声</w:t>
            </w:r>
          </w:p>
        </w:tc>
        <w:tc>
          <w:tcPr>
            <w:tcW w:w="1134" w:type="dxa"/>
            <w:vAlign w:val="center"/>
          </w:tcPr>
          <w:p>
            <w:pPr>
              <w:pStyle w:val="46"/>
              <w:snapToGrid w:val="0"/>
              <w:spacing w:before="64" w:after="64"/>
              <w:jc w:val="center"/>
              <w:rPr>
                <w:rFonts w:hint="eastAsia" w:ascii="宋体" w:hAnsi="宋体" w:cs="宋体"/>
              </w:rPr>
            </w:pPr>
            <w:r>
              <w:rPr>
                <w:rFonts w:hint="eastAsia" w:ascii="宋体" w:hAnsi="宋体" w:cs="宋体"/>
              </w:rPr>
              <w:t>dB</w:t>
            </w:r>
          </w:p>
        </w:tc>
        <w:tc>
          <w:tcPr>
            <w:tcW w:w="4664"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1米内&lt;45dB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21</w:t>
            </w:r>
          </w:p>
        </w:tc>
        <w:tc>
          <w:tcPr>
            <w:tcW w:w="2520" w:type="dxa"/>
            <w:vAlign w:val="center"/>
          </w:tcPr>
          <w:p>
            <w:pPr>
              <w:snapToGrid w:val="0"/>
              <w:spacing w:before="60" w:after="60"/>
              <w:jc w:val="center"/>
              <w:rPr>
                <w:rFonts w:hint="eastAsia" w:ascii="宋体" w:hAnsi="宋体" w:cs="宋体"/>
                <w:sz w:val="18"/>
                <w:szCs w:val="18"/>
              </w:rPr>
            </w:pPr>
            <w:r>
              <w:rPr>
                <w:rFonts w:hint="eastAsia" w:ascii="宋体" w:hAnsi="宋体" w:cs="宋体"/>
                <w:szCs w:val="21"/>
              </w:rPr>
              <w:t>★</w:t>
            </w:r>
            <w:r>
              <w:rPr>
                <w:rFonts w:hint="eastAsia" w:ascii="宋体" w:hAnsi="宋体" w:cs="宋体"/>
                <w:sz w:val="18"/>
                <w:szCs w:val="18"/>
              </w:rPr>
              <w:t>满载损耗</w:t>
            </w:r>
          </w:p>
        </w:tc>
        <w:tc>
          <w:tcPr>
            <w:tcW w:w="1134" w:type="dxa"/>
            <w:vAlign w:val="center"/>
          </w:tcPr>
          <w:p>
            <w:pPr>
              <w:pStyle w:val="46"/>
              <w:topLinePunct/>
              <w:snapToGrid w:val="0"/>
              <w:spacing w:before="60" w:after="60"/>
              <w:jc w:val="center"/>
              <w:rPr>
                <w:rFonts w:hint="eastAsia" w:ascii="宋体" w:hAnsi="宋体" w:cs="宋体"/>
              </w:rPr>
            </w:pPr>
          </w:p>
        </w:tc>
        <w:tc>
          <w:tcPr>
            <w:tcW w:w="4664"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≤2% SN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22</w:t>
            </w:r>
          </w:p>
        </w:tc>
        <w:tc>
          <w:tcPr>
            <w:tcW w:w="2520" w:type="dxa"/>
            <w:vAlign w:val="center"/>
          </w:tcPr>
          <w:p>
            <w:pPr>
              <w:snapToGrid w:val="0"/>
              <w:spacing w:before="60" w:after="60"/>
              <w:jc w:val="center"/>
              <w:rPr>
                <w:rFonts w:hint="eastAsia" w:ascii="宋体" w:hAnsi="宋体" w:cs="宋体"/>
                <w:sz w:val="18"/>
                <w:szCs w:val="18"/>
              </w:rPr>
            </w:pPr>
            <w:r>
              <w:rPr>
                <w:rFonts w:hint="eastAsia" w:ascii="宋体" w:hAnsi="宋体" w:cs="宋体"/>
                <w:szCs w:val="21"/>
              </w:rPr>
              <w:t>★</w:t>
            </w:r>
            <w:r>
              <w:rPr>
                <w:rFonts w:hint="eastAsia" w:ascii="宋体" w:hAnsi="宋体" w:cs="宋体"/>
                <w:sz w:val="18"/>
                <w:szCs w:val="18"/>
              </w:rPr>
              <w:t>平均无故障时间</w:t>
            </w:r>
          </w:p>
        </w:tc>
        <w:tc>
          <w:tcPr>
            <w:tcW w:w="1134" w:type="dxa"/>
            <w:vAlign w:val="center"/>
          </w:tcPr>
          <w:p>
            <w:pPr>
              <w:pStyle w:val="46"/>
              <w:topLinePunct/>
              <w:snapToGrid w:val="0"/>
              <w:spacing w:before="60" w:after="60"/>
              <w:jc w:val="center"/>
              <w:rPr>
                <w:rFonts w:hint="eastAsia" w:ascii="宋体" w:hAnsi="宋体" w:cs="宋体"/>
              </w:rPr>
            </w:pPr>
            <w:r>
              <w:rPr>
                <w:rFonts w:hint="eastAsia" w:ascii="宋体" w:hAnsi="宋体" w:cs="宋体"/>
              </w:rPr>
              <w:t>h</w:t>
            </w:r>
          </w:p>
        </w:tc>
        <w:tc>
          <w:tcPr>
            <w:tcW w:w="4664"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≥30000h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23</w:t>
            </w:r>
          </w:p>
        </w:tc>
        <w:tc>
          <w:tcPr>
            <w:tcW w:w="2520"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柜体净尺寸（宽*深*高）</w:t>
            </w:r>
          </w:p>
        </w:tc>
        <w:tc>
          <w:tcPr>
            <w:tcW w:w="1134" w:type="dxa"/>
            <w:vAlign w:val="center"/>
          </w:tcPr>
          <w:p>
            <w:pPr>
              <w:pStyle w:val="46"/>
              <w:topLinePunct/>
              <w:snapToGrid w:val="0"/>
              <w:spacing w:before="60" w:after="60"/>
              <w:jc w:val="center"/>
              <w:rPr>
                <w:rFonts w:hint="eastAsia" w:ascii="宋体" w:hAnsi="宋体" w:cs="宋体"/>
              </w:rPr>
            </w:pPr>
            <w:r>
              <w:rPr>
                <w:rFonts w:hint="eastAsia" w:ascii="宋体" w:hAnsi="宋体" w:cs="宋体"/>
              </w:rPr>
              <w:t>mm</w:t>
            </w:r>
          </w:p>
        </w:tc>
        <w:tc>
          <w:tcPr>
            <w:tcW w:w="4664" w:type="dxa"/>
            <w:vAlign w:val="center"/>
          </w:tcPr>
          <w:p>
            <w:pPr>
              <w:snapToGrid w:val="0"/>
              <w:spacing w:before="60" w:after="60"/>
              <w:jc w:val="center"/>
              <w:rPr>
                <w:rFonts w:hint="eastAsia" w:ascii="宋体" w:hAnsi="宋体" w:cs="宋体"/>
                <w:sz w:val="18"/>
                <w:szCs w:val="18"/>
              </w:rPr>
            </w:pPr>
            <w:r>
              <w:rPr>
                <w:rFonts w:hint="eastAsia" w:ascii="宋体" w:hAnsi="宋体" w:cs="宋体"/>
                <w:sz w:val="18"/>
                <w:szCs w:val="18"/>
              </w:rPr>
              <w:t>不大于650*500*1150mm</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24</w:t>
            </w:r>
          </w:p>
        </w:tc>
        <w:tc>
          <w:tcPr>
            <w:tcW w:w="2520" w:type="dxa"/>
            <w:vAlign w:val="center"/>
          </w:tcPr>
          <w:p>
            <w:pPr>
              <w:jc w:val="center"/>
              <w:rPr>
                <w:rFonts w:hint="eastAsia" w:ascii="宋体" w:hAnsi="宋体" w:cs="宋体"/>
                <w:sz w:val="18"/>
                <w:szCs w:val="18"/>
              </w:rPr>
            </w:pPr>
            <w:r>
              <w:rPr>
                <w:rFonts w:hint="eastAsia" w:ascii="宋体" w:hAnsi="宋体" w:cs="宋体"/>
                <w:sz w:val="18"/>
                <w:szCs w:val="18"/>
              </w:rPr>
              <w:t>装置净重</w:t>
            </w:r>
          </w:p>
        </w:tc>
        <w:tc>
          <w:tcPr>
            <w:tcW w:w="1134" w:type="dxa"/>
            <w:vAlign w:val="center"/>
          </w:tcPr>
          <w:p>
            <w:pPr>
              <w:pStyle w:val="46"/>
              <w:snapToGrid w:val="0"/>
              <w:spacing w:before="62" w:beforeLines="20" w:after="62" w:afterLines="20"/>
              <w:jc w:val="center"/>
              <w:rPr>
                <w:rFonts w:hint="eastAsia" w:ascii="宋体" w:hAnsi="宋体" w:cs="宋体"/>
              </w:rPr>
            </w:pPr>
            <w:r>
              <w:rPr>
                <w:rFonts w:hint="eastAsia" w:ascii="宋体" w:hAnsi="宋体" w:cs="宋体"/>
              </w:rPr>
              <w:t>kg</w:t>
            </w:r>
          </w:p>
        </w:tc>
        <w:tc>
          <w:tcPr>
            <w:tcW w:w="4664" w:type="dxa"/>
            <w:vAlign w:val="center"/>
          </w:tcPr>
          <w:p>
            <w:pPr>
              <w:snapToGrid w:val="0"/>
              <w:spacing w:before="62" w:beforeLines="20" w:after="62" w:afterLines="20"/>
              <w:jc w:val="center"/>
              <w:rPr>
                <w:rFonts w:hint="eastAsia" w:ascii="宋体" w:hAnsi="宋体" w:cs="宋体"/>
                <w:sz w:val="18"/>
                <w:szCs w:val="18"/>
              </w:rPr>
            </w:pPr>
            <w:r>
              <w:rPr>
                <w:rFonts w:hint="eastAsia" w:ascii="宋体" w:hAnsi="宋体" w:cs="宋体"/>
                <w:sz w:val="18"/>
                <w:szCs w:val="18"/>
              </w:rPr>
              <w:t>≤180kg</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tabs>
                <w:tab w:val="center" w:pos="301"/>
                <w:tab w:val="left" w:pos="475"/>
              </w:tabs>
              <w:snapToGrid w:val="0"/>
              <w:ind w:firstLine="180" w:firstLineChars="100"/>
              <w:rPr>
                <w:rFonts w:ascii="宋体" w:hAnsi="宋体" w:cs="宋体"/>
                <w:sz w:val="18"/>
                <w:szCs w:val="18"/>
              </w:rPr>
            </w:pPr>
            <w:r>
              <w:rPr>
                <w:rFonts w:hint="eastAsia" w:ascii="宋体" w:hAnsi="宋体" w:cs="宋体"/>
                <w:sz w:val="18"/>
                <w:szCs w:val="18"/>
              </w:rPr>
              <w:t>25</w:t>
            </w:r>
          </w:p>
        </w:tc>
        <w:tc>
          <w:tcPr>
            <w:tcW w:w="2520" w:type="dxa"/>
            <w:vAlign w:val="center"/>
          </w:tcPr>
          <w:p>
            <w:pPr>
              <w:jc w:val="center"/>
              <w:rPr>
                <w:rFonts w:hint="eastAsia" w:ascii="宋体" w:hAnsi="宋体" w:cs="宋体"/>
                <w:sz w:val="18"/>
                <w:szCs w:val="18"/>
              </w:rPr>
            </w:pPr>
            <w:r>
              <w:rPr>
                <w:rFonts w:hint="eastAsia" w:ascii="宋体" w:hAnsi="宋体" w:cs="宋体"/>
                <w:sz w:val="18"/>
                <w:szCs w:val="18"/>
              </w:rPr>
              <w:t>柜体材质</w:t>
            </w:r>
          </w:p>
        </w:tc>
        <w:tc>
          <w:tcPr>
            <w:tcW w:w="1134" w:type="dxa"/>
            <w:vAlign w:val="center"/>
          </w:tcPr>
          <w:p>
            <w:pPr>
              <w:pStyle w:val="46"/>
              <w:snapToGrid w:val="0"/>
              <w:spacing w:before="62" w:beforeLines="20" w:after="62" w:afterLines="20"/>
              <w:jc w:val="center"/>
              <w:rPr>
                <w:rFonts w:hint="eastAsia" w:ascii="宋体" w:hAnsi="宋体" w:cs="宋体"/>
              </w:rPr>
            </w:pPr>
          </w:p>
        </w:tc>
        <w:tc>
          <w:tcPr>
            <w:tcW w:w="4664" w:type="dxa"/>
            <w:vAlign w:val="center"/>
          </w:tcPr>
          <w:p>
            <w:pPr>
              <w:jc w:val="center"/>
              <w:rPr>
                <w:rFonts w:hint="eastAsia" w:ascii="宋体" w:hAnsi="宋体" w:cs="宋体"/>
                <w:sz w:val="18"/>
                <w:szCs w:val="18"/>
              </w:rPr>
            </w:pPr>
            <w:r>
              <w:rPr>
                <w:rFonts w:hint="eastAsia" w:ascii="宋体" w:hAnsi="宋体" w:cs="宋体"/>
                <w:sz w:val="18"/>
                <w:szCs w:val="18"/>
              </w:rPr>
              <w:t>柜体采用304不锈钢材质，箱体厚度应不小于2.0mm；</w:t>
            </w:r>
          </w:p>
        </w:tc>
      </w:tr>
    </w:tbl>
    <w:p>
      <w:pPr>
        <w:tabs>
          <w:tab w:val="left" w:pos="1418"/>
        </w:tabs>
        <w:spacing w:line="312" w:lineRule="exact"/>
        <w:rPr>
          <w:rStyle w:val="103"/>
          <w:rFonts w:hint="eastAsia" w:ascii="宋体" w:hAnsi="宋体" w:eastAsia="宋体" w:cs="宋体"/>
        </w:rPr>
      </w:pPr>
      <w:r>
        <w:rPr>
          <w:rStyle w:val="103"/>
          <w:rFonts w:hint="eastAsia" w:ascii="宋体" w:hAnsi="宋体" w:eastAsia="宋体" w:cs="宋体"/>
        </w:rPr>
        <w:t>注：标★号标记为关键技术参数及功能要求。</w:t>
      </w:r>
    </w:p>
    <w:p>
      <w:pPr>
        <w:pStyle w:val="99"/>
        <w:spacing w:line="360" w:lineRule="auto"/>
        <w:outlineLvl w:val="1"/>
        <w:rPr>
          <w:rFonts w:hint="eastAsia" w:ascii="宋体" w:hAnsi="宋体" w:eastAsia="宋体" w:cs="宋体"/>
          <w:snapToGrid w:val="0"/>
          <w:kern w:val="0"/>
        </w:rPr>
      </w:pPr>
      <w:bookmarkStart w:id="73" w:name="_Toc30219"/>
      <w:bookmarkStart w:id="74" w:name="_Toc26373"/>
      <w:r>
        <w:rPr>
          <w:rStyle w:val="103"/>
          <w:rFonts w:hint="eastAsia" w:ascii="宋体" w:hAnsi="宋体" w:eastAsia="宋体" w:cs="宋体"/>
        </w:rPr>
        <w:t xml:space="preserve">5.3 </w:t>
      </w:r>
      <w:r>
        <w:rPr>
          <w:rFonts w:hint="eastAsia" w:ascii="宋体" w:hAnsi="宋体" w:eastAsia="宋体" w:cs="宋体"/>
          <w:snapToGrid w:val="0"/>
          <w:kern w:val="0"/>
        </w:rPr>
        <w:t>正常使用条件</w:t>
      </w:r>
      <w:bookmarkEnd w:id="73"/>
      <w:bookmarkEnd w:id="74"/>
    </w:p>
    <w:p>
      <w:pPr>
        <w:spacing w:line="360" w:lineRule="auto"/>
        <w:jc w:val="center"/>
        <w:rPr>
          <w:rFonts w:hint="eastAsia" w:ascii="宋体" w:hAnsi="宋体" w:cs="宋体"/>
          <w:b/>
          <w:bCs/>
          <w:sz w:val="18"/>
          <w:szCs w:val="18"/>
        </w:rPr>
      </w:pPr>
      <w:r>
        <w:rPr>
          <w:rFonts w:hint="eastAsia" w:ascii="宋体" w:hAnsi="宋体" w:cs="宋体"/>
          <w:b/>
          <w:bCs/>
          <w:sz w:val="18"/>
          <w:szCs w:val="18"/>
        </w:rPr>
        <w:t>表5　220V单相低压调压器使用条件表</w:t>
      </w:r>
    </w:p>
    <w:tbl>
      <w:tblPr>
        <w:tblStyle w:val="77"/>
        <w:tblW w:w="0" w:type="auto"/>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776"/>
        <w:gridCol w:w="1279"/>
        <w:gridCol w:w="981"/>
        <w:gridCol w:w="2867"/>
        <w:gridCol w:w="2867"/>
      </w:tblGrid>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776" w:type="dxa"/>
            <w:vAlign w:val="center"/>
          </w:tcPr>
          <w:p>
            <w:pPr>
              <w:tabs>
                <w:tab w:val="center" w:pos="301"/>
                <w:tab w:val="left" w:pos="475"/>
              </w:tabs>
              <w:snapToGrid w:val="0"/>
              <w:ind w:firstLine="180" w:firstLineChars="100"/>
              <w:jc w:val="center"/>
              <w:rPr>
                <w:rFonts w:hint="eastAsia" w:ascii="宋体" w:hAnsi="宋体" w:cs="宋体"/>
                <w:sz w:val="18"/>
                <w:szCs w:val="18"/>
              </w:rPr>
            </w:pPr>
            <w:bookmarkStart w:id="75" w:name="_Toc488827769"/>
            <w:bookmarkStart w:id="76" w:name="_Toc420615358"/>
            <w:bookmarkStart w:id="77" w:name="_Toc252534735"/>
            <w:bookmarkStart w:id="78" w:name="_Toc247536320"/>
            <w:bookmarkStart w:id="79" w:name="_Toc247518084"/>
            <w:bookmarkStart w:id="80" w:name="_Toc256370371"/>
            <w:bookmarkStart w:id="81" w:name="_Toc247549767"/>
            <w:bookmarkStart w:id="82" w:name="_Toc247549063"/>
            <w:r>
              <w:rPr>
                <w:rFonts w:hint="eastAsia" w:ascii="宋体" w:hAnsi="宋体" w:cs="宋体"/>
                <w:sz w:val="18"/>
                <w:szCs w:val="18"/>
              </w:rPr>
              <w:t>序号</w:t>
            </w:r>
          </w:p>
        </w:tc>
        <w:tc>
          <w:tcPr>
            <w:tcW w:w="1279"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名称/项目</w:t>
            </w:r>
          </w:p>
        </w:tc>
        <w:tc>
          <w:tcPr>
            <w:tcW w:w="981"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单位</w:t>
            </w:r>
          </w:p>
        </w:tc>
        <w:tc>
          <w:tcPr>
            <w:tcW w:w="2867"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招标人需求值</w:t>
            </w:r>
          </w:p>
        </w:tc>
        <w:tc>
          <w:tcPr>
            <w:tcW w:w="2867"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投标人保证值</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776"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1</w:t>
            </w:r>
          </w:p>
        </w:tc>
        <w:tc>
          <w:tcPr>
            <w:tcW w:w="1279"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存储温度</w:t>
            </w:r>
          </w:p>
        </w:tc>
        <w:tc>
          <w:tcPr>
            <w:tcW w:w="981"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w:t>
            </w:r>
          </w:p>
        </w:tc>
        <w:tc>
          <w:tcPr>
            <w:tcW w:w="2867"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－20℃～+70℃</w:t>
            </w:r>
          </w:p>
        </w:tc>
        <w:tc>
          <w:tcPr>
            <w:tcW w:w="2867"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（投标人填写）</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776"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2</w:t>
            </w:r>
          </w:p>
        </w:tc>
        <w:tc>
          <w:tcPr>
            <w:tcW w:w="1279"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工作温度</w:t>
            </w:r>
          </w:p>
        </w:tc>
        <w:tc>
          <w:tcPr>
            <w:tcW w:w="981"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w:t>
            </w:r>
          </w:p>
        </w:tc>
        <w:tc>
          <w:tcPr>
            <w:tcW w:w="2867"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-10℃～+40℃</w:t>
            </w:r>
          </w:p>
        </w:tc>
        <w:tc>
          <w:tcPr>
            <w:tcW w:w="2867"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（投标人填写）</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776"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3</w:t>
            </w:r>
          </w:p>
        </w:tc>
        <w:tc>
          <w:tcPr>
            <w:tcW w:w="1279"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湿度要求</w:t>
            </w:r>
          </w:p>
        </w:tc>
        <w:tc>
          <w:tcPr>
            <w:tcW w:w="981"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w:t>
            </w:r>
          </w:p>
        </w:tc>
        <w:tc>
          <w:tcPr>
            <w:tcW w:w="2867"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5%～95%，无凝露</w:t>
            </w:r>
          </w:p>
        </w:tc>
        <w:tc>
          <w:tcPr>
            <w:tcW w:w="2867"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（投标人填写）</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776"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4</w:t>
            </w:r>
          </w:p>
        </w:tc>
        <w:tc>
          <w:tcPr>
            <w:tcW w:w="1279"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海拔高度</w:t>
            </w:r>
          </w:p>
        </w:tc>
        <w:tc>
          <w:tcPr>
            <w:tcW w:w="981" w:type="dxa"/>
            <w:vAlign w:val="center"/>
          </w:tcPr>
          <w:p>
            <w:pPr>
              <w:tabs>
                <w:tab w:val="center" w:pos="301"/>
                <w:tab w:val="left" w:pos="475"/>
              </w:tabs>
              <w:snapToGrid w:val="0"/>
              <w:ind w:firstLine="180" w:firstLineChars="100"/>
              <w:jc w:val="center"/>
              <w:rPr>
                <w:rFonts w:hint="eastAsia" w:ascii="宋体" w:hAnsi="宋体" w:cs="宋体"/>
                <w:sz w:val="18"/>
                <w:szCs w:val="18"/>
              </w:rPr>
            </w:pPr>
            <w:r>
              <w:rPr>
                <w:rFonts w:hint="eastAsia" w:ascii="宋体" w:hAnsi="宋体" w:cs="宋体"/>
                <w:sz w:val="18"/>
                <w:szCs w:val="18"/>
              </w:rPr>
              <w:t>m</w:t>
            </w:r>
          </w:p>
        </w:tc>
        <w:tc>
          <w:tcPr>
            <w:tcW w:w="2867" w:type="dxa"/>
            <w:vAlign w:val="center"/>
          </w:tcPr>
          <w:p>
            <w:pPr>
              <w:tabs>
                <w:tab w:val="center" w:pos="301"/>
                <w:tab w:val="left" w:pos="475"/>
              </w:tabs>
              <w:snapToGrid w:val="0"/>
              <w:jc w:val="left"/>
              <w:rPr>
                <w:rFonts w:hint="eastAsia" w:ascii="宋体" w:hAnsi="宋体" w:cs="宋体"/>
                <w:sz w:val="18"/>
                <w:szCs w:val="18"/>
              </w:rPr>
            </w:pPr>
            <w:r>
              <w:rPr>
                <w:rFonts w:hint="eastAsia" w:ascii="宋体" w:hAnsi="宋体" w:cs="宋体"/>
                <w:sz w:val="18"/>
                <w:szCs w:val="18"/>
              </w:rPr>
              <w:t>≤2000m，大于2000m 根据国标GB/T3859.2，每增加100m，输出功率降低不大于1%</w:t>
            </w:r>
          </w:p>
        </w:tc>
        <w:tc>
          <w:tcPr>
            <w:tcW w:w="2867" w:type="dxa"/>
            <w:vAlign w:val="center"/>
          </w:tcPr>
          <w:p>
            <w:pPr>
              <w:snapToGrid w:val="0"/>
              <w:spacing w:before="64" w:after="64"/>
              <w:jc w:val="center"/>
              <w:rPr>
                <w:rFonts w:hint="eastAsia" w:ascii="宋体" w:hAnsi="宋体" w:cs="宋体"/>
                <w:sz w:val="18"/>
                <w:szCs w:val="18"/>
              </w:rPr>
            </w:pPr>
            <w:r>
              <w:rPr>
                <w:rFonts w:hint="eastAsia" w:ascii="宋体" w:hAnsi="宋体" w:cs="宋体"/>
                <w:sz w:val="18"/>
                <w:szCs w:val="18"/>
              </w:rPr>
              <w:t>（投标人填写）</w:t>
            </w:r>
          </w:p>
        </w:tc>
      </w:tr>
    </w:tbl>
    <w:p>
      <w:pPr>
        <w:tabs>
          <w:tab w:val="left" w:pos="1418"/>
        </w:tabs>
        <w:spacing w:line="312" w:lineRule="exact"/>
        <w:rPr>
          <w:rStyle w:val="103"/>
          <w:rFonts w:hint="eastAsia" w:ascii="宋体" w:hAnsi="宋体" w:eastAsia="宋体" w:cs="宋体"/>
        </w:rPr>
      </w:pPr>
    </w:p>
    <w:p>
      <w:pPr>
        <w:pStyle w:val="99"/>
        <w:spacing w:line="360" w:lineRule="auto"/>
        <w:outlineLvl w:val="1"/>
        <w:rPr>
          <w:rFonts w:hint="eastAsia" w:ascii="宋体" w:hAnsi="宋体" w:eastAsia="宋体" w:cs="宋体"/>
          <w:snapToGrid w:val="0"/>
          <w:kern w:val="0"/>
        </w:rPr>
      </w:pPr>
      <w:bookmarkStart w:id="83" w:name="_Toc5987"/>
      <w:bookmarkStart w:id="84" w:name="_Toc26602"/>
      <w:r>
        <w:rPr>
          <w:rStyle w:val="103"/>
          <w:rFonts w:hint="eastAsia" w:ascii="宋体" w:hAnsi="宋体" w:eastAsia="宋体" w:cs="宋体"/>
        </w:rPr>
        <w:t xml:space="preserve">5.4 </w:t>
      </w:r>
      <w:bookmarkEnd w:id="75"/>
      <w:r>
        <w:rPr>
          <w:rFonts w:hint="eastAsia" w:ascii="宋体" w:hAnsi="宋体" w:cs="宋体"/>
          <w:snapToGrid w:val="0"/>
          <w:kern w:val="0"/>
        </w:rPr>
        <w:t>220V单相低压调压器</w:t>
      </w:r>
      <w:r>
        <w:rPr>
          <w:rFonts w:hint="eastAsia" w:ascii="宋体" w:hAnsi="宋体" w:eastAsia="宋体" w:cs="宋体"/>
          <w:snapToGrid w:val="0"/>
          <w:kern w:val="0"/>
        </w:rPr>
        <w:t>工作原理及其拓扑图</w:t>
      </w:r>
      <w:bookmarkEnd w:id="83"/>
      <w:bookmarkEnd w:id="84"/>
    </w:p>
    <w:p>
      <w:pPr>
        <w:spacing w:line="360" w:lineRule="auto"/>
        <w:ind w:firstLine="420"/>
        <w:rPr>
          <w:rFonts w:hint="eastAsia" w:ascii="宋体" w:hAnsi="宋体" w:cs="宋体"/>
          <w:szCs w:val="22"/>
        </w:rPr>
      </w:pPr>
      <w:r>
        <w:rPr>
          <w:rFonts w:hint="eastAsia" w:ascii="宋体" w:hAnsi="宋体" w:cs="宋体"/>
          <w:szCs w:val="22"/>
        </w:rPr>
        <w:t>220V单相低压调压器是针对供电半径长、负荷变化大而造成的供电末端电压低的现场的电力电子装置。它能够实时检测设备的输入电压 Ui（即线路抬升前电压）与输出电压 Uo。当输入电压 Ui 过低或者过高时，通过电压补偿模块根据实际输入电压与输出电压的差值投入相应的抬升电压，使输出电压 Uo 满足要求。</w:t>
      </w:r>
    </w:p>
    <w:p>
      <w:pPr>
        <w:spacing w:line="360" w:lineRule="auto"/>
        <w:rPr>
          <w:rFonts w:hint="eastAsia" w:ascii="宋体" w:hAnsi="宋体" w:cs="宋体"/>
          <w:szCs w:val="22"/>
        </w:rPr>
      </w:pPr>
      <w:bookmarkStart w:id="85" w:name="_Toc459120810"/>
      <w:r>
        <w:rPr>
          <w:rStyle w:val="103"/>
          <w:rFonts w:hint="eastAsia" w:ascii="宋体" w:hAnsi="宋体" w:eastAsia="宋体" w:cs="宋体"/>
        </w:rPr>
        <w:t>5.4.1</w:t>
      </w:r>
      <w:r>
        <w:rPr>
          <w:rFonts w:hint="eastAsia" w:ascii="宋体" w:hAnsi="宋体" w:cs="宋体"/>
          <w:szCs w:val="22"/>
        </w:rPr>
        <w:t xml:space="preserve"> 工作原理</w:t>
      </w:r>
      <w:bookmarkEnd w:id="85"/>
    </w:p>
    <w:p>
      <w:pPr>
        <w:spacing w:line="360" w:lineRule="auto"/>
        <w:ind w:firstLine="420"/>
        <w:rPr>
          <w:rFonts w:hint="eastAsia" w:ascii="宋体" w:hAnsi="宋体" w:cs="宋体"/>
          <w:szCs w:val="22"/>
        </w:rPr>
      </w:pPr>
      <w:r>
        <w:rPr>
          <w:rFonts w:hint="eastAsia" w:ascii="宋体" w:hAnsi="宋体" w:cs="宋体"/>
          <w:szCs w:val="22"/>
        </w:rPr>
        <w:t>220V单相低压调压器通过低压检测电路，实时检测设备的输入电压 Ui （即线路抬升前电压）与输出电压 Uo，并通过内部DSP计算，计算出输入电压与输出电压定值的差值，当输入电压与输出电压定值存在差值时，旁路电气互锁开关KM端打开，调压模块投入运行，通过控制调压模块对输入电压进行补偿，从而给用电端设备合格的电压质量。当检测输入电压与输出电压平衡时，旁路电气互锁开关KM端闭合，调压模块停止补偿。在调压器中，配置有 3组采用自动投切的电容器，其功能如下：</w:t>
      </w:r>
    </w:p>
    <w:p>
      <w:pPr>
        <w:spacing w:line="360" w:lineRule="auto"/>
        <w:ind w:firstLine="420"/>
        <w:rPr>
          <w:rFonts w:hint="eastAsia" w:ascii="宋体" w:hAnsi="宋体" w:cs="宋体"/>
          <w:szCs w:val="22"/>
        </w:rPr>
      </w:pPr>
      <w:r>
        <w:rPr>
          <w:rFonts w:hint="eastAsia" w:ascii="宋体" w:hAnsi="宋体" w:cs="宋体"/>
          <w:szCs w:val="22"/>
        </w:rPr>
        <w:t>1) 当电容器按“无功模式”运行时，其功能主要用于无功功率就地平衡，减少线路无功电流，降低线路有功损耗和线路阻抗压降。</w:t>
      </w:r>
    </w:p>
    <w:p>
      <w:pPr>
        <w:spacing w:line="360" w:lineRule="auto"/>
        <w:ind w:firstLine="420"/>
        <w:rPr>
          <w:rFonts w:hint="eastAsia" w:ascii="宋体" w:hAnsi="宋体" w:cs="宋体"/>
          <w:szCs w:val="22"/>
        </w:rPr>
      </w:pPr>
      <w:r>
        <w:rPr>
          <w:rFonts w:hint="eastAsia" w:ascii="宋体" w:hAnsi="宋体" w:cs="宋体"/>
          <w:szCs w:val="22"/>
        </w:rPr>
        <w:t>2) 当电容器按“电压模式”运行时，其功能主要用于抑制调压器输入端电压Ui 的跌落。</w:t>
      </w:r>
    </w:p>
    <w:p>
      <w:pPr>
        <w:spacing w:line="360" w:lineRule="auto"/>
        <w:ind w:firstLine="420"/>
        <w:rPr>
          <w:rFonts w:hint="eastAsia" w:ascii="宋体" w:hAnsi="宋体" w:cs="宋体"/>
          <w:szCs w:val="22"/>
        </w:rPr>
      </w:pPr>
      <w:r>
        <w:rPr>
          <w:rFonts w:hint="eastAsia" w:ascii="宋体" w:hAnsi="宋体" w:cs="宋体"/>
          <w:szCs w:val="22"/>
        </w:rPr>
        <w:t>3) 电容器实时监测用户负荷的变化和系统电压的波动，分 3 组适时适量自动投切，以达到降损和稳压的双重效果。</w:t>
      </w:r>
    </w:p>
    <w:p>
      <w:pPr>
        <w:spacing w:line="360" w:lineRule="auto"/>
        <w:rPr>
          <w:rFonts w:hint="eastAsia" w:ascii="宋体" w:hAnsi="宋体" w:cs="宋体"/>
          <w:szCs w:val="22"/>
        </w:rPr>
      </w:pPr>
      <w:bookmarkStart w:id="86" w:name="_Toc459120811"/>
      <w:r>
        <w:rPr>
          <w:rStyle w:val="103"/>
          <w:rFonts w:hint="eastAsia" w:ascii="宋体" w:hAnsi="宋体" w:eastAsia="宋体" w:cs="宋体"/>
        </w:rPr>
        <w:t>5.4.2</w:t>
      </w:r>
      <w:r>
        <w:rPr>
          <w:rFonts w:hint="eastAsia" w:ascii="宋体" w:hAnsi="宋体" w:cs="宋体"/>
          <w:szCs w:val="22"/>
        </w:rPr>
        <w:t xml:space="preserve"> 拓扑</w:t>
      </w:r>
      <w:bookmarkEnd w:id="86"/>
      <w:r>
        <w:rPr>
          <w:rFonts w:hint="eastAsia" w:ascii="宋体" w:hAnsi="宋体" w:cs="宋体"/>
          <w:szCs w:val="22"/>
        </w:rPr>
        <w:t>原理图</w:t>
      </w:r>
    </w:p>
    <w:p>
      <w:pPr>
        <w:widowControl/>
        <w:jc w:val="center"/>
        <w:rPr>
          <w:rFonts w:hint="eastAsia" w:ascii="宋体" w:hAnsi="宋体" w:cs="宋体"/>
          <w:b/>
          <w:sz w:val="24"/>
          <w:szCs w:val="24"/>
        </w:rPr>
      </w:pPr>
      <w:r>
        <w:rPr>
          <w:rFonts w:hint="eastAsia" w:ascii="宋体" w:hAnsi="宋体" w:cs="宋体"/>
        </w:rPr>
        <w:drawing>
          <wp:inline distT="0" distB="0" distL="114300" distR="114300">
            <wp:extent cx="6133465" cy="3218815"/>
            <wp:effectExtent l="0" t="0" r="635" b="63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1"/>
                    <a:stretch>
                      <a:fillRect/>
                    </a:stretch>
                  </pic:blipFill>
                  <pic:spPr>
                    <a:xfrm>
                      <a:off x="0" y="0"/>
                      <a:ext cx="6133465" cy="3218815"/>
                    </a:xfrm>
                    <a:prstGeom prst="rect">
                      <a:avLst/>
                    </a:prstGeom>
                    <a:noFill/>
                    <a:ln>
                      <a:noFill/>
                    </a:ln>
                  </pic:spPr>
                </pic:pic>
              </a:graphicData>
            </a:graphic>
          </wp:inline>
        </w:drawing>
      </w:r>
    </w:p>
    <w:p>
      <w:pPr>
        <w:widowControl/>
        <w:jc w:val="center"/>
        <w:rPr>
          <w:rFonts w:hint="eastAsia" w:ascii="宋体" w:hAnsi="宋体" w:cs="宋体"/>
          <w:szCs w:val="22"/>
        </w:rPr>
      </w:pPr>
      <w:r>
        <w:rPr>
          <w:rFonts w:hint="eastAsia" w:ascii="宋体" w:hAnsi="宋体" w:cs="宋体"/>
          <w:szCs w:val="22"/>
        </w:rPr>
        <w:t>图1  拓扑原理图</w:t>
      </w:r>
    </w:p>
    <w:p>
      <w:pPr>
        <w:spacing w:line="312" w:lineRule="exact"/>
        <w:rPr>
          <w:rFonts w:hint="eastAsia" w:ascii="宋体" w:hAnsi="宋体" w:cs="宋体"/>
          <w:szCs w:val="21"/>
        </w:rPr>
      </w:pPr>
    </w:p>
    <w:bookmarkEnd w:id="76"/>
    <w:bookmarkEnd w:id="77"/>
    <w:bookmarkEnd w:id="78"/>
    <w:bookmarkEnd w:id="79"/>
    <w:bookmarkEnd w:id="80"/>
    <w:bookmarkEnd w:id="81"/>
    <w:bookmarkEnd w:id="82"/>
    <w:p>
      <w:pPr>
        <w:pStyle w:val="145"/>
        <w:topLinePunct/>
        <w:outlineLvl w:val="0"/>
        <w:rPr>
          <w:rFonts w:hint="eastAsia" w:ascii="宋体" w:hAnsi="宋体" w:eastAsia="宋体" w:cs="宋体"/>
          <w:b/>
          <w:bCs/>
          <w:snapToGrid w:val="0"/>
          <w:kern w:val="0"/>
        </w:rPr>
      </w:pPr>
      <w:bookmarkStart w:id="87" w:name="_Toc247855649"/>
      <w:bookmarkStart w:id="88" w:name="_Toc23727"/>
      <w:bookmarkStart w:id="89" w:name="_Toc16063"/>
      <w:bookmarkStart w:id="90" w:name="_Toc2585"/>
      <w:bookmarkStart w:id="91" w:name="_Toc256370339"/>
      <w:bookmarkStart w:id="92" w:name="_Toc252534623"/>
      <w:bookmarkStart w:id="93" w:name="_Toc30850"/>
      <w:r>
        <w:rPr>
          <w:rFonts w:hint="eastAsia" w:ascii="宋体" w:hAnsi="宋体" w:eastAsia="宋体" w:cs="宋体"/>
          <w:b/>
          <w:bCs/>
          <w:snapToGrid w:val="0"/>
          <w:kern w:val="0"/>
        </w:rPr>
        <w:t>6　试验</w:t>
      </w:r>
      <w:bookmarkEnd w:id="87"/>
      <w:bookmarkEnd w:id="88"/>
      <w:bookmarkEnd w:id="89"/>
      <w:bookmarkEnd w:id="90"/>
      <w:bookmarkEnd w:id="91"/>
      <w:bookmarkEnd w:id="92"/>
      <w:bookmarkEnd w:id="93"/>
    </w:p>
    <w:p>
      <w:pPr>
        <w:pStyle w:val="99"/>
        <w:topLinePunct/>
        <w:spacing w:line="360" w:lineRule="auto"/>
        <w:outlineLvl w:val="1"/>
        <w:rPr>
          <w:rFonts w:hint="eastAsia" w:ascii="宋体" w:hAnsi="宋体" w:eastAsia="宋体" w:cs="宋体"/>
        </w:rPr>
      </w:pPr>
      <w:bookmarkStart w:id="94" w:name="_Toc252534624"/>
      <w:bookmarkStart w:id="95" w:name="_Toc7451"/>
      <w:bookmarkStart w:id="96" w:name="_Toc256370340"/>
      <w:bookmarkStart w:id="97" w:name="_Toc21906"/>
      <w:bookmarkStart w:id="98" w:name="_Toc25720"/>
      <w:bookmarkStart w:id="99" w:name="_Toc247855650"/>
      <w:bookmarkStart w:id="100" w:name="_Toc14724"/>
      <w:r>
        <w:rPr>
          <w:rStyle w:val="103"/>
          <w:rFonts w:hint="eastAsia" w:ascii="宋体" w:hAnsi="宋体" w:eastAsia="宋体" w:cs="宋体"/>
        </w:rPr>
        <w:t xml:space="preserve">6.1 </w:t>
      </w:r>
      <w:r>
        <w:rPr>
          <w:rFonts w:hint="eastAsia" w:ascii="宋体" w:hAnsi="宋体" w:eastAsia="宋体" w:cs="宋体"/>
        </w:rPr>
        <w:t xml:space="preserve"> 试验要求</w:t>
      </w:r>
      <w:bookmarkEnd w:id="94"/>
      <w:bookmarkEnd w:id="95"/>
      <w:bookmarkEnd w:id="96"/>
      <w:bookmarkEnd w:id="97"/>
      <w:bookmarkEnd w:id="98"/>
      <w:bookmarkEnd w:id="99"/>
      <w:bookmarkEnd w:id="100"/>
    </w:p>
    <w:p>
      <w:pPr>
        <w:spacing w:line="360" w:lineRule="auto"/>
        <w:rPr>
          <w:rFonts w:hint="eastAsia" w:ascii="宋体" w:hAnsi="宋体" w:cs="宋体"/>
          <w:szCs w:val="21"/>
        </w:rPr>
      </w:pPr>
      <w:r>
        <w:rPr>
          <w:rStyle w:val="103"/>
          <w:rFonts w:hint="eastAsia" w:ascii="宋体" w:hAnsi="宋体" w:eastAsia="宋体" w:cs="宋体"/>
        </w:rPr>
        <w:t>6.1.1　</w:t>
      </w:r>
      <w:r>
        <w:rPr>
          <w:rFonts w:hint="eastAsia" w:ascii="宋体" w:hAnsi="宋体" w:cs="宋体"/>
          <w:szCs w:val="21"/>
        </w:rPr>
        <w:t>投标方提供的设备试验标准应符合IEC及国标、行标的有关规范，并提供型式试验。</w:t>
      </w:r>
    </w:p>
    <w:p>
      <w:pPr>
        <w:spacing w:line="360" w:lineRule="auto"/>
        <w:rPr>
          <w:rFonts w:hint="eastAsia" w:ascii="宋体" w:hAnsi="宋体" w:cs="宋体"/>
          <w:szCs w:val="21"/>
        </w:rPr>
      </w:pPr>
      <w:r>
        <w:rPr>
          <w:rStyle w:val="103"/>
          <w:rFonts w:hint="eastAsia" w:ascii="宋体" w:hAnsi="宋体" w:eastAsia="宋体" w:cs="宋体"/>
        </w:rPr>
        <w:t>6.1.2</w:t>
      </w:r>
      <w:r>
        <w:rPr>
          <w:rFonts w:hint="eastAsia" w:ascii="宋体" w:hAnsi="宋体" w:cs="宋体"/>
          <w:szCs w:val="21"/>
        </w:rPr>
        <w:t>　投标方提供的每一套设备出厂之前都应按规范要求、国家和行业标准以及工厂规定的调试大纲进行出厂检查、性能试验，试验报告应随产品提供。</w:t>
      </w:r>
    </w:p>
    <w:p>
      <w:pPr>
        <w:pStyle w:val="99"/>
        <w:topLinePunct/>
        <w:spacing w:line="360" w:lineRule="auto"/>
        <w:outlineLvl w:val="1"/>
        <w:rPr>
          <w:rFonts w:hint="eastAsia" w:ascii="宋体" w:hAnsi="宋体" w:eastAsia="宋体" w:cs="宋体"/>
        </w:rPr>
      </w:pPr>
      <w:bookmarkStart w:id="101" w:name="_Toc247855651"/>
      <w:bookmarkStart w:id="102" w:name="_Toc25067"/>
      <w:bookmarkStart w:id="103" w:name="_Toc25604"/>
      <w:bookmarkStart w:id="104" w:name="_Toc1163"/>
      <w:bookmarkStart w:id="105" w:name="_Toc252534625"/>
      <w:bookmarkStart w:id="106" w:name="_Toc256370341"/>
      <w:bookmarkStart w:id="107" w:name="_Toc25291"/>
      <w:r>
        <w:rPr>
          <w:rStyle w:val="103"/>
          <w:rFonts w:hint="eastAsia" w:ascii="宋体" w:hAnsi="宋体" w:eastAsia="宋体" w:cs="宋体"/>
        </w:rPr>
        <w:t>6.2</w:t>
      </w:r>
      <w:r>
        <w:rPr>
          <w:rFonts w:hint="eastAsia" w:ascii="宋体" w:hAnsi="宋体" w:eastAsia="宋体" w:cs="宋体"/>
        </w:rPr>
        <w:t xml:space="preserve">  电气性能试验</w:t>
      </w:r>
      <w:bookmarkEnd w:id="101"/>
      <w:bookmarkEnd w:id="102"/>
      <w:bookmarkEnd w:id="103"/>
      <w:bookmarkEnd w:id="104"/>
      <w:bookmarkEnd w:id="105"/>
      <w:bookmarkEnd w:id="106"/>
      <w:bookmarkEnd w:id="107"/>
    </w:p>
    <w:p>
      <w:pPr>
        <w:spacing w:line="360" w:lineRule="auto"/>
        <w:rPr>
          <w:rFonts w:hint="eastAsia" w:ascii="宋体" w:hAnsi="宋体" w:cs="宋体"/>
          <w:szCs w:val="21"/>
        </w:rPr>
      </w:pPr>
      <w:r>
        <w:rPr>
          <w:rStyle w:val="103"/>
          <w:rFonts w:hint="eastAsia" w:ascii="宋体" w:hAnsi="宋体" w:eastAsia="宋体" w:cs="宋体"/>
        </w:rPr>
        <w:t>6.2.1</w:t>
      </w:r>
      <w:r>
        <w:rPr>
          <w:rFonts w:hint="eastAsia" w:ascii="宋体" w:hAnsi="宋体" w:cs="宋体"/>
          <w:szCs w:val="21"/>
        </w:rPr>
        <w:t>　装置内部所有元器件性能正确性试验及所有接线正确性试验。</w:t>
      </w:r>
    </w:p>
    <w:p>
      <w:pPr>
        <w:spacing w:line="360" w:lineRule="auto"/>
        <w:rPr>
          <w:rFonts w:hint="eastAsia" w:ascii="宋体" w:hAnsi="宋体" w:cs="宋体"/>
          <w:szCs w:val="21"/>
        </w:rPr>
      </w:pPr>
      <w:r>
        <w:rPr>
          <w:rStyle w:val="103"/>
          <w:rFonts w:hint="eastAsia" w:ascii="宋体" w:hAnsi="宋体" w:eastAsia="宋体" w:cs="宋体"/>
        </w:rPr>
        <w:t>6.2.2</w:t>
      </w:r>
      <w:r>
        <w:rPr>
          <w:rFonts w:hint="eastAsia" w:ascii="宋体" w:hAnsi="宋体" w:cs="宋体"/>
          <w:szCs w:val="21"/>
        </w:rPr>
        <w:t>　模拟实际情况进行连续通电。</w:t>
      </w:r>
    </w:p>
    <w:p>
      <w:pPr>
        <w:pStyle w:val="99"/>
        <w:topLinePunct/>
        <w:spacing w:line="360" w:lineRule="auto"/>
        <w:outlineLvl w:val="1"/>
        <w:rPr>
          <w:rFonts w:hint="eastAsia" w:ascii="宋体" w:hAnsi="宋体" w:eastAsia="宋体" w:cs="宋体"/>
        </w:rPr>
      </w:pPr>
      <w:bookmarkStart w:id="108" w:name="_Toc247855652"/>
      <w:bookmarkStart w:id="109" w:name="_Toc5587"/>
      <w:bookmarkStart w:id="110" w:name="_Toc16301"/>
      <w:bookmarkStart w:id="111" w:name="_Toc32299"/>
      <w:bookmarkStart w:id="112" w:name="_Toc256370342"/>
      <w:bookmarkStart w:id="113" w:name="_Toc339"/>
      <w:bookmarkStart w:id="114" w:name="_Toc252534626"/>
      <w:r>
        <w:rPr>
          <w:rStyle w:val="103"/>
          <w:rFonts w:hint="eastAsia" w:ascii="宋体" w:hAnsi="宋体" w:eastAsia="宋体" w:cs="宋体"/>
        </w:rPr>
        <w:t>6.3</w:t>
      </w:r>
      <w:r>
        <w:rPr>
          <w:rFonts w:hint="eastAsia" w:ascii="宋体" w:hAnsi="宋体" w:eastAsia="宋体" w:cs="宋体"/>
        </w:rPr>
        <w:t>　现场试验</w:t>
      </w:r>
      <w:bookmarkEnd w:id="108"/>
      <w:bookmarkEnd w:id="109"/>
      <w:bookmarkEnd w:id="110"/>
      <w:bookmarkEnd w:id="111"/>
      <w:bookmarkEnd w:id="112"/>
      <w:bookmarkEnd w:id="113"/>
      <w:bookmarkEnd w:id="114"/>
    </w:p>
    <w:p>
      <w:pPr>
        <w:spacing w:line="360" w:lineRule="auto"/>
        <w:ind w:firstLine="420" w:firstLineChars="200"/>
        <w:rPr>
          <w:rFonts w:hint="eastAsia" w:ascii="宋体" w:hAnsi="宋体" w:cs="宋体"/>
          <w:kern w:val="21"/>
          <w:szCs w:val="21"/>
        </w:rPr>
      </w:pPr>
      <w:r>
        <w:rPr>
          <w:rFonts w:hint="eastAsia" w:ascii="宋体" w:hAnsi="宋体" w:cs="宋体"/>
          <w:kern w:val="21"/>
          <w:szCs w:val="21"/>
        </w:rPr>
        <w:t>现场实际设备接入后，还应作系统性测试验收。现场投运前和试运行中发现的设备缺陷和元件损坏,</w:t>
      </w:r>
      <w:r>
        <w:rPr>
          <w:rFonts w:hint="eastAsia" w:ascii="宋体" w:hAnsi="宋体" w:cs="宋体"/>
          <w:szCs w:val="21"/>
        </w:rPr>
        <w:t xml:space="preserve"> 投标方</w:t>
      </w:r>
      <w:r>
        <w:rPr>
          <w:rFonts w:hint="eastAsia" w:ascii="宋体" w:hAnsi="宋体" w:cs="宋体"/>
          <w:kern w:val="21"/>
          <w:szCs w:val="21"/>
        </w:rPr>
        <w:t>应及时无偿修理或更换，直至符合规范要求。保修期内产品出现不符合功能要求和技术指标要求，</w:t>
      </w:r>
      <w:r>
        <w:rPr>
          <w:rFonts w:hint="eastAsia" w:ascii="宋体" w:hAnsi="宋体" w:cs="宋体"/>
          <w:szCs w:val="21"/>
        </w:rPr>
        <w:t>投标方</w:t>
      </w:r>
      <w:r>
        <w:rPr>
          <w:rFonts w:hint="eastAsia" w:ascii="宋体" w:hAnsi="宋体" w:cs="宋体"/>
          <w:kern w:val="21"/>
          <w:szCs w:val="21"/>
        </w:rPr>
        <w:t>亦应负责。</w:t>
      </w:r>
    </w:p>
    <w:p>
      <w:pPr>
        <w:pStyle w:val="145"/>
        <w:topLinePunct/>
        <w:spacing w:line="360" w:lineRule="auto"/>
        <w:outlineLvl w:val="0"/>
        <w:rPr>
          <w:rFonts w:hint="eastAsia" w:ascii="宋体" w:hAnsi="宋体" w:eastAsia="宋体" w:cs="宋体"/>
          <w:b/>
          <w:bCs/>
          <w:snapToGrid w:val="0"/>
          <w:kern w:val="0"/>
        </w:rPr>
      </w:pPr>
      <w:bookmarkStart w:id="115" w:name="_Toc252534627"/>
      <w:bookmarkStart w:id="116" w:name="_Toc6478"/>
      <w:bookmarkStart w:id="117" w:name="_Toc19186"/>
      <w:bookmarkStart w:id="118" w:name="_Toc2643"/>
      <w:bookmarkStart w:id="119" w:name="_Toc256370343"/>
      <w:bookmarkStart w:id="120" w:name="_Toc26000"/>
      <w:bookmarkStart w:id="121" w:name="_Toc247855653"/>
      <w:r>
        <w:rPr>
          <w:rFonts w:hint="eastAsia" w:ascii="宋体" w:hAnsi="宋体" w:eastAsia="宋体" w:cs="宋体"/>
          <w:b/>
          <w:bCs/>
          <w:snapToGrid w:val="0"/>
          <w:kern w:val="0"/>
        </w:rPr>
        <w:t>7　技术服务、设计联络、工厂检验和监造</w:t>
      </w:r>
      <w:bookmarkEnd w:id="115"/>
      <w:bookmarkEnd w:id="116"/>
      <w:bookmarkEnd w:id="117"/>
      <w:bookmarkEnd w:id="118"/>
      <w:bookmarkEnd w:id="119"/>
      <w:bookmarkEnd w:id="120"/>
      <w:bookmarkEnd w:id="121"/>
    </w:p>
    <w:p>
      <w:pPr>
        <w:pStyle w:val="99"/>
        <w:topLinePunct/>
        <w:spacing w:line="360" w:lineRule="auto"/>
        <w:outlineLvl w:val="1"/>
        <w:rPr>
          <w:rFonts w:hint="eastAsia" w:ascii="宋体" w:hAnsi="宋体" w:eastAsia="宋体" w:cs="宋体"/>
        </w:rPr>
      </w:pPr>
      <w:bookmarkStart w:id="122" w:name="_Toc10004"/>
      <w:bookmarkStart w:id="123" w:name="_Toc247855654"/>
      <w:bookmarkStart w:id="124" w:name="_Toc256370344"/>
      <w:bookmarkStart w:id="125" w:name="_Toc25619"/>
      <w:bookmarkStart w:id="126" w:name="_Toc18"/>
      <w:bookmarkStart w:id="127" w:name="_Toc252534628"/>
      <w:bookmarkStart w:id="128" w:name="_Toc7054"/>
      <w:bookmarkStart w:id="129" w:name="_Toc178439786"/>
      <w:r>
        <w:rPr>
          <w:rStyle w:val="103"/>
          <w:rFonts w:hint="eastAsia" w:ascii="宋体" w:hAnsi="宋体" w:eastAsia="宋体" w:cs="宋体"/>
        </w:rPr>
        <w:t>7.1</w:t>
      </w:r>
      <w:r>
        <w:rPr>
          <w:rFonts w:hint="eastAsia" w:ascii="宋体" w:hAnsi="宋体" w:eastAsia="宋体" w:cs="宋体"/>
        </w:rPr>
        <w:t xml:space="preserve">  投标方提供的样本资料</w:t>
      </w:r>
      <w:bookmarkEnd w:id="122"/>
      <w:bookmarkEnd w:id="123"/>
      <w:bookmarkEnd w:id="124"/>
      <w:bookmarkEnd w:id="125"/>
      <w:bookmarkEnd w:id="126"/>
      <w:bookmarkEnd w:id="127"/>
      <w:bookmarkEnd w:id="128"/>
    </w:p>
    <w:p>
      <w:pPr>
        <w:spacing w:line="360" w:lineRule="auto"/>
        <w:ind w:firstLine="420" w:firstLineChars="200"/>
        <w:rPr>
          <w:rFonts w:hint="eastAsia" w:ascii="宋体" w:hAnsi="宋体" w:cs="宋体"/>
          <w:color w:val="000000"/>
          <w:kern w:val="21"/>
          <w:szCs w:val="21"/>
        </w:rPr>
      </w:pPr>
      <w:r>
        <w:rPr>
          <w:rFonts w:hint="eastAsia" w:ascii="宋体" w:hAnsi="宋体" w:cs="宋体"/>
          <w:color w:val="000000"/>
          <w:kern w:val="21"/>
          <w:szCs w:val="21"/>
        </w:rPr>
        <w:t>投标方应在报价书中提供与本规范有关的样本资料，</w:t>
      </w:r>
      <w:r>
        <w:rPr>
          <w:rFonts w:hint="eastAsia" w:ascii="宋体" w:hAnsi="宋体" w:cs="宋体"/>
          <w:color w:val="000000"/>
          <w:szCs w:val="21"/>
        </w:rPr>
        <w:t>其中包括成套设备、标准部件等，</w:t>
      </w:r>
      <w:r>
        <w:rPr>
          <w:rFonts w:hint="eastAsia" w:ascii="宋体" w:hAnsi="宋体" w:cs="宋体"/>
          <w:color w:val="000000"/>
          <w:kern w:val="21"/>
          <w:szCs w:val="21"/>
        </w:rPr>
        <w:t>以备使用方核查，样本中还应包括各种额定值数据、各元件性能、功率消耗(包括交流及直流回路)及使用说明等必需的资料。投标方还应提供装置运行及改进情况说明。</w:t>
      </w:r>
    </w:p>
    <w:p>
      <w:pPr>
        <w:pStyle w:val="99"/>
        <w:topLinePunct/>
        <w:spacing w:line="360" w:lineRule="auto"/>
        <w:outlineLvl w:val="1"/>
        <w:rPr>
          <w:rFonts w:hint="eastAsia" w:ascii="宋体" w:hAnsi="宋体" w:eastAsia="宋体" w:cs="宋体"/>
        </w:rPr>
      </w:pPr>
      <w:bookmarkStart w:id="130" w:name="_Toc1751"/>
      <w:bookmarkStart w:id="131" w:name="_Toc247855655"/>
      <w:bookmarkStart w:id="132" w:name="_Toc10984"/>
      <w:bookmarkStart w:id="133" w:name="_Toc252534629"/>
      <w:bookmarkStart w:id="134" w:name="_Toc21142"/>
      <w:bookmarkStart w:id="135" w:name="_Toc8539"/>
      <w:bookmarkStart w:id="136" w:name="_Toc256370345"/>
      <w:r>
        <w:rPr>
          <w:rStyle w:val="103"/>
          <w:rFonts w:hint="eastAsia" w:ascii="宋体" w:hAnsi="宋体" w:eastAsia="宋体" w:cs="宋体"/>
        </w:rPr>
        <w:t>7.2</w:t>
      </w:r>
      <w:r>
        <w:rPr>
          <w:rFonts w:hint="eastAsia" w:ascii="宋体" w:hAnsi="宋体" w:eastAsia="宋体" w:cs="宋体"/>
        </w:rPr>
        <w:t xml:space="preserve">  技术资料、图纸和说明书格式</w:t>
      </w:r>
      <w:bookmarkEnd w:id="130"/>
      <w:bookmarkEnd w:id="131"/>
      <w:bookmarkEnd w:id="132"/>
      <w:bookmarkEnd w:id="133"/>
      <w:bookmarkEnd w:id="134"/>
      <w:bookmarkEnd w:id="135"/>
      <w:bookmarkEnd w:id="136"/>
    </w:p>
    <w:p>
      <w:pPr>
        <w:spacing w:line="360" w:lineRule="auto"/>
        <w:rPr>
          <w:rFonts w:hint="eastAsia" w:ascii="宋体" w:hAnsi="宋体" w:cs="宋体"/>
          <w:szCs w:val="21"/>
        </w:rPr>
      </w:pPr>
      <w:r>
        <w:rPr>
          <w:rStyle w:val="103"/>
          <w:rFonts w:hint="eastAsia" w:ascii="宋体" w:hAnsi="宋体" w:eastAsia="宋体" w:cs="宋体"/>
        </w:rPr>
        <w:t>7.2.1</w:t>
      </w:r>
      <w:r>
        <w:rPr>
          <w:rFonts w:hint="eastAsia" w:ascii="宋体" w:hAnsi="宋体" w:cs="宋体"/>
          <w:szCs w:val="21"/>
        </w:rPr>
        <w:t>　全部图纸应为A4幅面，并有完整图标，采用国标单位制。图中字体不得小于3mm。</w:t>
      </w:r>
    </w:p>
    <w:p>
      <w:pPr>
        <w:spacing w:line="360" w:lineRule="auto"/>
        <w:rPr>
          <w:rFonts w:hint="eastAsia" w:ascii="宋体" w:hAnsi="宋体" w:cs="宋体"/>
          <w:szCs w:val="21"/>
        </w:rPr>
      </w:pPr>
      <w:bookmarkStart w:id="137" w:name="_Toc17495"/>
      <w:bookmarkStart w:id="138" w:name="_Toc247855656"/>
      <w:bookmarkStart w:id="139" w:name="_Toc17865"/>
      <w:r>
        <w:rPr>
          <w:rStyle w:val="103"/>
          <w:rFonts w:hint="eastAsia" w:ascii="宋体" w:hAnsi="宋体" w:eastAsia="宋体" w:cs="宋体"/>
        </w:rPr>
        <w:t>7.2.2</w:t>
      </w:r>
      <w:r>
        <w:rPr>
          <w:rFonts w:hint="eastAsia" w:ascii="宋体" w:hAnsi="宋体" w:cs="宋体"/>
          <w:szCs w:val="21"/>
        </w:rPr>
        <w:t>　提供最终修改图的电子文档</w:t>
      </w:r>
      <w:r>
        <w:rPr>
          <w:rFonts w:hint="eastAsia" w:ascii="宋体" w:hAnsi="宋体" w:cs="宋体"/>
          <w:spacing w:val="-2"/>
          <w:szCs w:val="21"/>
        </w:rPr>
        <w:t>。</w:t>
      </w:r>
    </w:p>
    <w:p>
      <w:pPr>
        <w:pStyle w:val="99"/>
        <w:topLinePunct/>
        <w:spacing w:line="360" w:lineRule="auto"/>
        <w:outlineLvl w:val="1"/>
        <w:rPr>
          <w:rFonts w:hint="eastAsia" w:ascii="宋体" w:hAnsi="宋体" w:eastAsia="宋体" w:cs="宋体"/>
        </w:rPr>
      </w:pPr>
      <w:bookmarkStart w:id="140" w:name="_Toc252534630"/>
      <w:bookmarkStart w:id="141" w:name="_Toc17928"/>
      <w:bookmarkStart w:id="142" w:name="_Toc16198"/>
      <w:bookmarkStart w:id="143" w:name="_Toc256370346"/>
      <w:r>
        <w:rPr>
          <w:rStyle w:val="103"/>
          <w:rFonts w:hint="eastAsia" w:ascii="宋体" w:hAnsi="宋体" w:eastAsia="宋体" w:cs="宋体"/>
        </w:rPr>
        <w:t>7.3</w:t>
      </w:r>
      <w:r>
        <w:rPr>
          <w:rFonts w:hint="eastAsia" w:ascii="宋体" w:hAnsi="宋体" w:eastAsia="宋体" w:cs="宋体"/>
        </w:rPr>
        <w:t xml:space="preserve">  供确认的图纸</w:t>
      </w:r>
      <w:bookmarkEnd w:id="137"/>
      <w:bookmarkEnd w:id="138"/>
      <w:bookmarkEnd w:id="139"/>
      <w:bookmarkEnd w:id="140"/>
      <w:bookmarkEnd w:id="141"/>
      <w:bookmarkEnd w:id="142"/>
      <w:bookmarkEnd w:id="143"/>
    </w:p>
    <w:p>
      <w:pPr>
        <w:spacing w:line="360" w:lineRule="auto"/>
        <w:ind w:firstLine="420" w:firstLineChars="200"/>
        <w:rPr>
          <w:rFonts w:hint="eastAsia" w:ascii="宋体" w:hAnsi="宋体" w:cs="宋体"/>
          <w:kern w:val="21"/>
          <w:szCs w:val="21"/>
        </w:rPr>
      </w:pPr>
      <w:r>
        <w:rPr>
          <w:rFonts w:hint="eastAsia" w:ascii="宋体" w:hAnsi="宋体" w:cs="宋体"/>
          <w:kern w:val="21"/>
          <w:szCs w:val="21"/>
        </w:rPr>
        <w:t>在合同签字后2周内，投标方应以快件方式提供供确认和了解的资料和图纸如下：</w:t>
      </w:r>
    </w:p>
    <w:p>
      <w:pPr>
        <w:spacing w:line="360" w:lineRule="auto"/>
        <w:ind w:firstLine="420" w:firstLineChars="200"/>
        <w:rPr>
          <w:rFonts w:hint="eastAsia" w:ascii="宋体" w:hAnsi="宋体" w:cs="宋体"/>
          <w:szCs w:val="21"/>
        </w:rPr>
      </w:pPr>
      <w:r>
        <w:rPr>
          <w:rFonts w:hint="eastAsia" w:ascii="宋体" w:hAnsi="宋体" w:cs="宋体"/>
          <w:szCs w:val="21"/>
        </w:rPr>
        <w:t>1） 设备的接线说明，以及它们的图例符号说明。</w:t>
      </w:r>
    </w:p>
    <w:p>
      <w:pPr>
        <w:spacing w:line="360" w:lineRule="auto"/>
        <w:ind w:firstLine="420" w:firstLineChars="200"/>
        <w:rPr>
          <w:rFonts w:hint="eastAsia" w:ascii="宋体" w:hAnsi="宋体" w:cs="宋体"/>
          <w:szCs w:val="21"/>
        </w:rPr>
      </w:pPr>
      <w:r>
        <w:rPr>
          <w:rFonts w:hint="eastAsia" w:ascii="宋体" w:hAnsi="宋体" w:cs="宋体"/>
          <w:szCs w:val="21"/>
        </w:rPr>
        <w:t>2） 设备安装图及图例符号说明和技术参数表。</w:t>
      </w:r>
    </w:p>
    <w:p>
      <w:pPr>
        <w:pStyle w:val="99"/>
        <w:topLinePunct/>
        <w:spacing w:line="360" w:lineRule="auto"/>
        <w:outlineLvl w:val="1"/>
        <w:rPr>
          <w:rFonts w:hint="eastAsia" w:ascii="宋体" w:hAnsi="宋体" w:eastAsia="宋体" w:cs="宋体"/>
        </w:rPr>
      </w:pPr>
      <w:bookmarkStart w:id="144" w:name="_Toc247855661"/>
      <w:bookmarkStart w:id="145" w:name="_Toc14684"/>
      <w:bookmarkStart w:id="146" w:name="_Toc256370351"/>
      <w:bookmarkStart w:id="147" w:name="_Toc28315"/>
      <w:bookmarkStart w:id="148" w:name="_Toc252534635"/>
      <w:bookmarkStart w:id="149" w:name="_Toc16778"/>
      <w:bookmarkStart w:id="150" w:name="_Toc22584"/>
      <w:bookmarkStart w:id="151" w:name="_Toc247855657"/>
      <w:bookmarkStart w:id="152" w:name="_Toc23453"/>
      <w:bookmarkStart w:id="153" w:name="_Toc28267"/>
      <w:bookmarkStart w:id="154" w:name="_Toc256370347"/>
      <w:bookmarkStart w:id="155" w:name="_Toc252534631"/>
      <w:bookmarkStart w:id="156" w:name="_Toc12848"/>
      <w:r>
        <w:rPr>
          <w:rStyle w:val="103"/>
          <w:rFonts w:hint="eastAsia" w:ascii="宋体" w:hAnsi="宋体" w:eastAsia="宋体" w:cs="宋体"/>
        </w:rPr>
        <w:t>7.4</w:t>
      </w:r>
      <w:r>
        <w:rPr>
          <w:rFonts w:hint="eastAsia" w:ascii="宋体" w:hAnsi="宋体" w:eastAsia="宋体" w:cs="宋体"/>
        </w:rPr>
        <w:t>　设计联络会议</w:t>
      </w:r>
      <w:bookmarkEnd w:id="144"/>
      <w:bookmarkEnd w:id="145"/>
      <w:bookmarkEnd w:id="146"/>
      <w:bookmarkEnd w:id="147"/>
      <w:bookmarkEnd w:id="148"/>
      <w:bookmarkEnd w:id="149"/>
      <w:bookmarkEnd w:id="150"/>
    </w:p>
    <w:p>
      <w:pPr>
        <w:spacing w:line="360" w:lineRule="auto"/>
        <w:rPr>
          <w:rFonts w:hint="eastAsia" w:ascii="宋体" w:hAnsi="宋体" w:cs="宋体"/>
          <w:kern w:val="21"/>
          <w:szCs w:val="21"/>
          <w:highlight w:val="yellow"/>
        </w:rPr>
      </w:pPr>
      <w:r>
        <w:rPr>
          <w:rStyle w:val="103"/>
          <w:rFonts w:hint="eastAsia" w:ascii="宋体" w:hAnsi="宋体" w:eastAsia="宋体" w:cs="宋体"/>
        </w:rPr>
        <w:t>7.4.1</w:t>
      </w:r>
      <w:r>
        <w:rPr>
          <w:rFonts w:hint="eastAsia" w:ascii="宋体" w:hAnsi="宋体" w:cs="宋体"/>
          <w:kern w:val="21"/>
          <w:szCs w:val="21"/>
        </w:rPr>
        <w:t>　</w:t>
      </w:r>
      <w:r>
        <w:rPr>
          <w:rFonts w:hint="eastAsia" w:ascii="宋体" w:hAnsi="宋体" w:cs="宋体"/>
          <w:szCs w:val="21"/>
        </w:rPr>
        <w:t>若有必要，使用方在收到</w:t>
      </w:r>
      <w:r>
        <w:rPr>
          <w:rFonts w:hint="eastAsia" w:ascii="宋体" w:hAnsi="宋体" w:cs="宋体"/>
          <w:kern w:val="21"/>
          <w:szCs w:val="21"/>
        </w:rPr>
        <w:t>投标方</w:t>
      </w:r>
      <w:r>
        <w:rPr>
          <w:rFonts w:hint="eastAsia" w:ascii="宋体" w:hAnsi="宋体" w:cs="宋体"/>
          <w:szCs w:val="21"/>
        </w:rPr>
        <w:t>签字的第一批文件后的2周内举行设计联络会议。</w:t>
      </w:r>
      <w:r>
        <w:rPr>
          <w:rFonts w:hint="eastAsia" w:ascii="宋体" w:hAnsi="宋体" w:cs="宋体"/>
          <w:kern w:val="21"/>
          <w:szCs w:val="21"/>
        </w:rPr>
        <w:t>设计联络会议内容如下：</w:t>
      </w:r>
    </w:p>
    <w:p>
      <w:pPr>
        <w:spacing w:line="360" w:lineRule="auto"/>
        <w:ind w:firstLine="420" w:firstLineChars="200"/>
        <w:rPr>
          <w:rFonts w:hint="eastAsia" w:ascii="宋体" w:hAnsi="宋体" w:cs="宋体"/>
          <w:szCs w:val="21"/>
        </w:rPr>
      </w:pPr>
      <w:r>
        <w:rPr>
          <w:rFonts w:hint="eastAsia" w:ascii="宋体" w:hAnsi="宋体" w:cs="宋体"/>
          <w:szCs w:val="21"/>
        </w:rPr>
        <w:t xml:space="preserve">1） </w:t>
      </w:r>
      <w:r>
        <w:rPr>
          <w:rFonts w:hint="eastAsia" w:ascii="宋体" w:hAnsi="宋体" w:cs="宋体"/>
          <w:kern w:val="21"/>
          <w:szCs w:val="21"/>
        </w:rPr>
        <w:t>投标方</w:t>
      </w:r>
      <w:r>
        <w:rPr>
          <w:rFonts w:hint="eastAsia" w:ascii="宋体" w:hAnsi="宋体" w:cs="宋体"/>
          <w:szCs w:val="21"/>
        </w:rPr>
        <w:t>应对修改后的供确认的资料和图纸进行详细的解释，并应解答使用方对这些资料和图纸所提的问题，经过共同讨论，招标方给予确认，以便</w:t>
      </w:r>
      <w:r>
        <w:rPr>
          <w:rFonts w:hint="eastAsia" w:ascii="宋体" w:hAnsi="宋体" w:cs="宋体"/>
          <w:kern w:val="21"/>
          <w:szCs w:val="21"/>
        </w:rPr>
        <w:t>投标方</w:t>
      </w:r>
      <w:r>
        <w:rPr>
          <w:rFonts w:hint="eastAsia" w:ascii="宋体" w:hAnsi="宋体" w:cs="宋体"/>
          <w:szCs w:val="21"/>
        </w:rPr>
        <w:t>绘制正式图纸提供给使用方。</w:t>
      </w:r>
    </w:p>
    <w:p>
      <w:pPr>
        <w:spacing w:line="360" w:lineRule="auto"/>
        <w:ind w:firstLine="420" w:firstLineChars="200"/>
        <w:rPr>
          <w:rFonts w:hint="eastAsia" w:ascii="宋体" w:hAnsi="宋体" w:cs="宋体"/>
          <w:szCs w:val="21"/>
        </w:rPr>
      </w:pPr>
      <w:r>
        <w:rPr>
          <w:rFonts w:hint="eastAsia" w:ascii="宋体" w:hAnsi="宋体" w:cs="宋体"/>
          <w:szCs w:val="21"/>
        </w:rPr>
        <w:t xml:space="preserve">2） </w:t>
      </w:r>
      <w:r>
        <w:rPr>
          <w:rFonts w:hint="eastAsia" w:ascii="宋体" w:hAnsi="宋体" w:cs="宋体"/>
          <w:kern w:val="21"/>
          <w:szCs w:val="21"/>
        </w:rPr>
        <w:t>投标方</w:t>
      </w:r>
      <w:r>
        <w:rPr>
          <w:rFonts w:hint="eastAsia" w:ascii="宋体" w:hAnsi="宋体" w:cs="宋体"/>
          <w:szCs w:val="21"/>
        </w:rPr>
        <w:t>应协助制定验收大纲、工程参数表。</w:t>
      </w:r>
    </w:p>
    <w:p>
      <w:pPr>
        <w:spacing w:line="360" w:lineRule="auto"/>
        <w:rPr>
          <w:rStyle w:val="103"/>
          <w:rFonts w:hint="eastAsia" w:ascii="宋体" w:hAnsi="宋体" w:eastAsia="宋体" w:cs="宋体"/>
        </w:rPr>
      </w:pPr>
      <w:r>
        <w:rPr>
          <w:rStyle w:val="103"/>
          <w:rFonts w:hint="eastAsia" w:ascii="宋体" w:hAnsi="宋体" w:eastAsia="宋体" w:cs="宋体"/>
        </w:rPr>
        <w:t>7.4.2</w:t>
      </w:r>
      <w:r>
        <w:rPr>
          <w:rFonts w:hint="eastAsia" w:ascii="宋体" w:hAnsi="宋体" w:cs="宋体"/>
          <w:kern w:val="21"/>
          <w:szCs w:val="21"/>
        </w:rPr>
        <w:t>　</w:t>
      </w:r>
      <w:r>
        <w:rPr>
          <w:rFonts w:hint="eastAsia" w:ascii="宋体" w:hAnsi="宋体" w:cs="宋体"/>
          <w:szCs w:val="21"/>
        </w:rPr>
        <w:t>会议需要签订会议纪要，该纪要将作为合同的补充部分。</w:t>
      </w:r>
    </w:p>
    <w:p>
      <w:pPr>
        <w:pStyle w:val="99"/>
        <w:topLinePunct/>
        <w:spacing w:line="360" w:lineRule="auto"/>
        <w:outlineLvl w:val="1"/>
        <w:rPr>
          <w:rFonts w:hint="eastAsia" w:ascii="宋体" w:hAnsi="宋体" w:eastAsia="宋体" w:cs="宋体"/>
        </w:rPr>
      </w:pPr>
      <w:bookmarkStart w:id="157" w:name="_Toc12047"/>
      <w:r>
        <w:rPr>
          <w:rStyle w:val="103"/>
          <w:rFonts w:hint="eastAsia" w:ascii="宋体" w:hAnsi="宋体" w:eastAsia="宋体" w:cs="宋体"/>
        </w:rPr>
        <w:t>7.5</w:t>
      </w:r>
      <w:r>
        <w:rPr>
          <w:rFonts w:hint="eastAsia" w:ascii="宋体" w:hAnsi="宋体" w:eastAsia="宋体" w:cs="宋体"/>
        </w:rPr>
        <w:t>　使用方、投标方双方设计的图纸</w:t>
      </w:r>
      <w:bookmarkEnd w:id="151"/>
      <w:bookmarkEnd w:id="152"/>
      <w:bookmarkEnd w:id="153"/>
      <w:bookmarkEnd w:id="154"/>
      <w:bookmarkEnd w:id="155"/>
      <w:bookmarkEnd w:id="156"/>
      <w:bookmarkEnd w:id="157"/>
    </w:p>
    <w:p>
      <w:pPr>
        <w:spacing w:line="360" w:lineRule="auto"/>
        <w:ind w:firstLine="420" w:firstLineChars="200"/>
        <w:rPr>
          <w:rFonts w:hint="eastAsia" w:ascii="宋体" w:hAnsi="宋体" w:cs="宋体"/>
          <w:kern w:val="21"/>
          <w:szCs w:val="21"/>
        </w:rPr>
      </w:pPr>
      <w:r>
        <w:rPr>
          <w:rFonts w:hint="eastAsia" w:ascii="宋体" w:hAnsi="宋体" w:cs="宋体"/>
          <w:kern w:val="21"/>
          <w:szCs w:val="21"/>
        </w:rPr>
        <w:t>投标方在联络会议后的2周内，应提供经过联络会议修改后的全部正式图纸及资料，供使用方使用。</w:t>
      </w:r>
    </w:p>
    <w:p>
      <w:pPr>
        <w:spacing w:line="360" w:lineRule="auto"/>
        <w:ind w:firstLine="420" w:firstLineChars="200"/>
        <w:rPr>
          <w:rFonts w:hint="eastAsia" w:ascii="宋体" w:hAnsi="宋体" w:cs="宋体"/>
          <w:kern w:val="21"/>
          <w:szCs w:val="21"/>
        </w:rPr>
      </w:pPr>
      <w:r>
        <w:rPr>
          <w:rFonts w:hint="eastAsia" w:ascii="宋体" w:hAnsi="宋体" w:cs="宋体"/>
          <w:kern w:val="21"/>
          <w:szCs w:val="21"/>
        </w:rPr>
        <w:t>经过设计联络会议修改后的全部正式图纸及资料如下：</w:t>
      </w:r>
    </w:p>
    <w:p>
      <w:pPr>
        <w:spacing w:line="360" w:lineRule="auto"/>
        <w:ind w:firstLine="420" w:firstLineChars="200"/>
        <w:rPr>
          <w:rFonts w:hint="eastAsia" w:ascii="宋体" w:hAnsi="宋体" w:cs="宋体"/>
          <w:szCs w:val="21"/>
        </w:rPr>
      </w:pPr>
      <w:r>
        <w:rPr>
          <w:rFonts w:hint="eastAsia" w:ascii="宋体" w:hAnsi="宋体" w:cs="宋体"/>
          <w:szCs w:val="21"/>
        </w:rPr>
        <w:t>1）合同设备施工时所必需的其他图纸。</w:t>
      </w:r>
    </w:p>
    <w:p>
      <w:pPr>
        <w:spacing w:line="360" w:lineRule="auto"/>
        <w:ind w:firstLine="420" w:firstLineChars="200"/>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）所有图纸的电子文档及支持软件。</w:t>
      </w:r>
    </w:p>
    <w:p>
      <w:pPr>
        <w:pStyle w:val="99"/>
        <w:topLinePunct/>
        <w:spacing w:line="360" w:lineRule="auto"/>
        <w:outlineLvl w:val="1"/>
        <w:rPr>
          <w:rFonts w:hint="eastAsia" w:ascii="宋体" w:hAnsi="宋体" w:eastAsia="宋体" w:cs="宋体"/>
        </w:rPr>
      </w:pPr>
      <w:bookmarkStart w:id="158" w:name="_Toc13323"/>
      <w:bookmarkStart w:id="159" w:name="_Toc247855658"/>
      <w:bookmarkStart w:id="160" w:name="_Toc256370348"/>
      <w:bookmarkStart w:id="161" w:name="_Toc29321"/>
      <w:bookmarkStart w:id="162" w:name="_Toc15743"/>
      <w:bookmarkStart w:id="163" w:name="_Toc12881"/>
      <w:bookmarkStart w:id="164" w:name="_Toc252534632"/>
      <w:r>
        <w:rPr>
          <w:rStyle w:val="103"/>
          <w:rFonts w:hint="eastAsia" w:ascii="宋体" w:hAnsi="宋体" w:eastAsia="宋体" w:cs="宋体"/>
        </w:rPr>
        <w:t>7.6</w:t>
      </w:r>
      <w:r>
        <w:rPr>
          <w:rFonts w:hint="eastAsia" w:ascii="宋体" w:hAnsi="宋体" w:eastAsia="宋体" w:cs="宋体"/>
        </w:rPr>
        <w:t>　其他资料和说明书</w:t>
      </w:r>
      <w:bookmarkEnd w:id="158"/>
      <w:bookmarkEnd w:id="159"/>
      <w:bookmarkEnd w:id="160"/>
      <w:bookmarkEnd w:id="161"/>
      <w:bookmarkEnd w:id="162"/>
      <w:bookmarkEnd w:id="163"/>
      <w:bookmarkEnd w:id="164"/>
    </w:p>
    <w:p>
      <w:pPr>
        <w:tabs>
          <w:tab w:val="left" w:pos="960"/>
        </w:tabs>
        <w:spacing w:line="360" w:lineRule="auto"/>
        <w:rPr>
          <w:rFonts w:hint="eastAsia" w:ascii="宋体" w:hAnsi="宋体" w:cs="宋体"/>
          <w:szCs w:val="21"/>
        </w:rPr>
      </w:pPr>
      <w:r>
        <w:rPr>
          <w:rFonts w:hint="eastAsia" w:ascii="宋体" w:hAnsi="宋体" w:cs="宋体"/>
          <w:kern w:val="21"/>
          <w:szCs w:val="21"/>
        </w:rPr>
        <w:t xml:space="preserve">    投标方</w:t>
      </w:r>
      <w:r>
        <w:rPr>
          <w:rFonts w:hint="eastAsia" w:ascii="宋体" w:hAnsi="宋体" w:cs="宋体"/>
          <w:spacing w:val="6"/>
          <w:szCs w:val="21"/>
        </w:rPr>
        <w:t>应提供给使用方装置投产前试验用的详细试验说明和技术要求。</w:t>
      </w:r>
      <w:r>
        <w:rPr>
          <w:rFonts w:hint="eastAsia" w:ascii="宋体" w:hAnsi="宋体" w:cs="宋体"/>
          <w:kern w:val="21"/>
          <w:szCs w:val="21"/>
        </w:rPr>
        <w:t>投标方</w:t>
      </w:r>
      <w:r>
        <w:rPr>
          <w:rFonts w:hint="eastAsia" w:ascii="宋体" w:hAnsi="宋体" w:cs="宋体"/>
          <w:szCs w:val="21"/>
        </w:rPr>
        <w:t>提供与供货装置一致的说明书。</w:t>
      </w:r>
    </w:p>
    <w:p>
      <w:pPr>
        <w:pStyle w:val="99"/>
        <w:topLinePunct/>
        <w:spacing w:line="360" w:lineRule="auto"/>
        <w:outlineLvl w:val="1"/>
        <w:rPr>
          <w:rFonts w:hint="eastAsia" w:ascii="宋体" w:hAnsi="宋体" w:eastAsia="宋体" w:cs="宋体"/>
        </w:rPr>
      </w:pPr>
      <w:bookmarkStart w:id="165" w:name="_Toc1371"/>
      <w:bookmarkStart w:id="166" w:name="_Toc16713"/>
      <w:bookmarkStart w:id="167" w:name="_Toc7699"/>
      <w:bookmarkStart w:id="168" w:name="_Toc247855659"/>
      <w:bookmarkStart w:id="169" w:name="_Toc13107"/>
      <w:bookmarkStart w:id="170" w:name="_Toc252534633"/>
      <w:bookmarkStart w:id="171" w:name="_Toc256370349"/>
      <w:r>
        <w:rPr>
          <w:rStyle w:val="103"/>
          <w:rFonts w:hint="eastAsia" w:ascii="宋体" w:hAnsi="宋体" w:eastAsia="宋体" w:cs="宋体"/>
        </w:rPr>
        <w:t>7.7</w:t>
      </w:r>
      <w:r>
        <w:rPr>
          <w:rFonts w:hint="eastAsia" w:ascii="宋体" w:hAnsi="宋体" w:eastAsia="宋体" w:cs="宋体"/>
        </w:rPr>
        <w:t>　投标方提供的数据</w:t>
      </w:r>
      <w:bookmarkEnd w:id="165"/>
      <w:bookmarkEnd w:id="166"/>
      <w:bookmarkEnd w:id="167"/>
      <w:bookmarkEnd w:id="168"/>
      <w:bookmarkEnd w:id="169"/>
      <w:bookmarkEnd w:id="170"/>
      <w:bookmarkEnd w:id="171"/>
    </w:p>
    <w:p>
      <w:pPr>
        <w:spacing w:line="360" w:lineRule="auto"/>
        <w:rPr>
          <w:rFonts w:hint="eastAsia" w:ascii="宋体" w:hAnsi="宋体" w:cs="宋体"/>
          <w:szCs w:val="21"/>
        </w:rPr>
      </w:pPr>
      <w:r>
        <w:rPr>
          <w:rStyle w:val="103"/>
          <w:rFonts w:hint="eastAsia" w:ascii="宋体" w:hAnsi="宋体" w:eastAsia="宋体" w:cs="宋体"/>
        </w:rPr>
        <w:t>7.7.1</w:t>
      </w:r>
      <w:r>
        <w:rPr>
          <w:rFonts w:hint="eastAsia" w:ascii="宋体" w:hAnsi="宋体" w:cs="宋体"/>
          <w:kern w:val="21"/>
          <w:szCs w:val="21"/>
        </w:rPr>
        <w:t xml:space="preserve">  投标方</w:t>
      </w:r>
      <w:r>
        <w:rPr>
          <w:rFonts w:hint="eastAsia" w:ascii="宋体" w:hAnsi="宋体" w:cs="宋体"/>
          <w:szCs w:val="21"/>
        </w:rPr>
        <w:t>应提供投标数据和信息，</w:t>
      </w:r>
      <w:r>
        <w:rPr>
          <w:rFonts w:hint="eastAsia" w:ascii="宋体" w:hAnsi="宋体" w:cs="宋体"/>
          <w:kern w:val="21"/>
          <w:szCs w:val="21"/>
        </w:rPr>
        <w:t>投标方</w:t>
      </w:r>
      <w:r>
        <w:rPr>
          <w:rFonts w:hint="eastAsia" w:ascii="宋体" w:hAnsi="宋体" w:cs="宋体"/>
          <w:szCs w:val="21"/>
        </w:rPr>
        <w:t>应提供评标所需的资料(最新版本或修订版)。</w:t>
      </w:r>
    </w:p>
    <w:p>
      <w:pPr>
        <w:spacing w:line="360" w:lineRule="auto"/>
        <w:rPr>
          <w:rFonts w:hint="eastAsia" w:ascii="宋体" w:hAnsi="宋体" w:cs="宋体"/>
          <w:color w:val="000000"/>
          <w:szCs w:val="21"/>
        </w:rPr>
      </w:pPr>
      <w:r>
        <w:rPr>
          <w:rStyle w:val="103"/>
          <w:rFonts w:hint="eastAsia" w:ascii="宋体" w:hAnsi="宋体" w:eastAsia="宋体" w:cs="宋体"/>
        </w:rPr>
        <w:t>7.7.2</w:t>
      </w:r>
      <w:r>
        <w:rPr>
          <w:rFonts w:hint="eastAsia" w:ascii="宋体" w:hAnsi="宋体" w:cs="宋体"/>
          <w:color w:val="000000"/>
          <w:kern w:val="21"/>
          <w:szCs w:val="21"/>
        </w:rPr>
        <w:t>　投标方</w:t>
      </w:r>
      <w:r>
        <w:rPr>
          <w:rFonts w:hint="eastAsia" w:ascii="宋体" w:hAnsi="宋体" w:cs="宋体"/>
          <w:color w:val="000000"/>
          <w:szCs w:val="21"/>
        </w:rPr>
        <w:t>提供的数据应能保证满足产品性能。</w:t>
      </w:r>
      <w:r>
        <w:rPr>
          <w:rFonts w:hint="eastAsia" w:ascii="宋体" w:hAnsi="宋体" w:cs="宋体"/>
          <w:color w:val="000000"/>
          <w:kern w:val="21"/>
          <w:szCs w:val="21"/>
        </w:rPr>
        <w:t>投标方</w:t>
      </w:r>
      <w:r>
        <w:rPr>
          <w:rFonts w:hint="eastAsia" w:ascii="宋体" w:hAnsi="宋体" w:cs="宋体"/>
          <w:color w:val="000000"/>
          <w:szCs w:val="21"/>
        </w:rPr>
        <w:t>应提供使用方所要求的性能信息，并对其可靠性和一致性负责。</w:t>
      </w:r>
      <w:r>
        <w:rPr>
          <w:rFonts w:hint="eastAsia" w:ascii="宋体" w:hAnsi="宋体" w:cs="宋体"/>
          <w:color w:val="000000"/>
          <w:kern w:val="21"/>
          <w:szCs w:val="21"/>
        </w:rPr>
        <w:t>投标方</w:t>
      </w:r>
      <w:r>
        <w:rPr>
          <w:rFonts w:hint="eastAsia" w:ascii="宋体" w:hAnsi="宋体" w:cs="宋体"/>
          <w:color w:val="000000"/>
          <w:szCs w:val="21"/>
        </w:rPr>
        <w:t>所提供的资料和数据将成为合同一部分。任何数据的更改都须经使用方同意。</w:t>
      </w:r>
    </w:p>
    <w:p>
      <w:pPr>
        <w:spacing w:line="360" w:lineRule="auto"/>
        <w:rPr>
          <w:rFonts w:hint="eastAsia" w:ascii="宋体" w:hAnsi="宋体" w:cs="宋体"/>
          <w:color w:val="000000"/>
          <w:szCs w:val="21"/>
        </w:rPr>
      </w:pPr>
      <w:r>
        <w:rPr>
          <w:rStyle w:val="103"/>
          <w:rFonts w:hint="eastAsia" w:ascii="宋体" w:hAnsi="宋体" w:eastAsia="宋体" w:cs="宋体"/>
          <w:color w:val="000000"/>
        </w:rPr>
        <w:t>7.7.3</w:t>
      </w:r>
      <w:r>
        <w:rPr>
          <w:rFonts w:hint="eastAsia" w:ascii="宋体" w:hAnsi="宋体" w:cs="宋体"/>
          <w:color w:val="000000"/>
          <w:kern w:val="21"/>
          <w:szCs w:val="21"/>
        </w:rPr>
        <w:t>　</w:t>
      </w:r>
      <w:r>
        <w:rPr>
          <w:rFonts w:hint="eastAsia" w:ascii="宋体" w:hAnsi="宋体" w:cs="宋体"/>
          <w:color w:val="000000"/>
          <w:szCs w:val="21"/>
        </w:rPr>
        <w:t>如使用方因设计和其他需要，要求</w:t>
      </w:r>
      <w:r>
        <w:rPr>
          <w:rFonts w:hint="eastAsia" w:ascii="宋体" w:hAnsi="宋体" w:cs="宋体"/>
          <w:color w:val="000000"/>
          <w:kern w:val="21"/>
          <w:szCs w:val="21"/>
        </w:rPr>
        <w:t>投标方</w:t>
      </w:r>
      <w:r>
        <w:rPr>
          <w:rFonts w:hint="eastAsia" w:ascii="宋体" w:hAnsi="宋体" w:cs="宋体"/>
          <w:color w:val="000000"/>
          <w:szCs w:val="21"/>
        </w:rPr>
        <w:t>提供有关技术数据时，</w:t>
      </w:r>
      <w:r>
        <w:rPr>
          <w:rFonts w:hint="eastAsia" w:ascii="宋体" w:hAnsi="宋体" w:cs="宋体"/>
          <w:color w:val="000000"/>
          <w:kern w:val="21"/>
          <w:szCs w:val="21"/>
        </w:rPr>
        <w:t>投标方</w:t>
      </w:r>
      <w:r>
        <w:rPr>
          <w:rFonts w:hint="eastAsia" w:ascii="宋体" w:hAnsi="宋体" w:cs="宋体"/>
          <w:color w:val="000000"/>
          <w:szCs w:val="21"/>
        </w:rPr>
        <w:t>应按招标方的要求提供相关资料和技术数据。</w:t>
      </w:r>
    </w:p>
    <w:p>
      <w:pPr>
        <w:spacing w:line="360" w:lineRule="auto"/>
        <w:rPr>
          <w:rFonts w:hint="eastAsia" w:ascii="宋体" w:hAnsi="宋体" w:cs="宋体"/>
          <w:color w:val="000000"/>
          <w:szCs w:val="21"/>
        </w:rPr>
      </w:pPr>
      <w:r>
        <w:rPr>
          <w:rStyle w:val="103"/>
          <w:rFonts w:hint="eastAsia" w:ascii="宋体" w:hAnsi="宋体" w:eastAsia="宋体" w:cs="宋体"/>
          <w:color w:val="000000"/>
        </w:rPr>
        <w:t>7.7.4</w:t>
      </w:r>
      <w:r>
        <w:rPr>
          <w:rFonts w:hint="eastAsia" w:ascii="宋体" w:hAnsi="宋体" w:cs="宋体"/>
          <w:color w:val="000000"/>
          <w:kern w:val="21"/>
          <w:szCs w:val="21"/>
        </w:rPr>
        <w:t>　投标方</w:t>
      </w:r>
      <w:r>
        <w:rPr>
          <w:rFonts w:hint="eastAsia" w:ascii="宋体" w:hAnsi="宋体" w:cs="宋体"/>
          <w:color w:val="000000"/>
          <w:szCs w:val="21"/>
        </w:rPr>
        <w:t>应提供产品质量合格证书。</w:t>
      </w:r>
    </w:p>
    <w:p>
      <w:pPr>
        <w:pStyle w:val="99"/>
        <w:topLinePunct/>
        <w:spacing w:line="360" w:lineRule="auto"/>
        <w:outlineLvl w:val="1"/>
        <w:rPr>
          <w:rFonts w:hint="eastAsia" w:ascii="宋体" w:hAnsi="宋体" w:eastAsia="宋体" w:cs="宋体"/>
          <w:color w:val="000000"/>
        </w:rPr>
      </w:pPr>
      <w:bookmarkStart w:id="172" w:name="_Toc5533"/>
      <w:bookmarkStart w:id="173" w:name="_Toc18163"/>
      <w:bookmarkStart w:id="174" w:name="_Toc296962412"/>
      <w:bookmarkStart w:id="175" w:name="_Toc296359231"/>
      <w:r>
        <w:rPr>
          <w:rStyle w:val="103"/>
          <w:rFonts w:hint="eastAsia" w:ascii="宋体" w:hAnsi="宋体" w:eastAsia="宋体" w:cs="宋体"/>
          <w:color w:val="000000"/>
        </w:rPr>
        <w:t xml:space="preserve">7.8  </w:t>
      </w:r>
      <w:r>
        <w:rPr>
          <w:rFonts w:hint="eastAsia" w:ascii="宋体" w:hAnsi="宋体" w:eastAsia="宋体" w:cs="宋体"/>
          <w:color w:val="000000"/>
        </w:rPr>
        <w:t>监造</w:t>
      </w:r>
      <w:bookmarkEnd w:id="172"/>
      <w:bookmarkEnd w:id="173"/>
      <w:bookmarkEnd w:id="174"/>
      <w:bookmarkEnd w:id="175"/>
    </w:p>
    <w:p>
      <w:pPr>
        <w:spacing w:line="360" w:lineRule="auto"/>
        <w:rPr>
          <w:rFonts w:hint="eastAsia" w:ascii="宋体" w:hAnsi="宋体" w:cs="宋体"/>
          <w:color w:val="000000"/>
          <w:szCs w:val="21"/>
        </w:rPr>
      </w:pPr>
      <w:r>
        <w:rPr>
          <w:rStyle w:val="103"/>
          <w:rFonts w:hint="eastAsia" w:ascii="宋体" w:hAnsi="宋体" w:eastAsia="宋体" w:cs="宋体"/>
          <w:color w:val="000000"/>
        </w:rPr>
        <w:t xml:space="preserve">7.8.1 </w:t>
      </w:r>
      <w:r>
        <w:rPr>
          <w:rFonts w:hint="eastAsia" w:ascii="宋体" w:hAnsi="宋体" w:cs="宋体"/>
          <w:color w:val="000000"/>
          <w:szCs w:val="21"/>
        </w:rPr>
        <w:t xml:space="preserve"> 若有必要，投标方必须在签订合同后10天之内以书面形式提供设备制造进度表。按照DL/T586《</w:t>
      </w:r>
      <w:r>
        <w:rPr>
          <w:rFonts w:hint="eastAsia" w:ascii="宋体" w:hAnsi="宋体" w:cs="宋体"/>
          <w:color w:val="000000"/>
        </w:rPr>
        <w:t>电力设备监造技术导则</w:t>
      </w:r>
      <w:r>
        <w:rPr>
          <w:rFonts w:hint="eastAsia" w:ascii="宋体" w:hAnsi="宋体" w:cs="宋体"/>
          <w:color w:val="000000"/>
          <w:szCs w:val="21"/>
        </w:rPr>
        <w:t>》的要求，招标方可随时进厂监造。监造和检验人员有权了解生产过程、查询质量记录、参加各种试验等。</w:t>
      </w:r>
    </w:p>
    <w:p>
      <w:pPr>
        <w:spacing w:line="360" w:lineRule="auto"/>
        <w:rPr>
          <w:rFonts w:hint="eastAsia" w:ascii="宋体" w:hAnsi="宋体" w:cs="宋体"/>
          <w:color w:val="000000"/>
          <w:szCs w:val="21"/>
        </w:rPr>
      </w:pPr>
      <w:r>
        <w:rPr>
          <w:rStyle w:val="103"/>
          <w:rFonts w:hint="eastAsia" w:ascii="宋体" w:hAnsi="宋体" w:eastAsia="宋体" w:cs="宋体"/>
          <w:color w:val="000000"/>
        </w:rPr>
        <w:t xml:space="preserve">7.8.2  </w:t>
      </w:r>
      <w:r>
        <w:rPr>
          <w:rFonts w:hint="eastAsia" w:ascii="宋体" w:hAnsi="宋体" w:cs="宋体"/>
          <w:color w:val="000000"/>
          <w:szCs w:val="21"/>
        </w:rPr>
        <w:t>监造范围包括设备的设计、加工、制造、储运、材料采购、组装和试验等重要过程，关键部件的质量控制，进行见证、检验和审核。</w:t>
      </w:r>
    </w:p>
    <w:p>
      <w:pPr>
        <w:spacing w:line="360" w:lineRule="auto"/>
        <w:rPr>
          <w:rFonts w:hint="eastAsia" w:ascii="宋体" w:hAnsi="宋体" w:cs="宋体"/>
          <w:color w:val="000000"/>
          <w:szCs w:val="21"/>
        </w:rPr>
      </w:pPr>
      <w:r>
        <w:rPr>
          <w:rStyle w:val="103"/>
          <w:rFonts w:hint="eastAsia" w:ascii="宋体" w:hAnsi="宋体" w:eastAsia="宋体" w:cs="宋体"/>
          <w:color w:val="000000"/>
        </w:rPr>
        <w:t xml:space="preserve">7.8.3 </w:t>
      </w:r>
      <w:r>
        <w:rPr>
          <w:rFonts w:hint="eastAsia" w:ascii="宋体" w:hAnsi="宋体" w:cs="宋体"/>
          <w:color w:val="000000"/>
          <w:szCs w:val="21"/>
        </w:rPr>
        <w:t xml:space="preserve"> 招标方的工厂监造和检验工作，不减少投标方对产品的质量责任，监造和检验人员不签署任何质量证明。</w:t>
      </w:r>
    </w:p>
    <w:p>
      <w:pPr>
        <w:spacing w:line="360" w:lineRule="auto"/>
        <w:rPr>
          <w:rFonts w:hint="eastAsia" w:ascii="宋体" w:hAnsi="宋体" w:cs="宋体"/>
          <w:color w:val="000000"/>
          <w:szCs w:val="21"/>
        </w:rPr>
      </w:pPr>
      <w:r>
        <w:rPr>
          <w:rStyle w:val="103"/>
          <w:rFonts w:hint="eastAsia" w:ascii="宋体" w:hAnsi="宋体" w:eastAsia="宋体" w:cs="宋体"/>
          <w:color w:val="000000"/>
        </w:rPr>
        <w:t xml:space="preserve">7.8.4  </w:t>
      </w:r>
      <w:r>
        <w:rPr>
          <w:rFonts w:hint="eastAsia" w:ascii="宋体" w:hAnsi="宋体" w:cs="宋体"/>
          <w:color w:val="000000"/>
          <w:szCs w:val="21"/>
        </w:rPr>
        <w:t>若有必要，投标方应在出厂前至少提前5个工作日书面通知招标方进行出厂试验监督。</w:t>
      </w:r>
    </w:p>
    <w:p>
      <w:pPr>
        <w:pStyle w:val="145"/>
        <w:topLinePunct/>
        <w:spacing w:line="360" w:lineRule="auto"/>
        <w:outlineLvl w:val="0"/>
        <w:rPr>
          <w:rFonts w:hint="eastAsia" w:ascii="宋体" w:hAnsi="宋体" w:eastAsia="宋体" w:cs="宋体"/>
          <w:b/>
          <w:bCs/>
          <w:snapToGrid w:val="0"/>
          <w:color w:val="000000"/>
          <w:kern w:val="0"/>
        </w:rPr>
      </w:pPr>
      <w:bookmarkStart w:id="176" w:name="_Toc13779"/>
      <w:bookmarkStart w:id="177" w:name="_Toc24437"/>
      <w:bookmarkStart w:id="178" w:name="_Toc247855662"/>
      <w:bookmarkStart w:id="179" w:name="_Toc256370352"/>
      <w:bookmarkStart w:id="180" w:name="_Toc29342"/>
      <w:bookmarkStart w:id="181" w:name="_Toc252534636"/>
      <w:bookmarkStart w:id="182" w:name="_Toc30562"/>
      <w:r>
        <w:rPr>
          <w:rFonts w:hint="eastAsia" w:ascii="宋体" w:hAnsi="宋体" w:eastAsia="宋体" w:cs="宋体"/>
          <w:b/>
          <w:bCs/>
          <w:snapToGrid w:val="0"/>
          <w:color w:val="000000"/>
          <w:kern w:val="0"/>
        </w:rPr>
        <w:t>8 现场验收</w:t>
      </w:r>
      <w:bookmarkEnd w:id="176"/>
      <w:bookmarkEnd w:id="177"/>
      <w:bookmarkEnd w:id="178"/>
      <w:bookmarkEnd w:id="179"/>
      <w:bookmarkEnd w:id="180"/>
      <w:bookmarkEnd w:id="181"/>
      <w:bookmarkEnd w:id="182"/>
    </w:p>
    <w:p>
      <w:pPr>
        <w:spacing w:line="360" w:lineRule="auto"/>
        <w:ind w:firstLine="420" w:firstLineChars="200"/>
        <w:rPr>
          <w:rFonts w:hint="eastAsia" w:ascii="宋体" w:hAnsi="宋体" w:cs="宋体"/>
          <w:color w:val="000000"/>
          <w:kern w:val="21"/>
          <w:szCs w:val="21"/>
        </w:rPr>
      </w:pPr>
      <w:r>
        <w:rPr>
          <w:rFonts w:hint="eastAsia" w:ascii="宋体" w:hAnsi="宋体" w:cs="宋体"/>
          <w:color w:val="000000"/>
          <w:kern w:val="21"/>
          <w:szCs w:val="21"/>
        </w:rPr>
        <w:t>现场验收应满足现场相关规范要求。</w:t>
      </w:r>
    </w:p>
    <w:p>
      <w:pPr>
        <w:pStyle w:val="145"/>
        <w:topLinePunct/>
        <w:spacing w:line="360" w:lineRule="auto"/>
        <w:outlineLvl w:val="0"/>
        <w:rPr>
          <w:rFonts w:hint="eastAsia" w:ascii="宋体" w:hAnsi="宋体" w:eastAsia="宋体" w:cs="宋体"/>
          <w:b/>
          <w:bCs/>
          <w:snapToGrid w:val="0"/>
          <w:color w:val="000000"/>
          <w:kern w:val="0"/>
        </w:rPr>
      </w:pPr>
      <w:bookmarkStart w:id="183" w:name="_Toc29844"/>
      <w:r>
        <w:rPr>
          <w:rFonts w:hint="eastAsia" w:ascii="宋体" w:hAnsi="宋体" w:eastAsia="宋体" w:cs="宋体"/>
          <w:b/>
          <w:bCs/>
          <w:snapToGrid w:val="0"/>
          <w:color w:val="000000"/>
          <w:kern w:val="0"/>
        </w:rPr>
        <w:t>9 安装调试</w:t>
      </w:r>
      <w:bookmarkEnd w:id="183"/>
    </w:p>
    <w:p>
      <w:pPr>
        <w:spacing w:line="360" w:lineRule="auto"/>
        <w:ind w:firstLine="420" w:firstLineChars="200"/>
        <w:rPr>
          <w:rFonts w:hint="eastAsia" w:ascii="宋体" w:hAnsi="宋体" w:cs="宋体"/>
          <w:color w:val="000000"/>
          <w:kern w:val="21"/>
          <w:szCs w:val="21"/>
        </w:rPr>
      </w:pPr>
      <w:r>
        <w:rPr>
          <w:rFonts w:hint="eastAsia" w:ascii="宋体" w:hAnsi="宋体" w:cs="宋体"/>
          <w:color w:val="000000"/>
          <w:kern w:val="21"/>
          <w:szCs w:val="21"/>
        </w:rPr>
        <w:t>现场安装和试验由招标方在投标方的技术指导下完成, 投标方协助招标方按标准检查安装质量, 处理调试投运过程中出现的问题，提供备品、备件，做好安装调试技术服务工作。投标方应选派有经验的技术人员，对安装和运行人员进行免费培训。</w:t>
      </w:r>
    </w:p>
    <w:p>
      <w:pPr>
        <w:pStyle w:val="145"/>
        <w:topLinePunct/>
        <w:spacing w:line="360" w:lineRule="auto"/>
        <w:outlineLvl w:val="0"/>
        <w:rPr>
          <w:rFonts w:hint="eastAsia" w:ascii="宋体" w:hAnsi="宋体" w:eastAsia="宋体" w:cs="宋体"/>
          <w:b/>
          <w:bCs/>
          <w:snapToGrid w:val="0"/>
          <w:color w:val="000000"/>
          <w:kern w:val="0"/>
        </w:rPr>
      </w:pPr>
      <w:bookmarkStart w:id="184" w:name="_Toc8768"/>
      <w:bookmarkStart w:id="185" w:name="_Toc247855663"/>
      <w:bookmarkStart w:id="186" w:name="_Toc28406"/>
      <w:bookmarkStart w:id="187" w:name="_Toc252534637"/>
      <w:bookmarkStart w:id="188" w:name="_Toc20524"/>
      <w:bookmarkStart w:id="189" w:name="_Toc32007"/>
      <w:bookmarkStart w:id="190" w:name="_Toc256370353"/>
      <w:r>
        <w:rPr>
          <w:rFonts w:hint="eastAsia" w:ascii="宋体" w:hAnsi="宋体" w:eastAsia="宋体" w:cs="宋体"/>
          <w:b/>
          <w:bCs/>
          <w:snapToGrid w:val="0"/>
          <w:color w:val="000000"/>
          <w:kern w:val="0"/>
        </w:rPr>
        <w:t>10　质量保证</w:t>
      </w:r>
      <w:bookmarkEnd w:id="129"/>
      <w:bookmarkEnd w:id="184"/>
      <w:bookmarkEnd w:id="185"/>
      <w:bookmarkEnd w:id="186"/>
      <w:bookmarkEnd w:id="187"/>
      <w:bookmarkEnd w:id="188"/>
      <w:bookmarkEnd w:id="189"/>
      <w:bookmarkEnd w:id="190"/>
    </w:p>
    <w:p>
      <w:pPr>
        <w:spacing w:line="360" w:lineRule="auto"/>
        <w:rPr>
          <w:rFonts w:hint="eastAsia" w:ascii="宋体" w:hAnsi="宋体" w:cs="宋体"/>
          <w:color w:val="000000"/>
          <w:szCs w:val="21"/>
        </w:rPr>
      </w:pPr>
      <w:r>
        <w:rPr>
          <w:rStyle w:val="103"/>
          <w:rFonts w:hint="eastAsia" w:ascii="宋体" w:hAnsi="宋体" w:eastAsia="宋体" w:cs="宋体"/>
          <w:color w:val="000000"/>
        </w:rPr>
        <w:t>10.1　</w:t>
      </w:r>
      <w:r>
        <w:rPr>
          <w:rFonts w:hint="eastAsia" w:ascii="宋体" w:hAnsi="宋体" w:cs="宋体"/>
          <w:color w:val="000000"/>
          <w:kern w:val="21"/>
          <w:szCs w:val="21"/>
        </w:rPr>
        <w:t>投标方</w:t>
      </w:r>
      <w:r>
        <w:rPr>
          <w:rFonts w:hint="eastAsia" w:ascii="宋体" w:hAnsi="宋体" w:cs="宋体"/>
          <w:color w:val="000000"/>
          <w:szCs w:val="21"/>
        </w:rPr>
        <w:t>应保证制造过程中的所有工艺、材料、试验等(包括卖方的外购件在内)均应符合本规范的规定。若使用方根据运行经验指定</w:t>
      </w:r>
      <w:r>
        <w:rPr>
          <w:rFonts w:hint="eastAsia" w:ascii="宋体" w:hAnsi="宋体" w:cs="宋体"/>
          <w:color w:val="000000"/>
          <w:kern w:val="21"/>
          <w:szCs w:val="21"/>
        </w:rPr>
        <w:t>投标方</w:t>
      </w:r>
      <w:r>
        <w:rPr>
          <w:rFonts w:hint="eastAsia" w:ascii="宋体" w:hAnsi="宋体" w:cs="宋体"/>
          <w:color w:val="000000"/>
          <w:szCs w:val="21"/>
        </w:rPr>
        <w:t>提供某种外购零部件，</w:t>
      </w:r>
      <w:r>
        <w:rPr>
          <w:rFonts w:hint="eastAsia" w:ascii="宋体" w:hAnsi="宋体" w:cs="宋体"/>
          <w:color w:val="000000"/>
          <w:kern w:val="21"/>
          <w:szCs w:val="21"/>
        </w:rPr>
        <w:t>投标方</w:t>
      </w:r>
      <w:r>
        <w:rPr>
          <w:rFonts w:hint="eastAsia" w:ascii="宋体" w:hAnsi="宋体" w:cs="宋体"/>
          <w:color w:val="000000"/>
          <w:szCs w:val="21"/>
        </w:rPr>
        <w:t>应积极配合。</w:t>
      </w:r>
      <w:r>
        <w:rPr>
          <w:rFonts w:hint="eastAsia" w:ascii="宋体" w:hAnsi="宋体" w:cs="宋体"/>
          <w:color w:val="000000"/>
          <w:kern w:val="21"/>
          <w:szCs w:val="21"/>
        </w:rPr>
        <w:t>投标方</w:t>
      </w:r>
      <w:r>
        <w:rPr>
          <w:rFonts w:hint="eastAsia" w:ascii="宋体" w:hAnsi="宋体" w:cs="宋体"/>
          <w:color w:val="000000"/>
          <w:szCs w:val="21"/>
        </w:rPr>
        <w:t>对所购配套部件设备质量负责，采购中应进行严格的质量检验，交货时必须向招标方提供其产品质量合格证书及有关安装使用等技术文件资料。</w:t>
      </w:r>
    </w:p>
    <w:p>
      <w:pPr>
        <w:spacing w:line="360" w:lineRule="auto"/>
        <w:rPr>
          <w:rFonts w:hint="eastAsia" w:ascii="宋体" w:hAnsi="宋体" w:cs="宋体"/>
          <w:color w:val="000000"/>
          <w:szCs w:val="21"/>
        </w:rPr>
      </w:pPr>
      <w:r>
        <w:rPr>
          <w:rStyle w:val="103"/>
          <w:rFonts w:hint="eastAsia" w:ascii="宋体" w:hAnsi="宋体" w:eastAsia="宋体" w:cs="宋体"/>
          <w:color w:val="000000"/>
        </w:rPr>
        <w:t>10.2　</w:t>
      </w:r>
      <w:r>
        <w:rPr>
          <w:rFonts w:hint="eastAsia" w:ascii="宋体" w:hAnsi="宋体" w:cs="宋体"/>
          <w:color w:val="000000"/>
          <w:szCs w:val="21"/>
        </w:rPr>
        <w:t>假若</w:t>
      </w:r>
      <w:r>
        <w:rPr>
          <w:rFonts w:hint="eastAsia" w:ascii="宋体" w:hAnsi="宋体" w:cs="宋体"/>
          <w:color w:val="000000"/>
          <w:kern w:val="21"/>
          <w:szCs w:val="21"/>
        </w:rPr>
        <w:t>投标方</w:t>
      </w:r>
      <w:r>
        <w:rPr>
          <w:rFonts w:hint="eastAsia" w:ascii="宋体" w:hAnsi="宋体" w:cs="宋体"/>
          <w:color w:val="000000"/>
          <w:szCs w:val="21"/>
        </w:rPr>
        <w:t>有更优越或更为经济的设计，足以使</w:t>
      </w:r>
      <w:r>
        <w:rPr>
          <w:rFonts w:hint="eastAsia" w:ascii="宋体" w:hAnsi="宋体" w:cs="宋体"/>
          <w:color w:val="000000"/>
          <w:kern w:val="21"/>
          <w:szCs w:val="21"/>
        </w:rPr>
        <w:t>投标方</w:t>
      </w:r>
      <w:r>
        <w:rPr>
          <w:rFonts w:hint="eastAsia" w:ascii="宋体" w:hAnsi="宋体" w:cs="宋体"/>
          <w:color w:val="000000"/>
          <w:szCs w:val="21"/>
        </w:rPr>
        <w:t>的产品更为安全、可靠、灵活、适应时，</w:t>
      </w:r>
      <w:r>
        <w:rPr>
          <w:rFonts w:hint="eastAsia" w:ascii="宋体" w:hAnsi="宋体" w:cs="宋体"/>
          <w:color w:val="000000"/>
          <w:kern w:val="21"/>
          <w:szCs w:val="21"/>
        </w:rPr>
        <w:t>投标方</w:t>
      </w:r>
      <w:r>
        <w:rPr>
          <w:rFonts w:hint="eastAsia" w:ascii="宋体" w:hAnsi="宋体" w:cs="宋体"/>
          <w:color w:val="000000"/>
          <w:szCs w:val="21"/>
        </w:rPr>
        <w:t>可提出并经使用方的认可。</w:t>
      </w:r>
    </w:p>
    <w:p>
      <w:pPr>
        <w:spacing w:line="360" w:lineRule="auto"/>
        <w:rPr>
          <w:rFonts w:hint="eastAsia" w:ascii="宋体" w:hAnsi="宋体" w:cs="宋体"/>
          <w:color w:val="000000"/>
          <w:szCs w:val="21"/>
        </w:rPr>
      </w:pPr>
      <w:r>
        <w:rPr>
          <w:rStyle w:val="103"/>
          <w:rFonts w:hint="eastAsia" w:ascii="宋体" w:hAnsi="宋体" w:eastAsia="宋体" w:cs="宋体"/>
          <w:color w:val="000000"/>
        </w:rPr>
        <w:t>10.3</w:t>
      </w:r>
      <w:r>
        <w:rPr>
          <w:rFonts w:hint="eastAsia" w:ascii="宋体" w:hAnsi="宋体" w:cs="宋体"/>
          <w:color w:val="000000"/>
          <w:kern w:val="21"/>
          <w:szCs w:val="21"/>
        </w:rPr>
        <w:t>　</w:t>
      </w:r>
      <w:r>
        <w:rPr>
          <w:rFonts w:hint="eastAsia" w:ascii="宋体" w:hAnsi="宋体" w:cs="宋体"/>
          <w:color w:val="000000"/>
          <w:szCs w:val="21"/>
        </w:rPr>
        <w:t>双方签订合同后，</w:t>
      </w:r>
      <w:r>
        <w:rPr>
          <w:rFonts w:hint="eastAsia" w:ascii="宋体" w:hAnsi="宋体" w:cs="宋体"/>
          <w:color w:val="000000"/>
          <w:kern w:val="21"/>
          <w:szCs w:val="21"/>
        </w:rPr>
        <w:t>投标方</w:t>
      </w:r>
      <w:r>
        <w:rPr>
          <w:rFonts w:hint="eastAsia" w:ascii="宋体" w:hAnsi="宋体" w:cs="宋体"/>
          <w:color w:val="000000"/>
          <w:szCs w:val="21"/>
        </w:rPr>
        <w:t>应按工程设计及施工进度分批提交技术文件和图纸。必要时，双方尚需进行技术联络，以讨论合同范围内的有关技术问题。</w:t>
      </w:r>
    </w:p>
    <w:p>
      <w:pPr>
        <w:spacing w:line="360" w:lineRule="auto"/>
        <w:rPr>
          <w:rFonts w:hint="eastAsia" w:ascii="宋体" w:hAnsi="宋体" w:cs="宋体"/>
          <w:color w:val="000000"/>
          <w:szCs w:val="21"/>
        </w:rPr>
      </w:pPr>
      <w:r>
        <w:rPr>
          <w:rStyle w:val="103"/>
          <w:rFonts w:hint="eastAsia" w:ascii="宋体" w:hAnsi="宋体" w:eastAsia="宋体" w:cs="宋体"/>
          <w:color w:val="000000"/>
        </w:rPr>
        <w:t>10.4　</w:t>
      </w:r>
      <w:r>
        <w:rPr>
          <w:rFonts w:hint="eastAsia" w:ascii="宋体" w:hAnsi="宋体" w:cs="宋体"/>
          <w:color w:val="000000"/>
          <w:kern w:val="21"/>
          <w:szCs w:val="21"/>
        </w:rPr>
        <w:t>投标方</w:t>
      </w:r>
      <w:r>
        <w:rPr>
          <w:rFonts w:hint="eastAsia" w:ascii="宋体" w:hAnsi="宋体" w:cs="宋体"/>
          <w:color w:val="000000"/>
          <w:szCs w:val="21"/>
        </w:rPr>
        <w:t>应保证所提供的设备为由最适宜的原材料并采用先进工艺制成，且未经使用过的全新产品；保证产品的质量、规格和性能与投标文件所述一致。</w:t>
      </w:r>
    </w:p>
    <w:p>
      <w:pPr>
        <w:spacing w:line="360" w:lineRule="auto"/>
        <w:rPr>
          <w:rFonts w:hint="eastAsia" w:ascii="宋体" w:hAnsi="宋体" w:cs="宋体"/>
          <w:color w:val="000000"/>
          <w:szCs w:val="21"/>
        </w:rPr>
      </w:pPr>
      <w:r>
        <w:rPr>
          <w:rStyle w:val="103"/>
          <w:rFonts w:hint="eastAsia" w:ascii="宋体" w:hAnsi="宋体" w:eastAsia="宋体" w:cs="宋体"/>
          <w:color w:val="000000"/>
        </w:rPr>
        <w:t>10.5　</w:t>
      </w:r>
      <w:r>
        <w:rPr>
          <w:rFonts w:hint="eastAsia" w:ascii="宋体" w:hAnsi="宋体" w:cs="宋体"/>
          <w:color w:val="000000"/>
          <w:kern w:val="21"/>
          <w:szCs w:val="21"/>
        </w:rPr>
        <w:t>投标方</w:t>
      </w:r>
      <w:r>
        <w:rPr>
          <w:rFonts w:hint="eastAsia" w:ascii="宋体" w:hAnsi="宋体" w:cs="宋体"/>
          <w:color w:val="000000"/>
          <w:szCs w:val="21"/>
        </w:rPr>
        <w:t>保证所提供的设备在各个方面符合招标文件规定的质量、规格和性能。</w:t>
      </w:r>
    </w:p>
    <w:p>
      <w:pPr>
        <w:spacing w:line="360" w:lineRule="auto"/>
        <w:rPr>
          <w:rFonts w:hint="eastAsia" w:ascii="宋体" w:hAnsi="宋体" w:cs="宋体"/>
          <w:color w:val="000000"/>
          <w:spacing w:val="-2"/>
          <w:szCs w:val="21"/>
        </w:rPr>
      </w:pPr>
      <w:r>
        <w:rPr>
          <w:rStyle w:val="103"/>
          <w:rFonts w:hint="eastAsia" w:ascii="宋体" w:hAnsi="宋体" w:eastAsia="宋体" w:cs="宋体"/>
          <w:color w:val="000000"/>
        </w:rPr>
        <w:t xml:space="preserve">10.6  </w:t>
      </w:r>
      <w:r>
        <w:rPr>
          <w:rFonts w:hint="eastAsia" w:ascii="宋体" w:hAnsi="宋体" w:cs="宋体"/>
          <w:color w:val="000000"/>
          <w:spacing w:val="-2"/>
          <w:szCs w:val="21"/>
        </w:rPr>
        <w:t>投标方所供产品必须满足作为一个完整产品所能满足的全部要求，产品设计寿命不小于10年。</w:t>
      </w:r>
    </w:p>
    <w:p>
      <w:pPr>
        <w:spacing w:line="360" w:lineRule="auto"/>
        <w:rPr>
          <w:rFonts w:hint="eastAsia" w:ascii="宋体" w:hAnsi="宋体" w:cs="宋体"/>
          <w:color w:val="000000"/>
          <w:szCs w:val="21"/>
        </w:rPr>
      </w:pPr>
      <w:r>
        <w:rPr>
          <w:rStyle w:val="103"/>
          <w:rFonts w:hint="eastAsia" w:ascii="宋体" w:hAnsi="宋体" w:eastAsia="宋体" w:cs="宋体"/>
          <w:color w:val="000000"/>
        </w:rPr>
        <w:t xml:space="preserve">10.7  </w:t>
      </w:r>
      <w:r>
        <w:rPr>
          <w:rFonts w:hint="eastAsia" w:ascii="宋体" w:hAnsi="宋体" w:cs="宋体"/>
          <w:color w:val="000000"/>
          <w:spacing w:val="-2"/>
          <w:szCs w:val="21"/>
        </w:rPr>
        <w:t>投标方应对其整组设备在到货后提供不少于三年的“三包”质量保证，</w:t>
      </w:r>
      <w:r>
        <w:rPr>
          <w:rFonts w:hint="eastAsia" w:ascii="宋体" w:hAnsi="宋体" w:cs="宋体"/>
          <w:color w:val="000000"/>
          <w:szCs w:val="21"/>
        </w:rPr>
        <w:t>质保期以合同商务部分为准。</w:t>
      </w:r>
    </w:p>
    <w:p>
      <w:pPr>
        <w:pStyle w:val="145"/>
        <w:topLinePunct/>
        <w:spacing w:line="360" w:lineRule="auto"/>
        <w:outlineLvl w:val="0"/>
        <w:rPr>
          <w:rFonts w:hint="eastAsia" w:ascii="宋体" w:hAnsi="宋体" w:eastAsia="宋体" w:cs="宋体"/>
          <w:b/>
          <w:bCs/>
          <w:snapToGrid w:val="0"/>
          <w:color w:val="000000"/>
          <w:kern w:val="0"/>
        </w:rPr>
      </w:pPr>
      <w:bookmarkStart w:id="191" w:name="_Toc15795"/>
      <w:bookmarkStart w:id="192" w:name="_Toc18866"/>
      <w:bookmarkStart w:id="193" w:name="_Toc252534640"/>
      <w:bookmarkStart w:id="194" w:name="_Toc256370356"/>
      <w:bookmarkStart w:id="195" w:name="_Toc247855666"/>
      <w:bookmarkStart w:id="196" w:name="_Toc27622"/>
      <w:bookmarkStart w:id="197" w:name="_Toc178439789"/>
      <w:bookmarkStart w:id="198" w:name="_Toc23921"/>
      <w:r>
        <w:rPr>
          <w:rFonts w:hint="eastAsia" w:ascii="宋体" w:hAnsi="宋体" w:eastAsia="宋体" w:cs="宋体"/>
          <w:b/>
          <w:bCs/>
          <w:snapToGrid w:val="0"/>
          <w:color w:val="000000"/>
          <w:kern w:val="0"/>
        </w:rPr>
        <w:t>11  售后服务</w:t>
      </w:r>
      <w:bookmarkEnd w:id="191"/>
      <w:bookmarkEnd w:id="192"/>
      <w:bookmarkEnd w:id="193"/>
      <w:bookmarkEnd w:id="194"/>
      <w:bookmarkEnd w:id="195"/>
      <w:bookmarkEnd w:id="196"/>
      <w:bookmarkEnd w:id="197"/>
      <w:bookmarkEnd w:id="198"/>
    </w:p>
    <w:p>
      <w:pPr>
        <w:spacing w:line="360" w:lineRule="auto"/>
        <w:rPr>
          <w:rFonts w:hint="eastAsia" w:ascii="宋体" w:hAnsi="宋体" w:cs="宋体"/>
          <w:color w:val="000000"/>
          <w:szCs w:val="21"/>
        </w:rPr>
      </w:pPr>
      <w:r>
        <w:rPr>
          <w:rFonts w:hint="eastAsia" w:ascii="宋体" w:hAnsi="宋体" w:cs="宋体"/>
          <w:color w:val="000000"/>
          <w:szCs w:val="21"/>
        </w:rPr>
        <w:t>11.1现场投运前和试运行中发现的设备缺陷和元件损坏,</w:t>
      </w:r>
      <w:r>
        <w:rPr>
          <w:rFonts w:hint="eastAsia" w:ascii="宋体" w:hAnsi="宋体" w:cs="宋体"/>
          <w:color w:val="000000"/>
          <w:kern w:val="21"/>
          <w:szCs w:val="21"/>
        </w:rPr>
        <w:t xml:space="preserve"> 投标方</w:t>
      </w:r>
      <w:r>
        <w:rPr>
          <w:rFonts w:hint="eastAsia" w:ascii="宋体" w:hAnsi="宋体" w:cs="宋体"/>
          <w:color w:val="000000"/>
          <w:szCs w:val="21"/>
        </w:rPr>
        <w:t>应及时无偿修理或更换，直至符合规范要求。</w:t>
      </w:r>
      <w:bookmarkEnd w:id="14"/>
      <w:bookmarkEnd w:id="15"/>
      <w:bookmarkEnd w:id="16"/>
      <w:bookmarkEnd w:id="17"/>
      <w:bookmarkEnd w:id="18"/>
      <w:bookmarkEnd w:id="19"/>
    </w:p>
    <w:p>
      <w:pPr>
        <w:spacing w:line="360" w:lineRule="auto"/>
        <w:rPr>
          <w:rFonts w:hint="eastAsia" w:ascii="宋体" w:hAnsi="宋体" w:cs="宋体"/>
          <w:color w:val="000000"/>
          <w:spacing w:val="-2"/>
          <w:szCs w:val="21"/>
        </w:rPr>
      </w:pPr>
      <w:r>
        <w:rPr>
          <w:rFonts w:hint="eastAsia" w:ascii="宋体" w:hAnsi="宋体" w:cs="宋体"/>
          <w:color w:val="000000"/>
          <w:szCs w:val="21"/>
        </w:rPr>
        <w:t>11.2</w:t>
      </w:r>
      <w:r>
        <w:rPr>
          <w:rFonts w:hint="eastAsia" w:ascii="宋体" w:hAnsi="宋体" w:cs="宋体"/>
          <w:color w:val="000000"/>
          <w:spacing w:val="-2"/>
          <w:szCs w:val="21"/>
        </w:rPr>
        <w:t>质保</w:t>
      </w:r>
      <w:r>
        <w:rPr>
          <w:rFonts w:hint="eastAsia" w:ascii="宋体" w:hAnsi="宋体" w:cs="宋体"/>
          <w:color w:val="000000"/>
          <w:szCs w:val="21"/>
        </w:rPr>
        <w:t>期内产品出现不符合功能要求和技术指标要求，投标方应负责维修或更换。质保期后发生缺陷、异常等问题，投标方应提供维修服务。</w:t>
      </w:r>
    </w:p>
    <w:p>
      <w:pPr>
        <w:spacing w:line="360" w:lineRule="auto"/>
        <w:rPr>
          <w:rFonts w:hint="eastAsia" w:ascii="宋体" w:hAnsi="宋体" w:cs="宋体"/>
          <w:color w:val="000000"/>
          <w:szCs w:val="21"/>
        </w:rPr>
      </w:pPr>
      <w:r>
        <w:rPr>
          <w:rFonts w:hint="eastAsia" w:ascii="宋体" w:hAnsi="宋体" w:cs="宋体"/>
          <w:color w:val="000000"/>
          <w:szCs w:val="21"/>
        </w:rPr>
        <w:t>11.3质保期后，设备生命周期内，投标方应保证备品备件的供应满足投标服务响应要求，如发生产品损坏，投标方应及时提供维修部件，并按最近的投标价提供。</w:t>
      </w:r>
    </w:p>
    <w:p>
      <w:pPr>
        <w:spacing w:line="360" w:lineRule="auto"/>
        <w:rPr>
          <w:rFonts w:hint="eastAsia" w:ascii="宋体" w:hAnsi="宋体" w:cs="宋体"/>
        </w:rPr>
      </w:pPr>
      <w:r>
        <w:rPr>
          <w:rFonts w:hint="eastAsia" w:ascii="宋体" w:hAnsi="宋体" w:cs="宋体"/>
          <w:color w:val="000000"/>
          <w:szCs w:val="21"/>
        </w:rPr>
        <w:t>11.4投标方对由于设计、制造和材料、外购零部件的缺陷而造成所供设备的任何破坏、缺陷故障，当投标方收到招标方的书面通知后，投标方在7天内免费负责更换有缺陷的设备(包括运输费、税收等)，以达到技术规范书的要求。</w:t>
      </w:r>
    </w:p>
    <w:p>
      <w:pPr>
        <w:pStyle w:val="145"/>
        <w:topLinePunct/>
        <w:spacing w:line="360" w:lineRule="auto"/>
        <w:outlineLvl w:val="0"/>
        <w:rPr>
          <w:rFonts w:hint="eastAsia" w:ascii="宋体" w:hAnsi="宋体" w:eastAsia="宋体" w:cs="宋体"/>
          <w:b/>
          <w:bCs/>
          <w:snapToGrid w:val="0"/>
          <w:kern w:val="0"/>
        </w:rPr>
      </w:pPr>
      <w:bookmarkStart w:id="199" w:name="_Toc279949858"/>
      <w:bookmarkStart w:id="200" w:name="_Toc7628"/>
      <w:bookmarkStart w:id="201" w:name="_Toc27389"/>
      <w:bookmarkStart w:id="202" w:name="_Toc354760700"/>
      <w:r>
        <w:rPr>
          <w:rFonts w:hint="eastAsia" w:ascii="宋体" w:hAnsi="宋体" w:eastAsia="宋体" w:cs="宋体"/>
          <w:b/>
          <w:bCs/>
          <w:snapToGrid w:val="0"/>
          <w:kern w:val="0"/>
        </w:rPr>
        <w:t>12  投标产品主要组部件材料</w:t>
      </w:r>
      <w:bookmarkEnd w:id="199"/>
      <w:bookmarkEnd w:id="200"/>
      <w:bookmarkEnd w:id="201"/>
      <w:bookmarkEnd w:id="202"/>
    </w:p>
    <w:p>
      <w:pPr>
        <w:spacing w:line="360" w:lineRule="auto"/>
        <w:jc w:val="center"/>
        <w:rPr>
          <w:rFonts w:hint="eastAsia" w:ascii="宋体" w:hAnsi="宋体" w:cs="宋体"/>
          <w:b/>
          <w:bCs/>
          <w:sz w:val="18"/>
          <w:szCs w:val="18"/>
        </w:rPr>
      </w:pPr>
      <w:r>
        <w:rPr>
          <w:rFonts w:hint="eastAsia" w:ascii="宋体" w:hAnsi="宋体" w:cs="宋体"/>
          <w:b/>
          <w:bCs/>
          <w:sz w:val="18"/>
          <w:szCs w:val="18"/>
        </w:rPr>
        <w:t>表6　主要组部件材料表（投标人提供）</w:t>
      </w:r>
    </w:p>
    <w:tbl>
      <w:tblPr>
        <w:tblStyle w:val="7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1176"/>
        <w:gridCol w:w="1242"/>
        <w:gridCol w:w="1242"/>
        <w:gridCol w:w="1242"/>
        <w:gridCol w:w="1242"/>
        <w:gridCol w:w="124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745" w:type="dxa"/>
            <w:tcBorders>
              <w:top w:val="single" w:color="auto" w:sz="8" w:space="0"/>
            </w:tcBorders>
            <w:vAlign w:val="center"/>
          </w:tcPr>
          <w:p>
            <w:pPr>
              <w:jc w:val="center"/>
              <w:rPr>
                <w:rFonts w:hint="eastAsia" w:ascii="宋体" w:hAnsi="宋体" w:cs="宋体"/>
              </w:rPr>
            </w:pPr>
            <w:r>
              <w:rPr>
                <w:rFonts w:hint="eastAsia" w:ascii="宋体" w:hAnsi="宋体" w:cs="宋体"/>
              </w:rPr>
              <w:t>主要组部件名称</w:t>
            </w:r>
          </w:p>
        </w:tc>
        <w:tc>
          <w:tcPr>
            <w:tcW w:w="1176" w:type="dxa"/>
            <w:tcBorders>
              <w:top w:val="single" w:color="auto" w:sz="8" w:space="0"/>
            </w:tcBorders>
            <w:vAlign w:val="center"/>
          </w:tcPr>
          <w:p>
            <w:pPr>
              <w:jc w:val="center"/>
              <w:rPr>
                <w:rFonts w:hint="eastAsia" w:ascii="宋体" w:hAnsi="宋体" w:cs="宋体"/>
              </w:rPr>
            </w:pPr>
            <w:r>
              <w:rPr>
                <w:rFonts w:hint="eastAsia" w:ascii="宋体" w:hAnsi="宋体" w:cs="宋体"/>
              </w:rPr>
              <w:t>规格</w:t>
            </w:r>
          </w:p>
        </w:tc>
        <w:tc>
          <w:tcPr>
            <w:tcW w:w="1242" w:type="dxa"/>
            <w:tcBorders>
              <w:top w:val="single" w:color="auto" w:sz="8" w:space="0"/>
            </w:tcBorders>
            <w:vAlign w:val="center"/>
          </w:tcPr>
          <w:p>
            <w:pPr>
              <w:jc w:val="center"/>
              <w:rPr>
                <w:rFonts w:hint="eastAsia" w:ascii="宋体" w:hAnsi="宋体" w:cs="宋体"/>
              </w:rPr>
            </w:pPr>
            <w:r>
              <w:rPr>
                <w:rFonts w:hint="eastAsia" w:ascii="宋体" w:hAnsi="宋体" w:cs="宋体"/>
              </w:rPr>
              <w:t>数量</w:t>
            </w:r>
          </w:p>
        </w:tc>
        <w:tc>
          <w:tcPr>
            <w:tcW w:w="1242" w:type="dxa"/>
            <w:tcBorders>
              <w:top w:val="single" w:color="auto" w:sz="8" w:space="0"/>
            </w:tcBorders>
            <w:vAlign w:val="center"/>
          </w:tcPr>
          <w:p>
            <w:pPr>
              <w:jc w:val="center"/>
              <w:rPr>
                <w:rFonts w:hint="eastAsia" w:ascii="宋体" w:hAnsi="宋体" w:cs="宋体"/>
              </w:rPr>
            </w:pPr>
            <w:r>
              <w:rPr>
                <w:rFonts w:hint="eastAsia" w:ascii="宋体" w:hAnsi="宋体" w:cs="宋体"/>
              </w:rPr>
              <w:t>单位</w:t>
            </w:r>
          </w:p>
        </w:tc>
        <w:tc>
          <w:tcPr>
            <w:tcW w:w="1242" w:type="dxa"/>
            <w:tcBorders>
              <w:top w:val="single" w:color="auto" w:sz="8" w:space="0"/>
            </w:tcBorders>
            <w:vAlign w:val="center"/>
          </w:tcPr>
          <w:p>
            <w:pPr>
              <w:jc w:val="center"/>
              <w:rPr>
                <w:rFonts w:hint="eastAsia" w:ascii="宋体" w:hAnsi="宋体" w:cs="宋体"/>
              </w:rPr>
            </w:pPr>
            <w:r>
              <w:rPr>
                <w:rFonts w:hint="eastAsia" w:ascii="宋体" w:hAnsi="宋体" w:cs="宋体"/>
              </w:rPr>
              <w:t>供应商名称</w:t>
            </w:r>
          </w:p>
        </w:tc>
        <w:tc>
          <w:tcPr>
            <w:tcW w:w="1242" w:type="dxa"/>
            <w:tcBorders>
              <w:top w:val="single" w:color="auto" w:sz="8" w:space="0"/>
            </w:tcBorders>
            <w:vAlign w:val="center"/>
          </w:tcPr>
          <w:p>
            <w:pPr>
              <w:jc w:val="center"/>
              <w:rPr>
                <w:rFonts w:hint="eastAsia" w:ascii="宋体" w:hAnsi="宋体" w:cs="宋体"/>
              </w:rPr>
            </w:pPr>
            <w:r>
              <w:rPr>
                <w:rFonts w:hint="eastAsia" w:ascii="宋体" w:hAnsi="宋体" w:cs="宋体"/>
              </w:rPr>
              <w:t>原产地</w:t>
            </w:r>
          </w:p>
        </w:tc>
        <w:tc>
          <w:tcPr>
            <w:tcW w:w="1242" w:type="dxa"/>
            <w:tcBorders>
              <w:top w:val="single" w:color="auto" w:sz="8" w:space="0"/>
            </w:tcBorders>
            <w:vAlign w:val="center"/>
          </w:tcPr>
          <w:p>
            <w:pPr>
              <w:jc w:val="center"/>
              <w:rPr>
                <w:rFonts w:hint="eastAsia" w:ascii="宋体" w:hAnsi="宋体" w:cs="宋体"/>
              </w:rPr>
            </w:pPr>
            <w:r>
              <w:rPr>
                <w:rFonts w:hint="eastAsia" w:ascii="宋体" w:hAnsi="宋体" w:cs="宋体"/>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745" w:type="dxa"/>
            <w:vAlign w:val="center"/>
          </w:tcPr>
          <w:p>
            <w:pPr>
              <w:jc w:val="center"/>
              <w:rPr>
                <w:rFonts w:hint="eastAsia" w:ascii="宋体" w:hAnsi="宋体" w:cs="宋体"/>
              </w:rPr>
            </w:pPr>
          </w:p>
        </w:tc>
        <w:tc>
          <w:tcPr>
            <w:tcW w:w="1176" w:type="dxa"/>
            <w:vAlign w:val="center"/>
          </w:tcPr>
          <w:p>
            <w:pPr>
              <w:jc w:val="center"/>
              <w:rPr>
                <w:rFonts w:hint="eastAsia" w:ascii="宋体" w:hAnsi="宋体" w:cs="宋体"/>
              </w:rPr>
            </w:pPr>
          </w:p>
        </w:tc>
        <w:tc>
          <w:tcPr>
            <w:tcW w:w="1242" w:type="dxa"/>
            <w:vAlign w:val="center"/>
          </w:tcPr>
          <w:p>
            <w:pPr>
              <w:jc w:val="center"/>
              <w:rPr>
                <w:rFonts w:hint="eastAsia" w:ascii="宋体" w:hAnsi="宋体" w:cs="宋体"/>
              </w:rPr>
            </w:pPr>
          </w:p>
        </w:tc>
        <w:tc>
          <w:tcPr>
            <w:tcW w:w="1242" w:type="dxa"/>
            <w:vAlign w:val="center"/>
          </w:tcPr>
          <w:p>
            <w:pPr>
              <w:jc w:val="center"/>
              <w:rPr>
                <w:rFonts w:hint="eastAsia" w:ascii="宋体" w:hAnsi="宋体" w:cs="宋体"/>
              </w:rPr>
            </w:pPr>
          </w:p>
        </w:tc>
        <w:tc>
          <w:tcPr>
            <w:tcW w:w="1242" w:type="dxa"/>
            <w:vAlign w:val="center"/>
          </w:tcPr>
          <w:p>
            <w:pPr>
              <w:jc w:val="center"/>
              <w:rPr>
                <w:rFonts w:hint="eastAsia" w:ascii="宋体" w:hAnsi="宋体" w:cs="宋体"/>
              </w:rPr>
            </w:pPr>
          </w:p>
        </w:tc>
        <w:tc>
          <w:tcPr>
            <w:tcW w:w="1242" w:type="dxa"/>
            <w:vAlign w:val="center"/>
          </w:tcPr>
          <w:p>
            <w:pPr>
              <w:jc w:val="center"/>
              <w:rPr>
                <w:rFonts w:hint="eastAsia" w:ascii="宋体" w:hAnsi="宋体" w:cs="宋体"/>
              </w:rPr>
            </w:pPr>
          </w:p>
        </w:tc>
        <w:tc>
          <w:tcPr>
            <w:tcW w:w="1242" w:type="dxa"/>
            <w:vAlign w:val="center"/>
          </w:tcPr>
          <w:p>
            <w:pPr>
              <w:jc w:val="center"/>
              <w:rPr>
                <w:rFonts w:hint="eastAsia" w:ascii="宋体" w:hAnsi="宋体" w:cs="宋体"/>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745" w:type="dxa"/>
            <w:vAlign w:val="center"/>
          </w:tcPr>
          <w:p>
            <w:pPr>
              <w:jc w:val="center"/>
              <w:rPr>
                <w:rFonts w:hint="eastAsia" w:ascii="宋体" w:hAnsi="宋体" w:cs="宋体"/>
              </w:rPr>
            </w:pPr>
          </w:p>
        </w:tc>
        <w:tc>
          <w:tcPr>
            <w:tcW w:w="1176" w:type="dxa"/>
            <w:vAlign w:val="center"/>
          </w:tcPr>
          <w:p>
            <w:pPr>
              <w:jc w:val="center"/>
              <w:rPr>
                <w:rFonts w:hint="eastAsia" w:ascii="宋体" w:hAnsi="宋体" w:cs="宋体"/>
              </w:rPr>
            </w:pPr>
          </w:p>
        </w:tc>
        <w:tc>
          <w:tcPr>
            <w:tcW w:w="1242" w:type="dxa"/>
            <w:vAlign w:val="center"/>
          </w:tcPr>
          <w:p>
            <w:pPr>
              <w:jc w:val="center"/>
              <w:rPr>
                <w:rFonts w:hint="eastAsia" w:ascii="宋体" w:hAnsi="宋体" w:cs="宋体"/>
              </w:rPr>
            </w:pPr>
          </w:p>
        </w:tc>
        <w:tc>
          <w:tcPr>
            <w:tcW w:w="1242" w:type="dxa"/>
            <w:vAlign w:val="center"/>
          </w:tcPr>
          <w:p>
            <w:pPr>
              <w:jc w:val="center"/>
              <w:rPr>
                <w:rFonts w:hint="eastAsia" w:ascii="宋体" w:hAnsi="宋体" w:cs="宋体"/>
              </w:rPr>
            </w:pPr>
          </w:p>
        </w:tc>
        <w:tc>
          <w:tcPr>
            <w:tcW w:w="1242" w:type="dxa"/>
            <w:vAlign w:val="center"/>
          </w:tcPr>
          <w:p>
            <w:pPr>
              <w:jc w:val="center"/>
              <w:rPr>
                <w:rFonts w:hint="eastAsia" w:ascii="宋体" w:hAnsi="宋体" w:cs="宋体"/>
              </w:rPr>
            </w:pPr>
          </w:p>
        </w:tc>
        <w:tc>
          <w:tcPr>
            <w:tcW w:w="1242" w:type="dxa"/>
            <w:vAlign w:val="center"/>
          </w:tcPr>
          <w:p>
            <w:pPr>
              <w:jc w:val="center"/>
              <w:rPr>
                <w:rFonts w:hint="eastAsia" w:ascii="宋体" w:hAnsi="宋体" w:cs="宋体"/>
              </w:rPr>
            </w:pPr>
          </w:p>
        </w:tc>
        <w:tc>
          <w:tcPr>
            <w:tcW w:w="1242" w:type="dxa"/>
            <w:vAlign w:val="center"/>
          </w:tcPr>
          <w:p>
            <w:pPr>
              <w:jc w:val="center"/>
              <w:rPr>
                <w:rFonts w:hint="eastAsia" w:ascii="宋体" w:hAnsi="宋体" w:cs="宋体"/>
              </w:rPr>
            </w:pPr>
          </w:p>
        </w:tc>
      </w:tr>
    </w:tbl>
    <w:p>
      <w:pPr>
        <w:pStyle w:val="145"/>
        <w:topLinePunct/>
        <w:spacing w:line="360" w:lineRule="auto"/>
        <w:outlineLvl w:val="0"/>
        <w:rPr>
          <w:rFonts w:hint="eastAsia" w:ascii="宋体" w:hAnsi="宋体" w:eastAsia="宋体" w:cs="宋体"/>
          <w:b/>
          <w:bCs/>
          <w:snapToGrid w:val="0"/>
          <w:kern w:val="0"/>
        </w:rPr>
      </w:pPr>
      <w:bookmarkStart w:id="203" w:name="_Toc354760701"/>
      <w:bookmarkStart w:id="204" w:name="_Toc19861"/>
      <w:bookmarkStart w:id="205" w:name="_Toc2886"/>
      <w:bookmarkStart w:id="206" w:name="_Toc279949859"/>
      <w:r>
        <w:rPr>
          <w:rFonts w:hint="eastAsia" w:ascii="宋体" w:hAnsi="宋体" w:eastAsia="宋体" w:cs="宋体"/>
          <w:b/>
          <w:bCs/>
          <w:snapToGrid w:val="0"/>
          <w:kern w:val="0"/>
        </w:rPr>
        <w:t>13  推荐的备品备件、专用工具和仪器仪表供货</w:t>
      </w:r>
      <w:bookmarkEnd w:id="203"/>
      <w:bookmarkEnd w:id="204"/>
      <w:bookmarkEnd w:id="205"/>
      <w:bookmarkEnd w:id="206"/>
    </w:p>
    <w:p>
      <w:pPr>
        <w:spacing w:line="360" w:lineRule="auto"/>
        <w:jc w:val="center"/>
        <w:rPr>
          <w:rFonts w:hint="eastAsia" w:ascii="宋体" w:hAnsi="宋体" w:cs="宋体"/>
          <w:b/>
          <w:bCs/>
          <w:sz w:val="18"/>
          <w:szCs w:val="18"/>
        </w:rPr>
      </w:pPr>
      <w:bookmarkStart w:id="207" w:name="_Toc155182702"/>
      <w:bookmarkStart w:id="208" w:name="_Toc155113114"/>
      <w:r>
        <w:rPr>
          <w:rFonts w:hint="eastAsia" w:ascii="宋体" w:hAnsi="宋体" w:cs="宋体"/>
          <w:b/>
          <w:bCs/>
          <w:sz w:val="18"/>
          <w:szCs w:val="18"/>
        </w:rPr>
        <w:t>表7　推荐的备品备件、专用工具和仪器仪表供货表</w:t>
      </w:r>
      <w:bookmarkEnd w:id="207"/>
      <w:bookmarkEnd w:id="208"/>
    </w:p>
    <w:tbl>
      <w:tblPr>
        <w:tblStyle w:val="7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159"/>
        <w:gridCol w:w="2980"/>
        <w:gridCol w:w="2915"/>
        <w:gridCol w:w="1140"/>
        <w:gridCol w:w="104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502" w:hRule="atLeast"/>
          <w:jc w:val="center"/>
        </w:trPr>
        <w:tc>
          <w:tcPr>
            <w:tcW w:w="1159" w:type="dxa"/>
            <w:tcBorders>
              <w:top w:val="single" w:color="auto" w:sz="8" w:space="0"/>
            </w:tcBorders>
            <w:vAlign w:val="center"/>
          </w:tcPr>
          <w:p>
            <w:pPr>
              <w:topLinePunct/>
              <w:jc w:val="center"/>
              <w:rPr>
                <w:rFonts w:hint="eastAsia" w:ascii="宋体" w:hAnsi="宋体" w:cs="宋体"/>
              </w:rPr>
            </w:pPr>
            <w:r>
              <w:rPr>
                <w:rFonts w:hint="eastAsia" w:ascii="宋体" w:hAnsi="宋体" w:cs="宋体"/>
              </w:rPr>
              <w:t>序号</w:t>
            </w:r>
          </w:p>
        </w:tc>
        <w:tc>
          <w:tcPr>
            <w:tcW w:w="2980" w:type="dxa"/>
            <w:tcBorders>
              <w:top w:val="single" w:color="auto" w:sz="8" w:space="0"/>
            </w:tcBorders>
            <w:vAlign w:val="center"/>
          </w:tcPr>
          <w:p>
            <w:pPr>
              <w:topLinePunct/>
              <w:jc w:val="center"/>
              <w:rPr>
                <w:rFonts w:hint="eastAsia" w:ascii="宋体" w:hAnsi="宋体" w:cs="宋体"/>
              </w:rPr>
            </w:pPr>
            <w:r>
              <w:rPr>
                <w:rFonts w:hint="eastAsia" w:ascii="宋体" w:hAnsi="宋体" w:cs="宋体"/>
              </w:rPr>
              <w:t>名  称</w:t>
            </w:r>
          </w:p>
        </w:tc>
        <w:tc>
          <w:tcPr>
            <w:tcW w:w="2915" w:type="dxa"/>
            <w:tcBorders>
              <w:top w:val="single" w:color="auto" w:sz="8" w:space="0"/>
            </w:tcBorders>
            <w:vAlign w:val="center"/>
          </w:tcPr>
          <w:p>
            <w:pPr>
              <w:topLinePunct/>
              <w:jc w:val="center"/>
              <w:rPr>
                <w:rFonts w:hint="eastAsia" w:ascii="宋体" w:hAnsi="宋体" w:cs="宋体"/>
              </w:rPr>
            </w:pPr>
            <w:r>
              <w:rPr>
                <w:rFonts w:hint="eastAsia" w:ascii="宋体" w:hAnsi="宋体" w:cs="宋体"/>
              </w:rPr>
              <w:t>型号和规格</w:t>
            </w:r>
          </w:p>
        </w:tc>
        <w:tc>
          <w:tcPr>
            <w:tcW w:w="1140" w:type="dxa"/>
            <w:tcBorders>
              <w:top w:val="single" w:color="auto" w:sz="8" w:space="0"/>
            </w:tcBorders>
            <w:vAlign w:val="center"/>
          </w:tcPr>
          <w:p>
            <w:pPr>
              <w:topLinePunct/>
              <w:jc w:val="center"/>
              <w:rPr>
                <w:rFonts w:hint="eastAsia" w:ascii="宋体" w:hAnsi="宋体" w:cs="宋体"/>
              </w:rPr>
            </w:pPr>
            <w:r>
              <w:rPr>
                <w:rFonts w:hint="eastAsia" w:ascii="宋体" w:hAnsi="宋体" w:cs="宋体"/>
              </w:rPr>
              <w:t>单位</w:t>
            </w:r>
          </w:p>
        </w:tc>
        <w:tc>
          <w:tcPr>
            <w:tcW w:w="1048" w:type="dxa"/>
            <w:tcBorders>
              <w:top w:val="single" w:color="auto" w:sz="8" w:space="0"/>
            </w:tcBorders>
            <w:vAlign w:val="center"/>
          </w:tcPr>
          <w:p>
            <w:pPr>
              <w:topLinePunct/>
              <w:jc w:val="center"/>
              <w:rPr>
                <w:rFonts w:hint="eastAsia" w:ascii="宋体" w:hAnsi="宋体" w:cs="宋体"/>
              </w:rPr>
            </w:pPr>
            <w:r>
              <w:rPr>
                <w:rFonts w:hint="eastAsia" w:ascii="宋体" w:hAnsi="宋体" w:cs="宋体"/>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1159" w:type="dxa"/>
            <w:vAlign w:val="center"/>
          </w:tcPr>
          <w:p>
            <w:pPr>
              <w:topLinePunct/>
              <w:jc w:val="center"/>
              <w:rPr>
                <w:rFonts w:hint="eastAsia" w:ascii="宋体" w:hAnsi="宋体" w:cs="宋体"/>
              </w:rPr>
            </w:pPr>
            <w:r>
              <w:rPr>
                <w:rFonts w:hint="eastAsia" w:ascii="宋体" w:hAnsi="宋体" w:cs="宋体"/>
              </w:rPr>
              <w:t>1</w:t>
            </w:r>
          </w:p>
        </w:tc>
        <w:tc>
          <w:tcPr>
            <w:tcW w:w="2980" w:type="dxa"/>
            <w:vAlign w:val="center"/>
          </w:tcPr>
          <w:p>
            <w:pPr>
              <w:topLinePunct/>
              <w:jc w:val="center"/>
              <w:rPr>
                <w:rFonts w:hint="eastAsia" w:ascii="宋体" w:hAnsi="宋体" w:cs="宋体"/>
              </w:rPr>
            </w:pPr>
          </w:p>
        </w:tc>
        <w:tc>
          <w:tcPr>
            <w:tcW w:w="2915" w:type="dxa"/>
            <w:vAlign w:val="center"/>
          </w:tcPr>
          <w:p>
            <w:pPr>
              <w:topLinePunct/>
              <w:jc w:val="center"/>
              <w:rPr>
                <w:rFonts w:hint="eastAsia" w:ascii="宋体" w:hAnsi="宋体" w:cs="宋体"/>
              </w:rPr>
            </w:pPr>
          </w:p>
        </w:tc>
        <w:tc>
          <w:tcPr>
            <w:tcW w:w="1140" w:type="dxa"/>
            <w:vAlign w:val="center"/>
          </w:tcPr>
          <w:p>
            <w:pPr>
              <w:topLinePunct/>
              <w:jc w:val="center"/>
              <w:rPr>
                <w:rFonts w:hint="eastAsia" w:ascii="宋体" w:hAnsi="宋体" w:cs="宋体"/>
              </w:rPr>
            </w:pPr>
          </w:p>
        </w:tc>
        <w:tc>
          <w:tcPr>
            <w:tcW w:w="1048" w:type="dxa"/>
            <w:vAlign w:val="center"/>
          </w:tcPr>
          <w:p>
            <w:pPr>
              <w:topLinePunct/>
              <w:jc w:val="center"/>
              <w:rPr>
                <w:rFonts w:hint="eastAsia" w:ascii="宋体" w:hAnsi="宋体" w:cs="宋体"/>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418" w:hRule="atLeast"/>
          <w:jc w:val="center"/>
        </w:trPr>
        <w:tc>
          <w:tcPr>
            <w:tcW w:w="1159" w:type="dxa"/>
            <w:vAlign w:val="center"/>
          </w:tcPr>
          <w:p>
            <w:pPr>
              <w:topLinePunct/>
              <w:jc w:val="center"/>
              <w:rPr>
                <w:rFonts w:hint="eastAsia" w:ascii="宋体" w:hAnsi="宋体" w:cs="宋体"/>
              </w:rPr>
            </w:pPr>
            <w:r>
              <w:rPr>
                <w:rFonts w:hint="eastAsia" w:ascii="宋体" w:hAnsi="宋体" w:cs="宋体"/>
              </w:rPr>
              <w:t>2</w:t>
            </w:r>
          </w:p>
        </w:tc>
        <w:tc>
          <w:tcPr>
            <w:tcW w:w="2980" w:type="dxa"/>
            <w:vAlign w:val="center"/>
          </w:tcPr>
          <w:p>
            <w:pPr>
              <w:topLinePunct/>
              <w:jc w:val="center"/>
              <w:rPr>
                <w:rFonts w:hint="eastAsia" w:ascii="宋体" w:hAnsi="宋体" w:cs="宋体"/>
              </w:rPr>
            </w:pPr>
          </w:p>
        </w:tc>
        <w:tc>
          <w:tcPr>
            <w:tcW w:w="2915" w:type="dxa"/>
            <w:vAlign w:val="center"/>
          </w:tcPr>
          <w:p>
            <w:pPr>
              <w:topLinePunct/>
              <w:jc w:val="center"/>
              <w:rPr>
                <w:rFonts w:hint="eastAsia" w:ascii="宋体" w:hAnsi="宋体" w:cs="宋体"/>
              </w:rPr>
            </w:pPr>
          </w:p>
        </w:tc>
        <w:tc>
          <w:tcPr>
            <w:tcW w:w="1140" w:type="dxa"/>
            <w:vAlign w:val="center"/>
          </w:tcPr>
          <w:p>
            <w:pPr>
              <w:topLinePunct/>
              <w:jc w:val="center"/>
              <w:rPr>
                <w:rFonts w:hint="eastAsia" w:ascii="宋体" w:hAnsi="宋体" w:cs="宋体"/>
              </w:rPr>
            </w:pPr>
          </w:p>
        </w:tc>
        <w:tc>
          <w:tcPr>
            <w:tcW w:w="1048" w:type="dxa"/>
            <w:vAlign w:val="center"/>
          </w:tcPr>
          <w:p>
            <w:pPr>
              <w:topLinePunct/>
              <w:jc w:val="center"/>
              <w:rPr>
                <w:rFonts w:hint="eastAsia" w:ascii="宋体" w:hAnsi="宋体" w:cs="宋体"/>
              </w:rPr>
            </w:pPr>
          </w:p>
        </w:tc>
      </w:tr>
    </w:tbl>
    <w:p>
      <w:pPr>
        <w:pStyle w:val="3"/>
        <w:spacing w:line="360" w:lineRule="auto"/>
        <w:ind w:firstLine="0"/>
        <w:rPr>
          <w:rFonts w:hint="eastAsia" w:ascii="宋体" w:hAnsi="宋体" w:eastAsia="宋体" w:cs="宋体"/>
        </w:rPr>
      </w:pPr>
      <w:bookmarkStart w:id="209" w:name="_Toc282420857"/>
      <w:bookmarkStart w:id="210" w:name="_Toc282421446"/>
      <w:bookmarkStart w:id="211" w:name="_Toc282433727"/>
      <w:bookmarkStart w:id="212" w:name="_Toc283011679"/>
      <w:bookmarkStart w:id="213" w:name="_Toc296962423"/>
      <w:bookmarkStart w:id="214" w:name="_Toc16931"/>
      <w:bookmarkStart w:id="215" w:name="_Toc283142602"/>
      <w:bookmarkStart w:id="216" w:name="_Toc355"/>
      <w:r>
        <w:rPr>
          <w:rFonts w:hint="eastAsia" w:ascii="宋体" w:hAnsi="宋体" w:eastAsia="宋体" w:cs="宋体"/>
          <w:b/>
          <w:bCs/>
          <w:snapToGrid w:val="0"/>
          <w:kern w:val="0"/>
        </w:rPr>
        <w:t xml:space="preserve">14  </w:t>
      </w:r>
      <w:bookmarkEnd w:id="209"/>
      <w:bookmarkEnd w:id="210"/>
      <w:bookmarkEnd w:id="211"/>
      <w:bookmarkEnd w:id="212"/>
      <w:bookmarkEnd w:id="213"/>
      <w:bookmarkEnd w:id="214"/>
      <w:bookmarkEnd w:id="215"/>
      <w:r>
        <w:rPr>
          <w:rFonts w:hint="eastAsia" w:ascii="宋体" w:hAnsi="宋体" w:eastAsia="宋体" w:cs="宋体"/>
          <w:b/>
          <w:bCs/>
          <w:snapToGrid w:val="0"/>
          <w:kern w:val="0"/>
        </w:rPr>
        <w:t xml:space="preserve"> </w:t>
      </w:r>
      <w:r>
        <w:rPr>
          <w:rFonts w:hint="eastAsia" w:ascii="宋体" w:hAnsi="宋体" w:eastAsia="宋体" w:cs="宋体"/>
          <w:b/>
          <w:color w:val="000000"/>
        </w:rPr>
        <w:t>投标技术偏差表格</w:t>
      </w:r>
      <w:bookmarkEnd w:id="216"/>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1.投标人应完全阅读并理解技术规范书的要求后如实填写此表，内容必须真实准确。此表将纳入合同签订范围，所作出的承诺将在合同履约阶段严格执行，若在合同履约过程中发现技术偏差超出此表承诺范围，影响合同履行的，一经查实将取消本次供货资格，招标人将追究投标人的违约责任，并按照中国南方电网有限责任公司供应商管理办法、供货商扣分处罚实施细则进行处罚。</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2.若投标人满足、优于或低于技术规范书要求，存在正偏差/负偏差的，无论差异如何，均须按照表1要求，按技术规范书条目号顺序如实填写，投标人不得修改已列明的主要基础技术参数序号及内容；投标人若有需要补充的可在表1：投标技术偏差表格（技术规范书要求）中“24.其他”补充相应内容。</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3.存在偏差但超出技术规范书要求需要补充说明的，在表2中增加。</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4.关键技术参数优于技术规范书要求的，必须在投标技术偏差表1中一一列明，未在该表格中列明而是在投标文件其他地方罗列的不加分，对于所列优于项未提供有效试验报告及相关证明材料加以佐证的不加分，优于项必须填写证明文件在投标文件中的定位页码，对于虚假承诺或未提供证明文件的不加分，优于项重复罗列的不加分，对于未填写证明文件定位页码的在投标文件响应方面进行扣分。</w:t>
      </w:r>
    </w:p>
    <w:p>
      <w:pPr>
        <w:pStyle w:val="39"/>
        <w:autoSpaceDE w:val="0"/>
        <w:autoSpaceDN w:val="0"/>
        <w:adjustRightInd w:val="0"/>
        <w:spacing w:before="156" w:beforeLines="50" w:line="360" w:lineRule="auto"/>
        <w:ind w:right="27"/>
        <w:jc w:val="center"/>
        <w:outlineLvl w:val="1"/>
        <w:rPr>
          <w:rFonts w:hint="eastAsia" w:hAnsi="宋体" w:cs="宋体"/>
          <w:sz w:val="24"/>
          <w:szCs w:val="24"/>
        </w:rPr>
      </w:pPr>
      <w:bookmarkStart w:id="217" w:name="_Toc17631"/>
      <w:r>
        <w:rPr>
          <w:rFonts w:hint="eastAsia" w:hAnsi="宋体" w:cs="宋体"/>
          <w:color w:val="000000"/>
          <w:szCs w:val="20"/>
          <w:lang w:val="zh-CN"/>
        </w:rPr>
        <w:t>表</w:t>
      </w:r>
      <w:r>
        <w:rPr>
          <w:rFonts w:hint="eastAsia" w:hAnsi="宋体" w:cs="宋体"/>
          <w:color w:val="000000"/>
          <w:szCs w:val="20"/>
        </w:rPr>
        <w:t>1</w:t>
      </w:r>
      <w:r>
        <w:rPr>
          <w:rFonts w:hint="eastAsia" w:hAnsi="宋体" w:cs="宋体"/>
          <w:color w:val="000000"/>
          <w:szCs w:val="20"/>
          <w:lang w:val="zh-CN"/>
        </w:rPr>
        <w:t>：投标技术偏差表格（技术规范书要求）</w:t>
      </w:r>
      <w:bookmarkEnd w:id="217"/>
    </w:p>
    <w:tbl>
      <w:tblPr>
        <w:tblStyle w:val="77"/>
        <w:tblW w:w="4996" w:type="pct"/>
        <w:tblInd w:w="0" w:type="dxa"/>
        <w:tblLayout w:type="autofit"/>
        <w:tblCellMar>
          <w:top w:w="0" w:type="dxa"/>
          <w:left w:w="0" w:type="dxa"/>
          <w:bottom w:w="0" w:type="dxa"/>
          <w:right w:w="0" w:type="dxa"/>
        </w:tblCellMar>
      </w:tblPr>
      <w:tblGrid>
        <w:gridCol w:w="645"/>
        <w:gridCol w:w="1452"/>
        <w:gridCol w:w="2993"/>
        <w:gridCol w:w="1201"/>
        <w:gridCol w:w="1044"/>
        <w:gridCol w:w="1165"/>
        <w:gridCol w:w="935"/>
      </w:tblGrid>
      <w:tr>
        <w:tblPrEx>
          <w:tblCellMar>
            <w:top w:w="0" w:type="dxa"/>
            <w:left w:w="0" w:type="dxa"/>
            <w:bottom w:w="0" w:type="dxa"/>
            <w:right w:w="0" w:type="dxa"/>
          </w:tblCellMar>
        </w:tblPrEx>
        <w:trPr>
          <w:trHeight w:val="270"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b/>
                <w:bCs/>
                <w:color w:val="000000"/>
                <w:kern w:val="0"/>
                <w:szCs w:val="21"/>
                <w:lang w:bidi="ar"/>
              </w:rPr>
              <w:t>序号</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b/>
                <w:bCs/>
                <w:color w:val="000000"/>
                <w:kern w:val="0"/>
                <w:szCs w:val="21"/>
                <w:lang w:bidi="ar"/>
              </w:rPr>
              <w:t>主要技术参数</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b/>
                <w:bCs/>
                <w:color w:val="000000"/>
                <w:kern w:val="0"/>
                <w:szCs w:val="21"/>
                <w:lang w:bidi="ar"/>
              </w:rPr>
              <w:t>项目单位要求值</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b/>
                <w:bCs/>
                <w:color w:val="000000"/>
                <w:kern w:val="0"/>
                <w:szCs w:val="21"/>
                <w:lang w:bidi="ar"/>
              </w:rPr>
              <w:t>投标人响应值</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b/>
                <w:bCs/>
                <w:color w:val="000000"/>
                <w:kern w:val="0"/>
                <w:szCs w:val="21"/>
                <w:lang w:bidi="ar"/>
              </w:rPr>
              <w:t>偏差情况（正偏差/负偏差/满足）</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b/>
                <w:bCs/>
                <w:color w:val="000000"/>
                <w:kern w:val="0"/>
                <w:szCs w:val="21"/>
                <w:lang w:bidi="ar"/>
              </w:rPr>
              <w:t>证明文件定位</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b/>
                <w:bCs/>
                <w:color w:val="000000"/>
                <w:kern w:val="0"/>
                <w:szCs w:val="21"/>
                <w:lang w:bidi="ar"/>
              </w:rPr>
              <w:t>备注</w:t>
            </w:r>
          </w:p>
        </w:tc>
      </w:tr>
      <w:tr>
        <w:tblPrEx>
          <w:tblCellMar>
            <w:top w:w="0" w:type="dxa"/>
            <w:left w:w="0" w:type="dxa"/>
            <w:bottom w:w="0" w:type="dxa"/>
            <w:right w:w="0" w:type="dxa"/>
          </w:tblCellMar>
        </w:tblPrEx>
        <w:trPr>
          <w:trHeight w:val="270"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1</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46"/>
              <w:snapToGrid w:val="0"/>
              <w:spacing w:before="64" w:after="64"/>
              <w:jc w:val="center"/>
              <w:rPr>
                <w:rFonts w:hint="eastAsia" w:ascii="宋体" w:hAnsi="宋体" w:cs="宋体"/>
                <w:sz w:val="21"/>
                <w:szCs w:val="21"/>
              </w:rPr>
            </w:pPr>
            <w:r>
              <w:rPr>
                <w:rFonts w:hint="eastAsia" w:ascii="宋体" w:hAnsi="宋体" w:cs="宋体"/>
                <w:sz w:val="21"/>
                <w:szCs w:val="21"/>
              </w:rPr>
              <w:t>无功补偿</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left"/>
              <w:rPr>
                <w:rFonts w:hint="eastAsia" w:ascii="宋体" w:hAnsi="宋体" w:cs="宋体"/>
                <w:szCs w:val="21"/>
              </w:rPr>
            </w:pPr>
            <w:r>
              <w:rPr>
                <w:rFonts w:hint="eastAsia" w:ascii="宋体" w:hAnsi="宋体" w:cs="宋体"/>
                <w:szCs w:val="21"/>
              </w:rPr>
              <w:t>三组，每组1.67kVar,合计5KVAR</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p>
        </w:tc>
      </w:tr>
      <w:tr>
        <w:tblPrEx>
          <w:tblCellMar>
            <w:top w:w="0" w:type="dxa"/>
            <w:left w:w="0" w:type="dxa"/>
            <w:bottom w:w="0" w:type="dxa"/>
            <w:right w:w="0" w:type="dxa"/>
          </w:tblCellMar>
        </w:tblPrEx>
        <w:trPr>
          <w:trHeight w:val="270"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2</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szCs w:val="21"/>
              </w:rPr>
              <w:t>★额定工作频率</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000000"/>
                <w:szCs w:val="21"/>
              </w:rPr>
            </w:pPr>
            <w:r>
              <w:rPr>
                <w:rFonts w:hint="eastAsia" w:ascii="宋体" w:hAnsi="宋体" w:cs="宋体"/>
                <w:kern w:val="0"/>
                <w:szCs w:val="21"/>
                <w:lang w:bidi="ar"/>
              </w:rPr>
              <w:t>50Hz±5%</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kern w:val="0"/>
                <w:szCs w:val="21"/>
                <w:lang w:bidi="ar"/>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szCs w:val="21"/>
              </w:rPr>
              <w:t>关键技术参数</w:t>
            </w:r>
          </w:p>
        </w:tc>
      </w:tr>
      <w:tr>
        <w:tblPrEx>
          <w:tblCellMar>
            <w:top w:w="0" w:type="dxa"/>
            <w:left w:w="0" w:type="dxa"/>
            <w:bottom w:w="0" w:type="dxa"/>
            <w:right w:w="0" w:type="dxa"/>
          </w:tblCellMar>
        </w:tblPrEx>
        <w:trPr>
          <w:trHeight w:val="270"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3</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center"/>
              <w:rPr>
                <w:rFonts w:hint="eastAsia" w:ascii="宋体" w:hAnsi="宋体" w:cs="宋体"/>
                <w:szCs w:val="21"/>
              </w:rPr>
            </w:pPr>
            <w:r>
              <w:rPr>
                <w:rFonts w:hint="eastAsia" w:ascii="宋体" w:hAnsi="宋体" w:cs="宋体"/>
                <w:szCs w:val="21"/>
              </w:rPr>
              <w:t>采集精度</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left"/>
              <w:rPr>
                <w:rFonts w:hint="eastAsia" w:ascii="宋体" w:hAnsi="宋体" w:cs="宋体"/>
                <w:szCs w:val="21"/>
              </w:rPr>
            </w:pPr>
            <w:r>
              <w:rPr>
                <w:rFonts w:hint="eastAsia" w:ascii="宋体" w:hAnsi="宋体" w:cs="宋体"/>
                <w:szCs w:val="21"/>
              </w:rPr>
              <w:t>0.5级</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p>
        </w:tc>
      </w:tr>
      <w:tr>
        <w:tblPrEx>
          <w:tblCellMar>
            <w:top w:w="0" w:type="dxa"/>
            <w:left w:w="0" w:type="dxa"/>
            <w:bottom w:w="0" w:type="dxa"/>
            <w:right w:w="0" w:type="dxa"/>
          </w:tblCellMar>
        </w:tblPrEx>
        <w:trPr>
          <w:trHeight w:val="270"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4</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center"/>
              <w:rPr>
                <w:rFonts w:hint="eastAsia" w:ascii="宋体" w:hAnsi="宋体" w:cs="宋体"/>
                <w:szCs w:val="21"/>
              </w:rPr>
            </w:pPr>
            <w:r>
              <w:rPr>
                <w:rFonts w:hint="eastAsia" w:ascii="宋体" w:hAnsi="宋体" w:cs="宋体"/>
                <w:szCs w:val="21"/>
              </w:rPr>
              <w:t>工作模式</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left"/>
              <w:rPr>
                <w:rFonts w:hint="eastAsia" w:ascii="宋体" w:hAnsi="宋体" w:cs="宋体"/>
                <w:szCs w:val="21"/>
              </w:rPr>
            </w:pPr>
            <w:r>
              <w:rPr>
                <w:rFonts w:hint="eastAsia" w:ascii="宋体" w:hAnsi="宋体" w:cs="宋体"/>
                <w:szCs w:val="21"/>
              </w:rPr>
              <w:t>自动调压模式、旁路模式、无功补偿</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p>
        </w:tc>
      </w:tr>
      <w:tr>
        <w:tblPrEx>
          <w:tblCellMar>
            <w:top w:w="0" w:type="dxa"/>
            <w:left w:w="0" w:type="dxa"/>
            <w:bottom w:w="0" w:type="dxa"/>
            <w:right w:w="0" w:type="dxa"/>
          </w:tblCellMar>
        </w:tblPrEx>
        <w:trPr>
          <w:trHeight w:val="270"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5</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center"/>
              <w:rPr>
                <w:rFonts w:hint="eastAsia" w:ascii="宋体" w:hAnsi="宋体" w:cs="宋体"/>
                <w:szCs w:val="21"/>
              </w:rPr>
            </w:pPr>
            <w:r>
              <w:rPr>
                <w:rFonts w:hint="eastAsia" w:ascii="宋体" w:hAnsi="宋体" w:cs="宋体"/>
                <w:szCs w:val="21"/>
              </w:rPr>
              <w:t>控制方式</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left"/>
              <w:rPr>
                <w:rFonts w:hint="eastAsia" w:ascii="宋体" w:hAnsi="宋体" w:cs="宋体"/>
                <w:szCs w:val="21"/>
              </w:rPr>
            </w:pPr>
            <w:r>
              <w:rPr>
                <w:rFonts w:hint="eastAsia" w:ascii="宋体" w:hAnsi="宋体" w:cs="宋体"/>
                <w:szCs w:val="21"/>
              </w:rPr>
              <w:t>自动跟踪输出电压，动态调节补偿电压</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p>
        </w:tc>
      </w:tr>
      <w:tr>
        <w:tblPrEx>
          <w:tblCellMar>
            <w:top w:w="0" w:type="dxa"/>
            <w:left w:w="0" w:type="dxa"/>
            <w:bottom w:w="0" w:type="dxa"/>
            <w:right w:w="0" w:type="dxa"/>
          </w:tblCellMar>
        </w:tblPrEx>
        <w:trPr>
          <w:trHeight w:val="270"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6</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center"/>
              <w:rPr>
                <w:rFonts w:hint="eastAsia" w:ascii="宋体" w:hAnsi="宋体" w:cs="宋体"/>
                <w:szCs w:val="21"/>
              </w:rPr>
            </w:pPr>
            <w:r>
              <w:rPr>
                <w:rFonts w:hint="eastAsia" w:ascii="宋体" w:hAnsi="宋体" w:cs="宋体"/>
                <w:szCs w:val="21"/>
              </w:rPr>
              <w:t>电容器组及调压档位切换方式</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left"/>
              <w:rPr>
                <w:rFonts w:hint="eastAsia" w:ascii="宋体" w:hAnsi="宋体" w:cs="宋体"/>
                <w:szCs w:val="21"/>
              </w:rPr>
            </w:pPr>
            <w:r>
              <w:rPr>
                <w:rFonts w:hint="eastAsia" w:ascii="宋体" w:hAnsi="宋体" w:cs="宋体"/>
                <w:szCs w:val="21"/>
              </w:rPr>
              <w:t>采用晶闸管过零切换，无机械触点</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bookmarkStart w:id="218" w:name="_Toc12522"/>
            <w:r>
              <w:rPr>
                <w:rFonts w:hint="eastAsia" w:ascii="宋体" w:hAnsi="宋体" w:cs="宋体"/>
                <w:color w:val="000000"/>
                <w:kern w:val="0"/>
                <w:szCs w:val="21"/>
                <w:lang w:bidi="ar"/>
              </w:rPr>
              <w:t>7</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szCs w:val="21"/>
              </w:rPr>
            </w:pPr>
            <w:r>
              <w:rPr>
                <w:rFonts w:hint="eastAsia" w:ascii="宋体" w:hAnsi="宋体" w:cs="宋体"/>
                <w:szCs w:val="21"/>
              </w:rPr>
              <w:t>★输入电压范围</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kern w:val="0"/>
                <w:szCs w:val="21"/>
                <w:lang w:bidi="ar"/>
              </w:rPr>
            </w:pPr>
            <w:r>
              <w:rPr>
                <w:rFonts w:hint="eastAsia" w:ascii="宋体" w:hAnsi="宋体" w:cs="宋体"/>
                <w:szCs w:val="21"/>
              </w:rPr>
              <w:t>120V～260V</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kern w:val="0"/>
                <w:szCs w:val="21"/>
                <w:lang w:bidi="ar"/>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szCs w:val="21"/>
              </w:rPr>
              <w:t>关键技术参数</w:t>
            </w: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szCs w:val="21"/>
              </w:rPr>
            </w:pPr>
            <w:r>
              <w:rPr>
                <w:rFonts w:hint="eastAsia" w:ascii="宋体" w:hAnsi="宋体" w:cs="宋体"/>
                <w:szCs w:val="21"/>
              </w:rPr>
              <w:t>★调压效果</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kern w:val="0"/>
                <w:szCs w:val="21"/>
                <w:lang w:bidi="ar"/>
              </w:rPr>
            </w:pPr>
            <w:r>
              <w:rPr>
                <w:rFonts w:hint="eastAsia" w:ascii="宋体" w:hAnsi="宋体" w:cs="宋体"/>
                <w:szCs w:val="21"/>
              </w:rPr>
              <w:t>输入电压170V以上，满足GB12325-2008《电能质量 供电电压允许偏差》国标要求</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kern w:val="0"/>
                <w:szCs w:val="21"/>
                <w:lang w:bidi="ar"/>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szCs w:val="21"/>
              </w:rPr>
              <w:t>关键技术参数</w:t>
            </w: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szCs w:val="21"/>
              </w:rPr>
            </w:pPr>
            <w:r>
              <w:rPr>
                <w:rFonts w:hint="eastAsia" w:ascii="宋体" w:hAnsi="宋体" w:cs="宋体"/>
                <w:szCs w:val="21"/>
              </w:rPr>
              <w:t>★调压范围</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kern w:val="0"/>
                <w:szCs w:val="21"/>
                <w:lang w:bidi="ar"/>
              </w:rPr>
            </w:pPr>
            <w:r>
              <w:rPr>
                <w:rFonts w:hint="eastAsia" w:ascii="宋体" w:hAnsi="宋体" w:cs="宋体"/>
                <w:szCs w:val="21"/>
              </w:rPr>
              <w:t>升压/降压调节，-10%～20%Ui</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kern w:val="0"/>
                <w:szCs w:val="21"/>
                <w:lang w:bidi="ar"/>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szCs w:val="21"/>
              </w:rPr>
              <w:t>关键技术参数</w:t>
            </w: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szCs w:val="21"/>
              </w:rPr>
            </w:pPr>
            <w:r>
              <w:rPr>
                <w:rFonts w:hint="eastAsia" w:ascii="宋体" w:hAnsi="宋体" w:cs="宋体"/>
                <w:szCs w:val="21"/>
              </w:rPr>
              <w:t>★跟踪调节速度</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kern w:val="0"/>
                <w:szCs w:val="21"/>
                <w:lang w:bidi="ar"/>
              </w:rPr>
            </w:pPr>
            <w:r>
              <w:rPr>
                <w:rFonts w:hint="eastAsia" w:ascii="宋体" w:hAnsi="宋体" w:cs="宋体"/>
                <w:szCs w:val="21"/>
              </w:rPr>
              <w:t>≤100ms</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kern w:val="0"/>
                <w:szCs w:val="21"/>
                <w:lang w:bidi="ar"/>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szCs w:val="21"/>
              </w:rPr>
              <w:t>关键技术参数</w:t>
            </w: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center"/>
              <w:rPr>
                <w:rFonts w:hint="eastAsia" w:ascii="宋体" w:hAnsi="宋体" w:cs="宋体"/>
                <w:szCs w:val="21"/>
              </w:rPr>
            </w:pPr>
            <w:r>
              <w:rPr>
                <w:rFonts w:hint="eastAsia" w:ascii="宋体" w:hAnsi="宋体" w:cs="宋体"/>
                <w:szCs w:val="21"/>
              </w:rPr>
              <w:t>档位切换时间</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left"/>
              <w:rPr>
                <w:rFonts w:hint="eastAsia" w:ascii="宋体" w:hAnsi="宋体" w:cs="宋体"/>
                <w:szCs w:val="21"/>
              </w:rPr>
            </w:pPr>
            <w:r>
              <w:rPr>
                <w:rFonts w:hint="eastAsia" w:ascii="宋体" w:hAnsi="宋体" w:cs="宋体"/>
                <w:szCs w:val="21"/>
              </w:rPr>
              <w:t>≤5ms切换，电压无短时中断</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center"/>
              <w:rPr>
                <w:rFonts w:hint="eastAsia" w:ascii="宋体" w:hAnsi="宋体" w:cs="宋体"/>
                <w:szCs w:val="21"/>
              </w:rPr>
            </w:pPr>
            <w:r>
              <w:rPr>
                <w:rFonts w:hint="eastAsia" w:ascii="宋体" w:hAnsi="宋体" w:cs="宋体"/>
                <w:szCs w:val="21"/>
              </w:rPr>
              <w:t>旁路开关过流倍数</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left"/>
              <w:rPr>
                <w:rFonts w:hint="eastAsia" w:ascii="宋体" w:hAnsi="宋体" w:cs="宋体"/>
                <w:szCs w:val="21"/>
              </w:rPr>
            </w:pPr>
            <w:r>
              <w:rPr>
                <w:rFonts w:hint="eastAsia" w:ascii="宋体" w:hAnsi="宋体" w:cs="宋体"/>
                <w:szCs w:val="21"/>
              </w:rPr>
              <w:t>旁路开关额定电流不低于设备额定值的2.5 倍</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p>
        </w:tc>
      </w:tr>
      <w:tr>
        <w:tblPrEx>
          <w:tblCellMar>
            <w:top w:w="0" w:type="dxa"/>
            <w:left w:w="0" w:type="dxa"/>
            <w:bottom w:w="0" w:type="dxa"/>
            <w:right w:w="0" w:type="dxa"/>
          </w:tblCellMar>
        </w:tblPrEx>
        <w:trPr>
          <w:trHeight w:val="849"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center"/>
              <w:rPr>
                <w:rFonts w:hint="eastAsia" w:ascii="宋体" w:hAnsi="宋体" w:cs="宋体"/>
                <w:szCs w:val="21"/>
              </w:rPr>
            </w:pPr>
            <w:r>
              <w:rPr>
                <w:rFonts w:hint="eastAsia" w:ascii="宋体" w:hAnsi="宋体" w:cs="宋体"/>
                <w:szCs w:val="21"/>
              </w:rPr>
              <w:t>冷却方式</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left"/>
              <w:rPr>
                <w:rFonts w:hint="eastAsia" w:ascii="宋体" w:hAnsi="宋体" w:cs="宋体"/>
                <w:szCs w:val="21"/>
              </w:rPr>
            </w:pPr>
            <w:r>
              <w:rPr>
                <w:rFonts w:hint="eastAsia" w:ascii="宋体" w:hAnsi="宋体" w:cs="宋体"/>
                <w:szCs w:val="21"/>
              </w:rPr>
              <w:t>自然风冷</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center"/>
              <w:rPr>
                <w:rFonts w:hint="eastAsia" w:ascii="宋体" w:hAnsi="宋体" w:cs="宋体"/>
                <w:szCs w:val="21"/>
              </w:rPr>
            </w:pPr>
            <w:r>
              <w:rPr>
                <w:rFonts w:hint="eastAsia" w:ascii="宋体" w:hAnsi="宋体" w:cs="宋体"/>
                <w:szCs w:val="21"/>
              </w:rPr>
              <w:t>保护功能</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left"/>
              <w:rPr>
                <w:rFonts w:hint="eastAsia" w:ascii="宋体" w:hAnsi="宋体" w:cs="宋体"/>
                <w:szCs w:val="21"/>
              </w:rPr>
            </w:pPr>
            <w:r>
              <w:rPr>
                <w:rFonts w:hint="eastAsia" w:ascii="宋体" w:hAnsi="宋体" w:cs="宋体"/>
                <w:szCs w:val="21"/>
              </w:rPr>
              <w:t>过压、欠压、过流、速断、旁路、自诊断</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center"/>
              <w:rPr>
                <w:rFonts w:hint="eastAsia" w:ascii="宋体" w:hAnsi="宋体" w:cs="宋体"/>
                <w:szCs w:val="21"/>
              </w:rPr>
            </w:pPr>
            <w:r>
              <w:rPr>
                <w:rFonts w:hint="eastAsia" w:ascii="宋体" w:hAnsi="宋体" w:cs="宋体"/>
                <w:szCs w:val="21"/>
              </w:rPr>
              <w:t>通讯接口</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left"/>
              <w:rPr>
                <w:rFonts w:hint="eastAsia" w:ascii="宋体" w:hAnsi="宋体" w:cs="宋体"/>
                <w:szCs w:val="21"/>
              </w:rPr>
            </w:pPr>
            <w:r>
              <w:rPr>
                <w:rFonts w:hint="eastAsia" w:ascii="宋体" w:hAnsi="宋体" w:cs="宋体"/>
                <w:szCs w:val="21"/>
              </w:rPr>
              <w:t>CAN；GPRS / WIFI / RS485（选配）</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center"/>
              <w:rPr>
                <w:rFonts w:hint="eastAsia" w:ascii="宋体" w:hAnsi="宋体" w:cs="宋体"/>
                <w:szCs w:val="21"/>
              </w:rPr>
            </w:pPr>
            <w:r>
              <w:rPr>
                <w:rFonts w:hint="eastAsia" w:ascii="宋体" w:hAnsi="宋体" w:cs="宋体"/>
                <w:szCs w:val="21"/>
              </w:rPr>
              <w:t>防护等级</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64" w:after="64"/>
              <w:jc w:val="left"/>
              <w:rPr>
                <w:rFonts w:hint="eastAsia" w:ascii="宋体" w:hAnsi="宋体" w:cs="宋体"/>
                <w:szCs w:val="21"/>
              </w:rPr>
            </w:pPr>
            <w:r>
              <w:rPr>
                <w:rFonts w:hint="eastAsia" w:ascii="宋体" w:hAnsi="宋体" w:cs="宋体"/>
                <w:szCs w:val="21"/>
              </w:rPr>
              <w:t>≥IP44</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szCs w:val="21"/>
              </w:rPr>
            </w:pPr>
            <w:r>
              <w:rPr>
                <w:rFonts w:hint="eastAsia" w:ascii="宋体" w:hAnsi="宋体" w:cs="宋体"/>
                <w:szCs w:val="21"/>
              </w:rPr>
              <w:t>★噪声</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kern w:val="0"/>
                <w:szCs w:val="21"/>
                <w:lang w:bidi="ar"/>
              </w:rPr>
            </w:pPr>
            <w:r>
              <w:rPr>
                <w:rFonts w:hint="eastAsia" w:ascii="宋体" w:hAnsi="宋体" w:cs="宋体"/>
                <w:szCs w:val="21"/>
              </w:rPr>
              <w:t>1米内小于45dB</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kern w:val="0"/>
                <w:szCs w:val="21"/>
                <w:lang w:bidi="ar"/>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szCs w:val="21"/>
              </w:rPr>
              <w:t>关键技术参数</w:t>
            </w: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szCs w:val="21"/>
              </w:rPr>
            </w:pPr>
            <w:r>
              <w:rPr>
                <w:rFonts w:hint="eastAsia" w:ascii="宋体" w:hAnsi="宋体" w:cs="宋体"/>
                <w:szCs w:val="21"/>
              </w:rPr>
              <w:t>★满载损耗</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kern w:val="0"/>
                <w:szCs w:val="21"/>
                <w:lang w:bidi="ar"/>
              </w:rPr>
            </w:pPr>
            <w:r>
              <w:rPr>
                <w:rFonts w:hint="eastAsia" w:ascii="宋体" w:hAnsi="宋体" w:cs="宋体"/>
                <w:szCs w:val="21"/>
              </w:rPr>
              <w:t>≤2% SN</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kern w:val="0"/>
                <w:szCs w:val="21"/>
                <w:lang w:bidi="ar"/>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szCs w:val="21"/>
              </w:rPr>
              <w:t>关键技术参数</w:t>
            </w: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szCs w:val="21"/>
              </w:rPr>
            </w:pPr>
            <w:r>
              <w:rPr>
                <w:rFonts w:hint="eastAsia" w:ascii="宋体" w:hAnsi="宋体" w:cs="宋体"/>
                <w:szCs w:val="21"/>
              </w:rPr>
              <w:t>★平均无故障时间</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kern w:val="0"/>
                <w:szCs w:val="21"/>
                <w:lang w:bidi="ar"/>
              </w:rPr>
            </w:pPr>
            <w:r>
              <w:rPr>
                <w:rFonts w:hint="eastAsia" w:ascii="宋体" w:hAnsi="宋体" w:cs="宋体"/>
                <w:szCs w:val="21"/>
              </w:rPr>
              <w:t>≥30000h</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kern w:val="0"/>
                <w:szCs w:val="21"/>
                <w:lang w:bidi="ar"/>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Cs w:val="21"/>
              </w:rPr>
            </w:pPr>
            <w:r>
              <w:rPr>
                <w:rFonts w:hint="eastAsia" w:ascii="宋体" w:hAnsi="宋体" w:cs="宋体"/>
                <w:color w:val="000000"/>
                <w:szCs w:val="21"/>
              </w:rPr>
              <w:t>关键技术参数</w:t>
            </w: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szCs w:val="21"/>
              </w:rPr>
            </w:pPr>
            <w:r>
              <w:rPr>
                <w:rFonts w:hint="eastAsia" w:ascii="宋体" w:hAnsi="宋体" w:cs="宋体"/>
                <w:szCs w:val="21"/>
              </w:rPr>
              <w:t>带无功补偿的220V单相低压调压器</w:t>
            </w:r>
          </w:p>
          <w:p>
            <w:pPr>
              <w:widowControl/>
              <w:jc w:val="center"/>
              <w:textAlignment w:val="center"/>
              <w:rPr>
                <w:rFonts w:hint="eastAsia" w:ascii="宋体" w:hAnsi="宋体" w:cs="宋体"/>
                <w:szCs w:val="21"/>
              </w:rPr>
            </w:pP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szCs w:val="21"/>
              </w:rPr>
            </w:pPr>
            <w:r>
              <w:rPr>
                <w:rFonts w:hint="eastAsia" w:ascii="宋体" w:hAnsi="宋体" w:cs="宋体"/>
                <w:szCs w:val="21"/>
              </w:rPr>
              <w:t>1.额定工作电压：220V，允许偏差</w:t>
            </w:r>
            <w:r>
              <w:rPr>
                <w:rFonts w:hint="eastAsia" w:ascii="宋体" w:hAnsi="宋体" w:cs="宋体"/>
                <w:szCs w:val="21"/>
                <w:lang w:val="en-US" w:eastAsia="zh-CN"/>
              </w:rPr>
              <w:t>-</w:t>
            </w:r>
            <w:r>
              <w:rPr>
                <w:rFonts w:hint="eastAsia" w:ascii="宋体" w:hAnsi="宋体" w:cs="宋体"/>
                <w:szCs w:val="21"/>
              </w:rPr>
              <w:t>20％～＋20％。</w:t>
            </w:r>
          </w:p>
          <w:p>
            <w:pPr>
              <w:widowControl/>
              <w:jc w:val="left"/>
              <w:textAlignment w:val="center"/>
              <w:rPr>
                <w:rFonts w:hint="eastAsia" w:ascii="宋体" w:hAnsi="宋体" w:cs="宋体"/>
                <w:szCs w:val="21"/>
              </w:rPr>
            </w:pPr>
            <w:r>
              <w:rPr>
                <w:rFonts w:hint="eastAsia" w:ascii="宋体" w:hAnsi="宋体" w:cs="宋体"/>
                <w:szCs w:val="21"/>
              </w:rPr>
              <w:t>2.额定主电路工作电流：170A（30kVA）。</w:t>
            </w:r>
          </w:p>
          <w:p>
            <w:pPr>
              <w:widowControl/>
              <w:jc w:val="left"/>
              <w:textAlignment w:val="center"/>
              <w:rPr>
                <w:rFonts w:hint="eastAsia" w:ascii="宋体" w:hAnsi="宋体" w:cs="宋体"/>
                <w:szCs w:val="21"/>
              </w:rPr>
            </w:pPr>
            <w:r>
              <w:rPr>
                <w:rFonts w:hint="eastAsia" w:ascii="宋体" w:hAnsi="宋体" w:cs="宋体"/>
                <w:szCs w:val="21"/>
              </w:rPr>
              <w:t>3.电容器组单组容量为1.67kVAR,额定电压为220V，共三组，合计总补偿容量为5kVAR。</w:t>
            </w:r>
          </w:p>
          <w:p>
            <w:pPr>
              <w:widowControl/>
              <w:jc w:val="left"/>
              <w:textAlignment w:val="center"/>
              <w:rPr>
                <w:rFonts w:hint="eastAsia" w:ascii="宋体" w:hAnsi="宋体" w:cs="宋体"/>
                <w:szCs w:val="21"/>
              </w:rPr>
            </w:pPr>
            <w:r>
              <w:rPr>
                <w:rFonts w:hint="eastAsia" w:ascii="宋体" w:hAnsi="宋体" w:cs="宋体"/>
                <w:szCs w:val="21"/>
              </w:rPr>
              <w:t>额定频率：50Hz，允许偏差-5％～＋5％。</w:t>
            </w: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p>
        </w:tc>
      </w:tr>
      <w:tr>
        <w:tblPrEx>
          <w:tblCellMar>
            <w:top w:w="0" w:type="dxa"/>
            <w:left w:w="0" w:type="dxa"/>
            <w:bottom w:w="0" w:type="dxa"/>
            <w:right w:w="0" w:type="dxa"/>
          </w:tblCellMar>
        </w:tblPrEx>
        <w:trPr>
          <w:trHeight w:val="926" w:hRule="atLeast"/>
        </w:trPr>
        <w:tc>
          <w:tcPr>
            <w:tcW w:w="3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w:t>
            </w:r>
          </w:p>
        </w:tc>
        <w:tc>
          <w:tcPr>
            <w:tcW w:w="76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szCs w:val="21"/>
              </w:rPr>
            </w:pPr>
            <w:r>
              <w:rPr>
                <w:rFonts w:hint="eastAsia" w:ascii="宋体" w:hAnsi="宋体" w:cs="宋体"/>
                <w:snapToGrid w:val="0"/>
                <w:kern w:val="0"/>
                <w:szCs w:val="21"/>
              </w:rPr>
              <w:t>硬件配置</w:t>
            </w:r>
          </w:p>
        </w:tc>
        <w:tc>
          <w:tcPr>
            <w:tcW w:w="158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szCs w:val="21"/>
              </w:rPr>
            </w:pPr>
            <w:r>
              <w:rPr>
                <w:rFonts w:hint="eastAsia" w:ascii="宋体" w:hAnsi="宋体" w:cs="宋体"/>
                <w:szCs w:val="21"/>
              </w:rPr>
              <w:t>220V单相低压调压器由采集单元、主控单元、保护单元、调压单元、电压补偿单元、旁路开关、无功补偿、柜体等组成。</w:t>
            </w:r>
          </w:p>
          <w:p>
            <w:pPr>
              <w:widowControl/>
              <w:jc w:val="left"/>
              <w:textAlignment w:val="center"/>
              <w:rPr>
                <w:rFonts w:hint="eastAsia" w:ascii="宋体" w:hAnsi="宋体" w:cs="宋体"/>
                <w:szCs w:val="21"/>
              </w:rPr>
            </w:pPr>
          </w:p>
        </w:tc>
        <w:tc>
          <w:tcPr>
            <w:tcW w:w="63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Cs w:val="21"/>
              </w:rPr>
            </w:pPr>
          </w:p>
        </w:tc>
      </w:tr>
      <w:tr>
        <w:tblPrEx>
          <w:tblCellMar>
            <w:top w:w="0" w:type="dxa"/>
            <w:left w:w="0" w:type="dxa"/>
            <w:bottom w:w="0" w:type="dxa"/>
            <w:right w:w="0" w:type="dxa"/>
          </w:tblCellMar>
        </w:tblPrEx>
        <w:trPr>
          <w:trHeight w:val="926" w:hRule="atLeast"/>
        </w:trPr>
        <w:tc>
          <w:tcPr>
            <w:tcW w:w="34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w:t>
            </w:r>
          </w:p>
        </w:tc>
        <w:tc>
          <w:tcPr>
            <w:tcW w:w="7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设计寿命</w:t>
            </w:r>
          </w:p>
        </w:tc>
        <w:tc>
          <w:tcPr>
            <w:tcW w:w="1585" w:type="pct"/>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宋体"/>
                <w:szCs w:val="21"/>
              </w:rPr>
            </w:pPr>
            <w:r>
              <w:rPr>
                <w:rFonts w:hint="eastAsia" w:ascii="宋体" w:hAnsi="宋体" w:cs="宋体"/>
                <w:szCs w:val="21"/>
              </w:rPr>
              <w:t>投标方所供产品必须满足作为一个完整产品所能满足的全部要求，产品设计寿命不小于10年。</w:t>
            </w:r>
          </w:p>
        </w:tc>
        <w:tc>
          <w:tcPr>
            <w:tcW w:w="636"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000000"/>
                <w:kern w:val="0"/>
                <w:szCs w:val="21"/>
                <w:lang w:bidi="ar"/>
              </w:rPr>
            </w:pPr>
          </w:p>
        </w:tc>
      </w:tr>
      <w:tr>
        <w:tblPrEx>
          <w:tblCellMar>
            <w:top w:w="0" w:type="dxa"/>
            <w:left w:w="0" w:type="dxa"/>
            <w:bottom w:w="0" w:type="dxa"/>
            <w:right w:w="0" w:type="dxa"/>
          </w:tblCellMar>
        </w:tblPrEx>
        <w:trPr>
          <w:trHeight w:val="926" w:hRule="atLeast"/>
        </w:trPr>
        <w:tc>
          <w:tcPr>
            <w:tcW w:w="34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w:t>
            </w:r>
          </w:p>
        </w:tc>
        <w:tc>
          <w:tcPr>
            <w:tcW w:w="7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color w:val="000000"/>
                <w:kern w:val="0"/>
                <w:szCs w:val="21"/>
                <w:lang w:bidi="ar"/>
              </w:rPr>
              <w:t>质量保证</w:t>
            </w:r>
          </w:p>
        </w:tc>
        <w:tc>
          <w:tcPr>
            <w:tcW w:w="1585" w:type="pct"/>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宋体"/>
                <w:szCs w:val="21"/>
              </w:rPr>
            </w:pPr>
            <w:r>
              <w:rPr>
                <w:rFonts w:hint="eastAsia" w:ascii="宋体" w:hAnsi="宋体" w:cs="宋体"/>
                <w:szCs w:val="21"/>
              </w:rPr>
              <w:t>投标方应对其整组设备在到货后提供不少于三年的“三包”质量保证。</w:t>
            </w:r>
          </w:p>
        </w:tc>
        <w:tc>
          <w:tcPr>
            <w:tcW w:w="636"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5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（由投标人填写）</w:t>
            </w:r>
          </w:p>
        </w:tc>
        <w:tc>
          <w:tcPr>
            <w:tcW w:w="61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000000"/>
                <w:szCs w:val="21"/>
              </w:rPr>
            </w:pPr>
            <w:r>
              <w:rPr>
                <w:rFonts w:hint="eastAsia" w:ascii="宋体" w:hAnsi="宋体" w:cs="宋体"/>
                <w:color w:val="000000"/>
                <w:kern w:val="0"/>
                <w:szCs w:val="21"/>
                <w:lang w:bidi="ar"/>
              </w:rPr>
              <w:t>见技术投标文件第XX页</w:t>
            </w:r>
          </w:p>
        </w:tc>
        <w:tc>
          <w:tcPr>
            <w:tcW w:w="4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000000"/>
                <w:kern w:val="0"/>
                <w:szCs w:val="21"/>
                <w:lang w:bidi="ar"/>
              </w:rPr>
            </w:pPr>
          </w:p>
        </w:tc>
      </w:tr>
      <w:tr>
        <w:tblPrEx>
          <w:tblCellMar>
            <w:top w:w="0" w:type="dxa"/>
            <w:left w:w="0" w:type="dxa"/>
            <w:bottom w:w="0" w:type="dxa"/>
            <w:right w:w="0" w:type="dxa"/>
          </w:tblCellMar>
        </w:tblPrEx>
        <w:trPr>
          <w:trHeight w:val="926" w:hRule="atLeast"/>
        </w:trPr>
        <w:tc>
          <w:tcPr>
            <w:tcW w:w="34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w:t>
            </w:r>
          </w:p>
        </w:tc>
        <w:tc>
          <w:tcPr>
            <w:tcW w:w="7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其他</w:t>
            </w:r>
          </w:p>
        </w:tc>
        <w:tc>
          <w:tcPr>
            <w:tcW w:w="158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636"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000000"/>
                <w:kern w:val="0"/>
                <w:szCs w:val="21"/>
                <w:lang w:bidi="ar"/>
              </w:rPr>
            </w:pPr>
          </w:p>
        </w:tc>
        <w:tc>
          <w:tcPr>
            <w:tcW w:w="5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000000"/>
                <w:kern w:val="0"/>
                <w:szCs w:val="21"/>
                <w:lang w:bidi="ar"/>
              </w:rPr>
            </w:pPr>
          </w:p>
        </w:tc>
        <w:tc>
          <w:tcPr>
            <w:tcW w:w="61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000000"/>
                <w:kern w:val="0"/>
                <w:szCs w:val="21"/>
                <w:lang w:bidi="ar"/>
              </w:rPr>
            </w:pPr>
          </w:p>
        </w:tc>
        <w:tc>
          <w:tcPr>
            <w:tcW w:w="4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000000"/>
                <w:kern w:val="0"/>
                <w:szCs w:val="21"/>
                <w:lang w:bidi="ar"/>
              </w:rPr>
            </w:pPr>
          </w:p>
        </w:tc>
      </w:tr>
    </w:tbl>
    <w:p>
      <w:pPr>
        <w:outlineLvl w:val="1"/>
        <w:rPr>
          <w:rFonts w:hint="eastAsia" w:ascii="宋体" w:hAnsi="宋体" w:cs="宋体"/>
          <w:bCs/>
          <w:color w:val="000000"/>
          <w:kern w:val="0"/>
          <w:szCs w:val="21"/>
          <w:lang w:val="zh-CN"/>
        </w:rPr>
      </w:pPr>
      <w:bookmarkStart w:id="219" w:name="_Toc9378"/>
      <w:r>
        <w:rPr>
          <w:rFonts w:hint="eastAsia" w:ascii="宋体" w:hAnsi="宋体" w:cs="宋体"/>
          <w:bCs/>
          <w:color w:val="000000"/>
          <w:kern w:val="0"/>
          <w:szCs w:val="21"/>
          <w:lang w:val="zh-CN"/>
        </w:rPr>
        <w:t>表</w:t>
      </w:r>
      <w:r>
        <w:rPr>
          <w:rFonts w:hint="eastAsia" w:ascii="宋体" w:hAnsi="宋体" w:cs="宋体"/>
          <w:bCs/>
          <w:color w:val="000000"/>
          <w:kern w:val="0"/>
          <w:szCs w:val="21"/>
        </w:rPr>
        <w:t>2</w:t>
      </w:r>
      <w:r>
        <w:rPr>
          <w:rFonts w:hint="eastAsia" w:ascii="宋体" w:hAnsi="宋体" w:cs="宋体"/>
          <w:bCs/>
          <w:color w:val="000000"/>
          <w:kern w:val="0"/>
          <w:szCs w:val="21"/>
          <w:lang w:val="zh-CN"/>
        </w:rPr>
        <w:t>：投标技术偏差表格（超出技术规范书要求）</w:t>
      </w:r>
      <w:bookmarkEnd w:id="218"/>
      <w:bookmarkEnd w:id="219"/>
    </w:p>
    <w:tbl>
      <w:tblPr>
        <w:tblStyle w:val="77"/>
        <w:tblW w:w="9615" w:type="dxa"/>
        <w:tblInd w:w="-76" w:type="dxa"/>
        <w:tblLayout w:type="fixed"/>
        <w:tblCellMar>
          <w:top w:w="0" w:type="dxa"/>
          <w:left w:w="0" w:type="dxa"/>
          <w:bottom w:w="0" w:type="dxa"/>
          <w:right w:w="0" w:type="dxa"/>
        </w:tblCellMar>
      </w:tblPr>
      <w:tblGrid>
        <w:gridCol w:w="404"/>
        <w:gridCol w:w="490"/>
        <w:gridCol w:w="1361"/>
        <w:gridCol w:w="1725"/>
        <w:gridCol w:w="3031"/>
        <w:gridCol w:w="932"/>
        <w:gridCol w:w="587"/>
        <w:gridCol w:w="1085"/>
      </w:tblGrid>
      <w:tr>
        <w:tblPrEx>
          <w:tblCellMar>
            <w:top w:w="0" w:type="dxa"/>
            <w:left w:w="0" w:type="dxa"/>
            <w:bottom w:w="0" w:type="dxa"/>
            <w:right w:w="0" w:type="dxa"/>
          </w:tblCellMar>
        </w:tblPrEx>
        <w:trPr>
          <w:trHeight w:val="677" w:hRule="atLeast"/>
        </w:trPr>
        <w:tc>
          <w:tcPr>
            <w:tcW w:w="4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 w:val="20"/>
              </w:rPr>
            </w:pPr>
            <w:r>
              <w:rPr>
                <w:rFonts w:hint="eastAsia" w:ascii="宋体" w:hAnsi="宋体" w:cs="宋体"/>
                <w:color w:val="000000"/>
                <w:kern w:val="0"/>
                <w:sz w:val="20"/>
                <w:lang w:bidi="ar"/>
              </w:rPr>
              <w:t>序号</w:t>
            </w:r>
          </w:p>
        </w:tc>
        <w:tc>
          <w:tcPr>
            <w:tcW w:w="4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 w:val="20"/>
              </w:rPr>
            </w:pPr>
            <w:r>
              <w:rPr>
                <w:rFonts w:hint="eastAsia" w:ascii="宋体" w:hAnsi="宋体" w:cs="宋体"/>
                <w:color w:val="000000"/>
                <w:kern w:val="0"/>
                <w:sz w:val="20"/>
                <w:lang w:bidi="ar"/>
              </w:rPr>
              <w:t>标的名称</w:t>
            </w:r>
          </w:p>
        </w:tc>
        <w:tc>
          <w:tcPr>
            <w:tcW w:w="13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 w:val="20"/>
              </w:rPr>
            </w:pPr>
            <w:r>
              <w:rPr>
                <w:rFonts w:hint="eastAsia" w:ascii="宋体" w:hAnsi="宋体" w:cs="宋体"/>
                <w:color w:val="000000"/>
                <w:kern w:val="0"/>
                <w:sz w:val="20"/>
                <w:lang w:bidi="ar"/>
              </w:rPr>
              <w:t>技术规范书条目号</w:t>
            </w:r>
          </w:p>
        </w:tc>
        <w:tc>
          <w:tcPr>
            <w:tcW w:w="17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 w:val="20"/>
              </w:rPr>
            </w:pPr>
            <w:r>
              <w:rPr>
                <w:rFonts w:hint="eastAsia" w:ascii="宋体" w:hAnsi="宋体" w:cs="宋体"/>
                <w:color w:val="000000"/>
                <w:kern w:val="0"/>
                <w:sz w:val="20"/>
                <w:lang w:bidi="ar"/>
              </w:rPr>
              <w:t>技术规范书要求</w:t>
            </w:r>
          </w:p>
        </w:tc>
        <w:tc>
          <w:tcPr>
            <w:tcW w:w="3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 w:val="20"/>
              </w:rPr>
            </w:pPr>
            <w:r>
              <w:rPr>
                <w:rFonts w:hint="eastAsia" w:ascii="宋体" w:hAnsi="宋体" w:cs="宋体"/>
                <w:color w:val="000000"/>
                <w:kern w:val="0"/>
                <w:sz w:val="20"/>
                <w:lang w:bidi="ar"/>
              </w:rPr>
              <w:t>技术评审标准</w:t>
            </w:r>
          </w:p>
        </w:tc>
        <w:tc>
          <w:tcPr>
            <w:tcW w:w="93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 w:val="20"/>
              </w:rPr>
            </w:pPr>
            <w:r>
              <w:rPr>
                <w:rFonts w:hint="eastAsia" w:ascii="宋体" w:hAnsi="宋体" w:cs="宋体"/>
                <w:color w:val="000000"/>
                <w:kern w:val="0"/>
                <w:sz w:val="20"/>
                <w:lang w:bidi="ar"/>
              </w:rPr>
              <w:t>投标人响应值</w:t>
            </w:r>
          </w:p>
        </w:tc>
        <w:tc>
          <w:tcPr>
            <w:tcW w:w="58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 w:val="20"/>
              </w:rPr>
            </w:pPr>
            <w:r>
              <w:rPr>
                <w:rFonts w:hint="eastAsia" w:ascii="宋体" w:hAnsi="宋体" w:cs="宋体"/>
                <w:color w:val="000000"/>
                <w:kern w:val="0"/>
                <w:sz w:val="20"/>
                <w:lang w:bidi="ar"/>
              </w:rPr>
              <w:t>偏差情况</w:t>
            </w:r>
          </w:p>
        </w:tc>
        <w:tc>
          <w:tcPr>
            <w:tcW w:w="10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 w:val="20"/>
              </w:rPr>
            </w:pPr>
            <w:r>
              <w:rPr>
                <w:rFonts w:hint="eastAsia" w:ascii="宋体" w:hAnsi="宋体" w:cs="宋体"/>
                <w:color w:val="000000"/>
                <w:kern w:val="0"/>
                <w:sz w:val="20"/>
                <w:lang w:bidi="ar"/>
              </w:rPr>
              <w:t>备注</w:t>
            </w:r>
          </w:p>
        </w:tc>
      </w:tr>
      <w:tr>
        <w:tblPrEx>
          <w:tblCellMar>
            <w:top w:w="0" w:type="dxa"/>
            <w:left w:w="0" w:type="dxa"/>
            <w:bottom w:w="0" w:type="dxa"/>
            <w:right w:w="0" w:type="dxa"/>
          </w:tblCellMar>
        </w:tblPrEx>
        <w:trPr>
          <w:trHeight w:val="778" w:hRule="atLeast"/>
        </w:trPr>
        <w:tc>
          <w:tcPr>
            <w:tcW w:w="4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 w:val="20"/>
              </w:rPr>
            </w:pPr>
            <w:r>
              <w:rPr>
                <w:rFonts w:hint="eastAsia" w:ascii="宋体" w:hAnsi="宋体" w:cs="宋体"/>
                <w:color w:val="000000"/>
                <w:kern w:val="0"/>
                <w:sz w:val="20"/>
                <w:lang w:bidi="ar"/>
              </w:rPr>
              <w:t>1</w:t>
            </w:r>
          </w:p>
        </w:tc>
        <w:tc>
          <w:tcPr>
            <w:tcW w:w="4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hint="eastAsia" w:ascii="宋体" w:hAnsi="宋体" w:cs="宋体"/>
                <w:color w:val="000000"/>
                <w:sz w:val="20"/>
              </w:rPr>
            </w:pPr>
          </w:p>
        </w:tc>
        <w:tc>
          <w:tcPr>
            <w:tcW w:w="13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000000"/>
                <w:sz w:val="20"/>
              </w:rPr>
            </w:pPr>
          </w:p>
        </w:tc>
        <w:tc>
          <w:tcPr>
            <w:tcW w:w="17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hint="eastAsia" w:ascii="宋体" w:hAnsi="宋体" w:cs="宋体"/>
                <w:color w:val="000000"/>
                <w:sz w:val="20"/>
              </w:rPr>
            </w:pPr>
          </w:p>
        </w:tc>
        <w:tc>
          <w:tcPr>
            <w:tcW w:w="3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hint="eastAsia" w:ascii="宋体" w:hAnsi="宋体" w:cs="宋体"/>
                <w:color w:val="000000"/>
                <w:sz w:val="20"/>
              </w:rPr>
            </w:pPr>
          </w:p>
        </w:tc>
        <w:tc>
          <w:tcPr>
            <w:tcW w:w="93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 w:val="20"/>
              </w:rPr>
            </w:pPr>
          </w:p>
        </w:tc>
        <w:tc>
          <w:tcPr>
            <w:tcW w:w="58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000000"/>
                <w:sz w:val="20"/>
              </w:rPr>
            </w:pPr>
          </w:p>
        </w:tc>
        <w:tc>
          <w:tcPr>
            <w:tcW w:w="10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sz w:val="20"/>
              </w:rPr>
            </w:pPr>
          </w:p>
        </w:tc>
      </w:tr>
      <w:tr>
        <w:tblPrEx>
          <w:tblCellMar>
            <w:top w:w="0" w:type="dxa"/>
            <w:left w:w="0" w:type="dxa"/>
            <w:bottom w:w="0" w:type="dxa"/>
            <w:right w:w="0" w:type="dxa"/>
          </w:tblCellMar>
        </w:tblPrEx>
        <w:trPr>
          <w:trHeight w:val="788" w:hRule="atLeast"/>
        </w:trPr>
        <w:tc>
          <w:tcPr>
            <w:tcW w:w="4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0"/>
                <w:lang w:bidi="ar"/>
              </w:rPr>
            </w:pPr>
            <w:r>
              <w:rPr>
                <w:rFonts w:hint="eastAsia" w:ascii="宋体" w:hAnsi="宋体" w:cs="宋体"/>
                <w:color w:val="000000"/>
                <w:sz w:val="24"/>
                <w:szCs w:val="24"/>
              </w:rPr>
              <w:t>…</w:t>
            </w:r>
          </w:p>
        </w:tc>
        <w:tc>
          <w:tcPr>
            <w:tcW w:w="9211" w:type="dxa"/>
            <w:gridSpan w:val="7"/>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000000"/>
                <w:sz w:val="20"/>
              </w:rPr>
            </w:pPr>
            <w:r>
              <w:rPr>
                <w:rFonts w:hint="eastAsia" w:ascii="宋体" w:hAnsi="宋体" w:cs="宋体"/>
                <w:color w:val="000000"/>
                <w:kern w:val="0"/>
                <w:sz w:val="20"/>
                <w:lang w:bidi="ar"/>
              </w:rPr>
              <w:t>除以上列明的技术偏差外，其余完全满足技术规范书要求。</w:t>
            </w:r>
          </w:p>
        </w:tc>
      </w:tr>
    </w:tbl>
    <w:p>
      <w:pPr>
        <w:spacing w:line="360" w:lineRule="auto"/>
        <w:ind w:right="-94"/>
        <w:jc w:val="right"/>
        <w:rPr>
          <w:rFonts w:hint="eastAsia" w:ascii="宋体" w:hAnsi="宋体" w:cs="宋体"/>
          <w:snapToGrid w:val="0"/>
          <w:kern w:val="24"/>
          <w:sz w:val="24"/>
          <w:szCs w:val="24"/>
        </w:rPr>
      </w:pPr>
    </w:p>
    <w:p>
      <w:pPr>
        <w:rPr>
          <w:rFonts w:hint="eastAsia" w:ascii="宋体" w:hAnsi="宋体" w:cs="宋体"/>
          <w:szCs w:val="21"/>
        </w:rPr>
      </w:pPr>
    </w:p>
    <w:p>
      <w:pPr>
        <w:spacing w:line="360" w:lineRule="auto"/>
        <w:ind w:right="-94"/>
        <w:jc w:val="right"/>
        <w:rPr>
          <w:rFonts w:hint="eastAsia" w:ascii="宋体" w:hAnsi="宋体" w:cs="宋体"/>
          <w:snapToGrid w:val="0"/>
          <w:kern w:val="24"/>
          <w:sz w:val="24"/>
          <w:szCs w:val="24"/>
        </w:rPr>
      </w:pPr>
      <w:r>
        <w:rPr>
          <w:rFonts w:hint="eastAsia" w:ascii="宋体" w:hAnsi="宋体" w:cs="宋体"/>
          <w:snapToGrid w:val="0"/>
          <w:kern w:val="24"/>
          <w:sz w:val="24"/>
          <w:szCs w:val="24"/>
        </w:rPr>
        <w:t>投标人：（公司公章/公司数字证书（电子签章）</w:t>
      </w:r>
    </w:p>
    <w:p>
      <w:pPr>
        <w:spacing w:line="360" w:lineRule="auto"/>
        <w:ind w:right="-94"/>
        <w:jc w:val="right"/>
        <w:rPr>
          <w:rFonts w:hint="eastAsia" w:ascii="宋体" w:hAnsi="宋体" w:cs="宋体"/>
          <w:snapToGrid w:val="0"/>
          <w:kern w:val="24"/>
          <w:sz w:val="24"/>
          <w:szCs w:val="24"/>
        </w:rPr>
      </w:pPr>
      <w:r>
        <w:rPr>
          <w:rFonts w:hint="eastAsia" w:ascii="宋体" w:hAnsi="宋体" w:cs="宋体"/>
          <w:snapToGrid w:val="0"/>
          <w:kern w:val="24"/>
          <w:sz w:val="24"/>
          <w:szCs w:val="24"/>
        </w:rPr>
        <w:t>日期：_____年_____月_____日</w:t>
      </w:r>
    </w:p>
    <w:p>
      <w:pPr>
        <w:pStyle w:val="123"/>
        <w:spacing w:line="360" w:lineRule="auto"/>
        <w:ind w:firstLine="405" w:firstLineChars="193"/>
        <w:outlineLvl w:val="8"/>
        <w:rPr>
          <w:rFonts w:hint="eastAsia" w:hAnsi="宋体" w:cs="宋体"/>
        </w:rPr>
      </w:pPr>
    </w:p>
    <w:p>
      <w:pPr>
        <w:spacing w:line="312" w:lineRule="exact"/>
        <w:ind w:firstLine="630" w:firstLineChars="300"/>
        <w:rPr>
          <w:rFonts w:hint="eastAsia" w:ascii="宋体" w:hAnsi="宋体" w:cs="宋体"/>
          <w:szCs w:val="21"/>
        </w:rPr>
      </w:pPr>
    </w:p>
    <w:sectPr>
      <w:footerReference r:id="rId7" w:type="default"/>
      <w:footerReference r:id="rId8" w:type="even"/>
      <w:pgSz w:w="11907" w:h="16840"/>
      <w:pgMar w:top="1814" w:right="1247" w:bottom="1531" w:left="1247" w:header="1134" w:footer="1077" w:gutter="0"/>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2010609000101010101"/>
    <w:charset w:val="86"/>
    <w:family w:val="modern"/>
    <w:pitch w:val="default"/>
    <w:sig w:usb0="00000000" w:usb1="00000000" w:usb2="00000002"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EU-F1">
    <w:altName w:val="黑体"/>
    <w:panose1 w:val="00000000000000000000"/>
    <w:charset w:val="86"/>
    <w:family w:val="script"/>
    <w:pitch w:val="default"/>
    <w:sig w:usb0="00000000" w:usb1="00000000" w:usb2="00000010" w:usb3="00000000" w:csb0="00040000" w:csb1="00000000"/>
  </w:font>
  <w:font w:name="E-F1">
    <w:altName w:val="Malgun Gothic"/>
    <w:panose1 w:val="02060000000000000000"/>
    <w:charset w:val="81"/>
    <w:family w:val="roman"/>
    <w:pitch w:val="default"/>
    <w:sig w:usb0="00000000" w:usb1="00000000" w:usb2="00000033" w:usb3="00000000" w:csb0="0008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ind w:left="170" w:right="170"/>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WQ/nIAQAAmQMAAA4AAAAAAAAAAQAgAAAAHgEAAGRycy9lMm9Eb2Mu&#10;eG1sUEsFBgAAAAAGAAYAWQEAAFgFAAAAAA==&#10;">
              <v:fill on="f" focussize="0,0"/>
              <v:stroke on="f"/>
              <v:imagedata o:title=""/>
              <o:lock v:ext="edit" aspectratio="f"/>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ind w:left="170" w:right="17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DKpffIAQAAmgMAAA4AAAAAAAAAAQAgAAAAHgEAAGRycy9lMm9Eb2Mu&#10;eG1sUEsFBgAAAAAGAAYAWQEAAFgFAAAAAA==&#10;">
              <v:fill on="f" focussize="0,0"/>
              <v:stroke on="f"/>
              <v:imagedata o:title=""/>
              <o:lock v:ext="edit" aspectratio="f"/>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ind w:left="170" w:right="17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7"/>
                            <w:ind w:left="170" w:right="170"/>
                            <w:jc w:val="center"/>
                          </w:pPr>
                          <w:r>
                            <w:fldChar w:fldCharType="begin"/>
                          </w:r>
                          <w:r>
                            <w:rPr>
                              <w:rStyle w:val="80"/>
                            </w:rPr>
                            <w:instrText xml:space="preserve"> PAGE </w:instrText>
                          </w:r>
                          <w:r>
                            <w:fldChar w:fldCharType="separate"/>
                          </w:r>
                          <w:r>
                            <w:rPr>
                              <w:rStyle w:val="80"/>
                            </w:rPr>
                            <w:t>13</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u1cF8kBAACZAwAADgAAAGRycy9lMm9Eb2MueG1srVPNjtMwEL4j8Q6W&#10;79RppUV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a7VwXyQEAAJkDAAAOAAAAAAAAAAEAIAAAAB4BAABkcnMvZTJvRG9j&#10;LnhtbFBLBQYAAAAABgAGAFkBAABZBQAAAAA=&#10;">
              <v:fill on="f" focussize="0,0"/>
              <v:stroke on="f"/>
              <v:imagedata o:title=""/>
              <o:lock v:ext="edit" aspectratio="f"/>
              <v:textbox inset="0mm,0mm,0mm,0mm" style="mso-fit-shape-to-text:t;">
                <w:txbxContent>
                  <w:p>
                    <w:pPr>
                      <w:pStyle w:val="47"/>
                      <w:ind w:left="170" w:right="170"/>
                      <w:jc w:val="center"/>
                    </w:pPr>
                    <w:r>
                      <w:fldChar w:fldCharType="begin"/>
                    </w:r>
                    <w:r>
                      <w:rPr>
                        <w:rStyle w:val="80"/>
                      </w:rPr>
                      <w:instrText xml:space="preserve"> PAGE </w:instrText>
                    </w:r>
                    <w:r>
                      <w:fldChar w:fldCharType="separate"/>
                    </w:r>
                    <w:r>
                      <w:rPr>
                        <w:rStyle w:val="80"/>
                      </w:rP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ind w:left="170" w:right="17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7"/>
                            <w:ind w:left="170" w:right="170"/>
                          </w:pPr>
                          <w:r>
                            <w:fldChar w:fldCharType="begin"/>
                          </w:r>
                          <w:r>
                            <w:rPr>
                              <w:rStyle w:val="80"/>
                            </w:rPr>
                            <w:instrText xml:space="preserve"> PAGE </w:instrText>
                          </w:r>
                          <w:r>
                            <w:fldChar w:fldCharType="separate"/>
                          </w:r>
                          <w:r>
                            <w:rPr>
                              <w:rStyle w:val="80"/>
                            </w:rPr>
                            <w:t>14</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MwjeckBAACZAwAADgAAAGRycy9lMm9Eb2MueG1srVPNjtMwEL4j8Q6W&#10;79Rph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6A0ljlsc+OXH98vP35df38jr&#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IzCN5yQEAAJkDAAAOAAAAAAAAAAEAIAAAAB4BAABkcnMvZTJvRG9j&#10;LnhtbFBLBQYAAAAABgAGAFkBAABZBQAAAAA=&#10;">
              <v:fill on="f" focussize="0,0"/>
              <v:stroke on="f"/>
              <v:imagedata o:title=""/>
              <o:lock v:ext="edit" aspectratio="f"/>
              <v:textbox inset="0mm,0mm,0mm,0mm" style="mso-fit-shape-to-text:t;">
                <w:txbxContent>
                  <w:p>
                    <w:pPr>
                      <w:pStyle w:val="47"/>
                      <w:ind w:left="170" w:right="170"/>
                    </w:pPr>
                    <w:r>
                      <w:fldChar w:fldCharType="begin"/>
                    </w:r>
                    <w:r>
                      <w:rPr>
                        <w:rStyle w:val="80"/>
                      </w:rPr>
                      <w:instrText xml:space="preserve"> PAGE </w:instrText>
                    </w:r>
                    <w:r>
                      <w:fldChar w:fldCharType="separate"/>
                    </w:r>
                    <w:r>
                      <w:rPr>
                        <w:rStyle w:val="80"/>
                      </w:rPr>
                      <w:t>14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pBdr>
        <w:bottom w:val="none" w:color="auto" w:sz="0" w:space="0"/>
      </w:pBdr>
      <w:ind w:firstLine="2044"/>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anchor distT="0" distB="0" distL="114300" distR="114300" simplePos="0" relativeHeight="251659264" behindDoc="0" locked="0" layoutInCell="1" allowOverlap="1">
          <wp:simplePos x="0" y="0"/>
          <wp:positionH relativeFrom="margin">
            <wp:align>center</wp:align>
          </wp:positionH>
          <wp:positionV relativeFrom="margin">
            <wp:align>center</wp:align>
          </wp:positionV>
          <wp:extent cx="8973820" cy="6620510"/>
          <wp:effectExtent l="0" t="0" r="0" b="0"/>
          <wp:wrapNone/>
          <wp:docPr id="4" name="WordPictureWatermark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100009"/>
                  <pic:cNvPicPr>
                    <a:picLocks noChangeAspect="1"/>
                  </pic:cNvPicPr>
                </pic:nvPicPr>
                <pic:blipFill>
                  <a:blip r:embed="rId1"/>
                  <a:stretch>
                    <a:fillRect/>
                  </a:stretch>
                </pic:blipFill>
                <pic:spPr>
                  <a:xfrm>
                    <a:off x="0" y="0"/>
                    <a:ext cx="8973820" cy="662051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pStyle w:val="18"/>
      <w:lvlText w:val="%1."/>
      <w:lvlJc w:val="left"/>
      <w:pPr>
        <w:tabs>
          <w:tab w:val="left" w:pos="360"/>
        </w:tabs>
        <w:ind w:left="360" w:hanging="360"/>
      </w:pPr>
    </w:lvl>
  </w:abstractNum>
  <w:abstractNum w:abstractNumId="1">
    <w:nsid w:val="00000002"/>
    <w:multiLevelType w:val="singleLevel"/>
    <w:tmpl w:val="00000002"/>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2">
    <w:nsid w:val="00000003"/>
    <w:multiLevelType w:val="singleLevel"/>
    <w:tmpl w:val="00000003"/>
    <w:lvl w:ilvl="0" w:tentative="0">
      <w:start w:val="1"/>
      <w:numFmt w:val="decimal"/>
      <w:pStyle w:val="14"/>
      <w:lvlText w:val="%1."/>
      <w:lvlJc w:val="left"/>
      <w:pPr>
        <w:tabs>
          <w:tab w:val="left" w:pos="780"/>
        </w:tabs>
        <w:ind w:left="780" w:hanging="360"/>
      </w:pPr>
    </w:lvl>
  </w:abstractNum>
  <w:abstractNum w:abstractNumId="3">
    <w:nsid w:val="00000004"/>
    <w:multiLevelType w:val="singleLevel"/>
    <w:tmpl w:val="00000004"/>
    <w:lvl w:ilvl="0" w:tentative="0">
      <w:start w:val="1"/>
      <w:numFmt w:val="bullet"/>
      <w:pStyle w:val="40"/>
      <w:lvlText w:val=""/>
      <w:lvlJc w:val="left"/>
      <w:pPr>
        <w:tabs>
          <w:tab w:val="left" w:pos="2040"/>
        </w:tabs>
        <w:ind w:left="2040" w:hanging="360"/>
      </w:pPr>
      <w:rPr>
        <w:rFonts w:hint="default" w:ascii="Wingdings" w:hAnsi="Wingdings"/>
      </w:rPr>
    </w:lvl>
  </w:abstractNum>
  <w:abstractNum w:abstractNumId="4">
    <w:nsid w:val="00000005"/>
    <w:multiLevelType w:val="singleLevel"/>
    <w:tmpl w:val="00000005"/>
    <w:lvl w:ilvl="0" w:tentative="0">
      <w:start w:val="1"/>
      <w:numFmt w:val="bullet"/>
      <w:pStyle w:val="35"/>
      <w:lvlText w:val=""/>
      <w:lvlJc w:val="left"/>
      <w:pPr>
        <w:tabs>
          <w:tab w:val="left" w:pos="780"/>
        </w:tabs>
        <w:ind w:left="780" w:hanging="360"/>
      </w:pPr>
      <w:rPr>
        <w:rFonts w:hint="default" w:ascii="Wingdings" w:hAnsi="Wingdings"/>
      </w:rPr>
    </w:lvl>
  </w:abstractNum>
  <w:abstractNum w:abstractNumId="5">
    <w:nsid w:val="00000006"/>
    <w:multiLevelType w:val="singleLevel"/>
    <w:tmpl w:val="00000006"/>
    <w:lvl w:ilvl="0" w:tentative="0">
      <w:start w:val="1"/>
      <w:numFmt w:val="decimal"/>
      <w:pStyle w:val="41"/>
      <w:lvlText w:val="%1."/>
      <w:lvlJc w:val="left"/>
      <w:pPr>
        <w:tabs>
          <w:tab w:val="left" w:pos="1620"/>
        </w:tabs>
        <w:ind w:left="1620" w:hanging="360"/>
      </w:pPr>
    </w:lvl>
  </w:abstractNum>
  <w:abstractNum w:abstractNumId="6">
    <w:nsid w:val="00000007"/>
    <w:multiLevelType w:val="singleLevel"/>
    <w:tmpl w:val="00000007"/>
    <w:lvl w:ilvl="0" w:tentative="0">
      <w:start w:val="1"/>
      <w:numFmt w:val="bullet"/>
      <w:pStyle w:val="28"/>
      <w:lvlText w:val=""/>
      <w:lvlJc w:val="left"/>
      <w:pPr>
        <w:tabs>
          <w:tab w:val="left" w:pos="1200"/>
        </w:tabs>
        <w:ind w:left="1200" w:hanging="360"/>
      </w:pPr>
      <w:rPr>
        <w:rFonts w:hint="default" w:ascii="Wingdings" w:hAnsi="Wingdings"/>
      </w:rPr>
    </w:lvl>
  </w:abstractNum>
  <w:abstractNum w:abstractNumId="7">
    <w:nsid w:val="00000008"/>
    <w:multiLevelType w:val="singleLevel"/>
    <w:tmpl w:val="00000008"/>
    <w:lvl w:ilvl="0" w:tentative="0">
      <w:start w:val="1"/>
      <w:numFmt w:val="decimal"/>
      <w:pStyle w:val="57"/>
      <w:lvlText w:val="%1."/>
      <w:lvlJc w:val="left"/>
      <w:pPr>
        <w:tabs>
          <w:tab w:val="left" w:pos="2040"/>
        </w:tabs>
        <w:ind w:left="2040" w:hanging="360"/>
      </w:pPr>
    </w:lvl>
  </w:abstractNum>
  <w:abstractNum w:abstractNumId="8">
    <w:nsid w:val="00000009"/>
    <w:multiLevelType w:val="singleLevel"/>
    <w:tmpl w:val="00000009"/>
    <w:lvl w:ilvl="0" w:tentative="0">
      <w:start w:val="1"/>
      <w:numFmt w:val="bullet"/>
      <w:pStyle w:val="21"/>
      <w:lvlText w:val=""/>
      <w:lvlJc w:val="left"/>
      <w:pPr>
        <w:tabs>
          <w:tab w:val="left" w:pos="360"/>
        </w:tabs>
        <w:ind w:left="360" w:hanging="360"/>
      </w:pPr>
      <w:rPr>
        <w:rFonts w:hint="default" w:ascii="Wingdings" w:hAnsi="Wingdings"/>
      </w:rPr>
    </w:lvl>
  </w:abstractNum>
  <w:abstractNum w:abstractNumId="9">
    <w:nsid w:val="0000000A"/>
    <w:multiLevelType w:val="singleLevel"/>
    <w:tmpl w:val="0000000A"/>
    <w:lvl w:ilvl="0" w:tentative="0">
      <w:start w:val="1"/>
      <w:numFmt w:val="decimal"/>
      <w:pStyle w:val="31"/>
      <w:lvlText w:val="%1."/>
      <w:lvlJc w:val="left"/>
      <w:pPr>
        <w:tabs>
          <w:tab w:val="left" w:pos="1200"/>
        </w:tabs>
        <w:ind w:left="1200" w:hanging="360"/>
      </w:pPr>
    </w:lvl>
  </w:abstractNum>
  <w:num w:numId="1">
    <w:abstractNumId w:val="2"/>
  </w:num>
  <w:num w:numId="2">
    <w:abstractNumId w:val="1"/>
  </w:num>
  <w:num w:numId="3">
    <w:abstractNumId w:val="0"/>
  </w:num>
  <w:num w:numId="4">
    <w:abstractNumId w:val="8"/>
  </w:num>
  <w:num w:numId="5">
    <w:abstractNumId w:val="6"/>
  </w:num>
  <w:num w:numId="6">
    <w:abstractNumId w:val="9"/>
  </w:num>
  <w:num w:numId="7">
    <w:abstractNumId w:val="4"/>
  </w:num>
  <w:num w:numId="8">
    <w:abstractNumId w:val="3"/>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documentProtection w:enforcement="0"/>
  <w:defaultTabStop w:val="420"/>
  <w:evenAndOddHeaders w:val="1"/>
  <w:drawingGridVerticalSpacing w:val="156"/>
  <w:doNotShadeFormData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mYjVmMDI4ZDc4NDJmNjJjYmYzYzdlZjk4ZTlhYzMifQ=="/>
    <w:docVar w:name="KSO_WPS_MARK_KEY" w:val="2abecdfe-e7e6-41b5-9224-9235e5489014"/>
  </w:docVars>
  <w:rsids>
    <w:rsidRoot w:val="00172A27"/>
    <w:rsid w:val="000134AC"/>
    <w:rsid w:val="00014AE0"/>
    <w:rsid w:val="0004526A"/>
    <w:rsid w:val="00045ADD"/>
    <w:rsid w:val="0004797C"/>
    <w:rsid w:val="00055D21"/>
    <w:rsid w:val="00057CC7"/>
    <w:rsid w:val="0008140D"/>
    <w:rsid w:val="000C06AE"/>
    <w:rsid w:val="000C54C7"/>
    <w:rsid w:val="000C5DEC"/>
    <w:rsid w:val="00105371"/>
    <w:rsid w:val="0011573D"/>
    <w:rsid w:val="00123A8D"/>
    <w:rsid w:val="0012497E"/>
    <w:rsid w:val="0012512C"/>
    <w:rsid w:val="00136088"/>
    <w:rsid w:val="00172AE8"/>
    <w:rsid w:val="00172E9B"/>
    <w:rsid w:val="00181790"/>
    <w:rsid w:val="00186A08"/>
    <w:rsid w:val="001E524B"/>
    <w:rsid w:val="00204DF9"/>
    <w:rsid w:val="0020618D"/>
    <w:rsid w:val="002217E2"/>
    <w:rsid w:val="00231F4E"/>
    <w:rsid w:val="0029084E"/>
    <w:rsid w:val="002A7BB0"/>
    <w:rsid w:val="002C2277"/>
    <w:rsid w:val="002C461C"/>
    <w:rsid w:val="002C4F78"/>
    <w:rsid w:val="002C51D8"/>
    <w:rsid w:val="002F34CC"/>
    <w:rsid w:val="002F7A3E"/>
    <w:rsid w:val="00310662"/>
    <w:rsid w:val="003108CA"/>
    <w:rsid w:val="00311742"/>
    <w:rsid w:val="003612A6"/>
    <w:rsid w:val="003728D3"/>
    <w:rsid w:val="00373DA2"/>
    <w:rsid w:val="0037497D"/>
    <w:rsid w:val="0038000F"/>
    <w:rsid w:val="0039156D"/>
    <w:rsid w:val="00396BF3"/>
    <w:rsid w:val="003A0803"/>
    <w:rsid w:val="003E0E58"/>
    <w:rsid w:val="003E1E3C"/>
    <w:rsid w:val="003F42C5"/>
    <w:rsid w:val="003F4E60"/>
    <w:rsid w:val="0041098B"/>
    <w:rsid w:val="00420B87"/>
    <w:rsid w:val="00427FF9"/>
    <w:rsid w:val="004313B6"/>
    <w:rsid w:val="0043557B"/>
    <w:rsid w:val="00436133"/>
    <w:rsid w:val="00440B1B"/>
    <w:rsid w:val="0046230A"/>
    <w:rsid w:val="00471A96"/>
    <w:rsid w:val="0048127C"/>
    <w:rsid w:val="00492419"/>
    <w:rsid w:val="004A39FB"/>
    <w:rsid w:val="004E41E6"/>
    <w:rsid w:val="004E740A"/>
    <w:rsid w:val="005140A3"/>
    <w:rsid w:val="00523CE8"/>
    <w:rsid w:val="00564FE4"/>
    <w:rsid w:val="00580CF9"/>
    <w:rsid w:val="0058281B"/>
    <w:rsid w:val="005B2FDA"/>
    <w:rsid w:val="005C69A3"/>
    <w:rsid w:val="005E6E86"/>
    <w:rsid w:val="00603633"/>
    <w:rsid w:val="0066329F"/>
    <w:rsid w:val="006A54BD"/>
    <w:rsid w:val="006A63A7"/>
    <w:rsid w:val="006B33D3"/>
    <w:rsid w:val="006C5018"/>
    <w:rsid w:val="006E4F66"/>
    <w:rsid w:val="006F35A7"/>
    <w:rsid w:val="00707744"/>
    <w:rsid w:val="007433D5"/>
    <w:rsid w:val="007716FD"/>
    <w:rsid w:val="00790A7D"/>
    <w:rsid w:val="007B246B"/>
    <w:rsid w:val="007C38D6"/>
    <w:rsid w:val="007C4E87"/>
    <w:rsid w:val="007F143D"/>
    <w:rsid w:val="00816BC7"/>
    <w:rsid w:val="00827C92"/>
    <w:rsid w:val="00831158"/>
    <w:rsid w:val="00870AB6"/>
    <w:rsid w:val="00891677"/>
    <w:rsid w:val="008A7D15"/>
    <w:rsid w:val="008B0ECC"/>
    <w:rsid w:val="008B78D2"/>
    <w:rsid w:val="008C7B59"/>
    <w:rsid w:val="0094013D"/>
    <w:rsid w:val="00970113"/>
    <w:rsid w:val="009A1E51"/>
    <w:rsid w:val="009C07CD"/>
    <w:rsid w:val="009C20C9"/>
    <w:rsid w:val="009C690B"/>
    <w:rsid w:val="009F5A5F"/>
    <w:rsid w:val="00A2095E"/>
    <w:rsid w:val="00A210B5"/>
    <w:rsid w:val="00A333E6"/>
    <w:rsid w:val="00A3704E"/>
    <w:rsid w:val="00A371D8"/>
    <w:rsid w:val="00A458CD"/>
    <w:rsid w:val="00A510A8"/>
    <w:rsid w:val="00A56A7D"/>
    <w:rsid w:val="00A7327B"/>
    <w:rsid w:val="00A76F7E"/>
    <w:rsid w:val="00A86565"/>
    <w:rsid w:val="00A941BF"/>
    <w:rsid w:val="00AA0F38"/>
    <w:rsid w:val="00AE6CB3"/>
    <w:rsid w:val="00B24FBF"/>
    <w:rsid w:val="00B319E8"/>
    <w:rsid w:val="00B35E62"/>
    <w:rsid w:val="00B4609D"/>
    <w:rsid w:val="00B87D8F"/>
    <w:rsid w:val="00BA06E1"/>
    <w:rsid w:val="00BB1ED8"/>
    <w:rsid w:val="00BB2173"/>
    <w:rsid w:val="00BD22F4"/>
    <w:rsid w:val="00BF0708"/>
    <w:rsid w:val="00BF3328"/>
    <w:rsid w:val="00C03EFC"/>
    <w:rsid w:val="00C068C4"/>
    <w:rsid w:val="00C278FB"/>
    <w:rsid w:val="00C370FA"/>
    <w:rsid w:val="00C71EE4"/>
    <w:rsid w:val="00C72651"/>
    <w:rsid w:val="00C74165"/>
    <w:rsid w:val="00C81255"/>
    <w:rsid w:val="00C85031"/>
    <w:rsid w:val="00CB02F1"/>
    <w:rsid w:val="00CB2390"/>
    <w:rsid w:val="00CD0BCB"/>
    <w:rsid w:val="00CD72C7"/>
    <w:rsid w:val="00CE0031"/>
    <w:rsid w:val="00CE16C8"/>
    <w:rsid w:val="00CE538D"/>
    <w:rsid w:val="00CF3D19"/>
    <w:rsid w:val="00D15B5B"/>
    <w:rsid w:val="00D23394"/>
    <w:rsid w:val="00D27BA7"/>
    <w:rsid w:val="00D44BF6"/>
    <w:rsid w:val="00D511DB"/>
    <w:rsid w:val="00D803A0"/>
    <w:rsid w:val="00D8714F"/>
    <w:rsid w:val="00DA3165"/>
    <w:rsid w:val="00DD29C0"/>
    <w:rsid w:val="00DD5158"/>
    <w:rsid w:val="00DF63CC"/>
    <w:rsid w:val="00E00FEA"/>
    <w:rsid w:val="00E0277A"/>
    <w:rsid w:val="00E36DE6"/>
    <w:rsid w:val="00E51615"/>
    <w:rsid w:val="00E60426"/>
    <w:rsid w:val="00E8604C"/>
    <w:rsid w:val="00E925D5"/>
    <w:rsid w:val="00E937A0"/>
    <w:rsid w:val="00EA13E5"/>
    <w:rsid w:val="00EA5751"/>
    <w:rsid w:val="00EB3176"/>
    <w:rsid w:val="00EC24B1"/>
    <w:rsid w:val="00F223C2"/>
    <w:rsid w:val="00F313F4"/>
    <w:rsid w:val="00F9663A"/>
    <w:rsid w:val="00FA0C48"/>
    <w:rsid w:val="00FA3445"/>
    <w:rsid w:val="00FD018C"/>
    <w:rsid w:val="00FF1FC3"/>
    <w:rsid w:val="01102581"/>
    <w:rsid w:val="015230E2"/>
    <w:rsid w:val="01B6708F"/>
    <w:rsid w:val="02111CC7"/>
    <w:rsid w:val="02DB7835"/>
    <w:rsid w:val="02EE5C35"/>
    <w:rsid w:val="02FE20CD"/>
    <w:rsid w:val="031B0EFC"/>
    <w:rsid w:val="03EF5F60"/>
    <w:rsid w:val="05894894"/>
    <w:rsid w:val="0616456E"/>
    <w:rsid w:val="062F576D"/>
    <w:rsid w:val="06574AAC"/>
    <w:rsid w:val="07285702"/>
    <w:rsid w:val="07326997"/>
    <w:rsid w:val="07912A2B"/>
    <w:rsid w:val="07A77821"/>
    <w:rsid w:val="07C47E49"/>
    <w:rsid w:val="07EB74A9"/>
    <w:rsid w:val="085C2F00"/>
    <w:rsid w:val="08CE6ABE"/>
    <w:rsid w:val="09115133"/>
    <w:rsid w:val="092E28EF"/>
    <w:rsid w:val="0A881A66"/>
    <w:rsid w:val="0AF309F5"/>
    <w:rsid w:val="0B877B46"/>
    <w:rsid w:val="0C943D03"/>
    <w:rsid w:val="0D534D64"/>
    <w:rsid w:val="0DE90981"/>
    <w:rsid w:val="0E4A55D4"/>
    <w:rsid w:val="0F656CCC"/>
    <w:rsid w:val="0FFB5F96"/>
    <w:rsid w:val="10A46809"/>
    <w:rsid w:val="10CA3273"/>
    <w:rsid w:val="10CA7CED"/>
    <w:rsid w:val="10D30FEA"/>
    <w:rsid w:val="11B003B1"/>
    <w:rsid w:val="11E7668F"/>
    <w:rsid w:val="11F00E61"/>
    <w:rsid w:val="12C25A56"/>
    <w:rsid w:val="13246CE2"/>
    <w:rsid w:val="13272F7A"/>
    <w:rsid w:val="14482E9C"/>
    <w:rsid w:val="149A4AE8"/>
    <w:rsid w:val="14CE1479"/>
    <w:rsid w:val="14DA66AD"/>
    <w:rsid w:val="15F55A1B"/>
    <w:rsid w:val="163F5A8A"/>
    <w:rsid w:val="18B25366"/>
    <w:rsid w:val="1AC40FDE"/>
    <w:rsid w:val="1AD702FA"/>
    <w:rsid w:val="1AF63D3F"/>
    <w:rsid w:val="1AF809EC"/>
    <w:rsid w:val="1BC67B3E"/>
    <w:rsid w:val="1CD515D2"/>
    <w:rsid w:val="1D172A5A"/>
    <w:rsid w:val="1D326624"/>
    <w:rsid w:val="1D4F6F72"/>
    <w:rsid w:val="1DC730F0"/>
    <w:rsid w:val="1EA61F00"/>
    <w:rsid w:val="20281EAD"/>
    <w:rsid w:val="218B1612"/>
    <w:rsid w:val="22227AE9"/>
    <w:rsid w:val="224C46A9"/>
    <w:rsid w:val="22F75BFC"/>
    <w:rsid w:val="23746569"/>
    <w:rsid w:val="255B19E6"/>
    <w:rsid w:val="25A02EBD"/>
    <w:rsid w:val="25E40766"/>
    <w:rsid w:val="26D77D87"/>
    <w:rsid w:val="270646B7"/>
    <w:rsid w:val="277406C7"/>
    <w:rsid w:val="289C366A"/>
    <w:rsid w:val="29980D1B"/>
    <w:rsid w:val="299907E8"/>
    <w:rsid w:val="2A575BD3"/>
    <w:rsid w:val="2C536617"/>
    <w:rsid w:val="2CE91DDB"/>
    <w:rsid w:val="2F2357D7"/>
    <w:rsid w:val="2F4D11AB"/>
    <w:rsid w:val="2FE62091"/>
    <w:rsid w:val="31462289"/>
    <w:rsid w:val="31EA3E8A"/>
    <w:rsid w:val="32004404"/>
    <w:rsid w:val="321D122B"/>
    <w:rsid w:val="33606CAE"/>
    <w:rsid w:val="33BF7063"/>
    <w:rsid w:val="342015F4"/>
    <w:rsid w:val="34264730"/>
    <w:rsid w:val="3480724D"/>
    <w:rsid w:val="34BF025D"/>
    <w:rsid w:val="34E24AFB"/>
    <w:rsid w:val="35B53FBD"/>
    <w:rsid w:val="35CD32AF"/>
    <w:rsid w:val="35E74837"/>
    <w:rsid w:val="370D2158"/>
    <w:rsid w:val="396106E4"/>
    <w:rsid w:val="39D569DC"/>
    <w:rsid w:val="3BC33AB8"/>
    <w:rsid w:val="3C020570"/>
    <w:rsid w:val="3D0133EA"/>
    <w:rsid w:val="3D7A058B"/>
    <w:rsid w:val="3D9E4BFD"/>
    <w:rsid w:val="3E9C3F6D"/>
    <w:rsid w:val="3E9F1ABC"/>
    <w:rsid w:val="3F3437ED"/>
    <w:rsid w:val="3F794DFE"/>
    <w:rsid w:val="42267D34"/>
    <w:rsid w:val="42297A4A"/>
    <w:rsid w:val="42A17DA3"/>
    <w:rsid w:val="43AF245E"/>
    <w:rsid w:val="447C2262"/>
    <w:rsid w:val="44BF3455"/>
    <w:rsid w:val="450F3099"/>
    <w:rsid w:val="45683EA9"/>
    <w:rsid w:val="45C11BD7"/>
    <w:rsid w:val="45D062ED"/>
    <w:rsid w:val="46BD4A69"/>
    <w:rsid w:val="476F0CCE"/>
    <w:rsid w:val="47C54DAF"/>
    <w:rsid w:val="489B7043"/>
    <w:rsid w:val="49F573D4"/>
    <w:rsid w:val="4A170B49"/>
    <w:rsid w:val="4A3F2919"/>
    <w:rsid w:val="4A560C01"/>
    <w:rsid w:val="4A793D49"/>
    <w:rsid w:val="4AA8620C"/>
    <w:rsid w:val="4BE56E89"/>
    <w:rsid w:val="4C0F6DB1"/>
    <w:rsid w:val="4CCC5E56"/>
    <w:rsid w:val="4DCA4BBA"/>
    <w:rsid w:val="4DFE31FF"/>
    <w:rsid w:val="4ED574ED"/>
    <w:rsid w:val="4F5E44CE"/>
    <w:rsid w:val="4F910EB9"/>
    <w:rsid w:val="4FBC621D"/>
    <w:rsid w:val="502E43D5"/>
    <w:rsid w:val="51231010"/>
    <w:rsid w:val="51C36ADB"/>
    <w:rsid w:val="51D964E6"/>
    <w:rsid w:val="52742DDF"/>
    <w:rsid w:val="53FE0C7F"/>
    <w:rsid w:val="54C1228F"/>
    <w:rsid w:val="554C5052"/>
    <w:rsid w:val="55CD0181"/>
    <w:rsid w:val="55EB6709"/>
    <w:rsid w:val="56305CD5"/>
    <w:rsid w:val="564F0E39"/>
    <w:rsid w:val="565254BA"/>
    <w:rsid w:val="565D455C"/>
    <w:rsid w:val="566C0418"/>
    <w:rsid w:val="56887E3C"/>
    <w:rsid w:val="580C5C12"/>
    <w:rsid w:val="58497882"/>
    <w:rsid w:val="593F2015"/>
    <w:rsid w:val="59BB12F3"/>
    <w:rsid w:val="5B1A029B"/>
    <w:rsid w:val="5B525C87"/>
    <w:rsid w:val="5BC201C8"/>
    <w:rsid w:val="5C311DAA"/>
    <w:rsid w:val="5C3F65DE"/>
    <w:rsid w:val="5C4C7816"/>
    <w:rsid w:val="5DBD4D8C"/>
    <w:rsid w:val="5DE52042"/>
    <w:rsid w:val="5E4E50C8"/>
    <w:rsid w:val="5E6A00A4"/>
    <w:rsid w:val="5F141CBB"/>
    <w:rsid w:val="5FA5479F"/>
    <w:rsid w:val="60866F81"/>
    <w:rsid w:val="61262340"/>
    <w:rsid w:val="62676DE0"/>
    <w:rsid w:val="62CE123B"/>
    <w:rsid w:val="62F25FF1"/>
    <w:rsid w:val="637E4326"/>
    <w:rsid w:val="63AC5238"/>
    <w:rsid w:val="64201940"/>
    <w:rsid w:val="646507D9"/>
    <w:rsid w:val="647559B7"/>
    <w:rsid w:val="64BE7BEA"/>
    <w:rsid w:val="65EA08A2"/>
    <w:rsid w:val="66C102EE"/>
    <w:rsid w:val="6760423C"/>
    <w:rsid w:val="67985D14"/>
    <w:rsid w:val="67B40897"/>
    <w:rsid w:val="699915E6"/>
    <w:rsid w:val="6A3C241A"/>
    <w:rsid w:val="6A4775BC"/>
    <w:rsid w:val="6AC760BE"/>
    <w:rsid w:val="6B190FA4"/>
    <w:rsid w:val="6B9F62EA"/>
    <w:rsid w:val="6BFA26A7"/>
    <w:rsid w:val="6BFA339E"/>
    <w:rsid w:val="6C0E3041"/>
    <w:rsid w:val="6C4860D2"/>
    <w:rsid w:val="6D232A9A"/>
    <w:rsid w:val="6D5E2096"/>
    <w:rsid w:val="6D8C67ED"/>
    <w:rsid w:val="6DAA5B68"/>
    <w:rsid w:val="6DB64309"/>
    <w:rsid w:val="6E4A652E"/>
    <w:rsid w:val="6EAC3FC8"/>
    <w:rsid w:val="6EE0228C"/>
    <w:rsid w:val="6F8913D5"/>
    <w:rsid w:val="6FB27933"/>
    <w:rsid w:val="703242DA"/>
    <w:rsid w:val="704B1CB0"/>
    <w:rsid w:val="70EB04DD"/>
    <w:rsid w:val="71E74120"/>
    <w:rsid w:val="721D5B8B"/>
    <w:rsid w:val="72D505CF"/>
    <w:rsid w:val="731A30D6"/>
    <w:rsid w:val="731F445D"/>
    <w:rsid w:val="732C4B86"/>
    <w:rsid w:val="73B86BD4"/>
    <w:rsid w:val="746B48AA"/>
    <w:rsid w:val="74D11814"/>
    <w:rsid w:val="75353F49"/>
    <w:rsid w:val="772A4280"/>
    <w:rsid w:val="774D01B8"/>
    <w:rsid w:val="77740DE6"/>
    <w:rsid w:val="778E42AA"/>
    <w:rsid w:val="79464D52"/>
    <w:rsid w:val="794A54A7"/>
    <w:rsid w:val="79A27AA7"/>
    <w:rsid w:val="79DE640B"/>
    <w:rsid w:val="7AFD18B8"/>
    <w:rsid w:val="7B1A7FE3"/>
    <w:rsid w:val="7B2E0FDB"/>
    <w:rsid w:val="7B2E1B59"/>
    <w:rsid w:val="7BED78CA"/>
    <w:rsid w:val="7BFD1BB4"/>
    <w:rsid w:val="7C181DB0"/>
    <w:rsid w:val="7C1C05A5"/>
    <w:rsid w:val="7CA22AFA"/>
    <w:rsid w:val="7CC743D1"/>
    <w:rsid w:val="7DB4405F"/>
    <w:rsid w:val="7ED06D3F"/>
    <w:rsid w:val="7F4F5EB6"/>
    <w:rsid w:val="7FD75844"/>
  </w:rsids>
  <m:mathPr>
    <m:mathFont m:val="Times New Roman"/>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95"/>
    <w:qFormat/>
    <w:uiPriority w:val="0"/>
    <w:pPr>
      <w:keepNext/>
      <w:keepLines/>
      <w:topLinePunct/>
      <w:spacing w:line="480" w:lineRule="auto"/>
      <w:ind w:firstLine="420"/>
      <w:textAlignment w:val="baseline"/>
      <w:outlineLvl w:val="0"/>
    </w:pPr>
    <w:rPr>
      <w:rFonts w:eastAsia="汉仪大宋简"/>
      <w:kern w:val="44"/>
      <w:sz w:val="22"/>
      <w:szCs w:val="22"/>
    </w:rPr>
  </w:style>
  <w:style w:type="paragraph" w:styleId="4">
    <w:name w:val="heading 2"/>
    <w:basedOn w:val="1"/>
    <w:next w:val="1"/>
    <w:link w:val="96"/>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before="260" w:beforeLines="0" w:after="260" w:afterLines="0" w:line="416" w:lineRule="auto"/>
      <w:outlineLvl w:val="2"/>
    </w:pPr>
    <w:rPr>
      <w:rFonts w:ascii="Times New Roman" w:hAnsi="Times New Roman" w:eastAsia="宋体" w:cs="Times New Roman"/>
      <w:b/>
      <w:bCs/>
      <w:sz w:val="32"/>
      <w:szCs w:val="32"/>
    </w:rPr>
  </w:style>
  <w:style w:type="paragraph" w:styleId="6">
    <w:name w:val="heading 4"/>
    <w:basedOn w:val="1"/>
    <w:next w:val="1"/>
    <w:qFormat/>
    <w:uiPriority w:val="0"/>
    <w:pPr>
      <w:keepNext/>
      <w:keepLines/>
      <w:spacing w:before="280" w:beforeLines="0" w:after="290" w:afterLines="0" w:line="376" w:lineRule="auto"/>
      <w:outlineLvl w:val="3"/>
    </w:pPr>
    <w:rPr>
      <w:rFonts w:ascii="Arial" w:hAnsi="Arial" w:eastAsia="黑体" w:cs="Times New Roman"/>
      <w:b/>
      <w:bCs/>
      <w:sz w:val="28"/>
      <w:szCs w:val="28"/>
    </w:rPr>
  </w:style>
  <w:style w:type="paragraph" w:styleId="7">
    <w:name w:val="heading 5"/>
    <w:basedOn w:val="1"/>
    <w:next w:val="1"/>
    <w:qFormat/>
    <w:uiPriority w:val="0"/>
    <w:pPr>
      <w:keepNext/>
      <w:keepLines/>
      <w:spacing w:line="360" w:lineRule="auto"/>
      <w:outlineLvl w:val="4"/>
    </w:pPr>
    <w:rPr>
      <w:rFonts w:ascii="Times New Roman" w:hAnsi="Times New Roman" w:eastAsia="黑体" w:cs="Times New Roman"/>
      <w:bCs/>
      <w:szCs w:val="28"/>
    </w:rPr>
  </w:style>
  <w:style w:type="paragraph" w:styleId="8">
    <w:name w:val="heading 6"/>
    <w:basedOn w:val="1"/>
    <w:next w:val="1"/>
    <w:qFormat/>
    <w:uiPriority w:val="0"/>
    <w:pPr>
      <w:keepNext/>
      <w:keepLines/>
      <w:spacing w:before="240" w:beforeLines="0" w:after="64" w:afterLines="0" w:line="320" w:lineRule="auto"/>
      <w:outlineLvl w:val="5"/>
    </w:pPr>
    <w:rPr>
      <w:rFonts w:ascii="Arial" w:hAnsi="Arial" w:eastAsia="黑体" w:cs="Times New Roman"/>
      <w:b/>
      <w:bCs/>
      <w:sz w:val="24"/>
    </w:rPr>
  </w:style>
  <w:style w:type="paragraph" w:styleId="9">
    <w:name w:val="heading 7"/>
    <w:basedOn w:val="1"/>
    <w:next w:val="1"/>
    <w:qFormat/>
    <w:uiPriority w:val="0"/>
    <w:pPr>
      <w:keepNext/>
      <w:keepLines/>
      <w:spacing w:before="240" w:beforeLines="0" w:after="64" w:afterLines="0" w:line="320" w:lineRule="auto"/>
      <w:outlineLvl w:val="6"/>
    </w:pPr>
    <w:rPr>
      <w:rFonts w:ascii="Times New Roman" w:hAnsi="Times New Roman" w:eastAsia="宋体" w:cs="Times New Roman"/>
      <w:b/>
      <w:bCs/>
      <w:sz w:val="24"/>
    </w:rPr>
  </w:style>
  <w:style w:type="paragraph" w:styleId="10">
    <w:name w:val="heading 8"/>
    <w:basedOn w:val="1"/>
    <w:next w:val="1"/>
    <w:qFormat/>
    <w:uiPriority w:val="0"/>
    <w:pPr>
      <w:keepNext/>
      <w:keepLines/>
      <w:spacing w:before="240" w:beforeLines="0" w:after="64" w:afterLines="0" w:line="320" w:lineRule="auto"/>
      <w:outlineLvl w:val="7"/>
    </w:pPr>
    <w:rPr>
      <w:rFonts w:ascii="Arial" w:hAnsi="Arial" w:eastAsia="黑体" w:cs="Times New Roman"/>
      <w:sz w:val="24"/>
    </w:rPr>
  </w:style>
  <w:style w:type="paragraph" w:styleId="11">
    <w:name w:val="heading 9"/>
    <w:basedOn w:val="1"/>
    <w:next w:val="1"/>
    <w:qFormat/>
    <w:uiPriority w:val="0"/>
    <w:pPr>
      <w:keepNext/>
      <w:keepLines/>
      <w:spacing w:before="240" w:beforeLines="0" w:after="64" w:afterLines="0" w:line="320" w:lineRule="auto"/>
      <w:outlineLvl w:val="8"/>
    </w:pPr>
    <w:rPr>
      <w:rFonts w:ascii="Arial" w:hAnsi="Arial" w:eastAsia="黑体" w:cs="Times New Roman"/>
      <w:szCs w:val="21"/>
    </w:rPr>
  </w:style>
  <w:style w:type="character" w:default="1" w:styleId="78">
    <w:name w:val="Default Paragraph Font"/>
    <w:qFormat/>
    <w:uiPriority w:val="0"/>
    <w:rPr>
      <w:rFonts w:ascii="Times New Roman" w:hAnsi="Times New Roman" w:eastAsia="宋体" w:cs="Times New Roman"/>
    </w:rPr>
  </w:style>
  <w:style w:type="table" w:default="1" w:styleId="77">
    <w:name w:val="Normal Table"/>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styleId="12">
    <w:name w:val="List 3"/>
    <w:basedOn w:val="1"/>
    <w:qFormat/>
    <w:uiPriority w:val="0"/>
    <w:pPr>
      <w:ind w:left="1260" w:hanging="420"/>
    </w:pPr>
    <w:rPr>
      <w:rFonts w:ascii="Times New Roman" w:hAnsi="Times New Roman" w:eastAsia="宋体" w:cs="Times New Roman"/>
    </w:rPr>
  </w:style>
  <w:style w:type="paragraph" w:styleId="13">
    <w:name w:val="toc 7"/>
    <w:basedOn w:val="1"/>
    <w:next w:val="1"/>
    <w:qFormat/>
    <w:uiPriority w:val="0"/>
    <w:pPr>
      <w:ind w:left="2520" w:leftChars="1200"/>
    </w:pPr>
    <w:rPr>
      <w:rFonts w:ascii="Times New Roman" w:hAnsi="Times New Roman" w:eastAsia="宋体" w:cs="Times New Roman"/>
    </w:rPr>
  </w:style>
  <w:style w:type="paragraph" w:styleId="14">
    <w:name w:val="List Number 2"/>
    <w:basedOn w:val="1"/>
    <w:qFormat/>
    <w:uiPriority w:val="0"/>
    <w:pPr>
      <w:numPr>
        <w:ilvl w:val="0"/>
        <w:numId w:val="1"/>
      </w:numPr>
    </w:pPr>
    <w:rPr>
      <w:rFonts w:ascii="Times New Roman" w:hAnsi="Times New Roman" w:eastAsia="宋体" w:cs="Times New Roman"/>
    </w:rPr>
  </w:style>
  <w:style w:type="paragraph" w:styleId="15">
    <w:name w:val="Note Heading"/>
    <w:basedOn w:val="1"/>
    <w:next w:val="1"/>
    <w:qFormat/>
    <w:uiPriority w:val="0"/>
    <w:pPr>
      <w:jc w:val="center"/>
    </w:pPr>
    <w:rPr>
      <w:rFonts w:ascii="Times New Roman" w:hAnsi="Times New Roman" w:eastAsia="宋体" w:cs="Times New Roman"/>
    </w:rPr>
  </w:style>
  <w:style w:type="paragraph" w:styleId="16">
    <w:name w:val="List Bullet 4"/>
    <w:basedOn w:val="1"/>
    <w:uiPriority w:val="0"/>
    <w:pPr>
      <w:numPr>
        <w:ilvl w:val="0"/>
        <w:numId w:val="2"/>
      </w:numPr>
    </w:pPr>
    <w:rPr>
      <w:rFonts w:ascii="Times New Roman" w:hAnsi="Times New Roman" w:eastAsia="宋体" w:cs="Times New Roman"/>
    </w:rPr>
  </w:style>
  <w:style w:type="paragraph" w:styleId="17">
    <w:name w:val="E-mail Signature"/>
    <w:basedOn w:val="1"/>
    <w:qFormat/>
    <w:uiPriority w:val="0"/>
    <w:rPr>
      <w:rFonts w:ascii="Times New Roman" w:hAnsi="Times New Roman" w:eastAsia="宋体" w:cs="Times New Roman"/>
    </w:rPr>
  </w:style>
  <w:style w:type="paragraph" w:styleId="18">
    <w:name w:val="List Number"/>
    <w:basedOn w:val="1"/>
    <w:qFormat/>
    <w:uiPriority w:val="0"/>
    <w:pPr>
      <w:numPr>
        <w:ilvl w:val="0"/>
        <w:numId w:val="3"/>
      </w:numPr>
    </w:pPr>
    <w:rPr>
      <w:rFonts w:ascii="Times New Roman" w:hAnsi="Times New Roman" w:eastAsia="宋体" w:cs="Times New Roman"/>
    </w:rPr>
  </w:style>
  <w:style w:type="paragraph" w:styleId="19">
    <w:name w:val="Normal Indent"/>
    <w:basedOn w:val="1"/>
    <w:qFormat/>
    <w:uiPriority w:val="0"/>
    <w:pPr>
      <w:ind w:firstLine="420"/>
    </w:pPr>
    <w:rPr>
      <w:rFonts w:ascii="Times New Roman" w:hAnsi="Times New Roman" w:eastAsia="宋体" w:cs="Times New Roman"/>
    </w:rPr>
  </w:style>
  <w:style w:type="paragraph" w:styleId="20">
    <w:name w:val="caption"/>
    <w:basedOn w:val="1"/>
    <w:next w:val="1"/>
    <w:qFormat/>
    <w:uiPriority w:val="0"/>
    <w:pPr>
      <w:topLinePunct w:val="0"/>
      <w:spacing w:before="152" w:beforeLines="0" w:after="160" w:afterLines="0"/>
    </w:pPr>
    <w:rPr>
      <w:rFonts w:ascii="Arial" w:hAnsi="Arial" w:eastAsia="黑体" w:cs="Times New Roman"/>
      <w:sz w:val="20"/>
      <w:szCs w:val="20"/>
    </w:rPr>
  </w:style>
  <w:style w:type="paragraph" w:styleId="21">
    <w:name w:val="List Bullet"/>
    <w:basedOn w:val="1"/>
    <w:qFormat/>
    <w:uiPriority w:val="0"/>
    <w:pPr>
      <w:numPr>
        <w:ilvl w:val="0"/>
        <w:numId w:val="4"/>
      </w:numPr>
    </w:pPr>
    <w:rPr>
      <w:rFonts w:ascii="Times New Roman" w:hAnsi="Times New Roman" w:eastAsia="宋体" w:cs="Times New Roman"/>
    </w:rPr>
  </w:style>
  <w:style w:type="paragraph" w:styleId="22">
    <w:name w:val="envelope address"/>
    <w:basedOn w:val="1"/>
    <w:uiPriority w:val="0"/>
    <w:pPr>
      <w:snapToGrid w:val="0"/>
      <w:ind w:left="2880"/>
    </w:pPr>
    <w:rPr>
      <w:rFonts w:ascii="Arial" w:hAnsi="Arial" w:eastAsia="宋体" w:cs="Arial"/>
      <w:sz w:val="24"/>
    </w:rPr>
  </w:style>
  <w:style w:type="paragraph" w:styleId="23">
    <w:name w:val="Document Map"/>
    <w:basedOn w:val="1"/>
    <w:uiPriority w:val="0"/>
    <w:pPr>
      <w:shd w:val="clear" w:color="auto" w:fill="000080"/>
      <w:topLinePunct w:val="0"/>
    </w:pPr>
    <w:rPr>
      <w:rFonts w:ascii="Times New Roman" w:hAnsi="Times New Roman" w:eastAsia="宋体" w:cs="Times New Roman"/>
    </w:rPr>
  </w:style>
  <w:style w:type="paragraph" w:styleId="24">
    <w:name w:val="annotation text"/>
    <w:basedOn w:val="1"/>
    <w:uiPriority w:val="0"/>
    <w:pPr>
      <w:topLinePunct w:val="0"/>
      <w:jc w:val="left"/>
    </w:pPr>
    <w:rPr>
      <w:rFonts w:ascii="Times New Roman" w:hAnsi="Times New Roman" w:eastAsia="宋体" w:cs="Times New Roman"/>
    </w:rPr>
  </w:style>
  <w:style w:type="paragraph" w:styleId="25">
    <w:name w:val="Salutation"/>
    <w:basedOn w:val="1"/>
    <w:next w:val="1"/>
    <w:uiPriority w:val="0"/>
    <w:rPr>
      <w:rFonts w:ascii="Times New Roman" w:hAnsi="Times New Roman" w:eastAsia="宋体" w:cs="Times New Roman"/>
    </w:rPr>
  </w:style>
  <w:style w:type="paragraph" w:styleId="26">
    <w:name w:val="Body Text 3"/>
    <w:basedOn w:val="1"/>
    <w:uiPriority w:val="0"/>
    <w:pPr>
      <w:spacing w:after="120" w:afterLines="0"/>
    </w:pPr>
    <w:rPr>
      <w:rFonts w:ascii="Times New Roman" w:hAnsi="Times New Roman" w:eastAsia="宋体" w:cs="Times New Roman"/>
      <w:sz w:val="16"/>
      <w:szCs w:val="16"/>
    </w:rPr>
  </w:style>
  <w:style w:type="paragraph" w:styleId="27">
    <w:name w:val="Closing"/>
    <w:basedOn w:val="1"/>
    <w:qFormat/>
    <w:uiPriority w:val="0"/>
    <w:pPr>
      <w:ind w:left="4320"/>
    </w:pPr>
    <w:rPr>
      <w:rFonts w:ascii="Times New Roman" w:hAnsi="Times New Roman" w:eastAsia="宋体" w:cs="Times New Roman"/>
    </w:rPr>
  </w:style>
  <w:style w:type="paragraph" w:styleId="28">
    <w:name w:val="List Bullet 3"/>
    <w:basedOn w:val="1"/>
    <w:uiPriority w:val="0"/>
    <w:pPr>
      <w:numPr>
        <w:ilvl w:val="0"/>
        <w:numId w:val="5"/>
      </w:numPr>
    </w:pPr>
    <w:rPr>
      <w:rFonts w:ascii="Times New Roman" w:hAnsi="Times New Roman" w:eastAsia="宋体" w:cs="Times New Roman"/>
    </w:rPr>
  </w:style>
  <w:style w:type="paragraph" w:styleId="29">
    <w:name w:val="Body Text"/>
    <w:basedOn w:val="1"/>
    <w:qFormat/>
    <w:uiPriority w:val="0"/>
    <w:pPr>
      <w:spacing w:after="120" w:afterLines="0"/>
    </w:pPr>
    <w:rPr>
      <w:rFonts w:ascii="Times New Roman" w:hAnsi="Times New Roman" w:eastAsia="宋体" w:cs="Times New Roman"/>
    </w:rPr>
  </w:style>
  <w:style w:type="paragraph" w:styleId="30">
    <w:name w:val="Body Text Indent"/>
    <w:basedOn w:val="1"/>
    <w:qFormat/>
    <w:uiPriority w:val="0"/>
    <w:pPr>
      <w:spacing w:after="120" w:afterLines="0"/>
      <w:ind w:left="420"/>
    </w:pPr>
    <w:rPr>
      <w:rFonts w:ascii="Times New Roman" w:hAnsi="Times New Roman" w:eastAsia="宋体" w:cs="Times New Roman"/>
    </w:rPr>
  </w:style>
  <w:style w:type="paragraph" w:styleId="31">
    <w:name w:val="List Number 3"/>
    <w:basedOn w:val="1"/>
    <w:qFormat/>
    <w:uiPriority w:val="0"/>
    <w:pPr>
      <w:numPr>
        <w:ilvl w:val="0"/>
        <w:numId w:val="6"/>
      </w:numPr>
    </w:pPr>
    <w:rPr>
      <w:rFonts w:ascii="Times New Roman" w:hAnsi="Times New Roman" w:eastAsia="宋体" w:cs="Times New Roman"/>
    </w:rPr>
  </w:style>
  <w:style w:type="paragraph" w:styleId="32">
    <w:name w:val="List 2"/>
    <w:basedOn w:val="1"/>
    <w:qFormat/>
    <w:uiPriority w:val="0"/>
    <w:pPr>
      <w:ind w:left="840" w:hanging="420"/>
    </w:pPr>
    <w:rPr>
      <w:rFonts w:ascii="Times New Roman" w:hAnsi="Times New Roman" w:eastAsia="宋体" w:cs="Times New Roman"/>
    </w:rPr>
  </w:style>
  <w:style w:type="paragraph" w:styleId="33">
    <w:name w:val="List Continue"/>
    <w:basedOn w:val="1"/>
    <w:qFormat/>
    <w:uiPriority w:val="0"/>
    <w:pPr>
      <w:spacing w:after="120" w:afterLines="0"/>
      <w:ind w:left="420"/>
    </w:pPr>
    <w:rPr>
      <w:rFonts w:ascii="Times New Roman" w:hAnsi="Times New Roman" w:eastAsia="宋体" w:cs="Times New Roman"/>
    </w:rPr>
  </w:style>
  <w:style w:type="paragraph" w:styleId="34">
    <w:name w:val="Block Text"/>
    <w:basedOn w:val="1"/>
    <w:qFormat/>
    <w:uiPriority w:val="0"/>
    <w:pPr>
      <w:spacing w:after="120" w:afterLines="0"/>
      <w:ind w:left="1440" w:right="1440"/>
    </w:pPr>
    <w:rPr>
      <w:rFonts w:ascii="Times New Roman" w:hAnsi="Times New Roman" w:eastAsia="宋体" w:cs="Times New Roman"/>
    </w:rPr>
  </w:style>
  <w:style w:type="paragraph" w:styleId="35">
    <w:name w:val="List Bullet 2"/>
    <w:basedOn w:val="1"/>
    <w:qFormat/>
    <w:uiPriority w:val="0"/>
    <w:pPr>
      <w:numPr>
        <w:ilvl w:val="0"/>
        <w:numId w:val="7"/>
      </w:numPr>
    </w:pPr>
    <w:rPr>
      <w:rFonts w:ascii="Times New Roman" w:hAnsi="Times New Roman" w:eastAsia="宋体" w:cs="Times New Roman"/>
    </w:rPr>
  </w:style>
  <w:style w:type="paragraph" w:styleId="36">
    <w:name w:val="HTML Address"/>
    <w:basedOn w:val="1"/>
    <w:qFormat/>
    <w:uiPriority w:val="0"/>
    <w:rPr>
      <w:rFonts w:ascii="Times New Roman" w:hAnsi="Times New Roman" w:eastAsia="宋体" w:cs="Times New Roman"/>
      <w:i/>
      <w:iCs/>
    </w:rPr>
  </w:style>
  <w:style w:type="paragraph" w:styleId="37">
    <w:name w:val="toc 5"/>
    <w:basedOn w:val="1"/>
    <w:next w:val="1"/>
    <w:qFormat/>
    <w:uiPriority w:val="0"/>
    <w:pPr>
      <w:ind w:left="1680" w:leftChars="800"/>
    </w:pPr>
    <w:rPr>
      <w:rFonts w:ascii="Times New Roman" w:hAnsi="Times New Roman" w:eastAsia="宋体" w:cs="Times New Roman"/>
    </w:rPr>
  </w:style>
  <w:style w:type="paragraph" w:styleId="38">
    <w:name w:val="toc 3"/>
    <w:basedOn w:val="1"/>
    <w:next w:val="1"/>
    <w:qFormat/>
    <w:uiPriority w:val="0"/>
    <w:pPr>
      <w:ind w:left="840" w:leftChars="400"/>
    </w:pPr>
    <w:rPr>
      <w:rFonts w:ascii="Times New Roman" w:hAnsi="Times New Roman" w:eastAsia="宋体" w:cs="Times New Roman"/>
    </w:rPr>
  </w:style>
  <w:style w:type="paragraph" w:styleId="39">
    <w:name w:val="Plain Text"/>
    <w:basedOn w:val="1"/>
    <w:link w:val="97"/>
    <w:qFormat/>
    <w:uiPriority w:val="0"/>
    <w:rPr>
      <w:rFonts w:ascii="宋体" w:hAnsi="Courier New" w:cs="Courier New"/>
      <w:szCs w:val="21"/>
    </w:rPr>
  </w:style>
  <w:style w:type="paragraph" w:styleId="40">
    <w:name w:val="List Bullet 5"/>
    <w:basedOn w:val="1"/>
    <w:qFormat/>
    <w:uiPriority w:val="0"/>
    <w:pPr>
      <w:numPr>
        <w:ilvl w:val="0"/>
        <w:numId w:val="8"/>
      </w:numPr>
    </w:pPr>
    <w:rPr>
      <w:rFonts w:ascii="Times New Roman" w:hAnsi="Times New Roman" w:eastAsia="宋体" w:cs="Times New Roman"/>
    </w:rPr>
  </w:style>
  <w:style w:type="paragraph" w:styleId="41">
    <w:name w:val="List Number 4"/>
    <w:basedOn w:val="1"/>
    <w:qFormat/>
    <w:uiPriority w:val="0"/>
    <w:pPr>
      <w:numPr>
        <w:ilvl w:val="0"/>
        <w:numId w:val="9"/>
      </w:numPr>
    </w:pPr>
    <w:rPr>
      <w:rFonts w:ascii="Times New Roman" w:hAnsi="Times New Roman" w:eastAsia="宋体" w:cs="Times New Roman"/>
    </w:rPr>
  </w:style>
  <w:style w:type="paragraph" w:styleId="42">
    <w:name w:val="toc 8"/>
    <w:basedOn w:val="1"/>
    <w:next w:val="1"/>
    <w:qFormat/>
    <w:uiPriority w:val="0"/>
    <w:pPr>
      <w:ind w:left="2940" w:leftChars="1400"/>
    </w:pPr>
    <w:rPr>
      <w:rFonts w:ascii="Times New Roman" w:hAnsi="Times New Roman" w:eastAsia="宋体" w:cs="Times New Roman"/>
    </w:rPr>
  </w:style>
  <w:style w:type="paragraph" w:styleId="43">
    <w:name w:val="Date"/>
    <w:basedOn w:val="1"/>
    <w:next w:val="1"/>
    <w:qFormat/>
    <w:uiPriority w:val="0"/>
    <w:rPr>
      <w:rFonts w:ascii="Times New Roman" w:hAnsi="Times New Roman" w:eastAsia="宋体" w:cs="Times New Roman"/>
    </w:rPr>
  </w:style>
  <w:style w:type="paragraph" w:styleId="44">
    <w:name w:val="Body Text Indent 2"/>
    <w:basedOn w:val="1"/>
    <w:qFormat/>
    <w:uiPriority w:val="0"/>
    <w:pPr>
      <w:spacing w:after="120" w:afterLines="0" w:line="480" w:lineRule="auto"/>
      <w:ind w:left="420"/>
    </w:pPr>
    <w:rPr>
      <w:rFonts w:ascii="Times New Roman" w:hAnsi="Times New Roman" w:eastAsia="宋体" w:cs="Times New Roman"/>
    </w:rPr>
  </w:style>
  <w:style w:type="paragraph" w:styleId="45">
    <w:name w:val="List Continue 5"/>
    <w:basedOn w:val="1"/>
    <w:qFormat/>
    <w:uiPriority w:val="0"/>
    <w:pPr>
      <w:spacing w:after="120" w:afterLines="0"/>
      <w:ind w:left="2100"/>
    </w:pPr>
    <w:rPr>
      <w:rFonts w:ascii="Times New Roman" w:hAnsi="Times New Roman" w:eastAsia="宋体" w:cs="Times New Roman"/>
    </w:rPr>
  </w:style>
  <w:style w:type="paragraph" w:styleId="46">
    <w:name w:val="Balloon Text"/>
    <w:basedOn w:val="1"/>
    <w:qFormat/>
    <w:uiPriority w:val="0"/>
    <w:pPr>
      <w:topLinePunct w:val="0"/>
    </w:pPr>
    <w:rPr>
      <w:rFonts w:ascii="Times New Roman" w:hAnsi="Times New Roman" w:eastAsia="宋体" w:cs="Times New Roman"/>
      <w:sz w:val="18"/>
      <w:szCs w:val="18"/>
    </w:rPr>
  </w:style>
  <w:style w:type="paragraph" w:styleId="47">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48">
    <w:name w:val="envelope return"/>
    <w:basedOn w:val="1"/>
    <w:qFormat/>
    <w:uiPriority w:val="0"/>
    <w:pPr>
      <w:snapToGrid w:val="0"/>
    </w:pPr>
    <w:rPr>
      <w:rFonts w:ascii="Arial" w:hAnsi="Arial" w:eastAsia="宋体" w:cs="Arial"/>
    </w:rPr>
  </w:style>
  <w:style w:type="paragraph" w:styleId="49">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50">
    <w:name w:val="Signature"/>
    <w:basedOn w:val="1"/>
    <w:qFormat/>
    <w:uiPriority w:val="0"/>
    <w:pPr>
      <w:ind w:left="4320"/>
    </w:pPr>
    <w:rPr>
      <w:rFonts w:ascii="Times New Roman" w:hAnsi="Times New Roman" w:eastAsia="宋体" w:cs="Times New Roman"/>
    </w:rPr>
  </w:style>
  <w:style w:type="paragraph" w:styleId="51">
    <w:name w:val="toc 1"/>
    <w:basedOn w:val="1"/>
    <w:next w:val="1"/>
    <w:qFormat/>
    <w:uiPriority w:val="0"/>
    <w:rPr>
      <w:rFonts w:ascii="Times New Roman" w:hAnsi="Times New Roman" w:eastAsia="宋体" w:cs="Times New Roman"/>
    </w:rPr>
  </w:style>
  <w:style w:type="paragraph" w:styleId="52">
    <w:name w:val="List Continue 4"/>
    <w:basedOn w:val="1"/>
    <w:qFormat/>
    <w:uiPriority w:val="0"/>
    <w:pPr>
      <w:spacing w:after="120" w:afterLines="0"/>
      <w:ind w:left="1680"/>
    </w:pPr>
    <w:rPr>
      <w:rFonts w:ascii="Times New Roman" w:hAnsi="Times New Roman" w:eastAsia="宋体" w:cs="Times New Roman"/>
    </w:rPr>
  </w:style>
  <w:style w:type="paragraph" w:styleId="53">
    <w:name w:val="toc 4"/>
    <w:basedOn w:val="1"/>
    <w:next w:val="1"/>
    <w:qFormat/>
    <w:uiPriority w:val="0"/>
    <w:pPr>
      <w:ind w:left="1260" w:leftChars="600"/>
    </w:pPr>
    <w:rPr>
      <w:rFonts w:ascii="Times New Roman" w:hAnsi="Times New Roman" w:eastAsia="宋体" w:cs="Times New Roman"/>
    </w:rPr>
  </w:style>
  <w:style w:type="paragraph" w:styleId="54">
    <w:name w:val="index heading"/>
    <w:basedOn w:val="1"/>
    <w:next w:val="55"/>
    <w:qFormat/>
    <w:uiPriority w:val="0"/>
    <w:pPr>
      <w:topLinePunct w:val="0"/>
      <w:adjustRightInd w:val="0"/>
      <w:spacing w:line="490" w:lineRule="exact"/>
      <w:ind w:firstLine="556"/>
      <w:textAlignment w:val="baseline"/>
    </w:pPr>
    <w:rPr>
      <w:rFonts w:ascii="Times New Roman" w:hAnsi="Times New Roman" w:eastAsia="仿宋_GB2312" w:cs="Times New Roman"/>
      <w:kern w:val="0"/>
      <w:sz w:val="28"/>
      <w:szCs w:val="20"/>
    </w:rPr>
  </w:style>
  <w:style w:type="paragraph" w:styleId="55">
    <w:name w:val="index 1"/>
    <w:basedOn w:val="1"/>
    <w:next w:val="1"/>
    <w:qFormat/>
    <w:uiPriority w:val="0"/>
    <w:pPr>
      <w:topLinePunct w:val="0"/>
    </w:pPr>
    <w:rPr>
      <w:rFonts w:ascii="Times New Roman" w:hAnsi="Times New Roman" w:eastAsia="宋体" w:cs="Times New Roman"/>
    </w:rPr>
  </w:style>
  <w:style w:type="paragraph" w:styleId="56">
    <w:name w:val="Subtitle"/>
    <w:basedOn w:val="1"/>
    <w:qFormat/>
    <w:uiPriority w:val="0"/>
    <w:pPr>
      <w:spacing w:before="240" w:beforeLines="0" w:after="60" w:afterLines="0" w:line="312" w:lineRule="auto"/>
      <w:jc w:val="center"/>
      <w:outlineLvl w:val="1"/>
    </w:pPr>
    <w:rPr>
      <w:rFonts w:ascii="Arial" w:hAnsi="Arial" w:eastAsia="宋体" w:cs="Arial"/>
      <w:b/>
      <w:bCs/>
      <w:kern w:val="28"/>
      <w:sz w:val="32"/>
      <w:szCs w:val="32"/>
    </w:rPr>
  </w:style>
  <w:style w:type="paragraph" w:styleId="57">
    <w:name w:val="List Number 5"/>
    <w:basedOn w:val="1"/>
    <w:qFormat/>
    <w:uiPriority w:val="0"/>
    <w:pPr>
      <w:numPr>
        <w:ilvl w:val="0"/>
        <w:numId w:val="10"/>
      </w:numPr>
    </w:pPr>
    <w:rPr>
      <w:rFonts w:ascii="Times New Roman" w:hAnsi="Times New Roman" w:eastAsia="宋体" w:cs="Times New Roman"/>
    </w:rPr>
  </w:style>
  <w:style w:type="paragraph" w:styleId="58">
    <w:name w:val="List"/>
    <w:basedOn w:val="1"/>
    <w:qFormat/>
    <w:uiPriority w:val="0"/>
    <w:pPr>
      <w:ind w:left="420" w:hanging="420"/>
    </w:pPr>
    <w:rPr>
      <w:rFonts w:ascii="Times New Roman" w:hAnsi="Times New Roman" w:eastAsia="宋体" w:cs="Times New Roman"/>
    </w:rPr>
  </w:style>
  <w:style w:type="paragraph" w:styleId="59">
    <w:name w:val="footnote text"/>
    <w:basedOn w:val="1"/>
    <w:qFormat/>
    <w:uiPriority w:val="0"/>
    <w:pPr>
      <w:topLinePunct w:val="0"/>
      <w:snapToGrid w:val="0"/>
      <w:spacing w:after="120" w:afterLines="0" w:line="380" w:lineRule="atLeast"/>
    </w:pPr>
    <w:rPr>
      <w:rFonts w:ascii="Times New Roman" w:hAnsi="Times New Roman" w:eastAsia="宋体" w:cs="Times New Roman"/>
      <w:color w:val="000000"/>
      <w:sz w:val="18"/>
      <w:szCs w:val="20"/>
    </w:rPr>
  </w:style>
  <w:style w:type="paragraph" w:styleId="60">
    <w:name w:val="toc 6"/>
    <w:basedOn w:val="1"/>
    <w:next w:val="1"/>
    <w:qFormat/>
    <w:uiPriority w:val="0"/>
    <w:pPr>
      <w:ind w:left="2100" w:leftChars="1000"/>
    </w:pPr>
    <w:rPr>
      <w:rFonts w:ascii="Times New Roman" w:hAnsi="Times New Roman" w:eastAsia="宋体" w:cs="Times New Roman"/>
    </w:rPr>
  </w:style>
  <w:style w:type="paragraph" w:styleId="61">
    <w:name w:val="List 5"/>
    <w:basedOn w:val="1"/>
    <w:qFormat/>
    <w:uiPriority w:val="0"/>
    <w:pPr>
      <w:ind w:left="2100" w:hanging="420"/>
    </w:pPr>
    <w:rPr>
      <w:rFonts w:ascii="Times New Roman" w:hAnsi="Times New Roman" w:eastAsia="宋体" w:cs="Times New Roman"/>
    </w:rPr>
  </w:style>
  <w:style w:type="paragraph" w:styleId="62">
    <w:name w:val="Body Text Indent 3"/>
    <w:basedOn w:val="1"/>
    <w:qFormat/>
    <w:uiPriority w:val="0"/>
    <w:pPr>
      <w:spacing w:after="120" w:afterLines="0"/>
      <w:ind w:left="420"/>
    </w:pPr>
    <w:rPr>
      <w:rFonts w:ascii="Times New Roman" w:hAnsi="Times New Roman" w:eastAsia="宋体" w:cs="Times New Roman"/>
      <w:sz w:val="16"/>
      <w:szCs w:val="16"/>
    </w:rPr>
  </w:style>
  <w:style w:type="paragraph" w:styleId="63">
    <w:name w:val="table of figures"/>
    <w:basedOn w:val="1"/>
    <w:next w:val="1"/>
    <w:qFormat/>
    <w:uiPriority w:val="0"/>
    <w:pPr>
      <w:topLinePunct w:val="0"/>
      <w:ind w:leftChars="200" w:hanging="200" w:hangingChars="200"/>
    </w:pPr>
    <w:rPr>
      <w:rFonts w:ascii="Times New Roman" w:hAnsi="Times New Roman" w:eastAsia="宋体" w:cs="Times New Roman"/>
    </w:rPr>
  </w:style>
  <w:style w:type="paragraph" w:styleId="64">
    <w:name w:val="toc 2"/>
    <w:basedOn w:val="1"/>
    <w:next w:val="1"/>
    <w:qFormat/>
    <w:uiPriority w:val="0"/>
    <w:pPr>
      <w:ind w:left="420" w:leftChars="200"/>
    </w:pPr>
    <w:rPr>
      <w:rFonts w:ascii="Times New Roman" w:hAnsi="Times New Roman" w:eastAsia="宋体" w:cs="Times New Roman"/>
    </w:rPr>
  </w:style>
  <w:style w:type="paragraph" w:styleId="65">
    <w:name w:val="toc 9"/>
    <w:basedOn w:val="1"/>
    <w:next w:val="1"/>
    <w:qFormat/>
    <w:uiPriority w:val="0"/>
    <w:pPr>
      <w:ind w:left="3360" w:leftChars="1600"/>
    </w:pPr>
    <w:rPr>
      <w:rFonts w:ascii="Times New Roman" w:hAnsi="Times New Roman" w:eastAsia="宋体" w:cs="Times New Roman"/>
    </w:rPr>
  </w:style>
  <w:style w:type="paragraph" w:styleId="66">
    <w:name w:val="Body Text 2"/>
    <w:basedOn w:val="1"/>
    <w:qFormat/>
    <w:uiPriority w:val="0"/>
    <w:pPr>
      <w:spacing w:after="120" w:afterLines="0" w:line="480" w:lineRule="auto"/>
    </w:pPr>
    <w:rPr>
      <w:rFonts w:ascii="Times New Roman" w:hAnsi="Times New Roman" w:eastAsia="宋体" w:cs="Times New Roman"/>
    </w:rPr>
  </w:style>
  <w:style w:type="paragraph" w:styleId="67">
    <w:name w:val="List 4"/>
    <w:basedOn w:val="1"/>
    <w:qFormat/>
    <w:uiPriority w:val="0"/>
    <w:pPr>
      <w:ind w:left="1680" w:hanging="420"/>
    </w:pPr>
    <w:rPr>
      <w:rFonts w:ascii="Times New Roman" w:hAnsi="Times New Roman" w:eastAsia="宋体" w:cs="Times New Roman"/>
    </w:rPr>
  </w:style>
  <w:style w:type="paragraph" w:styleId="68">
    <w:name w:val="List Continue 2"/>
    <w:basedOn w:val="1"/>
    <w:qFormat/>
    <w:uiPriority w:val="0"/>
    <w:pPr>
      <w:spacing w:after="120" w:afterLines="0"/>
      <w:ind w:left="840"/>
    </w:pPr>
    <w:rPr>
      <w:rFonts w:ascii="Times New Roman" w:hAnsi="Times New Roman" w:eastAsia="宋体" w:cs="Times New Roman"/>
    </w:rPr>
  </w:style>
  <w:style w:type="paragraph" w:styleId="6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eastAsia="宋体" w:cs="Arial"/>
      <w:sz w:val="24"/>
    </w:rPr>
  </w:style>
  <w:style w:type="paragraph" w:styleId="70">
    <w:name w:val="HTML Preformatted"/>
    <w:basedOn w:val="1"/>
    <w:qFormat/>
    <w:uiPriority w:val="0"/>
    <w:rPr>
      <w:rFonts w:ascii="Courier New" w:hAnsi="Courier New" w:eastAsia="宋体" w:cs="Courier New"/>
      <w:sz w:val="20"/>
      <w:szCs w:val="20"/>
    </w:rPr>
  </w:style>
  <w:style w:type="paragraph" w:styleId="71">
    <w:name w:val="Normal (Web)"/>
    <w:basedOn w:val="1"/>
    <w:qFormat/>
    <w:uiPriority w:val="0"/>
    <w:rPr>
      <w:rFonts w:ascii="Times New Roman" w:hAnsi="Times New Roman" w:eastAsia="宋体" w:cs="Times New Roman"/>
      <w:sz w:val="24"/>
    </w:rPr>
  </w:style>
  <w:style w:type="paragraph" w:styleId="72">
    <w:name w:val="List Continue 3"/>
    <w:basedOn w:val="1"/>
    <w:qFormat/>
    <w:uiPriority w:val="0"/>
    <w:pPr>
      <w:spacing w:after="120" w:afterLines="0"/>
      <w:ind w:left="1260"/>
    </w:pPr>
    <w:rPr>
      <w:rFonts w:ascii="Times New Roman" w:hAnsi="Times New Roman" w:eastAsia="宋体" w:cs="Times New Roman"/>
    </w:rPr>
  </w:style>
  <w:style w:type="paragraph" w:styleId="73">
    <w:name w:val="Title"/>
    <w:basedOn w:val="1"/>
    <w:qFormat/>
    <w:uiPriority w:val="0"/>
    <w:pPr>
      <w:spacing w:before="240" w:beforeLines="0" w:after="60" w:afterLines="0"/>
      <w:jc w:val="center"/>
      <w:outlineLvl w:val="0"/>
    </w:pPr>
    <w:rPr>
      <w:rFonts w:ascii="Arial" w:hAnsi="Arial" w:eastAsia="宋体" w:cs="Arial"/>
      <w:b/>
      <w:bCs/>
      <w:sz w:val="32"/>
      <w:szCs w:val="32"/>
    </w:rPr>
  </w:style>
  <w:style w:type="paragraph" w:styleId="74">
    <w:name w:val="annotation subject"/>
    <w:basedOn w:val="24"/>
    <w:next w:val="24"/>
    <w:qFormat/>
    <w:uiPriority w:val="0"/>
    <w:pPr>
      <w:topLinePunct/>
      <w:adjustRightInd w:val="0"/>
      <w:spacing w:line="312" w:lineRule="atLeast"/>
      <w:textAlignment w:val="baseline"/>
    </w:pPr>
    <w:rPr>
      <w:rFonts w:ascii="Times New Roman" w:hAnsi="Times New Roman" w:eastAsia="宋体" w:cs="Times New Roman"/>
      <w:b/>
      <w:bCs/>
      <w:kern w:val="0"/>
      <w:szCs w:val="21"/>
    </w:rPr>
  </w:style>
  <w:style w:type="paragraph" w:styleId="75">
    <w:name w:val="Body Text First Indent"/>
    <w:basedOn w:val="29"/>
    <w:qFormat/>
    <w:uiPriority w:val="0"/>
    <w:pPr>
      <w:ind w:firstLine="420"/>
    </w:pPr>
    <w:rPr>
      <w:rFonts w:ascii="Times New Roman" w:hAnsi="Times New Roman" w:eastAsia="宋体" w:cs="Times New Roman"/>
    </w:rPr>
  </w:style>
  <w:style w:type="paragraph" w:styleId="76">
    <w:name w:val="Body Text First Indent 2"/>
    <w:basedOn w:val="30"/>
    <w:qFormat/>
    <w:uiPriority w:val="0"/>
    <w:pPr>
      <w:ind w:firstLine="420"/>
    </w:pPr>
    <w:rPr>
      <w:rFonts w:ascii="Times New Roman" w:hAnsi="Times New Roman" w:eastAsia="宋体" w:cs="Times New Roman"/>
    </w:rPr>
  </w:style>
  <w:style w:type="character" w:styleId="79">
    <w:name w:val="Strong"/>
    <w:qFormat/>
    <w:uiPriority w:val="0"/>
    <w:rPr>
      <w:rFonts w:ascii="Times New Roman" w:hAnsi="Times New Roman" w:eastAsia="宋体" w:cs="Times New Roman"/>
      <w:b/>
      <w:bCs/>
    </w:rPr>
  </w:style>
  <w:style w:type="character" w:styleId="80">
    <w:name w:val="page number"/>
    <w:basedOn w:val="78"/>
    <w:qFormat/>
    <w:uiPriority w:val="0"/>
    <w:rPr>
      <w:rFonts w:ascii="Times New Roman" w:hAnsi="Times New Roman" w:eastAsia="宋体" w:cs="Times New Roman"/>
    </w:rPr>
  </w:style>
  <w:style w:type="character" w:styleId="81">
    <w:name w:val="FollowedHyperlink"/>
    <w:qFormat/>
    <w:uiPriority w:val="0"/>
    <w:rPr>
      <w:rFonts w:ascii="Times New Roman" w:hAnsi="Times New Roman" w:eastAsia="宋体" w:cs="Times New Roman"/>
      <w:color w:val="800080"/>
      <w:u w:val="single"/>
    </w:rPr>
  </w:style>
  <w:style w:type="character" w:styleId="82">
    <w:name w:val="Emphasis"/>
    <w:qFormat/>
    <w:uiPriority w:val="0"/>
    <w:rPr>
      <w:rFonts w:ascii="Times New Roman" w:hAnsi="Times New Roman" w:eastAsia="宋体" w:cs="Times New Roman"/>
      <w:i/>
      <w:iCs/>
    </w:rPr>
  </w:style>
  <w:style w:type="character" w:styleId="83">
    <w:name w:val="line number"/>
    <w:qFormat/>
    <w:uiPriority w:val="0"/>
    <w:rPr>
      <w:rFonts w:ascii="Times New Roman" w:hAnsi="Times New Roman" w:eastAsia="宋体" w:cs="Times New Roman"/>
    </w:rPr>
  </w:style>
  <w:style w:type="character" w:styleId="84">
    <w:name w:val="HTML Definition"/>
    <w:qFormat/>
    <w:uiPriority w:val="0"/>
    <w:rPr>
      <w:rFonts w:ascii="Times New Roman" w:hAnsi="Times New Roman" w:eastAsia="宋体" w:cs="Times New Roman"/>
      <w:i/>
      <w:iCs/>
    </w:rPr>
  </w:style>
  <w:style w:type="character" w:styleId="85">
    <w:name w:val="HTML Typewriter"/>
    <w:qFormat/>
    <w:uiPriority w:val="0"/>
    <w:rPr>
      <w:rFonts w:ascii="Courier New" w:hAnsi="Courier New" w:eastAsia="宋体" w:cs="Courier New"/>
      <w:sz w:val="20"/>
      <w:szCs w:val="20"/>
    </w:rPr>
  </w:style>
  <w:style w:type="character" w:styleId="86">
    <w:name w:val="HTML Acronym"/>
    <w:qFormat/>
    <w:uiPriority w:val="0"/>
    <w:rPr>
      <w:rFonts w:ascii="Times New Roman" w:hAnsi="Times New Roman" w:eastAsia="宋体" w:cs="Times New Roman"/>
    </w:rPr>
  </w:style>
  <w:style w:type="character" w:styleId="87">
    <w:name w:val="HTML Variable"/>
    <w:qFormat/>
    <w:uiPriority w:val="0"/>
    <w:rPr>
      <w:rFonts w:ascii="Times New Roman" w:hAnsi="Times New Roman" w:eastAsia="宋体" w:cs="Times New Roman"/>
      <w:i/>
      <w:iCs/>
    </w:rPr>
  </w:style>
  <w:style w:type="character" w:styleId="88">
    <w:name w:val="Hyperlink"/>
    <w:qFormat/>
    <w:uiPriority w:val="0"/>
    <w:rPr>
      <w:rFonts w:ascii="宋体" w:hAnsi="宋体" w:eastAsia="宋体" w:cs="Times New Roman"/>
      <w:b/>
      <w:color w:val="0000FF"/>
      <w:kern w:val="2"/>
      <w:sz w:val="24"/>
      <w:szCs w:val="24"/>
      <w:u w:val="single"/>
      <w:lang w:val="en-US" w:eastAsia="zh-CN" w:bidi="ar-SA"/>
    </w:rPr>
  </w:style>
  <w:style w:type="character" w:styleId="89">
    <w:name w:val="HTML Code"/>
    <w:qFormat/>
    <w:uiPriority w:val="0"/>
    <w:rPr>
      <w:rFonts w:ascii="Courier New" w:hAnsi="Courier New" w:eastAsia="宋体" w:cs="Courier New"/>
      <w:sz w:val="20"/>
      <w:szCs w:val="20"/>
    </w:rPr>
  </w:style>
  <w:style w:type="character" w:styleId="90">
    <w:name w:val="annotation reference"/>
    <w:qFormat/>
    <w:uiPriority w:val="0"/>
    <w:rPr>
      <w:rFonts w:ascii="Times New Roman" w:hAnsi="Times New Roman" w:eastAsia="宋体" w:cs="Times New Roman"/>
      <w:sz w:val="21"/>
      <w:szCs w:val="21"/>
    </w:rPr>
  </w:style>
  <w:style w:type="character" w:styleId="91">
    <w:name w:val="HTML Cite"/>
    <w:qFormat/>
    <w:uiPriority w:val="0"/>
    <w:rPr>
      <w:rFonts w:ascii="Times New Roman" w:hAnsi="Times New Roman" w:eastAsia="宋体" w:cs="Times New Roman"/>
      <w:i/>
      <w:iCs/>
    </w:rPr>
  </w:style>
  <w:style w:type="character" w:styleId="92">
    <w:name w:val="footnote reference"/>
    <w:uiPriority w:val="0"/>
    <w:rPr>
      <w:rFonts w:ascii="Times New Roman" w:hAnsi="Times New Roman" w:eastAsia="宋体" w:cs="Times New Roman"/>
      <w:vertAlign w:val="superscript"/>
    </w:rPr>
  </w:style>
  <w:style w:type="character" w:styleId="93">
    <w:name w:val="HTML Keyboard"/>
    <w:uiPriority w:val="0"/>
    <w:rPr>
      <w:rFonts w:ascii="Courier New" w:hAnsi="Courier New" w:eastAsia="宋体" w:cs="Courier New"/>
      <w:sz w:val="20"/>
      <w:szCs w:val="20"/>
    </w:rPr>
  </w:style>
  <w:style w:type="character" w:styleId="94">
    <w:name w:val="HTML Sample"/>
    <w:uiPriority w:val="0"/>
    <w:rPr>
      <w:rFonts w:ascii="Courier New" w:hAnsi="Courier New" w:eastAsia="宋体" w:cs="Courier New"/>
    </w:rPr>
  </w:style>
  <w:style w:type="character" w:customStyle="1" w:styleId="95">
    <w:name w:val="标题 1 Char"/>
    <w:link w:val="3"/>
    <w:uiPriority w:val="0"/>
    <w:rPr>
      <w:rFonts w:ascii="Times New Roman" w:hAnsi="Times New Roman" w:eastAsia="汉仪大宋简" w:cs="Times New Roman"/>
      <w:kern w:val="44"/>
      <w:sz w:val="22"/>
      <w:szCs w:val="22"/>
      <w:lang w:val="en-US" w:eastAsia="zh-CN" w:bidi="ar-SA"/>
    </w:rPr>
  </w:style>
  <w:style w:type="character" w:customStyle="1" w:styleId="96">
    <w:name w:val="标题 2 Char"/>
    <w:link w:val="4"/>
    <w:qFormat/>
    <w:uiPriority w:val="0"/>
    <w:rPr>
      <w:rFonts w:ascii="Arial" w:hAnsi="Arial" w:eastAsia="黑体" w:cs="Times New Roman"/>
      <w:b/>
      <w:bCs/>
      <w:kern w:val="2"/>
      <w:sz w:val="32"/>
      <w:szCs w:val="32"/>
      <w:lang w:val="en-US" w:eastAsia="zh-CN" w:bidi="ar-SA"/>
    </w:rPr>
  </w:style>
  <w:style w:type="character" w:customStyle="1" w:styleId="97">
    <w:name w:val="纯文本 Char"/>
    <w:link w:val="39"/>
    <w:uiPriority w:val="0"/>
    <w:rPr>
      <w:rFonts w:ascii="宋体" w:hAnsi="Courier New" w:eastAsia="宋体" w:cs="Courier New"/>
      <w:kern w:val="2"/>
      <w:sz w:val="21"/>
      <w:szCs w:val="21"/>
      <w:lang w:val="en-US" w:eastAsia="zh-CN" w:bidi="ar-SA"/>
    </w:rPr>
  </w:style>
  <w:style w:type="character" w:customStyle="1" w:styleId="98">
    <w:name w:val="3z Char Char"/>
    <w:link w:val="99"/>
    <w:uiPriority w:val="0"/>
    <w:rPr>
      <w:rFonts w:ascii="EU-F1" w:hAnsi="Times New Roman" w:eastAsia="黑体" w:cs="Times New Roman"/>
      <w:kern w:val="2"/>
      <w:sz w:val="21"/>
      <w:szCs w:val="21"/>
      <w:lang w:val="en-US" w:eastAsia="zh-CN" w:bidi="ar-SA"/>
    </w:rPr>
  </w:style>
  <w:style w:type="paragraph" w:customStyle="1" w:styleId="99">
    <w:name w:val="3z"/>
    <w:basedOn w:val="100"/>
    <w:link w:val="98"/>
    <w:uiPriority w:val="0"/>
    <w:rPr>
      <w:kern w:val="2"/>
    </w:rPr>
  </w:style>
  <w:style w:type="paragraph" w:customStyle="1" w:styleId="100">
    <w:name w:val="附录二"/>
    <w:basedOn w:val="39"/>
    <w:uiPriority w:val="0"/>
    <w:pPr>
      <w:spacing w:line="312" w:lineRule="exact"/>
    </w:pPr>
    <w:rPr>
      <w:rFonts w:ascii="EU-F1" w:hAnsi="Times New Roman" w:eastAsia="黑体" w:cs="Times New Roman"/>
      <w:kern w:val="21"/>
    </w:rPr>
  </w:style>
  <w:style w:type="character" w:customStyle="1" w:styleId="101">
    <w:name w:val="jl 正文 Char Char Char Char"/>
    <w:link w:val="102"/>
    <w:uiPriority w:val="0"/>
    <w:rPr>
      <w:rFonts w:ascii="宋体" w:hAnsi="Times New Roman" w:eastAsia="宋体" w:cs="Times New Roman"/>
      <w:kern w:val="2"/>
      <w:sz w:val="24"/>
      <w:szCs w:val="24"/>
      <w:lang w:val="en-US" w:eastAsia="zh-CN" w:bidi="ar-SA"/>
    </w:rPr>
  </w:style>
  <w:style w:type="paragraph" w:customStyle="1" w:styleId="102">
    <w:name w:val="jl 正文 Char Char"/>
    <w:basedOn w:val="1"/>
    <w:link w:val="101"/>
    <w:uiPriority w:val="0"/>
    <w:pPr>
      <w:autoSpaceDE w:val="0"/>
      <w:autoSpaceDN w:val="0"/>
      <w:adjustRightInd w:val="0"/>
      <w:ind w:firstLine="200" w:firstLineChars="200"/>
      <w:jc w:val="left"/>
      <w:textAlignment w:val="baseline"/>
    </w:pPr>
    <w:rPr>
      <w:rFonts w:ascii="宋体"/>
      <w:sz w:val="24"/>
      <w:szCs w:val="24"/>
    </w:rPr>
  </w:style>
  <w:style w:type="character" w:customStyle="1" w:styleId="103">
    <w:name w:val="zt Char Char"/>
    <w:link w:val="104"/>
    <w:uiPriority w:val="0"/>
    <w:rPr>
      <w:rFonts w:ascii="EU-F1" w:hAnsi="Times New Roman" w:eastAsia="EU-F1" w:cs="Times New Roman"/>
      <w:bCs/>
      <w:kern w:val="2"/>
      <w:sz w:val="21"/>
      <w:szCs w:val="21"/>
      <w:lang w:val="en-US" w:eastAsia="zh-CN" w:bidi="ar-SA"/>
    </w:rPr>
  </w:style>
  <w:style w:type="paragraph" w:customStyle="1" w:styleId="104">
    <w:name w:val="zt"/>
    <w:basedOn w:val="1"/>
    <w:link w:val="103"/>
    <w:uiPriority w:val="0"/>
    <w:pPr>
      <w:overflowPunct w:val="0"/>
      <w:spacing w:line="312" w:lineRule="exact"/>
    </w:pPr>
    <w:rPr>
      <w:rFonts w:ascii="EU-F1" w:eastAsia="EU-F1"/>
      <w:bCs/>
      <w:szCs w:val="21"/>
    </w:rPr>
  </w:style>
  <w:style w:type="character" w:customStyle="1" w:styleId="105">
    <w:name w:val="标题 1 Char Char"/>
    <w:uiPriority w:val="0"/>
    <w:rPr>
      <w:rFonts w:ascii="Times New Roman" w:hAnsi="Times New Roman" w:eastAsia="宋体" w:cs="Times New Roman"/>
      <w:b/>
      <w:kern w:val="44"/>
      <w:sz w:val="44"/>
      <w:lang w:val="en-US" w:eastAsia="zh-CN" w:bidi="ar-SA"/>
    </w:rPr>
  </w:style>
  <w:style w:type="character" w:customStyle="1" w:styleId="106">
    <w:name w:val="样式6 Char Char"/>
    <w:link w:val="107"/>
    <w:uiPriority w:val="0"/>
    <w:rPr>
      <w:rFonts w:ascii="Times New Roman" w:hAnsi="Times New Roman" w:eastAsia="黑体" w:cs="Times New Roman"/>
      <w:kern w:val="2"/>
      <w:sz w:val="21"/>
      <w:szCs w:val="21"/>
      <w:lang w:val="en-US" w:eastAsia="zh-CN" w:bidi="ar-SA"/>
    </w:rPr>
  </w:style>
  <w:style w:type="paragraph" w:customStyle="1" w:styleId="107">
    <w:name w:val="样式6"/>
    <w:basedOn w:val="1"/>
    <w:link w:val="106"/>
    <w:uiPriority w:val="0"/>
    <w:pPr>
      <w:topLinePunct/>
      <w:spacing w:before="160" w:beforeLines="0" w:after="60" w:afterLines="0"/>
      <w:jc w:val="center"/>
    </w:pPr>
    <w:rPr>
      <w:rFonts w:eastAsia="黑体"/>
      <w:szCs w:val="21"/>
    </w:rPr>
  </w:style>
  <w:style w:type="character" w:customStyle="1" w:styleId="108">
    <w:name w:val="附录一 Char Char"/>
    <w:link w:val="109"/>
    <w:uiPriority w:val="0"/>
    <w:rPr>
      <w:rFonts w:ascii="EU-F1" w:hAnsi="Times New Roman" w:eastAsia="黑体" w:cs="Times New Roman"/>
      <w:kern w:val="2"/>
      <w:sz w:val="21"/>
      <w:szCs w:val="21"/>
      <w:lang w:val="en-US" w:eastAsia="zh-CN" w:bidi="ar-SA"/>
    </w:rPr>
  </w:style>
  <w:style w:type="paragraph" w:customStyle="1" w:styleId="109">
    <w:name w:val="附录一"/>
    <w:basedOn w:val="39"/>
    <w:link w:val="108"/>
    <w:uiPriority w:val="0"/>
    <w:pPr>
      <w:spacing w:line="480" w:lineRule="auto"/>
    </w:pPr>
    <w:rPr>
      <w:rFonts w:ascii="EU-F1" w:hAnsi="Times New Roman" w:eastAsia="黑体" w:cs="Times New Roman"/>
    </w:rPr>
  </w:style>
  <w:style w:type="character" w:customStyle="1" w:styleId="110">
    <w:name w:val="标题 2 Char Char"/>
    <w:uiPriority w:val="0"/>
    <w:rPr>
      <w:rFonts w:ascii="Times New Roman" w:hAnsi="Times New Roman" w:eastAsia="黑体" w:cs="Times New Roman"/>
      <w:sz w:val="21"/>
      <w:szCs w:val="21"/>
      <w:lang w:val="en-US" w:eastAsia="zh-CN" w:bidi="ar-SA"/>
    </w:rPr>
  </w:style>
  <w:style w:type="character" w:customStyle="1" w:styleId="111">
    <w:name w:val="章标题 1 Char Char"/>
    <w:uiPriority w:val="0"/>
    <w:rPr>
      <w:rFonts w:ascii="Times New Roman" w:hAnsi="Times New Roman" w:eastAsia="黑体" w:cs="Times New Roman"/>
      <w:kern w:val="44"/>
      <w:sz w:val="28"/>
      <w:lang w:val="en-US" w:eastAsia="zh-CN" w:bidi="ar-SA"/>
    </w:rPr>
  </w:style>
  <w:style w:type="character" w:customStyle="1" w:styleId="112">
    <w:name w:val="样式 标题 2 + 五号 Char Char"/>
    <w:link w:val="113"/>
    <w:uiPriority w:val="0"/>
    <w:rPr>
      <w:rFonts w:ascii="Arial" w:hAnsi="Arial" w:eastAsia="黑体" w:cs="Times New Roman"/>
      <w:b/>
      <w:bCs/>
      <w:kern w:val="2"/>
      <w:sz w:val="21"/>
      <w:szCs w:val="21"/>
      <w:lang w:val="en-US" w:eastAsia="zh-CN" w:bidi="ar-SA"/>
    </w:rPr>
  </w:style>
  <w:style w:type="paragraph" w:customStyle="1" w:styleId="113">
    <w:name w:val="样式 标题 2 + 五号"/>
    <w:basedOn w:val="4"/>
    <w:link w:val="112"/>
    <w:uiPriority w:val="0"/>
    <w:pPr>
      <w:topLinePunct w:val="0"/>
      <w:autoSpaceDE w:val="0"/>
      <w:autoSpaceDN w:val="0"/>
      <w:adjustRightInd w:val="0"/>
      <w:spacing w:before="0" w:beforeLines="0" w:after="0" w:afterLines="0" w:line="240" w:lineRule="auto"/>
      <w:ind w:firstLine="420"/>
      <w:textAlignment w:val="baseline"/>
    </w:pPr>
    <w:rPr>
      <w:sz w:val="21"/>
      <w:szCs w:val="21"/>
    </w:rPr>
  </w:style>
  <w:style w:type="character" w:customStyle="1" w:styleId="114">
    <w:name w:val="样式 标题 1 + 加粗 Char Char"/>
    <w:link w:val="115"/>
    <w:uiPriority w:val="0"/>
    <w:rPr>
      <w:rFonts w:ascii="Times New Roman" w:hAnsi="Times New Roman" w:eastAsia="黑体" w:cs="Times New Roman"/>
      <w:b/>
      <w:kern w:val="44"/>
      <w:sz w:val="28"/>
      <w:lang w:val="en-US" w:eastAsia="zh-CN" w:bidi="ar-SA"/>
    </w:rPr>
  </w:style>
  <w:style w:type="paragraph" w:customStyle="1" w:styleId="115">
    <w:name w:val="样式 标题 1 + 加粗"/>
    <w:basedOn w:val="3"/>
    <w:link w:val="114"/>
    <w:uiPriority w:val="0"/>
    <w:pPr>
      <w:topLinePunct w:val="0"/>
      <w:spacing w:before="312" w:beforeLines="100" w:after="312" w:afterLines="100" w:line="240" w:lineRule="auto"/>
      <w:ind w:firstLine="0"/>
      <w:textAlignment w:val="auto"/>
    </w:pPr>
    <w:rPr>
      <w:rFonts w:eastAsia="黑体"/>
      <w:b/>
      <w:sz w:val="28"/>
      <w:szCs w:val="20"/>
    </w:rPr>
  </w:style>
  <w:style w:type="character" w:customStyle="1" w:styleId="116">
    <w:name w:val="样式 样式1 + 非加粗 Char Char"/>
    <w:link w:val="117"/>
    <w:uiPriority w:val="0"/>
    <w:rPr>
      <w:rFonts w:ascii="EU-F1" w:hAnsi="Times New Roman" w:eastAsia="汉仪大宋简" w:cs="Times New Roman"/>
      <w:kern w:val="2"/>
      <w:sz w:val="22"/>
      <w:szCs w:val="22"/>
      <w:lang w:val="en-US" w:eastAsia="zh-CN" w:bidi="ar-SA"/>
    </w:rPr>
  </w:style>
  <w:style w:type="paragraph" w:customStyle="1" w:styleId="117">
    <w:name w:val="样式 样式1 + 非加粗"/>
    <w:basedOn w:val="118"/>
    <w:link w:val="116"/>
    <w:uiPriority w:val="0"/>
    <w:pPr>
      <w:keepLines w:val="0"/>
      <w:topLinePunct w:val="0"/>
      <w:ind w:firstLine="420"/>
      <w:outlineLvl w:val="0"/>
    </w:pPr>
    <w:rPr>
      <w:rFonts w:eastAsia="汉仪大宋简"/>
      <w:sz w:val="22"/>
      <w:szCs w:val="22"/>
    </w:rPr>
  </w:style>
  <w:style w:type="paragraph" w:customStyle="1" w:styleId="118">
    <w:name w:val="样式1"/>
    <w:basedOn w:val="1"/>
    <w:link w:val="119"/>
    <w:uiPriority w:val="0"/>
    <w:pPr>
      <w:keepNext/>
      <w:keepLines/>
      <w:spacing w:line="480" w:lineRule="auto"/>
    </w:pPr>
    <w:rPr>
      <w:rFonts w:ascii="EU-F1" w:eastAsia="黑体"/>
      <w:szCs w:val="21"/>
    </w:rPr>
  </w:style>
  <w:style w:type="character" w:customStyle="1" w:styleId="119">
    <w:name w:val="样式1 Char Char"/>
    <w:link w:val="118"/>
    <w:uiPriority w:val="0"/>
    <w:rPr>
      <w:rFonts w:ascii="EU-F1" w:hAnsi="Times New Roman" w:eastAsia="黑体" w:cs="Times New Roman"/>
      <w:kern w:val="2"/>
      <w:sz w:val="21"/>
      <w:szCs w:val="21"/>
      <w:lang w:val="en-US" w:eastAsia="zh-CN" w:bidi="ar-SA"/>
    </w:rPr>
  </w:style>
  <w:style w:type="character" w:customStyle="1" w:styleId="120">
    <w:name w:val="二级条标题 Char Char"/>
    <w:link w:val="121"/>
    <w:uiPriority w:val="0"/>
    <w:rPr>
      <w:rFonts w:ascii="Times New Roman" w:hAnsi="Times New Roman" w:eastAsia="黑体" w:cs="Times New Roman"/>
      <w:sz w:val="30"/>
      <w:lang w:val="en-US" w:eastAsia="zh-CN" w:bidi="ar-SA"/>
    </w:rPr>
  </w:style>
  <w:style w:type="paragraph" w:customStyle="1" w:styleId="121">
    <w:name w:val="二级条标题"/>
    <w:basedOn w:val="122"/>
    <w:next w:val="123"/>
    <w:link w:val="120"/>
    <w:uiPriority w:val="0"/>
    <w:pPr>
      <w:tabs>
        <w:tab w:val="left" w:pos="425"/>
        <w:tab w:val="left" w:pos="992"/>
      </w:tabs>
      <w:ind w:left="992" w:hanging="567"/>
      <w:outlineLvl w:val="3"/>
    </w:pPr>
  </w:style>
  <w:style w:type="paragraph" w:customStyle="1" w:styleId="122">
    <w:name w:val="一级条标题"/>
    <w:next w:val="123"/>
    <w:uiPriority w:val="0"/>
    <w:pPr>
      <w:tabs>
        <w:tab w:val="left" w:pos="425"/>
      </w:tabs>
      <w:ind w:left="425" w:hanging="425"/>
      <w:outlineLvl w:val="2"/>
    </w:pPr>
    <w:rPr>
      <w:rFonts w:ascii="Times New Roman" w:hAnsi="Times New Roman" w:eastAsia="黑体" w:cs="Times New Roman"/>
      <w:sz w:val="30"/>
      <w:lang w:val="en-US" w:eastAsia="zh-CN" w:bidi="ar-SA"/>
    </w:rPr>
  </w:style>
  <w:style w:type="paragraph" w:customStyle="1" w:styleId="123">
    <w:name w:val="段"/>
    <w:link w:val="124"/>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24">
    <w:name w:val="段 Char Char"/>
    <w:link w:val="123"/>
    <w:uiPriority w:val="0"/>
    <w:rPr>
      <w:rFonts w:ascii="宋体"/>
      <w:sz w:val="21"/>
      <w:lang w:val="en-US" w:eastAsia="zh-CN" w:bidi="ar-SA"/>
    </w:rPr>
  </w:style>
  <w:style w:type="character" w:customStyle="1" w:styleId="125">
    <w:name w:val="t Char Char"/>
    <w:link w:val="126"/>
    <w:uiPriority w:val="0"/>
    <w:rPr>
      <w:rFonts w:ascii="Times New Roman" w:hAnsi="Times New Roman" w:eastAsia="宋体" w:cs="Times New Roman"/>
      <w:kern w:val="2"/>
      <w:sz w:val="21"/>
      <w:szCs w:val="21"/>
      <w:lang w:val="en-US" w:eastAsia="zh-CN" w:bidi="ar-SA"/>
    </w:rPr>
  </w:style>
  <w:style w:type="paragraph" w:customStyle="1" w:styleId="126">
    <w:name w:val="t"/>
    <w:basedOn w:val="127"/>
    <w:link w:val="125"/>
    <w:uiPriority w:val="0"/>
    <w:rPr>
      <w:rFonts w:ascii="Times New Roman" w:eastAsia="宋体"/>
    </w:rPr>
  </w:style>
  <w:style w:type="paragraph" w:customStyle="1" w:styleId="127">
    <w:name w:val="图说"/>
    <w:basedOn w:val="1"/>
    <w:link w:val="128"/>
    <w:uiPriority w:val="0"/>
    <w:pPr>
      <w:spacing w:before="60" w:beforeLines="0" w:after="160" w:afterLines="0" w:line="312" w:lineRule="exact"/>
      <w:jc w:val="center"/>
    </w:pPr>
    <w:rPr>
      <w:rFonts w:ascii="EU-F1" w:eastAsia="黑体"/>
      <w:szCs w:val="21"/>
    </w:rPr>
  </w:style>
  <w:style w:type="character" w:customStyle="1" w:styleId="128">
    <w:name w:val="图说 Char Char"/>
    <w:link w:val="127"/>
    <w:uiPriority w:val="0"/>
    <w:rPr>
      <w:rFonts w:ascii="EU-F1" w:hAnsi="Times New Roman" w:eastAsia="黑体" w:cs="Times New Roman"/>
      <w:kern w:val="2"/>
      <w:sz w:val="21"/>
      <w:szCs w:val="21"/>
      <w:lang w:val="en-US" w:eastAsia="zh-CN" w:bidi="ar-SA"/>
    </w:rPr>
  </w:style>
  <w:style w:type="character" w:customStyle="1" w:styleId="129">
    <w:name w:val="表头 Char Char"/>
    <w:link w:val="130"/>
    <w:uiPriority w:val="0"/>
    <w:rPr>
      <w:rFonts w:ascii="EU-F1" w:hAnsi="Times New Roman" w:eastAsia="黑体" w:cs="Times New Roman"/>
      <w:sz w:val="21"/>
      <w:szCs w:val="21"/>
      <w:lang w:val="en-US" w:eastAsia="zh-CN" w:bidi="ar-SA"/>
    </w:rPr>
  </w:style>
  <w:style w:type="paragraph" w:customStyle="1" w:styleId="130">
    <w:name w:val="表头"/>
    <w:basedOn w:val="1"/>
    <w:link w:val="129"/>
    <w:uiPriority w:val="0"/>
    <w:pPr>
      <w:spacing w:before="160" w:beforeLines="0" w:after="60" w:afterLines="0" w:line="312" w:lineRule="exact"/>
      <w:jc w:val="center"/>
    </w:pPr>
    <w:rPr>
      <w:rFonts w:ascii="EU-F1" w:eastAsia="黑体"/>
      <w:kern w:val="0"/>
      <w:szCs w:val="21"/>
    </w:rPr>
  </w:style>
  <w:style w:type="character" w:customStyle="1" w:styleId="131">
    <w:name w:val="wang正文 Char Char"/>
    <w:link w:val="132"/>
    <w:uiPriority w:val="0"/>
    <w:rPr>
      <w:rFonts w:ascii="Times New Roman" w:hAnsi="Times New Roman" w:eastAsia="宋体" w:cs="Times New Roman"/>
      <w:sz w:val="21"/>
      <w:szCs w:val="24"/>
      <w:lang w:val="en-US" w:eastAsia="zh-CN" w:bidi="ar-SA"/>
    </w:rPr>
  </w:style>
  <w:style w:type="paragraph" w:customStyle="1" w:styleId="132">
    <w:name w:val="wang正文"/>
    <w:basedOn w:val="1"/>
    <w:link w:val="131"/>
    <w:uiPriority w:val="0"/>
    <w:pPr>
      <w:tabs>
        <w:tab w:val="left" w:pos="6840"/>
      </w:tabs>
      <w:ind w:firstLine="420"/>
    </w:pPr>
    <w:rPr>
      <w:kern w:val="0"/>
      <w:szCs w:val="24"/>
    </w:rPr>
  </w:style>
  <w:style w:type="character" w:customStyle="1" w:styleId="133">
    <w:name w:val="样式2 Char Char"/>
    <w:link w:val="134"/>
    <w:uiPriority w:val="0"/>
    <w:rPr>
      <w:rFonts w:ascii="EU-F1" w:hAnsi="Times New Roman" w:eastAsia="黑体" w:cs="Times New Roman"/>
      <w:kern w:val="2"/>
      <w:sz w:val="21"/>
      <w:szCs w:val="21"/>
      <w:lang w:val="en-US" w:eastAsia="zh-CN" w:bidi="ar-SA"/>
    </w:rPr>
  </w:style>
  <w:style w:type="paragraph" w:customStyle="1" w:styleId="134">
    <w:name w:val="样式2"/>
    <w:basedOn w:val="1"/>
    <w:link w:val="133"/>
    <w:uiPriority w:val="0"/>
    <w:pPr>
      <w:spacing w:line="312" w:lineRule="exact"/>
      <w:outlineLvl w:val="1"/>
    </w:pPr>
    <w:rPr>
      <w:rFonts w:ascii="EU-F1" w:eastAsia="黑体"/>
      <w:szCs w:val="21"/>
    </w:rPr>
  </w:style>
  <w:style w:type="character" w:customStyle="1" w:styleId="135">
    <w:name w:val="标题 2 Char Char Char1"/>
    <w:uiPriority w:val="0"/>
    <w:rPr>
      <w:rFonts w:ascii="仿宋_GB2312" w:hAnsi="Arial" w:eastAsia="仿宋_GB2312" w:cs="Times New Roman"/>
      <w:b/>
      <w:bCs/>
      <w:color w:val="000000"/>
      <w:kern w:val="44"/>
      <w:sz w:val="28"/>
      <w:szCs w:val="32"/>
      <w:lang w:val="sv-SE" w:eastAsia="zh-CN" w:bidi="ar-SA"/>
    </w:rPr>
  </w:style>
  <w:style w:type="character" w:customStyle="1" w:styleId="136">
    <w:name w:val=" Char Char3"/>
    <w:uiPriority w:val="0"/>
    <w:rPr>
      <w:rFonts w:ascii="汉仪大宋简" w:hAnsi="Times New Roman" w:eastAsia="汉仪大宋简" w:cs="Times New Roman"/>
      <w:kern w:val="28"/>
      <w:sz w:val="22"/>
      <w:szCs w:val="26"/>
    </w:rPr>
  </w:style>
  <w:style w:type="character" w:customStyle="1" w:styleId="137">
    <w:name w:val="样式 样式1 + Char Char"/>
    <w:link w:val="138"/>
    <w:uiPriority w:val="0"/>
    <w:rPr>
      <w:rFonts w:ascii="EU-F1" w:hAnsi="Times New Roman" w:eastAsia="汉仪大宋简" w:cs="Times New Roman"/>
      <w:bCs/>
      <w:kern w:val="2"/>
      <w:sz w:val="22"/>
      <w:szCs w:val="22"/>
      <w:lang w:val="en-US" w:eastAsia="zh-CN" w:bidi="ar-SA"/>
    </w:rPr>
  </w:style>
  <w:style w:type="paragraph" w:customStyle="1" w:styleId="138">
    <w:name w:val="样式 样式1 +"/>
    <w:basedOn w:val="118"/>
    <w:link w:val="137"/>
    <w:uiPriority w:val="0"/>
    <w:pPr>
      <w:keepLines w:val="0"/>
      <w:topLinePunct w:val="0"/>
      <w:ind w:firstLine="420"/>
      <w:outlineLvl w:val="0"/>
    </w:pPr>
    <w:rPr>
      <w:rFonts w:eastAsia="汉仪大宋简"/>
      <w:bCs/>
      <w:sz w:val="22"/>
      <w:szCs w:val="22"/>
    </w:rPr>
  </w:style>
  <w:style w:type="character" w:customStyle="1" w:styleId="139">
    <w:name w:val="样式 Arial"/>
    <w:uiPriority w:val="0"/>
    <w:rPr>
      <w:rFonts w:hint="default" w:ascii="Times New Roman" w:hAnsi="Times New Roman" w:eastAsia="宋体" w:cs="Times New Roman"/>
      <w:sz w:val="21"/>
      <w:szCs w:val="21"/>
    </w:rPr>
  </w:style>
  <w:style w:type="character" w:customStyle="1" w:styleId="140">
    <w:name w:val=" Char Char1"/>
    <w:uiPriority w:val="0"/>
    <w:rPr>
      <w:rFonts w:ascii="Times New Roman" w:hAnsi="Times New Roman" w:eastAsia="汉仪大宋简" w:cs="Times New Roman"/>
      <w:kern w:val="44"/>
      <w:sz w:val="22"/>
      <w:szCs w:val="22"/>
      <w:lang w:val="en-US" w:eastAsia="zh-CN" w:bidi="ar-SA"/>
    </w:rPr>
  </w:style>
  <w:style w:type="character" w:customStyle="1" w:styleId="141">
    <w:name w:val="章标题 1 Char"/>
    <w:uiPriority w:val="0"/>
    <w:rPr>
      <w:rFonts w:ascii="Times New Roman" w:hAnsi="Times New Roman" w:eastAsia="黑体" w:cs="Times New Roman"/>
      <w:kern w:val="44"/>
      <w:sz w:val="30"/>
      <w:lang w:val="en-US" w:eastAsia="zh-CN"/>
    </w:rPr>
  </w:style>
  <w:style w:type="character" w:customStyle="1" w:styleId="142">
    <w:name w:val="ztr Char Char"/>
    <w:link w:val="143"/>
    <w:uiPriority w:val="0"/>
    <w:rPr>
      <w:rFonts w:ascii="宋体" w:hAnsi="宋体" w:eastAsia="宋体" w:cs="Courier New"/>
      <w:kern w:val="2"/>
      <w:sz w:val="21"/>
      <w:szCs w:val="21"/>
      <w:lang w:val="en-US" w:eastAsia="zh-CN" w:bidi="ar-SA"/>
    </w:rPr>
  </w:style>
  <w:style w:type="paragraph" w:customStyle="1" w:styleId="143">
    <w:name w:val="ztr"/>
    <w:basedOn w:val="39"/>
    <w:link w:val="142"/>
    <w:uiPriority w:val="0"/>
    <w:pPr>
      <w:spacing w:line="312" w:lineRule="exact"/>
    </w:pPr>
    <w:rPr>
      <w:rFonts w:hAnsi="宋体"/>
    </w:rPr>
  </w:style>
  <w:style w:type="character" w:customStyle="1" w:styleId="144">
    <w:name w:val="2z Char Char"/>
    <w:link w:val="145"/>
    <w:uiPriority w:val="0"/>
    <w:rPr>
      <w:rFonts w:ascii="EU-F1" w:hAnsi="Times New Roman" w:eastAsia="黑体" w:cs="Times New Roman"/>
      <w:kern w:val="21"/>
      <w:sz w:val="21"/>
      <w:szCs w:val="21"/>
      <w:lang w:val="en-US" w:eastAsia="zh-CN" w:bidi="ar-SA"/>
    </w:rPr>
  </w:style>
  <w:style w:type="paragraph" w:customStyle="1" w:styleId="145">
    <w:name w:val="2z"/>
    <w:basedOn w:val="100"/>
    <w:link w:val="144"/>
    <w:uiPriority w:val="0"/>
    <w:pPr>
      <w:spacing w:line="480" w:lineRule="auto"/>
    </w:pPr>
  </w:style>
  <w:style w:type="character" w:customStyle="1" w:styleId="146">
    <w:name w:val="jl 三级 Char Char Char"/>
    <w:link w:val="147"/>
    <w:uiPriority w:val="0"/>
    <w:rPr>
      <w:rFonts w:ascii="宋体" w:hAnsi="宋体" w:eastAsia="宋体" w:cs="Times New Roman"/>
      <w:b/>
      <w:color w:val="000000"/>
      <w:kern w:val="2"/>
      <w:sz w:val="24"/>
      <w:szCs w:val="24"/>
      <w:lang w:val="en-US" w:eastAsia="zh-CN" w:bidi="ar-SA"/>
    </w:rPr>
  </w:style>
  <w:style w:type="paragraph" w:customStyle="1" w:styleId="147">
    <w:name w:val="jl 三级 Char"/>
    <w:basedOn w:val="1"/>
    <w:link w:val="146"/>
    <w:uiPriority w:val="0"/>
    <w:pPr>
      <w:autoSpaceDE w:val="0"/>
      <w:autoSpaceDN w:val="0"/>
      <w:adjustRightInd w:val="0"/>
      <w:spacing w:before="156" w:beforeLines="50" w:after="156" w:afterLines="50"/>
      <w:ind w:firstLine="480" w:firstLineChars="200"/>
      <w:jc w:val="left"/>
      <w:textAlignment w:val="baseline"/>
      <w:outlineLvl w:val="2"/>
    </w:pPr>
    <w:rPr>
      <w:rFonts w:ascii="宋体" w:hAnsi="宋体"/>
      <w:b/>
      <w:color w:val="000000"/>
      <w:sz w:val="24"/>
      <w:szCs w:val="24"/>
    </w:rPr>
  </w:style>
  <w:style w:type="character" w:customStyle="1" w:styleId="148">
    <w:name w:val="zY Char Char"/>
    <w:link w:val="149"/>
    <w:uiPriority w:val="0"/>
    <w:rPr>
      <w:rFonts w:ascii="Times New Roman" w:hAnsi="Times New Roman" w:eastAsia="宋体" w:cs="Times New Roman"/>
      <w:kern w:val="2"/>
      <w:sz w:val="21"/>
      <w:szCs w:val="21"/>
      <w:lang w:val="en-US" w:eastAsia="zh-CN" w:bidi="ar-SA"/>
    </w:rPr>
  </w:style>
  <w:style w:type="paragraph" w:customStyle="1" w:styleId="149">
    <w:name w:val="zY"/>
    <w:basedOn w:val="1"/>
    <w:link w:val="148"/>
    <w:uiPriority w:val="0"/>
    <w:pPr>
      <w:spacing w:line="312" w:lineRule="exact"/>
    </w:pPr>
    <w:rPr>
      <w:szCs w:val="21"/>
    </w:rPr>
  </w:style>
  <w:style w:type="character" w:customStyle="1" w:styleId="150">
    <w:name w:val="标题 1 Char Char Char"/>
    <w:uiPriority w:val="0"/>
    <w:rPr>
      <w:rFonts w:ascii="Times New Roman" w:hAnsi="Times New Roman" w:eastAsia="黑体" w:cs="Times New Roman"/>
      <w:kern w:val="44"/>
      <w:sz w:val="28"/>
      <w:lang w:val="en-US" w:eastAsia="zh-CN"/>
    </w:rPr>
  </w:style>
  <w:style w:type="character" w:customStyle="1" w:styleId="151">
    <w:name w:val="标题 3 + 四 段前: 0 磅 段后: 0 磅 行距: 1.5 倍行距 Char Char"/>
    <w:link w:val="152"/>
    <w:uiPriority w:val="0"/>
    <w:rPr>
      <w:rFonts w:ascii="Times New Roman" w:hAnsi="Times New Roman" w:eastAsia="宋体" w:cs="宋体"/>
      <w:b/>
      <w:bCs/>
      <w:kern w:val="2"/>
      <w:sz w:val="28"/>
      <w:szCs w:val="28"/>
      <w:lang w:val="en-US" w:eastAsia="zh-CN" w:bidi="ar-SA"/>
    </w:rPr>
  </w:style>
  <w:style w:type="paragraph" w:customStyle="1" w:styleId="152">
    <w:name w:val="标题 3 + 四 段前: 0 磅 段后: 0 磅 行距: 1.5 倍行距"/>
    <w:basedOn w:val="5"/>
    <w:next w:val="5"/>
    <w:link w:val="151"/>
    <w:uiPriority w:val="0"/>
    <w:pPr>
      <w:spacing w:before="0" w:beforeLines="0" w:after="0" w:afterLines="0" w:line="360" w:lineRule="auto"/>
    </w:pPr>
    <w:rPr>
      <w:rFonts w:cs="宋体"/>
      <w:sz w:val="28"/>
      <w:szCs w:val="28"/>
    </w:rPr>
  </w:style>
  <w:style w:type="character" w:customStyle="1" w:styleId="153">
    <w:name w:val=" Char Char5"/>
    <w:qFormat/>
    <w:uiPriority w:val="0"/>
    <w:rPr>
      <w:rFonts w:ascii="宋体" w:hAnsi="Times New Roman" w:eastAsia="宋体" w:cs="Times New Roman"/>
      <w:sz w:val="18"/>
      <w:lang w:val="en-US" w:eastAsia="zh-CN" w:bidi="ar-SA"/>
    </w:rPr>
  </w:style>
  <w:style w:type="character" w:customStyle="1" w:styleId="154">
    <w:name w:val="纯文本 Char Char"/>
    <w:uiPriority w:val="0"/>
    <w:rPr>
      <w:rFonts w:ascii="宋体" w:hAnsi="Courier New" w:eastAsia="宋体" w:cs="Courier New"/>
      <w:kern w:val="2"/>
      <w:sz w:val="21"/>
      <w:szCs w:val="21"/>
      <w:lang w:val="en-US" w:eastAsia="zh-CN" w:bidi="ar-SA"/>
    </w:rPr>
  </w:style>
  <w:style w:type="character" w:customStyle="1" w:styleId="155">
    <w:name w:val="D5 Char Char"/>
    <w:link w:val="156"/>
    <w:uiPriority w:val="0"/>
    <w:rPr>
      <w:rFonts w:ascii="Times New Roman" w:hAnsi="Times New Roman" w:eastAsia="宋体" w:cs="Times New Roman"/>
      <w:kern w:val="2"/>
      <w:sz w:val="21"/>
      <w:szCs w:val="24"/>
      <w:lang w:val="en-US" w:eastAsia="zh-CN" w:bidi="ar-SA"/>
    </w:rPr>
  </w:style>
  <w:style w:type="paragraph" w:customStyle="1" w:styleId="156">
    <w:name w:val="D5"/>
    <w:basedOn w:val="1"/>
    <w:link w:val="155"/>
    <w:qFormat/>
    <w:uiPriority w:val="0"/>
    <w:pPr>
      <w:tabs>
        <w:tab w:val="left" w:pos="924"/>
      </w:tabs>
      <w:spacing w:line="312" w:lineRule="exact"/>
      <w:ind w:left="908" w:hanging="488"/>
    </w:pPr>
    <w:rPr>
      <w:szCs w:val="24"/>
    </w:rPr>
  </w:style>
  <w:style w:type="character" w:customStyle="1" w:styleId="157">
    <w:name w:val="正文格式 Char Char"/>
    <w:link w:val="158"/>
    <w:qFormat/>
    <w:uiPriority w:val="0"/>
    <w:rPr>
      <w:rFonts w:ascii="宋体" w:hAnsi="宋体" w:eastAsia="宋体" w:cs="Times New Roman"/>
      <w:bCs/>
      <w:kern w:val="2"/>
      <w:sz w:val="21"/>
      <w:szCs w:val="21"/>
      <w:lang w:val="en-US" w:eastAsia="zh-CN" w:bidi="ar-SA"/>
    </w:rPr>
  </w:style>
  <w:style w:type="paragraph" w:customStyle="1" w:styleId="158">
    <w:name w:val="正文格式"/>
    <w:basedOn w:val="1"/>
    <w:link w:val="157"/>
    <w:uiPriority w:val="0"/>
    <w:pPr>
      <w:topLinePunct/>
      <w:ind w:firstLine="420" w:firstLineChars="200"/>
    </w:pPr>
    <w:rPr>
      <w:rFonts w:ascii="宋体" w:hAnsi="宋体"/>
      <w:bCs/>
      <w:szCs w:val="21"/>
    </w:rPr>
  </w:style>
  <w:style w:type="character" w:customStyle="1" w:styleId="159">
    <w:name w:val="font21"/>
    <w:basedOn w:val="78"/>
    <w:uiPriority w:val="0"/>
    <w:rPr>
      <w:rFonts w:hint="eastAsia" w:ascii="宋体" w:hAnsi="宋体" w:eastAsia="宋体" w:cs="宋体"/>
      <w:b/>
      <w:bCs/>
      <w:color w:val="000000"/>
      <w:sz w:val="21"/>
      <w:szCs w:val="21"/>
      <w:u w:val="none"/>
    </w:rPr>
  </w:style>
  <w:style w:type="character" w:customStyle="1" w:styleId="160">
    <w:name w:val="节标题 1.1 Char"/>
    <w:qFormat/>
    <w:uiPriority w:val="0"/>
    <w:rPr>
      <w:rFonts w:ascii="Times New Roman" w:hAnsi="Times New Roman" w:eastAsia="黑体" w:cs="Times New Roman"/>
      <w:bCs/>
      <w:kern w:val="2"/>
      <w:sz w:val="21"/>
      <w:szCs w:val="21"/>
      <w:lang w:val="en-US" w:eastAsia="zh-CN" w:bidi="ar-SA"/>
    </w:rPr>
  </w:style>
  <w:style w:type="character" w:customStyle="1" w:styleId="161">
    <w:name w:val="font11"/>
    <w:basedOn w:val="78"/>
    <w:uiPriority w:val="0"/>
    <w:rPr>
      <w:rFonts w:hint="eastAsia" w:ascii="宋体" w:hAnsi="宋体" w:eastAsia="宋体" w:cs="宋体"/>
      <w:color w:val="000000"/>
      <w:sz w:val="21"/>
      <w:szCs w:val="21"/>
      <w:u w:val="none"/>
    </w:rPr>
  </w:style>
  <w:style w:type="character" w:customStyle="1" w:styleId="162">
    <w:name w:val="B Char Char"/>
    <w:link w:val="163"/>
    <w:uiPriority w:val="0"/>
    <w:rPr>
      <w:rFonts w:ascii="E-F1" w:hAnsi="Times New Roman" w:eastAsia="黑体" w:cs="Times New Roman"/>
      <w:kern w:val="2"/>
      <w:sz w:val="21"/>
      <w:szCs w:val="21"/>
      <w:lang w:val="en-US" w:eastAsia="zh-CN" w:bidi="ar-SA"/>
    </w:rPr>
  </w:style>
  <w:style w:type="paragraph" w:customStyle="1" w:styleId="163">
    <w:name w:val="B"/>
    <w:basedOn w:val="130"/>
    <w:link w:val="162"/>
    <w:qFormat/>
    <w:uiPriority w:val="0"/>
    <w:pPr>
      <w:tabs>
        <w:tab w:val="center" w:pos="4706"/>
        <w:tab w:val="right" w:pos="9044"/>
      </w:tabs>
    </w:pPr>
    <w:rPr>
      <w:rFonts w:ascii="E-F1"/>
      <w:kern w:val="2"/>
    </w:rPr>
  </w:style>
  <w:style w:type="character" w:customStyle="1" w:styleId="164">
    <w:name w:val="zt. Char Char"/>
    <w:link w:val="165"/>
    <w:uiPriority w:val="0"/>
    <w:rPr>
      <w:rFonts w:ascii="宋体" w:hAnsi="宋体" w:eastAsia="宋体" w:cs="Times New Roman"/>
      <w:sz w:val="21"/>
      <w:szCs w:val="21"/>
      <w:lang w:val="en-US" w:eastAsia="zh-CN" w:bidi="ar-SA"/>
    </w:rPr>
  </w:style>
  <w:style w:type="paragraph" w:customStyle="1" w:styleId="165">
    <w:name w:val="zt."/>
    <w:basedOn w:val="1"/>
    <w:link w:val="164"/>
    <w:uiPriority w:val="0"/>
    <w:pPr>
      <w:spacing w:line="312" w:lineRule="exact"/>
    </w:pPr>
    <w:rPr>
      <w:rFonts w:ascii="宋体" w:hAnsi="宋体"/>
      <w:kern w:val="0"/>
      <w:szCs w:val="21"/>
    </w:rPr>
  </w:style>
  <w:style w:type="character" w:customStyle="1" w:styleId="166">
    <w:name w:val="z Char Char"/>
    <w:link w:val="167"/>
    <w:qFormat/>
    <w:uiPriority w:val="0"/>
    <w:rPr>
      <w:rFonts w:ascii="EU-F1" w:hAnsi="Times New Roman" w:eastAsia="EU-F1" w:cs="Times New Roman"/>
      <w:bCs/>
      <w:kern w:val="2"/>
      <w:sz w:val="21"/>
      <w:szCs w:val="24"/>
      <w:lang w:val="en-US" w:eastAsia="zh-CN" w:bidi="ar-SA"/>
    </w:rPr>
  </w:style>
  <w:style w:type="paragraph" w:customStyle="1" w:styleId="167">
    <w:name w:val="z"/>
    <w:basedOn w:val="1"/>
    <w:link w:val="166"/>
    <w:qFormat/>
    <w:uiPriority w:val="0"/>
    <w:pPr>
      <w:overflowPunct w:val="0"/>
      <w:spacing w:line="312" w:lineRule="exact"/>
    </w:pPr>
    <w:rPr>
      <w:rFonts w:ascii="EU-F1" w:eastAsia="EU-F1"/>
      <w:bCs/>
      <w:szCs w:val="24"/>
    </w:rPr>
  </w:style>
  <w:style w:type="paragraph" w:customStyle="1" w:styleId="168">
    <w:name w:val="首行缩进"/>
    <w:basedOn w:val="1"/>
    <w:qFormat/>
    <w:uiPriority w:val="0"/>
    <w:pPr>
      <w:spacing w:line="300" w:lineRule="auto"/>
      <w:ind w:firstLine="420" w:firstLineChars="200"/>
    </w:pPr>
    <w:rPr>
      <w:rFonts w:eastAsia="方正书宋简体" w:cs="宋体"/>
      <w:kern w:val="2"/>
      <w:sz w:val="21"/>
      <w:lang w:val="en-US" w:eastAsia="zh-CN" w:bidi="ar-SA"/>
    </w:rPr>
  </w:style>
  <w:style w:type="paragraph" w:customStyle="1" w:styleId="169">
    <w:name w:val="xl39"/>
    <w:basedOn w:val="1"/>
    <w:uiPriority w:val="0"/>
    <w:pPr>
      <w:widowControl/>
      <w:pBdr>
        <w:top w:val="single" w:color="auto" w:sz="4" w:space="0"/>
        <w:left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kern w:val="0"/>
      <w:sz w:val="16"/>
      <w:szCs w:val="16"/>
    </w:rPr>
  </w:style>
  <w:style w:type="paragraph" w:customStyle="1" w:styleId="170">
    <w:name w:val="xl56"/>
    <w:basedOn w:val="1"/>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kern w:val="0"/>
      <w:sz w:val="20"/>
      <w:szCs w:val="20"/>
    </w:rPr>
  </w:style>
  <w:style w:type="paragraph" w:customStyle="1" w:styleId="171">
    <w:name w:val="图形标题"/>
    <w:basedOn w:val="20"/>
    <w:uiPriority w:val="0"/>
    <w:pPr>
      <w:spacing w:before="0" w:beforeLines="0" w:after="0" w:afterLines="0"/>
      <w:jc w:val="center"/>
    </w:pPr>
    <w:rPr>
      <w:rFonts w:ascii="宋体" w:hAnsi="Plotter" w:eastAsia="宋体" w:cs="Times New Roman"/>
      <w:sz w:val="21"/>
    </w:rPr>
  </w:style>
  <w:style w:type="paragraph" w:customStyle="1" w:styleId="172">
    <w:name w:val="Char Char Char Char Char2 Char2"/>
    <w:basedOn w:val="1"/>
    <w:uiPriority w:val="0"/>
    <w:pPr>
      <w:topLinePunct w:val="0"/>
    </w:pPr>
    <w:rPr>
      <w:rFonts w:ascii="Times New Roman" w:hAnsi="Times New Roman" w:eastAsia="宋体" w:cs="Times New Roman"/>
      <w:szCs w:val="20"/>
    </w:rPr>
  </w:style>
  <w:style w:type="paragraph" w:customStyle="1" w:styleId="173">
    <w:name w:val="p82"/>
    <w:basedOn w:val="1"/>
    <w:uiPriority w:val="0"/>
    <w:pPr>
      <w:widowControl/>
      <w:tabs>
        <w:tab w:val="left" w:pos="460"/>
      </w:tabs>
      <w:overflowPunct w:val="0"/>
      <w:topLinePunct w:val="0"/>
      <w:autoSpaceDE w:val="0"/>
      <w:autoSpaceDN w:val="0"/>
      <w:adjustRightInd w:val="0"/>
      <w:spacing w:line="320" w:lineRule="atLeast"/>
      <w:textAlignment w:val="baseline"/>
    </w:pPr>
    <w:rPr>
      <w:rFonts w:ascii="Times New Roman" w:hAnsi="Times New Roman" w:eastAsia="宋体" w:cs="Times New Roman"/>
      <w:kern w:val="0"/>
      <w:sz w:val="24"/>
      <w:szCs w:val="20"/>
      <w:lang w:val="en-GB"/>
    </w:rPr>
  </w:style>
  <w:style w:type="paragraph" w:customStyle="1" w:styleId="174">
    <w:name w:val="xl34"/>
    <w:basedOn w:val="1"/>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textAlignment w:val="center"/>
    </w:pPr>
    <w:rPr>
      <w:rFonts w:ascii="宋体" w:hAnsi="宋体" w:eastAsia="宋体" w:cs="Times New Roman"/>
      <w:color w:val="000000"/>
      <w:kern w:val="0"/>
      <w:sz w:val="20"/>
      <w:szCs w:val="20"/>
    </w:rPr>
  </w:style>
  <w:style w:type="paragraph" w:customStyle="1" w:styleId="175">
    <w:name w:val=" Char Char1 Char Char Char"/>
    <w:basedOn w:val="23"/>
    <w:uiPriority w:val="0"/>
    <w:rPr>
      <w:rFonts w:ascii="Tahoma" w:hAnsi="Tahoma" w:eastAsia="宋体" w:cs="Times New Roman"/>
      <w:sz w:val="24"/>
    </w:rPr>
  </w:style>
  <w:style w:type="paragraph" w:customStyle="1" w:styleId="176">
    <w:name w:val="打印正文1"/>
    <w:basedOn w:val="1"/>
    <w:qFormat/>
    <w:uiPriority w:val="0"/>
    <w:pPr>
      <w:topLinePunct w:val="0"/>
      <w:spacing w:before="240" w:beforeLines="0" w:line="240" w:lineRule="atLeast"/>
    </w:pPr>
    <w:rPr>
      <w:rFonts w:ascii="Times New Roman" w:hAnsi="Times New Roman" w:eastAsia="宋体" w:cs="Times New Roman"/>
      <w:szCs w:val="20"/>
    </w:rPr>
  </w:style>
  <w:style w:type="paragraph" w:customStyle="1" w:styleId="177">
    <w:name w:val="xl37"/>
    <w:basedOn w:val="1"/>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pPr>
    <w:rPr>
      <w:rFonts w:ascii="宋体" w:hAnsi="宋体" w:eastAsia="宋体" w:cs="Times New Roman"/>
      <w:kern w:val="0"/>
      <w:sz w:val="20"/>
      <w:szCs w:val="20"/>
    </w:rPr>
  </w:style>
  <w:style w:type="paragraph" w:customStyle="1" w:styleId="178">
    <w:name w:val="默认段落字体 Para Char Char Char Char Char"/>
    <w:basedOn w:val="1"/>
    <w:uiPriority w:val="99"/>
    <w:rPr>
      <w:rFonts w:ascii="宋体" w:hAnsi="宋体"/>
      <w:b/>
      <w:color w:val="000000"/>
      <w:sz w:val="24"/>
    </w:rPr>
  </w:style>
  <w:style w:type="paragraph" w:customStyle="1" w:styleId="179">
    <w:name w:val="3z."/>
    <w:basedOn w:val="1"/>
    <w:uiPriority w:val="0"/>
    <w:pPr>
      <w:spacing w:line="312" w:lineRule="exact"/>
    </w:pPr>
    <w:rPr>
      <w:rFonts w:ascii="Times New Roman" w:hAnsi="Times New Roman" w:eastAsia="宋体" w:cs="Times New Roman"/>
      <w:kern w:val="0"/>
      <w:szCs w:val="21"/>
    </w:rPr>
  </w:style>
  <w:style w:type="paragraph" w:customStyle="1" w:styleId="180">
    <w:name w:val="xl29"/>
    <w:basedOn w:val="1"/>
    <w:uiPriority w:val="0"/>
    <w:pPr>
      <w:widowControl/>
      <w:pBdr>
        <w:top w:val="single" w:color="auto" w:sz="4" w:space="0"/>
        <w:left w:val="single" w:color="auto" w:sz="4" w:space="0"/>
        <w:bottom w:val="single" w:color="auto" w:sz="4" w:space="0"/>
        <w:right w:val="single" w:color="auto" w:sz="4" w:space="0"/>
      </w:pBdr>
      <w:shd w:val="clear" w:color="auto" w:fill="C0C0C0"/>
      <w:topLinePunct w:val="0"/>
      <w:spacing w:before="100" w:beforeLines="0" w:beforeAutospacing="1" w:after="100" w:afterLines="0" w:afterAutospacing="1"/>
      <w:jc w:val="center"/>
      <w:textAlignment w:val="center"/>
    </w:pPr>
    <w:rPr>
      <w:rFonts w:ascii="Times New Roman" w:hAnsi="Times New Roman" w:eastAsia="宋体" w:cs="Times New Roman"/>
      <w:kern w:val="0"/>
      <w:sz w:val="16"/>
      <w:szCs w:val="16"/>
    </w:rPr>
  </w:style>
  <w:style w:type="paragraph" w:customStyle="1" w:styleId="181">
    <w:name w:val="xl30"/>
    <w:basedOn w:val="1"/>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kern w:val="0"/>
      <w:sz w:val="16"/>
      <w:szCs w:val="16"/>
    </w:rPr>
  </w:style>
  <w:style w:type="paragraph" w:customStyle="1" w:styleId="182">
    <w:name w:val="font5"/>
    <w:basedOn w:val="1"/>
    <w:uiPriority w:val="0"/>
    <w:pPr>
      <w:widowControl/>
      <w:topLinePunct w:val="0"/>
      <w:spacing w:before="100" w:beforeLines="0" w:beforeAutospacing="1" w:after="100" w:afterLines="0" w:afterAutospacing="1"/>
      <w:jc w:val="left"/>
    </w:pPr>
    <w:rPr>
      <w:rFonts w:hint="eastAsia" w:ascii="宋体" w:hAnsi="宋体" w:eastAsia="宋体" w:cs="Times New Roman"/>
      <w:kern w:val="0"/>
      <w:sz w:val="18"/>
      <w:szCs w:val="18"/>
    </w:rPr>
  </w:style>
  <w:style w:type="paragraph" w:customStyle="1" w:styleId="183">
    <w:name w:val="xl40"/>
    <w:basedOn w:val="1"/>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kern w:val="0"/>
      <w:sz w:val="16"/>
      <w:szCs w:val="16"/>
    </w:rPr>
  </w:style>
  <w:style w:type="paragraph" w:customStyle="1" w:styleId="184">
    <w:name w:val="四级条标题"/>
    <w:basedOn w:val="1"/>
    <w:next w:val="123"/>
    <w:uiPriority w:val="0"/>
    <w:pPr>
      <w:widowControl/>
      <w:topLinePunct w:val="0"/>
      <w:spacing w:before="156" w:beforeLines="50" w:after="156" w:afterLines="50"/>
      <w:jc w:val="left"/>
      <w:outlineLvl w:val="5"/>
    </w:pPr>
    <w:rPr>
      <w:rFonts w:ascii="黑体" w:hAnsi="Times New Roman" w:eastAsia="黑体" w:cs="黑体"/>
      <w:kern w:val="0"/>
      <w:szCs w:val="21"/>
    </w:rPr>
  </w:style>
  <w:style w:type="paragraph" w:customStyle="1" w:styleId="185">
    <w:name w:val="Normal_0"/>
    <w:basedOn w:val="118"/>
    <w:uiPriority w:val="0"/>
    <w:pPr>
      <w:keepNext w:val="0"/>
      <w:keepLines w:val="0"/>
      <w:tabs>
        <w:tab w:val="left" w:pos="2160"/>
      </w:tabs>
      <w:topLinePunct w:val="0"/>
      <w:adjustRightInd w:val="0"/>
      <w:spacing w:line="490" w:lineRule="exact"/>
      <w:jc w:val="center"/>
      <w:textAlignment w:val="baseline"/>
    </w:pPr>
    <w:rPr>
      <w:rFonts w:ascii="仿宋_GB2312" w:hAnsi="Times New Roman" w:eastAsia="仿宋_GB2312" w:cs="Times New Roman"/>
      <w:kern w:val="0"/>
      <w:sz w:val="34"/>
      <w:szCs w:val="20"/>
    </w:rPr>
  </w:style>
  <w:style w:type="paragraph" w:customStyle="1" w:styleId="186">
    <w:name w:val="xl41"/>
    <w:basedOn w:val="1"/>
    <w:uiPriority w:val="0"/>
    <w:pPr>
      <w:widowControl/>
      <w:pBdr>
        <w:top w:val="single" w:color="auto" w:sz="4" w:space="0"/>
        <w:left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color w:val="000000"/>
      <w:kern w:val="0"/>
      <w:sz w:val="16"/>
      <w:szCs w:val="16"/>
    </w:rPr>
  </w:style>
  <w:style w:type="paragraph" w:customStyle="1" w:styleId="187">
    <w:name w:val="三级条标题"/>
    <w:basedOn w:val="1"/>
    <w:uiPriority w:val="0"/>
    <w:pPr>
      <w:tabs>
        <w:tab w:val="left" w:pos="360"/>
      </w:tabs>
      <w:topLinePunct w:val="0"/>
      <w:spacing w:before="156" w:beforeLines="50" w:after="156" w:afterLines="50"/>
      <w:jc w:val="left"/>
    </w:pPr>
    <w:rPr>
      <w:rFonts w:ascii="Times New Roman" w:hAnsi="Times New Roman" w:eastAsia="宋体" w:cs="Times New Roman"/>
      <w:sz w:val="24"/>
      <w:szCs w:val="20"/>
    </w:rPr>
  </w:style>
  <w:style w:type="paragraph" w:customStyle="1" w:styleId="188">
    <w:name w:val="xl47"/>
    <w:basedOn w:val="1"/>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textAlignment w:val="center"/>
    </w:pPr>
    <w:rPr>
      <w:rFonts w:ascii="宋体" w:hAnsi="宋体" w:eastAsia="宋体" w:cs="Times New Roman"/>
      <w:kern w:val="0"/>
      <w:sz w:val="20"/>
      <w:szCs w:val="20"/>
    </w:rPr>
  </w:style>
  <w:style w:type="paragraph" w:customStyle="1" w:styleId="189">
    <w:name w:val=" Char Char Char Char"/>
    <w:basedOn w:val="1"/>
    <w:uiPriority w:val="0"/>
    <w:pPr>
      <w:topLinePunct w:val="0"/>
    </w:pPr>
    <w:rPr>
      <w:rFonts w:ascii="Times New Roman" w:hAnsi="Times New Roman" w:eastAsia="宋体" w:cs="Times New Roman"/>
    </w:rPr>
  </w:style>
  <w:style w:type="paragraph" w:customStyle="1" w:styleId="190">
    <w:name w:val=" Char Char Char Char Char Char Char"/>
    <w:basedOn w:val="1"/>
    <w:uiPriority w:val="0"/>
    <w:rPr>
      <w:rFonts w:ascii="Times New Roman" w:hAnsi="Times New Roman" w:eastAsia="宋体" w:cs="Times New Roman"/>
    </w:rPr>
  </w:style>
  <w:style w:type="paragraph" w:customStyle="1" w:styleId="191">
    <w:name w:val="样式4"/>
    <w:basedOn w:val="6"/>
    <w:uiPriority w:val="0"/>
    <w:pPr>
      <w:topLinePunct/>
      <w:spacing w:before="0" w:beforeLines="0" w:after="0" w:afterLines="0" w:line="480" w:lineRule="auto"/>
      <w:ind w:firstLine="420"/>
    </w:pPr>
    <w:rPr>
      <w:rFonts w:ascii="Times New Roman" w:hAnsi="Times New Roman" w:eastAsia="楷体_GB2312" w:cs="Times New Roman"/>
      <w:b w:val="0"/>
      <w:bCs w:val="0"/>
      <w:sz w:val="24"/>
      <w:szCs w:val="20"/>
    </w:rPr>
  </w:style>
  <w:style w:type="paragraph" w:customStyle="1" w:styleId="192">
    <w:name w:val="xl55"/>
    <w:basedOn w:val="1"/>
    <w:uiPriority w:val="0"/>
    <w:pPr>
      <w:widowControl/>
      <w:pBdr>
        <w:left w:val="single" w:color="auto" w:sz="4" w:space="0"/>
        <w:bottom w:val="single" w:color="auto" w:sz="4" w:space="0"/>
        <w:right w:val="single" w:color="auto" w:sz="4" w:space="0"/>
      </w:pBdr>
      <w:shd w:val="clear" w:color="auto" w:fill="C0C0C0"/>
      <w:topLinePunct w:val="0"/>
      <w:spacing w:before="100" w:beforeLines="0" w:beforeAutospacing="1" w:after="100" w:afterLines="0" w:afterAutospacing="1"/>
      <w:jc w:val="center"/>
      <w:textAlignment w:val="center"/>
    </w:pPr>
    <w:rPr>
      <w:rFonts w:ascii="Times New Roman" w:hAnsi="Times New Roman" w:eastAsia="宋体" w:cs="Times New Roman"/>
      <w:kern w:val="0"/>
      <w:sz w:val="16"/>
      <w:szCs w:val="16"/>
    </w:rPr>
  </w:style>
  <w:style w:type="paragraph" w:customStyle="1" w:styleId="193">
    <w:name w:val="样式 标题 1 + 首行缩进:  2 字符 段前: 1 行 段后: 1 行"/>
    <w:basedOn w:val="3"/>
    <w:uiPriority w:val="0"/>
    <w:pPr>
      <w:spacing w:before="312" w:beforeLines="100" w:after="312" w:afterLines="100" w:line="240" w:lineRule="auto"/>
      <w:ind w:firstLine="0"/>
      <w:textAlignment w:val="auto"/>
    </w:pPr>
    <w:rPr>
      <w:rFonts w:ascii="Times New Roman" w:hAnsi="Times New Roman" w:eastAsia="黑体" w:cs="Times New Roman"/>
      <w:sz w:val="21"/>
      <w:szCs w:val="28"/>
    </w:rPr>
  </w:style>
  <w:style w:type="paragraph" w:customStyle="1" w:styleId="194">
    <w:name w:val="3a"/>
    <w:basedOn w:val="4"/>
    <w:qFormat/>
    <w:uiPriority w:val="0"/>
    <w:pPr>
      <w:spacing w:before="0" w:beforeLines="0" w:after="0" w:afterLines="0" w:line="312" w:lineRule="exact"/>
      <w:ind w:firstLine="155" w:firstLineChars="74"/>
    </w:pPr>
    <w:rPr>
      <w:rFonts w:ascii="宋体" w:hAnsi="宋体" w:eastAsia="宋体" w:cs="Times New Roman"/>
      <w:b w:val="0"/>
      <w:snapToGrid w:val="0"/>
      <w:kern w:val="0"/>
      <w:sz w:val="21"/>
      <w:szCs w:val="21"/>
    </w:rPr>
  </w:style>
  <w:style w:type="paragraph" w:customStyle="1" w:styleId="195">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topLinePunct w:val="0"/>
      <w:spacing w:before="100" w:beforeLines="0" w:beforeAutospacing="1" w:after="100" w:afterLines="0" w:afterAutospacing="1"/>
      <w:jc w:val="center"/>
    </w:pPr>
    <w:rPr>
      <w:rFonts w:ascii="Times New Roman" w:hAnsi="Times New Roman" w:eastAsia="宋体" w:cs="Times New Roman"/>
      <w:kern w:val="0"/>
      <w:sz w:val="16"/>
      <w:szCs w:val="16"/>
    </w:rPr>
  </w:style>
  <w:style w:type="paragraph" w:customStyle="1" w:styleId="196">
    <w:name w:val="xl53"/>
    <w:basedOn w:val="1"/>
    <w:qFormat/>
    <w:uiPriority w:val="0"/>
    <w:pPr>
      <w:widowControl/>
      <w:pBdr>
        <w:left w:val="single" w:color="auto" w:sz="4" w:space="0"/>
        <w:bottom w:val="single" w:color="auto" w:sz="4" w:space="0"/>
        <w:right w:val="single" w:color="auto" w:sz="4" w:space="0"/>
      </w:pBdr>
      <w:shd w:val="clear" w:color="auto" w:fill="C0C0C0"/>
      <w:topLinePunct w:val="0"/>
      <w:spacing w:before="100" w:beforeLines="0" w:beforeAutospacing="1" w:after="100" w:afterLines="0" w:afterAutospacing="1"/>
      <w:jc w:val="center"/>
      <w:textAlignment w:val="center"/>
    </w:pPr>
    <w:rPr>
      <w:rFonts w:ascii="Times New Roman" w:hAnsi="Times New Roman" w:eastAsia="宋体" w:cs="Times New Roman"/>
      <w:kern w:val="0"/>
      <w:sz w:val="16"/>
      <w:szCs w:val="16"/>
    </w:rPr>
  </w:style>
  <w:style w:type="paragraph" w:customStyle="1" w:styleId="197">
    <w:name w:val="font7"/>
    <w:basedOn w:val="1"/>
    <w:qFormat/>
    <w:uiPriority w:val="0"/>
    <w:pPr>
      <w:widowControl/>
      <w:topLinePunct w:val="0"/>
      <w:spacing w:before="100" w:beforeLines="0" w:beforeAutospacing="1" w:after="100" w:afterLines="0" w:afterAutospacing="1"/>
      <w:jc w:val="left"/>
    </w:pPr>
    <w:rPr>
      <w:rFonts w:ascii="Times New Roman" w:hAnsi="Times New Roman" w:eastAsia="宋体" w:cs="Times New Roman"/>
      <w:color w:val="000000"/>
      <w:kern w:val="0"/>
      <w:sz w:val="20"/>
      <w:szCs w:val="20"/>
    </w:rPr>
  </w:style>
  <w:style w:type="paragraph" w:customStyle="1" w:styleId="198">
    <w:name w:val="附录"/>
    <w:basedOn w:val="3"/>
    <w:uiPriority w:val="0"/>
    <w:pPr>
      <w:spacing w:line="960" w:lineRule="auto"/>
      <w:jc w:val="center"/>
    </w:pPr>
    <w:rPr>
      <w:rFonts w:ascii="Times New Roman" w:hAnsi="Times New Roman" w:eastAsia="黑体" w:cs="Times New Roman"/>
      <w:kern w:val="2"/>
      <w:sz w:val="28"/>
      <w:szCs w:val="28"/>
    </w:rPr>
  </w:style>
  <w:style w:type="paragraph" w:customStyle="1" w:styleId="199">
    <w:name w:val="正文1"/>
    <w:basedOn w:val="1"/>
    <w:qFormat/>
    <w:uiPriority w:val="0"/>
    <w:pPr>
      <w:topLinePunct w:val="0"/>
      <w:adjustRightInd w:val="0"/>
      <w:snapToGrid w:val="0"/>
      <w:spacing w:line="420" w:lineRule="atLeast"/>
      <w:textAlignment w:val="baseline"/>
    </w:pPr>
    <w:rPr>
      <w:rFonts w:ascii="宋体" w:hAnsi="Times New Roman" w:eastAsia="宋体" w:cs="Times New Roman"/>
      <w:snapToGrid w:val="0"/>
      <w:kern w:val="0"/>
      <w:sz w:val="24"/>
      <w:szCs w:val="20"/>
    </w:rPr>
  </w:style>
  <w:style w:type="paragraph" w:customStyle="1" w:styleId="200">
    <w:name w:val="xl32"/>
    <w:basedOn w:val="1"/>
    <w:qFormat/>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pPr>
    <w:rPr>
      <w:rFonts w:ascii="Times New Roman" w:hAnsi="Times New Roman" w:eastAsia="宋体" w:cs="Times New Roman"/>
      <w:kern w:val="0"/>
      <w:sz w:val="16"/>
      <w:szCs w:val="16"/>
    </w:rPr>
  </w:style>
  <w:style w:type="paragraph" w:customStyle="1" w:styleId="201">
    <w:name w:val="成套标题1"/>
    <w:basedOn w:val="3"/>
    <w:next w:val="1"/>
    <w:qFormat/>
    <w:uiPriority w:val="0"/>
    <w:pPr>
      <w:keepLines w:val="0"/>
      <w:widowControl/>
      <w:tabs>
        <w:tab w:val="left" w:pos="432"/>
      </w:tabs>
      <w:topLinePunct w:val="0"/>
      <w:spacing w:before="240" w:beforeLines="0" w:after="360" w:afterLines="0" w:line="420" w:lineRule="exact"/>
      <w:ind w:left="432" w:hanging="432"/>
      <w:textAlignment w:val="auto"/>
    </w:pPr>
    <w:rPr>
      <w:rFonts w:ascii="黑体" w:hAnsi="宋体" w:eastAsia="黑体" w:cs="Times New Roman"/>
      <w:kern w:val="28"/>
      <w:sz w:val="30"/>
      <w:szCs w:val="20"/>
    </w:rPr>
  </w:style>
  <w:style w:type="paragraph" w:customStyle="1" w:styleId="202">
    <w:name w:val="样式 首行缩进:  0 厘米 行距: 单倍行距"/>
    <w:basedOn w:val="1"/>
    <w:qFormat/>
    <w:uiPriority w:val="0"/>
    <w:pPr>
      <w:topLinePunct w:val="0"/>
      <w:adjustRightInd w:val="0"/>
      <w:spacing w:line="360" w:lineRule="auto"/>
      <w:textAlignment w:val="baseline"/>
    </w:pPr>
    <w:rPr>
      <w:rFonts w:ascii="Times New Roman" w:hAnsi="Times New Roman" w:eastAsia="宋体" w:cs="Times New Roman"/>
      <w:kern w:val="0"/>
      <w:szCs w:val="20"/>
    </w:rPr>
  </w:style>
  <w:style w:type="paragraph" w:customStyle="1" w:styleId="203">
    <w:name w:val="样式 样式 标题 2 + 段前: 0.5 行 段后: 0.5 行 + 首行缩进:  2 字符 段前: 0.5 行 段后: 0..."/>
    <w:basedOn w:val="1"/>
    <w:qFormat/>
    <w:uiPriority w:val="0"/>
    <w:pPr>
      <w:keepNext/>
      <w:keepLines/>
      <w:adjustRightInd w:val="0"/>
      <w:spacing w:before="156" w:beforeLines="50" w:after="156" w:afterLines="50"/>
      <w:jc w:val="left"/>
      <w:outlineLvl w:val="1"/>
    </w:pPr>
    <w:rPr>
      <w:rFonts w:ascii="Times New Roman" w:hAnsi="Times New Roman" w:eastAsia="黑体" w:cs="Times New Roman"/>
      <w:kern w:val="0"/>
      <w:szCs w:val="21"/>
    </w:rPr>
  </w:style>
  <w:style w:type="paragraph" w:customStyle="1" w:styleId="204">
    <w:name w:val="xl42"/>
    <w:basedOn w:val="1"/>
    <w:qFormat/>
    <w:uiPriority w:val="0"/>
    <w:pPr>
      <w:widowControl/>
      <w:pBdr>
        <w:left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color w:val="000000"/>
      <w:kern w:val="0"/>
      <w:sz w:val="16"/>
      <w:szCs w:val="16"/>
    </w:rPr>
  </w:style>
  <w:style w:type="paragraph" w:customStyle="1" w:styleId="205">
    <w:name w:val="五级条标题"/>
    <w:basedOn w:val="184"/>
    <w:next w:val="123"/>
    <w:qFormat/>
    <w:uiPriority w:val="0"/>
    <w:pPr>
      <w:outlineLvl w:val="6"/>
    </w:pPr>
    <w:rPr>
      <w:rFonts w:ascii="Times New Roman" w:hAnsi="Times New Roman" w:eastAsia="宋体" w:cs="Times New Roman"/>
    </w:rPr>
  </w:style>
  <w:style w:type="paragraph" w:customStyle="1" w:styleId="206">
    <w:name w:val="正文2"/>
    <w:basedOn w:val="1"/>
    <w:qFormat/>
    <w:uiPriority w:val="0"/>
    <w:pPr>
      <w:topLinePunct w:val="0"/>
      <w:adjustRightInd w:val="0"/>
      <w:spacing w:line="400" w:lineRule="atLeast"/>
      <w:ind w:firstLine="1418"/>
      <w:jc w:val="left"/>
      <w:textAlignment w:val="baseline"/>
    </w:pPr>
    <w:rPr>
      <w:rFonts w:ascii="宋体" w:hAnsi="Times New Roman" w:eastAsia="宋体" w:cs="Times New Roman"/>
      <w:kern w:val="0"/>
      <w:sz w:val="24"/>
      <w:szCs w:val="20"/>
    </w:rPr>
  </w:style>
  <w:style w:type="paragraph" w:customStyle="1" w:styleId="207">
    <w:name w:val="3"/>
    <w:basedOn w:val="1"/>
    <w:next w:val="29"/>
    <w:qFormat/>
    <w:uiPriority w:val="0"/>
    <w:pPr>
      <w:topLinePunct w:val="0"/>
      <w:spacing w:after="120" w:afterLines="0"/>
    </w:pPr>
    <w:rPr>
      <w:rFonts w:ascii="Times New Roman" w:hAnsi="Times New Roman" w:eastAsia="宋体" w:cs="Times New Roman"/>
      <w:szCs w:val="20"/>
    </w:rPr>
  </w:style>
  <w:style w:type="paragraph" w:customStyle="1" w:styleId="208">
    <w:name w:val="xl49"/>
    <w:basedOn w:val="1"/>
    <w:qFormat/>
    <w:uiPriority w:val="0"/>
    <w:pPr>
      <w:widowControl/>
      <w:pBdr>
        <w:left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kern w:val="0"/>
      <w:sz w:val="16"/>
      <w:szCs w:val="16"/>
    </w:rPr>
  </w:style>
  <w:style w:type="paragraph" w:customStyle="1" w:styleId="209">
    <w:name w:val="样式 标题 2 + 黑体 段前: 10.25 磅 段后: 10.25 磅 行距: 单倍行距"/>
    <w:basedOn w:val="4"/>
    <w:qFormat/>
    <w:uiPriority w:val="0"/>
    <w:pPr>
      <w:topLinePunct w:val="0"/>
      <w:adjustRightInd w:val="0"/>
      <w:spacing w:before="156" w:beforeLines="50" w:after="156" w:afterLines="50" w:line="240" w:lineRule="auto"/>
      <w:jc w:val="left"/>
      <w:textAlignment w:val="baseline"/>
    </w:pPr>
    <w:rPr>
      <w:rFonts w:ascii="黑体" w:hAnsi="黑体" w:eastAsia="宋体" w:cs="Times New Roman"/>
      <w:b w:val="0"/>
      <w:bCs w:val="0"/>
      <w:kern w:val="0"/>
      <w:sz w:val="21"/>
      <w:szCs w:val="20"/>
    </w:rPr>
  </w:style>
  <w:style w:type="paragraph" w:customStyle="1" w:styleId="210">
    <w:name w:val="样式5"/>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11">
    <w:name w:val="xl48"/>
    <w:basedOn w:val="1"/>
    <w:qFormat/>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kern w:val="0"/>
      <w:sz w:val="20"/>
      <w:szCs w:val="20"/>
    </w:rPr>
  </w:style>
  <w:style w:type="paragraph" w:customStyle="1" w:styleId="212">
    <w:name w:val="xl52"/>
    <w:basedOn w:val="1"/>
    <w:qFormat/>
    <w:uiPriority w:val="0"/>
    <w:pPr>
      <w:widowControl/>
      <w:pBdr>
        <w:left w:val="single" w:color="auto" w:sz="4" w:space="0"/>
        <w:right w:val="single" w:color="auto" w:sz="4" w:space="0"/>
      </w:pBdr>
      <w:shd w:val="clear" w:color="auto" w:fill="C0C0C0"/>
      <w:topLinePunct w:val="0"/>
      <w:spacing w:before="100" w:beforeLines="0" w:beforeAutospacing="1" w:after="100" w:afterLines="0" w:afterAutospacing="1"/>
      <w:jc w:val="center"/>
      <w:textAlignment w:val="center"/>
    </w:pPr>
    <w:rPr>
      <w:rFonts w:ascii="Times New Roman" w:hAnsi="Times New Roman" w:eastAsia="宋体" w:cs="Times New Roman"/>
      <w:kern w:val="0"/>
      <w:sz w:val="16"/>
      <w:szCs w:val="16"/>
    </w:rPr>
  </w:style>
  <w:style w:type="paragraph" w:customStyle="1" w:styleId="213">
    <w:name w:val="xl43"/>
    <w:basedOn w:val="1"/>
    <w:qFormat/>
    <w:uiPriority w:val="0"/>
    <w:pPr>
      <w:widowControl/>
      <w:pBdr>
        <w:left w:val="single" w:color="auto" w:sz="4" w:space="0"/>
        <w:bottom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color w:val="000000"/>
      <w:kern w:val="0"/>
      <w:sz w:val="16"/>
      <w:szCs w:val="16"/>
    </w:rPr>
  </w:style>
  <w:style w:type="paragraph" w:customStyle="1" w:styleId="214">
    <w:name w:val="xl27"/>
    <w:basedOn w:val="1"/>
    <w:qFormat/>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left"/>
    </w:pPr>
    <w:rPr>
      <w:rFonts w:ascii="Times New Roman" w:hAnsi="Times New Roman" w:eastAsia="宋体" w:cs="Times New Roman"/>
      <w:kern w:val="0"/>
      <w:sz w:val="16"/>
      <w:szCs w:val="16"/>
    </w:rPr>
  </w:style>
  <w:style w:type="paragraph" w:customStyle="1" w:styleId="215">
    <w:name w:val="Revision"/>
    <w:qFormat/>
    <w:uiPriority w:val="0"/>
    <w:rPr>
      <w:rFonts w:ascii="Times New Roman" w:hAnsi="Times New Roman" w:eastAsia="宋体" w:cs="Times New Roman"/>
      <w:kern w:val="2"/>
      <w:sz w:val="21"/>
      <w:lang w:val="en-US" w:eastAsia="zh-CN" w:bidi="ar-SA"/>
    </w:rPr>
  </w:style>
  <w:style w:type="paragraph" w:customStyle="1" w:styleId="216">
    <w:name w:val="样式 标题 2 + 仿宋_GB2312 两端对齐"/>
    <w:basedOn w:val="4"/>
    <w:qFormat/>
    <w:uiPriority w:val="0"/>
    <w:pPr>
      <w:numPr>
        <w:ilvl w:val="1"/>
        <w:numId w:val="3"/>
      </w:numPr>
      <w:tabs>
        <w:tab w:val="left" w:pos="360"/>
        <w:tab w:val="left" w:pos="992"/>
      </w:tabs>
      <w:topLinePunct w:val="0"/>
      <w:adjustRightInd w:val="0"/>
      <w:spacing w:line="416" w:lineRule="atLeast"/>
      <w:textAlignment w:val="baseline"/>
    </w:pPr>
    <w:rPr>
      <w:rFonts w:ascii="仿宋_GB2312" w:hAnsi="Times New Roman" w:eastAsia="仿宋_GB2312" w:cs="Times New Roman"/>
      <w:b w:val="0"/>
      <w:bCs w:val="0"/>
      <w:kern w:val="0"/>
      <w:sz w:val="28"/>
      <w:szCs w:val="20"/>
    </w:rPr>
  </w:style>
  <w:style w:type="paragraph" w:customStyle="1" w:styleId="217">
    <w:name w:val="成套标题2"/>
    <w:basedOn w:val="1"/>
    <w:next w:val="1"/>
    <w:qFormat/>
    <w:uiPriority w:val="0"/>
    <w:pPr>
      <w:keepNext/>
      <w:widowControl/>
      <w:numPr>
        <w:ilvl w:val="1"/>
        <w:numId w:val="9"/>
      </w:numPr>
      <w:tabs>
        <w:tab w:val="left" w:pos="720"/>
        <w:tab w:val="left" w:pos="1620"/>
      </w:tabs>
      <w:topLinePunct w:val="0"/>
      <w:spacing w:before="240" w:beforeLines="0" w:after="360" w:afterLines="0" w:line="420" w:lineRule="exact"/>
      <w:outlineLvl w:val="0"/>
    </w:pPr>
    <w:rPr>
      <w:rFonts w:ascii="Arial" w:hAnsi="Arial" w:eastAsia="黑体" w:cs="Times New Roman"/>
      <w:kern w:val="28"/>
      <w:sz w:val="28"/>
      <w:szCs w:val="20"/>
    </w:rPr>
  </w:style>
  <w:style w:type="paragraph" w:customStyle="1" w:styleId="218">
    <w:name w:val="成套标题3"/>
    <w:basedOn w:val="217"/>
    <w:next w:val="1"/>
    <w:qFormat/>
    <w:uiPriority w:val="0"/>
    <w:pPr>
      <w:numPr>
        <w:ilvl w:val="1"/>
        <w:numId w:val="0"/>
      </w:numPr>
      <w:tabs>
        <w:tab w:val="clear" w:pos="1620"/>
      </w:tabs>
      <w:ind w:left="720" w:hanging="720"/>
    </w:pPr>
    <w:rPr>
      <w:rFonts w:ascii="Times New Roman" w:hAnsi="Times New Roman" w:eastAsia="宋体" w:cs="Times New Roman"/>
    </w:rPr>
  </w:style>
  <w:style w:type="paragraph" w:customStyle="1" w:styleId="219">
    <w:name w:val="xl25"/>
    <w:basedOn w:val="1"/>
    <w:qFormat/>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pPr>
    <w:rPr>
      <w:rFonts w:ascii="Times New Roman" w:hAnsi="Times New Roman" w:eastAsia="宋体" w:cs="Times New Roman"/>
      <w:kern w:val="0"/>
      <w:sz w:val="16"/>
      <w:szCs w:val="16"/>
    </w:rPr>
  </w:style>
  <w:style w:type="paragraph" w:customStyle="1" w:styleId="220">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val="0"/>
      <w:spacing w:before="100" w:beforeLines="0" w:beforeAutospacing="1" w:after="100" w:afterLines="0" w:afterAutospacing="1"/>
      <w:jc w:val="center"/>
    </w:pPr>
    <w:rPr>
      <w:rFonts w:ascii="Times New Roman" w:hAnsi="Times New Roman" w:eastAsia="宋体" w:cs="Times New Roman"/>
      <w:kern w:val="0"/>
      <w:sz w:val="16"/>
      <w:szCs w:val="16"/>
    </w:rPr>
  </w:style>
  <w:style w:type="paragraph" w:customStyle="1" w:styleId="221">
    <w:name w:val="样式 标题 1 + 段前: 6 磅"/>
    <w:basedOn w:val="3"/>
    <w:qFormat/>
    <w:uiPriority w:val="0"/>
    <w:pPr>
      <w:tabs>
        <w:tab w:val="left" w:pos="695"/>
        <w:tab w:val="left" w:pos="780"/>
      </w:tabs>
      <w:topLinePunct w:val="0"/>
      <w:adjustRightInd w:val="0"/>
      <w:spacing w:before="120" w:beforeLines="0" w:after="120" w:afterLines="0" w:line="400" w:lineRule="atLeast"/>
      <w:ind w:left="780" w:hanging="360"/>
      <w:jc w:val="left"/>
    </w:pPr>
    <w:rPr>
      <w:rFonts w:ascii="仿宋_GB2312" w:hAnsi="Arial" w:eastAsia="仿宋_GB2312" w:cs="Times New Roman"/>
      <w:b/>
      <w:sz w:val="30"/>
      <w:szCs w:val="20"/>
      <w:lang w:val="sv-SE"/>
    </w:rPr>
  </w:style>
  <w:style w:type="paragraph" w:customStyle="1" w:styleId="222">
    <w:name w:val="xl45"/>
    <w:basedOn w:val="1"/>
    <w:qFormat/>
    <w:uiPriority w:val="0"/>
    <w:pPr>
      <w:widowControl/>
      <w:pBdr>
        <w:left w:val="single" w:color="auto" w:sz="4" w:space="0"/>
        <w:right w:val="single" w:color="auto" w:sz="4" w:space="0"/>
      </w:pBdr>
      <w:shd w:val="clear" w:color="auto" w:fill="C0C0C0"/>
      <w:topLinePunct w:val="0"/>
      <w:spacing w:before="100" w:beforeLines="0" w:beforeAutospacing="1" w:after="100" w:afterLines="0" w:afterAutospacing="1"/>
      <w:jc w:val="center"/>
      <w:textAlignment w:val="center"/>
    </w:pPr>
    <w:rPr>
      <w:rFonts w:ascii="Times New Roman" w:hAnsi="Times New Roman" w:eastAsia="宋体" w:cs="Times New Roman"/>
      <w:color w:val="000000"/>
      <w:kern w:val="0"/>
      <w:sz w:val="16"/>
      <w:szCs w:val="16"/>
    </w:rPr>
  </w:style>
  <w:style w:type="paragraph" w:customStyle="1" w:styleId="223">
    <w:name w:val="样式 标题 3 + 段前: 6 磅"/>
    <w:basedOn w:val="5"/>
    <w:qFormat/>
    <w:uiPriority w:val="0"/>
    <w:pPr>
      <w:tabs>
        <w:tab w:val="left" w:pos="780"/>
        <w:tab w:val="left" w:pos="1055"/>
      </w:tabs>
      <w:topLinePunct w:val="0"/>
      <w:adjustRightInd w:val="0"/>
      <w:spacing w:before="120" w:beforeLines="0" w:after="120" w:afterLines="0" w:line="416" w:lineRule="atLeast"/>
      <w:ind w:left="780" w:hanging="360"/>
      <w:jc w:val="left"/>
      <w:textAlignment w:val="baseline"/>
    </w:pPr>
    <w:rPr>
      <w:rFonts w:ascii="仿宋_GB2312" w:hAnsi="Arial" w:eastAsia="仿宋_GB2312" w:cs="Times New Roman"/>
      <w:b w:val="0"/>
      <w:bCs w:val="0"/>
      <w:color w:val="000000"/>
      <w:kern w:val="44"/>
      <w:sz w:val="24"/>
      <w:szCs w:val="20"/>
      <w:lang w:val="sv-SE"/>
    </w:rPr>
  </w:style>
  <w:style w:type="paragraph" w:customStyle="1" w:styleId="224">
    <w:name w:val="font6"/>
    <w:basedOn w:val="1"/>
    <w:qFormat/>
    <w:uiPriority w:val="0"/>
    <w:pPr>
      <w:widowControl/>
      <w:topLinePunct w:val="0"/>
      <w:spacing w:before="100" w:beforeLines="0" w:beforeAutospacing="1" w:after="100" w:afterLines="0" w:afterAutospacing="1"/>
      <w:jc w:val="left"/>
    </w:pPr>
    <w:rPr>
      <w:rFonts w:hint="eastAsia" w:ascii="宋体" w:hAnsi="宋体" w:eastAsia="宋体" w:cs="Times New Roman"/>
      <w:color w:val="000000"/>
      <w:kern w:val="0"/>
      <w:sz w:val="20"/>
      <w:szCs w:val="20"/>
    </w:rPr>
  </w:style>
  <w:style w:type="paragraph" w:customStyle="1" w:styleId="225">
    <w:name w:val="样式 Arial 首行缩进:  2 字符"/>
    <w:basedOn w:val="1"/>
    <w:qFormat/>
    <w:uiPriority w:val="0"/>
    <w:pPr>
      <w:ind w:firstLine="403" w:firstLineChars="200"/>
    </w:pPr>
    <w:rPr>
      <w:rFonts w:ascii="Times New Roman" w:hAnsi="Times New Roman" w:eastAsia="宋体" w:cs="Times New Roman"/>
      <w:szCs w:val="21"/>
    </w:rPr>
  </w:style>
  <w:style w:type="paragraph" w:customStyle="1" w:styleId="226">
    <w:name w:val="xl46"/>
    <w:basedOn w:val="1"/>
    <w:qFormat/>
    <w:uiPriority w:val="0"/>
    <w:pPr>
      <w:widowControl/>
      <w:pBdr>
        <w:left w:val="single" w:color="auto" w:sz="4" w:space="0"/>
        <w:bottom w:val="single" w:color="auto" w:sz="4" w:space="0"/>
        <w:right w:val="single" w:color="auto" w:sz="4" w:space="0"/>
      </w:pBdr>
      <w:shd w:val="clear" w:color="auto" w:fill="C0C0C0"/>
      <w:topLinePunct w:val="0"/>
      <w:spacing w:before="100" w:beforeLines="0" w:beforeAutospacing="1" w:after="100" w:afterLines="0" w:afterAutospacing="1"/>
      <w:jc w:val="center"/>
      <w:textAlignment w:val="center"/>
    </w:pPr>
    <w:rPr>
      <w:rFonts w:ascii="Times New Roman" w:hAnsi="Times New Roman" w:eastAsia="宋体" w:cs="Times New Roman"/>
      <w:color w:val="000000"/>
      <w:kern w:val="0"/>
      <w:sz w:val="16"/>
      <w:szCs w:val="16"/>
    </w:rPr>
  </w:style>
  <w:style w:type="paragraph" w:customStyle="1" w:styleId="227">
    <w:name w:val="xl36"/>
    <w:basedOn w:val="1"/>
    <w:qFormat/>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color w:val="000000"/>
      <w:kern w:val="0"/>
      <w:sz w:val="20"/>
      <w:szCs w:val="20"/>
    </w:rPr>
  </w:style>
  <w:style w:type="paragraph" w:customStyle="1" w:styleId="228">
    <w:name w:val="a样式 首行缩进:  0.75 厘米 行距: 固定值 24.5 磅"/>
    <w:next w:val="1"/>
    <w:uiPriority w:val="0"/>
    <w:pPr>
      <w:widowControl w:val="0"/>
      <w:spacing w:line="490" w:lineRule="exact"/>
    </w:pPr>
    <w:rPr>
      <w:rFonts w:ascii="Times New Roman" w:hAnsi="Times New Roman" w:eastAsia="仿宋_GB2312" w:cs="Times New Roman"/>
      <w:kern w:val="2"/>
      <w:sz w:val="24"/>
      <w:lang w:val="en-US" w:eastAsia="zh-CN" w:bidi="ar-SA"/>
    </w:rPr>
  </w:style>
  <w:style w:type="paragraph" w:customStyle="1" w:styleId="229">
    <w:name w:val="表文"/>
    <w:basedOn w:val="1"/>
    <w:qFormat/>
    <w:uiPriority w:val="0"/>
    <w:pPr>
      <w:spacing w:before="40" w:beforeLines="0" w:after="40" w:afterLines="0"/>
    </w:pPr>
    <w:rPr>
      <w:rFonts w:ascii="Times New Roman" w:hAnsi="Times New Roman" w:eastAsia="宋体" w:cs="Times New Roman"/>
      <w:sz w:val="18"/>
      <w:szCs w:val="18"/>
    </w:rPr>
  </w:style>
  <w:style w:type="paragraph" w:customStyle="1" w:styleId="230">
    <w:name w:val="正文缩进12"/>
    <w:basedOn w:val="1"/>
    <w:qFormat/>
    <w:uiPriority w:val="0"/>
    <w:pPr>
      <w:topLinePunct w:val="0"/>
      <w:spacing w:after="120" w:afterLines="0" w:line="360" w:lineRule="auto"/>
      <w:ind w:firstLine="200" w:firstLineChars="200"/>
    </w:pPr>
    <w:rPr>
      <w:rFonts w:ascii="Times New Roman" w:hAnsi="Times New Roman" w:eastAsia="宋体" w:cs="Times New Roman"/>
      <w:sz w:val="24"/>
      <w:szCs w:val="20"/>
    </w:rPr>
  </w:style>
  <w:style w:type="paragraph" w:customStyle="1" w:styleId="231">
    <w:name w:val="节小标题"/>
    <w:basedOn w:val="10"/>
    <w:qFormat/>
    <w:uiPriority w:val="0"/>
    <w:pPr>
      <w:topLinePunct w:val="0"/>
      <w:adjustRightInd w:val="0"/>
      <w:snapToGrid w:val="0"/>
      <w:spacing w:before="100" w:beforeLines="0" w:after="0" w:afterLines="0" w:line="300" w:lineRule="auto"/>
      <w:ind w:firstLine="359"/>
      <w:outlineLvl w:val="9"/>
    </w:pPr>
    <w:rPr>
      <w:rFonts w:ascii="Times New Roman" w:hAnsi="Times New Roman" w:eastAsia="仿宋_GB2312" w:cs="Times New Roman"/>
      <w:sz w:val="30"/>
      <w:szCs w:val="20"/>
    </w:rPr>
  </w:style>
  <w:style w:type="paragraph" w:customStyle="1" w:styleId="232">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val="0"/>
      <w:spacing w:before="100" w:beforeLines="0" w:beforeAutospacing="1" w:after="100" w:afterLines="0" w:afterAutospacing="1"/>
      <w:jc w:val="center"/>
      <w:textAlignment w:val="center"/>
    </w:pPr>
    <w:rPr>
      <w:rFonts w:ascii="Times New Roman" w:hAnsi="Times New Roman" w:eastAsia="宋体" w:cs="Times New Roman"/>
      <w:color w:val="000000"/>
      <w:kern w:val="0"/>
      <w:sz w:val="16"/>
      <w:szCs w:val="16"/>
    </w:rPr>
  </w:style>
  <w:style w:type="paragraph" w:customStyle="1" w:styleId="233">
    <w:name w:val=" Char Char Char"/>
    <w:basedOn w:val="1"/>
    <w:qFormat/>
    <w:uiPriority w:val="0"/>
    <w:pPr>
      <w:topLinePunct w:val="0"/>
    </w:pPr>
    <w:rPr>
      <w:rFonts w:ascii="Times New Roman" w:hAnsi="Times New Roman" w:eastAsia="宋体" w:cs="Times New Roman"/>
      <w:szCs w:val="20"/>
    </w:rPr>
  </w:style>
  <w:style w:type="paragraph" w:customStyle="1" w:styleId="234">
    <w:name w:val="b"/>
    <w:basedOn w:val="130"/>
    <w:uiPriority w:val="0"/>
    <w:pPr>
      <w:tabs>
        <w:tab w:val="center" w:pos="4706"/>
        <w:tab w:val="right" w:pos="9044"/>
      </w:tabs>
    </w:pPr>
    <w:rPr>
      <w:rFonts w:ascii="Times New Roman" w:hAnsi="Times New Roman" w:eastAsia="宋体" w:cs="Times New Roman"/>
    </w:rPr>
  </w:style>
  <w:style w:type="paragraph" w:customStyle="1" w:styleId="235">
    <w:name w:val="xl51"/>
    <w:basedOn w:val="1"/>
    <w:qFormat/>
    <w:uiPriority w:val="0"/>
    <w:pPr>
      <w:widowControl/>
      <w:pBdr>
        <w:top w:val="single" w:color="auto" w:sz="4" w:space="0"/>
        <w:left w:val="single" w:color="auto" w:sz="4" w:space="0"/>
        <w:right w:val="single" w:color="auto" w:sz="4" w:space="0"/>
      </w:pBdr>
      <w:shd w:val="clear" w:color="auto" w:fill="C0C0C0"/>
      <w:topLinePunct w:val="0"/>
      <w:spacing w:before="100" w:beforeLines="0" w:beforeAutospacing="1" w:after="100" w:afterLines="0" w:afterAutospacing="1"/>
      <w:jc w:val="center"/>
      <w:textAlignment w:val="center"/>
    </w:pPr>
    <w:rPr>
      <w:rFonts w:ascii="Times New Roman" w:hAnsi="Times New Roman" w:eastAsia="宋体" w:cs="Times New Roman"/>
      <w:kern w:val="0"/>
      <w:sz w:val="16"/>
      <w:szCs w:val="16"/>
    </w:rPr>
  </w:style>
  <w:style w:type="paragraph" w:customStyle="1" w:styleId="236">
    <w:name w:val="1"/>
    <w:basedOn w:val="1"/>
    <w:next w:val="29"/>
    <w:qFormat/>
    <w:uiPriority w:val="0"/>
    <w:pPr>
      <w:topLinePunct w:val="0"/>
    </w:pPr>
    <w:rPr>
      <w:rFonts w:ascii="Times New Roman" w:hAnsi="Times New Roman" w:eastAsia="宋体" w:cs="Times New Roman"/>
      <w:szCs w:val="20"/>
    </w:rPr>
  </w:style>
  <w:style w:type="paragraph" w:customStyle="1" w:styleId="237">
    <w:name w:val="样式 首行缩进:  0 厘米 行距: 单倍行距 Char"/>
    <w:basedOn w:val="1"/>
    <w:qFormat/>
    <w:uiPriority w:val="0"/>
    <w:pPr>
      <w:adjustRightInd w:val="0"/>
      <w:textAlignment w:val="baseline"/>
    </w:pPr>
    <w:rPr>
      <w:rFonts w:ascii="Times New Roman" w:hAnsi="Times New Roman" w:eastAsia="宋体" w:cs="Times New Roman"/>
      <w:kern w:val="0"/>
      <w:szCs w:val="21"/>
    </w:rPr>
  </w:style>
  <w:style w:type="paragraph" w:customStyle="1" w:styleId="238">
    <w:name w:val="样式 标题 2 + 段前: 0.5 行 段后: 0.5 行"/>
    <w:basedOn w:val="4"/>
    <w:qFormat/>
    <w:uiPriority w:val="0"/>
    <w:pPr>
      <w:topLinePunct w:val="0"/>
      <w:adjustRightInd w:val="0"/>
      <w:spacing w:before="156" w:beforeLines="50" w:after="156" w:afterLines="50" w:line="240" w:lineRule="auto"/>
      <w:ind w:firstLine="200" w:firstLineChars="200"/>
      <w:jc w:val="left"/>
      <w:textAlignment w:val="baseline"/>
    </w:pPr>
    <w:rPr>
      <w:rFonts w:ascii="Times New Roman" w:hAnsi="Times New Roman" w:eastAsia="宋体" w:cs="Times New Roman"/>
      <w:b w:val="0"/>
      <w:bCs w:val="0"/>
      <w:kern w:val="0"/>
      <w:sz w:val="21"/>
      <w:szCs w:val="20"/>
    </w:rPr>
  </w:style>
  <w:style w:type="paragraph" w:customStyle="1" w:styleId="239">
    <w:name w:val="样式 标题 2 + 段前: 6 磅"/>
    <w:basedOn w:val="4"/>
    <w:qFormat/>
    <w:uiPriority w:val="0"/>
    <w:pPr>
      <w:numPr>
        <w:ilvl w:val="0"/>
        <w:numId w:val="0"/>
      </w:numPr>
      <w:tabs>
        <w:tab w:val="left" w:pos="578"/>
        <w:tab w:val="left" w:pos="1055"/>
      </w:tabs>
      <w:topLinePunct w:val="0"/>
      <w:adjustRightInd w:val="0"/>
      <w:spacing w:before="120" w:beforeLines="0" w:after="120" w:afterLines="0" w:line="416" w:lineRule="atLeast"/>
      <w:ind w:left="335"/>
      <w:jc w:val="left"/>
      <w:textAlignment w:val="baseline"/>
    </w:pPr>
    <w:rPr>
      <w:rFonts w:ascii="仿宋_GB2312" w:hAnsi="Times New Roman" w:eastAsia="仿宋_GB2312" w:cs="Times New Roman"/>
      <w:bCs w:val="0"/>
      <w:color w:val="000000"/>
      <w:kern w:val="44"/>
      <w:sz w:val="28"/>
      <w:szCs w:val="20"/>
      <w:lang w:val="sv-SE"/>
    </w:rPr>
  </w:style>
  <w:style w:type="paragraph" w:customStyle="1" w:styleId="240">
    <w:name w:val="默认段落字体 Para Char Char Char Char"/>
    <w:basedOn w:val="1"/>
    <w:uiPriority w:val="0"/>
    <w:rPr>
      <w:rFonts w:ascii="宋体" w:hAnsi="宋体" w:eastAsia="宋体" w:cs="Times New Roman"/>
      <w:b/>
      <w:color w:val="000000"/>
      <w:sz w:val="24"/>
    </w:rPr>
  </w:style>
  <w:style w:type="paragraph" w:customStyle="1" w:styleId="241">
    <w:name w:val="标题 3 + 小四 段前: 0 磅 段后: 0 磅 行距: 1.5 倍行距"/>
    <w:basedOn w:val="5"/>
    <w:next w:val="5"/>
    <w:qFormat/>
    <w:uiPriority w:val="0"/>
    <w:pPr>
      <w:spacing w:before="0" w:beforeLines="0" w:after="0" w:afterLines="0" w:line="360" w:lineRule="auto"/>
    </w:pPr>
    <w:rPr>
      <w:rFonts w:ascii="Times New Roman" w:hAnsi="Times New Roman" w:eastAsia="宋体" w:cs="宋体"/>
      <w:sz w:val="24"/>
      <w:szCs w:val="20"/>
    </w:rPr>
  </w:style>
  <w:style w:type="paragraph" w:customStyle="1" w:styleId="242">
    <w:name w:val="图表脚注"/>
    <w:basedOn w:val="1"/>
    <w:uiPriority w:val="0"/>
    <w:pPr>
      <w:tabs>
        <w:tab w:val="left" w:pos="360"/>
      </w:tabs>
      <w:topLinePunct w:val="0"/>
      <w:spacing w:before="156" w:beforeLines="50" w:after="156" w:afterLines="50"/>
      <w:jc w:val="left"/>
    </w:pPr>
    <w:rPr>
      <w:rFonts w:ascii="Times New Roman" w:hAnsi="Times New Roman" w:eastAsia="宋体" w:cs="Times New Roman"/>
      <w:sz w:val="24"/>
      <w:szCs w:val="20"/>
    </w:rPr>
  </w:style>
  <w:style w:type="paragraph" w:customStyle="1" w:styleId="243">
    <w:name w:val="tt"/>
    <w:basedOn w:val="1"/>
    <w:qFormat/>
    <w:uiPriority w:val="0"/>
    <w:pPr>
      <w:jc w:val="center"/>
    </w:pPr>
    <w:rPr>
      <w:rFonts w:ascii="Times New Roman" w:hAnsi="Times New Roman" w:eastAsia="宋体" w:cs="Times New Roman"/>
      <w:color w:val="000000"/>
      <w:szCs w:val="21"/>
    </w:rPr>
  </w:style>
  <w:style w:type="paragraph" w:customStyle="1" w:styleId="244">
    <w:name w:val="xl50"/>
    <w:basedOn w:val="1"/>
    <w:uiPriority w:val="0"/>
    <w:pPr>
      <w:widowControl/>
      <w:topLinePunct w:val="0"/>
      <w:spacing w:before="100" w:beforeLines="0" w:beforeAutospacing="1" w:after="100" w:afterLines="0" w:afterAutospacing="1"/>
      <w:jc w:val="center"/>
    </w:pPr>
    <w:rPr>
      <w:rFonts w:ascii="宋体" w:hAnsi="宋体" w:eastAsia="宋体" w:cs="Times New Roman"/>
      <w:kern w:val="0"/>
      <w:sz w:val="24"/>
    </w:rPr>
  </w:style>
  <w:style w:type="paragraph" w:customStyle="1" w:styleId="245">
    <w:name w:val="jl 正文"/>
    <w:basedOn w:val="1"/>
    <w:qFormat/>
    <w:uiPriority w:val="0"/>
    <w:pPr>
      <w:autoSpaceDE w:val="0"/>
      <w:autoSpaceDN w:val="0"/>
      <w:adjustRightInd w:val="0"/>
      <w:ind w:firstLine="200" w:firstLineChars="200"/>
      <w:jc w:val="left"/>
      <w:textAlignment w:val="baseline"/>
    </w:pPr>
    <w:rPr>
      <w:rFonts w:ascii="宋体" w:hAnsi="Times New Roman" w:eastAsia="宋体" w:cs="Times New Roman"/>
      <w:kern w:val="0"/>
      <w:sz w:val="24"/>
    </w:rPr>
  </w:style>
  <w:style w:type="paragraph" w:customStyle="1" w:styleId="246">
    <w:name w:val="font0"/>
    <w:basedOn w:val="1"/>
    <w:qFormat/>
    <w:uiPriority w:val="0"/>
    <w:pPr>
      <w:widowControl/>
      <w:topLinePunct w:val="0"/>
      <w:spacing w:before="100" w:beforeLines="0" w:beforeAutospacing="1" w:after="100" w:afterLines="0" w:afterAutospacing="1"/>
      <w:jc w:val="left"/>
    </w:pPr>
    <w:rPr>
      <w:rFonts w:hint="eastAsia" w:ascii="宋体" w:hAnsi="Times New Roman" w:eastAsia="宋体" w:cs="Times New Roman"/>
      <w:kern w:val="0"/>
      <w:sz w:val="24"/>
    </w:rPr>
  </w:style>
  <w:style w:type="paragraph" w:customStyle="1" w:styleId="247">
    <w:name w:val="样式7"/>
    <w:basedOn w:val="1"/>
    <w:qFormat/>
    <w:uiPriority w:val="0"/>
    <w:pPr>
      <w:snapToGrid w:val="0"/>
    </w:pPr>
    <w:rPr>
      <w:rFonts w:ascii="Times New Roman" w:hAnsi="Times New Roman" w:eastAsia="宋体" w:cs="Times New Roman"/>
    </w:rPr>
  </w:style>
  <w:style w:type="paragraph" w:customStyle="1" w:styleId="248">
    <w:name w:val="列项——（一级）"/>
    <w:qFormat/>
    <w:uiPriority w:val="0"/>
    <w:pPr>
      <w:widowControl w:val="0"/>
      <w:tabs>
        <w:tab w:val="left" w:pos="425"/>
        <w:tab w:val="left" w:pos="854"/>
      </w:tabs>
      <w:ind w:left="425" w:leftChars="200" w:hanging="425" w:hangingChars="200"/>
      <w:jc w:val="both"/>
    </w:pPr>
    <w:rPr>
      <w:rFonts w:ascii="宋体" w:hAnsi="Times New Roman" w:eastAsia="宋体" w:cs="Times New Roman"/>
      <w:sz w:val="21"/>
      <w:lang w:val="en-US" w:eastAsia="zh-CN" w:bidi="ar-SA"/>
    </w:rPr>
  </w:style>
  <w:style w:type="paragraph" w:customStyle="1" w:styleId="249">
    <w:name w:val=" Char"/>
    <w:basedOn w:val="1"/>
    <w:qFormat/>
    <w:uiPriority w:val="0"/>
    <w:rPr>
      <w:rFonts w:ascii="Times New Roman" w:hAnsi="Times New Roman" w:eastAsia="宋体" w:cs="Times New Roman"/>
    </w:rPr>
  </w:style>
  <w:style w:type="paragraph" w:customStyle="1" w:styleId="250">
    <w:name w:val="Char"/>
    <w:basedOn w:val="1"/>
    <w:uiPriority w:val="0"/>
    <w:rPr>
      <w:rFonts w:ascii="Times New Roman" w:hAnsi="Times New Roman" w:eastAsia="宋体" w:cs="Times New Roman"/>
      <w:szCs w:val="21"/>
    </w:rPr>
  </w:style>
  <w:style w:type="paragraph" w:customStyle="1" w:styleId="251">
    <w:name w:val="xl54"/>
    <w:basedOn w:val="1"/>
    <w:qFormat/>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kern w:val="0"/>
      <w:sz w:val="20"/>
      <w:szCs w:val="20"/>
    </w:rPr>
  </w:style>
  <w:style w:type="paragraph" w:customStyle="1" w:styleId="252">
    <w:name w:val="我的正文"/>
    <w:basedOn w:val="29"/>
    <w:qFormat/>
    <w:uiPriority w:val="0"/>
    <w:pPr>
      <w:topLinePunct w:val="0"/>
      <w:spacing w:after="0" w:afterLines="0" w:line="360" w:lineRule="auto"/>
      <w:ind w:firstLine="200" w:firstLineChars="200"/>
    </w:pPr>
    <w:rPr>
      <w:rFonts w:ascii="Times New Roman" w:hAnsi="Times New Roman" w:eastAsia="宋体" w:cs="Times New Roman"/>
      <w:sz w:val="28"/>
      <w:szCs w:val="20"/>
    </w:rPr>
  </w:style>
  <w:style w:type="paragraph" w:customStyle="1" w:styleId="253">
    <w:name w:val=" Char Char Char Char Char Char"/>
    <w:basedOn w:val="1"/>
    <w:qFormat/>
    <w:uiPriority w:val="0"/>
    <w:pPr>
      <w:topLinePunct w:val="0"/>
    </w:pPr>
    <w:rPr>
      <w:rFonts w:ascii="Times New Roman" w:hAnsi="Times New Roman" w:eastAsia="宋体" w:cs="Times New Roman"/>
      <w:szCs w:val="20"/>
    </w:rPr>
  </w:style>
  <w:style w:type="paragraph" w:customStyle="1" w:styleId="254">
    <w:name w:val="xl35"/>
    <w:basedOn w:val="1"/>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textAlignment w:val="center"/>
    </w:pPr>
    <w:rPr>
      <w:rFonts w:ascii="宋体" w:hAnsi="宋体" w:eastAsia="宋体" w:cs="Times New Roman"/>
      <w:kern w:val="0"/>
      <w:sz w:val="20"/>
      <w:szCs w:val="20"/>
    </w:rPr>
  </w:style>
  <w:style w:type="paragraph" w:customStyle="1" w:styleId="255">
    <w:name w:val="实施日期"/>
    <w:basedOn w:val="1"/>
    <w:qFormat/>
    <w:uiPriority w:val="0"/>
    <w:pPr>
      <w:tabs>
        <w:tab w:val="left" w:pos="1620"/>
      </w:tabs>
      <w:topLinePunct w:val="0"/>
      <w:ind w:left="1620" w:hanging="360"/>
    </w:pPr>
    <w:rPr>
      <w:rFonts w:ascii="Times New Roman" w:hAnsi="Times New Roman" w:eastAsia="宋体" w:cs="Times New Roman"/>
      <w:szCs w:val="20"/>
    </w:rPr>
  </w:style>
  <w:style w:type="paragraph" w:customStyle="1" w:styleId="256">
    <w:name w:val="章标题"/>
    <w:basedOn w:val="1"/>
    <w:uiPriority w:val="0"/>
    <w:pPr>
      <w:tabs>
        <w:tab w:val="left" w:pos="360"/>
      </w:tabs>
      <w:topLinePunct w:val="0"/>
      <w:spacing w:before="156" w:beforeLines="50" w:after="156" w:afterLines="50"/>
      <w:jc w:val="left"/>
    </w:pPr>
    <w:rPr>
      <w:rFonts w:ascii="Times New Roman" w:hAnsi="Times New Roman" w:eastAsia="宋体" w:cs="Times New Roman"/>
      <w:sz w:val="24"/>
      <w:szCs w:val="20"/>
    </w:rPr>
  </w:style>
  <w:style w:type="paragraph" w:customStyle="1" w:styleId="257">
    <w:name w:val="xl44"/>
    <w:basedOn w:val="1"/>
    <w:qFormat/>
    <w:uiPriority w:val="0"/>
    <w:pPr>
      <w:widowControl/>
      <w:pBdr>
        <w:top w:val="single" w:color="auto" w:sz="4" w:space="0"/>
        <w:left w:val="single" w:color="auto" w:sz="4" w:space="0"/>
        <w:right w:val="single" w:color="auto" w:sz="4" w:space="0"/>
      </w:pBdr>
      <w:shd w:val="clear" w:color="auto" w:fill="C0C0C0"/>
      <w:topLinePunct w:val="0"/>
      <w:spacing w:before="100" w:beforeLines="0" w:beforeAutospacing="1" w:after="100" w:afterLines="0" w:afterAutospacing="1"/>
      <w:jc w:val="center"/>
      <w:textAlignment w:val="center"/>
    </w:pPr>
    <w:rPr>
      <w:rFonts w:ascii="Times New Roman" w:hAnsi="Times New Roman" w:eastAsia="宋体" w:cs="Times New Roman"/>
      <w:color w:val="000000"/>
      <w:kern w:val="0"/>
      <w:sz w:val="16"/>
      <w:szCs w:val="16"/>
    </w:rPr>
  </w:style>
  <w:style w:type="paragraph" w:customStyle="1" w:styleId="258">
    <w:name w:val="xl28"/>
    <w:basedOn w:val="1"/>
    <w:qFormat/>
    <w:uiPriority w:val="0"/>
    <w:pPr>
      <w:widowControl/>
      <w:pBdr>
        <w:top w:val="single" w:color="auto" w:sz="4" w:space="0"/>
        <w:left w:val="single" w:color="auto" w:sz="4" w:space="0"/>
        <w:bottom w:val="single" w:color="auto" w:sz="4" w:space="0"/>
        <w:right w:val="single" w:color="auto" w:sz="4" w:space="0"/>
      </w:pBdr>
      <w:topLinePunct w:val="0"/>
      <w:spacing w:before="100" w:beforeLines="0" w:beforeAutospacing="1" w:after="100" w:afterLines="0" w:afterAutospacing="1"/>
      <w:jc w:val="center"/>
      <w:textAlignment w:val="center"/>
    </w:pPr>
    <w:rPr>
      <w:rFonts w:ascii="Times New Roman" w:hAnsi="Times New Roman" w:eastAsia="宋体" w:cs="Times New Roman"/>
      <w:color w:val="000000"/>
      <w:kern w:val="0"/>
      <w:sz w:val="16"/>
      <w:szCs w:val="16"/>
    </w:rPr>
  </w:style>
  <w:style w:type="paragraph" w:customStyle="1" w:styleId="259">
    <w:name w:val="Copyright"/>
    <w:basedOn w:val="1"/>
    <w:uiPriority w:val="0"/>
    <w:pPr>
      <w:widowControl/>
      <w:topLinePunct w:val="0"/>
      <w:spacing w:before="160" w:beforeLines="0"/>
      <w:jc w:val="left"/>
    </w:pPr>
    <w:rPr>
      <w:rFonts w:ascii="Arial" w:hAnsi="Arial" w:eastAsia="宋体" w:cs="Times New Roman"/>
      <w:kern w:val="0"/>
      <w:sz w:val="12"/>
      <w:szCs w:val="20"/>
      <w:lang w:eastAsia="en-US"/>
    </w:rPr>
  </w:style>
  <w:style w:type="paragraph" w:customStyle="1" w:styleId="260">
    <w:name w:val="注标题"/>
    <w:basedOn w:val="1"/>
    <w:qFormat/>
    <w:uiPriority w:val="0"/>
    <w:rPr>
      <w:rFonts w:ascii="Times New Roman" w:hAnsi="Times New Roman" w:eastAsia="宋体" w:cs="Times New Roman"/>
      <w:sz w:val="18"/>
      <w:szCs w:val="20"/>
    </w:rPr>
  </w:style>
  <w:style w:type="paragraph" w:customStyle="1" w:styleId="261">
    <w:name w:val="样式3"/>
    <w:basedOn w:val="5"/>
    <w:qFormat/>
    <w:uiPriority w:val="0"/>
    <w:pPr>
      <w:tabs>
        <w:tab w:val="left" w:pos="709"/>
      </w:tabs>
      <w:topLinePunct/>
      <w:spacing w:before="0" w:beforeLines="0" w:after="0" w:afterLines="0" w:line="720" w:lineRule="auto"/>
      <w:jc w:val="left"/>
    </w:pPr>
    <w:rPr>
      <w:rFonts w:ascii="Arial" w:hAnsi="Arial" w:eastAsia="黑体" w:cs="Times New Roman"/>
      <w:b w:val="0"/>
      <w:bCs w:val="0"/>
      <w:sz w:val="30"/>
      <w:szCs w:val="30"/>
    </w:rPr>
  </w:style>
  <w:style w:type="paragraph" w:customStyle="1" w:styleId="262">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val="0"/>
      <w:spacing w:before="100" w:beforeLines="0" w:beforeAutospacing="1" w:after="100" w:afterLines="0" w:afterAutospacing="1"/>
      <w:jc w:val="center"/>
    </w:pPr>
    <w:rPr>
      <w:rFonts w:ascii="Times New Roman" w:hAnsi="Times New Roman" w:eastAsia="宋体" w:cs="Times New Roman"/>
      <w:kern w:val="0"/>
      <w:sz w:val="16"/>
      <w:szCs w:val="16"/>
    </w:rPr>
  </w:style>
  <w:style w:type="paragraph" w:customStyle="1" w:styleId="263">
    <w:name w:val="1z"/>
    <w:basedOn w:val="3"/>
    <w:qFormat/>
    <w:uiPriority w:val="0"/>
    <w:pPr>
      <w:keepNext w:val="0"/>
      <w:keepLines w:val="0"/>
      <w:overflowPunct w:val="0"/>
      <w:spacing w:line="240" w:lineRule="auto"/>
      <w:ind w:firstLine="0"/>
    </w:pPr>
    <w:rPr>
      <w:rFonts w:ascii="Times New Roman" w:hAnsi="Times New Roman" w:eastAsia="宋体" w:cs="Times New Roman"/>
      <w:kern w:val="2"/>
      <w:sz w:val="21"/>
      <w:szCs w:val="21"/>
    </w:rPr>
  </w:style>
  <w:style w:type="paragraph" w:customStyle="1" w:styleId="264">
    <w:name w:val="B."/>
    <w:basedOn w:val="130"/>
    <w:uiPriority w:val="0"/>
    <w:pPr>
      <w:spacing w:before="0" w:beforeLines="0" w:after="0" w:afterLines="0"/>
    </w:pPr>
    <w:rPr>
      <w:rFonts w:ascii="宋体" w:hAnsi="宋体" w:eastAsia="宋体" w:cs="Times New Roman"/>
      <w:b/>
      <w:kern w:val="2"/>
    </w:rPr>
  </w:style>
  <w:style w:type="paragraph" w:customStyle="1" w:styleId="265">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val="0"/>
      <w:spacing w:before="100" w:beforeLines="0" w:beforeAutospacing="1" w:after="100" w:afterLines="0" w:afterAutospacing="1"/>
      <w:jc w:val="center"/>
      <w:textAlignment w:val="center"/>
    </w:pPr>
    <w:rPr>
      <w:rFonts w:ascii="Times New Roman" w:hAnsi="Times New Roman" w:eastAsia="宋体" w:cs="Times New Roman"/>
      <w:kern w:val="0"/>
      <w:sz w:val="16"/>
      <w:szCs w:val="16"/>
    </w:rPr>
  </w:style>
  <w:style w:type="paragraph" w:customStyle="1" w:styleId="266">
    <w:name w:val="h"/>
    <w:basedOn w:val="1"/>
    <w:qFormat/>
    <w:uiPriority w:val="0"/>
    <w:pPr>
      <w:spacing w:line="312" w:lineRule="exact"/>
      <w:jc w:val="center"/>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6797</Words>
  <Characters>7462</Characters>
  <Lines>0</Lines>
  <Paragraphs>0</Paragraphs>
  <TotalTime>55</TotalTime>
  <ScaleCrop>false</ScaleCrop>
  <LinksUpToDate>false</LinksUpToDate>
  <CharactersWithSpaces>7729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2025-06-23T01:48:00Z</dcterms:created>
  <dc:creator>Administrator</dc:creator>
  <cp:lastModifiedBy>jinwang03.hc</cp:lastModifiedBy>
  <dcterms:modified xsi:type="dcterms:W3CDTF">2026-03-05T09:52:08Z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7F8F401450654152921A7F68D162CE6A</vt:lpwstr>
  </property>
  <property fmtid="{D5CDD505-2E9C-101B-9397-08002B2CF9AE}" pid="4" name="KSOTemplateDocerSaveRecord">
    <vt:lpwstr>eyJoZGlkIjoiZTg4ZjQxNTVkMWEwYzM4ZTVkNDMzNmNkZDdiNTRjZGYiLCJ1c2VySWQiOiI0MzU3ODU4NDAifQ==</vt:lpwstr>
  </property>
</Properties>
</file>