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adjustRightInd w:val="0"/>
        <w:spacing w:line="360" w:lineRule="auto"/>
        <w:jc w:val="center"/>
        <w:textAlignment w:val="center"/>
        <w:rPr>
          <w:rFonts w:eastAsia="黑体"/>
          <w:b/>
          <w:color w:val="auto"/>
          <w:sz w:val="52"/>
        </w:rPr>
      </w:pPr>
      <w:r>
        <w:rPr>
          <w:rFonts w:eastAsia="黑体"/>
          <w:b/>
          <w:color w:val="auto"/>
          <w:sz w:val="52"/>
        </w:rPr>
        <w:drawing>
          <wp:anchor distT="0" distB="0" distL="114300" distR="114300" simplePos="0" relativeHeight="251658240" behindDoc="1" locked="0" layoutInCell="1" allowOverlap="1">
            <wp:simplePos x="0" y="0"/>
            <wp:positionH relativeFrom="column">
              <wp:posOffset>-904240</wp:posOffset>
            </wp:positionH>
            <wp:positionV relativeFrom="paragraph">
              <wp:posOffset>-897890</wp:posOffset>
            </wp:positionV>
            <wp:extent cx="8915400" cy="2736850"/>
            <wp:effectExtent l="0" t="0" r="0" b="6350"/>
            <wp:wrapTight wrapText="bothSides">
              <wp:wrapPolygon>
                <wp:start x="-23" y="0"/>
                <wp:lineTo x="-23" y="21525"/>
                <wp:lineTo x="21600" y="21525"/>
                <wp:lineTo x="21600" y="0"/>
                <wp:lineTo x="-23" y="0"/>
              </wp:wrapPolygon>
            </wp:wrapTight>
            <wp:docPr id="1" name="图片 3" descr="模板-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descr="模板-3"/>
                    <pic:cNvPicPr>
                      <a:picLocks noChangeAspect="1"/>
                    </pic:cNvPicPr>
                  </pic:nvPicPr>
                  <pic:blipFill>
                    <a:blip r:embed="rId8"/>
                    <a:stretch>
                      <a:fillRect/>
                    </a:stretch>
                  </pic:blipFill>
                  <pic:spPr>
                    <a:xfrm>
                      <a:off x="0" y="0"/>
                      <a:ext cx="8915400" cy="2736850"/>
                    </a:xfrm>
                    <a:prstGeom prst="rect">
                      <a:avLst/>
                    </a:prstGeom>
                    <a:noFill/>
                    <a:ln>
                      <a:noFill/>
                    </a:ln>
                  </pic:spPr>
                </pic:pic>
              </a:graphicData>
            </a:graphic>
          </wp:anchor>
        </w:drawing>
      </w:r>
      <w:r>
        <w:rPr>
          <w:rFonts w:hint="eastAsia" w:eastAsia="黑体"/>
          <w:b/>
          <w:color w:val="auto"/>
          <w:sz w:val="52"/>
          <w:lang w:eastAsia="zh-CN"/>
        </w:rPr>
        <w:t>变压器容量测试仪</w:t>
      </w:r>
      <w:r>
        <w:rPr>
          <w:rFonts w:hint="eastAsia" w:eastAsia="黑体"/>
          <w:b/>
          <w:color w:val="auto"/>
          <w:sz w:val="52"/>
        </w:rPr>
        <w:t>技术规范书</w:t>
      </w:r>
    </w:p>
    <w:p>
      <w:pPr>
        <w:rPr>
          <w:rFonts w:hint="eastAsia" w:eastAsia="宋体"/>
          <w:color w:val="auto"/>
          <w:lang w:eastAsia="zh-CN"/>
        </w:rPr>
      </w:pPr>
      <w:r>
        <w:rPr>
          <w:rFonts w:hint="eastAsia" w:eastAsia="黑体"/>
          <w:b/>
          <w:color w:val="auto"/>
          <w:sz w:val="52"/>
          <w:lang w:val="en-US" w:eastAsia="zh-CN"/>
        </w:rPr>
        <w:t xml:space="preserve"> </w:t>
      </w:r>
    </w:p>
    <w:p>
      <w:pPr>
        <w:rPr>
          <w:rFonts w:hint="eastAsia"/>
          <w:color w:val="auto"/>
        </w:rPr>
      </w:pPr>
    </w:p>
    <w:p>
      <w:pPr>
        <w:rPr>
          <w:rFonts w:hint="eastAsia"/>
          <w:color w:val="auto"/>
        </w:rPr>
      </w:pPr>
    </w:p>
    <w:p>
      <w:pPr>
        <w:spacing w:after="360" w:afterLines="150" w:line="480" w:lineRule="auto"/>
        <w:ind w:firstLine="602" w:firstLineChars="200"/>
        <w:jc w:val="center"/>
        <w:rPr>
          <w:rFonts w:hint="eastAsia" w:ascii="宋体" w:hAnsi="宋体"/>
          <w:b/>
          <w:bCs/>
          <w:snapToGrid w:val="0"/>
          <w:sz w:val="30"/>
          <w:szCs w:val="30"/>
          <w:lang w:eastAsia="zh-CN"/>
        </w:rPr>
      </w:pPr>
      <w:r>
        <w:rPr>
          <w:rFonts w:hint="eastAsia" w:ascii="宋体" w:hAnsi="宋体"/>
          <w:b/>
          <w:bCs/>
          <w:snapToGrid w:val="0"/>
          <w:sz w:val="30"/>
          <w:szCs w:val="30"/>
          <w:lang w:eastAsia="zh-CN"/>
        </w:rPr>
        <w:t>项目名称：河池供电局2026年综合楼营销实训室培训设备购置项目</w:t>
      </w:r>
    </w:p>
    <w:p>
      <w:pPr>
        <w:spacing w:after="360" w:afterLines="150" w:line="480" w:lineRule="auto"/>
        <w:ind w:firstLine="602" w:firstLineChars="200"/>
        <w:jc w:val="left"/>
        <w:rPr>
          <w:rFonts w:hint="eastAsia" w:ascii="宋体" w:hAnsi="宋体"/>
          <w:b/>
          <w:bCs/>
          <w:snapToGrid w:val="0"/>
          <w:sz w:val="30"/>
          <w:szCs w:val="30"/>
          <w:lang w:eastAsia="zh-CN"/>
        </w:rPr>
      </w:pPr>
      <w:r>
        <w:rPr>
          <w:rFonts w:hint="eastAsia" w:ascii="宋体" w:hAnsi="宋体"/>
          <w:b/>
          <w:bCs/>
          <w:snapToGrid w:val="0"/>
          <w:sz w:val="30"/>
          <w:szCs w:val="30"/>
          <w:lang w:eastAsia="zh-CN"/>
        </w:rPr>
        <w:t>项目编号：040500TJ26010003</w:t>
      </w:r>
    </w:p>
    <w:p>
      <w:pPr>
        <w:pStyle w:val="22"/>
        <w:adjustRightInd w:val="0"/>
        <w:snapToGrid w:val="0"/>
        <w:spacing w:line="360" w:lineRule="auto"/>
        <w:rPr>
          <w:rFonts w:hint="eastAsia" w:eastAsia="方正书宋简体"/>
          <w:szCs w:val="21"/>
          <w:lang w:eastAsia="zh-CN"/>
        </w:rPr>
      </w:pPr>
    </w:p>
    <w:p>
      <w:pPr>
        <w:rPr>
          <w:rFonts w:hint="eastAsia" w:eastAsia="宋体"/>
          <w:color w:val="auto"/>
          <w:lang w:eastAsia="zh-CN"/>
        </w:rPr>
      </w:pPr>
    </w:p>
    <w:p>
      <w:pPr>
        <w:pStyle w:val="2"/>
        <w:rPr>
          <w:rFonts w:hint="eastAsia"/>
          <w:color w:val="auto"/>
        </w:rPr>
      </w:pPr>
    </w:p>
    <w:p>
      <w:pPr>
        <w:rPr>
          <w:rFonts w:hint="eastAsia"/>
          <w:color w:val="auto"/>
        </w:rPr>
      </w:pPr>
    </w:p>
    <w:p>
      <w:pPr>
        <w:pStyle w:val="2"/>
        <w:rPr>
          <w:rFonts w:hint="eastAsia"/>
          <w:color w:val="auto"/>
        </w:rPr>
      </w:pPr>
    </w:p>
    <w:p>
      <w:pPr>
        <w:rPr>
          <w:rFonts w:hint="eastAsia"/>
        </w:rPr>
      </w:pPr>
    </w:p>
    <w:p>
      <w:pPr>
        <w:jc w:val="center"/>
        <w:rPr>
          <w:rFonts w:hint="eastAsia" w:ascii="黑体" w:hAnsi="黑体" w:eastAsia="黑体"/>
          <w:color w:val="auto"/>
          <w:sz w:val="30"/>
          <w:szCs w:val="30"/>
          <w:lang w:eastAsia="zh-CN"/>
        </w:rPr>
      </w:pPr>
      <w:r>
        <w:rPr>
          <w:rFonts w:hint="eastAsia" w:ascii="黑体" w:hAnsi="黑体" w:eastAsia="黑体"/>
          <w:color w:val="auto"/>
          <w:sz w:val="30"/>
          <w:szCs w:val="30"/>
        </w:rPr>
        <w:t>广西电网有限责任公司</w:t>
      </w:r>
      <w:r>
        <w:rPr>
          <w:rFonts w:hint="eastAsia" w:ascii="黑体" w:hAnsi="黑体" w:eastAsia="黑体"/>
          <w:color w:val="auto"/>
          <w:sz w:val="30"/>
          <w:szCs w:val="30"/>
          <w:lang w:eastAsia="zh-CN"/>
        </w:rPr>
        <w:t>河池供电局</w:t>
      </w:r>
    </w:p>
    <w:p>
      <w:pPr>
        <w:jc w:val="center"/>
        <w:rPr>
          <w:rFonts w:hint="eastAsia" w:ascii="黑体" w:hAnsi="黑体" w:eastAsia="黑体"/>
          <w:color w:val="auto"/>
          <w:sz w:val="30"/>
          <w:szCs w:val="30"/>
        </w:rPr>
      </w:pPr>
      <w:r>
        <w:rPr>
          <w:rFonts w:hint="eastAsia" w:ascii="黑体" w:hAnsi="黑体" w:eastAsia="黑体"/>
          <w:color w:val="auto"/>
          <w:sz w:val="30"/>
          <w:szCs w:val="30"/>
        </w:rPr>
        <w:t>20</w:t>
      </w:r>
      <w:r>
        <w:rPr>
          <w:rFonts w:hint="eastAsia" w:ascii="黑体" w:hAnsi="黑体" w:eastAsia="黑体"/>
          <w:color w:val="auto"/>
          <w:sz w:val="30"/>
          <w:szCs w:val="30"/>
          <w:lang w:val="en-US" w:eastAsia="zh-CN"/>
        </w:rPr>
        <w:t>26</w:t>
      </w:r>
      <w:r>
        <w:rPr>
          <w:rFonts w:hint="eastAsia" w:ascii="黑体" w:hAnsi="黑体" w:eastAsia="黑体"/>
          <w:color w:val="auto"/>
          <w:sz w:val="30"/>
          <w:szCs w:val="30"/>
        </w:rPr>
        <w:t>年</w:t>
      </w:r>
      <w:r>
        <w:rPr>
          <w:rFonts w:hint="eastAsia" w:ascii="黑体" w:hAnsi="黑体" w:eastAsia="黑体"/>
          <w:color w:val="auto"/>
          <w:sz w:val="30"/>
          <w:szCs w:val="30"/>
          <w:lang w:val="en-US" w:eastAsia="zh-CN"/>
        </w:rPr>
        <w:t>3</w:t>
      </w:r>
      <w:r>
        <w:rPr>
          <w:rFonts w:hint="eastAsia" w:ascii="黑体" w:hAnsi="黑体" w:eastAsia="黑体"/>
          <w:color w:val="auto"/>
          <w:sz w:val="30"/>
          <w:szCs w:val="30"/>
        </w:rPr>
        <w:t>月</w:t>
      </w:r>
    </w:p>
    <w:p>
      <w:pPr>
        <w:spacing w:before="652" w:beforeLines="200"/>
        <w:jc w:val="center"/>
        <w:rPr>
          <w:rFonts w:ascii="黑体" w:eastAsia="黑体"/>
          <w:b/>
          <w:color w:val="auto"/>
          <w:spacing w:val="20"/>
          <w:w w:val="135"/>
          <w:sz w:val="30"/>
        </w:rPr>
      </w:pPr>
      <w:r>
        <w:rPr>
          <w:color w:val="auto"/>
        </w:rPr>
        <w:br w:type="page"/>
      </w:r>
    </w:p>
    <w:p>
      <w:pPr>
        <w:jc w:val="center"/>
        <w:rPr>
          <w:rFonts w:hint="eastAsia"/>
          <w:color w:val="auto"/>
        </w:rPr>
      </w:pPr>
    </w:p>
    <w:p>
      <w:pPr>
        <w:jc w:val="center"/>
        <w:rPr>
          <w:rFonts w:hint="eastAsia"/>
          <w:color w:val="auto"/>
          <w:sz w:val="21"/>
          <w:szCs w:val="21"/>
        </w:rPr>
      </w:pPr>
      <w:r>
        <w:rPr>
          <w:rFonts w:hint="eastAsia"/>
          <w:color w:val="auto"/>
          <w:sz w:val="21"/>
          <w:szCs w:val="21"/>
        </w:rPr>
        <w:t>目  录</w:t>
      </w:r>
    </w:p>
    <w:p>
      <w:pPr>
        <w:pStyle w:val="11"/>
        <w:tabs>
          <w:tab w:val="right" w:leader="dot" w:pos="9746"/>
          <w:tab w:val="clear" w:pos="8296"/>
        </w:tabs>
      </w:pPr>
      <w:r>
        <w:rPr>
          <w:color w:val="auto"/>
          <w:sz w:val="21"/>
          <w:szCs w:val="21"/>
        </w:rPr>
        <w:fldChar w:fldCharType="begin"/>
      </w:r>
      <w:r>
        <w:rPr>
          <w:color w:val="auto"/>
          <w:sz w:val="21"/>
          <w:szCs w:val="21"/>
        </w:rPr>
        <w:instrText xml:space="preserve"> </w:instrText>
      </w:r>
      <w:r>
        <w:rPr>
          <w:rFonts w:hint="eastAsia"/>
          <w:color w:val="auto"/>
          <w:sz w:val="21"/>
          <w:szCs w:val="21"/>
        </w:rPr>
        <w:instrText xml:space="preserve">TOC \o "1-1" \h \z \u</w:instrText>
      </w:r>
      <w:r>
        <w:rPr>
          <w:color w:val="auto"/>
          <w:sz w:val="21"/>
          <w:szCs w:val="21"/>
        </w:rPr>
        <w:instrText xml:space="preserve"> </w:instrText>
      </w:r>
      <w:r>
        <w:rPr>
          <w:color w:val="auto"/>
          <w:sz w:val="21"/>
          <w:szCs w:val="21"/>
        </w:rPr>
        <w:fldChar w:fldCharType="separate"/>
      </w:r>
      <w:r>
        <w:rPr>
          <w:color w:val="auto"/>
          <w:szCs w:val="21"/>
        </w:rPr>
        <w:fldChar w:fldCharType="begin"/>
      </w:r>
      <w:r>
        <w:rPr>
          <w:szCs w:val="21"/>
        </w:rPr>
        <w:instrText xml:space="preserve"> HYPERLINK \l _Toc2042 </w:instrText>
      </w:r>
      <w:r>
        <w:rPr>
          <w:szCs w:val="21"/>
        </w:rPr>
        <w:fldChar w:fldCharType="separate"/>
      </w:r>
      <w:r>
        <w:rPr>
          <w:rFonts w:hint="eastAsia"/>
          <w:bCs/>
          <w:szCs w:val="21"/>
          <w:highlight w:val="none"/>
          <w:lang w:val="en-US" w:eastAsia="zh-CN"/>
        </w:rPr>
        <w:t>1.</w:t>
      </w:r>
      <w:r>
        <w:rPr>
          <w:rFonts w:hint="eastAsia"/>
          <w:bCs/>
          <w:szCs w:val="21"/>
          <w:highlight w:val="none"/>
        </w:rPr>
        <w:t>总则</w:t>
      </w:r>
      <w:r>
        <w:tab/>
      </w:r>
      <w:r>
        <w:fldChar w:fldCharType="begin"/>
      </w:r>
      <w:r>
        <w:instrText xml:space="preserve"> PAGEREF _Toc2042 \h </w:instrText>
      </w:r>
      <w:r>
        <w:fldChar w:fldCharType="separate"/>
      </w:r>
      <w:r>
        <w:t>3</w:t>
      </w:r>
      <w:r>
        <w:fldChar w:fldCharType="end"/>
      </w:r>
      <w:r>
        <w:rPr>
          <w:color w:val="auto"/>
          <w:szCs w:val="21"/>
        </w:rPr>
        <w:fldChar w:fldCharType="end"/>
      </w:r>
    </w:p>
    <w:p>
      <w:pPr>
        <w:pStyle w:val="11"/>
        <w:tabs>
          <w:tab w:val="right" w:leader="dot" w:pos="9746"/>
          <w:tab w:val="clear" w:pos="8296"/>
        </w:tabs>
      </w:pPr>
      <w:r>
        <w:rPr>
          <w:color w:val="auto"/>
          <w:szCs w:val="21"/>
        </w:rPr>
        <w:fldChar w:fldCharType="begin"/>
      </w:r>
      <w:r>
        <w:rPr>
          <w:szCs w:val="21"/>
        </w:rPr>
        <w:instrText xml:space="preserve"> HYPERLINK \l _Toc399 </w:instrText>
      </w:r>
      <w:r>
        <w:rPr>
          <w:szCs w:val="21"/>
        </w:rPr>
        <w:fldChar w:fldCharType="separate"/>
      </w:r>
      <w:r>
        <w:rPr>
          <w:rFonts w:hint="eastAsia"/>
          <w:szCs w:val="21"/>
          <w:lang w:val="en-US" w:eastAsia="zh-CN"/>
        </w:rPr>
        <w:t>2.</w:t>
      </w:r>
      <w:r>
        <w:rPr>
          <w:rFonts w:hint="eastAsia"/>
          <w:szCs w:val="21"/>
        </w:rPr>
        <w:t>引用标准</w:t>
      </w:r>
      <w:r>
        <w:tab/>
      </w:r>
      <w:r>
        <w:fldChar w:fldCharType="begin"/>
      </w:r>
      <w:r>
        <w:instrText xml:space="preserve"> PAGEREF _Toc399 \h </w:instrText>
      </w:r>
      <w:r>
        <w:fldChar w:fldCharType="separate"/>
      </w:r>
      <w:r>
        <w:t>3</w:t>
      </w:r>
      <w:r>
        <w:fldChar w:fldCharType="end"/>
      </w:r>
      <w:r>
        <w:rPr>
          <w:color w:val="auto"/>
          <w:szCs w:val="21"/>
        </w:rPr>
        <w:fldChar w:fldCharType="end"/>
      </w:r>
    </w:p>
    <w:p>
      <w:pPr>
        <w:pStyle w:val="11"/>
        <w:tabs>
          <w:tab w:val="right" w:leader="dot" w:pos="9746"/>
          <w:tab w:val="clear" w:pos="8296"/>
        </w:tabs>
      </w:pPr>
      <w:r>
        <w:rPr>
          <w:color w:val="auto"/>
          <w:szCs w:val="21"/>
        </w:rPr>
        <w:fldChar w:fldCharType="begin"/>
      </w:r>
      <w:r>
        <w:rPr>
          <w:szCs w:val="21"/>
        </w:rPr>
        <w:instrText xml:space="preserve"> HYPERLINK \l _Toc5760 </w:instrText>
      </w:r>
      <w:r>
        <w:rPr>
          <w:szCs w:val="21"/>
        </w:rPr>
        <w:fldChar w:fldCharType="separate"/>
      </w:r>
      <w:r>
        <w:rPr>
          <w:rFonts w:hint="eastAsia"/>
          <w:szCs w:val="21"/>
          <w:lang w:val="en-US" w:eastAsia="zh-CN"/>
        </w:rPr>
        <w:t>3.</w:t>
      </w:r>
      <w:r>
        <w:rPr>
          <w:rFonts w:hint="eastAsia"/>
          <w:szCs w:val="21"/>
        </w:rPr>
        <w:t>基本要求</w:t>
      </w:r>
      <w:r>
        <w:tab/>
      </w:r>
      <w:r>
        <w:fldChar w:fldCharType="begin"/>
      </w:r>
      <w:r>
        <w:instrText xml:space="preserve"> PAGEREF _Toc5760 \h </w:instrText>
      </w:r>
      <w:r>
        <w:fldChar w:fldCharType="separate"/>
      </w:r>
      <w:r>
        <w:t>4</w:t>
      </w:r>
      <w:r>
        <w:fldChar w:fldCharType="end"/>
      </w:r>
      <w:r>
        <w:rPr>
          <w:color w:val="auto"/>
          <w:szCs w:val="21"/>
        </w:rPr>
        <w:fldChar w:fldCharType="end"/>
      </w:r>
    </w:p>
    <w:p>
      <w:pPr>
        <w:pStyle w:val="11"/>
        <w:tabs>
          <w:tab w:val="right" w:leader="dot" w:pos="9746"/>
          <w:tab w:val="clear" w:pos="8296"/>
        </w:tabs>
      </w:pPr>
      <w:r>
        <w:rPr>
          <w:color w:val="auto"/>
          <w:szCs w:val="21"/>
        </w:rPr>
        <w:fldChar w:fldCharType="begin"/>
      </w:r>
      <w:r>
        <w:rPr>
          <w:szCs w:val="21"/>
        </w:rPr>
        <w:instrText xml:space="preserve"> HYPERLINK \l _Toc6738 </w:instrText>
      </w:r>
      <w:r>
        <w:rPr>
          <w:szCs w:val="21"/>
        </w:rPr>
        <w:fldChar w:fldCharType="separate"/>
      </w:r>
      <w:r>
        <w:rPr>
          <w:rFonts w:hint="eastAsia"/>
          <w:szCs w:val="21"/>
          <w:lang w:val="en-US" w:eastAsia="zh-CN"/>
        </w:rPr>
        <w:t>4.</w:t>
      </w:r>
      <w:r>
        <w:rPr>
          <w:rFonts w:hint="eastAsia"/>
          <w:szCs w:val="21"/>
        </w:rPr>
        <w:t>使用条件</w:t>
      </w:r>
      <w:r>
        <w:tab/>
      </w:r>
      <w:r>
        <w:fldChar w:fldCharType="begin"/>
      </w:r>
      <w:r>
        <w:instrText xml:space="preserve"> PAGEREF _Toc6738 \h </w:instrText>
      </w:r>
      <w:r>
        <w:fldChar w:fldCharType="separate"/>
      </w:r>
      <w:r>
        <w:t>4</w:t>
      </w:r>
      <w:r>
        <w:fldChar w:fldCharType="end"/>
      </w:r>
      <w:r>
        <w:rPr>
          <w:color w:val="auto"/>
          <w:szCs w:val="21"/>
        </w:rPr>
        <w:fldChar w:fldCharType="end"/>
      </w:r>
    </w:p>
    <w:p>
      <w:pPr>
        <w:pStyle w:val="11"/>
        <w:tabs>
          <w:tab w:val="right" w:leader="dot" w:pos="9746"/>
          <w:tab w:val="clear" w:pos="8296"/>
        </w:tabs>
      </w:pPr>
      <w:r>
        <w:rPr>
          <w:color w:val="auto"/>
          <w:szCs w:val="21"/>
        </w:rPr>
        <w:fldChar w:fldCharType="begin"/>
      </w:r>
      <w:r>
        <w:rPr>
          <w:szCs w:val="21"/>
        </w:rPr>
        <w:instrText xml:space="preserve"> HYPERLINK \l _Toc12251 </w:instrText>
      </w:r>
      <w:r>
        <w:rPr>
          <w:szCs w:val="21"/>
        </w:rPr>
        <w:fldChar w:fldCharType="separate"/>
      </w:r>
      <w:r>
        <w:rPr>
          <w:rFonts w:hint="eastAsia" w:hAnsi="宋体" w:cs="黑体"/>
          <w:szCs w:val="21"/>
        </w:rPr>
        <w:t>5.</w:t>
      </w:r>
      <w:r>
        <w:rPr>
          <w:rFonts w:hint="eastAsia" w:hAnsi="宋体" w:cs="黑体"/>
          <w:szCs w:val="21"/>
          <w:lang w:eastAsia="zh-CN"/>
        </w:rPr>
        <w:t>基本</w:t>
      </w:r>
      <w:r>
        <w:rPr>
          <w:rFonts w:hint="eastAsia" w:hAnsi="宋体" w:cs="黑体"/>
          <w:szCs w:val="21"/>
        </w:rPr>
        <w:t>功能要求</w:t>
      </w:r>
      <w:r>
        <w:tab/>
      </w:r>
      <w:r>
        <w:fldChar w:fldCharType="begin"/>
      </w:r>
      <w:r>
        <w:instrText xml:space="preserve"> PAGEREF _Toc12251 \h </w:instrText>
      </w:r>
      <w:r>
        <w:fldChar w:fldCharType="separate"/>
      </w:r>
      <w:r>
        <w:t>4</w:t>
      </w:r>
      <w:r>
        <w:fldChar w:fldCharType="end"/>
      </w:r>
      <w:r>
        <w:rPr>
          <w:color w:val="auto"/>
          <w:szCs w:val="21"/>
        </w:rPr>
        <w:fldChar w:fldCharType="end"/>
      </w:r>
    </w:p>
    <w:p>
      <w:pPr>
        <w:pStyle w:val="11"/>
        <w:tabs>
          <w:tab w:val="right" w:leader="dot" w:pos="9746"/>
          <w:tab w:val="clear" w:pos="8296"/>
        </w:tabs>
      </w:pPr>
      <w:r>
        <w:rPr>
          <w:color w:val="auto"/>
          <w:szCs w:val="21"/>
        </w:rPr>
        <w:fldChar w:fldCharType="begin"/>
      </w:r>
      <w:r>
        <w:rPr>
          <w:szCs w:val="21"/>
        </w:rPr>
        <w:instrText xml:space="preserve"> HYPERLINK \l _Toc4466 </w:instrText>
      </w:r>
      <w:r>
        <w:rPr>
          <w:szCs w:val="21"/>
        </w:rPr>
        <w:fldChar w:fldCharType="separate"/>
      </w:r>
      <w:r>
        <w:rPr>
          <w:rFonts w:hint="eastAsia" w:hAnsi="宋体"/>
          <w:bCs/>
          <w:szCs w:val="21"/>
        </w:rPr>
        <w:t xml:space="preserve">6. </w:t>
      </w:r>
      <w:r>
        <w:rPr>
          <w:rFonts w:hint="eastAsia" w:hAnsi="宋体"/>
          <w:bCs/>
          <w:szCs w:val="21"/>
          <w:highlight w:val="none"/>
        </w:rPr>
        <w:t>主要参数和性能指标</w:t>
      </w:r>
      <w:r>
        <w:tab/>
      </w:r>
      <w:r>
        <w:fldChar w:fldCharType="begin"/>
      </w:r>
      <w:r>
        <w:instrText xml:space="preserve"> PAGEREF _Toc4466 \h </w:instrText>
      </w:r>
      <w:r>
        <w:fldChar w:fldCharType="separate"/>
      </w:r>
      <w:r>
        <w:t>5</w:t>
      </w:r>
      <w:r>
        <w:fldChar w:fldCharType="end"/>
      </w:r>
      <w:r>
        <w:rPr>
          <w:color w:val="auto"/>
          <w:szCs w:val="21"/>
        </w:rPr>
        <w:fldChar w:fldCharType="end"/>
      </w:r>
    </w:p>
    <w:p>
      <w:pPr>
        <w:pStyle w:val="11"/>
        <w:tabs>
          <w:tab w:val="right" w:leader="dot" w:pos="9746"/>
          <w:tab w:val="clear" w:pos="8296"/>
        </w:tabs>
      </w:pPr>
      <w:r>
        <w:rPr>
          <w:color w:val="auto"/>
          <w:szCs w:val="21"/>
        </w:rPr>
        <w:fldChar w:fldCharType="begin"/>
      </w:r>
      <w:r>
        <w:rPr>
          <w:szCs w:val="21"/>
        </w:rPr>
        <w:instrText xml:space="preserve"> HYPERLINK \l _Toc13961 </w:instrText>
      </w:r>
      <w:r>
        <w:rPr>
          <w:szCs w:val="21"/>
        </w:rPr>
        <w:fldChar w:fldCharType="separate"/>
      </w:r>
      <w:r>
        <w:rPr>
          <w:rFonts w:hint="eastAsia" w:hAnsi="宋体"/>
          <w:bCs/>
          <w:szCs w:val="21"/>
          <w:highlight w:val="none"/>
          <w:lang w:val="en-US" w:eastAsia="zh-CN"/>
        </w:rPr>
        <w:t>7.</w:t>
      </w:r>
      <w:r>
        <w:rPr>
          <w:rFonts w:hint="eastAsia" w:hAnsi="宋体"/>
          <w:bCs/>
          <w:szCs w:val="21"/>
          <w:highlight w:val="none"/>
          <w:lang w:eastAsia="zh-CN"/>
        </w:rPr>
        <w:t>试验</w:t>
      </w:r>
      <w:r>
        <w:tab/>
      </w:r>
      <w:r>
        <w:fldChar w:fldCharType="begin"/>
      </w:r>
      <w:r>
        <w:instrText xml:space="preserve"> PAGEREF _Toc13961 \h </w:instrText>
      </w:r>
      <w:r>
        <w:fldChar w:fldCharType="separate"/>
      </w:r>
      <w:r>
        <w:t>6</w:t>
      </w:r>
      <w:r>
        <w:fldChar w:fldCharType="end"/>
      </w:r>
      <w:r>
        <w:rPr>
          <w:color w:val="auto"/>
          <w:szCs w:val="21"/>
        </w:rPr>
        <w:fldChar w:fldCharType="end"/>
      </w:r>
    </w:p>
    <w:p>
      <w:pPr>
        <w:pStyle w:val="11"/>
        <w:tabs>
          <w:tab w:val="right" w:leader="dot" w:pos="9746"/>
          <w:tab w:val="clear" w:pos="8296"/>
        </w:tabs>
      </w:pPr>
      <w:r>
        <w:rPr>
          <w:color w:val="auto"/>
          <w:szCs w:val="21"/>
        </w:rPr>
        <w:fldChar w:fldCharType="begin"/>
      </w:r>
      <w:r>
        <w:rPr>
          <w:szCs w:val="21"/>
        </w:rPr>
        <w:instrText xml:space="preserve"> HYPERLINK \l _Toc6241 </w:instrText>
      </w:r>
      <w:r>
        <w:rPr>
          <w:szCs w:val="21"/>
        </w:rPr>
        <w:fldChar w:fldCharType="separate"/>
      </w:r>
      <w:r>
        <w:rPr>
          <w:rFonts w:hint="eastAsia"/>
          <w:szCs w:val="21"/>
          <w:lang w:val="en-US" w:eastAsia="zh-CN"/>
        </w:rPr>
        <w:t>8.</w:t>
      </w:r>
      <w:r>
        <w:rPr>
          <w:rFonts w:hint="eastAsia"/>
          <w:szCs w:val="21"/>
        </w:rPr>
        <w:t>技术文件要求</w:t>
      </w:r>
      <w:r>
        <w:tab/>
      </w:r>
      <w:r>
        <w:fldChar w:fldCharType="begin"/>
      </w:r>
      <w:r>
        <w:instrText xml:space="preserve"> PAGEREF _Toc6241 \h </w:instrText>
      </w:r>
      <w:r>
        <w:fldChar w:fldCharType="separate"/>
      </w:r>
      <w:r>
        <w:t>6</w:t>
      </w:r>
      <w:r>
        <w:fldChar w:fldCharType="end"/>
      </w:r>
      <w:r>
        <w:rPr>
          <w:color w:val="auto"/>
          <w:szCs w:val="21"/>
        </w:rPr>
        <w:fldChar w:fldCharType="end"/>
      </w:r>
    </w:p>
    <w:p>
      <w:pPr>
        <w:pStyle w:val="11"/>
        <w:tabs>
          <w:tab w:val="right" w:leader="dot" w:pos="9746"/>
          <w:tab w:val="clear" w:pos="8296"/>
        </w:tabs>
      </w:pPr>
      <w:r>
        <w:rPr>
          <w:color w:val="auto"/>
          <w:szCs w:val="21"/>
        </w:rPr>
        <w:fldChar w:fldCharType="begin"/>
      </w:r>
      <w:r>
        <w:rPr>
          <w:szCs w:val="21"/>
        </w:rPr>
        <w:instrText xml:space="preserve"> HYPERLINK \l _Toc13172 </w:instrText>
      </w:r>
      <w:r>
        <w:rPr>
          <w:szCs w:val="21"/>
        </w:rPr>
        <w:fldChar w:fldCharType="separate"/>
      </w:r>
      <w:r>
        <w:rPr>
          <w:rFonts w:hint="eastAsia"/>
          <w:szCs w:val="21"/>
          <w:lang w:val="en-US" w:eastAsia="zh-CN"/>
        </w:rPr>
        <w:t>9.验收和</w:t>
      </w:r>
      <w:r>
        <w:rPr>
          <w:rFonts w:hint="eastAsia"/>
          <w:szCs w:val="21"/>
        </w:rPr>
        <w:t>培训</w:t>
      </w:r>
      <w:r>
        <w:tab/>
      </w:r>
      <w:r>
        <w:fldChar w:fldCharType="begin"/>
      </w:r>
      <w:r>
        <w:instrText xml:space="preserve"> PAGEREF _Toc13172 \h </w:instrText>
      </w:r>
      <w:r>
        <w:fldChar w:fldCharType="separate"/>
      </w:r>
      <w:r>
        <w:t>7</w:t>
      </w:r>
      <w:r>
        <w:fldChar w:fldCharType="end"/>
      </w:r>
      <w:r>
        <w:rPr>
          <w:color w:val="auto"/>
          <w:szCs w:val="21"/>
        </w:rPr>
        <w:fldChar w:fldCharType="end"/>
      </w:r>
    </w:p>
    <w:p>
      <w:pPr>
        <w:pStyle w:val="11"/>
        <w:tabs>
          <w:tab w:val="right" w:leader="dot" w:pos="9746"/>
          <w:tab w:val="clear" w:pos="8296"/>
        </w:tabs>
      </w:pPr>
      <w:r>
        <w:rPr>
          <w:color w:val="auto"/>
          <w:szCs w:val="21"/>
        </w:rPr>
        <w:fldChar w:fldCharType="begin"/>
      </w:r>
      <w:r>
        <w:rPr>
          <w:szCs w:val="21"/>
        </w:rPr>
        <w:instrText xml:space="preserve"> HYPERLINK \l _Toc17560 </w:instrText>
      </w:r>
      <w:r>
        <w:rPr>
          <w:szCs w:val="21"/>
        </w:rPr>
        <w:fldChar w:fldCharType="separate"/>
      </w:r>
      <w:r>
        <w:rPr>
          <w:rFonts w:hint="eastAsia"/>
          <w:szCs w:val="21"/>
          <w:lang w:val="en-US" w:eastAsia="zh-CN"/>
        </w:rPr>
        <w:t>10.</w:t>
      </w:r>
      <w:r>
        <w:rPr>
          <w:rFonts w:hint="eastAsia"/>
          <w:szCs w:val="21"/>
        </w:rPr>
        <w:t>包装、运输、安装及质量保证</w:t>
      </w:r>
      <w:r>
        <w:tab/>
      </w:r>
      <w:r>
        <w:fldChar w:fldCharType="begin"/>
      </w:r>
      <w:r>
        <w:instrText xml:space="preserve"> PAGEREF _Toc17560 \h </w:instrText>
      </w:r>
      <w:r>
        <w:fldChar w:fldCharType="separate"/>
      </w:r>
      <w:r>
        <w:t>7</w:t>
      </w:r>
      <w:r>
        <w:fldChar w:fldCharType="end"/>
      </w:r>
      <w:r>
        <w:rPr>
          <w:color w:val="auto"/>
          <w:szCs w:val="21"/>
        </w:rPr>
        <w:fldChar w:fldCharType="end"/>
      </w:r>
    </w:p>
    <w:p>
      <w:pPr>
        <w:pStyle w:val="11"/>
        <w:tabs>
          <w:tab w:val="right" w:leader="dot" w:pos="9746"/>
          <w:tab w:val="clear" w:pos="8296"/>
        </w:tabs>
      </w:pPr>
      <w:r>
        <w:rPr>
          <w:color w:val="auto"/>
          <w:szCs w:val="21"/>
        </w:rPr>
        <w:fldChar w:fldCharType="begin"/>
      </w:r>
      <w:r>
        <w:rPr>
          <w:szCs w:val="21"/>
        </w:rPr>
        <w:instrText xml:space="preserve"> HYPERLINK \l _Toc15746 </w:instrText>
      </w:r>
      <w:r>
        <w:rPr>
          <w:szCs w:val="21"/>
        </w:rPr>
        <w:fldChar w:fldCharType="separate"/>
      </w:r>
      <w:r>
        <w:rPr>
          <w:rFonts w:hint="eastAsia"/>
          <w:szCs w:val="21"/>
          <w:lang w:val="en-US" w:eastAsia="zh-CN"/>
        </w:rPr>
        <w:t>11.供货范围</w:t>
      </w:r>
      <w:r>
        <w:tab/>
      </w:r>
      <w:r>
        <w:fldChar w:fldCharType="begin"/>
      </w:r>
      <w:r>
        <w:instrText xml:space="preserve"> PAGEREF _Toc15746 \h </w:instrText>
      </w:r>
      <w:r>
        <w:fldChar w:fldCharType="separate"/>
      </w:r>
      <w:r>
        <w:t>8</w:t>
      </w:r>
      <w:r>
        <w:fldChar w:fldCharType="end"/>
      </w:r>
      <w:r>
        <w:rPr>
          <w:color w:val="auto"/>
          <w:szCs w:val="21"/>
        </w:rPr>
        <w:fldChar w:fldCharType="end"/>
      </w:r>
    </w:p>
    <w:p>
      <w:pPr>
        <w:rPr>
          <w:rFonts w:hint="eastAsia"/>
          <w:color w:val="auto"/>
        </w:rPr>
      </w:pPr>
      <w:r>
        <w:rPr>
          <w:color w:val="auto"/>
          <w:szCs w:val="21"/>
        </w:rPr>
        <w:fldChar w:fldCharType="end"/>
      </w:r>
    </w:p>
    <w:p>
      <w:pPr>
        <w:rPr>
          <w:color w:val="auto"/>
        </w:rPr>
      </w:pPr>
    </w:p>
    <w:p>
      <w:pPr>
        <w:rPr>
          <w:color w:val="auto"/>
        </w:rPr>
      </w:pPr>
    </w:p>
    <w:p>
      <w:pPr>
        <w:rPr>
          <w:color w:val="auto"/>
        </w:rPr>
      </w:pPr>
    </w:p>
    <w:p>
      <w:pPr>
        <w:rPr>
          <w:color w:val="auto"/>
        </w:rPr>
      </w:pPr>
    </w:p>
    <w:p>
      <w:pPr>
        <w:tabs>
          <w:tab w:val="left" w:pos="1830"/>
        </w:tabs>
        <w:rPr>
          <w:color w:val="auto"/>
        </w:rPr>
      </w:pPr>
      <w:r>
        <w:rPr>
          <w:color w:val="auto"/>
        </w:rPr>
        <w:tab/>
      </w:r>
    </w:p>
    <w:p>
      <w:pPr>
        <w:rPr>
          <w:color w:val="auto"/>
        </w:rPr>
      </w:pPr>
    </w:p>
    <w:p>
      <w:pPr>
        <w:rPr>
          <w:color w:val="auto"/>
        </w:rPr>
        <w:sectPr>
          <w:footerReference r:id="rId3" w:type="default"/>
          <w:footerReference r:id="rId4" w:type="even"/>
          <w:pgSz w:w="11906" w:h="16838"/>
          <w:pgMar w:top="1440" w:right="1080" w:bottom="1440" w:left="1080" w:header="851" w:footer="992" w:gutter="0"/>
          <w:cols w:space="720" w:num="1"/>
          <w:docGrid w:type="lines" w:linePitch="326" w:charSpace="0"/>
        </w:sectPr>
      </w:pPr>
    </w:p>
    <w:p>
      <w:pPr>
        <w:pStyle w:val="3"/>
        <w:keepNext w:val="0"/>
        <w:keepLines w:val="0"/>
        <w:numPr>
          <w:ilvl w:val="0"/>
          <w:numId w:val="0"/>
        </w:numPr>
        <w:snapToGrid w:val="0"/>
        <w:spacing w:line="324" w:lineRule="auto"/>
        <w:ind w:leftChars="0"/>
        <w:rPr>
          <w:rFonts w:hint="eastAsia"/>
          <w:b/>
          <w:bCs/>
          <w:sz w:val="21"/>
          <w:szCs w:val="21"/>
          <w:highlight w:val="none"/>
        </w:rPr>
      </w:pPr>
      <w:bookmarkStart w:id="0" w:name="_Toc2042"/>
      <w:r>
        <w:rPr>
          <w:rFonts w:hint="eastAsia"/>
          <w:b/>
          <w:bCs/>
          <w:sz w:val="21"/>
          <w:szCs w:val="21"/>
          <w:highlight w:val="none"/>
          <w:lang w:val="en-US" w:eastAsia="zh-CN"/>
        </w:rPr>
        <w:t>1.</w:t>
      </w:r>
      <w:r>
        <w:rPr>
          <w:rFonts w:hint="eastAsia"/>
          <w:b/>
          <w:bCs/>
          <w:sz w:val="21"/>
          <w:szCs w:val="21"/>
          <w:highlight w:val="none"/>
        </w:rPr>
        <w:t>总则</w:t>
      </w:r>
      <w:bookmarkEnd w:id="0"/>
    </w:p>
    <w:p>
      <w:pPr>
        <w:spacing w:line="360" w:lineRule="auto"/>
        <w:rPr>
          <w:rFonts w:hint="eastAsia"/>
          <w:b w:val="0"/>
          <w:color w:val="auto"/>
          <w:sz w:val="21"/>
          <w:szCs w:val="21"/>
        </w:rPr>
      </w:pPr>
      <w:r>
        <w:rPr>
          <w:rFonts w:hint="eastAsia" w:hAnsi="Arial"/>
          <w:b w:val="0"/>
          <w:bCs w:val="0"/>
          <w:color w:val="auto"/>
          <w:sz w:val="21"/>
          <w:szCs w:val="21"/>
        </w:rPr>
        <w:t>1.1本招标技术文件适用于</w:t>
      </w:r>
      <w:r>
        <w:rPr>
          <w:rFonts w:hint="eastAsia" w:hAnsi="Arial"/>
          <w:b w:val="0"/>
          <w:bCs w:val="0"/>
          <w:color w:val="auto"/>
          <w:sz w:val="21"/>
          <w:szCs w:val="21"/>
          <w:lang w:eastAsia="zh-CN"/>
        </w:rPr>
        <w:t>变压器容量测试仪</w:t>
      </w:r>
      <w:r>
        <w:rPr>
          <w:rFonts w:hint="eastAsia" w:ascii="宋体" w:hAnsi="宋体"/>
          <w:sz w:val="24"/>
        </w:rPr>
        <w:t>的订货及验收的技术要求。</w:t>
      </w:r>
    </w:p>
    <w:p>
      <w:pPr>
        <w:pStyle w:val="4"/>
        <w:keepNext w:val="0"/>
        <w:keepLines w:val="0"/>
        <w:numPr>
          <w:ilvl w:val="0"/>
          <w:numId w:val="0"/>
        </w:numPr>
        <w:snapToGrid w:val="0"/>
        <w:spacing w:line="324" w:lineRule="auto"/>
        <w:rPr>
          <w:b w:val="0"/>
          <w:color w:val="auto"/>
          <w:sz w:val="21"/>
          <w:szCs w:val="21"/>
        </w:rPr>
      </w:pPr>
      <w:r>
        <w:rPr>
          <w:rFonts w:hint="eastAsia"/>
          <w:b w:val="0"/>
          <w:color w:val="auto"/>
          <w:sz w:val="21"/>
          <w:szCs w:val="21"/>
        </w:rPr>
        <w:t>1.2本招标技术文件提出的是最低限度的技术要求。凡本招标技术文件中未规定，但在相关设备的行业标准、国家标准或</w:t>
      </w:r>
      <w:r>
        <w:rPr>
          <w:b w:val="0"/>
          <w:color w:val="auto"/>
          <w:sz w:val="21"/>
          <w:szCs w:val="21"/>
        </w:rPr>
        <w:t>IEC</w:t>
      </w:r>
      <w:r>
        <w:rPr>
          <w:rFonts w:hint="eastAsia"/>
          <w:b w:val="0"/>
          <w:color w:val="auto"/>
          <w:sz w:val="21"/>
          <w:szCs w:val="21"/>
        </w:rPr>
        <w:t>标准中有规定的规范条文，</w:t>
      </w:r>
      <w:r>
        <w:rPr>
          <w:rFonts w:hint="eastAsia"/>
          <w:b w:val="0"/>
          <w:color w:val="auto"/>
          <w:sz w:val="21"/>
          <w:szCs w:val="21"/>
          <w:lang w:eastAsia="zh-CN"/>
        </w:rPr>
        <w:t>供方</w:t>
      </w:r>
      <w:r>
        <w:rPr>
          <w:rFonts w:hint="eastAsia"/>
          <w:b w:val="0"/>
          <w:color w:val="auto"/>
          <w:sz w:val="21"/>
          <w:szCs w:val="21"/>
        </w:rPr>
        <w:t>应按相应标准的条文进行设备设计、制造、试验和安装。对国家有关安全、环保等强制性标准，必须满足其要求。</w:t>
      </w:r>
    </w:p>
    <w:p>
      <w:pPr>
        <w:pStyle w:val="4"/>
        <w:keepNext w:val="0"/>
        <w:keepLines w:val="0"/>
        <w:numPr>
          <w:ilvl w:val="0"/>
          <w:numId w:val="0"/>
        </w:numPr>
        <w:snapToGrid w:val="0"/>
        <w:spacing w:line="324" w:lineRule="auto"/>
        <w:rPr>
          <w:b w:val="0"/>
          <w:color w:val="auto"/>
          <w:sz w:val="21"/>
          <w:szCs w:val="21"/>
        </w:rPr>
      </w:pPr>
      <w:r>
        <w:rPr>
          <w:rFonts w:hint="eastAsia"/>
          <w:b w:val="0"/>
          <w:color w:val="auto"/>
          <w:sz w:val="21"/>
          <w:szCs w:val="21"/>
        </w:rPr>
        <w:t>1.3如果</w:t>
      </w:r>
      <w:r>
        <w:rPr>
          <w:rFonts w:hint="eastAsia"/>
          <w:b w:val="0"/>
          <w:color w:val="auto"/>
          <w:sz w:val="21"/>
          <w:szCs w:val="21"/>
          <w:lang w:eastAsia="zh-CN"/>
        </w:rPr>
        <w:t>供方</w:t>
      </w:r>
      <w:r>
        <w:rPr>
          <w:rFonts w:hint="eastAsia"/>
          <w:b w:val="0"/>
          <w:color w:val="auto"/>
          <w:sz w:val="21"/>
          <w:szCs w:val="21"/>
        </w:rPr>
        <w:t>没有以书面形式对本招标技术文件的条文提出异议，则意味着</w:t>
      </w:r>
      <w:r>
        <w:rPr>
          <w:rFonts w:hint="eastAsia"/>
          <w:b w:val="0"/>
          <w:color w:val="auto"/>
          <w:sz w:val="21"/>
          <w:szCs w:val="21"/>
          <w:lang w:eastAsia="zh-CN"/>
        </w:rPr>
        <w:t>供方</w:t>
      </w:r>
      <w:r>
        <w:rPr>
          <w:rFonts w:hint="eastAsia"/>
          <w:b w:val="0"/>
          <w:color w:val="auto"/>
          <w:sz w:val="21"/>
          <w:szCs w:val="21"/>
        </w:rPr>
        <w:t>提供的设备完全符合本招标技术文件的要求。如有异议，不管是多么微小，都应在报价书中以“对招标技术文件的意见和同招标技术文件的差异”为标题的专门章节中加以详细描述。</w:t>
      </w:r>
    </w:p>
    <w:p>
      <w:pPr>
        <w:pStyle w:val="4"/>
        <w:keepNext w:val="0"/>
        <w:keepLines w:val="0"/>
        <w:numPr>
          <w:ilvl w:val="0"/>
          <w:numId w:val="0"/>
        </w:numPr>
        <w:snapToGrid w:val="0"/>
        <w:spacing w:line="324" w:lineRule="auto"/>
        <w:rPr>
          <w:b w:val="0"/>
          <w:color w:val="auto"/>
          <w:sz w:val="21"/>
          <w:szCs w:val="21"/>
        </w:rPr>
      </w:pPr>
      <w:r>
        <w:rPr>
          <w:rFonts w:hint="eastAsia"/>
          <w:b w:val="0"/>
          <w:color w:val="auto"/>
          <w:sz w:val="21"/>
          <w:szCs w:val="21"/>
        </w:rPr>
        <w:t>1.4本招标技术文件所使用的标准如遇与</w:t>
      </w:r>
      <w:r>
        <w:rPr>
          <w:rFonts w:hint="eastAsia"/>
          <w:b w:val="0"/>
          <w:color w:val="auto"/>
          <w:sz w:val="21"/>
          <w:szCs w:val="21"/>
          <w:lang w:eastAsia="zh-CN"/>
        </w:rPr>
        <w:t>供方</w:t>
      </w:r>
      <w:r>
        <w:rPr>
          <w:rFonts w:hint="eastAsia"/>
          <w:b w:val="0"/>
          <w:color w:val="auto"/>
          <w:sz w:val="21"/>
          <w:szCs w:val="21"/>
        </w:rPr>
        <w:t>所执行的标准不一致时</w:t>
      </w:r>
      <w:r>
        <w:rPr>
          <w:b w:val="0"/>
          <w:color w:val="auto"/>
          <w:sz w:val="21"/>
          <w:szCs w:val="21"/>
        </w:rPr>
        <w:t xml:space="preserve">, </w:t>
      </w:r>
      <w:r>
        <w:rPr>
          <w:rFonts w:hint="eastAsia"/>
          <w:b w:val="0"/>
          <w:color w:val="auto"/>
          <w:sz w:val="21"/>
          <w:szCs w:val="21"/>
        </w:rPr>
        <w:t>按较高标准执行。</w:t>
      </w:r>
    </w:p>
    <w:p>
      <w:pPr>
        <w:pStyle w:val="4"/>
        <w:keepNext w:val="0"/>
        <w:keepLines w:val="0"/>
        <w:numPr>
          <w:ilvl w:val="0"/>
          <w:numId w:val="0"/>
        </w:numPr>
        <w:snapToGrid w:val="0"/>
        <w:spacing w:line="324" w:lineRule="auto"/>
        <w:rPr>
          <w:b w:val="0"/>
          <w:color w:val="auto"/>
          <w:sz w:val="21"/>
          <w:szCs w:val="21"/>
        </w:rPr>
      </w:pPr>
      <w:r>
        <w:rPr>
          <w:rFonts w:hint="eastAsia"/>
          <w:b w:val="0"/>
          <w:color w:val="auto"/>
          <w:sz w:val="21"/>
          <w:szCs w:val="21"/>
        </w:rPr>
        <w:t>1.5本招标技术文件经买、卖双方确认后作为订货合同的技术附件，与合同正文具有同等法律效力。</w:t>
      </w:r>
    </w:p>
    <w:p>
      <w:pPr>
        <w:pStyle w:val="4"/>
        <w:keepNext w:val="0"/>
        <w:keepLines w:val="0"/>
        <w:numPr>
          <w:ilvl w:val="0"/>
          <w:numId w:val="0"/>
        </w:numPr>
        <w:snapToGrid w:val="0"/>
        <w:spacing w:line="324" w:lineRule="auto"/>
        <w:rPr>
          <w:rFonts w:hint="eastAsia"/>
          <w:b w:val="0"/>
          <w:color w:val="auto"/>
          <w:sz w:val="21"/>
          <w:szCs w:val="21"/>
        </w:rPr>
      </w:pPr>
      <w:r>
        <w:rPr>
          <w:rFonts w:hint="eastAsia"/>
          <w:b w:val="0"/>
          <w:color w:val="auto"/>
          <w:sz w:val="21"/>
          <w:szCs w:val="21"/>
        </w:rPr>
        <w:t>1.8供方须执行现行国家标准和行业标准。</w:t>
      </w:r>
    </w:p>
    <w:p>
      <w:pPr>
        <w:pStyle w:val="4"/>
        <w:keepNext w:val="0"/>
        <w:keepLines w:val="0"/>
        <w:numPr>
          <w:ilvl w:val="0"/>
          <w:numId w:val="0"/>
        </w:numPr>
        <w:snapToGrid w:val="0"/>
        <w:spacing w:line="324" w:lineRule="auto"/>
        <w:rPr>
          <w:rFonts w:hint="eastAsia"/>
          <w:b w:val="0"/>
          <w:color w:val="auto"/>
          <w:sz w:val="21"/>
          <w:szCs w:val="21"/>
        </w:rPr>
      </w:pPr>
      <w:r>
        <w:rPr>
          <w:rFonts w:hint="eastAsia"/>
          <w:b w:val="0"/>
          <w:color w:val="auto"/>
          <w:sz w:val="21"/>
          <w:szCs w:val="21"/>
        </w:rPr>
        <w:t>1.9本技术</w:t>
      </w:r>
      <w:r>
        <w:rPr>
          <w:rFonts w:hint="eastAsia"/>
          <w:b w:val="0"/>
          <w:color w:val="auto"/>
          <w:sz w:val="21"/>
          <w:szCs w:val="21"/>
          <w:lang w:eastAsia="zh-CN"/>
        </w:rPr>
        <w:t>规范书</w:t>
      </w:r>
      <w:r>
        <w:rPr>
          <w:rFonts w:hint="eastAsia"/>
          <w:b w:val="0"/>
          <w:color w:val="auto"/>
          <w:sz w:val="21"/>
          <w:szCs w:val="21"/>
        </w:rPr>
        <w:t>未尽事宜</w:t>
      </w:r>
      <w:r>
        <w:rPr>
          <w:b w:val="0"/>
          <w:color w:val="auto"/>
          <w:sz w:val="21"/>
          <w:szCs w:val="21"/>
        </w:rPr>
        <w:t xml:space="preserve">, </w:t>
      </w:r>
      <w:r>
        <w:rPr>
          <w:rFonts w:hint="eastAsia"/>
          <w:b w:val="0"/>
          <w:color w:val="auto"/>
          <w:sz w:val="21"/>
          <w:szCs w:val="21"/>
        </w:rPr>
        <w:t>由需供双方协商确定。</w:t>
      </w:r>
    </w:p>
    <w:p>
      <w:pPr>
        <w:pStyle w:val="19"/>
        <w:numPr>
          <w:ilvl w:val="0"/>
          <w:numId w:val="0"/>
        </w:numPr>
        <w:snapToGrid w:val="0"/>
        <w:spacing w:line="324" w:lineRule="auto"/>
        <w:rPr>
          <w:rFonts w:hint="eastAsia"/>
          <w:color w:val="auto"/>
          <w:sz w:val="21"/>
          <w:szCs w:val="21"/>
        </w:rPr>
      </w:pPr>
    </w:p>
    <w:p>
      <w:pPr>
        <w:pStyle w:val="3"/>
        <w:keepNext w:val="0"/>
        <w:keepLines w:val="0"/>
        <w:numPr>
          <w:ilvl w:val="0"/>
          <w:numId w:val="0"/>
        </w:numPr>
        <w:snapToGrid w:val="0"/>
        <w:spacing w:line="324" w:lineRule="auto"/>
        <w:ind w:leftChars="0"/>
        <w:rPr>
          <w:rFonts w:hint="eastAsia"/>
          <w:color w:val="auto"/>
          <w:sz w:val="21"/>
          <w:szCs w:val="21"/>
        </w:rPr>
      </w:pPr>
      <w:bookmarkStart w:id="1" w:name="_Toc399"/>
      <w:r>
        <w:rPr>
          <w:rFonts w:hint="eastAsia"/>
          <w:color w:val="auto"/>
          <w:sz w:val="21"/>
          <w:szCs w:val="21"/>
          <w:lang w:val="en-US" w:eastAsia="zh-CN"/>
        </w:rPr>
        <w:t>2.</w:t>
      </w:r>
      <w:r>
        <w:rPr>
          <w:rFonts w:hint="eastAsia"/>
          <w:color w:val="auto"/>
          <w:sz w:val="21"/>
          <w:szCs w:val="21"/>
        </w:rPr>
        <w:t>引用标准</w:t>
      </w:r>
      <w:bookmarkEnd w:id="1"/>
    </w:p>
    <w:tbl>
      <w:tblPr>
        <w:tblStyle w:val="14"/>
        <w:tblW w:w="974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2233"/>
        <w:gridCol w:w="750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55" w:hRule="atLeast"/>
        </w:trPr>
        <w:tc>
          <w:tcPr>
            <w:tcW w:w="2233" w:type="dxa"/>
            <w:noWrap w:val="0"/>
            <w:vAlign w:val="top"/>
          </w:tcPr>
          <w:p>
            <w:pPr>
              <w:snapToGrid w:val="0"/>
              <w:spacing w:line="324" w:lineRule="auto"/>
              <w:jc w:val="center"/>
              <w:rPr>
                <w:rFonts w:hint="eastAsia"/>
                <w:color w:val="auto"/>
                <w:sz w:val="21"/>
                <w:szCs w:val="21"/>
              </w:rPr>
            </w:pPr>
            <w:r>
              <w:rPr>
                <w:rFonts w:hint="eastAsia"/>
                <w:color w:val="auto"/>
                <w:sz w:val="21"/>
                <w:szCs w:val="21"/>
              </w:rPr>
              <w:t>标准号</w:t>
            </w:r>
          </w:p>
        </w:tc>
        <w:tc>
          <w:tcPr>
            <w:tcW w:w="7507" w:type="dxa"/>
            <w:noWrap w:val="0"/>
            <w:vAlign w:val="top"/>
          </w:tcPr>
          <w:p>
            <w:pPr>
              <w:snapToGrid w:val="0"/>
              <w:spacing w:line="324" w:lineRule="auto"/>
              <w:jc w:val="center"/>
              <w:rPr>
                <w:rFonts w:hint="eastAsia"/>
                <w:color w:val="auto"/>
                <w:sz w:val="21"/>
                <w:szCs w:val="21"/>
              </w:rPr>
            </w:pPr>
            <w:r>
              <w:rPr>
                <w:rFonts w:hint="eastAsia"/>
                <w:color w:val="auto"/>
                <w:sz w:val="21"/>
                <w:szCs w:val="21"/>
              </w:rPr>
              <w:t>标准名称</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70" w:hRule="atLeast"/>
        </w:trPr>
        <w:tc>
          <w:tcPr>
            <w:tcW w:w="2233" w:type="dxa"/>
            <w:noWrap w:val="0"/>
            <w:vAlign w:val="top"/>
          </w:tcPr>
          <w:p>
            <w:pPr>
              <w:rPr>
                <w:rFonts w:hAnsi="宋体" w:cs="Arial"/>
                <w:color w:val="auto"/>
                <w:sz w:val="21"/>
                <w:szCs w:val="21"/>
              </w:rPr>
            </w:pPr>
            <w:r>
              <w:rPr>
                <w:rFonts w:hint="eastAsia" w:ascii="宋体" w:eastAsia="宋体" w:cs="Times New Roman"/>
                <w:bCs/>
                <w:color w:val="auto"/>
                <w:kern w:val="0"/>
                <w:sz w:val="21"/>
                <w:szCs w:val="21"/>
                <w:lang w:val="en-US" w:eastAsia="zh-CN"/>
              </w:rPr>
              <w:t>GB/T 1094.1-2013</w:t>
            </w:r>
          </w:p>
        </w:tc>
        <w:tc>
          <w:tcPr>
            <w:tcW w:w="7507" w:type="dxa"/>
            <w:noWrap w:val="0"/>
            <w:vAlign w:val="top"/>
          </w:tcPr>
          <w:p>
            <w:pPr>
              <w:rPr>
                <w:rFonts w:hAnsi="宋体" w:cs="Arial"/>
                <w:color w:val="auto"/>
                <w:sz w:val="21"/>
                <w:szCs w:val="21"/>
              </w:rPr>
            </w:pPr>
            <w:r>
              <w:rPr>
                <w:color w:val="auto"/>
                <w:sz w:val="21"/>
                <w:szCs w:val="21"/>
              </w:rPr>
              <w:t>电力变压器 第1部分：总则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70" w:hRule="atLeast"/>
        </w:trPr>
        <w:tc>
          <w:tcPr>
            <w:tcW w:w="2233" w:type="dxa"/>
            <w:noWrap w:val="0"/>
            <w:vAlign w:val="top"/>
          </w:tcPr>
          <w:p>
            <w:pPr>
              <w:rPr>
                <w:rFonts w:hint="eastAsia"/>
                <w:color w:val="auto"/>
                <w:sz w:val="21"/>
                <w:szCs w:val="21"/>
              </w:rPr>
            </w:pPr>
            <w:r>
              <w:rPr>
                <w:rFonts w:hint="eastAsia"/>
                <w:color w:val="auto"/>
                <w:sz w:val="21"/>
                <w:szCs w:val="21"/>
              </w:rPr>
              <w:t>GB/T 1094.12-2013</w:t>
            </w:r>
          </w:p>
        </w:tc>
        <w:tc>
          <w:tcPr>
            <w:tcW w:w="7507" w:type="dxa"/>
            <w:noWrap w:val="0"/>
            <w:vAlign w:val="top"/>
          </w:tcPr>
          <w:p>
            <w:pPr>
              <w:rPr>
                <w:color w:val="auto"/>
                <w:sz w:val="21"/>
                <w:szCs w:val="21"/>
              </w:rPr>
            </w:pPr>
            <w:r>
              <w:rPr>
                <w:rFonts w:hint="eastAsia"/>
                <w:color w:val="auto"/>
                <w:sz w:val="21"/>
                <w:szCs w:val="21"/>
              </w:rPr>
              <w:t>电力变压器 第12部分：干式电力变压器负载导则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70" w:hRule="atLeast"/>
        </w:trPr>
        <w:tc>
          <w:tcPr>
            <w:tcW w:w="2233" w:type="dxa"/>
            <w:noWrap w:val="0"/>
            <w:vAlign w:val="top"/>
          </w:tcPr>
          <w:p>
            <w:pPr>
              <w:rPr>
                <w:rFonts w:hint="eastAsia"/>
                <w:color w:val="auto"/>
                <w:sz w:val="21"/>
                <w:szCs w:val="21"/>
              </w:rPr>
            </w:pPr>
            <w:r>
              <w:rPr>
                <w:rFonts w:hint="eastAsia"/>
                <w:color w:val="auto"/>
                <w:sz w:val="21"/>
                <w:szCs w:val="21"/>
              </w:rPr>
              <w:t>GB/T 1094.7-2008</w:t>
            </w:r>
          </w:p>
        </w:tc>
        <w:tc>
          <w:tcPr>
            <w:tcW w:w="7507" w:type="dxa"/>
            <w:noWrap w:val="0"/>
            <w:vAlign w:val="top"/>
          </w:tcPr>
          <w:p>
            <w:pPr>
              <w:rPr>
                <w:rFonts w:hint="eastAsia"/>
                <w:color w:val="auto"/>
                <w:sz w:val="21"/>
                <w:szCs w:val="21"/>
              </w:rPr>
            </w:pPr>
            <w:r>
              <w:rPr>
                <w:color w:val="auto"/>
                <w:sz w:val="21"/>
                <w:szCs w:val="21"/>
              </w:rPr>
              <w:t>电力变压器 第7部分：油浸式电力变压器负载导则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70" w:hRule="atLeast"/>
        </w:trPr>
        <w:tc>
          <w:tcPr>
            <w:tcW w:w="2233" w:type="dxa"/>
            <w:noWrap w:val="0"/>
            <w:vAlign w:val="top"/>
          </w:tcPr>
          <w:p>
            <w:pPr>
              <w:rPr>
                <w:rFonts w:hint="eastAsia" w:ascii="宋体" w:hAnsi="Times New Roman"/>
                <w:color w:val="auto"/>
                <w:sz w:val="21"/>
                <w:szCs w:val="21"/>
              </w:rPr>
            </w:pPr>
            <w:r>
              <w:rPr>
                <w:rFonts w:hint="eastAsia" w:ascii="宋体" w:hAnsi="Times New Roman"/>
                <w:color w:val="auto"/>
                <w:sz w:val="21"/>
                <w:szCs w:val="21"/>
                <w:lang w:val="en-US" w:eastAsia="zh-CN"/>
              </w:rPr>
              <w:t>DL/T 1256</w:t>
            </w:r>
          </w:p>
        </w:tc>
        <w:tc>
          <w:tcPr>
            <w:tcW w:w="7507" w:type="dxa"/>
            <w:noWrap w:val="0"/>
            <w:vAlign w:val="top"/>
          </w:tcPr>
          <w:p>
            <w:pPr>
              <w:rPr>
                <w:rFonts w:hint="eastAsia" w:ascii="宋体" w:hAnsi="Times New Roman"/>
                <w:color w:val="auto"/>
                <w:sz w:val="21"/>
                <w:szCs w:val="21"/>
              </w:rPr>
            </w:pPr>
            <w:r>
              <w:rPr>
                <w:rFonts w:hint="eastAsia" w:ascii="宋体" w:hAnsi="Times New Roman"/>
                <w:color w:val="auto"/>
                <w:sz w:val="21"/>
                <w:szCs w:val="21"/>
                <w:lang w:val="en-US" w:eastAsia="zh-CN"/>
              </w:rPr>
              <w:t>变压器空、负载损耗测试仪通用技术条件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70" w:hRule="atLeast"/>
        </w:trPr>
        <w:tc>
          <w:tcPr>
            <w:tcW w:w="2233" w:type="dxa"/>
            <w:noWrap w:val="0"/>
            <w:vAlign w:val="top"/>
          </w:tcPr>
          <w:p>
            <w:pPr>
              <w:rPr>
                <w:rFonts w:hint="eastAsia" w:ascii="宋体" w:hAnsi="Times New Roman"/>
                <w:color w:val="auto"/>
                <w:sz w:val="21"/>
                <w:szCs w:val="21"/>
              </w:rPr>
            </w:pPr>
            <w:r>
              <w:rPr>
                <w:rFonts w:ascii="宋体" w:hAnsi="Times New Roman"/>
                <w:color w:val="auto"/>
                <w:sz w:val="21"/>
                <w:szCs w:val="21"/>
              </w:rPr>
              <w:t>GB 4793.1</w:t>
            </w:r>
          </w:p>
        </w:tc>
        <w:tc>
          <w:tcPr>
            <w:tcW w:w="7507" w:type="dxa"/>
            <w:noWrap w:val="0"/>
            <w:vAlign w:val="top"/>
          </w:tcPr>
          <w:p>
            <w:pPr>
              <w:rPr>
                <w:rFonts w:hint="eastAsia" w:ascii="宋体" w:hAnsi="Times New Roman"/>
                <w:color w:val="auto"/>
                <w:sz w:val="21"/>
                <w:szCs w:val="21"/>
              </w:rPr>
            </w:pPr>
            <w:r>
              <w:rPr>
                <w:rFonts w:ascii="宋体" w:hAnsi="Times New Roman"/>
                <w:color w:val="auto"/>
                <w:sz w:val="21"/>
                <w:szCs w:val="21"/>
              </w:rPr>
              <w:t>测量控制和试验室用电气设备的安全要求 第一部分：通用要求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70" w:hRule="atLeast"/>
        </w:trPr>
        <w:tc>
          <w:tcPr>
            <w:tcW w:w="2233" w:type="dxa"/>
            <w:noWrap w:val="0"/>
            <w:vAlign w:val="top"/>
          </w:tcPr>
          <w:p>
            <w:pPr>
              <w:rPr>
                <w:rFonts w:hint="eastAsia" w:ascii="宋体" w:hAnsi="Times New Roman"/>
                <w:color w:val="auto"/>
                <w:sz w:val="21"/>
                <w:szCs w:val="21"/>
                <w:lang w:val="en-US" w:eastAsia="zh-CN"/>
              </w:rPr>
            </w:pPr>
            <w:r>
              <w:rPr>
                <w:rFonts w:ascii="宋体" w:hAnsi="Times New Roman"/>
                <w:color w:val="auto"/>
                <w:sz w:val="21"/>
                <w:szCs w:val="21"/>
              </w:rPr>
              <w:t>GB/T 6587-2012</w:t>
            </w:r>
          </w:p>
        </w:tc>
        <w:tc>
          <w:tcPr>
            <w:tcW w:w="7507" w:type="dxa"/>
            <w:noWrap w:val="0"/>
            <w:vAlign w:val="top"/>
          </w:tcPr>
          <w:p>
            <w:pPr>
              <w:rPr>
                <w:rFonts w:hint="eastAsia" w:ascii="宋体" w:hAnsi="Times New Roman"/>
                <w:color w:val="auto"/>
                <w:sz w:val="21"/>
                <w:szCs w:val="21"/>
              </w:rPr>
            </w:pPr>
            <w:r>
              <w:rPr>
                <w:rFonts w:hint="default" w:ascii="宋体" w:hAnsi="Times New Roman"/>
                <w:color w:val="auto"/>
                <w:sz w:val="21"/>
                <w:szCs w:val="21"/>
              </w:rPr>
              <w:t>电子测量仪器通用规范</w:t>
            </w:r>
            <w:r>
              <w:rPr>
                <w:rFonts w:hint="eastAsia" w:ascii="宋体" w:hAnsi="Times New Roman"/>
                <w:color w:val="auto"/>
                <w:sz w:val="21"/>
                <w:szCs w:val="21"/>
                <w:lang w:val="en-US" w:eastAsia="zh-CN"/>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70" w:hRule="atLeast"/>
        </w:trPr>
        <w:tc>
          <w:tcPr>
            <w:tcW w:w="2233" w:type="dxa"/>
            <w:noWrap w:val="0"/>
            <w:vAlign w:val="top"/>
          </w:tcPr>
          <w:p>
            <w:pPr>
              <w:rPr>
                <w:rFonts w:ascii="宋体" w:hAnsi="Times New Roman"/>
                <w:color w:val="auto"/>
                <w:sz w:val="21"/>
                <w:szCs w:val="21"/>
              </w:rPr>
            </w:pPr>
            <w:r>
              <w:rPr>
                <w:rFonts w:ascii="宋体" w:hAnsi="Times New Roman"/>
                <w:color w:val="auto"/>
                <w:sz w:val="21"/>
                <w:szCs w:val="21"/>
              </w:rPr>
              <w:t>GB/T 6592</w:t>
            </w:r>
          </w:p>
        </w:tc>
        <w:tc>
          <w:tcPr>
            <w:tcW w:w="7507" w:type="dxa"/>
            <w:noWrap w:val="0"/>
            <w:vAlign w:val="top"/>
          </w:tcPr>
          <w:p>
            <w:pPr>
              <w:rPr>
                <w:rFonts w:ascii="宋体" w:hAnsi="Times New Roman"/>
                <w:color w:val="auto"/>
                <w:sz w:val="21"/>
                <w:szCs w:val="21"/>
              </w:rPr>
            </w:pPr>
            <w:r>
              <w:rPr>
                <w:rFonts w:hint="eastAsia" w:ascii="宋体" w:hAnsi="Times New Roman"/>
                <w:color w:val="auto"/>
                <w:sz w:val="21"/>
                <w:szCs w:val="21"/>
              </w:rPr>
              <w:t>电工和电子测量设备性能表示</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70" w:hRule="atLeast"/>
        </w:trPr>
        <w:tc>
          <w:tcPr>
            <w:tcW w:w="2233" w:type="dxa"/>
            <w:noWrap w:val="0"/>
            <w:vAlign w:val="top"/>
          </w:tcPr>
          <w:p>
            <w:pPr>
              <w:rPr>
                <w:rFonts w:ascii="宋体" w:hAnsi="Times New Roman"/>
                <w:color w:val="auto"/>
                <w:sz w:val="21"/>
                <w:szCs w:val="21"/>
              </w:rPr>
            </w:pPr>
            <w:r>
              <w:rPr>
                <w:rFonts w:hint="eastAsia" w:ascii="宋体" w:hAnsi="Times New Roman"/>
                <w:color w:val="auto"/>
                <w:sz w:val="21"/>
                <w:szCs w:val="21"/>
              </w:rPr>
              <w:t xml:space="preserve">GB/T 6593 </w:t>
            </w:r>
          </w:p>
        </w:tc>
        <w:tc>
          <w:tcPr>
            <w:tcW w:w="7507" w:type="dxa"/>
            <w:noWrap w:val="0"/>
            <w:vAlign w:val="top"/>
          </w:tcPr>
          <w:p>
            <w:pPr>
              <w:rPr>
                <w:rFonts w:hint="eastAsia" w:ascii="宋体" w:hAnsi="Times New Roman"/>
                <w:color w:val="auto"/>
                <w:sz w:val="21"/>
                <w:szCs w:val="21"/>
              </w:rPr>
            </w:pPr>
            <w:r>
              <w:rPr>
                <w:rFonts w:hint="eastAsia" w:ascii="宋体" w:hAnsi="Times New Roman"/>
                <w:color w:val="auto"/>
                <w:sz w:val="21"/>
                <w:szCs w:val="21"/>
              </w:rPr>
              <w:t>电子测量仪器质量检验规则</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70" w:hRule="atLeast"/>
        </w:trPr>
        <w:tc>
          <w:tcPr>
            <w:tcW w:w="2233" w:type="dxa"/>
            <w:noWrap w:val="0"/>
            <w:vAlign w:val="top"/>
          </w:tcPr>
          <w:p>
            <w:pPr>
              <w:rPr>
                <w:rFonts w:ascii="宋体" w:hAnsi="Times New Roman"/>
                <w:color w:val="auto"/>
                <w:sz w:val="21"/>
                <w:szCs w:val="21"/>
              </w:rPr>
            </w:pPr>
            <w:r>
              <w:rPr>
                <w:rFonts w:hint="eastAsia" w:ascii="宋体" w:hAnsi="Times New Roman"/>
                <w:color w:val="auto"/>
                <w:sz w:val="21"/>
                <w:szCs w:val="21"/>
              </w:rPr>
              <w:t>JB/T 6303-2004</w:t>
            </w:r>
          </w:p>
        </w:tc>
        <w:tc>
          <w:tcPr>
            <w:tcW w:w="7507" w:type="dxa"/>
            <w:noWrap w:val="0"/>
            <w:vAlign w:val="top"/>
          </w:tcPr>
          <w:p>
            <w:pPr>
              <w:rPr>
                <w:rFonts w:hint="eastAsia" w:ascii="宋体" w:hAnsi="Times New Roman"/>
                <w:color w:val="auto"/>
                <w:sz w:val="21"/>
                <w:szCs w:val="21"/>
              </w:rPr>
            </w:pPr>
            <w:r>
              <w:rPr>
                <w:rFonts w:hint="eastAsia" w:ascii="宋体" w:hAnsi="Times New Roman"/>
                <w:color w:val="auto"/>
                <w:sz w:val="21"/>
                <w:szCs w:val="21"/>
              </w:rPr>
              <w:t>电石炉变压器技术参数和要求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70" w:hRule="atLeast"/>
        </w:trPr>
        <w:tc>
          <w:tcPr>
            <w:tcW w:w="2233" w:type="dxa"/>
            <w:noWrap w:val="0"/>
            <w:vAlign w:val="top"/>
          </w:tcPr>
          <w:p>
            <w:pPr>
              <w:rPr>
                <w:rFonts w:hAnsi="宋体" w:cs="Arial"/>
                <w:color w:val="auto"/>
                <w:sz w:val="21"/>
                <w:szCs w:val="21"/>
              </w:rPr>
            </w:pPr>
            <w:r>
              <w:rPr>
                <w:rFonts w:hint="eastAsia"/>
                <w:color w:val="auto"/>
                <w:sz w:val="21"/>
                <w:szCs w:val="21"/>
              </w:rPr>
              <w:t>GB 4208-2008</w:t>
            </w:r>
          </w:p>
        </w:tc>
        <w:tc>
          <w:tcPr>
            <w:tcW w:w="7507" w:type="dxa"/>
            <w:noWrap w:val="0"/>
            <w:vAlign w:val="top"/>
          </w:tcPr>
          <w:p>
            <w:pPr>
              <w:rPr>
                <w:rFonts w:hint="eastAsia" w:ascii="Times New Roman" w:cs="Arial"/>
                <w:color w:val="auto"/>
                <w:sz w:val="21"/>
                <w:szCs w:val="21"/>
              </w:rPr>
            </w:pPr>
            <w:r>
              <w:rPr>
                <w:rFonts w:hint="eastAsia"/>
                <w:color w:val="auto"/>
                <w:sz w:val="21"/>
                <w:szCs w:val="21"/>
              </w:rPr>
              <w:t>外壳防护等级（IP代码）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70" w:hRule="atLeast"/>
        </w:trPr>
        <w:tc>
          <w:tcPr>
            <w:tcW w:w="2233" w:type="dxa"/>
            <w:noWrap w:val="0"/>
            <w:vAlign w:val="top"/>
          </w:tcPr>
          <w:p>
            <w:pPr>
              <w:rPr>
                <w:rFonts w:hAnsi="宋体" w:cs="Arial"/>
                <w:color w:val="auto"/>
                <w:sz w:val="21"/>
                <w:szCs w:val="21"/>
              </w:rPr>
            </w:pPr>
            <w:r>
              <w:rPr>
                <w:rFonts w:hint="eastAsia"/>
                <w:color w:val="auto"/>
                <w:sz w:val="21"/>
                <w:szCs w:val="21"/>
              </w:rPr>
              <w:t>JB/T 9329-1999</w:t>
            </w:r>
          </w:p>
        </w:tc>
        <w:tc>
          <w:tcPr>
            <w:tcW w:w="7507" w:type="dxa"/>
            <w:noWrap w:val="0"/>
            <w:vAlign w:val="top"/>
          </w:tcPr>
          <w:p>
            <w:pPr>
              <w:rPr>
                <w:rFonts w:hint="eastAsia" w:ascii="Times New Roman" w:cs="Arial"/>
                <w:color w:val="auto"/>
                <w:sz w:val="21"/>
                <w:szCs w:val="21"/>
              </w:rPr>
            </w:pPr>
            <w:r>
              <w:rPr>
                <w:rFonts w:hint="eastAsia"/>
                <w:color w:val="auto"/>
                <w:sz w:val="21"/>
                <w:szCs w:val="21"/>
              </w:rPr>
              <w:t>仪器仪表运输、运输贮存基本环境条件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70" w:hRule="atLeast"/>
        </w:trPr>
        <w:tc>
          <w:tcPr>
            <w:tcW w:w="2233" w:type="dxa"/>
            <w:noWrap w:val="0"/>
            <w:vAlign w:val="top"/>
          </w:tcPr>
          <w:p>
            <w:pPr>
              <w:rPr>
                <w:rFonts w:hAnsi="宋体" w:cs="Arial"/>
                <w:color w:val="auto"/>
                <w:sz w:val="21"/>
                <w:szCs w:val="21"/>
              </w:rPr>
            </w:pPr>
            <w:r>
              <w:rPr>
                <w:rFonts w:hint="eastAsia"/>
                <w:color w:val="auto"/>
                <w:sz w:val="21"/>
                <w:szCs w:val="21"/>
              </w:rPr>
              <w:t>GB/T 13384-2008</w:t>
            </w:r>
          </w:p>
        </w:tc>
        <w:tc>
          <w:tcPr>
            <w:tcW w:w="7507" w:type="dxa"/>
            <w:noWrap w:val="0"/>
            <w:vAlign w:val="top"/>
          </w:tcPr>
          <w:p>
            <w:pPr>
              <w:rPr>
                <w:rFonts w:hint="eastAsia" w:ascii="Times New Roman" w:cs="Arial"/>
                <w:color w:val="auto"/>
                <w:sz w:val="21"/>
                <w:szCs w:val="21"/>
              </w:rPr>
            </w:pPr>
            <w:r>
              <w:rPr>
                <w:rFonts w:hint="eastAsia"/>
                <w:color w:val="auto"/>
                <w:sz w:val="21"/>
                <w:szCs w:val="21"/>
              </w:rPr>
              <w:t>仪器仪表包装通用技术条件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70" w:hRule="atLeast"/>
        </w:trPr>
        <w:tc>
          <w:tcPr>
            <w:tcW w:w="2233" w:type="dxa"/>
            <w:noWrap w:val="0"/>
            <w:vAlign w:val="top"/>
          </w:tcPr>
          <w:p>
            <w:pPr>
              <w:rPr>
                <w:rFonts w:hint="eastAsia" w:ascii="宋体" w:hAnsi="Times New Roman"/>
                <w:color w:val="auto"/>
                <w:sz w:val="21"/>
                <w:szCs w:val="21"/>
              </w:rPr>
            </w:pPr>
            <w:r>
              <w:rPr>
                <w:rFonts w:hint="eastAsia" w:ascii="宋体" w:hAnsi="Times New Roman"/>
                <w:color w:val="auto"/>
                <w:sz w:val="21"/>
                <w:szCs w:val="21"/>
              </w:rPr>
              <w:t>GB/T 17626</w:t>
            </w:r>
          </w:p>
        </w:tc>
        <w:tc>
          <w:tcPr>
            <w:tcW w:w="7507" w:type="dxa"/>
            <w:noWrap w:val="0"/>
            <w:vAlign w:val="top"/>
          </w:tcPr>
          <w:p>
            <w:pPr>
              <w:rPr>
                <w:rFonts w:hint="eastAsia" w:ascii="宋体" w:hAnsi="Times New Roman"/>
                <w:color w:val="auto"/>
                <w:sz w:val="21"/>
                <w:szCs w:val="21"/>
              </w:rPr>
            </w:pPr>
            <w:r>
              <w:rPr>
                <w:rFonts w:hint="eastAsia" w:ascii="宋体" w:hAnsi="Times New Roman"/>
                <w:color w:val="auto"/>
                <w:sz w:val="21"/>
                <w:szCs w:val="21"/>
              </w:rPr>
              <w:t>电磁兼容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470" w:hRule="atLeast"/>
        </w:trPr>
        <w:tc>
          <w:tcPr>
            <w:tcW w:w="2233" w:type="dxa"/>
            <w:noWrap w:val="0"/>
            <w:vAlign w:val="top"/>
          </w:tcPr>
          <w:p>
            <w:pPr>
              <w:rPr>
                <w:rFonts w:hint="eastAsia" w:ascii="宋体" w:hAnsi="Times New Roman"/>
                <w:color w:val="auto"/>
                <w:sz w:val="21"/>
                <w:szCs w:val="21"/>
              </w:rPr>
            </w:pPr>
            <w:r>
              <w:rPr>
                <w:rFonts w:hint="eastAsia" w:ascii="宋体" w:hAnsi="Times New Roman"/>
                <w:color w:val="auto"/>
                <w:sz w:val="21"/>
                <w:szCs w:val="21"/>
                <w:lang w:val="en-US" w:eastAsia="zh-CN"/>
              </w:rPr>
              <w:t>DL/T 1256</w:t>
            </w:r>
          </w:p>
        </w:tc>
        <w:tc>
          <w:tcPr>
            <w:tcW w:w="7507" w:type="dxa"/>
            <w:noWrap w:val="0"/>
            <w:vAlign w:val="top"/>
          </w:tcPr>
          <w:p>
            <w:pPr>
              <w:rPr>
                <w:rFonts w:hint="eastAsia" w:ascii="宋体" w:hAnsi="Times New Roman"/>
                <w:color w:val="auto"/>
                <w:sz w:val="21"/>
                <w:szCs w:val="21"/>
              </w:rPr>
            </w:pPr>
            <w:r>
              <w:rPr>
                <w:rFonts w:hint="eastAsia" w:ascii="宋体" w:hAnsi="Times New Roman"/>
                <w:color w:val="auto"/>
                <w:sz w:val="21"/>
                <w:szCs w:val="21"/>
                <w:lang w:val="en-US" w:eastAsia="zh-CN"/>
              </w:rPr>
              <w:t>变压器空、负载损耗测试仪通用技术条件</w:t>
            </w:r>
          </w:p>
        </w:tc>
      </w:tr>
    </w:tbl>
    <w:p>
      <w:pPr>
        <w:snapToGrid w:val="0"/>
        <w:spacing w:line="324" w:lineRule="auto"/>
        <w:rPr>
          <w:rFonts w:hint="eastAsia"/>
          <w:color w:val="auto"/>
        </w:rPr>
      </w:pPr>
    </w:p>
    <w:p>
      <w:pPr>
        <w:pStyle w:val="3"/>
        <w:keepNext w:val="0"/>
        <w:keepLines w:val="0"/>
        <w:numPr>
          <w:ilvl w:val="0"/>
          <w:numId w:val="0"/>
        </w:numPr>
        <w:snapToGrid w:val="0"/>
        <w:spacing w:line="324" w:lineRule="auto"/>
        <w:ind w:leftChars="0"/>
        <w:rPr>
          <w:rFonts w:hint="eastAsia"/>
          <w:color w:val="auto"/>
          <w:sz w:val="21"/>
          <w:szCs w:val="21"/>
          <w:lang w:val="en-US" w:eastAsia="zh-CN"/>
        </w:rPr>
      </w:pPr>
    </w:p>
    <w:p>
      <w:pPr>
        <w:pStyle w:val="3"/>
        <w:keepNext w:val="0"/>
        <w:keepLines w:val="0"/>
        <w:numPr>
          <w:ilvl w:val="0"/>
          <w:numId w:val="0"/>
        </w:numPr>
        <w:snapToGrid w:val="0"/>
        <w:spacing w:line="324" w:lineRule="auto"/>
        <w:ind w:leftChars="0"/>
        <w:rPr>
          <w:rFonts w:hint="eastAsia"/>
          <w:color w:val="auto"/>
          <w:sz w:val="21"/>
          <w:szCs w:val="21"/>
        </w:rPr>
      </w:pPr>
      <w:bookmarkStart w:id="2" w:name="_Toc5760"/>
      <w:r>
        <w:rPr>
          <w:rFonts w:hint="eastAsia"/>
          <w:color w:val="auto"/>
          <w:sz w:val="21"/>
          <w:szCs w:val="21"/>
          <w:lang w:val="en-US" w:eastAsia="zh-CN"/>
        </w:rPr>
        <w:t>3.</w:t>
      </w:r>
      <w:r>
        <w:rPr>
          <w:rFonts w:hint="eastAsia"/>
          <w:color w:val="auto"/>
          <w:sz w:val="21"/>
          <w:szCs w:val="21"/>
        </w:rPr>
        <w:t>基本要求</w:t>
      </w:r>
      <w:bookmarkEnd w:id="2"/>
    </w:p>
    <w:p>
      <w:pPr>
        <w:pStyle w:val="19"/>
        <w:numPr>
          <w:ilvl w:val="2"/>
          <w:numId w:val="0"/>
        </w:numPr>
        <w:snapToGrid w:val="0"/>
        <w:spacing w:line="324" w:lineRule="auto"/>
        <w:ind w:leftChars="0"/>
        <w:rPr>
          <w:rFonts w:hint="eastAsia"/>
          <w:color w:val="auto"/>
          <w:sz w:val="21"/>
          <w:szCs w:val="21"/>
        </w:rPr>
      </w:pPr>
      <w:r>
        <w:rPr>
          <w:rFonts w:hint="eastAsia"/>
          <w:color w:val="auto"/>
          <w:sz w:val="21"/>
          <w:szCs w:val="21"/>
        </w:rPr>
        <w:t>3.1  仪器的铭牌应标明制造厂家、型号、仪器名称、出厂编号等。</w:t>
      </w:r>
    </w:p>
    <w:p>
      <w:pPr>
        <w:pStyle w:val="19"/>
        <w:numPr>
          <w:ilvl w:val="2"/>
          <w:numId w:val="0"/>
        </w:numPr>
        <w:snapToGrid w:val="0"/>
        <w:spacing w:line="324" w:lineRule="auto"/>
        <w:ind w:leftChars="0"/>
        <w:rPr>
          <w:rFonts w:hint="eastAsia"/>
          <w:color w:val="auto"/>
          <w:sz w:val="21"/>
          <w:szCs w:val="21"/>
        </w:rPr>
      </w:pPr>
      <w:r>
        <w:rPr>
          <w:rFonts w:hint="eastAsia"/>
          <w:color w:val="auto"/>
          <w:sz w:val="21"/>
          <w:szCs w:val="21"/>
        </w:rPr>
        <w:t>3.2  所有仪器应具备详细的中文说明书。</w:t>
      </w:r>
    </w:p>
    <w:p>
      <w:pPr>
        <w:pStyle w:val="19"/>
        <w:numPr>
          <w:ilvl w:val="2"/>
          <w:numId w:val="0"/>
        </w:numPr>
        <w:snapToGrid w:val="0"/>
        <w:spacing w:line="324" w:lineRule="auto"/>
        <w:ind w:leftChars="0"/>
        <w:rPr>
          <w:rFonts w:hint="eastAsia"/>
          <w:color w:val="auto"/>
          <w:sz w:val="21"/>
          <w:szCs w:val="21"/>
        </w:rPr>
      </w:pPr>
      <w:r>
        <w:rPr>
          <w:rFonts w:hint="eastAsia"/>
          <w:color w:val="auto"/>
          <w:sz w:val="21"/>
          <w:szCs w:val="21"/>
        </w:rPr>
        <w:t>3.3  仪器的工作电源必须保证测试过程的安全可靠。</w:t>
      </w:r>
    </w:p>
    <w:p>
      <w:pPr>
        <w:pStyle w:val="19"/>
        <w:numPr>
          <w:ilvl w:val="2"/>
          <w:numId w:val="0"/>
        </w:numPr>
        <w:snapToGrid w:val="0"/>
        <w:spacing w:line="324" w:lineRule="auto"/>
        <w:ind w:leftChars="0"/>
        <w:rPr>
          <w:rFonts w:hint="eastAsia"/>
          <w:color w:val="auto"/>
          <w:sz w:val="21"/>
          <w:szCs w:val="21"/>
        </w:rPr>
      </w:pPr>
      <w:r>
        <w:rPr>
          <w:rFonts w:hint="eastAsia"/>
          <w:color w:val="auto"/>
          <w:sz w:val="21"/>
          <w:szCs w:val="21"/>
        </w:rPr>
        <w:t>3.4  仪器中的按钮等应有明显的功能标志。</w:t>
      </w:r>
    </w:p>
    <w:p>
      <w:pPr>
        <w:pStyle w:val="19"/>
        <w:numPr>
          <w:ilvl w:val="2"/>
          <w:numId w:val="0"/>
        </w:numPr>
        <w:snapToGrid w:val="0"/>
        <w:spacing w:line="324" w:lineRule="auto"/>
        <w:ind w:leftChars="0"/>
        <w:rPr>
          <w:rFonts w:hint="eastAsia"/>
          <w:color w:val="auto"/>
          <w:sz w:val="21"/>
          <w:szCs w:val="21"/>
        </w:rPr>
      </w:pPr>
      <w:r>
        <w:rPr>
          <w:rFonts w:hint="eastAsia"/>
          <w:color w:val="auto"/>
          <w:sz w:val="21"/>
          <w:szCs w:val="21"/>
        </w:rPr>
        <w:t>3.5  屏幕显示和操作说明应采用国际标准名称。</w:t>
      </w:r>
    </w:p>
    <w:p>
      <w:pPr>
        <w:pStyle w:val="19"/>
        <w:numPr>
          <w:ilvl w:val="2"/>
          <w:numId w:val="0"/>
        </w:numPr>
        <w:snapToGrid w:val="0"/>
        <w:spacing w:line="324" w:lineRule="auto"/>
        <w:ind w:leftChars="0"/>
        <w:rPr>
          <w:rFonts w:hint="eastAsia"/>
          <w:color w:val="auto"/>
          <w:sz w:val="21"/>
          <w:szCs w:val="21"/>
        </w:rPr>
      </w:pPr>
      <w:r>
        <w:rPr>
          <w:rFonts w:hint="eastAsia"/>
          <w:color w:val="auto"/>
          <w:sz w:val="21"/>
          <w:szCs w:val="21"/>
        </w:rPr>
        <w:t>3.6  选用性能优良的原材料及器件，保证产品优良的技术性能及良好的使用性。</w:t>
      </w:r>
    </w:p>
    <w:p>
      <w:pPr>
        <w:pStyle w:val="19"/>
        <w:numPr>
          <w:ilvl w:val="2"/>
          <w:numId w:val="0"/>
        </w:numPr>
        <w:snapToGrid w:val="0"/>
        <w:spacing w:line="324" w:lineRule="auto"/>
        <w:ind w:leftChars="0"/>
        <w:rPr>
          <w:rFonts w:hint="eastAsia"/>
          <w:color w:val="auto"/>
          <w:sz w:val="21"/>
          <w:szCs w:val="21"/>
        </w:rPr>
      </w:pPr>
      <w:r>
        <w:rPr>
          <w:rFonts w:hint="eastAsia"/>
          <w:color w:val="auto"/>
          <w:sz w:val="21"/>
          <w:szCs w:val="21"/>
        </w:rPr>
        <w:t>3.7  仪器应有自动保护功能。</w:t>
      </w:r>
    </w:p>
    <w:p>
      <w:pPr>
        <w:pStyle w:val="3"/>
        <w:keepNext w:val="0"/>
        <w:keepLines w:val="0"/>
        <w:numPr>
          <w:ilvl w:val="0"/>
          <w:numId w:val="0"/>
        </w:numPr>
        <w:snapToGrid w:val="0"/>
        <w:spacing w:line="324" w:lineRule="auto"/>
        <w:ind w:leftChars="0"/>
        <w:rPr>
          <w:rFonts w:hint="eastAsia"/>
          <w:color w:val="auto"/>
          <w:sz w:val="21"/>
          <w:szCs w:val="21"/>
        </w:rPr>
      </w:pPr>
      <w:bookmarkStart w:id="3" w:name="_Toc6738"/>
      <w:r>
        <w:rPr>
          <w:rFonts w:hint="eastAsia"/>
          <w:color w:val="auto"/>
          <w:sz w:val="21"/>
          <w:szCs w:val="21"/>
          <w:lang w:val="en-US" w:eastAsia="zh-CN"/>
        </w:rPr>
        <w:t>4.</w:t>
      </w:r>
      <w:r>
        <w:rPr>
          <w:rFonts w:hint="eastAsia"/>
          <w:color w:val="auto"/>
          <w:sz w:val="21"/>
          <w:szCs w:val="21"/>
        </w:rPr>
        <w:t>使用条件</w:t>
      </w:r>
      <w:bookmarkEnd w:id="3"/>
    </w:p>
    <w:p>
      <w:pPr>
        <w:adjustRightInd w:val="0"/>
        <w:snapToGrid w:val="0"/>
        <w:rPr>
          <w:rFonts w:hint="eastAsia"/>
          <w:color w:val="auto"/>
          <w:sz w:val="21"/>
          <w:szCs w:val="21"/>
        </w:rPr>
      </w:pPr>
      <w:r>
        <w:rPr>
          <w:rFonts w:hint="eastAsia" w:hAnsi="宋体"/>
          <w:color w:val="auto"/>
          <w:kern w:val="0"/>
          <w:sz w:val="21"/>
          <w:szCs w:val="21"/>
        </w:rPr>
        <w:t>4.</w:t>
      </w:r>
      <w:r>
        <w:rPr>
          <w:rFonts w:hAnsi="宋体"/>
          <w:color w:val="auto"/>
          <w:kern w:val="0"/>
          <w:sz w:val="21"/>
          <w:szCs w:val="21"/>
        </w:rPr>
        <w:t>1</w:t>
      </w:r>
      <w:r>
        <w:rPr>
          <w:rFonts w:hint="eastAsia"/>
          <w:color w:val="auto"/>
          <w:sz w:val="21"/>
          <w:szCs w:val="21"/>
        </w:rPr>
        <w:t>环境温度：-</w:t>
      </w:r>
      <w:r>
        <w:rPr>
          <w:rFonts w:hint="eastAsia"/>
          <w:color w:val="auto"/>
          <w:sz w:val="21"/>
          <w:szCs w:val="21"/>
          <w:lang w:val="en-US" w:eastAsia="zh-CN"/>
        </w:rPr>
        <w:t>10</w:t>
      </w:r>
      <w:r>
        <w:rPr>
          <w:rFonts w:hint="eastAsia"/>
          <w:color w:val="auto"/>
          <w:sz w:val="21"/>
          <w:szCs w:val="21"/>
        </w:rPr>
        <w:t>℃～+</w:t>
      </w:r>
      <w:r>
        <w:rPr>
          <w:rFonts w:hint="eastAsia"/>
          <w:color w:val="auto"/>
          <w:sz w:val="21"/>
          <w:szCs w:val="21"/>
          <w:lang w:val="en-US" w:eastAsia="zh-CN"/>
        </w:rPr>
        <w:t>45</w:t>
      </w:r>
      <w:r>
        <w:rPr>
          <w:rFonts w:hint="eastAsia"/>
          <w:color w:val="auto"/>
          <w:sz w:val="21"/>
          <w:szCs w:val="21"/>
        </w:rPr>
        <w:t>℃；</w:t>
      </w:r>
    </w:p>
    <w:p>
      <w:pPr>
        <w:pStyle w:val="19"/>
        <w:numPr>
          <w:ilvl w:val="2"/>
          <w:numId w:val="0"/>
        </w:numPr>
        <w:snapToGrid w:val="0"/>
        <w:spacing w:line="324" w:lineRule="auto"/>
        <w:ind w:leftChars="0"/>
        <w:rPr>
          <w:rFonts w:hint="eastAsia"/>
          <w:color w:val="auto"/>
          <w:sz w:val="21"/>
          <w:szCs w:val="21"/>
        </w:rPr>
      </w:pPr>
      <w:r>
        <w:rPr>
          <w:rFonts w:hint="eastAsia"/>
          <w:color w:val="auto"/>
          <w:sz w:val="21"/>
          <w:szCs w:val="21"/>
          <w:lang w:val="en-US" w:eastAsia="zh-CN"/>
        </w:rPr>
        <w:t>4.2</w:t>
      </w:r>
      <w:r>
        <w:rPr>
          <w:rFonts w:hint="eastAsia"/>
          <w:color w:val="auto"/>
          <w:sz w:val="21"/>
          <w:szCs w:val="21"/>
        </w:rPr>
        <w:t>在</w:t>
      </w:r>
      <w:r>
        <w:rPr>
          <w:color w:val="auto"/>
          <w:sz w:val="21"/>
          <w:szCs w:val="21"/>
        </w:rPr>
        <w:t>24h</w:t>
      </w:r>
      <w:r>
        <w:rPr>
          <w:rFonts w:hint="eastAsia"/>
          <w:color w:val="auto"/>
          <w:sz w:val="21"/>
          <w:szCs w:val="21"/>
        </w:rPr>
        <w:t>内测得的相对湿度的平均值：≤</w:t>
      </w:r>
      <w:r>
        <w:rPr>
          <w:color w:val="auto"/>
          <w:sz w:val="21"/>
          <w:szCs w:val="21"/>
        </w:rPr>
        <w:t>9</w:t>
      </w:r>
      <w:r>
        <w:rPr>
          <w:rFonts w:hint="eastAsia"/>
          <w:color w:val="auto"/>
          <w:sz w:val="21"/>
          <w:szCs w:val="21"/>
          <w:lang w:val="en-US" w:eastAsia="zh-CN"/>
        </w:rPr>
        <w:t>0</w:t>
      </w:r>
      <w:r>
        <w:rPr>
          <w:color w:val="auto"/>
          <w:sz w:val="21"/>
          <w:szCs w:val="21"/>
        </w:rPr>
        <w:t>％</w:t>
      </w:r>
      <w:r>
        <w:rPr>
          <w:rFonts w:hint="eastAsia"/>
          <w:color w:val="auto"/>
          <w:sz w:val="21"/>
          <w:szCs w:val="21"/>
        </w:rPr>
        <w:t>；</w:t>
      </w:r>
      <w:r>
        <w:rPr>
          <w:rFonts w:hint="eastAsia" w:hAnsi="宋体"/>
          <w:sz w:val="21"/>
          <w:szCs w:val="21"/>
          <w:highlight w:val="none"/>
        </w:rPr>
        <w:t>（无腐蚀性气体）</w:t>
      </w:r>
    </w:p>
    <w:p>
      <w:pPr>
        <w:pStyle w:val="19"/>
        <w:numPr>
          <w:ilvl w:val="0"/>
          <w:numId w:val="0"/>
        </w:numPr>
        <w:snapToGrid w:val="0"/>
        <w:rPr>
          <w:rFonts w:hint="eastAsia"/>
          <w:color w:val="FF0000"/>
          <w:sz w:val="21"/>
          <w:szCs w:val="21"/>
          <w:highlight w:val="none"/>
        </w:rPr>
      </w:pPr>
      <w:r>
        <w:rPr>
          <w:rFonts w:hint="eastAsia"/>
          <w:sz w:val="21"/>
          <w:szCs w:val="21"/>
          <w:highlight w:val="none"/>
        </w:rPr>
        <w:t>4.3工作极限范围：-20℃</w:t>
      </w:r>
      <w:r>
        <w:rPr>
          <w:rFonts w:hint="eastAsia"/>
          <w:sz w:val="21"/>
          <w:szCs w:val="21"/>
          <w:highlight w:val="none"/>
          <w:lang w:eastAsia="zh-CN"/>
        </w:rPr>
        <w:t>～</w:t>
      </w:r>
      <w:r>
        <w:rPr>
          <w:rFonts w:hint="eastAsia"/>
          <w:sz w:val="21"/>
          <w:szCs w:val="21"/>
          <w:highlight w:val="none"/>
        </w:rPr>
        <w:t>5</w:t>
      </w:r>
      <w:r>
        <w:rPr>
          <w:rFonts w:hint="eastAsia"/>
          <w:color w:val="auto"/>
          <w:sz w:val="21"/>
          <w:szCs w:val="21"/>
          <w:highlight w:val="none"/>
        </w:rPr>
        <w:t>5℃。</w:t>
      </w:r>
    </w:p>
    <w:p>
      <w:pPr>
        <w:pStyle w:val="19"/>
        <w:numPr>
          <w:ilvl w:val="2"/>
          <w:numId w:val="0"/>
        </w:numPr>
        <w:snapToGrid w:val="0"/>
        <w:spacing w:line="324" w:lineRule="auto"/>
        <w:ind w:leftChars="0"/>
        <w:rPr>
          <w:rFonts w:hint="eastAsia"/>
          <w:color w:val="auto"/>
          <w:sz w:val="21"/>
          <w:szCs w:val="21"/>
        </w:rPr>
      </w:pPr>
      <w:r>
        <w:rPr>
          <w:rFonts w:hint="eastAsia"/>
          <w:color w:val="auto"/>
          <w:sz w:val="21"/>
          <w:szCs w:val="21"/>
          <w:highlight w:val="none"/>
          <w:lang w:val="en-US" w:eastAsia="zh-CN"/>
        </w:rPr>
        <w:t>4.4</w:t>
      </w:r>
      <w:r>
        <w:rPr>
          <w:rFonts w:hint="eastAsia"/>
          <w:color w:val="auto"/>
          <w:sz w:val="21"/>
          <w:szCs w:val="21"/>
          <w:highlight w:val="none"/>
        </w:rPr>
        <w:t>储存和运输极限范围：-40℃</w:t>
      </w:r>
      <w:r>
        <w:rPr>
          <w:rFonts w:hint="eastAsia"/>
          <w:color w:val="auto"/>
          <w:sz w:val="21"/>
          <w:szCs w:val="21"/>
          <w:highlight w:val="none"/>
          <w:lang w:eastAsia="zh-CN"/>
        </w:rPr>
        <w:t>～</w:t>
      </w:r>
      <w:r>
        <w:rPr>
          <w:rFonts w:hint="eastAsia"/>
          <w:color w:val="auto"/>
          <w:sz w:val="21"/>
          <w:szCs w:val="21"/>
          <w:highlight w:val="none"/>
        </w:rPr>
        <w:t>60℃。</w:t>
      </w:r>
    </w:p>
    <w:p>
      <w:pPr>
        <w:pStyle w:val="19"/>
        <w:numPr>
          <w:ilvl w:val="2"/>
          <w:numId w:val="0"/>
        </w:numPr>
        <w:snapToGrid w:val="0"/>
        <w:spacing w:line="324" w:lineRule="auto"/>
        <w:ind w:leftChars="0"/>
        <w:rPr>
          <w:rFonts w:hint="eastAsia"/>
          <w:color w:val="auto"/>
          <w:sz w:val="21"/>
          <w:szCs w:val="21"/>
        </w:rPr>
      </w:pPr>
      <w:r>
        <w:rPr>
          <w:rFonts w:hint="eastAsia"/>
          <w:color w:val="auto"/>
          <w:sz w:val="21"/>
          <w:szCs w:val="21"/>
          <w:lang w:val="en-US" w:eastAsia="zh-CN"/>
        </w:rPr>
        <w:t>4.5</w:t>
      </w:r>
      <w:r>
        <w:rPr>
          <w:rFonts w:hint="eastAsia"/>
          <w:color w:val="auto"/>
          <w:sz w:val="21"/>
          <w:szCs w:val="21"/>
        </w:rPr>
        <w:t>月水蒸气压力平均值：≤</w:t>
      </w:r>
      <w:r>
        <w:rPr>
          <w:color w:val="auto"/>
          <w:sz w:val="21"/>
          <w:szCs w:val="21"/>
        </w:rPr>
        <w:t>1.8kPa</w:t>
      </w:r>
      <w:r>
        <w:rPr>
          <w:rFonts w:hint="eastAsia"/>
          <w:color w:val="auto"/>
          <w:sz w:val="21"/>
          <w:szCs w:val="21"/>
        </w:rPr>
        <w:t>。</w:t>
      </w:r>
    </w:p>
    <w:p>
      <w:pPr>
        <w:pStyle w:val="19"/>
        <w:numPr>
          <w:ilvl w:val="2"/>
          <w:numId w:val="0"/>
        </w:numPr>
        <w:snapToGrid w:val="0"/>
        <w:spacing w:line="324" w:lineRule="auto"/>
        <w:ind w:leftChars="0"/>
        <w:rPr>
          <w:color w:val="auto"/>
          <w:sz w:val="21"/>
          <w:szCs w:val="21"/>
        </w:rPr>
      </w:pPr>
      <w:r>
        <w:rPr>
          <w:rFonts w:hint="eastAsia"/>
          <w:color w:val="auto"/>
          <w:sz w:val="21"/>
          <w:szCs w:val="21"/>
          <w:lang w:val="en-US" w:eastAsia="zh-CN"/>
        </w:rPr>
        <w:t>4.6</w:t>
      </w:r>
      <w:r>
        <w:rPr>
          <w:rFonts w:hint="eastAsia"/>
          <w:color w:val="auto"/>
          <w:sz w:val="21"/>
          <w:szCs w:val="21"/>
        </w:rPr>
        <w:t>海拔：</w:t>
      </w:r>
      <w:r>
        <w:rPr>
          <w:rFonts w:hAnsi="宋体"/>
          <w:color w:val="auto"/>
          <w:sz w:val="21"/>
          <w:szCs w:val="21"/>
        </w:rPr>
        <w:t>≤</w:t>
      </w:r>
      <w:r>
        <w:rPr>
          <w:color w:val="auto"/>
          <w:sz w:val="21"/>
          <w:szCs w:val="21"/>
        </w:rPr>
        <w:t>1000m</w:t>
      </w:r>
      <w:r>
        <w:rPr>
          <w:rFonts w:hint="eastAsia"/>
          <w:color w:val="auto"/>
          <w:sz w:val="21"/>
          <w:szCs w:val="21"/>
        </w:rPr>
        <w:t>。</w:t>
      </w:r>
    </w:p>
    <w:p>
      <w:pPr>
        <w:pStyle w:val="19"/>
        <w:numPr>
          <w:ilvl w:val="2"/>
          <w:numId w:val="0"/>
        </w:numPr>
        <w:snapToGrid w:val="0"/>
        <w:spacing w:line="324" w:lineRule="auto"/>
        <w:ind w:leftChars="0"/>
        <w:rPr>
          <w:rFonts w:hint="eastAsia"/>
          <w:color w:val="auto"/>
          <w:sz w:val="21"/>
          <w:szCs w:val="21"/>
          <w:lang w:val="en-US" w:eastAsia="zh-CN"/>
        </w:rPr>
      </w:pPr>
      <w:bookmarkStart w:id="4" w:name="OLE_LINK2"/>
      <w:r>
        <w:rPr>
          <w:rFonts w:hint="eastAsia"/>
          <w:color w:val="auto"/>
          <w:sz w:val="21"/>
          <w:szCs w:val="21"/>
          <w:lang w:val="en-US" w:eastAsia="zh-CN"/>
        </w:rPr>
        <w:t>4.7工作电源：锂电池供电或者220V交流充电器供电自适应</w:t>
      </w:r>
    </w:p>
    <w:p>
      <w:pPr>
        <w:adjustRightInd w:val="0"/>
        <w:snapToGrid w:val="0"/>
        <w:rPr>
          <w:color w:val="auto"/>
          <w:sz w:val="21"/>
          <w:szCs w:val="21"/>
        </w:rPr>
      </w:pPr>
      <w:r>
        <w:rPr>
          <w:rFonts w:hint="eastAsia"/>
          <w:color w:val="auto"/>
          <w:sz w:val="21"/>
          <w:szCs w:val="21"/>
          <w:lang w:val="en-US" w:eastAsia="zh-CN"/>
        </w:rPr>
        <w:t>4.8</w:t>
      </w:r>
      <w:r>
        <w:rPr>
          <w:rFonts w:hint="eastAsia"/>
          <w:color w:val="auto"/>
          <w:sz w:val="21"/>
          <w:szCs w:val="21"/>
        </w:rPr>
        <w:t>设计寿命</w:t>
      </w:r>
    </w:p>
    <w:p>
      <w:pPr>
        <w:adjustRightInd w:val="0"/>
        <w:snapToGrid w:val="0"/>
        <w:ind w:firstLine="420" w:firstLineChars="200"/>
        <w:rPr>
          <w:rFonts w:hint="eastAsia"/>
          <w:color w:val="auto"/>
          <w:sz w:val="21"/>
          <w:szCs w:val="21"/>
        </w:rPr>
      </w:pPr>
      <w:r>
        <w:rPr>
          <w:rFonts w:hint="eastAsia"/>
          <w:color w:val="auto"/>
          <w:sz w:val="21"/>
          <w:szCs w:val="21"/>
        </w:rPr>
        <w:t>在正常使用条件下，保证使用寿命</w:t>
      </w:r>
      <w:r>
        <w:rPr>
          <w:rFonts w:hint="eastAsia"/>
          <w:color w:val="auto"/>
          <w:sz w:val="21"/>
          <w:szCs w:val="21"/>
          <w:lang w:val="en-US" w:eastAsia="zh-CN"/>
        </w:rPr>
        <w:t>8</w:t>
      </w:r>
      <w:r>
        <w:rPr>
          <w:rFonts w:hint="eastAsia"/>
          <w:color w:val="auto"/>
          <w:sz w:val="21"/>
          <w:szCs w:val="21"/>
        </w:rPr>
        <w:t>年。</w:t>
      </w:r>
      <w:bookmarkEnd w:id="4"/>
    </w:p>
    <w:p>
      <w:pPr>
        <w:pStyle w:val="19"/>
        <w:numPr>
          <w:ilvl w:val="0"/>
          <w:numId w:val="0"/>
        </w:numPr>
        <w:snapToGrid w:val="0"/>
        <w:rPr>
          <w:rFonts w:hint="eastAsia" w:hAnsi="宋体"/>
          <w:color w:val="auto"/>
          <w:sz w:val="21"/>
          <w:szCs w:val="21"/>
          <w:highlight w:val="none"/>
        </w:rPr>
      </w:pPr>
      <w:r>
        <w:rPr>
          <w:rFonts w:hint="eastAsia"/>
          <w:color w:val="auto"/>
          <w:sz w:val="21"/>
          <w:szCs w:val="21"/>
          <w:lang w:val="en-US" w:eastAsia="zh-CN"/>
        </w:rPr>
        <w:t>4.9</w:t>
      </w:r>
      <w:r>
        <w:rPr>
          <w:rFonts w:hint="eastAsia" w:hAnsi="宋体"/>
          <w:color w:val="auto"/>
          <w:sz w:val="21"/>
          <w:szCs w:val="21"/>
          <w:highlight w:val="none"/>
        </w:rPr>
        <w:t>整机消耗≤15W</w:t>
      </w:r>
    </w:p>
    <w:p>
      <w:pPr>
        <w:keepNext w:val="0"/>
        <w:keepLines w:val="0"/>
        <w:pageBreakBefore w:val="0"/>
        <w:widowControl w:val="0"/>
        <w:kinsoku/>
        <w:wordWrap/>
        <w:overflowPunct/>
        <w:topLinePunct w:val="0"/>
        <w:autoSpaceDE/>
        <w:autoSpaceDN/>
        <w:bidi w:val="0"/>
        <w:adjustRightInd/>
        <w:snapToGrid/>
        <w:textAlignment w:val="auto"/>
        <w:outlineLvl w:val="0"/>
        <w:rPr>
          <w:rFonts w:hint="eastAsia" w:hAnsi="宋体" w:cs="黑体"/>
          <w:b/>
          <w:color w:val="auto"/>
          <w:sz w:val="21"/>
          <w:szCs w:val="21"/>
        </w:rPr>
      </w:pPr>
      <w:bookmarkStart w:id="5" w:name="_Toc12251"/>
      <w:r>
        <w:rPr>
          <w:rFonts w:hint="eastAsia" w:hAnsi="宋体" w:cs="黑体"/>
          <w:b/>
          <w:color w:val="auto"/>
          <w:sz w:val="21"/>
          <w:szCs w:val="21"/>
        </w:rPr>
        <w:t>5.</w:t>
      </w:r>
      <w:r>
        <w:rPr>
          <w:rFonts w:hint="eastAsia" w:hAnsi="宋体" w:cs="黑体"/>
          <w:b/>
          <w:color w:val="auto"/>
          <w:sz w:val="21"/>
          <w:szCs w:val="21"/>
          <w:lang w:eastAsia="zh-CN"/>
        </w:rPr>
        <w:t>基本</w:t>
      </w:r>
      <w:r>
        <w:rPr>
          <w:rFonts w:hint="eastAsia" w:hAnsi="宋体" w:cs="黑体"/>
          <w:b/>
          <w:color w:val="auto"/>
          <w:sz w:val="21"/>
          <w:szCs w:val="21"/>
        </w:rPr>
        <w:t>功能要求</w:t>
      </w:r>
      <w:bookmarkEnd w:id="5"/>
    </w:p>
    <w:p>
      <w:pPr>
        <w:pStyle w:val="41"/>
        <w:numPr>
          <w:ilvl w:val="0"/>
          <w:numId w:val="0"/>
        </w:numPr>
        <w:adjustRightInd w:val="0"/>
        <w:snapToGrid w:val="0"/>
        <w:spacing w:line="360" w:lineRule="auto"/>
        <w:ind w:firstLine="420" w:firstLineChars="200"/>
        <w:outlineLvl w:val="9"/>
        <w:rPr>
          <w:rFonts w:hint="eastAsia" w:ascii="宋体" w:eastAsia="宋体" w:cs="方正仿宋_GBK"/>
          <w:snapToGrid w:val="0"/>
          <w:kern w:val="0"/>
          <w:sz w:val="21"/>
          <w:szCs w:val="21"/>
        </w:rPr>
      </w:pPr>
      <w:r>
        <w:rPr>
          <w:rFonts w:hint="eastAsia" w:ascii="宋体" w:eastAsia="宋体" w:cs="方正仿宋_GBK"/>
          <w:snapToGrid w:val="0"/>
          <w:kern w:val="0"/>
          <w:sz w:val="21"/>
          <w:szCs w:val="21"/>
        </w:rPr>
        <w:t>5.</w:t>
      </w:r>
      <w:r>
        <w:rPr>
          <w:rFonts w:hint="eastAsia" w:ascii="宋体" w:eastAsia="宋体" w:cs="方正仿宋_GBK"/>
          <w:snapToGrid w:val="0"/>
          <w:kern w:val="0"/>
          <w:sz w:val="21"/>
          <w:szCs w:val="21"/>
          <w:lang w:val="en-US" w:eastAsia="zh-CN"/>
        </w:rPr>
        <w:t>1</w:t>
      </w:r>
      <w:r>
        <w:rPr>
          <w:rFonts w:hint="eastAsia" w:ascii="宋体" w:eastAsia="宋体" w:cs="方正仿宋_GBK"/>
          <w:snapToGrid w:val="0"/>
          <w:kern w:val="0"/>
          <w:sz w:val="21"/>
          <w:szCs w:val="21"/>
        </w:rPr>
        <w:t>采用大屏幕液晶显示，触摸屏</w:t>
      </w:r>
      <w:r>
        <w:rPr>
          <w:rFonts w:hint="eastAsia" w:ascii="宋体" w:eastAsia="宋体" w:cs="方正仿宋_GBK"/>
          <w:snapToGrid w:val="0"/>
          <w:kern w:val="0"/>
          <w:sz w:val="21"/>
          <w:szCs w:val="21"/>
          <w:lang w:eastAsia="zh-CN"/>
        </w:rPr>
        <w:t>；</w:t>
      </w:r>
      <w:r>
        <w:rPr>
          <w:rFonts w:hint="eastAsia" w:ascii="宋体" w:eastAsia="宋体" w:cs="方正仿宋_GBK"/>
          <w:snapToGrid w:val="0"/>
          <w:kern w:val="0"/>
          <w:sz w:val="21"/>
          <w:szCs w:val="21"/>
        </w:rPr>
        <w:t>可在一屏内完成被校表参数的设置</w:t>
      </w:r>
      <w:r>
        <w:rPr>
          <w:rFonts w:hint="eastAsia" w:ascii="宋体" w:eastAsia="宋体" w:cs="方正仿宋_GBK"/>
          <w:snapToGrid w:val="0"/>
          <w:kern w:val="0"/>
          <w:sz w:val="21"/>
          <w:szCs w:val="21"/>
          <w:lang w:eastAsia="zh-CN"/>
        </w:rPr>
        <w:t>和</w:t>
      </w:r>
      <w:r>
        <w:rPr>
          <w:rFonts w:hint="eastAsia" w:ascii="宋体" w:eastAsia="宋体" w:cs="方正仿宋_GBK"/>
          <w:snapToGrid w:val="0"/>
          <w:kern w:val="0"/>
          <w:sz w:val="21"/>
          <w:szCs w:val="21"/>
        </w:rPr>
        <w:t>显示三相电压、三相电流、三相功率、三相平均电压、平均电流、三相总功率和相关数据。</w:t>
      </w:r>
      <w:r>
        <w:rPr>
          <w:rFonts w:hint="eastAsia" w:ascii="宋体" w:eastAsia="宋体" w:cs="方正仿宋_GBK"/>
          <w:snapToGrid w:val="0"/>
          <w:kern w:val="0"/>
          <w:sz w:val="21"/>
          <w:szCs w:val="21"/>
          <w:lang w:val="en-US" w:eastAsia="zh-CN"/>
        </w:rPr>
        <w:t>具有完善电子帮助，各项操作均有接线图和文字描述，操作直观简单。</w:t>
      </w:r>
      <w:r>
        <w:rPr>
          <w:rFonts w:hint="eastAsia" w:ascii="宋体" w:eastAsia="宋体" w:cs="方正仿宋_GBK"/>
          <w:snapToGrid w:val="0"/>
          <w:kern w:val="0"/>
          <w:sz w:val="21"/>
          <w:szCs w:val="21"/>
        </w:rPr>
        <w:t>显示使用中文菜单，中文提示，操作简单</w:t>
      </w:r>
      <w:r>
        <w:rPr>
          <w:rFonts w:hint="eastAsia" w:ascii="宋体" w:eastAsia="宋体" w:cs="方正仿宋_GBK"/>
          <w:snapToGrid w:val="0"/>
          <w:kern w:val="0"/>
          <w:sz w:val="21"/>
          <w:szCs w:val="21"/>
          <w:lang w:eastAsia="zh-CN"/>
        </w:rPr>
        <w:t>，</w:t>
      </w:r>
      <w:r>
        <w:rPr>
          <w:rFonts w:hint="eastAsia" w:ascii="宋体" w:eastAsia="宋体" w:cs="方正仿宋_GBK"/>
          <w:snapToGrid w:val="0"/>
          <w:kern w:val="0"/>
          <w:sz w:val="21"/>
          <w:szCs w:val="21"/>
        </w:rPr>
        <w:t>阳光下清晰显示。</w:t>
      </w:r>
    </w:p>
    <w:p>
      <w:pPr>
        <w:pStyle w:val="41"/>
        <w:numPr>
          <w:ilvl w:val="0"/>
          <w:numId w:val="0"/>
        </w:numPr>
        <w:adjustRightInd w:val="0"/>
        <w:snapToGrid w:val="0"/>
        <w:spacing w:line="360" w:lineRule="auto"/>
        <w:ind w:firstLine="420" w:firstLineChars="200"/>
        <w:outlineLvl w:val="9"/>
        <w:rPr>
          <w:rFonts w:hint="eastAsia" w:ascii="宋体" w:eastAsia="宋体" w:cs="方正仿宋_GBK"/>
          <w:snapToGrid w:val="0"/>
          <w:kern w:val="0"/>
          <w:sz w:val="21"/>
          <w:szCs w:val="21"/>
          <w:lang w:val="en-US" w:eastAsia="zh-CN"/>
        </w:rPr>
      </w:pPr>
      <w:r>
        <w:rPr>
          <w:rFonts w:hint="eastAsia" w:ascii="宋体" w:eastAsia="宋体" w:cs="方正仿宋_GBK"/>
          <w:snapToGrid w:val="0"/>
          <w:kern w:val="0"/>
          <w:sz w:val="21"/>
          <w:szCs w:val="21"/>
          <w:lang w:val="en-US" w:eastAsia="zh-CN"/>
        </w:rPr>
        <w:t>5.2</w:t>
      </w:r>
      <w:r>
        <w:rPr>
          <w:rFonts w:hint="eastAsia" w:ascii="宋体" w:eastAsia="宋体" w:cs="方正仿宋_GBK"/>
          <w:snapToGrid w:val="0"/>
          <w:kern w:val="0"/>
          <w:sz w:val="21"/>
          <w:szCs w:val="21"/>
        </w:rPr>
        <w:t>采用台式设计，接线孔、显示屏</w:t>
      </w:r>
      <w:r>
        <w:rPr>
          <w:rFonts w:hint="eastAsia" w:ascii="宋体" w:eastAsia="宋体" w:cs="方正仿宋_GBK"/>
          <w:snapToGrid w:val="0"/>
          <w:kern w:val="0"/>
          <w:sz w:val="21"/>
          <w:szCs w:val="21"/>
          <w:lang w:val="en-US" w:eastAsia="zh-CN"/>
        </w:rPr>
        <w:t>、操作屏采用正面嵌入式方式。</w:t>
      </w:r>
      <w:bookmarkStart w:id="6" w:name="_Toc31980"/>
      <w:bookmarkStart w:id="7" w:name="_Toc22741104"/>
      <w:bookmarkStart w:id="8" w:name="_Toc22477038"/>
      <w:r>
        <w:rPr>
          <w:rFonts w:hint="eastAsia" w:ascii="宋体" w:eastAsia="宋体" w:cs="方正仿宋_GBK"/>
          <w:snapToGrid w:val="0"/>
          <w:kern w:val="0"/>
          <w:sz w:val="21"/>
          <w:szCs w:val="21"/>
          <w:lang w:val="en-US" w:eastAsia="zh-CN"/>
        </w:rPr>
        <w:t>标配特制现场低压短接线，无需螺丝和扳手，可牢固短接被测变压器接线柱，方便现场测试。可测量各种变压器的空载电流、空载损耗、阻抗电压、负载损耗等变压器特性数据。</w:t>
      </w:r>
    </w:p>
    <w:p>
      <w:pPr>
        <w:pStyle w:val="41"/>
        <w:numPr>
          <w:ilvl w:val="0"/>
          <w:numId w:val="0"/>
        </w:numPr>
        <w:adjustRightInd w:val="0"/>
        <w:snapToGrid w:val="0"/>
        <w:spacing w:line="360" w:lineRule="auto"/>
        <w:ind w:firstLine="420" w:firstLineChars="200"/>
        <w:outlineLvl w:val="9"/>
        <w:rPr>
          <w:rFonts w:hint="eastAsia" w:ascii="宋体" w:eastAsia="宋体" w:cs="方正仿宋_GBK"/>
          <w:snapToGrid w:val="0"/>
          <w:kern w:val="0"/>
          <w:sz w:val="21"/>
          <w:szCs w:val="21"/>
        </w:rPr>
      </w:pPr>
      <w:r>
        <w:rPr>
          <w:rFonts w:hint="eastAsia" w:ascii="宋体" w:eastAsia="宋体" w:cs="方正仿宋_GBK"/>
          <w:snapToGrid w:val="0"/>
          <w:kern w:val="0"/>
          <w:sz w:val="21"/>
          <w:szCs w:val="21"/>
          <w:lang w:val="en-US" w:eastAsia="zh-CN"/>
        </w:rPr>
        <w:t>5</w:t>
      </w:r>
      <w:r>
        <w:rPr>
          <w:rFonts w:hint="eastAsia" w:ascii="宋体" w:eastAsia="宋体" w:cs="方正仿宋_GBK"/>
          <w:snapToGrid w:val="0"/>
          <w:kern w:val="0"/>
          <w:sz w:val="21"/>
          <w:szCs w:val="21"/>
        </w:rPr>
        <w:t>.</w:t>
      </w:r>
      <w:bookmarkEnd w:id="6"/>
      <w:bookmarkEnd w:id="7"/>
      <w:bookmarkEnd w:id="8"/>
      <w:r>
        <w:rPr>
          <w:rFonts w:hint="eastAsia" w:ascii="宋体" w:eastAsia="宋体" w:cs="方正仿宋_GBK"/>
          <w:snapToGrid w:val="0"/>
          <w:kern w:val="0"/>
          <w:sz w:val="21"/>
          <w:szCs w:val="21"/>
          <w:lang w:val="en-US" w:eastAsia="zh-CN"/>
        </w:rPr>
        <w:t>3</w:t>
      </w:r>
      <w:r>
        <w:rPr>
          <w:rFonts w:hint="eastAsia" w:ascii="宋体" w:eastAsia="宋体" w:cs="方正仿宋_GBK"/>
          <w:snapToGrid w:val="0"/>
          <w:kern w:val="0"/>
          <w:sz w:val="21"/>
          <w:szCs w:val="21"/>
        </w:rPr>
        <w:t>负载损耗</w:t>
      </w:r>
    </w:p>
    <w:p>
      <w:pPr>
        <w:pStyle w:val="41"/>
        <w:numPr>
          <w:ilvl w:val="0"/>
          <w:numId w:val="0"/>
        </w:numPr>
        <w:adjustRightInd w:val="0"/>
        <w:snapToGrid w:val="0"/>
        <w:spacing w:line="360" w:lineRule="auto"/>
        <w:ind w:firstLine="420" w:firstLineChars="200"/>
        <w:outlineLvl w:val="9"/>
        <w:rPr>
          <w:rFonts w:hint="eastAsia" w:ascii="宋体" w:eastAsia="宋体" w:cs="方正仿宋_GBK"/>
          <w:snapToGrid w:val="0"/>
          <w:kern w:val="0"/>
          <w:sz w:val="21"/>
          <w:szCs w:val="21"/>
        </w:rPr>
      </w:pPr>
      <w:r>
        <w:rPr>
          <w:rFonts w:hint="eastAsia" w:ascii="宋体" w:eastAsia="宋体" w:cs="方正仿宋_GBK"/>
          <w:snapToGrid w:val="0"/>
          <w:kern w:val="0"/>
          <w:sz w:val="21"/>
          <w:szCs w:val="21"/>
        </w:rPr>
        <w:t>显示三相电压、三相电流、三相功率，自动计算出变压器的阻抗电压百分比，折算到额定温度、额定电流下的负载损耗，自动判断出油浸式或干式配电变压器的铁芯型号，测试过程中具有报警自适应提示功能，方便现场用户使用。</w:t>
      </w:r>
    </w:p>
    <w:p>
      <w:pPr>
        <w:pStyle w:val="41"/>
        <w:numPr>
          <w:ilvl w:val="0"/>
          <w:numId w:val="0"/>
        </w:numPr>
        <w:adjustRightInd w:val="0"/>
        <w:snapToGrid w:val="0"/>
        <w:spacing w:line="360" w:lineRule="auto"/>
        <w:ind w:firstLine="420" w:firstLineChars="200"/>
        <w:outlineLvl w:val="9"/>
        <w:rPr>
          <w:rFonts w:hint="eastAsia" w:ascii="宋体" w:eastAsia="宋体" w:cs="方正仿宋_GBK"/>
          <w:snapToGrid w:val="0"/>
          <w:kern w:val="0"/>
          <w:sz w:val="21"/>
          <w:szCs w:val="21"/>
        </w:rPr>
      </w:pPr>
      <w:r>
        <w:rPr>
          <w:rFonts w:hint="eastAsia" w:ascii="宋体" w:eastAsia="宋体" w:cs="方正仿宋_GBK"/>
          <w:snapToGrid w:val="0"/>
          <w:kern w:val="0"/>
          <w:sz w:val="21"/>
          <w:szCs w:val="21"/>
          <w:lang w:val="en-US" w:eastAsia="zh-CN"/>
        </w:rPr>
        <w:t>5.4</w:t>
      </w:r>
      <w:r>
        <w:rPr>
          <w:rFonts w:hint="eastAsia" w:ascii="宋体" w:eastAsia="宋体" w:cs="方正仿宋_GBK"/>
          <w:snapToGrid w:val="0"/>
          <w:kern w:val="0"/>
          <w:sz w:val="21"/>
          <w:szCs w:val="21"/>
        </w:rPr>
        <w:t>空载损耗</w:t>
      </w:r>
    </w:p>
    <w:p>
      <w:pPr>
        <w:pStyle w:val="41"/>
        <w:numPr>
          <w:ilvl w:val="0"/>
          <w:numId w:val="0"/>
        </w:numPr>
        <w:adjustRightInd w:val="0"/>
        <w:snapToGrid w:val="0"/>
        <w:spacing w:line="360" w:lineRule="auto"/>
        <w:ind w:firstLine="420" w:firstLineChars="200"/>
        <w:outlineLvl w:val="9"/>
        <w:rPr>
          <w:rFonts w:hint="eastAsia" w:ascii="宋体" w:eastAsia="宋体" w:cs="方正仿宋_GBK"/>
          <w:snapToGrid w:val="0"/>
          <w:kern w:val="0"/>
          <w:sz w:val="21"/>
          <w:szCs w:val="21"/>
        </w:rPr>
      </w:pPr>
      <w:r>
        <w:rPr>
          <w:rFonts w:hint="eastAsia" w:ascii="宋体" w:eastAsia="宋体" w:cs="方正仿宋_GBK"/>
          <w:snapToGrid w:val="0"/>
          <w:kern w:val="0"/>
          <w:sz w:val="21"/>
          <w:szCs w:val="21"/>
        </w:rPr>
        <w:t>仪器显示三相电压、三相电流、三相功率，仪器显示施加电源波形的畸变率，自动计算出变压器的空载电流折算到额定电压下且进行了波形畸变校正的空载损耗，并显示油浸式或干式配电变压器铁芯的型号。</w:t>
      </w:r>
    </w:p>
    <w:p>
      <w:pPr>
        <w:pStyle w:val="41"/>
        <w:numPr>
          <w:ilvl w:val="0"/>
          <w:numId w:val="0"/>
        </w:numPr>
        <w:adjustRightInd w:val="0"/>
        <w:snapToGrid w:val="0"/>
        <w:spacing w:line="360" w:lineRule="auto"/>
        <w:ind w:firstLine="420" w:firstLineChars="200"/>
        <w:outlineLvl w:val="9"/>
        <w:rPr>
          <w:rFonts w:hint="eastAsia" w:ascii="宋体" w:eastAsia="宋体" w:cs="方正仿宋_GBK"/>
          <w:snapToGrid w:val="0"/>
          <w:kern w:val="0"/>
          <w:sz w:val="21"/>
          <w:szCs w:val="21"/>
        </w:rPr>
      </w:pPr>
      <w:r>
        <w:rPr>
          <w:rFonts w:hint="eastAsia" w:ascii="宋体" w:eastAsia="宋体" w:cs="方正仿宋_GBK"/>
          <w:snapToGrid w:val="0"/>
          <w:kern w:val="0"/>
          <w:sz w:val="21"/>
          <w:szCs w:val="21"/>
          <w:lang w:val="en-US" w:eastAsia="zh-CN"/>
        </w:rPr>
        <w:t>5.5</w:t>
      </w:r>
      <w:r>
        <w:rPr>
          <w:rFonts w:hint="eastAsia" w:ascii="宋体" w:eastAsia="宋体" w:cs="方正仿宋_GBK"/>
          <w:snapToGrid w:val="0"/>
          <w:kern w:val="0"/>
          <w:sz w:val="21"/>
          <w:szCs w:val="21"/>
        </w:rPr>
        <w:t>单相测量</w:t>
      </w:r>
    </w:p>
    <w:p>
      <w:pPr>
        <w:pStyle w:val="41"/>
        <w:numPr>
          <w:ilvl w:val="0"/>
          <w:numId w:val="0"/>
        </w:numPr>
        <w:adjustRightInd w:val="0"/>
        <w:snapToGrid w:val="0"/>
        <w:spacing w:line="360" w:lineRule="auto"/>
        <w:ind w:firstLine="420" w:firstLineChars="200"/>
        <w:outlineLvl w:val="9"/>
        <w:rPr>
          <w:rFonts w:hint="eastAsia" w:ascii="宋体" w:eastAsia="宋体" w:cs="方正仿宋_GBK"/>
          <w:snapToGrid w:val="0"/>
          <w:kern w:val="0"/>
          <w:sz w:val="21"/>
          <w:szCs w:val="21"/>
        </w:rPr>
      </w:pPr>
      <w:r>
        <w:rPr>
          <w:rFonts w:hint="eastAsia" w:ascii="宋体" w:eastAsia="宋体" w:cs="方正仿宋_GBK"/>
          <w:snapToGrid w:val="0"/>
          <w:kern w:val="0"/>
          <w:sz w:val="21"/>
          <w:szCs w:val="21"/>
        </w:rPr>
        <w:t>可用于检查变压器单相的缺陷或用于现场无三相电的情况。仪器可记录三次单相测量的数据，并可根据变压器不同的联结方式计算出变压器的空载电流、空载损耗、阻抗电压和负载损耗。</w:t>
      </w:r>
    </w:p>
    <w:p>
      <w:pPr>
        <w:pStyle w:val="41"/>
        <w:numPr>
          <w:ilvl w:val="0"/>
          <w:numId w:val="0"/>
        </w:numPr>
        <w:adjustRightInd w:val="0"/>
        <w:snapToGrid w:val="0"/>
        <w:spacing w:line="360" w:lineRule="auto"/>
        <w:ind w:firstLine="420" w:firstLineChars="200"/>
        <w:outlineLvl w:val="9"/>
        <w:rPr>
          <w:rFonts w:hint="eastAsia" w:ascii="宋体" w:eastAsia="宋体" w:cs="方正仿宋_GBK"/>
          <w:snapToGrid w:val="0"/>
          <w:kern w:val="0"/>
          <w:sz w:val="21"/>
          <w:szCs w:val="21"/>
        </w:rPr>
      </w:pPr>
      <w:r>
        <w:rPr>
          <w:rFonts w:hint="eastAsia" w:ascii="宋体" w:eastAsia="宋体" w:cs="方正仿宋_GBK"/>
          <w:snapToGrid w:val="0"/>
          <w:kern w:val="0"/>
          <w:sz w:val="21"/>
          <w:szCs w:val="21"/>
          <w:lang w:val="en-US" w:eastAsia="zh-CN"/>
        </w:rPr>
        <w:t>5.6</w:t>
      </w:r>
      <w:r>
        <w:rPr>
          <w:rFonts w:hint="eastAsia" w:ascii="宋体" w:eastAsia="宋体" w:cs="方正仿宋_GBK"/>
          <w:snapToGrid w:val="0"/>
          <w:kern w:val="0"/>
          <w:sz w:val="21"/>
          <w:szCs w:val="21"/>
        </w:rPr>
        <w:t>零序阻抗</w:t>
      </w:r>
    </w:p>
    <w:p>
      <w:pPr>
        <w:pStyle w:val="41"/>
        <w:numPr>
          <w:ilvl w:val="0"/>
          <w:numId w:val="0"/>
        </w:numPr>
        <w:adjustRightInd w:val="0"/>
        <w:snapToGrid w:val="0"/>
        <w:spacing w:line="360" w:lineRule="auto"/>
        <w:ind w:firstLine="420" w:firstLineChars="200"/>
        <w:outlineLvl w:val="9"/>
        <w:rPr>
          <w:rFonts w:hint="eastAsia" w:ascii="宋体" w:eastAsia="宋体" w:cs="方正仿宋_GBK"/>
          <w:snapToGrid w:val="0"/>
          <w:kern w:val="0"/>
          <w:sz w:val="21"/>
          <w:szCs w:val="21"/>
          <w:lang w:eastAsia="zh-CN"/>
        </w:rPr>
      </w:pPr>
      <w:r>
        <w:rPr>
          <w:rFonts w:hint="eastAsia" w:ascii="宋体" w:eastAsia="宋体" w:cs="方正仿宋_GBK"/>
          <w:snapToGrid w:val="0"/>
          <w:kern w:val="0"/>
          <w:sz w:val="21"/>
          <w:szCs w:val="21"/>
        </w:rPr>
        <w:t>零序阻抗的测量适用于高压侧星形接线带中性点的变压器，仪器可记录零序阻抗、零序电抗、零序电感、阻抗角、零序电阻。</w:t>
      </w:r>
    </w:p>
    <w:p>
      <w:pPr>
        <w:pStyle w:val="41"/>
        <w:numPr>
          <w:ilvl w:val="0"/>
          <w:numId w:val="0"/>
        </w:numPr>
        <w:adjustRightInd w:val="0"/>
        <w:snapToGrid w:val="0"/>
        <w:spacing w:line="360" w:lineRule="auto"/>
        <w:ind w:firstLine="420" w:firstLineChars="200"/>
        <w:outlineLvl w:val="9"/>
        <w:rPr>
          <w:rFonts w:hint="eastAsia" w:ascii="宋体" w:eastAsia="宋体" w:cs="方正仿宋_GBK"/>
          <w:snapToGrid w:val="0"/>
          <w:kern w:val="0"/>
          <w:sz w:val="21"/>
          <w:szCs w:val="21"/>
        </w:rPr>
      </w:pPr>
      <w:r>
        <w:rPr>
          <w:rFonts w:hint="eastAsia" w:ascii="宋体" w:eastAsia="宋体" w:cs="方正仿宋_GBK"/>
          <w:snapToGrid w:val="0"/>
          <w:kern w:val="0"/>
          <w:sz w:val="21"/>
          <w:szCs w:val="21"/>
          <w:lang w:val="en-US" w:eastAsia="zh-CN"/>
        </w:rPr>
        <w:t>5.7</w:t>
      </w:r>
      <w:r>
        <w:rPr>
          <w:rFonts w:hint="eastAsia" w:ascii="宋体" w:eastAsia="宋体" w:cs="方正仿宋_GBK"/>
          <w:snapToGrid w:val="0"/>
          <w:kern w:val="0"/>
          <w:sz w:val="21"/>
          <w:szCs w:val="21"/>
        </w:rPr>
        <w:t>容量</w:t>
      </w:r>
    </w:p>
    <w:p>
      <w:pPr>
        <w:pStyle w:val="41"/>
        <w:numPr>
          <w:ilvl w:val="0"/>
          <w:numId w:val="0"/>
        </w:numPr>
        <w:adjustRightInd w:val="0"/>
        <w:snapToGrid w:val="0"/>
        <w:spacing w:line="360" w:lineRule="auto"/>
        <w:ind w:firstLine="420" w:firstLineChars="200"/>
        <w:outlineLvl w:val="9"/>
        <w:rPr>
          <w:rFonts w:hint="eastAsia" w:ascii="宋体" w:eastAsia="宋体" w:cs="方正仿宋_GBK"/>
          <w:snapToGrid w:val="0"/>
          <w:kern w:val="0"/>
          <w:sz w:val="21"/>
          <w:szCs w:val="21"/>
        </w:rPr>
      </w:pPr>
      <w:r>
        <w:rPr>
          <w:rFonts w:hint="eastAsia" w:ascii="宋体" w:eastAsia="宋体" w:cs="方正仿宋_GBK"/>
          <w:snapToGrid w:val="0"/>
          <w:kern w:val="0"/>
          <w:sz w:val="21"/>
          <w:szCs w:val="21"/>
        </w:rPr>
        <w:t>仪器内置可充电锂电池，本身可输出三相正弦波逆变电源，输出电压自动调节，具有软启、软停功能，无需任何外部电源可实现配电变压器容量的测量和型号的判断，同时显示变压器阻抗电压和折算到额定温度、额定电流下的负载损耗</w:t>
      </w:r>
    </w:p>
    <w:p>
      <w:pPr>
        <w:pStyle w:val="41"/>
        <w:numPr>
          <w:ilvl w:val="0"/>
          <w:numId w:val="0"/>
        </w:numPr>
        <w:adjustRightInd w:val="0"/>
        <w:snapToGrid w:val="0"/>
        <w:spacing w:line="360" w:lineRule="auto"/>
        <w:ind w:firstLine="420" w:firstLineChars="200"/>
        <w:outlineLvl w:val="9"/>
        <w:rPr>
          <w:rFonts w:hint="eastAsia" w:ascii="宋体" w:eastAsia="宋体" w:cs="方正仿宋_GBK"/>
          <w:snapToGrid w:val="0"/>
          <w:kern w:val="0"/>
          <w:sz w:val="21"/>
          <w:szCs w:val="21"/>
        </w:rPr>
      </w:pPr>
      <w:r>
        <w:rPr>
          <w:rFonts w:hint="eastAsia" w:ascii="宋体" w:eastAsia="宋体" w:cs="方正仿宋_GBK"/>
          <w:snapToGrid w:val="0"/>
          <w:kern w:val="0"/>
          <w:sz w:val="21"/>
          <w:szCs w:val="21"/>
          <w:lang w:val="en-US" w:eastAsia="zh-CN"/>
        </w:rPr>
        <w:t>5.8</w:t>
      </w:r>
      <w:r>
        <w:rPr>
          <w:rFonts w:hint="eastAsia" w:ascii="宋体" w:eastAsia="宋体" w:cs="方正仿宋_GBK"/>
          <w:snapToGrid w:val="0"/>
          <w:kern w:val="0"/>
          <w:sz w:val="21"/>
          <w:szCs w:val="21"/>
        </w:rPr>
        <w:t>存储方式</w:t>
      </w:r>
    </w:p>
    <w:p>
      <w:pPr>
        <w:pStyle w:val="41"/>
        <w:numPr>
          <w:ilvl w:val="0"/>
          <w:numId w:val="0"/>
        </w:numPr>
        <w:adjustRightInd w:val="0"/>
        <w:snapToGrid w:val="0"/>
        <w:spacing w:line="360" w:lineRule="auto"/>
        <w:ind w:firstLine="420" w:firstLineChars="200"/>
        <w:outlineLvl w:val="9"/>
        <w:rPr>
          <w:rFonts w:hint="eastAsia" w:ascii="宋体" w:eastAsia="宋体" w:cs="方正仿宋_GBK"/>
          <w:snapToGrid w:val="0"/>
          <w:kern w:val="0"/>
          <w:sz w:val="21"/>
          <w:szCs w:val="21"/>
        </w:rPr>
      </w:pPr>
      <w:r>
        <w:rPr>
          <w:rFonts w:hint="eastAsia" w:ascii="宋体" w:eastAsia="宋体" w:cs="方正仿宋_GBK"/>
          <w:snapToGrid w:val="0"/>
          <w:kern w:val="0"/>
          <w:sz w:val="21"/>
          <w:szCs w:val="21"/>
        </w:rPr>
        <w:t>数据存储方式分为本机存储和优盘存储，其中本机存储可存储测试数据200条，并且本机存储可转存至优盘；优盘存储数据格式为Word格式，可直接在电脑上编辑打印。</w:t>
      </w:r>
    </w:p>
    <w:p>
      <w:pPr>
        <w:pStyle w:val="41"/>
        <w:numPr>
          <w:ilvl w:val="0"/>
          <w:numId w:val="0"/>
        </w:numPr>
        <w:adjustRightInd w:val="0"/>
        <w:snapToGrid w:val="0"/>
        <w:spacing w:line="360" w:lineRule="auto"/>
        <w:ind w:firstLine="420" w:firstLineChars="200"/>
        <w:outlineLvl w:val="9"/>
        <w:rPr>
          <w:rFonts w:hint="eastAsia" w:ascii="宋体" w:eastAsia="宋体" w:cs="方正仿宋_GBK"/>
          <w:snapToGrid w:val="0"/>
          <w:kern w:val="0"/>
          <w:sz w:val="21"/>
          <w:szCs w:val="21"/>
        </w:rPr>
      </w:pPr>
      <w:r>
        <w:rPr>
          <w:rFonts w:hint="eastAsia" w:ascii="宋体" w:eastAsia="宋体" w:cs="方正仿宋_GBK"/>
          <w:snapToGrid w:val="0"/>
          <w:kern w:val="0"/>
          <w:sz w:val="21"/>
          <w:szCs w:val="21"/>
          <w:lang w:val="en-US" w:eastAsia="zh-CN"/>
        </w:rPr>
        <w:t>5.9</w:t>
      </w:r>
      <w:r>
        <w:rPr>
          <w:rFonts w:hint="eastAsia" w:ascii="宋体" w:eastAsia="宋体" w:cs="方正仿宋_GBK"/>
          <w:snapToGrid w:val="0"/>
          <w:kern w:val="0"/>
          <w:sz w:val="21"/>
          <w:szCs w:val="21"/>
        </w:rPr>
        <w:t>打印功能</w:t>
      </w:r>
    </w:p>
    <w:p>
      <w:pPr>
        <w:pStyle w:val="41"/>
        <w:numPr>
          <w:ilvl w:val="0"/>
          <w:numId w:val="0"/>
        </w:numPr>
        <w:adjustRightInd w:val="0"/>
        <w:snapToGrid w:val="0"/>
        <w:spacing w:line="360" w:lineRule="auto"/>
        <w:ind w:firstLine="420" w:firstLineChars="200"/>
        <w:outlineLvl w:val="9"/>
        <w:rPr>
          <w:rFonts w:hint="eastAsia" w:ascii="宋体" w:eastAsia="宋体" w:cs="方正仿宋_GBK"/>
          <w:snapToGrid w:val="0"/>
          <w:kern w:val="0"/>
          <w:sz w:val="21"/>
          <w:szCs w:val="21"/>
        </w:rPr>
      </w:pPr>
      <w:r>
        <w:rPr>
          <w:rFonts w:hint="eastAsia" w:ascii="宋体" w:eastAsia="宋体" w:cs="方正仿宋_GBK"/>
          <w:snapToGrid w:val="0"/>
          <w:kern w:val="0"/>
          <w:sz w:val="21"/>
          <w:szCs w:val="21"/>
        </w:rPr>
        <w:t>热敏打印机打印功能，快速、无声</w:t>
      </w:r>
    </w:p>
    <w:p>
      <w:pPr>
        <w:pStyle w:val="41"/>
        <w:numPr>
          <w:ilvl w:val="0"/>
          <w:numId w:val="0"/>
        </w:numPr>
        <w:adjustRightInd w:val="0"/>
        <w:snapToGrid w:val="0"/>
        <w:spacing w:line="360" w:lineRule="auto"/>
        <w:ind w:firstLine="420" w:firstLineChars="200"/>
        <w:outlineLvl w:val="9"/>
        <w:rPr>
          <w:rFonts w:hint="eastAsia" w:ascii="宋体" w:eastAsia="宋体" w:cs="方正仿宋_GBK"/>
          <w:snapToGrid w:val="0"/>
          <w:kern w:val="0"/>
          <w:sz w:val="21"/>
          <w:szCs w:val="21"/>
        </w:rPr>
      </w:pPr>
      <w:r>
        <w:rPr>
          <w:rFonts w:hint="eastAsia" w:ascii="宋体" w:eastAsia="宋体" w:cs="方正仿宋_GBK"/>
          <w:snapToGrid w:val="0"/>
          <w:kern w:val="0"/>
          <w:sz w:val="21"/>
          <w:szCs w:val="21"/>
          <w:lang w:val="en-US" w:eastAsia="zh-CN"/>
        </w:rPr>
        <w:t>5.10</w:t>
      </w:r>
      <w:r>
        <w:rPr>
          <w:rFonts w:hint="eastAsia" w:ascii="宋体" w:eastAsia="宋体" w:cs="方正仿宋_GBK"/>
          <w:snapToGrid w:val="0"/>
          <w:kern w:val="0"/>
          <w:sz w:val="21"/>
          <w:szCs w:val="21"/>
        </w:rPr>
        <w:t>充电管理</w:t>
      </w:r>
    </w:p>
    <w:p>
      <w:pPr>
        <w:pStyle w:val="41"/>
        <w:numPr>
          <w:ilvl w:val="0"/>
          <w:numId w:val="0"/>
        </w:numPr>
        <w:adjustRightInd w:val="0"/>
        <w:snapToGrid w:val="0"/>
        <w:spacing w:line="360" w:lineRule="auto"/>
        <w:ind w:firstLine="420" w:firstLineChars="200"/>
        <w:outlineLvl w:val="9"/>
        <w:rPr>
          <w:rFonts w:hint="eastAsia" w:ascii="宋体" w:eastAsia="宋体" w:cs="方正仿宋_GBK"/>
          <w:snapToGrid w:val="0"/>
          <w:kern w:val="0"/>
          <w:sz w:val="21"/>
          <w:szCs w:val="21"/>
        </w:rPr>
      </w:pPr>
      <w:r>
        <w:rPr>
          <w:rFonts w:hint="eastAsia" w:ascii="宋体" w:eastAsia="宋体" w:cs="方正仿宋_GBK"/>
          <w:snapToGrid w:val="0"/>
          <w:kern w:val="0"/>
          <w:sz w:val="21"/>
          <w:szCs w:val="21"/>
        </w:rPr>
        <w:t>智能充电管理，剩余电量显示，低电量报警，背光自动调节，节省电量。</w:t>
      </w:r>
    </w:p>
    <w:p>
      <w:pPr>
        <w:pStyle w:val="41"/>
        <w:numPr>
          <w:ilvl w:val="0"/>
          <w:numId w:val="0"/>
        </w:numPr>
        <w:adjustRightInd w:val="0"/>
        <w:snapToGrid w:val="0"/>
        <w:spacing w:line="360" w:lineRule="auto"/>
        <w:ind w:firstLine="420" w:firstLineChars="200"/>
        <w:outlineLvl w:val="9"/>
        <w:rPr>
          <w:rFonts w:hint="eastAsia" w:ascii="宋体" w:eastAsia="宋体" w:cs="方正仿宋_GBK"/>
          <w:snapToGrid w:val="0"/>
          <w:kern w:val="0"/>
          <w:sz w:val="21"/>
          <w:szCs w:val="21"/>
        </w:rPr>
      </w:pPr>
      <w:r>
        <w:rPr>
          <w:rFonts w:hint="eastAsia" w:ascii="宋体" w:eastAsia="宋体" w:cs="方正仿宋_GBK"/>
          <w:snapToGrid w:val="0"/>
          <w:kern w:val="0"/>
          <w:sz w:val="21"/>
          <w:szCs w:val="21"/>
        </w:rPr>
        <w:t>5.1</w:t>
      </w:r>
      <w:r>
        <w:rPr>
          <w:rFonts w:hint="eastAsia" w:ascii="宋体" w:eastAsia="宋体" w:cs="方正仿宋_GBK"/>
          <w:snapToGrid w:val="0"/>
          <w:kern w:val="0"/>
          <w:sz w:val="21"/>
          <w:szCs w:val="21"/>
          <w:lang w:val="en-US" w:eastAsia="zh-CN"/>
        </w:rPr>
        <w:t>1</w:t>
      </w:r>
      <w:r>
        <w:rPr>
          <w:rFonts w:hint="eastAsia" w:ascii="宋体" w:eastAsia="宋体" w:cs="方正仿宋_GBK"/>
          <w:snapToGrid w:val="0"/>
          <w:kern w:val="0"/>
          <w:sz w:val="21"/>
          <w:szCs w:val="21"/>
        </w:rPr>
        <w:t>外观要求</w:t>
      </w:r>
    </w:p>
    <w:p>
      <w:pPr>
        <w:pStyle w:val="41"/>
        <w:numPr>
          <w:ilvl w:val="0"/>
          <w:numId w:val="0"/>
        </w:numPr>
        <w:adjustRightInd w:val="0"/>
        <w:snapToGrid w:val="0"/>
        <w:spacing w:line="360" w:lineRule="auto"/>
        <w:ind w:firstLine="420" w:firstLineChars="200"/>
        <w:outlineLvl w:val="9"/>
        <w:rPr>
          <w:rFonts w:hint="eastAsia" w:ascii="宋体" w:eastAsia="宋体" w:cs="方正仿宋_GBK"/>
          <w:snapToGrid w:val="0"/>
          <w:kern w:val="0"/>
          <w:sz w:val="21"/>
          <w:szCs w:val="21"/>
        </w:rPr>
      </w:pPr>
      <w:r>
        <w:rPr>
          <w:rFonts w:hint="eastAsia" w:ascii="宋体" w:eastAsia="宋体" w:cs="方正仿宋_GBK"/>
          <w:snapToGrid w:val="0"/>
          <w:kern w:val="0"/>
          <w:sz w:val="21"/>
          <w:szCs w:val="21"/>
        </w:rPr>
        <w:t>5.1</w:t>
      </w:r>
      <w:r>
        <w:rPr>
          <w:rFonts w:hint="eastAsia" w:ascii="宋体" w:eastAsia="宋体" w:cs="方正仿宋_GBK"/>
          <w:snapToGrid w:val="0"/>
          <w:kern w:val="0"/>
          <w:sz w:val="21"/>
          <w:szCs w:val="21"/>
          <w:lang w:val="en-US" w:eastAsia="zh-CN"/>
        </w:rPr>
        <w:t>1</w:t>
      </w:r>
      <w:r>
        <w:rPr>
          <w:rFonts w:hint="eastAsia" w:ascii="宋体" w:eastAsia="宋体" w:cs="方正仿宋_GBK"/>
          <w:snapToGrid w:val="0"/>
          <w:kern w:val="0"/>
          <w:sz w:val="21"/>
          <w:szCs w:val="21"/>
        </w:rPr>
        <w:t>.1外壳应采用耐腐蚀、阻燃、抗磨、防潮、轻型材质。</w:t>
      </w:r>
    </w:p>
    <w:p>
      <w:pPr>
        <w:pStyle w:val="41"/>
        <w:numPr>
          <w:ilvl w:val="0"/>
          <w:numId w:val="0"/>
        </w:numPr>
        <w:adjustRightInd w:val="0"/>
        <w:snapToGrid w:val="0"/>
        <w:spacing w:line="360" w:lineRule="auto"/>
        <w:ind w:firstLine="420" w:firstLineChars="200"/>
        <w:outlineLvl w:val="9"/>
        <w:rPr>
          <w:rFonts w:hint="eastAsia" w:ascii="宋体" w:eastAsia="宋体" w:cs="方正仿宋_GBK"/>
          <w:snapToGrid w:val="0"/>
          <w:kern w:val="0"/>
          <w:sz w:val="21"/>
          <w:szCs w:val="21"/>
        </w:rPr>
      </w:pPr>
      <w:r>
        <w:rPr>
          <w:rFonts w:hint="eastAsia" w:ascii="宋体" w:eastAsia="宋体" w:cs="方正仿宋_GBK"/>
          <w:snapToGrid w:val="0"/>
          <w:kern w:val="0"/>
          <w:sz w:val="21"/>
          <w:szCs w:val="21"/>
        </w:rPr>
        <w:t>5.1</w:t>
      </w:r>
      <w:r>
        <w:rPr>
          <w:rFonts w:hint="eastAsia" w:ascii="宋体" w:eastAsia="宋体" w:cs="方正仿宋_GBK"/>
          <w:snapToGrid w:val="0"/>
          <w:kern w:val="0"/>
          <w:sz w:val="21"/>
          <w:szCs w:val="21"/>
          <w:lang w:val="en-US" w:eastAsia="zh-CN"/>
        </w:rPr>
        <w:t>1</w:t>
      </w:r>
      <w:r>
        <w:rPr>
          <w:rFonts w:hint="eastAsia" w:ascii="宋体" w:eastAsia="宋体" w:cs="方正仿宋_GBK"/>
          <w:snapToGrid w:val="0"/>
          <w:kern w:val="0"/>
          <w:sz w:val="21"/>
          <w:szCs w:val="21"/>
        </w:rPr>
        <w:t>.2接线端导体应采用铜材制作并有耐腐蚀金属镀层，其导杆直径及接触端面应有足够尺寸，接触端面应加工良好；接线端应组装在面板上，排列应便于使用，并有足够安全距离，导体与面板间应有良好的绝缘性能。</w:t>
      </w:r>
    </w:p>
    <w:p>
      <w:pPr>
        <w:pStyle w:val="3"/>
        <w:keepNext w:val="0"/>
        <w:keepLines w:val="0"/>
        <w:numPr>
          <w:ilvl w:val="0"/>
          <w:numId w:val="3"/>
        </w:numPr>
        <w:snapToGrid w:val="0"/>
        <w:spacing w:line="324" w:lineRule="auto"/>
        <w:ind w:leftChars="0"/>
        <w:rPr>
          <w:rFonts w:hint="eastAsia" w:hAnsi="宋体"/>
          <w:bCs/>
          <w:color w:val="000000"/>
          <w:sz w:val="21"/>
          <w:szCs w:val="21"/>
          <w:highlight w:val="none"/>
        </w:rPr>
      </w:pPr>
      <w:bookmarkStart w:id="9" w:name="_Toc4466"/>
      <w:r>
        <w:rPr>
          <w:rFonts w:hint="eastAsia" w:hAnsi="宋体"/>
          <w:bCs/>
          <w:color w:val="000000"/>
          <w:sz w:val="21"/>
          <w:szCs w:val="21"/>
          <w:highlight w:val="none"/>
        </w:rPr>
        <w:t>主要参数和性能指标</w:t>
      </w:r>
      <w:bookmarkEnd w:id="9"/>
    </w:p>
    <w:p>
      <w:pPr>
        <w:pStyle w:val="41"/>
        <w:numPr>
          <w:ilvl w:val="0"/>
          <w:numId w:val="0"/>
        </w:numPr>
        <w:adjustRightInd w:val="0"/>
        <w:snapToGrid w:val="0"/>
        <w:spacing w:line="360" w:lineRule="auto"/>
        <w:ind w:firstLine="420" w:firstLineChars="200"/>
        <w:outlineLvl w:val="9"/>
        <w:rPr>
          <w:rFonts w:hint="eastAsia" w:ascii="宋体" w:eastAsia="宋体" w:cs="方正仿宋_GBK"/>
          <w:snapToGrid w:val="0"/>
          <w:kern w:val="0"/>
          <w:sz w:val="21"/>
          <w:szCs w:val="21"/>
          <w:lang w:val="en-US" w:eastAsia="zh-CN"/>
        </w:rPr>
      </w:pPr>
      <w:r>
        <w:rPr>
          <w:rFonts w:hint="eastAsia" w:ascii="宋体" w:eastAsia="宋体" w:cs="方正仿宋_GBK"/>
          <w:snapToGrid w:val="0"/>
          <w:kern w:val="0"/>
          <w:sz w:val="21"/>
          <w:szCs w:val="21"/>
          <w:lang w:val="en-US" w:eastAsia="zh-CN"/>
        </w:rPr>
        <w:t>6.1内置电源输出范围</w:t>
      </w:r>
    </w:p>
    <w:p>
      <w:pPr>
        <w:pStyle w:val="41"/>
        <w:numPr>
          <w:ilvl w:val="0"/>
          <w:numId w:val="0"/>
        </w:numPr>
        <w:adjustRightInd w:val="0"/>
        <w:snapToGrid w:val="0"/>
        <w:spacing w:line="360" w:lineRule="auto"/>
        <w:ind w:firstLine="420" w:firstLineChars="200"/>
        <w:outlineLvl w:val="9"/>
        <w:rPr>
          <w:rFonts w:hint="eastAsia" w:ascii="宋体" w:eastAsia="宋体" w:cs="方正仿宋_GBK"/>
          <w:snapToGrid w:val="0"/>
          <w:kern w:val="0"/>
          <w:sz w:val="21"/>
          <w:szCs w:val="21"/>
          <w:lang w:val="en-US" w:eastAsia="zh-CN"/>
        </w:rPr>
      </w:pPr>
      <w:r>
        <w:rPr>
          <w:rFonts w:hint="eastAsia" w:ascii="宋体" w:eastAsia="宋体" w:cs="方正仿宋_GBK"/>
          <w:snapToGrid w:val="0"/>
          <w:kern w:val="0"/>
          <w:sz w:val="21"/>
          <w:szCs w:val="21"/>
          <w:lang w:val="en-US" w:eastAsia="zh-CN"/>
        </w:rPr>
        <w:t xml:space="preserve">   电压：0～10V  电流：0～10A</w:t>
      </w:r>
    </w:p>
    <w:p>
      <w:pPr>
        <w:pStyle w:val="41"/>
        <w:numPr>
          <w:ilvl w:val="0"/>
          <w:numId w:val="0"/>
        </w:numPr>
        <w:adjustRightInd w:val="0"/>
        <w:snapToGrid w:val="0"/>
        <w:spacing w:line="360" w:lineRule="auto"/>
        <w:ind w:firstLine="420" w:firstLineChars="200"/>
        <w:outlineLvl w:val="9"/>
        <w:rPr>
          <w:rFonts w:hint="eastAsia" w:ascii="宋体" w:eastAsia="宋体" w:cs="方正仿宋_GBK"/>
          <w:snapToGrid w:val="0"/>
          <w:kern w:val="0"/>
          <w:sz w:val="21"/>
          <w:szCs w:val="21"/>
          <w:lang w:val="en-US" w:eastAsia="zh-CN"/>
        </w:rPr>
      </w:pPr>
      <w:r>
        <w:rPr>
          <w:rFonts w:hint="eastAsia" w:ascii="宋体" w:eastAsia="宋体" w:cs="方正仿宋_GBK"/>
          <w:snapToGrid w:val="0"/>
          <w:kern w:val="0"/>
          <w:sz w:val="21"/>
          <w:szCs w:val="21"/>
          <w:lang w:val="en-US" w:eastAsia="zh-CN"/>
        </w:rPr>
        <w:t>6.2特性测试电源输入范围</w:t>
      </w:r>
    </w:p>
    <w:p>
      <w:pPr>
        <w:pStyle w:val="41"/>
        <w:numPr>
          <w:ilvl w:val="0"/>
          <w:numId w:val="0"/>
        </w:numPr>
        <w:adjustRightInd w:val="0"/>
        <w:snapToGrid w:val="0"/>
        <w:spacing w:line="360" w:lineRule="auto"/>
        <w:ind w:firstLine="420" w:firstLineChars="200"/>
        <w:outlineLvl w:val="9"/>
        <w:rPr>
          <w:rFonts w:hint="eastAsia" w:ascii="宋体" w:eastAsia="宋体" w:cs="方正仿宋_GBK"/>
          <w:snapToGrid w:val="0"/>
          <w:kern w:val="0"/>
          <w:sz w:val="21"/>
          <w:szCs w:val="21"/>
          <w:lang w:val="en-US" w:eastAsia="zh-CN"/>
        </w:rPr>
      </w:pPr>
      <w:r>
        <w:rPr>
          <w:rFonts w:hint="eastAsia" w:ascii="宋体" w:eastAsia="宋体" w:cs="方正仿宋_GBK"/>
          <w:snapToGrid w:val="0"/>
          <w:kern w:val="0"/>
          <w:sz w:val="21"/>
          <w:szCs w:val="21"/>
          <w:lang w:val="en-US" w:eastAsia="zh-CN"/>
        </w:rPr>
        <w:t xml:space="preserve">   电压：0～750V   电流：0～100A</w:t>
      </w:r>
    </w:p>
    <w:p>
      <w:pPr>
        <w:pStyle w:val="41"/>
        <w:numPr>
          <w:ilvl w:val="0"/>
          <w:numId w:val="0"/>
        </w:numPr>
        <w:adjustRightInd w:val="0"/>
        <w:snapToGrid w:val="0"/>
        <w:spacing w:line="360" w:lineRule="auto"/>
        <w:ind w:firstLine="420" w:firstLineChars="200"/>
        <w:outlineLvl w:val="9"/>
        <w:rPr>
          <w:rFonts w:hint="eastAsia" w:ascii="宋体" w:eastAsia="宋体" w:cs="方正仿宋_GBK"/>
          <w:snapToGrid w:val="0"/>
          <w:kern w:val="0"/>
          <w:sz w:val="21"/>
          <w:szCs w:val="21"/>
          <w:lang w:val="en-US" w:eastAsia="zh-CN"/>
        </w:rPr>
      </w:pPr>
      <w:r>
        <w:rPr>
          <w:rFonts w:hint="eastAsia" w:ascii="宋体" w:eastAsia="宋体" w:cs="方正仿宋_GBK"/>
          <w:snapToGrid w:val="0"/>
          <w:kern w:val="0"/>
          <w:sz w:val="21"/>
          <w:szCs w:val="21"/>
          <w:lang w:val="en-US" w:eastAsia="zh-CN"/>
        </w:rPr>
        <w:t xml:space="preserve">   频率：45~65Hz</w:t>
      </w:r>
    </w:p>
    <w:p>
      <w:pPr>
        <w:pStyle w:val="41"/>
        <w:numPr>
          <w:ilvl w:val="0"/>
          <w:numId w:val="0"/>
        </w:numPr>
        <w:adjustRightInd w:val="0"/>
        <w:snapToGrid w:val="0"/>
        <w:spacing w:line="360" w:lineRule="auto"/>
        <w:ind w:firstLine="420" w:firstLineChars="200"/>
        <w:outlineLvl w:val="9"/>
        <w:rPr>
          <w:rFonts w:hint="eastAsia" w:ascii="宋体" w:eastAsia="宋体" w:cs="方正仿宋_GBK"/>
          <w:snapToGrid w:val="0"/>
          <w:kern w:val="0"/>
          <w:sz w:val="21"/>
          <w:szCs w:val="21"/>
          <w:lang w:val="en-US" w:eastAsia="zh-CN"/>
        </w:rPr>
      </w:pPr>
      <w:r>
        <w:rPr>
          <w:rFonts w:hint="eastAsia" w:ascii="宋体" w:eastAsia="宋体" w:cs="方正仿宋_GBK"/>
          <w:snapToGrid w:val="0"/>
          <w:kern w:val="0"/>
          <w:sz w:val="21"/>
          <w:szCs w:val="21"/>
          <w:lang w:val="en-US" w:eastAsia="zh-CN"/>
        </w:rPr>
        <w:t>6.3测试精确度</w:t>
      </w:r>
    </w:p>
    <w:p>
      <w:pPr>
        <w:pStyle w:val="41"/>
        <w:numPr>
          <w:ilvl w:val="0"/>
          <w:numId w:val="0"/>
        </w:numPr>
        <w:adjustRightInd w:val="0"/>
        <w:snapToGrid w:val="0"/>
        <w:spacing w:line="360" w:lineRule="auto"/>
        <w:ind w:firstLine="420" w:firstLineChars="200"/>
        <w:outlineLvl w:val="9"/>
        <w:rPr>
          <w:rFonts w:hint="eastAsia" w:ascii="宋体" w:eastAsia="宋体" w:cs="方正仿宋_GBK"/>
          <w:snapToGrid w:val="0"/>
          <w:kern w:val="0"/>
          <w:sz w:val="21"/>
          <w:szCs w:val="21"/>
          <w:lang w:val="en-US" w:eastAsia="zh-CN"/>
        </w:rPr>
      </w:pPr>
      <w:r>
        <w:rPr>
          <w:rFonts w:hint="eastAsia" w:ascii="宋体" w:eastAsia="宋体" w:cs="方正仿宋_GBK"/>
          <w:snapToGrid w:val="0"/>
          <w:kern w:val="0"/>
          <w:sz w:val="21"/>
          <w:szCs w:val="21"/>
          <w:lang w:val="en-US" w:eastAsia="zh-CN"/>
        </w:rPr>
        <w:t xml:space="preserve">   电压、电流：±0.2%读数±2个字</w:t>
      </w:r>
    </w:p>
    <w:p>
      <w:pPr>
        <w:pStyle w:val="41"/>
        <w:numPr>
          <w:ilvl w:val="0"/>
          <w:numId w:val="0"/>
        </w:numPr>
        <w:adjustRightInd w:val="0"/>
        <w:snapToGrid w:val="0"/>
        <w:spacing w:line="360" w:lineRule="auto"/>
        <w:ind w:firstLine="420" w:firstLineChars="200"/>
        <w:outlineLvl w:val="9"/>
        <w:rPr>
          <w:rFonts w:hint="eastAsia" w:ascii="宋体" w:eastAsia="宋体" w:cs="方正仿宋_GBK"/>
          <w:snapToGrid w:val="0"/>
          <w:kern w:val="0"/>
          <w:sz w:val="21"/>
          <w:szCs w:val="21"/>
          <w:lang w:val="en-US" w:eastAsia="zh-CN"/>
        </w:rPr>
      </w:pPr>
      <w:r>
        <w:rPr>
          <w:rFonts w:hint="eastAsia" w:ascii="宋体" w:eastAsia="宋体" w:cs="方正仿宋_GBK"/>
          <w:snapToGrid w:val="0"/>
          <w:kern w:val="0"/>
          <w:sz w:val="21"/>
          <w:szCs w:val="21"/>
          <w:lang w:val="en-US" w:eastAsia="zh-CN"/>
        </w:rPr>
        <w:t xml:space="preserve">   功率：（CosΦ&gt;0.1） ±0.5%读数±5个字, </w:t>
      </w:r>
    </w:p>
    <w:p>
      <w:pPr>
        <w:pStyle w:val="41"/>
        <w:numPr>
          <w:ilvl w:val="0"/>
          <w:numId w:val="0"/>
        </w:numPr>
        <w:adjustRightInd w:val="0"/>
        <w:snapToGrid w:val="0"/>
        <w:spacing w:line="360" w:lineRule="auto"/>
        <w:ind w:firstLine="420" w:firstLineChars="200"/>
        <w:outlineLvl w:val="9"/>
        <w:rPr>
          <w:rFonts w:hint="eastAsia" w:ascii="宋体" w:eastAsia="宋体" w:cs="方正仿宋_GBK"/>
          <w:snapToGrid w:val="0"/>
          <w:kern w:val="0"/>
          <w:sz w:val="21"/>
          <w:szCs w:val="21"/>
          <w:lang w:val="en-US" w:eastAsia="zh-CN"/>
        </w:rPr>
      </w:pPr>
      <w:r>
        <w:rPr>
          <w:rFonts w:hint="eastAsia" w:ascii="宋体" w:eastAsia="宋体" w:cs="方正仿宋_GBK"/>
          <w:snapToGrid w:val="0"/>
          <w:kern w:val="0"/>
          <w:sz w:val="21"/>
          <w:szCs w:val="21"/>
          <w:lang w:val="en-US" w:eastAsia="zh-CN"/>
        </w:rPr>
        <w:t xml:space="preserve">         （0.02&lt;CosΦ&lt;0.1） ±1.0%读数±5个字</w:t>
      </w:r>
    </w:p>
    <w:p>
      <w:pPr>
        <w:pStyle w:val="41"/>
        <w:numPr>
          <w:ilvl w:val="0"/>
          <w:numId w:val="0"/>
        </w:numPr>
        <w:adjustRightInd w:val="0"/>
        <w:snapToGrid w:val="0"/>
        <w:spacing w:line="360" w:lineRule="auto"/>
        <w:ind w:firstLine="420" w:firstLineChars="200"/>
        <w:outlineLvl w:val="9"/>
        <w:rPr>
          <w:rFonts w:hint="eastAsia" w:ascii="宋体" w:eastAsia="宋体" w:cs="方正仿宋_GBK"/>
          <w:snapToGrid w:val="0"/>
          <w:kern w:val="0"/>
          <w:sz w:val="21"/>
          <w:szCs w:val="21"/>
          <w:lang w:val="en-US" w:eastAsia="zh-CN"/>
        </w:rPr>
      </w:pPr>
      <w:r>
        <w:rPr>
          <w:rFonts w:hint="eastAsia" w:ascii="宋体" w:eastAsia="宋体" w:cs="方正仿宋_GBK"/>
          <w:snapToGrid w:val="0"/>
          <w:kern w:val="0"/>
          <w:sz w:val="21"/>
          <w:szCs w:val="21"/>
          <w:lang w:val="en-US" w:eastAsia="zh-CN"/>
        </w:rPr>
        <w:t xml:space="preserve">   频率：±0.01Hz</w:t>
      </w:r>
    </w:p>
    <w:p>
      <w:pPr>
        <w:pStyle w:val="41"/>
        <w:numPr>
          <w:ilvl w:val="0"/>
          <w:numId w:val="0"/>
        </w:numPr>
        <w:adjustRightInd w:val="0"/>
        <w:snapToGrid w:val="0"/>
        <w:spacing w:line="360" w:lineRule="auto"/>
        <w:ind w:firstLine="420" w:firstLineChars="200"/>
        <w:outlineLvl w:val="9"/>
        <w:rPr>
          <w:rFonts w:hint="eastAsia" w:ascii="宋体" w:eastAsia="宋体" w:cs="方正仿宋_GBK"/>
          <w:snapToGrid w:val="0"/>
          <w:kern w:val="0"/>
          <w:sz w:val="21"/>
          <w:szCs w:val="21"/>
          <w:lang w:val="en-US" w:eastAsia="zh-CN"/>
        </w:rPr>
      </w:pPr>
      <w:r>
        <w:rPr>
          <w:rFonts w:hint="eastAsia" w:ascii="宋体" w:eastAsia="宋体" w:cs="方正仿宋_GBK"/>
          <w:snapToGrid w:val="0"/>
          <w:kern w:val="0"/>
          <w:sz w:val="21"/>
          <w:szCs w:val="21"/>
          <w:lang w:val="en-US" w:eastAsia="zh-CN"/>
        </w:rPr>
        <w:t>容量测量精度：±（读数×10%+2字）</w:t>
      </w:r>
    </w:p>
    <w:p>
      <w:pPr>
        <w:pStyle w:val="41"/>
        <w:numPr>
          <w:ilvl w:val="0"/>
          <w:numId w:val="0"/>
        </w:numPr>
        <w:adjustRightInd w:val="0"/>
        <w:snapToGrid w:val="0"/>
        <w:spacing w:line="360" w:lineRule="auto"/>
        <w:ind w:firstLine="420" w:firstLineChars="200"/>
        <w:outlineLvl w:val="9"/>
        <w:rPr>
          <w:rFonts w:hint="eastAsia" w:ascii="宋体" w:eastAsia="宋体" w:cs="方正仿宋_GBK"/>
          <w:snapToGrid w:val="0"/>
          <w:kern w:val="0"/>
          <w:sz w:val="21"/>
          <w:szCs w:val="21"/>
          <w:lang w:val="en-US" w:eastAsia="zh-CN"/>
        </w:rPr>
      </w:pPr>
      <w:r>
        <w:rPr>
          <w:rFonts w:hint="eastAsia" w:ascii="宋体" w:eastAsia="宋体" w:cs="方正仿宋_GBK"/>
          <w:snapToGrid w:val="0"/>
          <w:kern w:val="0"/>
          <w:sz w:val="21"/>
          <w:szCs w:val="21"/>
          <w:lang w:val="en-US" w:eastAsia="zh-CN"/>
        </w:rPr>
        <w:t>6.4测量范围</w:t>
      </w:r>
    </w:p>
    <w:p>
      <w:pPr>
        <w:pStyle w:val="41"/>
        <w:numPr>
          <w:ilvl w:val="0"/>
          <w:numId w:val="0"/>
        </w:numPr>
        <w:adjustRightInd w:val="0"/>
        <w:snapToGrid w:val="0"/>
        <w:spacing w:line="360" w:lineRule="auto"/>
        <w:ind w:firstLine="420" w:firstLineChars="200"/>
        <w:outlineLvl w:val="9"/>
        <w:rPr>
          <w:rFonts w:hint="eastAsia" w:ascii="宋体" w:eastAsia="宋体" w:cs="方正仿宋_GBK"/>
          <w:snapToGrid w:val="0"/>
          <w:kern w:val="0"/>
          <w:sz w:val="21"/>
          <w:szCs w:val="21"/>
          <w:lang w:val="en-US" w:eastAsia="zh-CN"/>
        </w:rPr>
      </w:pPr>
      <w:r>
        <w:rPr>
          <w:rFonts w:hint="default" w:ascii="宋体" w:eastAsia="宋体" w:cs="方正仿宋_GBK"/>
          <w:snapToGrid w:val="0"/>
          <w:kern w:val="0"/>
          <w:sz w:val="21"/>
          <w:szCs w:val="21"/>
          <w:lang w:val="en-US" w:eastAsia="zh-CN"/>
        </w:rPr>
        <w:t>容量测量</w:t>
      </w:r>
      <w:r>
        <w:rPr>
          <w:rFonts w:hint="eastAsia" w:ascii="宋体" w:eastAsia="宋体" w:cs="方正仿宋_GBK"/>
          <w:snapToGrid w:val="0"/>
          <w:kern w:val="0"/>
          <w:sz w:val="21"/>
          <w:szCs w:val="21"/>
          <w:lang w:val="en-US" w:eastAsia="zh-CN"/>
        </w:rPr>
        <w:t>范围：30kVA～65000kVA</w:t>
      </w:r>
    </w:p>
    <w:p>
      <w:pPr>
        <w:pStyle w:val="41"/>
        <w:numPr>
          <w:ilvl w:val="0"/>
          <w:numId w:val="0"/>
        </w:numPr>
        <w:adjustRightInd w:val="0"/>
        <w:snapToGrid w:val="0"/>
        <w:spacing w:line="360" w:lineRule="auto"/>
        <w:ind w:firstLine="420" w:firstLineChars="200"/>
        <w:outlineLvl w:val="9"/>
        <w:rPr>
          <w:rFonts w:hint="eastAsia" w:ascii="宋体" w:eastAsia="宋体" w:cs="方正仿宋_GBK"/>
          <w:snapToGrid w:val="0"/>
          <w:kern w:val="0"/>
          <w:sz w:val="21"/>
          <w:szCs w:val="21"/>
          <w:lang w:val="en-US" w:eastAsia="zh-CN"/>
        </w:rPr>
      </w:pPr>
      <w:r>
        <w:rPr>
          <w:rFonts w:hint="eastAsia" w:ascii="宋体" w:eastAsia="宋体" w:cs="方正仿宋_GBK"/>
          <w:snapToGrid w:val="0"/>
          <w:kern w:val="0"/>
          <w:sz w:val="21"/>
          <w:szCs w:val="21"/>
          <w:lang w:val="en-US" w:eastAsia="zh-CN"/>
        </w:rPr>
        <w:t>6.4工作温度   -20℃～+60℃</w:t>
      </w:r>
    </w:p>
    <w:p>
      <w:pPr>
        <w:pStyle w:val="41"/>
        <w:numPr>
          <w:ilvl w:val="0"/>
          <w:numId w:val="0"/>
        </w:numPr>
        <w:adjustRightInd w:val="0"/>
        <w:snapToGrid w:val="0"/>
        <w:spacing w:line="360" w:lineRule="auto"/>
        <w:ind w:firstLine="420" w:firstLineChars="200"/>
        <w:outlineLvl w:val="9"/>
        <w:rPr>
          <w:rFonts w:hint="eastAsia" w:ascii="宋体" w:eastAsia="宋体" w:cs="方正仿宋_GBK"/>
          <w:snapToGrid w:val="0"/>
          <w:kern w:val="0"/>
          <w:sz w:val="21"/>
          <w:szCs w:val="21"/>
          <w:lang w:val="en-US" w:eastAsia="zh-CN"/>
        </w:rPr>
      </w:pPr>
      <w:r>
        <w:rPr>
          <w:rFonts w:hint="eastAsia" w:ascii="宋体" w:eastAsia="宋体" w:cs="方正仿宋_GBK"/>
          <w:snapToGrid w:val="0"/>
          <w:kern w:val="0"/>
          <w:sz w:val="21"/>
          <w:szCs w:val="21"/>
          <w:lang w:val="en-US" w:eastAsia="zh-CN"/>
        </w:rPr>
        <w:t>6.5充电器电源要求   市电 AC100V～240V</w:t>
      </w:r>
    </w:p>
    <w:p>
      <w:pPr>
        <w:pStyle w:val="41"/>
        <w:numPr>
          <w:ilvl w:val="0"/>
          <w:numId w:val="0"/>
        </w:numPr>
        <w:adjustRightInd w:val="0"/>
        <w:snapToGrid w:val="0"/>
        <w:spacing w:line="360" w:lineRule="auto"/>
        <w:ind w:firstLine="420" w:firstLineChars="200"/>
        <w:outlineLvl w:val="9"/>
        <w:rPr>
          <w:rFonts w:hint="eastAsia" w:ascii="宋体" w:eastAsia="宋体" w:cs="方正仿宋_GBK"/>
          <w:snapToGrid w:val="0"/>
          <w:kern w:val="0"/>
          <w:sz w:val="21"/>
          <w:szCs w:val="21"/>
          <w:lang w:val="en-US" w:eastAsia="zh-CN"/>
        </w:rPr>
      </w:pPr>
      <w:r>
        <w:rPr>
          <w:rFonts w:hint="eastAsia" w:ascii="宋体" w:eastAsia="宋体" w:cs="方正仿宋_GBK"/>
          <w:snapToGrid w:val="0"/>
          <w:kern w:val="0"/>
          <w:sz w:val="21"/>
          <w:szCs w:val="21"/>
          <w:lang w:val="en-US" w:eastAsia="zh-CN"/>
        </w:rPr>
        <w:t>6.6绝缘度</w:t>
      </w:r>
    </w:p>
    <w:p>
      <w:pPr>
        <w:pStyle w:val="41"/>
        <w:numPr>
          <w:ilvl w:val="0"/>
          <w:numId w:val="0"/>
        </w:numPr>
        <w:adjustRightInd w:val="0"/>
        <w:snapToGrid w:val="0"/>
        <w:spacing w:line="360" w:lineRule="auto"/>
        <w:ind w:firstLine="420" w:firstLineChars="200"/>
        <w:outlineLvl w:val="9"/>
        <w:rPr>
          <w:rFonts w:hint="eastAsia" w:ascii="宋体" w:eastAsia="宋体" w:cs="方正仿宋_GBK"/>
          <w:snapToGrid w:val="0"/>
          <w:kern w:val="0"/>
          <w:sz w:val="21"/>
          <w:szCs w:val="21"/>
          <w:lang w:val="en-US" w:eastAsia="zh-CN"/>
        </w:rPr>
      </w:pPr>
      <w:r>
        <w:rPr>
          <w:rFonts w:hint="eastAsia" w:ascii="宋体" w:eastAsia="宋体" w:cs="方正仿宋_GBK"/>
          <w:snapToGrid w:val="0"/>
          <w:kern w:val="0"/>
          <w:sz w:val="21"/>
          <w:szCs w:val="21"/>
          <w:lang w:val="en-US" w:eastAsia="zh-CN"/>
        </w:rPr>
        <w:t>6.6.1容量测试、电压、电流输入点对机壳的绝缘电阻≥100MΩ</w:t>
      </w:r>
    </w:p>
    <w:p>
      <w:pPr>
        <w:pStyle w:val="41"/>
        <w:numPr>
          <w:ilvl w:val="0"/>
          <w:numId w:val="0"/>
        </w:numPr>
        <w:adjustRightInd w:val="0"/>
        <w:snapToGrid w:val="0"/>
        <w:spacing w:line="360" w:lineRule="auto"/>
        <w:ind w:firstLine="420" w:firstLineChars="200"/>
        <w:outlineLvl w:val="9"/>
        <w:rPr>
          <w:rFonts w:hint="eastAsia" w:ascii="宋体" w:eastAsia="宋体" w:cs="方正仿宋_GBK"/>
          <w:snapToGrid w:val="0"/>
          <w:kern w:val="0"/>
          <w:sz w:val="21"/>
          <w:szCs w:val="21"/>
          <w:lang w:val="en-US" w:eastAsia="zh-CN"/>
        </w:rPr>
      </w:pPr>
      <w:r>
        <w:rPr>
          <w:rFonts w:hint="eastAsia" w:ascii="宋体" w:eastAsia="宋体" w:cs="方正仿宋_GBK"/>
          <w:snapToGrid w:val="0"/>
          <w:kern w:val="0"/>
          <w:sz w:val="21"/>
          <w:szCs w:val="21"/>
          <w:lang w:val="en-US" w:eastAsia="zh-CN"/>
        </w:rPr>
        <w:t>6.6.2充电电源输入对机壳之间承受工频2KV（有效值），测试时长1分钟</w:t>
      </w:r>
    </w:p>
    <w:p>
      <w:pPr>
        <w:pStyle w:val="41"/>
        <w:numPr>
          <w:ilvl w:val="0"/>
          <w:numId w:val="0"/>
        </w:numPr>
        <w:adjustRightInd w:val="0"/>
        <w:snapToGrid w:val="0"/>
        <w:spacing w:line="360" w:lineRule="auto"/>
        <w:ind w:firstLine="420" w:firstLineChars="200"/>
        <w:outlineLvl w:val="9"/>
        <w:rPr>
          <w:rFonts w:hint="eastAsia" w:ascii="宋体" w:eastAsia="宋体" w:cs="方正仿宋_GBK"/>
          <w:snapToGrid w:val="0"/>
          <w:kern w:val="0"/>
          <w:sz w:val="21"/>
          <w:szCs w:val="21"/>
          <w:lang w:val="en-US" w:eastAsia="zh-CN"/>
        </w:rPr>
      </w:pPr>
      <w:r>
        <w:rPr>
          <w:rFonts w:hint="eastAsia" w:ascii="宋体" w:eastAsia="宋体" w:cs="方正仿宋_GBK"/>
          <w:snapToGrid w:val="0"/>
          <w:kern w:val="0"/>
          <w:sz w:val="21"/>
          <w:szCs w:val="21"/>
          <w:lang w:val="en-US" w:eastAsia="zh-CN"/>
        </w:rPr>
        <w:t>6.7 供电电源：三孔电源线</w:t>
      </w:r>
    </w:p>
    <w:p>
      <w:pPr>
        <w:pStyle w:val="41"/>
        <w:numPr>
          <w:ilvl w:val="0"/>
          <w:numId w:val="0"/>
        </w:numPr>
        <w:adjustRightInd w:val="0"/>
        <w:snapToGrid w:val="0"/>
        <w:spacing w:line="360" w:lineRule="auto"/>
        <w:ind w:firstLine="420" w:firstLineChars="200"/>
        <w:outlineLvl w:val="9"/>
        <w:rPr>
          <w:rFonts w:hint="eastAsia" w:ascii="宋体" w:eastAsia="宋体" w:cs="方正仿宋_GBK"/>
          <w:snapToGrid w:val="0"/>
          <w:kern w:val="0"/>
          <w:sz w:val="21"/>
          <w:szCs w:val="21"/>
          <w:lang w:val="en-US" w:eastAsia="zh-CN"/>
        </w:rPr>
      </w:pPr>
      <w:r>
        <w:rPr>
          <w:rFonts w:hint="eastAsia" w:ascii="宋体" w:eastAsia="宋体" w:cs="方正仿宋_GBK"/>
          <w:snapToGrid w:val="0"/>
          <w:kern w:val="0"/>
          <w:sz w:val="21"/>
          <w:szCs w:val="21"/>
          <w:lang w:val="en-US" w:eastAsia="zh-CN"/>
        </w:rPr>
        <w:t>6.7.1配置多种供电方式：外置插座取电、内置电池供电</w:t>
      </w:r>
    </w:p>
    <w:p>
      <w:pPr>
        <w:pStyle w:val="41"/>
        <w:numPr>
          <w:ilvl w:val="0"/>
          <w:numId w:val="0"/>
        </w:numPr>
        <w:adjustRightInd w:val="0"/>
        <w:snapToGrid w:val="0"/>
        <w:spacing w:line="360" w:lineRule="auto"/>
        <w:ind w:firstLine="420" w:firstLineChars="200"/>
        <w:outlineLvl w:val="9"/>
        <w:rPr>
          <w:rFonts w:hint="eastAsia" w:ascii="宋体" w:eastAsia="宋体" w:cs="方正仿宋_GBK"/>
          <w:snapToGrid w:val="0"/>
          <w:kern w:val="0"/>
          <w:sz w:val="21"/>
          <w:szCs w:val="21"/>
          <w:lang w:val="en-US" w:eastAsia="zh-CN"/>
        </w:rPr>
      </w:pPr>
      <w:r>
        <w:rPr>
          <w:rFonts w:hint="eastAsia" w:ascii="宋体" w:eastAsia="宋体" w:cs="方正仿宋_GBK"/>
          <w:snapToGrid w:val="0"/>
          <w:kern w:val="0"/>
          <w:sz w:val="21"/>
          <w:szCs w:val="21"/>
          <w:lang w:val="en-US" w:eastAsia="zh-CN"/>
        </w:rPr>
        <w:t>6.7.2内置电池供电不低于工况 8 小时，连续测量 4 小时以上运行时间。</w:t>
      </w:r>
    </w:p>
    <w:p>
      <w:pPr>
        <w:pStyle w:val="41"/>
        <w:numPr>
          <w:ilvl w:val="0"/>
          <w:numId w:val="0"/>
        </w:numPr>
        <w:adjustRightInd w:val="0"/>
        <w:snapToGrid w:val="0"/>
        <w:spacing w:line="360" w:lineRule="auto"/>
        <w:ind w:firstLine="420" w:firstLineChars="200"/>
        <w:outlineLvl w:val="9"/>
        <w:rPr>
          <w:rFonts w:hint="eastAsia" w:ascii="宋体" w:eastAsia="宋体" w:cs="方正仿宋_GBK"/>
          <w:snapToGrid w:val="0"/>
          <w:kern w:val="0"/>
          <w:sz w:val="21"/>
          <w:szCs w:val="21"/>
          <w:lang w:val="en-US" w:eastAsia="zh-CN"/>
        </w:rPr>
      </w:pPr>
      <w:r>
        <w:rPr>
          <w:rFonts w:hint="eastAsia" w:ascii="宋体" w:eastAsia="宋体" w:cs="方正仿宋_GBK"/>
          <w:snapToGrid w:val="0"/>
          <w:kern w:val="0"/>
          <w:sz w:val="21"/>
          <w:szCs w:val="21"/>
          <w:lang w:val="en-US" w:eastAsia="zh-CN"/>
        </w:rPr>
        <w:t>6.8体积</w:t>
      </w:r>
    </w:p>
    <w:p>
      <w:pPr>
        <w:pStyle w:val="41"/>
        <w:numPr>
          <w:ilvl w:val="0"/>
          <w:numId w:val="0"/>
        </w:numPr>
        <w:adjustRightInd w:val="0"/>
        <w:snapToGrid w:val="0"/>
        <w:spacing w:line="360" w:lineRule="auto"/>
        <w:ind w:firstLine="420" w:firstLineChars="200"/>
        <w:outlineLvl w:val="9"/>
        <w:rPr>
          <w:rFonts w:hint="eastAsia" w:ascii="宋体" w:eastAsia="宋体" w:cs="方正仿宋_GBK"/>
          <w:snapToGrid w:val="0"/>
          <w:kern w:val="0"/>
          <w:sz w:val="21"/>
          <w:szCs w:val="21"/>
          <w:lang w:val="en-US" w:eastAsia="zh-CN"/>
        </w:rPr>
      </w:pPr>
      <w:r>
        <w:rPr>
          <w:rFonts w:hint="eastAsia" w:ascii="宋体" w:eastAsia="宋体" w:cs="方正仿宋_GBK"/>
          <w:snapToGrid w:val="0"/>
          <w:kern w:val="0"/>
          <w:sz w:val="21"/>
          <w:szCs w:val="21"/>
          <w:lang w:val="en-US" w:eastAsia="zh-CN"/>
        </w:rPr>
        <w:t xml:space="preserve">    32cm×25cm×12cm</w:t>
      </w:r>
    </w:p>
    <w:p>
      <w:pPr>
        <w:pStyle w:val="41"/>
        <w:numPr>
          <w:ilvl w:val="0"/>
          <w:numId w:val="0"/>
        </w:numPr>
        <w:adjustRightInd w:val="0"/>
        <w:snapToGrid w:val="0"/>
        <w:spacing w:line="360" w:lineRule="auto"/>
        <w:ind w:firstLine="420" w:firstLineChars="200"/>
        <w:outlineLvl w:val="9"/>
        <w:rPr>
          <w:rFonts w:hint="eastAsia" w:ascii="宋体" w:eastAsia="宋体" w:cs="方正仿宋_GBK"/>
          <w:snapToGrid w:val="0"/>
          <w:kern w:val="0"/>
          <w:sz w:val="21"/>
          <w:szCs w:val="21"/>
          <w:lang w:val="en-US" w:eastAsia="zh-CN"/>
        </w:rPr>
      </w:pPr>
      <w:r>
        <w:rPr>
          <w:rFonts w:hint="eastAsia" w:ascii="宋体" w:eastAsia="宋体" w:cs="方正仿宋_GBK"/>
          <w:snapToGrid w:val="0"/>
          <w:kern w:val="0"/>
          <w:sz w:val="21"/>
          <w:szCs w:val="21"/>
          <w:lang w:val="en-US" w:eastAsia="zh-CN"/>
        </w:rPr>
        <w:t>6.9重量  ≤3kg</w:t>
      </w:r>
    </w:p>
    <w:p>
      <w:pPr>
        <w:pStyle w:val="3"/>
        <w:keepNext w:val="0"/>
        <w:keepLines w:val="0"/>
        <w:numPr>
          <w:ilvl w:val="0"/>
          <w:numId w:val="0"/>
        </w:numPr>
        <w:snapToGrid w:val="0"/>
        <w:spacing w:line="324" w:lineRule="auto"/>
        <w:ind w:leftChars="0"/>
        <w:rPr>
          <w:rFonts w:hint="eastAsia" w:hAnsi="宋体" w:eastAsia="宋体"/>
          <w:bCs/>
          <w:color w:val="000000"/>
          <w:sz w:val="21"/>
          <w:szCs w:val="21"/>
          <w:highlight w:val="none"/>
          <w:lang w:val="en-US" w:eastAsia="zh-CN"/>
        </w:rPr>
      </w:pPr>
      <w:bookmarkStart w:id="10" w:name="_Toc13961"/>
      <w:bookmarkStart w:id="11" w:name="_Toc13866"/>
      <w:bookmarkStart w:id="12" w:name="_Toc15432"/>
      <w:r>
        <w:rPr>
          <w:rFonts w:hint="eastAsia" w:hAnsi="宋体"/>
          <w:bCs/>
          <w:color w:val="000000"/>
          <w:sz w:val="21"/>
          <w:szCs w:val="21"/>
          <w:highlight w:val="none"/>
          <w:lang w:val="en-US" w:eastAsia="zh-CN"/>
        </w:rPr>
        <w:t>7.</w:t>
      </w:r>
      <w:r>
        <w:rPr>
          <w:rFonts w:hint="eastAsia" w:hAnsi="宋体"/>
          <w:bCs/>
          <w:color w:val="000000"/>
          <w:sz w:val="21"/>
          <w:szCs w:val="21"/>
          <w:highlight w:val="none"/>
          <w:lang w:eastAsia="zh-CN"/>
        </w:rPr>
        <w:t>试验</w:t>
      </w:r>
      <w:bookmarkEnd w:id="10"/>
    </w:p>
    <w:p>
      <w:pPr>
        <w:pStyle w:val="41"/>
        <w:numPr>
          <w:ilvl w:val="0"/>
          <w:numId w:val="0"/>
        </w:numPr>
        <w:adjustRightInd w:val="0"/>
        <w:snapToGrid w:val="0"/>
        <w:spacing w:line="360" w:lineRule="auto"/>
        <w:ind w:firstLine="420" w:firstLineChars="200"/>
        <w:outlineLvl w:val="9"/>
        <w:rPr>
          <w:rFonts w:hint="eastAsia" w:ascii="宋体" w:eastAsia="宋体" w:cs="方正仿宋_GBK"/>
          <w:snapToGrid w:val="0"/>
          <w:kern w:val="0"/>
          <w:sz w:val="21"/>
          <w:szCs w:val="21"/>
        </w:rPr>
      </w:pPr>
      <w:r>
        <w:rPr>
          <w:rFonts w:hint="eastAsia" w:ascii="宋体" w:eastAsia="宋体" w:cs="方正仿宋_GBK"/>
          <w:snapToGrid w:val="0"/>
          <w:kern w:val="0"/>
          <w:sz w:val="21"/>
          <w:szCs w:val="21"/>
          <w:lang w:val="en-US" w:eastAsia="zh-CN"/>
        </w:rPr>
        <w:t>7</w:t>
      </w:r>
      <w:r>
        <w:rPr>
          <w:rFonts w:hint="eastAsia" w:ascii="宋体" w:eastAsia="宋体" w:cs="方正仿宋_GBK"/>
          <w:snapToGrid w:val="0"/>
          <w:kern w:val="0"/>
          <w:sz w:val="21"/>
          <w:szCs w:val="21"/>
        </w:rPr>
        <w:t>.1型式试验/全性能试验。应由国家认可的产品检验检测机构出具，检验标准包含：GB/T 191  包装储运图示标志、GB 4793-1984  电子测量仪器安全要求、GB/T 6593电子测量仪器质量检验规则，试验报告结果数据、检验有效期符合上述标准的规定。</w:t>
      </w:r>
      <w:bookmarkEnd w:id="11"/>
      <w:bookmarkEnd w:id="12"/>
    </w:p>
    <w:p>
      <w:pPr>
        <w:pStyle w:val="41"/>
        <w:numPr>
          <w:ilvl w:val="0"/>
          <w:numId w:val="0"/>
        </w:numPr>
        <w:adjustRightInd w:val="0"/>
        <w:snapToGrid w:val="0"/>
        <w:spacing w:line="360" w:lineRule="auto"/>
        <w:ind w:firstLine="420" w:firstLineChars="200"/>
        <w:outlineLvl w:val="9"/>
        <w:rPr>
          <w:rFonts w:hint="eastAsia" w:ascii="宋体" w:eastAsia="宋体" w:cs="方正仿宋_GBK"/>
          <w:snapToGrid w:val="0"/>
          <w:kern w:val="0"/>
          <w:sz w:val="21"/>
          <w:szCs w:val="21"/>
        </w:rPr>
      </w:pPr>
      <w:bookmarkStart w:id="13" w:name="_Toc5231"/>
      <w:bookmarkStart w:id="14" w:name="_Toc4854"/>
      <w:r>
        <w:rPr>
          <w:rFonts w:hint="eastAsia" w:ascii="宋体" w:eastAsia="宋体" w:cs="方正仿宋_GBK"/>
          <w:snapToGrid w:val="0"/>
          <w:kern w:val="0"/>
          <w:sz w:val="21"/>
          <w:szCs w:val="21"/>
          <w:lang w:val="en-US" w:eastAsia="zh-CN"/>
        </w:rPr>
        <w:t>7</w:t>
      </w:r>
      <w:r>
        <w:rPr>
          <w:rFonts w:hint="eastAsia" w:ascii="宋体" w:eastAsia="宋体" w:cs="方正仿宋_GBK"/>
          <w:snapToGrid w:val="0"/>
          <w:kern w:val="0"/>
          <w:sz w:val="21"/>
          <w:szCs w:val="21"/>
        </w:rPr>
        <w:t>.2出厂试验/工厂试验。交货前买方可指定专业检测机构对合同产品进行抽检，抽检项目由买方确定。如经检验和试验不符合本技术规范，买方可以拒收、取消卖方中标资格、解除合同。虚假应标的按相关法律、法规及规定处理。卖方应根据技术要求及技术参数，完成各项工厂试验报告。</w:t>
      </w:r>
      <w:bookmarkEnd w:id="13"/>
      <w:bookmarkEnd w:id="14"/>
    </w:p>
    <w:p>
      <w:pPr>
        <w:pStyle w:val="41"/>
        <w:numPr>
          <w:ilvl w:val="0"/>
          <w:numId w:val="0"/>
        </w:numPr>
        <w:adjustRightInd w:val="0"/>
        <w:snapToGrid w:val="0"/>
        <w:spacing w:line="360" w:lineRule="auto"/>
        <w:ind w:firstLine="420" w:firstLineChars="200"/>
        <w:outlineLvl w:val="9"/>
        <w:rPr>
          <w:rFonts w:hint="eastAsia" w:ascii="宋体" w:eastAsia="宋体" w:cs="方正仿宋_GBK"/>
          <w:snapToGrid w:val="0"/>
          <w:kern w:val="0"/>
          <w:sz w:val="21"/>
          <w:szCs w:val="21"/>
        </w:rPr>
      </w:pPr>
      <w:bookmarkStart w:id="15" w:name="_Toc8677"/>
      <w:bookmarkStart w:id="16" w:name="_Toc31143"/>
      <w:r>
        <w:rPr>
          <w:rFonts w:hint="eastAsia" w:ascii="宋体" w:eastAsia="宋体" w:cs="方正仿宋_GBK"/>
          <w:snapToGrid w:val="0"/>
          <w:kern w:val="0"/>
          <w:sz w:val="21"/>
          <w:szCs w:val="21"/>
          <w:lang w:val="en-US" w:eastAsia="zh-CN"/>
        </w:rPr>
        <w:t>7</w:t>
      </w:r>
      <w:r>
        <w:rPr>
          <w:rFonts w:hint="eastAsia" w:ascii="宋体" w:eastAsia="宋体" w:cs="方正仿宋_GBK"/>
          <w:snapToGrid w:val="0"/>
          <w:kern w:val="0"/>
          <w:sz w:val="21"/>
          <w:szCs w:val="21"/>
        </w:rPr>
        <w:t>.3现场交接试验/首检/验收试验。根据GB/T 6592  电工和电子测量设备性能表示进行产品现场交接试验，试验结果满足所有技术要求及技术参数。</w:t>
      </w:r>
      <w:bookmarkEnd w:id="15"/>
      <w:bookmarkEnd w:id="16"/>
    </w:p>
    <w:p>
      <w:pPr>
        <w:pStyle w:val="3"/>
        <w:keepNext w:val="0"/>
        <w:keepLines w:val="0"/>
        <w:numPr>
          <w:ilvl w:val="0"/>
          <w:numId w:val="0"/>
        </w:numPr>
        <w:snapToGrid w:val="0"/>
        <w:spacing w:line="324" w:lineRule="auto"/>
        <w:ind w:leftChars="0"/>
        <w:rPr>
          <w:rFonts w:hint="eastAsia"/>
          <w:color w:val="auto"/>
          <w:sz w:val="21"/>
          <w:szCs w:val="21"/>
        </w:rPr>
      </w:pPr>
      <w:bookmarkStart w:id="17" w:name="_Toc6241"/>
      <w:r>
        <w:rPr>
          <w:rFonts w:hint="eastAsia"/>
          <w:color w:val="auto"/>
          <w:sz w:val="21"/>
          <w:szCs w:val="21"/>
          <w:lang w:val="en-US" w:eastAsia="zh-CN"/>
        </w:rPr>
        <w:t>8.</w:t>
      </w:r>
      <w:r>
        <w:rPr>
          <w:rFonts w:hint="eastAsia"/>
          <w:color w:val="auto"/>
          <w:sz w:val="21"/>
          <w:szCs w:val="21"/>
        </w:rPr>
        <w:t>技术文件要求</w:t>
      </w:r>
      <w:bookmarkEnd w:id="17"/>
    </w:p>
    <w:p>
      <w:pPr>
        <w:pStyle w:val="4"/>
        <w:keepNext w:val="0"/>
        <w:keepLines w:val="0"/>
        <w:numPr>
          <w:ilvl w:val="1"/>
          <w:numId w:val="0"/>
        </w:numPr>
        <w:snapToGrid w:val="0"/>
        <w:spacing w:line="324" w:lineRule="auto"/>
        <w:ind w:leftChars="0"/>
        <w:rPr>
          <w:rFonts w:hint="eastAsia"/>
          <w:color w:val="auto"/>
          <w:sz w:val="21"/>
          <w:szCs w:val="21"/>
        </w:rPr>
      </w:pPr>
      <w:r>
        <w:rPr>
          <w:rFonts w:hint="eastAsia"/>
          <w:color w:val="auto"/>
          <w:sz w:val="21"/>
          <w:szCs w:val="21"/>
          <w:lang w:val="en-US" w:eastAsia="zh-CN"/>
        </w:rPr>
        <w:t>8.1</w:t>
      </w:r>
      <w:r>
        <w:rPr>
          <w:rFonts w:hint="eastAsia"/>
          <w:color w:val="auto"/>
          <w:sz w:val="21"/>
          <w:szCs w:val="21"/>
        </w:rPr>
        <w:t>一般要求</w:t>
      </w:r>
    </w:p>
    <w:p>
      <w:pPr>
        <w:pStyle w:val="41"/>
        <w:numPr>
          <w:ilvl w:val="0"/>
          <w:numId w:val="0"/>
        </w:numPr>
        <w:adjustRightInd w:val="0"/>
        <w:snapToGrid w:val="0"/>
        <w:spacing w:line="360" w:lineRule="auto"/>
        <w:ind w:firstLine="420" w:firstLineChars="200"/>
        <w:outlineLvl w:val="9"/>
        <w:rPr>
          <w:rFonts w:hint="eastAsia" w:ascii="宋体" w:eastAsia="宋体" w:cs="方正仿宋_GBK"/>
          <w:snapToGrid w:val="0"/>
          <w:kern w:val="0"/>
          <w:sz w:val="21"/>
          <w:szCs w:val="21"/>
        </w:rPr>
      </w:pPr>
      <w:r>
        <w:rPr>
          <w:rFonts w:hint="eastAsia" w:ascii="宋体" w:eastAsia="宋体" w:cs="方正仿宋_GBK"/>
          <w:snapToGrid w:val="0"/>
          <w:kern w:val="0"/>
          <w:sz w:val="21"/>
          <w:szCs w:val="21"/>
          <w:lang w:val="en-US" w:eastAsia="zh-CN"/>
        </w:rPr>
        <w:t>8.1.1</w:t>
      </w:r>
      <w:r>
        <w:rPr>
          <w:rFonts w:hint="eastAsia" w:ascii="宋体" w:eastAsia="宋体" w:cs="方正仿宋_GBK"/>
          <w:snapToGrid w:val="0"/>
          <w:kern w:val="0"/>
          <w:sz w:val="21"/>
          <w:szCs w:val="21"/>
          <w:lang w:eastAsia="zh-CN"/>
        </w:rPr>
        <w:t>供方</w:t>
      </w:r>
      <w:r>
        <w:rPr>
          <w:rFonts w:hint="eastAsia" w:ascii="宋体" w:eastAsia="宋体" w:cs="方正仿宋_GBK"/>
          <w:snapToGrid w:val="0"/>
          <w:kern w:val="0"/>
          <w:sz w:val="21"/>
          <w:szCs w:val="21"/>
        </w:rPr>
        <w:t>提供的图纸、资料、文件应使用国家法定单位制即国际单位制，语言为中文。资料的组织结构清晰，内容正确、一致、清晰、完整，满足工程要求。</w:t>
      </w:r>
    </w:p>
    <w:p>
      <w:pPr>
        <w:pStyle w:val="41"/>
        <w:numPr>
          <w:ilvl w:val="0"/>
          <w:numId w:val="0"/>
        </w:numPr>
        <w:adjustRightInd w:val="0"/>
        <w:snapToGrid w:val="0"/>
        <w:spacing w:line="360" w:lineRule="auto"/>
        <w:ind w:firstLine="420" w:firstLineChars="200"/>
        <w:outlineLvl w:val="9"/>
        <w:rPr>
          <w:rFonts w:hint="eastAsia" w:ascii="宋体" w:eastAsia="宋体" w:cs="方正仿宋_GBK"/>
          <w:snapToGrid w:val="0"/>
          <w:kern w:val="0"/>
          <w:sz w:val="21"/>
          <w:szCs w:val="21"/>
        </w:rPr>
      </w:pPr>
      <w:r>
        <w:rPr>
          <w:rFonts w:hint="eastAsia" w:ascii="宋体" w:eastAsia="宋体" w:cs="方正仿宋_GBK"/>
          <w:snapToGrid w:val="0"/>
          <w:kern w:val="0"/>
          <w:sz w:val="21"/>
          <w:szCs w:val="21"/>
          <w:lang w:val="en-US" w:eastAsia="zh-CN"/>
        </w:rPr>
        <w:t>8.1.3</w:t>
      </w:r>
      <w:r>
        <w:rPr>
          <w:rFonts w:hint="eastAsia" w:ascii="宋体" w:eastAsia="宋体" w:cs="方正仿宋_GBK"/>
          <w:snapToGrid w:val="0"/>
          <w:kern w:val="0"/>
          <w:sz w:val="21"/>
          <w:szCs w:val="21"/>
          <w:lang w:eastAsia="zh-CN"/>
        </w:rPr>
        <w:t>供方</w:t>
      </w:r>
      <w:r>
        <w:rPr>
          <w:rFonts w:hint="eastAsia" w:ascii="宋体" w:eastAsia="宋体" w:cs="方正仿宋_GBK"/>
          <w:snapToGrid w:val="0"/>
          <w:kern w:val="0"/>
          <w:sz w:val="21"/>
          <w:szCs w:val="21"/>
        </w:rPr>
        <w:t>应对其所提供的全部文档的准确性和完整性负责。所有由</w:t>
      </w:r>
      <w:r>
        <w:rPr>
          <w:rFonts w:hint="eastAsia" w:ascii="宋体" w:eastAsia="宋体" w:cs="方正仿宋_GBK"/>
          <w:snapToGrid w:val="0"/>
          <w:kern w:val="0"/>
          <w:sz w:val="21"/>
          <w:szCs w:val="21"/>
          <w:lang w:eastAsia="zh-CN"/>
        </w:rPr>
        <w:t>供方</w:t>
      </w:r>
      <w:r>
        <w:rPr>
          <w:rFonts w:hint="eastAsia" w:ascii="宋体" w:eastAsia="宋体" w:cs="方正仿宋_GBK"/>
          <w:snapToGrid w:val="0"/>
          <w:kern w:val="0"/>
          <w:sz w:val="21"/>
          <w:szCs w:val="21"/>
        </w:rPr>
        <w:t>采购供货的第三方设备的技术手册的准确性由</w:t>
      </w:r>
      <w:r>
        <w:rPr>
          <w:rFonts w:hint="eastAsia" w:ascii="宋体" w:eastAsia="宋体" w:cs="方正仿宋_GBK"/>
          <w:snapToGrid w:val="0"/>
          <w:kern w:val="0"/>
          <w:sz w:val="21"/>
          <w:szCs w:val="21"/>
          <w:lang w:eastAsia="zh-CN"/>
        </w:rPr>
        <w:t>供方</w:t>
      </w:r>
      <w:r>
        <w:rPr>
          <w:rFonts w:hint="eastAsia" w:ascii="宋体" w:eastAsia="宋体" w:cs="方正仿宋_GBK"/>
          <w:snapToGrid w:val="0"/>
          <w:kern w:val="0"/>
          <w:sz w:val="21"/>
          <w:szCs w:val="21"/>
        </w:rPr>
        <w:t>负责。对于其它没有列入合同技术资料清单，是工程所必需的文件和资料，一经发现，</w:t>
      </w:r>
      <w:r>
        <w:rPr>
          <w:rFonts w:hint="eastAsia" w:ascii="宋体" w:eastAsia="宋体" w:cs="方正仿宋_GBK"/>
          <w:snapToGrid w:val="0"/>
          <w:kern w:val="0"/>
          <w:sz w:val="21"/>
          <w:szCs w:val="21"/>
          <w:lang w:eastAsia="zh-CN"/>
        </w:rPr>
        <w:t>供方</w:t>
      </w:r>
      <w:r>
        <w:rPr>
          <w:rFonts w:hint="eastAsia" w:ascii="宋体" w:eastAsia="宋体" w:cs="方正仿宋_GBK"/>
          <w:snapToGrid w:val="0"/>
          <w:kern w:val="0"/>
          <w:sz w:val="21"/>
          <w:szCs w:val="21"/>
        </w:rPr>
        <w:t>也应及时免费提供。</w:t>
      </w:r>
    </w:p>
    <w:p>
      <w:pPr>
        <w:pStyle w:val="4"/>
        <w:keepNext w:val="0"/>
        <w:keepLines w:val="0"/>
        <w:numPr>
          <w:ilvl w:val="1"/>
          <w:numId w:val="0"/>
        </w:numPr>
        <w:snapToGrid w:val="0"/>
        <w:spacing w:line="324" w:lineRule="auto"/>
        <w:ind w:leftChars="0"/>
        <w:rPr>
          <w:rFonts w:hint="eastAsia"/>
          <w:color w:val="auto"/>
          <w:sz w:val="21"/>
          <w:szCs w:val="21"/>
        </w:rPr>
      </w:pPr>
      <w:r>
        <w:rPr>
          <w:rFonts w:hint="eastAsia"/>
          <w:color w:val="auto"/>
          <w:sz w:val="21"/>
          <w:szCs w:val="21"/>
          <w:lang w:val="en-US" w:eastAsia="zh-CN"/>
        </w:rPr>
        <w:t>8.2</w:t>
      </w:r>
      <w:r>
        <w:rPr>
          <w:rFonts w:hint="eastAsia"/>
          <w:color w:val="auto"/>
          <w:sz w:val="21"/>
          <w:szCs w:val="21"/>
        </w:rPr>
        <w:t>其他文件资料</w:t>
      </w:r>
    </w:p>
    <w:p>
      <w:pPr>
        <w:pStyle w:val="41"/>
        <w:numPr>
          <w:ilvl w:val="0"/>
          <w:numId w:val="0"/>
        </w:numPr>
        <w:adjustRightInd w:val="0"/>
        <w:snapToGrid w:val="0"/>
        <w:spacing w:line="360" w:lineRule="auto"/>
        <w:ind w:firstLine="420" w:firstLineChars="200"/>
        <w:outlineLvl w:val="9"/>
        <w:rPr>
          <w:rFonts w:hint="eastAsia" w:ascii="宋体" w:eastAsia="宋体" w:cs="方正仿宋_GBK"/>
          <w:snapToGrid w:val="0"/>
          <w:kern w:val="0"/>
          <w:sz w:val="21"/>
          <w:szCs w:val="21"/>
          <w:lang w:val="en-US" w:eastAsia="zh-CN"/>
        </w:rPr>
      </w:pPr>
      <w:r>
        <w:rPr>
          <w:rFonts w:hint="eastAsia" w:ascii="宋体" w:eastAsia="宋体" w:cs="方正仿宋_GBK"/>
          <w:snapToGrid w:val="0"/>
          <w:kern w:val="0"/>
          <w:sz w:val="21"/>
          <w:szCs w:val="21"/>
          <w:lang w:val="en-US" w:eastAsia="zh-CN"/>
        </w:rPr>
        <w:t>8.2.1　供货方应按合同要求供货及相应随机附件，并提供货物清单。</w:t>
      </w:r>
    </w:p>
    <w:p>
      <w:pPr>
        <w:pStyle w:val="41"/>
        <w:numPr>
          <w:ilvl w:val="0"/>
          <w:numId w:val="0"/>
        </w:numPr>
        <w:adjustRightInd w:val="0"/>
        <w:snapToGrid w:val="0"/>
        <w:spacing w:line="360" w:lineRule="auto"/>
        <w:ind w:firstLine="420" w:firstLineChars="200"/>
        <w:outlineLvl w:val="9"/>
        <w:rPr>
          <w:rFonts w:hint="eastAsia" w:ascii="宋体" w:eastAsia="宋体" w:cs="方正仿宋_GBK"/>
          <w:snapToGrid w:val="0"/>
          <w:kern w:val="0"/>
          <w:sz w:val="21"/>
          <w:szCs w:val="21"/>
          <w:lang w:val="en-US" w:eastAsia="zh-CN"/>
        </w:rPr>
      </w:pPr>
      <w:r>
        <w:rPr>
          <w:rFonts w:hint="eastAsia" w:ascii="宋体" w:eastAsia="宋体" w:cs="方正仿宋_GBK"/>
          <w:snapToGrid w:val="0"/>
          <w:kern w:val="0"/>
          <w:sz w:val="21"/>
          <w:szCs w:val="21"/>
          <w:lang w:val="en-US" w:eastAsia="zh-CN"/>
        </w:rPr>
        <w:t>8.2.2　装置的包装应符合国家有关标准的规定。在运输过程中供货方对设备应采取   防震、防雨等措施。</w:t>
      </w:r>
    </w:p>
    <w:p>
      <w:pPr>
        <w:pStyle w:val="41"/>
        <w:numPr>
          <w:ilvl w:val="0"/>
          <w:numId w:val="0"/>
        </w:numPr>
        <w:adjustRightInd w:val="0"/>
        <w:snapToGrid w:val="0"/>
        <w:spacing w:line="360" w:lineRule="auto"/>
        <w:ind w:firstLine="420" w:firstLineChars="200"/>
        <w:outlineLvl w:val="9"/>
        <w:rPr>
          <w:rFonts w:hint="eastAsia" w:ascii="宋体" w:eastAsia="宋体" w:cs="方正仿宋_GBK"/>
          <w:snapToGrid w:val="0"/>
          <w:kern w:val="0"/>
          <w:sz w:val="21"/>
          <w:szCs w:val="21"/>
          <w:lang w:val="en-US" w:eastAsia="zh-CN"/>
        </w:rPr>
      </w:pPr>
      <w:r>
        <w:rPr>
          <w:rFonts w:hint="eastAsia" w:ascii="宋体" w:eastAsia="宋体" w:cs="方正仿宋_GBK"/>
          <w:snapToGrid w:val="0"/>
          <w:kern w:val="0"/>
          <w:sz w:val="21"/>
          <w:szCs w:val="21"/>
          <w:lang w:val="en-US" w:eastAsia="zh-CN"/>
        </w:rPr>
        <w:t>8.2.3供货方应给订货方技术部门进行现场技术培训，必要的情况下到供货方实地进行考察和技术培训。</w:t>
      </w:r>
    </w:p>
    <w:p>
      <w:pPr>
        <w:pStyle w:val="41"/>
        <w:numPr>
          <w:ilvl w:val="0"/>
          <w:numId w:val="0"/>
        </w:numPr>
        <w:adjustRightInd w:val="0"/>
        <w:snapToGrid w:val="0"/>
        <w:spacing w:line="360" w:lineRule="auto"/>
        <w:ind w:firstLine="420" w:firstLineChars="200"/>
        <w:outlineLvl w:val="9"/>
        <w:rPr>
          <w:rFonts w:hint="eastAsia" w:ascii="宋体" w:eastAsia="宋体" w:cs="方正仿宋_GBK"/>
          <w:snapToGrid w:val="0"/>
          <w:kern w:val="0"/>
          <w:sz w:val="21"/>
          <w:szCs w:val="21"/>
          <w:lang w:val="en-US" w:eastAsia="zh-CN"/>
        </w:rPr>
      </w:pPr>
      <w:r>
        <w:rPr>
          <w:rFonts w:hint="eastAsia" w:ascii="宋体" w:eastAsia="宋体" w:cs="方正仿宋_GBK"/>
          <w:snapToGrid w:val="0"/>
          <w:kern w:val="0"/>
          <w:sz w:val="21"/>
          <w:szCs w:val="21"/>
          <w:lang w:val="en-US" w:eastAsia="zh-CN"/>
        </w:rPr>
        <w:t>8.2.4供货方应提供购置设备的完整的中文使用说明书及中文技术资料3份（包括电子文档）。</w:t>
      </w:r>
    </w:p>
    <w:p>
      <w:pPr>
        <w:pStyle w:val="41"/>
        <w:numPr>
          <w:ilvl w:val="0"/>
          <w:numId w:val="0"/>
        </w:numPr>
        <w:adjustRightInd w:val="0"/>
        <w:snapToGrid w:val="0"/>
        <w:spacing w:line="360" w:lineRule="auto"/>
        <w:ind w:firstLine="420" w:firstLineChars="200"/>
        <w:outlineLvl w:val="9"/>
        <w:rPr>
          <w:rFonts w:hint="eastAsia" w:ascii="宋体" w:eastAsia="宋体" w:cs="方正仿宋_GBK"/>
          <w:snapToGrid w:val="0"/>
          <w:kern w:val="0"/>
          <w:sz w:val="21"/>
          <w:szCs w:val="21"/>
          <w:lang w:val="en-US" w:eastAsia="zh-CN"/>
        </w:rPr>
      </w:pPr>
      <w:r>
        <w:rPr>
          <w:rFonts w:hint="eastAsia" w:ascii="宋体" w:eastAsia="宋体" w:cs="方正仿宋_GBK"/>
          <w:snapToGrid w:val="0"/>
          <w:kern w:val="0"/>
          <w:sz w:val="21"/>
          <w:szCs w:val="21"/>
          <w:lang w:val="en-US" w:eastAsia="zh-CN"/>
        </w:rPr>
        <w:t>8.2.5当产品的软件更新时，供货方应及时提供相应的软件及技术培训或其它技术服务。</w:t>
      </w:r>
    </w:p>
    <w:p>
      <w:pPr>
        <w:pStyle w:val="41"/>
        <w:numPr>
          <w:ilvl w:val="0"/>
          <w:numId w:val="0"/>
        </w:numPr>
        <w:adjustRightInd w:val="0"/>
        <w:snapToGrid w:val="0"/>
        <w:spacing w:line="360" w:lineRule="auto"/>
        <w:ind w:firstLine="420" w:firstLineChars="200"/>
        <w:outlineLvl w:val="9"/>
        <w:rPr>
          <w:rFonts w:hint="eastAsia" w:ascii="宋体" w:eastAsia="宋体" w:cs="方正仿宋_GBK"/>
          <w:snapToGrid w:val="0"/>
          <w:kern w:val="0"/>
          <w:sz w:val="21"/>
          <w:szCs w:val="21"/>
          <w:lang w:val="en-US" w:eastAsia="zh-CN"/>
        </w:rPr>
      </w:pPr>
      <w:r>
        <w:rPr>
          <w:rFonts w:hint="eastAsia" w:ascii="宋体" w:eastAsia="宋体" w:cs="方正仿宋_GBK"/>
          <w:snapToGrid w:val="0"/>
          <w:kern w:val="0"/>
          <w:sz w:val="21"/>
          <w:szCs w:val="21"/>
          <w:lang w:val="en-US" w:eastAsia="zh-CN"/>
        </w:rPr>
        <w:t>8.2.6资料提交的基本要求</w:t>
      </w:r>
    </w:p>
    <w:p>
      <w:pPr>
        <w:pStyle w:val="41"/>
        <w:numPr>
          <w:ilvl w:val="0"/>
          <w:numId w:val="0"/>
        </w:numPr>
        <w:adjustRightInd w:val="0"/>
        <w:snapToGrid w:val="0"/>
        <w:spacing w:line="360" w:lineRule="auto"/>
        <w:ind w:firstLine="420" w:firstLineChars="200"/>
        <w:outlineLvl w:val="9"/>
        <w:rPr>
          <w:rFonts w:hint="eastAsia" w:ascii="宋体" w:eastAsia="宋体" w:cs="方正仿宋_GBK"/>
          <w:snapToGrid w:val="0"/>
          <w:kern w:val="0"/>
          <w:sz w:val="21"/>
          <w:szCs w:val="21"/>
          <w:lang w:val="en-US" w:eastAsia="zh-CN"/>
        </w:rPr>
      </w:pPr>
      <w:r>
        <w:rPr>
          <w:rFonts w:hint="eastAsia" w:ascii="宋体" w:eastAsia="宋体" w:cs="方正仿宋_GBK"/>
          <w:snapToGrid w:val="0"/>
          <w:kern w:val="0"/>
          <w:sz w:val="21"/>
          <w:szCs w:val="21"/>
          <w:lang w:val="en-US" w:eastAsia="zh-CN"/>
        </w:rPr>
        <w:t>8.2.6.1供方应在投标阶段提供有关资料。</w:t>
      </w:r>
    </w:p>
    <w:p>
      <w:pPr>
        <w:pStyle w:val="41"/>
        <w:numPr>
          <w:ilvl w:val="0"/>
          <w:numId w:val="0"/>
        </w:numPr>
        <w:adjustRightInd w:val="0"/>
        <w:snapToGrid w:val="0"/>
        <w:spacing w:line="360" w:lineRule="auto"/>
        <w:ind w:firstLine="420" w:firstLineChars="200"/>
        <w:outlineLvl w:val="9"/>
        <w:rPr>
          <w:rFonts w:hint="eastAsia" w:ascii="宋体" w:eastAsia="宋体" w:cs="方正仿宋_GBK"/>
          <w:snapToGrid w:val="0"/>
          <w:kern w:val="0"/>
          <w:sz w:val="21"/>
          <w:szCs w:val="21"/>
          <w:lang w:val="en-US" w:eastAsia="zh-CN"/>
        </w:rPr>
      </w:pPr>
      <w:r>
        <w:rPr>
          <w:rFonts w:hint="eastAsia" w:ascii="宋体" w:eastAsia="宋体" w:cs="方正仿宋_GBK"/>
          <w:snapToGrid w:val="0"/>
          <w:kern w:val="0"/>
          <w:sz w:val="21"/>
          <w:szCs w:val="21"/>
          <w:lang w:val="en-US" w:eastAsia="zh-CN"/>
        </w:rPr>
        <w:t>8.2.6.2 供方须及时提供设备的资料与图纸。</w:t>
      </w:r>
    </w:p>
    <w:p>
      <w:pPr>
        <w:pStyle w:val="41"/>
        <w:numPr>
          <w:ilvl w:val="0"/>
          <w:numId w:val="0"/>
        </w:numPr>
        <w:adjustRightInd w:val="0"/>
        <w:snapToGrid w:val="0"/>
        <w:spacing w:line="360" w:lineRule="auto"/>
        <w:ind w:firstLine="420" w:firstLineChars="200"/>
        <w:outlineLvl w:val="9"/>
        <w:rPr>
          <w:rFonts w:hint="eastAsia" w:ascii="宋体" w:eastAsia="宋体" w:cs="方正仿宋_GBK"/>
          <w:snapToGrid w:val="0"/>
          <w:kern w:val="0"/>
          <w:sz w:val="21"/>
          <w:szCs w:val="21"/>
          <w:lang w:val="en-US" w:eastAsia="zh-CN"/>
        </w:rPr>
      </w:pPr>
      <w:r>
        <w:rPr>
          <w:rFonts w:hint="eastAsia" w:ascii="宋体" w:eastAsia="宋体" w:cs="方正仿宋_GBK"/>
          <w:snapToGrid w:val="0"/>
          <w:kern w:val="0"/>
          <w:sz w:val="21"/>
          <w:szCs w:val="21"/>
          <w:lang w:val="en-US" w:eastAsia="zh-CN"/>
        </w:rPr>
        <w:t>8.2.6.3 供方应提供满足合同设备性能检验/见证所需的全部技术资料。</w:t>
      </w:r>
    </w:p>
    <w:p>
      <w:pPr>
        <w:pStyle w:val="41"/>
        <w:numPr>
          <w:ilvl w:val="0"/>
          <w:numId w:val="0"/>
        </w:numPr>
        <w:adjustRightInd w:val="0"/>
        <w:snapToGrid w:val="0"/>
        <w:spacing w:line="360" w:lineRule="auto"/>
        <w:ind w:firstLine="420" w:firstLineChars="200"/>
        <w:outlineLvl w:val="9"/>
        <w:rPr>
          <w:rFonts w:hint="eastAsia" w:ascii="宋体" w:eastAsia="宋体" w:cs="方正仿宋_GBK"/>
          <w:snapToGrid w:val="0"/>
          <w:kern w:val="0"/>
          <w:sz w:val="21"/>
          <w:szCs w:val="21"/>
          <w:lang w:val="en-US" w:eastAsia="zh-CN"/>
        </w:rPr>
      </w:pPr>
      <w:r>
        <w:rPr>
          <w:rFonts w:hint="eastAsia" w:ascii="宋体" w:eastAsia="宋体" w:cs="方正仿宋_GBK"/>
          <w:snapToGrid w:val="0"/>
          <w:kern w:val="0"/>
          <w:sz w:val="21"/>
          <w:szCs w:val="21"/>
          <w:lang w:val="en-US" w:eastAsia="zh-CN"/>
        </w:rPr>
        <w:t>8.2.6.4 调试、安装、使用和维护检修所需的技术资料，包括但不限于：</w:t>
      </w:r>
    </w:p>
    <w:p>
      <w:pPr>
        <w:pStyle w:val="41"/>
        <w:numPr>
          <w:ilvl w:val="0"/>
          <w:numId w:val="0"/>
        </w:numPr>
        <w:adjustRightInd w:val="0"/>
        <w:snapToGrid w:val="0"/>
        <w:spacing w:line="360" w:lineRule="auto"/>
        <w:ind w:firstLine="420" w:firstLineChars="200"/>
        <w:outlineLvl w:val="9"/>
        <w:rPr>
          <w:rFonts w:hint="eastAsia" w:ascii="宋体" w:eastAsia="宋体" w:cs="方正仿宋_GBK"/>
          <w:snapToGrid w:val="0"/>
          <w:kern w:val="0"/>
          <w:sz w:val="21"/>
          <w:szCs w:val="21"/>
          <w:lang w:val="en-US" w:eastAsia="zh-CN"/>
        </w:rPr>
      </w:pPr>
      <w:r>
        <w:rPr>
          <w:rFonts w:hint="eastAsia" w:ascii="宋体" w:eastAsia="宋体" w:cs="方正仿宋_GBK"/>
          <w:snapToGrid w:val="0"/>
          <w:kern w:val="0"/>
          <w:sz w:val="21"/>
          <w:szCs w:val="21"/>
          <w:lang w:val="en-US" w:eastAsia="zh-CN"/>
        </w:rPr>
        <w:t>1)提供设备的说明书，以及组装、拆卸时所需用的技术资料。</w:t>
      </w:r>
    </w:p>
    <w:p>
      <w:pPr>
        <w:pStyle w:val="41"/>
        <w:numPr>
          <w:ilvl w:val="0"/>
          <w:numId w:val="0"/>
        </w:numPr>
        <w:adjustRightInd w:val="0"/>
        <w:snapToGrid w:val="0"/>
        <w:spacing w:line="360" w:lineRule="auto"/>
        <w:ind w:firstLine="420" w:firstLineChars="200"/>
        <w:outlineLvl w:val="9"/>
        <w:rPr>
          <w:rFonts w:hint="eastAsia" w:ascii="宋体" w:eastAsia="宋体" w:cs="方正仿宋_GBK"/>
          <w:snapToGrid w:val="0"/>
          <w:kern w:val="0"/>
          <w:sz w:val="21"/>
          <w:szCs w:val="21"/>
          <w:lang w:val="en-US" w:eastAsia="zh-CN"/>
        </w:rPr>
      </w:pPr>
      <w:r>
        <w:rPr>
          <w:rFonts w:hint="eastAsia" w:ascii="宋体" w:eastAsia="宋体" w:cs="方正仿宋_GBK"/>
          <w:snapToGrid w:val="0"/>
          <w:kern w:val="0"/>
          <w:sz w:val="21"/>
          <w:szCs w:val="21"/>
          <w:lang w:val="en-US" w:eastAsia="zh-CN"/>
        </w:rPr>
        <w:t>2)安装、使用、维护、检修所需的详尽图纸和技术文件，包括设备总图、部件总图、分图和必要的零件图、计算资料等。</w:t>
      </w:r>
    </w:p>
    <w:p>
      <w:pPr>
        <w:pStyle w:val="41"/>
        <w:numPr>
          <w:ilvl w:val="0"/>
          <w:numId w:val="0"/>
        </w:numPr>
        <w:adjustRightInd w:val="0"/>
        <w:snapToGrid w:val="0"/>
        <w:spacing w:line="360" w:lineRule="auto"/>
        <w:ind w:firstLine="420" w:firstLineChars="200"/>
        <w:outlineLvl w:val="9"/>
        <w:rPr>
          <w:rFonts w:hint="eastAsia" w:ascii="宋体" w:eastAsia="宋体" w:cs="方正仿宋_GBK"/>
          <w:snapToGrid w:val="0"/>
          <w:kern w:val="0"/>
          <w:sz w:val="21"/>
          <w:szCs w:val="21"/>
          <w:lang w:val="en-US" w:eastAsia="zh-CN"/>
        </w:rPr>
      </w:pPr>
      <w:r>
        <w:rPr>
          <w:rFonts w:hint="eastAsia" w:ascii="宋体" w:eastAsia="宋体" w:cs="方正仿宋_GBK"/>
          <w:snapToGrid w:val="0"/>
          <w:kern w:val="0"/>
          <w:sz w:val="21"/>
          <w:szCs w:val="21"/>
          <w:lang w:val="en-US" w:eastAsia="zh-CN"/>
        </w:rPr>
        <w:t>3)供方应提供备品、配件总清单和易损零件图。</w:t>
      </w:r>
    </w:p>
    <w:p>
      <w:pPr>
        <w:pStyle w:val="41"/>
        <w:numPr>
          <w:ilvl w:val="0"/>
          <w:numId w:val="0"/>
        </w:numPr>
        <w:adjustRightInd w:val="0"/>
        <w:snapToGrid w:val="0"/>
        <w:spacing w:line="360" w:lineRule="auto"/>
        <w:ind w:firstLine="420" w:firstLineChars="200"/>
        <w:outlineLvl w:val="9"/>
        <w:rPr>
          <w:rFonts w:hint="eastAsia" w:ascii="宋体" w:eastAsia="宋体" w:cs="方正仿宋_GBK"/>
          <w:snapToGrid w:val="0"/>
          <w:kern w:val="0"/>
          <w:sz w:val="21"/>
          <w:szCs w:val="21"/>
          <w:lang w:val="en-US" w:eastAsia="zh-CN"/>
        </w:rPr>
      </w:pPr>
      <w:r>
        <w:rPr>
          <w:rFonts w:hint="eastAsia" w:ascii="宋体" w:eastAsia="宋体" w:cs="方正仿宋_GBK"/>
          <w:snapToGrid w:val="0"/>
          <w:kern w:val="0"/>
          <w:sz w:val="21"/>
          <w:szCs w:val="21"/>
          <w:lang w:val="en-US" w:eastAsia="zh-CN"/>
        </w:rPr>
        <w:t>8.2.6.5 供方须提供的其它技术资料，包括以下但不限于：</w:t>
      </w:r>
    </w:p>
    <w:p>
      <w:pPr>
        <w:pStyle w:val="41"/>
        <w:numPr>
          <w:ilvl w:val="0"/>
          <w:numId w:val="0"/>
        </w:numPr>
        <w:adjustRightInd w:val="0"/>
        <w:snapToGrid w:val="0"/>
        <w:spacing w:line="360" w:lineRule="auto"/>
        <w:ind w:firstLine="420" w:firstLineChars="200"/>
        <w:outlineLvl w:val="9"/>
        <w:rPr>
          <w:rFonts w:hint="eastAsia" w:ascii="宋体" w:eastAsia="宋体" w:cs="方正仿宋_GBK"/>
          <w:snapToGrid w:val="0"/>
          <w:kern w:val="0"/>
          <w:sz w:val="21"/>
          <w:szCs w:val="21"/>
          <w:lang w:val="en-US" w:eastAsia="zh-CN"/>
        </w:rPr>
      </w:pPr>
      <w:r>
        <w:rPr>
          <w:rFonts w:hint="eastAsia" w:ascii="宋体" w:eastAsia="宋体" w:cs="方正仿宋_GBK"/>
          <w:snapToGrid w:val="0"/>
          <w:kern w:val="0"/>
          <w:sz w:val="21"/>
          <w:szCs w:val="21"/>
          <w:lang w:val="en-US" w:eastAsia="zh-CN"/>
        </w:rPr>
        <w:t>1 )检验记录、试验报告及质量合格证等出厂报告。</w:t>
      </w:r>
    </w:p>
    <w:p>
      <w:pPr>
        <w:pStyle w:val="41"/>
        <w:numPr>
          <w:ilvl w:val="0"/>
          <w:numId w:val="0"/>
        </w:numPr>
        <w:adjustRightInd w:val="0"/>
        <w:snapToGrid w:val="0"/>
        <w:spacing w:line="360" w:lineRule="auto"/>
        <w:ind w:firstLine="420" w:firstLineChars="200"/>
        <w:outlineLvl w:val="9"/>
        <w:rPr>
          <w:rFonts w:hint="eastAsia" w:ascii="宋体" w:eastAsia="宋体" w:cs="方正仿宋_GBK"/>
          <w:snapToGrid w:val="0"/>
          <w:kern w:val="0"/>
          <w:sz w:val="21"/>
          <w:szCs w:val="21"/>
          <w:lang w:val="en-US" w:eastAsia="zh-CN"/>
        </w:rPr>
      </w:pPr>
      <w:r>
        <w:rPr>
          <w:rFonts w:hint="eastAsia" w:ascii="宋体" w:eastAsia="宋体" w:cs="方正仿宋_GBK"/>
          <w:snapToGrid w:val="0"/>
          <w:kern w:val="0"/>
          <w:sz w:val="21"/>
          <w:szCs w:val="21"/>
          <w:lang w:val="en-US" w:eastAsia="zh-CN"/>
        </w:rPr>
        <w:t>2)供方提供在设计、制造时所遵循的规范、标准和规定清单。</w:t>
      </w:r>
    </w:p>
    <w:p>
      <w:pPr>
        <w:pStyle w:val="41"/>
        <w:numPr>
          <w:ilvl w:val="0"/>
          <w:numId w:val="0"/>
        </w:numPr>
        <w:adjustRightInd w:val="0"/>
        <w:snapToGrid w:val="0"/>
        <w:spacing w:line="360" w:lineRule="auto"/>
        <w:ind w:firstLine="420" w:firstLineChars="200"/>
        <w:outlineLvl w:val="9"/>
        <w:rPr>
          <w:rFonts w:hint="eastAsia" w:ascii="宋体" w:eastAsia="宋体" w:cs="方正仿宋_GBK"/>
          <w:snapToGrid w:val="0"/>
          <w:kern w:val="0"/>
          <w:sz w:val="21"/>
          <w:szCs w:val="21"/>
          <w:lang w:val="en-US" w:eastAsia="zh-CN"/>
        </w:rPr>
      </w:pPr>
      <w:r>
        <w:rPr>
          <w:rFonts w:hint="eastAsia" w:ascii="宋体" w:eastAsia="宋体" w:cs="方正仿宋_GBK"/>
          <w:snapToGrid w:val="0"/>
          <w:kern w:val="0"/>
          <w:sz w:val="21"/>
          <w:szCs w:val="21"/>
          <w:lang w:val="en-US" w:eastAsia="zh-CN"/>
        </w:rPr>
        <w:t>3)设备和备品管理资料文件，包括设备和备品发运和装箱的详细资料（各种清单），设备和备品存放与保管技术要求。</w:t>
      </w:r>
    </w:p>
    <w:p>
      <w:pPr>
        <w:pStyle w:val="41"/>
        <w:numPr>
          <w:ilvl w:val="0"/>
          <w:numId w:val="0"/>
        </w:numPr>
        <w:adjustRightInd w:val="0"/>
        <w:snapToGrid w:val="0"/>
        <w:spacing w:line="360" w:lineRule="auto"/>
        <w:ind w:firstLine="420" w:firstLineChars="200"/>
        <w:outlineLvl w:val="9"/>
        <w:rPr>
          <w:rFonts w:hint="eastAsia" w:ascii="宋体" w:eastAsia="宋体" w:cs="方正仿宋_GBK"/>
          <w:snapToGrid w:val="0"/>
          <w:kern w:val="0"/>
          <w:sz w:val="21"/>
          <w:szCs w:val="21"/>
          <w:lang w:val="en-US" w:eastAsia="zh-CN"/>
        </w:rPr>
      </w:pPr>
      <w:r>
        <w:rPr>
          <w:rFonts w:hint="eastAsia" w:ascii="宋体" w:eastAsia="宋体" w:cs="方正仿宋_GBK"/>
          <w:snapToGrid w:val="0"/>
          <w:kern w:val="0"/>
          <w:sz w:val="21"/>
          <w:szCs w:val="21"/>
          <w:lang w:val="en-US" w:eastAsia="zh-CN"/>
        </w:rPr>
        <w:t>4)详细的产品质量文件，包括材质、外形尺寸和性能检验等的证明。</w:t>
      </w:r>
    </w:p>
    <w:p>
      <w:pPr>
        <w:pStyle w:val="3"/>
        <w:keepNext w:val="0"/>
        <w:keepLines w:val="0"/>
        <w:numPr>
          <w:ilvl w:val="0"/>
          <w:numId w:val="0"/>
        </w:numPr>
        <w:snapToGrid w:val="0"/>
        <w:spacing w:line="324" w:lineRule="auto"/>
        <w:ind w:leftChars="0"/>
        <w:rPr>
          <w:rFonts w:hint="eastAsia"/>
          <w:color w:val="auto"/>
          <w:sz w:val="21"/>
          <w:szCs w:val="21"/>
        </w:rPr>
      </w:pPr>
      <w:bookmarkStart w:id="18" w:name="_Toc13172"/>
      <w:r>
        <w:rPr>
          <w:rFonts w:hint="eastAsia"/>
          <w:color w:val="auto"/>
          <w:sz w:val="21"/>
          <w:szCs w:val="21"/>
          <w:lang w:val="en-US" w:eastAsia="zh-CN"/>
        </w:rPr>
        <w:t>9.验收和</w:t>
      </w:r>
      <w:r>
        <w:rPr>
          <w:rFonts w:hint="eastAsia"/>
          <w:color w:val="auto"/>
          <w:sz w:val="21"/>
          <w:szCs w:val="21"/>
        </w:rPr>
        <w:t>培训</w:t>
      </w:r>
      <w:bookmarkEnd w:id="18"/>
    </w:p>
    <w:p>
      <w:pPr>
        <w:pStyle w:val="41"/>
        <w:numPr>
          <w:ilvl w:val="0"/>
          <w:numId w:val="0"/>
        </w:numPr>
        <w:adjustRightInd w:val="0"/>
        <w:snapToGrid w:val="0"/>
        <w:spacing w:line="360" w:lineRule="auto"/>
        <w:ind w:firstLine="420" w:firstLineChars="200"/>
        <w:outlineLvl w:val="9"/>
        <w:rPr>
          <w:rFonts w:hint="eastAsia" w:ascii="宋体" w:eastAsia="宋体" w:cs="方正仿宋_GBK"/>
          <w:snapToGrid w:val="0"/>
          <w:kern w:val="0"/>
          <w:sz w:val="21"/>
          <w:szCs w:val="21"/>
          <w:lang w:val="en-US" w:eastAsia="zh-CN"/>
        </w:rPr>
      </w:pPr>
      <w:r>
        <w:rPr>
          <w:rFonts w:hint="eastAsia" w:ascii="宋体" w:eastAsia="宋体" w:cs="方正仿宋_GBK"/>
          <w:snapToGrid w:val="0"/>
          <w:kern w:val="0"/>
          <w:sz w:val="21"/>
          <w:szCs w:val="21"/>
          <w:lang w:val="en-US" w:eastAsia="zh-CN"/>
        </w:rPr>
        <w:t>9.1供方在供货前应提供第三方法定计量授权机构（除广西电网有限责任公司系统外）的检定证书，再由采购方进行到货验收。</w:t>
      </w:r>
    </w:p>
    <w:p>
      <w:pPr>
        <w:pStyle w:val="41"/>
        <w:numPr>
          <w:ilvl w:val="0"/>
          <w:numId w:val="0"/>
        </w:numPr>
        <w:adjustRightInd w:val="0"/>
        <w:snapToGrid w:val="0"/>
        <w:spacing w:line="360" w:lineRule="auto"/>
        <w:ind w:firstLine="420" w:firstLineChars="200"/>
        <w:outlineLvl w:val="9"/>
        <w:rPr>
          <w:rFonts w:hint="eastAsia" w:ascii="宋体" w:eastAsia="宋体" w:cs="方正仿宋_GBK"/>
          <w:snapToGrid w:val="0"/>
          <w:kern w:val="0"/>
          <w:sz w:val="21"/>
          <w:szCs w:val="21"/>
          <w:lang w:val="en-US" w:eastAsia="zh-CN"/>
        </w:rPr>
      </w:pPr>
      <w:r>
        <w:rPr>
          <w:rFonts w:hint="eastAsia" w:ascii="宋体" w:eastAsia="宋体" w:cs="方正仿宋_GBK"/>
          <w:snapToGrid w:val="0"/>
          <w:kern w:val="0"/>
          <w:sz w:val="21"/>
          <w:szCs w:val="21"/>
          <w:lang w:val="en-US" w:eastAsia="zh-CN"/>
        </w:rPr>
        <w:t>9.2现场到货后按照DL/T1256-2013仪器通用技术条件目进行，其技术指标求应符合相应检验项目的要求，检验仪经检测、验收检验合格后方可接收。若验收检验不合格，则供方应在需方规定的时限内进行更换，更换后的检验仪重新按上述方式进行验收检验，若验收检验仍不合格，需方有权中止合同，验收检验不合格的检验费用均由供方承担。</w:t>
      </w:r>
    </w:p>
    <w:p>
      <w:pPr>
        <w:pStyle w:val="41"/>
        <w:numPr>
          <w:ilvl w:val="0"/>
          <w:numId w:val="0"/>
        </w:numPr>
        <w:adjustRightInd w:val="0"/>
        <w:snapToGrid w:val="0"/>
        <w:spacing w:line="360" w:lineRule="auto"/>
        <w:ind w:firstLine="420" w:firstLineChars="200"/>
        <w:outlineLvl w:val="9"/>
        <w:rPr>
          <w:rFonts w:hint="eastAsia" w:ascii="宋体" w:eastAsia="宋体" w:cs="方正仿宋_GBK"/>
          <w:snapToGrid w:val="0"/>
          <w:kern w:val="0"/>
          <w:sz w:val="21"/>
          <w:szCs w:val="21"/>
          <w:lang w:val="en-US" w:eastAsia="zh-CN"/>
        </w:rPr>
      </w:pPr>
      <w:r>
        <w:rPr>
          <w:rFonts w:hint="eastAsia" w:ascii="宋体" w:eastAsia="宋体" w:cs="方正仿宋_GBK"/>
          <w:snapToGrid w:val="0"/>
          <w:kern w:val="0"/>
          <w:sz w:val="21"/>
          <w:szCs w:val="21"/>
          <w:lang w:val="en-US" w:eastAsia="zh-CN"/>
        </w:rPr>
        <w:t>9.3在设备到达目的地后，卖方组织、买方参加，开箱验收。如果发现任一设备有偏差、损坏、损失、遗漏或数量、质量、技术规范因卖方的责任与合同不符，买方有权向卖方提出索赔。</w:t>
      </w:r>
    </w:p>
    <w:p>
      <w:pPr>
        <w:pStyle w:val="41"/>
        <w:numPr>
          <w:ilvl w:val="0"/>
          <w:numId w:val="0"/>
        </w:numPr>
        <w:adjustRightInd w:val="0"/>
        <w:snapToGrid w:val="0"/>
        <w:spacing w:line="360" w:lineRule="auto"/>
        <w:ind w:firstLine="420" w:firstLineChars="200"/>
        <w:outlineLvl w:val="9"/>
        <w:rPr>
          <w:rFonts w:hint="eastAsia" w:ascii="宋体" w:eastAsia="宋体" w:cs="方正仿宋_GBK"/>
          <w:snapToGrid w:val="0"/>
          <w:kern w:val="0"/>
          <w:sz w:val="21"/>
          <w:szCs w:val="21"/>
          <w:lang w:val="en-US" w:eastAsia="zh-CN"/>
        </w:rPr>
      </w:pPr>
      <w:r>
        <w:rPr>
          <w:rFonts w:hint="eastAsia" w:ascii="宋体" w:eastAsia="宋体" w:cs="方正仿宋_GBK"/>
          <w:snapToGrid w:val="0"/>
          <w:kern w:val="0"/>
          <w:sz w:val="21"/>
          <w:szCs w:val="21"/>
          <w:lang w:val="en-US" w:eastAsia="zh-CN"/>
        </w:rPr>
        <w:t>9.4供方负责对订货方的人员进行专业培训，培训内容包括操作使用、故障判断方法、注意事项、保养维护等。（交货后一个月内进行）</w:t>
      </w:r>
    </w:p>
    <w:p>
      <w:pPr>
        <w:pStyle w:val="3"/>
        <w:keepNext w:val="0"/>
        <w:keepLines w:val="0"/>
        <w:numPr>
          <w:ilvl w:val="0"/>
          <w:numId w:val="0"/>
        </w:numPr>
        <w:snapToGrid w:val="0"/>
        <w:spacing w:line="324" w:lineRule="auto"/>
        <w:ind w:leftChars="0"/>
        <w:rPr>
          <w:rFonts w:hint="eastAsia"/>
          <w:color w:val="auto"/>
          <w:sz w:val="21"/>
          <w:szCs w:val="21"/>
        </w:rPr>
      </w:pPr>
      <w:bookmarkStart w:id="19" w:name="_Toc17560"/>
      <w:r>
        <w:rPr>
          <w:rFonts w:hint="eastAsia"/>
          <w:color w:val="auto"/>
          <w:sz w:val="21"/>
          <w:szCs w:val="21"/>
          <w:lang w:val="en-US" w:eastAsia="zh-CN"/>
        </w:rPr>
        <w:t>10.</w:t>
      </w:r>
      <w:r>
        <w:rPr>
          <w:rFonts w:hint="eastAsia"/>
          <w:color w:val="auto"/>
          <w:sz w:val="21"/>
          <w:szCs w:val="21"/>
        </w:rPr>
        <w:t>包装、运输、安装及质量保证</w:t>
      </w:r>
      <w:bookmarkEnd w:id="19"/>
    </w:p>
    <w:p>
      <w:pPr>
        <w:pStyle w:val="24"/>
        <w:keepNext w:val="0"/>
        <w:keepLines w:val="0"/>
        <w:numPr>
          <w:ilvl w:val="1"/>
          <w:numId w:val="0"/>
        </w:numPr>
        <w:snapToGrid w:val="0"/>
        <w:spacing w:line="324" w:lineRule="auto"/>
        <w:ind w:leftChars="0"/>
        <w:rPr>
          <w:rFonts w:hint="eastAsia" w:hAnsi="宋体"/>
          <w:color w:val="auto"/>
          <w:sz w:val="21"/>
          <w:szCs w:val="21"/>
        </w:rPr>
      </w:pPr>
      <w:bookmarkStart w:id="20" w:name="_Toc289089107"/>
      <w:bookmarkStart w:id="21" w:name="_Toc296359234"/>
      <w:bookmarkStart w:id="22" w:name="_Toc240452888"/>
      <w:bookmarkStart w:id="23" w:name="_Toc296962416"/>
      <w:bookmarkStart w:id="24" w:name="_Toc296962415"/>
      <w:bookmarkStart w:id="25" w:name="_Toc296359235"/>
      <w:r>
        <w:rPr>
          <w:rFonts w:hint="eastAsia" w:hAnsi="宋体"/>
          <w:color w:val="auto"/>
          <w:sz w:val="21"/>
          <w:szCs w:val="21"/>
          <w:lang w:val="en-US" w:eastAsia="zh-CN"/>
        </w:rPr>
        <w:t>10.1</w:t>
      </w:r>
      <w:r>
        <w:rPr>
          <w:rFonts w:hint="eastAsia" w:hAnsi="宋体"/>
          <w:color w:val="auto"/>
          <w:sz w:val="21"/>
          <w:szCs w:val="21"/>
        </w:rPr>
        <w:t>设备本体（含所有零部件）与资料分开单独包装，防止受潮，保证设备及其资料完好无损。</w:t>
      </w:r>
    </w:p>
    <w:p>
      <w:pPr>
        <w:pStyle w:val="24"/>
        <w:keepNext w:val="0"/>
        <w:keepLines w:val="0"/>
        <w:numPr>
          <w:ilvl w:val="1"/>
          <w:numId w:val="0"/>
        </w:numPr>
        <w:snapToGrid w:val="0"/>
        <w:spacing w:line="324" w:lineRule="auto"/>
        <w:ind w:leftChars="0"/>
        <w:rPr>
          <w:rFonts w:hAnsi="宋体"/>
          <w:color w:val="auto"/>
          <w:sz w:val="21"/>
          <w:szCs w:val="21"/>
        </w:rPr>
      </w:pPr>
      <w:r>
        <w:rPr>
          <w:rFonts w:hint="eastAsia" w:hAnsi="宋体"/>
          <w:color w:val="auto"/>
          <w:sz w:val="21"/>
          <w:szCs w:val="21"/>
          <w:lang w:val="en-US" w:eastAsia="zh-CN"/>
        </w:rPr>
        <w:t>10.2</w:t>
      </w:r>
      <w:r>
        <w:rPr>
          <w:rFonts w:hint="eastAsia" w:hAnsi="宋体"/>
          <w:color w:val="auto"/>
          <w:sz w:val="21"/>
          <w:szCs w:val="21"/>
        </w:rPr>
        <w:t>交付的设备应符合相关包装储运指示标志的规定，按照国家有关部门最新的规定进行包装，以便合同货物在没有任何损坏和腐蚀的情况下安全地运抵合同货物安装现场。合同货物包装前，</w:t>
      </w:r>
      <w:r>
        <w:rPr>
          <w:rFonts w:hint="eastAsia" w:hAnsi="宋体"/>
          <w:color w:val="auto"/>
          <w:sz w:val="21"/>
          <w:szCs w:val="21"/>
          <w:lang w:eastAsia="zh-CN"/>
        </w:rPr>
        <w:t>供方</w:t>
      </w:r>
      <w:r>
        <w:rPr>
          <w:rFonts w:hint="eastAsia" w:hAnsi="宋体"/>
          <w:color w:val="auto"/>
          <w:sz w:val="21"/>
          <w:szCs w:val="21"/>
        </w:rPr>
        <w:t>应负责按部套进行检查清理，不留异物，并保证零部件齐全。</w:t>
      </w:r>
    </w:p>
    <w:p>
      <w:pPr>
        <w:pStyle w:val="24"/>
        <w:keepNext w:val="0"/>
        <w:keepLines w:val="0"/>
        <w:numPr>
          <w:ilvl w:val="1"/>
          <w:numId w:val="0"/>
        </w:numPr>
        <w:snapToGrid w:val="0"/>
        <w:spacing w:line="324" w:lineRule="auto"/>
        <w:ind w:leftChars="0"/>
        <w:rPr>
          <w:rFonts w:hint="eastAsia"/>
          <w:color w:val="auto"/>
          <w:sz w:val="21"/>
          <w:szCs w:val="21"/>
        </w:rPr>
      </w:pPr>
      <w:r>
        <w:rPr>
          <w:rFonts w:hint="eastAsia"/>
          <w:color w:val="auto"/>
          <w:sz w:val="21"/>
          <w:szCs w:val="21"/>
          <w:lang w:val="en-US" w:eastAsia="zh-CN"/>
        </w:rPr>
        <w:t>10.3</w:t>
      </w:r>
      <w:r>
        <w:rPr>
          <w:rFonts w:hint="eastAsia"/>
          <w:color w:val="auto"/>
          <w:sz w:val="21"/>
          <w:szCs w:val="21"/>
        </w:rPr>
        <w:t>在包装箱上应以不褪色的醒目标志标明：合同号、目的地、收货人、设备名称、箱号、毛重、外形尺寸、运输警示标识等。</w:t>
      </w:r>
      <w:r>
        <w:rPr>
          <w:rFonts w:hint="eastAsia" w:hAnsi="宋体"/>
          <w:color w:val="auto"/>
          <w:sz w:val="21"/>
          <w:szCs w:val="21"/>
        </w:rPr>
        <w:t>包装箱应连续编号</w:t>
      </w:r>
      <w:r>
        <w:rPr>
          <w:rFonts w:hAnsi="宋体"/>
          <w:color w:val="auto"/>
          <w:sz w:val="21"/>
          <w:szCs w:val="21"/>
        </w:rPr>
        <w:t>，</w:t>
      </w:r>
      <w:r>
        <w:rPr>
          <w:rFonts w:hint="eastAsia" w:hAnsi="宋体"/>
          <w:color w:val="auto"/>
          <w:sz w:val="21"/>
          <w:szCs w:val="21"/>
        </w:rPr>
        <w:t>不能有重号。</w:t>
      </w:r>
    </w:p>
    <w:p>
      <w:pPr>
        <w:pStyle w:val="24"/>
        <w:keepNext w:val="0"/>
        <w:keepLines w:val="0"/>
        <w:numPr>
          <w:ilvl w:val="1"/>
          <w:numId w:val="0"/>
        </w:numPr>
        <w:snapToGrid w:val="0"/>
        <w:spacing w:line="324" w:lineRule="auto"/>
        <w:ind w:leftChars="0"/>
        <w:rPr>
          <w:rFonts w:hint="eastAsia"/>
          <w:color w:val="auto"/>
          <w:sz w:val="21"/>
          <w:szCs w:val="21"/>
        </w:rPr>
      </w:pPr>
      <w:r>
        <w:rPr>
          <w:rFonts w:hint="eastAsia" w:hAnsi="宋体"/>
          <w:color w:val="auto"/>
          <w:spacing w:val="-2"/>
          <w:sz w:val="21"/>
          <w:szCs w:val="21"/>
          <w:lang w:val="en-US" w:eastAsia="zh-CN"/>
        </w:rPr>
        <w:t>10.4</w:t>
      </w:r>
      <w:r>
        <w:rPr>
          <w:rFonts w:hAnsi="宋体"/>
          <w:color w:val="auto"/>
          <w:sz w:val="21"/>
          <w:szCs w:val="21"/>
        </w:rPr>
        <w:t>应提供技术支持和所需的备品备件。</w:t>
      </w:r>
      <w:r>
        <w:rPr>
          <w:rFonts w:hint="eastAsia" w:hAnsi="宋体"/>
          <w:color w:val="auto"/>
          <w:spacing w:val="-2"/>
          <w:sz w:val="21"/>
          <w:szCs w:val="21"/>
        </w:rPr>
        <w:t>备品备件、专用工具等应随设备同时装运，但必须单独包装，并明显标记。</w:t>
      </w:r>
    </w:p>
    <w:p>
      <w:pPr>
        <w:pStyle w:val="24"/>
        <w:keepNext w:val="0"/>
        <w:keepLines w:val="0"/>
        <w:numPr>
          <w:ilvl w:val="1"/>
          <w:numId w:val="0"/>
        </w:numPr>
        <w:snapToGrid w:val="0"/>
        <w:spacing w:line="324" w:lineRule="auto"/>
        <w:ind w:leftChars="0"/>
        <w:rPr>
          <w:rFonts w:hint="eastAsia" w:hAnsi="宋体"/>
          <w:color w:val="auto"/>
          <w:spacing w:val="-2"/>
          <w:sz w:val="21"/>
          <w:szCs w:val="21"/>
        </w:rPr>
      </w:pPr>
      <w:r>
        <w:rPr>
          <w:rFonts w:hint="eastAsia" w:hAnsi="宋体"/>
          <w:color w:val="auto"/>
          <w:sz w:val="21"/>
          <w:szCs w:val="21"/>
          <w:lang w:val="en-US" w:eastAsia="zh-CN"/>
        </w:rPr>
        <w:t>10.5</w:t>
      </w:r>
      <w:r>
        <w:rPr>
          <w:rFonts w:hint="eastAsia" w:hAnsi="宋体"/>
          <w:color w:val="auto"/>
          <w:spacing w:val="-2"/>
          <w:sz w:val="21"/>
          <w:szCs w:val="21"/>
          <w:lang w:eastAsia="zh-CN"/>
        </w:rPr>
        <w:t>供方</w:t>
      </w:r>
      <w:r>
        <w:rPr>
          <w:rFonts w:hint="eastAsia" w:hAnsi="宋体"/>
          <w:color w:val="auto"/>
          <w:spacing w:val="-2"/>
          <w:sz w:val="21"/>
          <w:szCs w:val="21"/>
        </w:rPr>
        <w:t>应对其整套设备在到货后提供不少于</w:t>
      </w:r>
      <w:r>
        <w:rPr>
          <w:rFonts w:hint="eastAsia" w:hAnsi="宋体"/>
          <w:color w:val="auto"/>
          <w:spacing w:val="-2"/>
          <w:sz w:val="21"/>
          <w:szCs w:val="21"/>
          <w:lang w:eastAsia="zh-CN"/>
        </w:rPr>
        <w:t>六</w:t>
      </w:r>
      <w:r>
        <w:rPr>
          <w:rFonts w:hint="eastAsia" w:hAnsi="宋体"/>
          <w:color w:val="auto"/>
          <w:spacing w:val="-2"/>
          <w:sz w:val="21"/>
          <w:szCs w:val="21"/>
        </w:rPr>
        <w:t>年的“三包”质量保证。之后如发生产品损坏，</w:t>
      </w:r>
      <w:r>
        <w:rPr>
          <w:rFonts w:hint="eastAsia" w:hAnsi="宋体"/>
          <w:color w:val="auto"/>
          <w:spacing w:val="-2"/>
          <w:sz w:val="21"/>
          <w:szCs w:val="21"/>
          <w:lang w:eastAsia="zh-CN"/>
        </w:rPr>
        <w:t>供方</w:t>
      </w:r>
      <w:r>
        <w:rPr>
          <w:rFonts w:hint="eastAsia" w:hAnsi="宋体"/>
          <w:color w:val="auto"/>
          <w:spacing w:val="-2"/>
          <w:sz w:val="21"/>
          <w:szCs w:val="21"/>
        </w:rPr>
        <w:t>应及时为本套装置提供维修部件，并按最近的投标价提供。</w:t>
      </w:r>
      <w:bookmarkEnd w:id="20"/>
      <w:bookmarkEnd w:id="21"/>
      <w:bookmarkEnd w:id="22"/>
      <w:bookmarkEnd w:id="23"/>
      <w:bookmarkEnd w:id="24"/>
      <w:bookmarkEnd w:id="25"/>
    </w:p>
    <w:p>
      <w:pPr>
        <w:pStyle w:val="3"/>
        <w:keepNext w:val="0"/>
        <w:keepLines w:val="0"/>
        <w:numPr>
          <w:ilvl w:val="0"/>
          <w:numId w:val="0"/>
        </w:numPr>
        <w:snapToGrid w:val="0"/>
        <w:spacing w:line="324" w:lineRule="auto"/>
        <w:ind w:left="240" w:leftChars="0"/>
        <w:rPr>
          <w:rFonts w:hint="eastAsia"/>
          <w:color w:val="auto"/>
          <w:sz w:val="21"/>
          <w:szCs w:val="21"/>
          <w:lang w:val="en-US" w:eastAsia="zh-CN"/>
        </w:rPr>
      </w:pPr>
      <w:bookmarkStart w:id="26" w:name="_Toc15746"/>
      <w:r>
        <w:rPr>
          <w:rFonts w:hint="eastAsia"/>
          <w:color w:val="auto"/>
          <w:sz w:val="21"/>
          <w:szCs w:val="21"/>
          <w:lang w:val="en-US" w:eastAsia="zh-CN"/>
        </w:rPr>
        <w:t>11.供货范围</w:t>
      </w:r>
      <w:bookmarkEnd w:id="26"/>
    </w:p>
    <w:p>
      <w:pPr>
        <w:pStyle w:val="24"/>
        <w:keepNext w:val="0"/>
        <w:keepLines w:val="0"/>
        <w:numPr>
          <w:ilvl w:val="1"/>
          <w:numId w:val="0"/>
        </w:numPr>
        <w:snapToGrid w:val="0"/>
        <w:spacing w:line="324" w:lineRule="auto"/>
        <w:ind w:left="0" w:leftChars="0" w:firstLine="494" w:firstLineChars="240"/>
        <w:rPr>
          <w:rFonts w:hint="eastAsia" w:hAnsi="宋体"/>
          <w:color w:val="auto"/>
          <w:spacing w:val="-2"/>
          <w:sz w:val="21"/>
          <w:szCs w:val="21"/>
        </w:rPr>
      </w:pPr>
      <w:r>
        <w:rPr>
          <w:rFonts w:hint="eastAsia" w:hAnsi="宋体"/>
          <w:color w:val="auto"/>
          <w:spacing w:val="-2"/>
          <w:sz w:val="21"/>
          <w:szCs w:val="21"/>
        </w:rPr>
        <w:t>投标方应确保供货范围完整，对于属于合同设备运行所必需的部件，即使本供货范围未列出或数目不足，投标方仍须在执行合同时补足。</w:t>
      </w:r>
    </w:p>
    <w:p>
      <w:pPr>
        <w:pStyle w:val="24"/>
        <w:keepNext w:val="0"/>
        <w:keepLines w:val="0"/>
        <w:numPr>
          <w:ilvl w:val="1"/>
          <w:numId w:val="0"/>
        </w:numPr>
        <w:snapToGrid w:val="0"/>
        <w:spacing w:line="324" w:lineRule="auto"/>
        <w:ind w:left="0" w:leftChars="0" w:firstLine="494" w:firstLineChars="240"/>
        <w:rPr>
          <w:rFonts w:hint="eastAsia" w:hAnsi="宋体"/>
          <w:color w:val="auto"/>
          <w:spacing w:val="-2"/>
          <w:sz w:val="21"/>
          <w:szCs w:val="21"/>
        </w:rPr>
      </w:pPr>
      <w:r>
        <w:rPr>
          <w:rFonts w:hint="eastAsia" w:hAnsi="宋体"/>
          <w:color w:val="auto"/>
          <w:spacing w:val="-2"/>
          <w:sz w:val="21"/>
          <w:szCs w:val="21"/>
        </w:rPr>
        <w:t>投标方应根据自身设备的具体情况，提供详细的设备配置清单，包括安装材料、专用工具和备品备件，清单中依次说明型号、数量、产地、生产厂家等内容。</w:t>
      </w:r>
    </w:p>
    <w:tbl>
      <w:tblPr>
        <w:tblStyle w:val="14"/>
        <w:tblW w:w="8994"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3104"/>
        <w:gridCol w:w="1078"/>
        <w:gridCol w:w="1786"/>
        <w:gridCol w:w="22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17" w:type="dxa"/>
            <w:noWrap w:val="0"/>
            <w:vAlign w:val="center"/>
          </w:tcPr>
          <w:p>
            <w:pPr>
              <w:spacing w:line="360" w:lineRule="auto"/>
              <w:jc w:val="center"/>
              <w:rPr>
                <w:rFonts w:hint="eastAsia" w:ascii="宋体" w:hAnsi="宋体"/>
                <w:kern w:val="0"/>
                <w:sz w:val="24"/>
              </w:rPr>
            </w:pPr>
            <w:r>
              <w:rPr>
                <w:rFonts w:hint="eastAsia" w:ascii="宋体" w:hAnsi="宋体"/>
                <w:kern w:val="0"/>
                <w:sz w:val="24"/>
              </w:rPr>
              <w:t>序号</w:t>
            </w:r>
          </w:p>
        </w:tc>
        <w:tc>
          <w:tcPr>
            <w:tcW w:w="3104" w:type="dxa"/>
            <w:noWrap w:val="0"/>
            <w:vAlign w:val="center"/>
          </w:tcPr>
          <w:p>
            <w:pPr>
              <w:spacing w:line="360" w:lineRule="auto"/>
              <w:jc w:val="center"/>
              <w:rPr>
                <w:rFonts w:hint="eastAsia" w:ascii="宋体" w:hAnsi="宋体"/>
                <w:kern w:val="0"/>
                <w:sz w:val="24"/>
              </w:rPr>
            </w:pPr>
            <w:r>
              <w:rPr>
                <w:rFonts w:hint="eastAsia" w:ascii="宋体" w:hAnsi="宋体"/>
                <w:kern w:val="0"/>
                <w:sz w:val="24"/>
              </w:rPr>
              <w:t>物资名称</w:t>
            </w:r>
          </w:p>
        </w:tc>
        <w:tc>
          <w:tcPr>
            <w:tcW w:w="1078" w:type="dxa"/>
            <w:noWrap w:val="0"/>
            <w:vAlign w:val="center"/>
          </w:tcPr>
          <w:p>
            <w:pPr>
              <w:spacing w:line="360" w:lineRule="auto"/>
              <w:jc w:val="center"/>
              <w:rPr>
                <w:rFonts w:hint="eastAsia" w:ascii="宋体" w:hAnsi="宋体"/>
                <w:kern w:val="0"/>
                <w:sz w:val="24"/>
              </w:rPr>
            </w:pPr>
            <w:r>
              <w:rPr>
                <w:rFonts w:hint="eastAsia" w:ascii="宋体" w:hAnsi="宋体"/>
                <w:kern w:val="0"/>
                <w:sz w:val="24"/>
              </w:rPr>
              <w:t>单位</w:t>
            </w:r>
          </w:p>
        </w:tc>
        <w:tc>
          <w:tcPr>
            <w:tcW w:w="1786" w:type="dxa"/>
            <w:noWrap w:val="0"/>
            <w:vAlign w:val="center"/>
          </w:tcPr>
          <w:p>
            <w:pPr>
              <w:spacing w:line="360" w:lineRule="auto"/>
              <w:jc w:val="center"/>
              <w:rPr>
                <w:rFonts w:hint="eastAsia" w:ascii="宋体" w:hAnsi="宋体"/>
                <w:kern w:val="0"/>
                <w:sz w:val="24"/>
              </w:rPr>
            </w:pPr>
            <w:r>
              <w:rPr>
                <w:rFonts w:hint="eastAsia" w:ascii="宋体" w:hAnsi="宋体"/>
                <w:kern w:val="0"/>
                <w:sz w:val="24"/>
              </w:rPr>
              <w:t>数量</w:t>
            </w:r>
          </w:p>
        </w:tc>
        <w:tc>
          <w:tcPr>
            <w:tcW w:w="2209" w:type="dxa"/>
            <w:noWrap w:val="0"/>
            <w:vAlign w:val="center"/>
          </w:tcPr>
          <w:p>
            <w:pPr>
              <w:spacing w:line="360" w:lineRule="auto"/>
              <w:jc w:val="center"/>
              <w:rPr>
                <w:rFonts w:hint="eastAsia" w:ascii="宋体" w:hAnsi="宋体"/>
                <w:kern w:val="0"/>
                <w:sz w:val="24"/>
              </w:rPr>
            </w:pPr>
            <w:r>
              <w:rPr>
                <w:rFonts w:hint="eastAsia" w:ascii="宋体" w:hAnsi="宋体"/>
                <w:kern w:val="0"/>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jc w:val="center"/>
        </w:trPr>
        <w:tc>
          <w:tcPr>
            <w:tcW w:w="817" w:type="dxa"/>
            <w:noWrap w:val="0"/>
            <w:vAlign w:val="center"/>
          </w:tcPr>
          <w:p>
            <w:pPr>
              <w:spacing w:line="360" w:lineRule="auto"/>
              <w:rPr>
                <w:rFonts w:hint="eastAsia" w:ascii="宋体" w:hAnsi="宋体"/>
                <w:kern w:val="0"/>
                <w:sz w:val="24"/>
              </w:rPr>
            </w:pPr>
            <w:r>
              <w:rPr>
                <w:rFonts w:hint="eastAsia" w:ascii="宋体" w:hAnsi="宋体"/>
                <w:kern w:val="0"/>
                <w:sz w:val="24"/>
              </w:rPr>
              <w:t>1</w:t>
            </w:r>
          </w:p>
        </w:tc>
        <w:tc>
          <w:tcPr>
            <w:tcW w:w="3104" w:type="dxa"/>
            <w:noWrap w:val="0"/>
            <w:vAlign w:val="center"/>
          </w:tcPr>
          <w:p>
            <w:pPr>
              <w:spacing w:line="360" w:lineRule="auto"/>
              <w:jc w:val="left"/>
              <w:rPr>
                <w:rFonts w:hint="eastAsia" w:ascii="宋体" w:hAnsi="宋体"/>
                <w:kern w:val="0"/>
                <w:sz w:val="24"/>
              </w:rPr>
            </w:pPr>
            <w:r>
              <w:rPr>
                <w:rFonts w:hint="eastAsia" w:ascii="Arial" w:hAnsi="Arial"/>
                <w:sz w:val="24"/>
              </w:rPr>
              <w:t>变压器容量测试仪</w:t>
            </w:r>
          </w:p>
        </w:tc>
        <w:tc>
          <w:tcPr>
            <w:tcW w:w="1078" w:type="dxa"/>
            <w:noWrap w:val="0"/>
            <w:vAlign w:val="center"/>
          </w:tcPr>
          <w:p>
            <w:pPr>
              <w:spacing w:line="360" w:lineRule="auto"/>
              <w:jc w:val="center"/>
              <w:rPr>
                <w:rFonts w:hint="eastAsia" w:ascii="宋体" w:hAnsi="宋体"/>
                <w:kern w:val="0"/>
                <w:sz w:val="24"/>
              </w:rPr>
            </w:pPr>
            <w:r>
              <w:rPr>
                <w:rFonts w:hint="eastAsia" w:ascii="宋体" w:hAnsi="宋体"/>
                <w:kern w:val="0"/>
                <w:sz w:val="24"/>
              </w:rPr>
              <w:t>台</w:t>
            </w:r>
          </w:p>
        </w:tc>
        <w:tc>
          <w:tcPr>
            <w:tcW w:w="1786" w:type="dxa"/>
            <w:noWrap w:val="0"/>
            <w:vAlign w:val="center"/>
          </w:tcPr>
          <w:p>
            <w:pPr>
              <w:spacing w:line="360" w:lineRule="auto"/>
              <w:jc w:val="center"/>
              <w:rPr>
                <w:rFonts w:hint="eastAsia" w:ascii="宋体" w:hAnsi="宋体" w:eastAsia="宋体"/>
                <w:kern w:val="0"/>
                <w:sz w:val="24"/>
                <w:lang w:val="en-US" w:eastAsia="zh-CN"/>
              </w:rPr>
            </w:pPr>
            <w:r>
              <w:rPr>
                <w:rFonts w:hint="eastAsia" w:ascii="宋体" w:hAnsi="宋体"/>
                <w:kern w:val="0"/>
                <w:sz w:val="24"/>
                <w:lang w:val="en-US" w:eastAsia="zh-CN"/>
              </w:rPr>
              <w:t>1</w:t>
            </w:r>
          </w:p>
        </w:tc>
        <w:tc>
          <w:tcPr>
            <w:tcW w:w="2209" w:type="dxa"/>
            <w:noWrap w:val="0"/>
            <w:vAlign w:val="center"/>
          </w:tcPr>
          <w:p>
            <w:pPr>
              <w:spacing w:line="360" w:lineRule="auto"/>
              <w:rPr>
                <w:rFonts w:hint="eastAsia" w:ascii="宋体" w:hAnsi="宋体"/>
                <w:kern w:val="0"/>
                <w:sz w:val="24"/>
              </w:rPr>
            </w:pPr>
          </w:p>
        </w:tc>
      </w:tr>
    </w:tbl>
    <w:p>
      <w:pPr>
        <w:pStyle w:val="24"/>
        <w:keepNext w:val="0"/>
        <w:keepLines w:val="0"/>
        <w:numPr>
          <w:ilvl w:val="1"/>
          <w:numId w:val="0"/>
        </w:numPr>
        <w:snapToGrid w:val="0"/>
        <w:spacing w:line="324" w:lineRule="auto"/>
        <w:ind w:leftChars="0"/>
        <w:rPr>
          <w:rFonts w:hint="eastAsia" w:hAnsi="宋体"/>
          <w:color w:val="auto"/>
          <w:spacing w:val="-2"/>
          <w:sz w:val="21"/>
          <w:szCs w:val="21"/>
          <w:lang w:eastAsia="zh-CN"/>
        </w:rPr>
      </w:pPr>
      <w:r>
        <w:rPr>
          <w:rFonts w:hint="eastAsia" w:hAnsi="宋体"/>
          <w:color w:val="auto"/>
          <w:spacing w:val="-2"/>
          <w:sz w:val="21"/>
          <w:szCs w:val="21"/>
          <w:lang w:eastAsia="zh-CN"/>
        </w:rPr>
        <w:t>设备配套清单：</w:t>
      </w:r>
    </w:p>
    <w:tbl>
      <w:tblPr>
        <w:tblStyle w:val="14"/>
        <w:tblpPr w:leftFromText="180" w:rightFromText="180" w:vertAnchor="text" w:horzAnchor="page" w:tblpXSpec="center" w:tblpY="359"/>
        <w:tblOverlap w:val="never"/>
        <w:tblW w:w="8995"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3504"/>
        <w:gridCol w:w="886"/>
        <w:gridCol w:w="832"/>
        <w:gridCol w:w="29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817" w:type="dxa"/>
            <w:noWrap w:val="0"/>
            <w:vAlign w:val="center"/>
          </w:tcPr>
          <w:p>
            <w:pPr>
              <w:spacing w:line="360" w:lineRule="auto"/>
              <w:jc w:val="center"/>
              <w:rPr>
                <w:rFonts w:hint="eastAsia" w:ascii="Arial" w:hAnsi="Arial"/>
                <w:sz w:val="21"/>
                <w:szCs w:val="21"/>
              </w:rPr>
            </w:pPr>
            <w:r>
              <w:rPr>
                <w:rFonts w:hint="eastAsia" w:ascii="Arial" w:hAnsi="Arial"/>
                <w:sz w:val="21"/>
                <w:szCs w:val="21"/>
              </w:rPr>
              <w:t>序号</w:t>
            </w:r>
          </w:p>
        </w:tc>
        <w:tc>
          <w:tcPr>
            <w:tcW w:w="3504" w:type="dxa"/>
            <w:noWrap w:val="0"/>
            <w:vAlign w:val="center"/>
          </w:tcPr>
          <w:p>
            <w:pPr>
              <w:spacing w:line="360" w:lineRule="auto"/>
              <w:jc w:val="center"/>
              <w:rPr>
                <w:rFonts w:hint="eastAsia" w:ascii="Arial" w:hAnsi="Arial"/>
                <w:sz w:val="21"/>
                <w:szCs w:val="21"/>
              </w:rPr>
            </w:pPr>
            <w:r>
              <w:rPr>
                <w:rFonts w:hint="eastAsia" w:ascii="Arial" w:hAnsi="Arial"/>
                <w:sz w:val="21"/>
                <w:szCs w:val="21"/>
              </w:rPr>
              <w:t>设备名称</w:t>
            </w:r>
          </w:p>
        </w:tc>
        <w:tc>
          <w:tcPr>
            <w:tcW w:w="886" w:type="dxa"/>
            <w:noWrap w:val="0"/>
            <w:vAlign w:val="center"/>
          </w:tcPr>
          <w:p>
            <w:pPr>
              <w:spacing w:line="360" w:lineRule="auto"/>
              <w:jc w:val="center"/>
              <w:rPr>
                <w:rFonts w:hint="eastAsia" w:ascii="Arial" w:hAnsi="Arial"/>
                <w:sz w:val="21"/>
                <w:szCs w:val="21"/>
              </w:rPr>
            </w:pPr>
            <w:r>
              <w:rPr>
                <w:rFonts w:hint="eastAsia" w:ascii="Arial" w:hAnsi="Arial"/>
                <w:sz w:val="21"/>
                <w:szCs w:val="21"/>
              </w:rPr>
              <w:t>单位</w:t>
            </w:r>
          </w:p>
        </w:tc>
        <w:tc>
          <w:tcPr>
            <w:tcW w:w="832" w:type="dxa"/>
            <w:noWrap w:val="0"/>
            <w:vAlign w:val="center"/>
          </w:tcPr>
          <w:p>
            <w:pPr>
              <w:spacing w:line="360" w:lineRule="auto"/>
              <w:jc w:val="center"/>
              <w:rPr>
                <w:rFonts w:hint="eastAsia" w:ascii="Arial" w:hAnsi="Arial"/>
                <w:sz w:val="21"/>
                <w:szCs w:val="21"/>
              </w:rPr>
            </w:pPr>
            <w:r>
              <w:rPr>
                <w:rFonts w:hint="eastAsia" w:ascii="Arial" w:hAnsi="Arial"/>
                <w:sz w:val="21"/>
                <w:szCs w:val="21"/>
              </w:rPr>
              <w:t>数量</w:t>
            </w:r>
          </w:p>
        </w:tc>
        <w:tc>
          <w:tcPr>
            <w:tcW w:w="2956" w:type="dxa"/>
            <w:noWrap w:val="0"/>
            <w:vAlign w:val="center"/>
          </w:tcPr>
          <w:p>
            <w:pPr>
              <w:spacing w:line="360" w:lineRule="auto"/>
              <w:jc w:val="center"/>
              <w:rPr>
                <w:rFonts w:hint="eastAsia" w:ascii="Arial" w:hAnsi="Arial"/>
                <w:sz w:val="21"/>
                <w:szCs w:val="21"/>
              </w:rPr>
            </w:pPr>
            <w:r>
              <w:rPr>
                <w:rFonts w:hint="eastAsia" w:ascii="Arial" w:hAnsi="Arial"/>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jc w:val="center"/>
        </w:trPr>
        <w:tc>
          <w:tcPr>
            <w:tcW w:w="817" w:type="dxa"/>
            <w:noWrap w:val="0"/>
            <w:vAlign w:val="center"/>
          </w:tcPr>
          <w:p>
            <w:pPr>
              <w:spacing w:line="360" w:lineRule="auto"/>
              <w:jc w:val="center"/>
              <w:rPr>
                <w:rFonts w:hint="eastAsia" w:ascii="Arial" w:hAnsi="Arial"/>
                <w:sz w:val="21"/>
                <w:szCs w:val="21"/>
              </w:rPr>
            </w:pPr>
            <w:r>
              <w:rPr>
                <w:rFonts w:hint="eastAsia" w:ascii="Arial" w:hAnsi="Arial"/>
                <w:sz w:val="21"/>
                <w:szCs w:val="21"/>
              </w:rPr>
              <w:t>1</w:t>
            </w:r>
          </w:p>
        </w:tc>
        <w:tc>
          <w:tcPr>
            <w:tcW w:w="3504" w:type="dxa"/>
            <w:noWrap w:val="0"/>
            <w:vAlign w:val="center"/>
          </w:tcPr>
          <w:p>
            <w:pPr>
              <w:spacing w:line="360" w:lineRule="auto"/>
              <w:jc w:val="center"/>
              <w:rPr>
                <w:rFonts w:hint="eastAsia" w:ascii="Arial" w:hAnsi="Arial"/>
                <w:sz w:val="21"/>
                <w:szCs w:val="21"/>
              </w:rPr>
            </w:pPr>
            <w:r>
              <w:rPr>
                <w:rFonts w:hint="eastAsia" w:ascii="Arial" w:hAnsi="Arial"/>
                <w:sz w:val="21"/>
                <w:szCs w:val="21"/>
              </w:rPr>
              <w:t>变压器容量测试仪主机</w:t>
            </w:r>
          </w:p>
        </w:tc>
        <w:tc>
          <w:tcPr>
            <w:tcW w:w="886" w:type="dxa"/>
            <w:noWrap w:val="0"/>
            <w:vAlign w:val="center"/>
          </w:tcPr>
          <w:p>
            <w:pPr>
              <w:spacing w:line="360" w:lineRule="auto"/>
              <w:jc w:val="center"/>
              <w:rPr>
                <w:rFonts w:hint="eastAsia" w:ascii="Arial" w:hAnsi="Arial"/>
                <w:sz w:val="21"/>
                <w:szCs w:val="21"/>
              </w:rPr>
            </w:pPr>
            <w:r>
              <w:rPr>
                <w:rFonts w:hint="eastAsia" w:ascii="Arial" w:hAnsi="Arial"/>
                <w:sz w:val="21"/>
                <w:szCs w:val="21"/>
              </w:rPr>
              <w:t>台</w:t>
            </w:r>
          </w:p>
        </w:tc>
        <w:tc>
          <w:tcPr>
            <w:tcW w:w="832" w:type="dxa"/>
            <w:noWrap w:val="0"/>
            <w:vAlign w:val="center"/>
          </w:tcPr>
          <w:p>
            <w:pPr>
              <w:spacing w:line="360" w:lineRule="auto"/>
              <w:jc w:val="center"/>
              <w:rPr>
                <w:rFonts w:hint="eastAsia" w:ascii="Arial" w:hAnsi="Arial"/>
                <w:sz w:val="21"/>
                <w:szCs w:val="21"/>
              </w:rPr>
            </w:pPr>
            <w:r>
              <w:rPr>
                <w:rFonts w:hint="eastAsia" w:ascii="Arial" w:hAnsi="Arial"/>
                <w:sz w:val="21"/>
                <w:szCs w:val="21"/>
              </w:rPr>
              <w:t>1</w:t>
            </w:r>
          </w:p>
        </w:tc>
        <w:tc>
          <w:tcPr>
            <w:tcW w:w="2956" w:type="dxa"/>
            <w:noWrap w:val="0"/>
            <w:vAlign w:val="center"/>
          </w:tcPr>
          <w:p>
            <w:pPr>
              <w:spacing w:line="360" w:lineRule="auto"/>
              <w:jc w:val="center"/>
              <w:rPr>
                <w:rFonts w:hint="eastAsia" w:ascii="Arial" w:hAnsi="Arial"/>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18" w:hRule="atLeast"/>
          <w:jc w:val="center"/>
        </w:trPr>
        <w:tc>
          <w:tcPr>
            <w:tcW w:w="817" w:type="dxa"/>
            <w:noWrap w:val="0"/>
            <w:vAlign w:val="center"/>
          </w:tcPr>
          <w:p>
            <w:pPr>
              <w:spacing w:line="360" w:lineRule="auto"/>
              <w:jc w:val="center"/>
              <w:rPr>
                <w:rFonts w:hint="eastAsia" w:ascii="Arial" w:hAnsi="Arial"/>
                <w:sz w:val="21"/>
                <w:szCs w:val="21"/>
              </w:rPr>
            </w:pPr>
            <w:r>
              <w:rPr>
                <w:rFonts w:hint="eastAsia" w:ascii="Arial" w:hAnsi="Arial"/>
                <w:sz w:val="21"/>
                <w:szCs w:val="21"/>
              </w:rPr>
              <w:t>2</w:t>
            </w:r>
          </w:p>
        </w:tc>
        <w:tc>
          <w:tcPr>
            <w:tcW w:w="3504" w:type="dxa"/>
            <w:noWrap w:val="0"/>
            <w:vAlign w:val="center"/>
          </w:tcPr>
          <w:p>
            <w:pPr>
              <w:spacing w:line="360" w:lineRule="auto"/>
              <w:jc w:val="center"/>
              <w:rPr>
                <w:rFonts w:hint="eastAsia" w:ascii="Arial" w:hAnsi="Arial"/>
                <w:sz w:val="21"/>
                <w:szCs w:val="21"/>
              </w:rPr>
            </w:pPr>
            <w:r>
              <w:rPr>
                <w:rFonts w:hint="eastAsia" w:ascii="Arial" w:hAnsi="Arial"/>
                <w:sz w:val="21"/>
                <w:szCs w:val="21"/>
                <w:lang w:eastAsia="zh-CN"/>
              </w:rPr>
              <w:t>双用</w:t>
            </w:r>
            <w:r>
              <w:rPr>
                <w:rFonts w:hint="eastAsia" w:ascii="Arial" w:hAnsi="Arial"/>
                <w:sz w:val="21"/>
                <w:szCs w:val="21"/>
              </w:rPr>
              <w:t>测试线</w:t>
            </w:r>
          </w:p>
          <w:p>
            <w:pPr>
              <w:spacing w:line="360" w:lineRule="auto"/>
              <w:jc w:val="center"/>
              <w:rPr>
                <w:rFonts w:hint="eastAsia" w:ascii="Arial" w:hAnsi="Arial"/>
                <w:sz w:val="21"/>
                <w:szCs w:val="21"/>
              </w:rPr>
            </w:pPr>
            <w:r>
              <w:rPr>
                <w:rFonts w:hint="eastAsia" w:ascii="Arial" w:hAnsi="Arial"/>
                <w:sz w:val="21"/>
                <w:szCs w:val="21"/>
                <w:lang w:eastAsia="zh-CN"/>
              </w:rPr>
              <w:t>（容量、空负载）</w:t>
            </w:r>
          </w:p>
        </w:tc>
        <w:tc>
          <w:tcPr>
            <w:tcW w:w="886" w:type="dxa"/>
            <w:noWrap w:val="0"/>
            <w:vAlign w:val="center"/>
          </w:tcPr>
          <w:p>
            <w:pPr>
              <w:spacing w:line="360" w:lineRule="auto"/>
              <w:jc w:val="center"/>
              <w:rPr>
                <w:rFonts w:hint="eastAsia" w:ascii="Arial" w:hAnsi="Arial"/>
                <w:sz w:val="21"/>
                <w:szCs w:val="21"/>
              </w:rPr>
            </w:pPr>
            <w:r>
              <w:rPr>
                <w:rFonts w:hint="eastAsia" w:ascii="Arial" w:hAnsi="Arial"/>
                <w:sz w:val="21"/>
                <w:szCs w:val="21"/>
              </w:rPr>
              <w:t>套</w:t>
            </w:r>
          </w:p>
        </w:tc>
        <w:tc>
          <w:tcPr>
            <w:tcW w:w="832" w:type="dxa"/>
            <w:noWrap w:val="0"/>
            <w:vAlign w:val="center"/>
          </w:tcPr>
          <w:p>
            <w:pPr>
              <w:spacing w:line="360" w:lineRule="auto"/>
              <w:jc w:val="center"/>
              <w:rPr>
                <w:rFonts w:hint="eastAsia" w:ascii="Arial" w:hAnsi="Arial"/>
                <w:sz w:val="21"/>
                <w:szCs w:val="21"/>
              </w:rPr>
            </w:pPr>
            <w:bookmarkStart w:id="27" w:name="_GoBack"/>
            <w:bookmarkEnd w:id="27"/>
            <w:r>
              <w:rPr>
                <w:rFonts w:hint="eastAsia" w:ascii="Arial" w:hAnsi="Arial"/>
                <w:sz w:val="21"/>
                <w:szCs w:val="21"/>
              </w:rPr>
              <w:t>1</w:t>
            </w:r>
          </w:p>
        </w:tc>
        <w:tc>
          <w:tcPr>
            <w:tcW w:w="2956" w:type="dxa"/>
            <w:noWrap w:val="0"/>
            <w:vAlign w:val="center"/>
          </w:tcPr>
          <w:p>
            <w:pPr>
              <w:spacing w:line="360" w:lineRule="auto"/>
              <w:jc w:val="center"/>
              <w:rPr>
                <w:rFonts w:hint="eastAsia" w:ascii="Arial" w:hAnsi="Arial"/>
                <w:sz w:val="21"/>
                <w:szCs w:val="21"/>
              </w:rPr>
            </w:pPr>
            <w:r>
              <w:rPr>
                <w:rFonts w:hint="eastAsia" w:ascii="Arial" w:hAnsi="Arial"/>
                <w:sz w:val="21"/>
                <w:szCs w:val="21"/>
              </w:rPr>
              <w:t>长度不低于3米，采用全塑封线夹，无金属裸露</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74" w:hRule="atLeast"/>
          <w:jc w:val="center"/>
        </w:trPr>
        <w:tc>
          <w:tcPr>
            <w:tcW w:w="817" w:type="dxa"/>
            <w:noWrap w:val="0"/>
            <w:vAlign w:val="center"/>
          </w:tcPr>
          <w:p>
            <w:pPr>
              <w:spacing w:line="360" w:lineRule="auto"/>
              <w:jc w:val="center"/>
              <w:rPr>
                <w:rFonts w:hint="eastAsia" w:ascii="Arial" w:hAnsi="Arial"/>
                <w:sz w:val="21"/>
                <w:szCs w:val="21"/>
              </w:rPr>
            </w:pPr>
            <w:r>
              <w:rPr>
                <w:rFonts w:hint="eastAsia" w:ascii="Arial" w:hAnsi="Arial"/>
                <w:sz w:val="21"/>
                <w:szCs w:val="21"/>
              </w:rPr>
              <w:t>3</w:t>
            </w:r>
          </w:p>
        </w:tc>
        <w:tc>
          <w:tcPr>
            <w:tcW w:w="3504" w:type="dxa"/>
            <w:noWrap w:val="0"/>
            <w:vAlign w:val="center"/>
          </w:tcPr>
          <w:p>
            <w:pPr>
              <w:spacing w:line="360" w:lineRule="auto"/>
              <w:jc w:val="center"/>
              <w:rPr>
                <w:rFonts w:hint="eastAsia" w:ascii="Arial" w:hAnsi="Arial"/>
                <w:sz w:val="21"/>
                <w:szCs w:val="21"/>
              </w:rPr>
            </w:pPr>
            <w:r>
              <w:rPr>
                <w:rFonts w:hint="eastAsia" w:ascii="Arial" w:hAnsi="Arial"/>
                <w:sz w:val="21"/>
                <w:szCs w:val="21"/>
                <w:lang w:eastAsia="zh-CN"/>
              </w:rPr>
              <w:t>专用大电流</w:t>
            </w:r>
            <w:r>
              <w:rPr>
                <w:rFonts w:hint="eastAsia" w:ascii="Arial" w:hAnsi="Arial"/>
                <w:sz w:val="21"/>
                <w:szCs w:val="21"/>
              </w:rPr>
              <w:t>短路线</w:t>
            </w:r>
          </w:p>
        </w:tc>
        <w:tc>
          <w:tcPr>
            <w:tcW w:w="886" w:type="dxa"/>
            <w:noWrap w:val="0"/>
            <w:vAlign w:val="center"/>
          </w:tcPr>
          <w:p>
            <w:pPr>
              <w:spacing w:line="360" w:lineRule="auto"/>
              <w:jc w:val="center"/>
              <w:rPr>
                <w:rFonts w:hint="eastAsia" w:ascii="Arial" w:hAnsi="Arial"/>
                <w:sz w:val="21"/>
                <w:szCs w:val="21"/>
              </w:rPr>
            </w:pPr>
            <w:r>
              <w:rPr>
                <w:rFonts w:hint="eastAsia" w:ascii="Arial" w:hAnsi="Arial"/>
                <w:sz w:val="21"/>
                <w:szCs w:val="21"/>
              </w:rPr>
              <w:t>套</w:t>
            </w:r>
          </w:p>
        </w:tc>
        <w:tc>
          <w:tcPr>
            <w:tcW w:w="832" w:type="dxa"/>
            <w:noWrap w:val="0"/>
            <w:vAlign w:val="center"/>
          </w:tcPr>
          <w:p>
            <w:pPr>
              <w:spacing w:line="360" w:lineRule="auto"/>
              <w:jc w:val="center"/>
              <w:rPr>
                <w:rFonts w:hint="eastAsia" w:ascii="Arial" w:hAnsi="Arial" w:eastAsia="宋体"/>
                <w:sz w:val="21"/>
                <w:szCs w:val="21"/>
                <w:lang w:eastAsia="zh-CN"/>
              </w:rPr>
            </w:pPr>
            <w:r>
              <w:rPr>
                <w:rFonts w:hint="eastAsia" w:ascii="Arial" w:hAnsi="Arial"/>
                <w:sz w:val="21"/>
                <w:szCs w:val="21"/>
                <w:lang w:val="en-US" w:eastAsia="zh-CN"/>
              </w:rPr>
              <w:t>2</w:t>
            </w:r>
          </w:p>
        </w:tc>
        <w:tc>
          <w:tcPr>
            <w:tcW w:w="2956" w:type="dxa"/>
            <w:noWrap w:val="0"/>
            <w:vAlign w:val="center"/>
          </w:tcPr>
          <w:p>
            <w:pPr>
              <w:spacing w:line="360" w:lineRule="auto"/>
              <w:jc w:val="center"/>
              <w:rPr>
                <w:rFonts w:hint="eastAsia" w:ascii="Arial" w:hAnsi="Arial"/>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74" w:hRule="atLeast"/>
          <w:jc w:val="center"/>
        </w:trPr>
        <w:tc>
          <w:tcPr>
            <w:tcW w:w="817" w:type="dxa"/>
            <w:noWrap w:val="0"/>
            <w:vAlign w:val="center"/>
          </w:tcPr>
          <w:p>
            <w:pPr>
              <w:spacing w:line="360" w:lineRule="auto"/>
              <w:jc w:val="center"/>
              <w:rPr>
                <w:rFonts w:hint="eastAsia" w:ascii="Arial" w:hAnsi="Arial" w:eastAsia="宋体"/>
                <w:sz w:val="21"/>
                <w:szCs w:val="21"/>
                <w:lang w:val="en-US" w:eastAsia="zh-CN"/>
              </w:rPr>
            </w:pPr>
            <w:r>
              <w:rPr>
                <w:rFonts w:hint="eastAsia" w:ascii="Arial" w:hAnsi="Arial"/>
                <w:sz w:val="21"/>
                <w:szCs w:val="21"/>
                <w:lang w:val="en-US" w:eastAsia="zh-CN"/>
              </w:rPr>
              <w:t>4</w:t>
            </w:r>
          </w:p>
        </w:tc>
        <w:tc>
          <w:tcPr>
            <w:tcW w:w="3504" w:type="dxa"/>
            <w:noWrap w:val="0"/>
            <w:vAlign w:val="center"/>
          </w:tcPr>
          <w:p>
            <w:pPr>
              <w:spacing w:line="360" w:lineRule="auto"/>
              <w:jc w:val="center"/>
              <w:rPr>
                <w:rFonts w:hint="eastAsia" w:ascii="Arial" w:hAnsi="Arial"/>
                <w:sz w:val="21"/>
                <w:szCs w:val="21"/>
                <w:lang w:eastAsia="zh-CN"/>
              </w:rPr>
            </w:pPr>
            <w:r>
              <w:rPr>
                <w:rFonts w:hint="eastAsia" w:ascii="Arial" w:hAnsi="Arial"/>
                <w:sz w:val="21"/>
                <w:szCs w:val="21"/>
                <w:lang w:eastAsia="zh-CN"/>
              </w:rPr>
              <w:t>接地线</w:t>
            </w:r>
          </w:p>
        </w:tc>
        <w:tc>
          <w:tcPr>
            <w:tcW w:w="886" w:type="dxa"/>
            <w:noWrap w:val="0"/>
            <w:vAlign w:val="center"/>
          </w:tcPr>
          <w:p>
            <w:pPr>
              <w:spacing w:line="360" w:lineRule="auto"/>
              <w:jc w:val="center"/>
              <w:rPr>
                <w:rFonts w:hint="eastAsia" w:ascii="Arial" w:hAnsi="Arial" w:eastAsia="宋体"/>
                <w:sz w:val="21"/>
                <w:szCs w:val="21"/>
                <w:lang w:eastAsia="zh-CN"/>
              </w:rPr>
            </w:pPr>
            <w:r>
              <w:rPr>
                <w:rFonts w:hint="eastAsia" w:ascii="Arial" w:hAnsi="Arial"/>
                <w:sz w:val="21"/>
                <w:szCs w:val="21"/>
                <w:lang w:eastAsia="zh-CN"/>
              </w:rPr>
              <w:t>根</w:t>
            </w:r>
          </w:p>
        </w:tc>
        <w:tc>
          <w:tcPr>
            <w:tcW w:w="832" w:type="dxa"/>
            <w:noWrap w:val="0"/>
            <w:vAlign w:val="center"/>
          </w:tcPr>
          <w:p>
            <w:pPr>
              <w:spacing w:line="360" w:lineRule="auto"/>
              <w:jc w:val="center"/>
              <w:rPr>
                <w:rFonts w:hint="eastAsia" w:ascii="Arial" w:hAnsi="Arial" w:eastAsia="宋体"/>
                <w:sz w:val="21"/>
                <w:szCs w:val="21"/>
                <w:lang w:val="en-US" w:eastAsia="zh-CN"/>
              </w:rPr>
            </w:pPr>
            <w:r>
              <w:rPr>
                <w:rFonts w:hint="eastAsia" w:ascii="Arial" w:hAnsi="Arial"/>
                <w:sz w:val="21"/>
                <w:szCs w:val="21"/>
                <w:lang w:val="en-US" w:eastAsia="zh-CN"/>
              </w:rPr>
              <w:t>2</w:t>
            </w:r>
          </w:p>
        </w:tc>
        <w:tc>
          <w:tcPr>
            <w:tcW w:w="2956" w:type="dxa"/>
            <w:noWrap w:val="0"/>
            <w:vAlign w:val="center"/>
          </w:tcPr>
          <w:p>
            <w:pPr>
              <w:spacing w:line="360" w:lineRule="auto"/>
              <w:jc w:val="center"/>
              <w:rPr>
                <w:rFonts w:hint="eastAsia" w:ascii="Arial" w:hAnsi="Arial"/>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74" w:hRule="atLeast"/>
          <w:jc w:val="center"/>
        </w:trPr>
        <w:tc>
          <w:tcPr>
            <w:tcW w:w="817" w:type="dxa"/>
            <w:noWrap w:val="0"/>
            <w:vAlign w:val="center"/>
          </w:tcPr>
          <w:p>
            <w:pPr>
              <w:spacing w:line="360" w:lineRule="auto"/>
              <w:jc w:val="center"/>
              <w:rPr>
                <w:rFonts w:hint="eastAsia" w:ascii="Arial" w:hAnsi="Arial" w:eastAsia="宋体"/>
                <w:sz w:val="21"/>
                <w:szCs w:val="21"/>
                <w:lang w:val="en-US" w:eastAsia="zh-CN"/>
              </w:rPr>
            </w:pPr>
            <w:r>
              <w:rPr>
                <w:rFonts w:hint="eastAsia" w:ascii="Arial" w:hAnsi="Arial"/>
                <w:sz w:val="21"/>
                <w:szCs w:val="21"/>
                <w:lang w:val="en-US" w:eastAsia="zh-CN"/>
              </w:rPr>
              <w:t>5</w:t>
            </w:r>
          </w:p>
        </w:tc>
        <w:tc>
          <w:tcPr>
            <w:tcW w:w="3504" w:type="dxa"/>
            <w:noWrap w:val="0"/>
            <w:vAlign w:val="center"/>
          </w:tcPr>
          <w:p>
            <w:pPr>
              <w:spacing w:line="360" w:lineRule="auto"/>
              <w:jc w:val="center"/>
              <w:rPr>
                <w:rFonts w:hint="eastAsia" w:ascii="Arial" w:hAnsi="Arial"/>
                <w:sz w:val="21"/>
                <w:szCs w:val="21"/>
                <w:lang w:eastAsia="zh-CN"/>
              </w:rPr>
            </w:pPr>
            <w:r>
              <w:rPr>
                <w:rFonts w:hint="eastAsia" w:ascii="Arial" w:hAnsi="Arial"/>
                <w:sz w:val="21"/>
                <w:szCs w:val="21"/>
              </w:rPr>
              <w:t>数据管理软件</w:t>
            </w:r>
          </w:p>
        </w:tc>
        <w:tc>
          <w:tcPr>
            <w:tcW w:w="886" w:type="dxa"/>
            <w:noWrap w:val="0"/>
            <w:vAlign w:val="center"/>
          </w:tcPr>
          <w:p>
            <w:pPr>
              <w:spacing w:line="360" w:lineRule="auto"/>
              <w:jc w:val="center"/>
              <w:rPr>
                <w:rFonts w:hint="eastAsia" w:ascii="Arial" w:hAnsi="Arial" w:eastAsia="宋体"/>
                <w:sz w:val="21"/>
                <w:szCs w:val="21"/>
                <w:lang w:eastAsia="zh-CN"/>
              </w:rPr>
            </w:pPr>
            <w:r>
              <w:rPr>
                <w:rFonts w:hint="eastAsia" w:ascii="Arial" w:hAnsi="Arial"/>
                <w:sz w:val="21"/>
                <w:szCs w:val="21"/>
                <w:lang w:eastAsia="zh-CN"/>
              </w:rPr>
              <w:t>套</w:t>
            </w:r>
          </w:p>
        </w:tc>
        <w:tc>
          <w:tcPr>
            <w:tcW w:w="832" w:type="dxa"/>
            <w:noWrap w:val="0"/>
            <w:vAlign w:val="center"/>
          </w:tcPr>
          <w:p>
            <w:pPr>
              <w:spacing w:line="360" w:lineRule="auto"/>
              <w:jc w:val="center"/>
              <w:rPr>
                <w:rFonts w:hint="eastAsia" w:ascii="Arial" w:hAnsi="Arial" w:eastAsia="宋体"/>
                <w:sz w:val="21"/>
                <w:szCs w:val="21"/>
                <w:lang w:val="en-US" w:eastAsia="zh-CN"/>
              </w:rPr>
            </w:pPr>
            <w:r>
              <w:rPr>
                <w:rFonts w:hint="eastAsia" w:ascii="Arial" w:hAnsi="Arial"/>
                <w:sz w:val="21"/>
                <w:szCs w:val="21"/>
                <w:lang w:val="en-US" w:eastAsia="zh-CN"/>
              </w:rPr>
              <w:t>1</w:t>
            </w:r>
          </w:p>
        </w:tc>
        <w:tc>
          <w:tcPr>
            <w:tcW w:w="2956" w:type="dxa"/>
            <w:noWrap w:val="0"/>
            <w:vAlign w:val="center"/>
          </w:tcPr>
          <w:p>
            <w:pPr>
              <w:spacing w:line="360" w:lineRule="auto"/>
              <w:jc w:val="center"/>
              <w:rPr>
                <w:rFonts w:hint="eastAsia" w:ascii="Arial" w:hAnsi="Arial"/>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74" w:hRule="atLeast"/>
          <w:jc w:val="center"/>
        </w:trPr>
        <w:tc>
          <w:tcPr>
            <w:tcW w:w="817" w:type="dxa"/>
            <w:noWrap w:val="0"/>
            <w:vAlign w:val="center"/>
          </w:tcPr>
          <w:p>
            <w:pPr>
              <w:spacing w:line="360" w:lineRule="auto"/>
              <w:jc w:val="center"/>
              <w:rPr>
                <w:rFonts w:hint="eastAsia" w:ascii="Arial" w:hAnsi="Arial" w:eastAsia="宋体"/>
                <w:sz w:val="21"/>
                <w:szCs w:val="21"/>
                <w:lang w:val="en-US" w:eastAsia="zh-CN"/>
              </w:rPr>
            </w:pPr>
            <w:r>
              <w:rPr>
                <w:rFonts w:hint="eastAsia" w:ascii="Arial" w:hAnsi="Arial"/>
                <w:sz w:val="21"/>
                <w:szCs w:val="21"/>
                <w:lang w:val="en-US" w:eastAsia="zh-CN"/>
              </w:rPr>
              <w:t>6</w:t>
            </w:r>
          </w:p>
        </w:tc>
        <w:tc>
          <w:tcPr>
            <w:tcW w:w="3504" w:type="dxa"/>
            <w:noWrap w:val="0"/>
            <w:vAlign w:val="center"/>
          </w:tcPr>
          <w:p>
            <w:pPr>
              <w:spacing w:line="360" w:lineRule="auto"/>
              <w:jc w:val="center"/>
              <w:rPr>
                <w:rFonts w:hint="eastAsia" w:ascii="Arial" w:hAnsi="Arial"/>
                <w:sz w:val="21"/>
                <w:szCs w:val="21"/>
                <w:lang w:val="en-US" w:eastAsia="zh-CN"/>
              </w:rPr>
            </w:pPr>
            <w:r>
              <w:rPr>
                <w:rFonts w:hint="eastAsia" w:ascii="Arial" w:hAnsi="Arial"/>
                <w:sz w:val="21"/>
                <w:szCs w:val="21"/>
                <w:lang w:val="en-US" w:eastAsia="zh-CN"/>
              </w:rPr>
              <w:t>USB接口专用线</w:t>
            </w:r>
          </w:p>
        </w:tc>
        <w:tc>
          <w:tcPr>
            <w:tcW w:w="886" w:type="dxa"/>
            <w:noWrap w:val="0"/>
            <w:vAlign w:val="center"/>
          </w:tcPr>
          <w:p>
            <w:pPr>
              <w:spacing w:line="360" w:lineRule="auto"/>
              <w:jc w:val="center"/>
              <w:rPr>
                <w:rFonts w:hint="eastAsia" w:ascii="Arial" w:hAnsi="Arial" w:eastAsia="宋体"/>
                <w:sz w:val="21"/>
                <w:szCs w:val="21"/>
                <w:lang w:eastAsia="zh-CN"/>
              </w:rPr>
            </w:pPr>
            <w:r>
              <w:rPr>
                <w:rFonts w:hint="eastAsia" w:ascii="Arial" w:hAnsi="Arial"/>
                <w:sz w:val="21"/>
                <w:szCs w:val="21"/>
                <w:lang w:eastAsia="zh-CN"/>
              </w:rPr>
              <w:t>根</w:t>
            </w:r>
          </w:p>
        </w:tc>
        <w:tc>
          <w:tcPr>
            <w:tcW w:w="832" w:type="dxa"/>
            <w:noWrap w:val="0"/>
            <w:vAlign w:val="center"/>
          </w:tcPr>
          <w:p>
            <w:pPr>
              <w:spacing w:line="360" w:lineRule="auto"/>
              <w:jc w:val="center"/>
              <w:rPr>
                <w:rFonts w:hint="eastAsia" w:ascii="Arial" w:hAnsi="Arial" w:eastAsia="宋体"/>
                <w:sz w:val="21"/>
                <w:szCs w:val="21"/>
                <w:lang w:val="en-US" w:eastAsia="zh-CN"/>
              </w:rPr>
            </w:pPr>
            <w:r>
              <w:rPr>
                <w:rFonts w:hint="eastAsia" w:ascii="Arial" w:hAnsi="Arial"/>
                <w:sz w:val="21"/>
                <w:szCs w:val="21"/>
                <w:lang w:val="en-US" w:eastAsia="zh-CN"/>
              </w:rPr>
              <w:t>2</w:t>
            </w:r>
          </w:p>
        </w:tc>
        <w:tc>
          <w:tcPr>
            <w:tcW w:w="2956" w:type="dxa"/>
            <w:noWrap w:val="0"/>
            <w:vAlign w:val="center"/>
          </w:tcPr>
          <w:p>
            <w:pPr>
              <w:spacing w:line="360" w:lineRule="auto"/>
              <w:jc w:val="center"/>
              <w:rPr>
                <w:rFonts w:hint="eastAsia" w:ascii="Arial" w:hAnsi="Arial"/>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74" w:hRule="atLeast"/>
          <w:jc w:val="center"/>
        </w:trPr>
        <w:tc>
          <w:tcPr>
            <w:tcW w:w="817" w:type="dxa"/>
            <w:noWrap w:val="0"/>
            <w:vAlign w:val="center"/>
          </w:tcPr>
          <w:p>
            <w:pPr>
              <w:spacing w:line="360" w:lineRule="auto"/>
              <w:jc w:val="center"/>
              <w:rPr>
                <w:rFonts w:hint="eastAsia" w:ascii="Arial" w:hAnsi="Arial" w:eastAsia="宋体"/>
                <w:sz w:val="21"/>
                <w:szCs w:val="21"/>
                <w:lang w:val="en-US" w:eastAsia="zh-CN"/>
              </w:rPr>
            </w:pPr>
            <w:r>
              <w:rPr>
                <w:rFonts w:hint="eastAsia" w:ascii="Arial" w:hAnsi="Arial"/>
                <w:sz w:val="21"/>
                <w:szCs w:val="21"/>
                <w:lang w:val="en-US" w:eastAsia="zh-CN"/>
              </w:rPr>
              <w:t>7</w:t>
            </w:r>
          </w:p>
        </w:tc>
        <w:tc>
          <w:tcPr>
            <w:tcW w:w="3504" w:type="dxa"/>
            <w:noWrap w:val="0"/>
            <w:vAlign w:val="center"/>
          </w:tcPr>
          <w:p>
            <w:pPr>
              <w:spacing w:line="360" w:lineRule="auto"/>
              <w:jc w:val="center"/>
              <w:rPr>
                <w:rFonts w:hint="eastAsia" w:ascii="Arial" w:hAnsi="Arial"/>
                <w:sz w:val="21"/>
                <w:szCs w:val="21"/>
                <w:lang w:eastAsia="zh-CN"/>
              </w:rPr>
            </w:pPr>
            <w:r>
              <w:rPr>
                <w:rFonts w:hint="eastAsia" w:ascii="Arial" w:hAnsi="Arial"/>
                <w:sz w:val="21"/>
                <w:szCs w:val="21"/>
                <w:lang w:eastAsia="zh-CN"/>
              </w:rPr>
              <w:t>触摸笔</w:t>
            </w:r>
          </w:p>
        </w:tc>
        <w:tc>
          <w:tcPr>
            <w:tcW w:w="886" w:type="dxa"/>
            <w:noWrap w:val="0"/>
            <w:vAlign w:val="center"/>
          </w:tcPr>
          <w:p>
            <w:pPr>
              <w:spacing w:line="360" w:lineRule="auto"/>
              <w:jc w:val="center"/>
              <w:rPr>
                <w:rFonts w:hint="eastAsia" w:ascii="Arial" w:hAnsi="Arial" w:eastAsia="宋体"/>
                <w:sz w:val="21"/>
                <w:szCs w:val="21"/>
                <w:lang w:eastAsia="zh-CN"/>
              </w:rPr>
            </w:pPr>
            <w:r>
              <w:rPr>
                <w:rFonts w:hint="eastAsia" w:ascii="Arial" w:hAnsi="Arial"/>
                <w:sz w:val="21"/>
                <w:szCs w:val="21"/>
                <w:lang w:eastAsia="zh-CN"/>
              </w:rPr>
              <w:t>只</w:t>
            </w:r>
          </w:p>
        </w:tc>
        <w:tc>
          <w:tcPr>
            <w:tcW w:w="832" w:type="dxa"/>
            <w:noWrap w:val="0"/>
            <w:vAlign w:val="center"/>
          </w:tcPr>
          <w:p>
            <w:pPr>
              <w:spacing w:line="360" w:lineRule="auto"/>
              <w:jc w:val="center"/>
              <w:rPr>
                <w:rFonts w:hint="eastAsia" w:ascii="Arial" w:hAnsi="Arial" w:eastAsia="宋体"/>
                <w:sz w:val="21"/>
                <w:szCs w:val="21"/>
                <w:lang w:val="en-US" w:eastAsia="zh-CN"/>
              </w:rPr>
            </w:pPr>
            <w:r>
              <w:rPr>
                <w:rFonts w:hint="eastAsia" w:ascii="Arial" w:hAnsi="Arial"/>
                <w:sz w:val="21"/>
                <w:szCs w:val="21"/>
                <w:lang w:val="en-US" w:eastAsia="zh-CN"/>
              </w:rPr>
              <w:t>1</w:t>
            </w:r>
          </w:p>
        </w:tc>
        <w:tc>
          <w:tcPr>
            <w:tcW w:w="2956" w:type="dxa"/>
            <w:noWrap w:val="0"/>
            <w:vAlign w:val="center"/>
          </w:tcPr>
          <w:p>
            <w:pPr>
              <w:spacing w:line="360" w:lineRule="auto"/>
              <w:jc w:val="center"/>
              <w:rPr>
                <w:rFonts w:hint="eastAsia" w:ascii="Arial" w:hAnsi="Arial"/>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64" w:hRule="atLeast"/>
          <w:jc w:val="center"/>
        </w:trPr>
        <w:tc>
          <w:tcPr>
            <w:tcW w:w="817" w:type="dxa"/>
            <w:noWrap w:val="0"/>
            <w:vAlign w:val="center"/>
          </w:tcPr>
          <w:p>
            <w:pPr>
              <w:spacing w:line="360" w:lineRule="auto"/>
              <w:jc w:val="center"/>
              <w:rPr>
                <w:rFonts w:hint="eastAsia" w:ascii="Arial" w:hAnsi="Arial" w:eastAsia="宋体"/>
                <w:sz w:val="21"/>
                <w:szCs w:val="21"/>
                <w:lang w:eastAsia="zh-CN"/>
              </w:rPr>
            </w:pPr>
            <w:r>
              <w:rPr>
                <w:rFonts w:hint="eastAsia" w:ascii="Arial" w:hAnsi="Arial"/>
                <w:sz w:val="21"/>
                <w:szCs w:val="21"/>
                <w:lang w:val="en-US" w:eastAsia="zh-CN"/>
              </w:rPr>
              <w:t>8</w:t>
            </w:r>
          </w:p>
        </w:tc>
        <w:tc>
          <w:tcPr>
            <w:tcW w:w="3504" w:type="dxa"/>
            <w:noWrap w:val="0"/>
            <w:vAlign w:val="center"/>
          </w:tcPr>
          <w:p>
            <w:pPr>
              <w:spacing w:line="360" w:lineRule="auto"/>
              <w:jc w:val="center"/>
              <w:rPr>
                <w:rFonts w:hint="eastAsia" w:ascii="Arial" w:hAnsi="Arial" w:eastAsia="宋体"/>
                <w:sz w:val="21"/>
                <w:szCs w:val="21"/>
                <w:lang w:eastAsia="zh-CN"/>
              </w:rPr>
            </w:pPr>
            <w:r>
              <w:rPr>
                <w:rFonts w:hint="eastAsia" w:ascii="Arial" w:hAnsi="Arial"/>
                <w:sz w:val="21"/>
                <w:szCs w:val="21"/>
                <w:lang w:eastAsia="zh-CN"/>
              </w:rPr>
              <w:t>热敏打印纸</w:t>
            </w:r>
          </w:p>
        </w:tc>
        <w:tc>
          <w:tcPr>
            <w:tcW w:w="886" w:type="dxa"/>
            <w:noWrap w:val="0"/>
            <w:vAlign w:val="center"/>
          </w:tcPr>
          <w:p>
            <w:pPr>
              <w:spacing w:line="360" w:lineRule="auto"/>
              <w:jc w:val="center"/>
              <w:rPr>
                <w:rFonts w:hint="eastAsia" w:ascii="Arial" w:hAnsi="Arial"/>
                <w:sz w:val="21"/>
                <w:szCs w:val="21"/>
              </w:rPr>
            </w:pPr>
            <w:r>
              <w:rPr>
                <w:rFonts w:hint="eastAsia" w:ascii="Arial" w:hAnsi="Arial"/>
                <w:sz w:val="21"/>
                <w:szCs w:val="21"/>
              </w:rPr>
              <w:t>套</w:t>
            </w:r>
          </w:p>
        </w:tc>
        <w:tc>
          <w:tcPr>
            <w:tcW w:w="832" w:type="dxa"/>
            <w:noWrap w:val="0"/>
            <w:vAlign w:val="center"/>
          </w:tcPr>
          <w:p>
            <w:pPr>
              <w:spacing w:line="360" w:lineRule="auto"/>
              <w:jc w:val="center"/>
              <w:rPr>
                <w:rFonts w:hint="eastAsia" w:ascii="Arial" w:hAnsi="Arial" w:eastAsia="宋体"/>
                <w:sz w:val="21"/>
                <w:szCs w:val="21"/>
                <w:lang w:eastAsia="zh-CN"/>
              </w:rPr>
            </w:pPr>
            <w:r>
              <w:rPr>
                <w:rFonts w:hint="eastAsia" w:ascii="Arial" w:hAnsi="Arial"/>
                <w:sz w:val="21"/>
                <w:szCs w:val="21"/>
                <w:lang w:val="en-US" w:eastAsia="zh-CN"/>
              </w:rPr>
              <w:t>6</w:t>
            </w:r>
          </w:p>
        </w:tc>
        <w:tc>
          <w:tcPr>
            <w:tcW w:w="2956" w:type="dxa"/>
            <w:noWrap w:val="0"/>
            <w:vAlign w:val="center"/>
          </w:tcPr>
          <w:p>
            <w:pPr>
              <w:spacing w:line="360" w:lineRule="auto"/>
              <w:jc w:val="center"/>
              <w:rPr>
                <w:rFonts w:hint="eastAsia" w:ascii="Arial" w:hAnsi="Arial"/>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74" w:hRule="atLeast"/>
          <w:jc w:val="center"/>
        </w:trPr>
        <w:tc>
          <w:tcPr>
            <w:tcW w:w="817" w:type="dxa"/>
            <w:noWrap w:val="0"/>
            <w:vAlign w:val="center"/>
          </w:tcPr>
          <w:p>
            <w:pPr>
              <w:spacing w:line="360" w:lineRule="auto"/>
              <w:jc w:val="center"/>
              <w:rPr>
                <w:rFonts w:hint="eastAsia" w:ascii="Arial" w:hAnsi="Arial" w:eastAsia="宋体"/>
                <w:sz w:val="21"/>
                <w:szCs w:val="21"/>
                <w:lang w:eastAsia="zh-CN"/>
              </w:rPr>
            </w:pPr>
            <w:r>
              <w:rPr>
                <w:rFonts w:hint="eastAsia" w:ascii="Arial" w:hAnsi="Arial"/>
                <w:sz w:val="21"/>
                <w:szCs w:val="21"/>
                <w:lang w:val="en-US" w:eastAsia="zh-CN"/>
              </w:rPr>
              <w:t>9</w:t>
            </w:r>
          </w:p>
        </w:tc>
        <w:tc>
          <w:tcPr>
            <w:tcW w:w="3504" w:type="dxa"/>
            <w:noWrap w:val="0"/>
            <w:vAlign w:val="center"/>
          </w:tcPr>
          <w:p>
            <w:pPr>
              <w:spacing w:line="360" w:lineRule="auto"/>
              <w:jc w:val="center"/>
              <w:rPr>
                <w:rFonts w:hint="eastAsia" w:ascii="Arial" w:hAnsi="Arial" w:eastAsia="宋体"/>
                <w:sz w:val="21"/>
                <w:szCs w:val="21"/>
                <w:lang w:eastAsia="zh-CN"/>
              </w:rPr>
            </w:pPr>
            <w:r>
              <w:rPr>
                <w:rFonts w:hint="eastAsia" w:ascii="Arial" w:hAnsi="Arial"/>
                <w:sz w:val="21"/>
                <w:szCs w:val="21"/>
                <w:lang w:eastAsia="zh-CN"/>
              </w:rPr>
              <w:t>铝合金野外作业箱</w:t>
            </w:r>
          </w:p>
        </w:tc>
        <w:tc>
          <w:tcPr>
            <w:tcW w:w="886" w:type="dxa"/>
            <w:noWrap w:val="0"/>
            <w:vAlign w:val="center"/>
          </w:tcPr>
          <w:p>
            <w:pPr>
              <w:spacing w:line="360" w:lineRule="auto"/>
              <w:jc w:val="center"/>
              <w:rPr>
                <w:rFonts w:hint="eastAsia" w:ascii="Arial" w:hAnsi="Arial"/>
                <w:sz w:val="21"/>
                <w:szCs w:val="21"/>
              </w:rPr>
            </w:pPr>
            <w:r>
              <w:rPr>
                <w:rFonts w:hint="eastAsia" w:ascii="Arial" w:hAnsi="Arial"/>
                <w:sz w:val="21"/>
                <w:szCs w:val="21"/>
              </w:rPr>
              <w:t>套</w:t>
            </w:r>
          </w:p>
        </w:tc>
        <w:tc>
          <w:tcPr>
            <w:tcW w:w="832" w:type="dxa"/>
            <w:noWrap w:val="0"/>
            <w:vAlign w:val="center"/>
          </w:tcPr>
          <w:p>
            <w:pPr>
              <w:spacing w:line="360" w:lineRule="auto"/>
              <w:jc w:val="center"/>
              <w:rPr>
                <w:rFonts w:hint="eastAsia" w:ascii="Arial" w:hAnsi="Arial"/>
                <w:sz w:val="21"/>
                <w:szCs w:val="21"/>
              </w:rPr>
            </w:pPr>
            <w:r>
              <w:rPr>
                <w:rFonts w:hint="eastAsia" w:ascii="Arial" w:hAnsi="Arial"/>
                <w:sz w:val="21"/>
                <w:szCs w:val="21"/>
              </w:rPr>
              <w:t>1</w:t>
            </w:r>
          </w:p>
        </w:tc>
        <w:tc>
          <w:tcPr>
            <w:tcW w:w="2956" w:type="dxa"/>
            <w:noWrap w:val="0"/>
            <w:vAlign w:val="center"/>
          </w:tcPr>
          <w:p>
            <w:pPr>
              <w:spacing w:line="360" w:lineRule="auto"/>
              <w:jc w:val="center"/>
              <w:rPr>
                <w:rFonts w:hint="eastAsia" w:ascii="Arial" w:hAnsi="Arial"/>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74" w:hRule="atLeast"/>
          <w:jc w:val="center"/>
        </w:trPr>
        <w:tc>
          <w:tcPr>
            <w:tcW w:w="817" w:type="dxa"/>
            <w:noWrap w:val="0"/>
            <w:vAlign w:val="center"/>
          </w:tcPr>
          <w:p>
            <w:pPr>
              <w:spacing w:line="360" w:lineRule="auto"/>
              <w:jc w:val="center"/>
              <w:rPr>
                <w:rFonts w:hint="eastAsia" w:ascii="Arial" w:hAnsi="Arial" w:eastAsia="宋体"/>
                <w:sz w:val="21"/>
                <w:szCs w:val="21"/>
                <w:lang w:val="en-US" w:eastAsia="zh-CN"/>
              </w:rPr>
            </w:pPr>
            <w:r>
              <w:rPr>
                <w:rFonts w:hint="eastAsia" w:ascii="Arial" w:hAnsi="Arial"/>
                <w:sz w:val="21"/>
                <w:szCs w:val="21"/>
                <w:lang w:val="en-US" w:eastAsia="zh-CN"/>
              </w:rPr>
              <w:t>10</w:t>
            </w:r>
          </w:p>
        </w:tc>
        <w:tc>
          <w:tcPr>
            <w:tcW w:w="3504" w:type="dxa"/>
            <w:noWrap w:val="0"/>
            <w:vAlign w:val="center"/>
          </w:tcPr>
          <w:p>
            <w:pPr>
              <w:spacing w:line="360" w:lineRule="auto"/>
              <w:jc w:val="both"/>
              <w:rPr>
                <w:rFonts w:hint="eastAsia" w:ascii="Arial" w:hAnsi="Arial"/>
                <w:sz w:val="21"/>
                <w:szCs w:val="21"/>
                <w:lang w:eastAsia="zh-CN"/>
              </w:rPr>
            </w:pPr>
            <w:r>
              <w:rPr>
                <w:rFonts w:hint="eastAsia" w:ascii="Arial" w:hAnsi="Arial"/>
                <w:sz w:val="21"/>
                <w:szCs w:val="21"/>
                <w:lang w:eastAsia="zh-CN"/>
              </w:rPr>
              <w:t>充电器</w:t>
            </w:r>
          </w:p>
        </w:tc>
        <w:tc>
          <w:tcPr>
            <w:tcW w:w="886" w:type="dxa"/>
            <w:noWrap w:val="0"/>
            <w:vAlign w:val="center"/>
          </w:tcPr>
          <w:p>
            <w:pPr>
              <w:spacing w:line="360" w:lineRule="auto"/>
              <w:jc w:val="center"/>
              <w:rPr>
                <w:rFonts w:hint="eastAsia" w:ascii="Arial" w:hAnsi="Arial" w:eastAsia="宋体"/>
                <w:sz w:val="21"/>
                <w:szCs w:val="21"/>
                <w:lang w:eastAsia="zh-CN"/>
              </w:rPr>
            </w:pPr>
            <w:r>
              <w:rPr>
                <w:rFonts w:hint="eastAsia" w:ascii="Arial" w:hAnsi="Arial"/>
                <w:sz w:val="21"/>
                <w:szCs w:val="21"/>
                <w:lang w:eastAsia="zh-CN"/>
              </w:rPr>
              <w:t>个</w:t>
            </w:r>
          </w:p>
        </w:tc>
        <w:tc>
          <w:tcPr>
            <w:tcW w:w="832" w:type="dxa"/>
            <w:noWrap w:val="0"/>
            <w:vAlign w:val="center"/>
          </w:tcPr>
          <w:p>
            <w:pPr>
              <w:spacing w:line="360" w:lineRule="auto"/>
              <w:jc w:val="center"/>
              <w:rPr>
                <w:rFonts w:hint="eastAsia" w:ascii="Arial" w:hAnsi="Arial" w:eastAsia="宋体"/>
                <w:sz w:val="21"/>
                <w:szCs w:val="21"/>
                <w:lang w:val="en-US" w:eastAsia="zh-CN"/>
              </w:rPr>
            </w:pPr>
            <w:r>
              <w:rPr>
                <w:rFonts w:hint="eastAsia" w:ascii="Arial" w:hAnsi="Arial"/>
                <w:sz w:val="21"/>
                <w:szCs w:val="21"/>
                <w:lang w:val="en-US" w:eastAsia="zh-CN"/>
              </w:rPr>
              <w:t>1</w:t>
            </w:r>
          </w:p>
        </w:tc>
        <w:tc>
          <w:tcPr>
            <w:tcW w:w="2956" w:type="dxa"/>
            <w:noWrap w:val="0"/>
            <w:vAlign w:val="center"/>
          </w:tcPr>
          <w:p>
            <w:pPr>
              <w:spacing w:line="360" w:lineRule="auto"/>
              <w:jc w:val="center"/>
              <w:rPr>
                <w:rFonts w:hint="eastAsia" w:ascii="Arial" w:hAnsi="Arial"/>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74" w:hRule="atLeast"/>
          <w:jc w:val="center"/>
        </w:trPr>
        <w:tc>
          <w:tcPr>
            <w:tcW w:w="817" w:type="dxa"/>
            <w:noWrap w:val="0"/>
            <w:vAlign w:val="center"/>
          </w:tcPr>
          <w:p>
            <w:pPr>
              <w:spacing w:line="360" w:lineRule="auto"/>
              <w:jc w:val="center"/>
              <w:rPr>
                <w:rFonts w:hint="eastAsia" w:ascii="Arial" w:hAnsi="Arial" w:eastAsia="宋体"/>
                <w:sz w:val="21"/>
                <w:szCs w:val="21"/>
                <w:lang w:val="en-US" w:eastAsia="zh-CN"/>
              </w:rPr>
            </w:pPr>
            <w:r>
              <w:rPr>
                <w:rFonts w:hint="eastAsia" w:ascii="Arial" w:hAnsi="Arial"/>
                <w:sz w:val="21"/>
                <w:szCs w:val="21"/>
                <w:lang w:val="en-US" w:eastAsia="zh-CN"/>
              </w:rPr>
              <w:t>11</w:t>
            </w:r>
          </w:p>
        </w:tc>
        <w:tc>
          <w:tcPr>
            <w:tcW w:w="3504" w:type="dxa"/>
            <w:noWrap w:val="0"/>
            <w:vAlign w:val="center"/>
          </w:tcPr>
          <w:p>
            <w:pPr>
              <w:spacing w:line="360" w:lineRule="auto"/>
              <w:jc w:val="both"/>
              <w:rPr>
                <w:rFonts w:hint="eastAsia" w:ascii="Arial" w:hAnsi="Arial"/>
                <w:sz w:val="21"/>
                <w:szCs w:val="21"/>
                <w:lang w:eastAsia="zh-CN"/>
              </w:rPr>
            </w:pPr>
            <w:r>
              <w:rPr>
                <w:rFonts w:hint="eastAsia" w:ascii="Arial" w:hAnsi="Arial"/>
                <w:sz w:val="21"/>
                <w:szCs w:val="21"/>
                <w:lang w:eastAsia="zh-CN"/>
              </w:rPr>
              <w:t>随机技术资料（说明书、合格证、装箱清单等）</w:t>
            </w:r>
          </w:p>
        </w:tc>
        <w:tc>
          <w:tcPr>
            <w:tcW w:w="886" w:type="dxa"/>
            <w:noWrap w:val="0"/>
            <w:vAlign w:val="center"/>
          </w:tcPr>
          <w:p>
            <w:pPr>
              <w:spacing w:line="360" w:lineRule="auto"/>
              <w:jc w:val="center"/>
              <w:rPr>
                <w:rFonts w:hint="eastAsia" w:ascii="Arial" w:hAnsi="Arial" w:eastAsia="宋体"/>
                <w:sz w:val="21"/>
                <w:szCs w:val="21"/>
                <w:lang w:eastAsia="zh-CN"/>
              </w:rPr>
            </w:pPr>
            <w:r>
              <w:rPr>
                <w:rFonts w:hint="eastAsia" w:ascii="Arial" w:hAnsi="Arial"/>
                <w:sz w:val="21"/>
                <w:szCs w:val="21"/>
                <w:lang w:eastAsia="zh-CN"/>
              </w:rPr>
              <w:t>套</w:t>
            </w:r>
          </w:p>
        </w:tc>
        <w:tc>
          <w:tcPr>
            <w:tcW w:w="832" w:type="dxa"/>
            <w:noWrap w:val="0"/>
            <w:vAlign w:val="center"/>
          </w:tcPr>
          <w:p>
            <w:pPr>
              <w:spacing w:line="360" w:lineRule="auto"/>
              <w:jc w:val="center"/>
              <w:rPr>
                <w:rFonts w:hint="eastAsia" w:ascii="Arial" w:hAnsi="Arial" w:eastAsia="宋体"/>
                <w:sz w:val="21"/>
                <w:szCs w:val="21"/>
                <w:lang w:val="en-US" w:eastAsia="zh-CN"/>
              </w:rPr>
            </w:pPr>
            <w:r>
              <w:rPr>
                <w:rFonts w:hint="eastAsia" w:ascii="Arial" w:hAnsi="Arial"/>
                <w:sz w:val="21"/>
                <w:szCs w:val="21"/>
                <w:lang w:val="en-US" w:eastAsia="zh-CN"/>
              </w:rPr>
              <w:t>1</w:t>
            </w:r>
          </w:p>
        </w:tc>
        <w:tc>
          <w:tcPr>
            <w:tcW w:w="2956" w:type="dxa"/>
            <w:noWrap w:val="0"/>
            <w:vAlign w:val="center"/>
          </w:tcPr>
          <w:p>
            <w:pPr>
              <w:spacing w:line="360" w:lineRule="auto"/>
              <w:jc w:val="center"/>
              <w:rPr>
                <w:rFonts w:hint="eastAsia" w:ascii="Arial" w:hAnsi="Arial"/>
                <w:sz w:val="21"/>
                <w:szCs w:val="21"/>
              </w:rPr>
            </w:pPr>
          </w:p>
        </w:tc>
      </w:tr>
    </w:tbl>
    <w:p>
      <w:pPr>
        <w:pStyle w:val="24"/>
        <w:keepNext w:val="0"/>
        <w:keepLines w:val="0"/>
        <w:numPr>
          <w:ilvl w:val="1"/>
          <w:numId w:val="0"/>
        </w:numPr>
        <w:snapToGrid w:val="0"/>
        <w:spacing w:line="324" w:lineRule="auto"/>
        <w:ind w:leftChars="0"/>
        <w:rPr>
          <w:rFonts w:hint="default" w:hAnsi="宋体"/>
          <w:color w:val="auto"/>
          <w:spacing w:val="-2"/>
          <w:sz w:val="21"/>
          <w:szCs w:val="21"/>
          <w:lang w:val="en-US" w:eastAsia="zh-CN"/>
        </w:rPr>
      </w:pPr>
    </w:p>
    <w:sectPr>
      <w:headerReference r:id="rId5" w:type="default"/>
      <w:footerReference r:id="rId6" w:type="default"/>
      <w:pgSz w:w="11906" w:h="16838"/>
      <w:pgMar w:top="1440" w:right="1080" w:bottom="1440" w:left="1080" w:header="851" w:footer="992" w:gutter="0"/>
      <w:cols w:space="720"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3"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楷体_GB2312">
    <w:altName w:val="楷体"/>
    <w:panose1 w:val="00000000000000000000"/>
    <w:charset w:val="86"/>
    <w:family w:val="modern"/>
    <w:pitch w:val="default"/>
    <w:sig w:usb0="00000000" w:usb1="00000000" w:usb2="00000010" w:usb3="00000000" w:csb0="00040000" w:csb1="00000000"/>
  </w:font>
  <w:font w:name="方正书宋简体">
    <w:altName w:val="宋体"/>
    <w:panose1 w:val="00000000000000000000"/>
    <w:charset w:val="86"/>
    <w:family w:val="auto"/>
    <w:pitch w:val="default"/>
    <w:sig w:usb0="00000000" w:usb1="00000000" w:usb2="0000001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方正仿宋_GBK">
    <w:altName w:val="微软雅黑"/>
    <w:panose1 w:val="03000509000000000000"/>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center"/>
      <w:rPr>
        <w:sz w:val="24"/>
        <w:szCs w:val="24"/>
      </w:rPr>
    </w:pPr>
    <w:r>
      <w:rPr>
        <w:sz w:val="24"/>
        <w:szCs w:val="24"/>
      </w:rPr>
      <w:fldChar w:fldCharType="begin"/>
    </w:r>
    <w:r>
      <w:rPr>
        <w:sz w:val="24"/>
        <w:szCs w:val="24"/>
      </w:rPr>
      <w:instrText xml:space="preserve">PAGE   \* MERGEFORMAT</w:instrText>
    </w:r>
    <w:r>
      <w:rPr>
        <w:sz w:val="24"/>
        <w:szCs w:val="24"/>
      </w:rPr>
      <w:fldChar w:fldCharType="separate"/>
    </w:r>
    <w:r>
      <w:rPr>
        <w:sz w:val="24"/>
        <w:szCs w:val="24"/>
        <w:lang w:val="zh-CN"/>
      </w:rPr>
      <w:t>5</w:t>
    </w:r>
    <w:r>
      <w:rPr>
        <w:sz w:val="24"/>
        <w:szCs w:val="24"/>
      </w:rPr>
      <w:fldChar w:fldCharType="end"/>
    </w:r>
  </w:p>
  <w:p>
    <w:pPr>
      <w:pStyle w:val="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r>
      <w:fldChar w:fldCharType="begin"/>
    </w:r>
    <w:r>
      <w:instrText xml:space="preserve">PAGE  </w:instrText>
    </w:r>
    <w:r>
      <w:fldChar w:fldCharType="separate"/>
    </w:r>
    <w:r>
      <w:fldChar w:fldCharType="end"/>
    </w:r>
  </w:p>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pPr>
    <w:r>
      <w:fldChar w:fldCharType="begin"/>
    </w:r>
    <w:r>
      <w:instrText xml:space="preserve">PAGE  </w:instrText>
    </w:r>
    <w:r>
      <w:fldChar w:fldCharType="separate"/>
    </w:r>
    <w:r>
      <w:t>5</w:t>
    </w:r>
    <w:r>
      <w:fldChar w:fldCharType="end"/>
    </w:r>
  </w:p>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9"/>
    <w:multiLevelType w:val="multilevel"/>
    <w:tmpl w:val="00000009"/>
    <w:lvl w:ilvl="0" w:tentative="0">
      <w:start w:val="1"/>
      <w:numFmt w:val="decimal"/>
      <w:pStyle w:val="3"/>
      <w:suff w:val="space"/>
      <w:lvlText w:val="%1."/>
      <w:lvlJc w:val="left"/>
      <w:pPr>
        <w:ind w:left="0" w:firstLine="0"/>
      </w:pPr>
      <w:rPr>
        <w:rFonts w:hint="eastAsia"/>
      </w:rPr>
    </w:lvl>
    <w:lvl w:ilvl="1" w:tentative="0">
      <w:start w:val="1"/>
      <w:numFmt w:val="decimal"/>
      <w:pStyle w:val="4"/>
      <w:isLgl/>
      <w:suff w:val="space"/>
      <w:lvlText w:val="%1.%2"/>
      <w:lvlJc w:val="left"/>
      <w:pPr>
        <w:ind w:left="142" w:firstLine="0"/>
      </w:pPr>
      <w:rPr>
        <w:rFonts w:hint="eastAsia"/>
        <w:b w:val="0"/>
      </w:rPr>
    </w:lvl>
    <w:lvl w:ilvl="2" w:tentative="0">
      <w:start w:val="1"/>
      <w:numFmt w:val="decimal"/>
      <w:pStyle w:val="19"/>
      <w:isLgl/>
      <w:suff w:val="space"/>
      <w:lvlText w:val="%1.%2.%3"/>
      <w:lvlJc w:val="left"/>
      <w:pPr>
        <w:ind w:left="0" w:firstLine="0"/>
      </w:pPr>
      <w:rPr>
        <w:rFonts w:hint="eastAsia"/>
        <w:b w:val="0"/>
        <w:i w:val="0"/>
      </w:rPr>
    </w:lvl>
    <w:lvl w:ilvl="3" w:tentative="0">
      <w:start w:val="1"/>
      <w:numFmt w:val="decimal"/>
      <w:pStyle w:val="23"/>
      <w:isLgl/>
      <w:suff w:val="space"/>
      <w:lvlText w:val="%1.%2.%3.%4"/>
      <w:lvlJc w:val="left"/>
      <w:pPr>
        <w:ind w:left="2411" w:firstLine="0"/>
      </w:pPr>
      <w:rPr>
        <w:rFonts w:hint="eastAsia"/>
      </w:rPr>
    </w:lvl>
    <w:lvl w:ilvl="4" w:tentative="0">
      <w:start w:val="1"/>
      <w:numFmt w:val="decimal"/>
      <w:isLgl/>
      <w:lvlText w:val="%1.%2.%3.%4.%5"/>
      <w:lvlJc w:val="left"/>
      <w:pPr>
        <w:tabs>
          <w:tab w:val="left" w:pos="0"/>
        </w:tabs>
        <w:ind w:left="0" w:firstLine="0"/>
      </w:pPr>
      <w:rPr>
        <w:rFonts w:hint="eastAsia"/>
      </w:rPr>
    </w:lvl>
    <w:lvl w:ilvl="5" w:tentative="0">
      <w:start w:val="1"/>
      <w:numFmt w:val="decimal"/>
      <w:lvlText w:val="%1.%2.%3.%4.%5.%6"/>
      <w:lvlJc w:val="left"/>
      <w:pPr>
        <w:tabs>
          <w:tab w:val="left" w:pos="6086"/>
        </w:tabs>
        <w:ind w:left="3260" w:hanging="1134"/>
      </w:pPr>
      <w:rPr>
        <w:rFonts w:hint="eastAsia"/>
      </w:rPr>
    </w:lvl>
    <w:lvl w:ilvl="6" w:tentative="0">
      <w:start w:val="1"/>
      <w:numFmt w:val="decimal"/>
      <w:lvlText w:val="%1.%2.%3.%4.%5.%6.%7"/>
      <w:lvlJc w:val="left"/>
      <w:pPr>
        <w:tabs>
          <w:tab w:val="left" w:pos="7231"/>
        </w:tabs>
        <w:ind w:left="3827" w:hanging="1276"/>
      </w:pPr>
      <w:rPr>
        <w:rFonts w:hint="eastAsia"/>
      </w:rPr>
    </w:lvl>
    <w:lvl w:ilvl="7" w:tentative="0">
      <w:start w:val="1"/>
      <w:numFmt w:val="decimal"/>
      <w:lvlText w:val="%1.%2.%3.%4.%5.%6.%7.%8"/>
      <w:lvlJc w:val="left"/>
      <w:pPr>
        <w:tabs>
          <w:tab w:val="left" w:pos="8376"/>
        </w:tabs>
        <w:ind w:left="4394" w:hanging="1418"/>
      </w:pPr>
      <w:rPr>
        <w:rFonts w:hint="eastAsia"/>
      </w:rPr>
    </w:lvl>
    <w:lvl w:ilvl="8" w:tentative="0">
      <w:start w:val="1"/>
      <w:numFmt w:val="decimal"/>
      <w:lvlText w:val="%1.%2.%3.%4.%5.%6.%7.%8.%9"/>
      <w:lvlJc w:val="left"/>
      <w:pPr>
        <w:tabs>
          <w:tab w:val="left" w:pos="9522"/>
        </w:tabs>
        <w:ind w:left="5102" w:hanging="1700"/>
      </w:pPr>
      <w:rPr>
        <w:rFonts w:hint="eastAsia"/>
      </w:rPr>
    </w:lvl>
  </w:abstractNum>
  <w:abstractNum w:abstractNumId="1">
    <w:nsid w:val="0000000D"/>
    <w:multiLevelType w:val="multilevel"/>
    <w:tmpl w:val="0000000D"/>
    <w:lvl w:ilvl="0" w:tentative="0">
      <w:start w:val="1"/>
      <w:numFmt w:val="japaneseCounting"/>
      <w:pStyle w:val="41"/>
      <w:lvlText w:val="第%1条"/>
      <w:lvlJc w:val="left"/>
      <w:pPr>
        <w:ind w:left="2406" w:hanging="420"/>
      </w:pPr>
      <w:rPr>
        <w:rFonts w:hint="default"/>
        <w:b/>
        <w:lang w:val="en-US"/>
      </w:rPr>
    </w:lvl>
    <w:lvl w:ilvl="1" w:tentative="0">
      <w:start w:val="1"/>
      <w:numFmt w:val="lowerLetter"/>
      <w:lvlText w:val="%2)"/>
      <w:lvlJc w:val="left"/>
      <w:pPr>
        <w:ind w:left="1473" w:hanging="420"/>
      </w:pPr>
    </w:lvl>
    <w:lvl w:ilvl="2" w:tentative="0">
      <w:start w:val="1"/>
      <w:numFmt w:val="lowerRoman"/>
      <w:lvlText w:val="%3."/>
      <w:lvlJc w:val="right"/>
      <w:pPr>
        <w:ind w:left="1893" w:hanging="420"/>
      </w:pPr>
    </w:lvl>
    <w:lvl w:ilvl="3" w:tentative="0">
      <w:start w:val="1"/>
      <w:numFmt w:val="decimal"/>
      <w:lvlText w:val="%4."/>
      <w:lvlJc w:val="left"/>
      <w:pPr>
        <w:ind w:left="2313" w:hanging="420"/>
      </w:pPr>
    </w:lvl>
    <w:lvl w:ilvl="4" w:tentative="0">
      <w:start w:val="1"/>
      <w:numFmt w:val="lowerLetter"/>
      <w:lvlText w:val="%5)"/>
      <w:lvlJc w:val="left"/>
      <w:pPr>
        <w:ind w:left="2733" w:hanging="420"/>
      </w:pPr>
    </w:lvl>
    <w:lvl w:ilvl="5" w:tentative="0">
      <w:start w:val="1"/>
      <w:numFmt w:val="lowerRoman"/>
      <w:lvlText w:val="%6."/>
      <w:lvlJc w:val="right"/>
      <w:pPr>
        <w:ind w:left="3153" w:hanging="420"/>
      </w:pPr>
    </w:lvl>
    <w:lvl w:ilvl="6" w:tentative="0">
      <w:start w:val="1"/>
      <w:numFmt w:val="decimal"/>
      <w:lvlText w:val="%7."/>
      <w:lvlJc w:val="left"/>
      <w:pPr>
        <w:ind w:left="3573" w:hanging="420"/>
      </w:pPr>
    </w:lvl>
    <w:lvl w:ilvl="7" w:tentative="0">
      <w:start w:val="1"/>
      <w:numFmt w:val="lowerLetter"/>
      <w:lvlText w:val="%8)"/>
      <w:lvlJc w:val="left"/>
      <w:pPr>
        <w:ind w:left="3993" w:hanging="420"/>
      </w:pPr>
    </w:lvl>
    <w:lvl w:ilvl="8" w:tentative="0">
      <w:start w:val="1"/>
      <w:numFmt w:val="lowerRoman"/>
      <w:lvlText w:val="%9."/>
      <w:lvlJc w:val="right"/>
      <w:pPr>
        <w:ind w:left="4413" w:hanging="420"/>
      </w:pPr>
    </w:lvl>
  </w:abstractNum>
  <w:abstractNum w:abstractNumId="2">
    <w:nsid w:val="6830DF5B"/>
    <w:multiLevelType w:val="singleLevel"/>
    <w:tmpl w:val="6830DF5B"/>
    <w:lvl w:ilvl="0" w:tentative="0">
      <w:start w:val="6"/>
      <w:numFmt w:val="decimal"/>
      <w:lvlText w:val="%1."/>
      <w:lvlJc w:val="left"/>
      <w:pPr>
        <w:tabs>
          <w:tab w:val="left" w:pos="312"/>
        </w:tabs>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2"/>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20"/>
  <w:drawingGridVerticalSpacing w:val="163"/>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Q1ZjZiZWFhMWYyMzIyN2U1Y2Q3MjFlNGY5NTQ3NzEifQ=="/>
  </w:docVars>
  <w:rsids>
    <w:rsidRoot w:val="00B87FCA"/>
    <w:rsid w:val="00000240"/>
    <w:rsid w:val="0000106E"/>
    <w:rsid w:val="0000113B"/>
    <w:rsid w:val="000013EF"/>
    <w:rsid w:val="00001491"/>
    <w:rsid w:val="000014DB"/>
    <w:rsid w:val="000015D7"/>
    <w:rsid w:val="00001B3B"/>
    <w:rsid w:val="00001B49"/>
    <w:rsid w:val="00001C54"/>
    <w:rsid w:val="0000207B"/>
    <w:rsid w:val="00002522"/>
    <w:rsid w:val="000033F7"/>
    <w:rsid w:val="00003FDC"/>
    <w:rsid w:val="00005733"/>
    <w:rsid w:val="00005906"/>
    <w:rsid w:val="0000592E"/>
    <w:rsid w:val="00005B57"/>
    <w:rsid w:val="00006261"/>
    <w:rsid w:val="00006537"/>
    <w:rsid w:val="000067F5"/>
    <w:rsid w:val="00007040"/>
    <w:rsid w:val="00007F02"/>
    <w:rsid w:val="0001085B"/>
    <w:rsid w:val="00010D83"/>
    <w:rsid w:val="000112F2"/>
    <w:rsid w:val="00013FBF"/>
    <w:rsid w:val="00014917"/>
    <w:rsid w:val="00014F92"/>
    <w:rsid w:val="0001505F"/>
    <w:rsid w:val="0001514B"/>
    <w:rsid w:val="00015205"/>
    <w:rsid w:val="000157F6"/>
    <w:rsid w:val="00015B1D"/>
    <w:rsid w:val="00015E42"/>
    <w:rsid w:val="000161AE"/>
    <w:rsid w:val="000168F3"/>
    <w:rsid w:val="00016CE4"/>
    <w:rsid w:val="00016DEE"/>
    <w:rsid w:val="0001702D"/>
    <w:rsid w:val="000178D6"/>
    <w:rsid w:val="0002052B"/>
    <w:rsid w:val="00020F78"/>
    <w:rsid w:val="000213DA"/>
    <w:rsid w:val="00021825"/>
    <w:rsid w:val="00022439"/>
    <w:rsid w:val="000228AE"/>
    <w:rsid w:val="000229AF"/>
    <w:rsid w:val="000241B2"/>
    <w:rsid w:val="00024236"/>
    <w:rsid w:val="00024534"/>
    <w:rsid w:val="00024842"/>
    <w:rsid w:val="00025DD3"/>
    <w:rsid w:val="00026070"/>
    <w:rsid w:val="000260E3"/>
    <w:rsid w:val="000267D9"/>
    <w:rsid w:val="00030653"/>
    <w:rsid w:val="0003066A"/>
    <w:rsid w:val="000308A8"/>
    <w:rsid w:val="00031A70"/>
    <w:rsid w:val="0003246A"/>
    <w:rsid w:val="00032F39"/>
    <w:rsid w:val="00032FBF"/>
    <w:rsid w:val="00033255"/>
    <w:rsid w:val="00033292"/>
    <w:rsid w:val="0003332A"/>
    <w:rsid w:val="00033596"/>
    <w:rsid w:val="00033625"/>
    <w:rsid w:val="00033656"/>
    <w:rsid w:val="00035922"/>
    <w:rsid w:val="00037499"/>
    <w:rsid w:val="00037594"/>
    <w:rsid w:val="0004010D"/>
    <w:rsid w:val="000401AB"/>
    <w:rsid w:val="0004071A"/>
    <w:rsid w:val="00040A84"/>
    <w:rsid w:val="00040BCA"/>
    <w:rsid w:val="00040E02"/>
    <w:rsid w:val="00041627"/>
    <w:rsid w:val="00041D11"/>
    <w:rsid w:val="00041E7D"/>
    <w:rsid w:val="0004302D"/>
    <w:rsid w:val="000435C3"/>
    <w:rsid w:val="0004380D"/>
    <w:rsid w:val="00043B08"/>
    <w:rsid w:val="00043C0D"/>
    <w:rsid w:val="00043ECF"/>
    <w:rsid w:val="00043F6D"/>
    <w:rsid w:val="00043FA3"/>
    <w:rsid w:val="0004433E"/>
    <w:rsid w:val="000444D2"/>
    <w:rsid w:val="00044743"/>
    <w:rsid w:val="00044989"/>
    <w:rsid w:val="00044D78"/>
    <w:rsid w:val="00044DED"/>
    <w:rsid w:val="00045D24"/>
    <w:rsid w:val="000471CE"/>
    <w:rsid w:val="0004747C"/>
    <w:rsid w:val="00047A20"/>
    <w:rsid w:val="000516F1"/>
    <w:rsid w:val="000519CD"/>
    <w:rsid w:val="00051E1B"/>
    <w:rsid w:val="00052369"/>
    <w:rsid w:val="00052FAA"/>
    <w:rsid w:val="000530A2"/>
    <w:rsid w:val="000532BE"/>
    <w:rsid w:val="0005374C"/>
    <w:rsid w:val="00053890"/>
    <w:rsid w:val="00053915"/>
    <w:rsid w:val="00053C9D"/>
    <w:rsid w:val="00054965"/>
    <w:rsid w:val="00054ECF"/>
    <w:rsid w:val="000562B0"/>
    <w:rsid w:val="0005660E"/>
    <w:rsid w:val="00056AEC"/>
    <w:rsid w:val="00056CC2"/>
    <w:rsid w:val="00057265"/>
    <w:rsid w:val="00057829"/>
    <w:rsid w:val="000602C1"/>
    <w:rsid w:val="00060B29"/>
    <w:rsid w:val="00061325"/>
    <w:rsid w:val="0006151B"/>
    <w:rsid w:val="000615F1"/>
    <w:rsid w:val="00061B31"/>
    <w:rsid w:val="00061D6A"/>
    <w:rsid w:val="00061DDC"/>
    <w:rsid w:val="0006295F"/>
    <w:rsid w:val="00062BB4"/>
    <w:rsid w:val="00062C3F"/>
    <w:rsid w:val="00062ED6"/>
    <w:rsid w:val="000632B0"/>
    <w:rsid w:val="00063316"/>
    <w:rsid w:val="000637F2"/>
    <w:rsid w:val="0006584E"/>
    <w:rsid w:val="000659FE"/>
    <w:rsid w:val="00065E39"/>
    <w:rsid w:val="000664F0"/>
    <w:rsid w:val="00066DA4"/>
    <w:rsid w:val="00066DC2"/>
    <w:rsid w:val="00067E6A"/>
    <w:rsid w:val="00070BC4"/>
    <w:rsid w:val="00071450"/>
    <w:rsid w:val="00071664"/>
    <w:rsid w:val="00071C90"/>
    <w:rsid w:val="00072171"/>
    <w:rsid w:val="00072875"/>
    <w:rsid w:val="0007322E"/>
    <w:rsid w:val="000732B3"/>
    <w:rsid w:val="00073E3A"/>
    <w:rsid w:val="00074939"/>
    <w:rsid w:val="00074AF9"/>
    <w:rsid w:val="00075CC1"/>
    <w:rsid w:val="00076189"/>
    <w:rsid w:val="0007634B"/>
    <w:rsid w:val="0007663B"/>
    <w:rsid w:val="00076ED6"/>
    <w:rsid w:val="000773C9"/>
    <w:rsid w:val="0007743D"/>
    <w:rsid w:val="00077471"/>
    <w:rsid w:val="00077931"/>
    <w:rsid w:val="00080C4D"/>
    <w:rsid w:val="0008150F"/>
    <w:rsid w:val="000826F1"/>
    <w:rsid w:val="00082C9A"/>
    <w:rsid w:val="000833B4"/>
    <w:rsid w:val="000844BD"/>
    <w:rsid w:val="0008456E"/>
    <w:rsid w:val="00084AD5"/>
    <w:rsid w:val="00084BFD"/>
    <w:rsid w:val="00084D84"/>
    <w:rsid w:val="00085372"/>
    <w:rsid w:val="00085A7F"/>
    <w:rsid w:val="00085A96"/>
    <w:rsid w:val="00086007"/>
    <w:rsid w:val="00086411"/>
    <w:rsid w:val="00086B4B"/>
    <w:rsid w:val="00086F2E"/>
    <w:rsid w:val="000871F9"/>
    <w:rsid w:val="000878AF"/>
    <w:rsid w:val="00087A96"/>
    <w:rsid w:val="00087ED7"/>
    <w:rsid w:val="000904D9"/>
    <w:rsid w:val="00090947"/>
    <w:rsid w:val="00090B15"/>
    <w:rsid w:val="00090FE2"/>
    <w:rsid w:val="000911E9"/>
    <w:rsid w:val="00091C90"/>
    <w:rsid w:val="000925C2"/>
    <w:rsid w:val="000932A9"/>
    <w:rsid w:val="00093A8D"/>
    <w:rsid w:val="00093D50"/>
    <w:rsid w:val="00094899"/>
    <w:rsid w:val="00095BDC"/>
    <w:rsid w:val="00095EB3"/>
    <w:rsid w:val="00095FE6"/>
    <w:rsid w:val="00096898"/>
    <w:rsid w:val="0009691E"/>
    <w:rsid w:val="00096C41"/>
    <w:rsid w:val="00097AEA"/>
    <w:rsid w:val="000A1473"/>
    <w:rsid w:val="000A1753"/>
    <w:rsid w:val="000A230F"/>
    <w:rsid w:val="000A241D"/>
    <w:rsid w:val="000A27C8"/>
    <w:rsid w:val="000A38D1"/>
    <w:rsid w:val="000A3B81"/>
    <w:rsid w:val="000A3C84"/>
    <w:rsid w:val="000A523F"/>
    <w:rsid w:val="000A5DA6"/>
    <w:rsid w:val="000A73AA"/>
    <w:rsid w:val="000A7FE0"/>
    <w:rsid w:val="000B04F9"/>
    <w:rsid w:val="000B05B8"/>
    <w:rsid w:val="000B0686"/>
    <w:rsid w:val="000B1D4E"/>
    <w:rsid w:val="000B302C"/>
    <w:rsid w:val="000B338D"/>
    <w:rsid w:val="000B3654"/>
    <w:rsid w:val="000B4229"/>
    <w:rsid w:val="000B48DA"/>
    <w:rsid w:val="000B4B18"/>
    <w:rsid w:val="000B4FE9"/>
    <w:rsid w:val="000B582C"/>
    <w:rsid w:val="000B5AF5"/>
    <w:rsid w:val="000B61AC"/>
    <w:rsid w:val="000B6300"/>
    <w:rsid w:val="000B6A28"/>
    <w:rsid w:val="000B6AAC"/>
    <w:rsid w:val="000B6CB8"/>
    <w:rsid w:val="000B6FE4"/>
    <w:rsid w:val="000B7074"/>
    <w:rsid w:val="000B761C"/>
    <w:rsid w:val="000C0B0A"/>
    <w:rsid w:val="000C14DB"/>
    <w:rsid w:val="000C1D73"/>
    <w:rsid w:val="000C262D"/>
    <w:rsid w:val="000C33E8"/>
    <w:rsid w:val="000C3D91"/>
    <w:rsid w:val="000C40E6"/>
    <w:rsid w:val="000C4D8D"/>
    <w:rsid w:val="000C4DE3"/>
    <w:rsid w:val="000C4E98"/>
    <w:rsid w:val="000C5052"/>
    <w:rsid w:val="000C5B30"/>
    <w:rsid w:val="000C62D2"/>
    <w:rsid w:val="000C687E"/>
    <w:rsid w:val="000C6C2D"/>
    <w:rsid w:val="000C7540"/>
    <w:rsid w:val="000C7A8C"/>
    <w:rsid w:val="000D01E2"/>
    <w:rsid w:val="000D03B1"/>
    <w:rsid w:val="000D158B"/>
    <w:rsid w:val="000D1751"/>
    <w:rsid w:val="000D1995"/>
    <w:rsid w:val="000D1A28"/>
    <w:rsid w:val="000D1A4B"/>
    <w:rsid w:val="000D208B"/>
    <w:rsid w:val="000D36D3"/>
    <w:rsid w:val="000D3A80"/>
    <w:rsid w:val="000D3EA3"/>
    <w:rsid w:val="000D4045"/>
    <w:rsid w:val="000D4A1F"/>
    <w:rsid w:val="000D4CD2"/>
    <w:rsid w:val="000D5820"/>
    <w:rsid w:val="000D59A2"/>
    <w:rsid w:val="000D5DD5"/>
    <w:rsid w:val="000D65EE"/>
    <w:rsid w:val="000D73BD"/>
    <w:rsid w:val="000D7BDE"/>
    <w:rsid w:val="000D7D8E"/>
    <w:rsid w:val="000D7F46"/>
    <w:rsid w:val="000E06CB"/>
    <w:rsid w:val="000E0817"/>
    <w:rsid w:val="000E1136"/>
    <w:rsid w:val="000E129D"/>
    <w:rsid w:val="000E150A"/>
    <w:rsid w:val="000E22D6"/>
    <w:rsid w:val="000E25B8"/>
    <w:rsid w:val="000E28C4"/>
    <w:rsid w:val="000E2BD6"/>
    <w:rsid w:val="000E4211"/>
    <w:rsid w:val="000E439E"/>
    <w:rsid w:val="000E445E"/>
    <w:rsid w:val="000E4C61"/>
    <w:rsid w:val="000E4F81"/>
    <w:rsid w:val="000E66A8"/>
    <w:rsid w:val="000E7345"/>
    <w:rsid w:val="000E7BF7"/>
    <w:rsid w:val="000E7F82"/>
    <w:rsid w:val="000F08E4"/>
    <w:rsid w:val="000F0A7F"/>
    <w:rsid w:val="000F11D4"/>
    <w:rsid w:val="000F1711"/>
    <w:rsid w:val="000F2D58"/>
    <w:rsid w:val="000F334E"/>
    <w:rsid w:val="000F33B2"/>
    <w:rsid w:val="000F342D"/>
    <w:rsid w:val="000F3696"/>
    <w:rsid w:val="000F3C9C"/>
    <w:rsid w:val="000F4182"/>
    <w:rsid w:val="000F51BA"/>
    <w:rsid w:val="000F58E5"/>
    <w:rsid w:val="000F596D"/>
    <w:rsid w:val="000F5B85"/>
    <w:rsid w:val="000F5B9D"/>
    <w:rsid w:val="000F672B"/>
    <w:rsid w:val="000F6D16"/>
    <w:rsid w:val="000F7FDF"/>
    <w:rsid w:val="00100181"/>
    <w:rsid w:val="00100B38"/>
    <w:rsid w:val="00101054"/>
    <w:rsid w:val="00101628"/>
    <w:rsid w:val="0010204E"/>
    <w:rsid w:val="00102156"/>
    <w:rsid w:val="001024E8"/>
    <w:rsid w:val="00102FF9"/>
    <w:rsid w:val="001033C5"/>
    <w:rsid w:val="00103B93"/>
    <w:rsid w:val="00103E97"/>
    <w:rsid w:val="001043C4"/>
    <w:rsid w:val="00104A4B"/>
    <w:rsid w:val="001055D9"/>
    <w:rsid w:val="001055E7"/>
    <w:rsid w:val="001056BE"/>
    <w:rsid w:val="001058FF"/>
    <w:rsid w:val="001059D4"/>
    <w:rsid w:val="00105CC5"/>
    <w:rsid w:val="00106166"/>
    <w:rsid w:val="001063D8"/>
    <w:rsid w:val="0010672C"/>
    <w:rsid w:val="00107065"/>
    <w:rsid w:val="00107544"/>
    <w:rsid w:val="00110468"/>
    <w:rsid w:val="00110523"/>
    <w:rsid w:val="00110764"/>
    <w:rsid w:val="00110BEC"/>
    <w:rsid w:val="00110DBB"/>
    <w:rsid w:val="0011100C"/>
    <w:rsid w:val="001123F7"/>
    <w:rsid w:val="00112CFF"/>
    <w:rsid w:val="00113BBA"/>
    <w:rsid w:val="00113C37"/>
    <w:rsid w:val="00113CE1"/>
    <w:rsid w:val="001148C0"/>
    <w:rsid w:val="00114DFC"/>
    <w:rsid w:val="00114E64"/>
    <w:rsid w:val="00114FEC"/>
    <w:rsid w:val="001151E1"/>
    <w:rsid w:val="001160D0"/>
    <w:rsid w:val="00117569"/>
    <w:rsid w:val="001177EB"/>
    <w:rsid w:val="00117EB1"/>
    <w:rsid w:val="0012012E"/>
    <w:rsid w:val="00120324"/>
    <w:rsid w:val="0012034D"/>
    <w:rsid w:val="0012071F"/>
    <w:rsid w:val="00120C0D"/>
    <w:rsid w:val="00121385"/>
    <w:rsid w:val="00121BAD"/>
    <w:rsid w:val="00121C12"/>
    <w:rsid w:val="00121DEB"/>
    <w:rsid w:val="00122518"/>
    <w:rsid w:val="00122940"/>
    <w:rsid w:val="00122D28"/>
    <w:rsid w:val="001235B7"/>
    <w:rsid w:val="00123DAD"/>
    <w:rsid w:val="0012433F"/>
    <w:rsid w:val="001252C1"/>
    <w:rsid w:val="00125B8E"/>
    <w:rsid w:val="00126190"/>
    <w:rsid w:val="001266F1"/>
    <w:rsid w:val="00130A83"/>
    <w:rsid w:val="00131968"/>
    <w:rsid w:val="001321B9"/>
    <w:rsid w:val="001324D8"/>
    <w:rsid w:val="00132B37"/>
    <w:rsid w:val="00132E76"/>
    <w:rsid w:val="00132FFA"/>
    <w:rsid w:val="00133093"/>
    <w:rsid w:val="001336A6"/>
    <w:rsid w:val="00133735"/>
    <w:rsid w:val="00133AFB"/>
    <w:rsid w:val="001345AF"/>
    <w:rsid w:val="00134632"/>
    <w:rsid w:val="00134BC0"/>
    <w:rsid w:val="0013519F"/>
    <w:rsid w:val="00135FA6"/>
    <w:rsid w:val="00136069"/>
    <w:rsid w:val="001365D5"/>
    <w:rsid w:val="001368F3"/>
    <w:rsid w:val="00136E87"/>
    <w:rsid w:val="0013737F"/>
    <w:rsid w:val="0013779D"/>
    <w:rsid w:val="001378A4"/>
    <w:rsid w:val="00140DDD"/>
    <w:rsid w:val="00141CF2"/>
    <w:rsid w:val="001422E3"/>
    <w:rsid w:val="00142380"/>
    <w:rsid w:val="00144A7B"/>
    <w:rsid w:val="00145EC1"/>
    <w:rsid w:val="001467BF"/>
    <w:rsid w:val="00146921"/>
    <w:rsid w:val="00146C0A"/>
    <w:rsid w:val="001476A3"/>
    <w:rsid w:val="001503B0"/>
    <w:rsid w:val="0015102C"/>
    <w:rsid w:val="0015120D"/>
    <w:rsid w:val="001513DA"/>
    <w:rsid w:val="00151452"/>
    <w:rsid w:val="00151C69"/>
    <w:rsid w:val="001525D4"/>
    <w:rsid w:val="0015266D"/>
    <w:rsid w:val="001527B7"/>
    <w:rsid w:val="00152F4C"/>
    <w:rsid w:val="001530A9"/>
    <w:rsid w:val="0015313D"/>
    <w:rsid w:val="00153D5A"/>
    <w:rsid w:val="0015414F"/>
    <w:rsid w:val="001543E6"/>
    <w:rsid w:val="001544DB"/>
    <w:rsid w:val="00154653"/>
    <w:rsid w:val="00154877"/>
    <w:rsid w:val="00154C80"/>
    <w:rsid w:val="00154D4F"/>
    <w:rsid w:val="00155619"/>
    <w:rsid w:val="001558E2"/>
    <w:rsid w:val="00155C22"/>
    <w:rsid w:val="00156CF4"/>
    <w:rsid w:val="00157334"/>
    <w:rsid w:val="00157C32"/>
    <w:rsid w:val="00157EAD"/>
    <w:rsid w:val="00157FAD"/>
    <w:rsid w:val="00160171"/>
    <w:rsid w:val="001601AE"/>
    <w:rsid w:val="00160678"/>
    <w:rsid w:val="0016072E"/>
    <w:rsid w:val="00160772"/>
    <w:rsid w:val="00160B23"/>
    <w:rsid w:val="00160E50"/>
    <w:rsid w:val="00160F3C"/>
    <w:rsid w:val="00161871"/>
    <w:rsid w:val="00161962"/>
    <w:rsid w:val="00162245"/>
    <w:rsid w:val="00162AF1"/>
    <w:rsid w:val="0016330A"/>
    <w:rsid w:val="00163CEC"/>
    <w:rsid w:val="00163E59"/>
    <w:rsid w:val="001641C0"/>
    <w:rsid w:val="0016440F"/>
    <w:rsid w:val="0016489A"/>
    <w:rsid w:val="00164B94"/>
    <w:rsid w:val="00165724"/>
    <w:rsid w:val="00165B8D"/>
    <w:rsid w:val="00165C83"/>
    <w:rsid w:val="0016631A"/>
    <w:rsid w:val="0016647C"/>
    <w:rsid w:val="00166F0A"/>
    <w:rsid w:val="0016714B"/>
    <w:rsid w:val="001672F3"/>
    <w:rsid w:val="001673AC"/>
    <w:rsid w:val="001673F3"/>
    <w:rsid w:val="001675EB"/>
    <w:rsid w:val="00167822"/>
    <w:rsid w:val="00167902"/>
    <w:rsid w:val="00170046"/>
    <w:rsid w:val="00170486"/>
    <w:rsid w:val="001704DF"/>
    <w:rsid w:val="00170E18"/>
    <w:rsid w:val="001715AC"/>
    <w:rsid w:val="00171825"/>
    <w:rsid w:val="001720B4"/>
    <w:rsid w:val="00172522"/>
    <w:rsid w:val="001726AE"/>
    <w:rsid w:val="001738BC"/>
    <w:rsid w:val="00173CBF"/>
    <w:rsid w:val="0017413E"/>
    <w:rsid w:val="001743E3"/>
    <w:rsid w:val="0017463D"/>
    <w:rsid w:val="00174CAB"/>
    <w:rsid w:val="00176144"/>
    <w:rsid w:val="0017783E"/>
    <w:rsid w:val="001778FC"/>
    <w:rsid w:val="001778FD"/>
    <w:rsid w:val="001801F7"/>
    <w:rsid w:val="00180B52"/>
    <w:rsid w:val="0018131B"/>
    <w:rsid w:val="001818C1"/>
    <w:rsid w:val="00181963"/>
    <w:rsid w:val="00182399"/>
    <w:rsid w:val="001827B2"/>
    <w:rsid w:val="00182C8B"/>
    <w:rsid w:val="00183192"/>
    <w:rsid w:val="0018346F"/>
    <w:rsid w:val="00183660"/>
    <w:rsid w:val="0018440B"/>
    <w:rsid w:val="00184470"/>
    <w:rsid w:val="0018562E"/>
    <w:rsid w:val="00185821"/>
    <w:rsid w:val="00186432"/>
    <w:rsid w:val="0018680C"/>
    <w:rsid w:val="00186934"/>
    <w:rsid w:val="001870B3"/>
    <w:rsid w:val="0018739A"/>
    <w:rsid w:val="00187A1D"/>
    <w:rsid w:val="0019026E"/>
    <w:rsid w:val="00190817"/>
    <w:rsid w:val="0019083F"/>
    <w:rsid w:val="0019140D"/>
    <w:rsid w:val="00192574"/>
    <w:rsid w:val="00192A68"/>
    <w:rsid w:val="00193479"/>
    <w:rsid w:val="00193CB7"/>
    <w:rsid w:val="00194195"/>
    <w:rsid w:val="001943CB"/>
    <w:rsid w:val="00194513"/>
    <w:rsid w:val="00195D56"/>
    <w:rsid w:val="0019615E"/>
    <w:rsid w:val="001967A5"/>
    <w:rsid w:val="00196A4B"/>
    <w:rsid w:val="00196A84"/>
    <w:rsid w:val="001971FA"/>
    <w:rsid w:val="001A0001"/>
    <w:rsid w:val="001A047D"/>
    <w:rsid w:val="001A0D37"/>
    <w:rsid w:val="001A2209"/>
    <w:rsid w:val="001A24A7"/>
    <w:rsid w:val="001A253B"/>
    <w:rsid w:val="001A28B1"/>
    <w:rsid w:val="001A2974"/>
    <w:rsid w:val="001A3440"/>
    <w:rsid w:val="001A391B"/>
    <w:rsid w:val="001A3963"/>
    <w:rsid w:val="001A3A43"/>
    <w:rsid w:val="001A3D03"/>
    <w:rsid w:val="001A3D7E"/>
    <w:rsid w:val="001A471F"/>
    <w:rsid w:val="001A5832"/>
    <w:rsid w:val="001A63FF"/>
    <w:rsid w:val="001A658D"/>
    <w:rsid w:val="001A6988"/>
    <w:rsid w:val="001A6FC5"/>
    <w:rsid w:val="001A7469"/>
    <w:rsid w:val="001A761F"/>
    <w:rsid w:val="001B0332"/>
    <w:rsid w:val="001B101B"/>
    <w:rsid w:val="001B1382"/>
    <w:rsid w:val="001B162F"/>
    <w:rsid w:val="001B182A"/>
    <w:rsid w:val="001B2062"/>
    <w:rsid w:val="001B25A4"/>
    <w:rsid w:val="001B26E2"/>
    <w:rsid w:val="001B2FDC"/>
    <w:rsid w:val="001B3851"/>
    <w:rsid w:val="001B4CF2"/>
    <w:rsid w:val="001B515B"/>
    <w:rsid w:val="001B520D"/>
    <w:rsid w:val="001B58F2"/>
    <w:rsid w:val="001B65A5"/>
    <w:rsid w:val="001B65BE"/>
    <w:rsid w:val="001B677E"/>
    <w:rsid w:val="001B6B70"/>
    <w:rsid w:val="001B7418"/>
    <w:rsid w:val="001C05FB"/>
    <w:rsid w:val="001C0651"/>
    <w:rsid w:val="001C0E8C"/>
    <w:rsid w:val="001C10FB"/>
    <w:rsid w:val="001C112D"/>
    <w:rsid w:val="001C127C"/>
    <w:rsid w:val="001C1302"/>
    <w:rsid w:val="001C13A3"/>
    <w:rsid w:val="001C1980"/>
    <w:rsid w:val="001C1B78"/>
    <w:rsid w:val="001C254C"/>
    <w:rsid w:val="001C2564"/>
    <w:rsid w:val="001C2EA0"/>
    <w:rsid w:val="001C3921"/>
    <w:rsid w:val="001C48A5"/>
    <w:rsid w:val="001C4F93"/>
    <w:rsid w:val="001C534C"/>
    <w:rsid w:val="001C539C"/>
    <w:rsid w:val="001C5EB9"/>
    <w:rsid w:val="001C64CA"/>
    <w:rsid w:val="001C742D"/>
    <w:rsid w:val="001C7628"/>
    <w:rsid w:val="001D01E4"/>
    <w:rsid w:val="001D0660"/>
    <w:rsid w:val="001D232C"/>
    <w:rsid w:val="001D24A1"/>
    <w:rsid w:val="001D2602"/>
    <w:rsid w:val="001D2E26"/>
    <w:rsid w:val="001D2E5A"/>
    <w:rsid w:val="001D4087"/>
    <w:rsid w:val="001D46FD"/>
    <w:rsid w:val="001D56F3"/>
    <w:rsid w:val="001D66C6"/>
    <w:rsid w:val="001D6AD3"/>
    <w:rsid w:val="001D7002"/>
    <w:rsid w:val="001D72D5"/>
    <w:rsid w:val="001D73D8"/>
    <w:rsid w:val="001D73DB"/>
    <w:rsid w:val="001D7E18"/>
    <w:rsid w:val="001E0019"/>
    <w:rsid w:val="001E0321"/>
    <w:rsid w:val="001E0C4E"/>
    <w:rsid w:val="001E111C"/>
    <w:rsid w:val="001E246C"/>
    <w:rsid w:val="001E2A33"/>
    <w:rsid w:val="001E3338"/>
    <w:rsid w:val="001E3483"/>
    <w:rsid w:val="001E3524"/>
    <w:rsid w:val="001E418A"/>
    <w:rsid w:val="001E4F3E"/>
    <w:rsid w:val="001E5625"/>
    <w:rsid w:val="001E5F10"/>
    <w:rsid w:val="001E66FB"/>
    <w:rsid w:val="001E673A"/>
    <w:rsid w:val="001E6C46"/>
    <w:rsid w:val="001E73D9"/>
    <w:rsid w:val="001E7992"/>
    <w:rsid w:val="001E7CAE"/>
    <w:rsid w:val="001F018E"/>
    <w:rsid w:val="001F03F5"/>
    <w:rsid w:val="001F12BF"/>
    <w:rsid w:val="001F1399"/>
    <w:rsid w:val="001F150D"/>
    <w:rsid w:val="001F1A9F"/>
    <w:rsid w:val="001F22D5"/>
    <w:rsid w:val="001F25CC"/>
    <w:rsid w:val="001F264B"/>
    <w:rsid w:val="001F2704"/>
    <w:rsid w:val="001F2F66"/>
    <w:rsid w:val="001F44E0"/>
    <w:rsid w:val="001F4555"/>
    <w:rsid w:val="001F46CB"/>
    <w:rsid w:val="001F5258"/>
    <w:rsid w:val="001F65EC"/>
    <w:rsid w:val="001F6639"/>
    <w:rsid w:val="001F6CBD"/>
    <w:rsid w:val="001F7827"/>
    <w:rsid w:val="001F7EF5"/>
    <w:rsid w:val="002004F5"/>
    <w:rsid w:val="00200864"/>
    <w:rsid w:val="00200BAE"/>
    <w:rsid w:val="002015C8"/>
    <w:rsid w:val="00202359"/>
    <w:rsid w:val="00203416"/>
    <w:rsid w:val="002040D7"/>
    <w:rsid w:val="0020462C"/>
    <w:rsid w:val="00204C37"/>
    <w:rsid w:val="00204CE2"/>
    <w:rsid w:val="00205030"/>
    <w:rsid w:val="00205090"/>
    <w:rsid w:val="00205128"/>
    <w:rsid w:val="002051D9"/>
    <w:rsid w:val="0020550D"/>
    <w:rsid w:val="0020551B"/>
    <w:rsid w:val="002057A5"/>
    <w:rsid w:val="002058C2"/>
    <w:rsid w:val="00206F11"/>
    <w:rsid w:val="0020743F"/>
    <w:rsid w:val="00207468"/>
    <w:rsid w:val="00207F75"/>
    <w:rsid w:val="002108F8"/>
    <w:rsid w:val="00211A69"/>
    <w:rsid w:val="00211DD2"/>
    <w:rsid w:val="00212002"/>
    <w:rsid w:val="0021231B"/>
    <w:rsid w:val="00212BA8"/>
    <w:rsid w:val="00213AD6"/>
    <w:rsid w:val="0021425B"/>
    <w:rsid w:val="0021504B"/>
    <w:rsid w:val="0021534A"/>
    <w:rsid w:val="00215426"/>
    <w:rsid w:val="002156EB"/>
    <w:rsid w:val="00215B20"/>
    <w:rsid w:val="00215B57"/>
    <w:rsid w:val="00216447"/>
    <w:rsid w:val="00216C63"/>
    <w:rsid w:val="00217206"/>
    <w:rsid w:val="00220397"/>
    <w:rsid w:val="00221198"/>
    <w:rsid w:val="002214AA"/>
    <w:rsid w:val="0022237E"/>
    <w:rsid w:val="002229AA"/>
    <w:rsid w:val="00222B1A"/>
    <w:rsid w:val="00222BAD"/>
    <w:rsid w:val="00222E30"/>
    <w:rsid w:val="0022347D"/>
    <w:rsid w:val="002235F4"/>
    <w:rsid w:val="00225079"/>
    <w:rsid w:val="00225BBF"/>
    <w:rsid w:val="00226169"/>
    <w:rsid w:val="002270F0"/>
    <w:rsid w:val="00227192"/>
    <w:rsid w:val="00227555"/>
    <w:rsid w:val="00227650"/>
    <w:rsid w:val="0022793F"/>
    <w:rsid w:val="00227E6E"/>
    <w:rsid w:val="00227E7E"/>
    <w:rsid w:val="00227F31"/>
    <w:rsid w:val="00230E24"/>
    <w:rsid w:val="00230FBB"/>
    <w:rsid w:val="00231A01"/>
    <w:rsid w:val="00231A04"/>
    <w:rsid w:val="00232F21"/>
    <w:rsid w:val="00233767"/>
    <w:rsid w:val="00234197"/>
    <w:rsid w:val="00234F47"/>
    <w:rsid w:val="00235161"/>
    <w:rsid w:val="00235171"/>
    <w:rsid w:val="002352E3"/>
    <w:rsid w:val="0023581A"/>
    <w:rsid w:val="00236635"/>
    <w:rsid w:val="002370EA"/>
    <w:rsid w:val="00237403"/>
    <w:rsid w:val="00237459"/>
    <w:rsid w:val="002374F2"/>
    <w:rsid w:val="0023758D"/>
    <w:rsid w:val="002377A8"/>
    <w:rsid w:val="00237EC2"/>
    <w:rsid w:val="00241E3A"/>
    <w:rsid w:val="00242104"/>
    <w:rsid w:val="0024228F"/>
    <w:rsid w:val="00242852"/>
    <w:rsid w:val="00242BA9"/>
    <w:rsid w:val="00243431"/>
    <w:rsid w:val="002437DF"/>
    <w:rsid w:val="0024390F"/>
    <w:rsid w:val="00244996"/>
    <w:rsid w:val="00244AFB"/>
    <w:rsid w:val="0024505C"/>
    <w:rsid w:val="00245322"/>
    <w:rsid w:val="00245523"/>
    <w:rsid w:val="00245BE6"/>
    <w:rsid w:val="00245CD4"/>
    <w:rsid w:val="002462BD"/>
    <w:rsid w:val="002465AC"/>
    <w:rsid w:val="00246C4A"/>
    <w:rsid w:val="00246D92"/>
    <w:rsid w:val="00246E3E"/>
    <w:rsid w:val="00247051"/>
    <w:rsid w:val="0024759F"/>
    <w:rsid w:val="002477BC"/>
    <w:rsid w:val="00247A84"/>
    <w:rsid w:val="00247E56"/>
    <w:rsid w:val="002502CB"/>
    <w:rsid w:val="002507FC"/>
    <w:rsid w:val="00250D79"/>
    <w:rsid w:val="00251261"/>
    <w:rsid w:val="002512B6"/>
    <w:rsid w:val="0025130B"/>
    <w:rsid w:val="002514C5"/>
    <w:rsid w:val="0025160F"/>
    <w:rsid w:val="00251997"/>
    <w:rsid w:val="002530DA"/>
    <w:rsid w:val="00253E04"/>
    <w:rsid w:val="002542E4"/>
    <w:rsid w:val="002543A6"/>
    <w:rsid w:val="0025459A"/>
    <w:rsid w:val="00254C39"/>
    <w:rsid w:val="0025512F"/>
    <w:rsid w:val="002557D2"/>
    <w:rsid w:val="00255B7D"/>
    <w:rsid w:val="00255C0C"/>
    <w:rsid w:val="00256073"/>
    <w:rsid w:val="0025657F"/>
    <w:rsid w:val="002565BB"/>
    <w:rsid w:val="00256945"/>
    <w:rsid w:val="00256AA1"/>
    <w:rsid w:val="002572C1"/>
    <w:rsid w:val="002572F8"/>
    <w:rsid w:val="00257392"/>
    <w:rsid w:val="00257E7B"/>
    <w:rsid w:val="002600B8"/>
    <w:rsid w:val="0026067C"/>
    <w:rsid w:val="00260B0F"/>
    <w:rsid w:val="00261830"/>
    <w:rsid w:val="00261B3B"/>
    <w:rsid w:val="002622D7"/>
    <w:rsid w:val="0026232D"/>
    <w:rsid w:val="00262AB6"/>
    <w:rsid w:val="00263551"/>
    <w:rsid w:val="00263787"/>
    <w:rsid w:val="00263AED"/>
    <w:rsid w:val="00263E34"/>
    <w:rsid w:val="002651BC"/>
    <w:rsid w:val="00265402"/>
    <w:rsid w:val="00265659"/>
    <w:rsid w:val="00265D80"/>
    <w:rsid w:val="00265DEE"/>
    <w:rsid w:val="00266529"/>
    <w:rsid w:val="002667D1"/>
    <w:rsid w:val="00266A3F"/>
    <w:rsid w:val="00266CF1"/>
    <w:rsid w:val="0026705D"/>
    <w:rsid w:val="00267C26"/>
    <w:rsid w:val="00267C43"/>
    <w:rsid w:val="00270DD2"/>
    <w:rsid w:val="00270F56"/>
    <w:rsid w:val="00271037"/>
    <w:rsid w:val="00271A18"/>
    <w:rsid w:val="00272549"/>
    <w:rsid w:val="002729F1"/>
    <w:rsid w:val="00272A6D"/>
    <w:rsid w:val="00272B96"/>
    <w:rsid w:val="002730F4"/>
    <w:rsid w:val="00273705"/>
    <w:rsid w:val="00273A12"/>
    <w:rsid w:val="00273F4E"/>
    <w:rsid w:val="002744C7"/>
    <w:rsid w:val="00274ADD"/>
    <w:rsid w:val="00274C36"/>
    <w:rsid w:val="00274CF8"/>
    <w:rsid w:val="00276675"/>
    <w:rsid w:val="0027685F"/>
    <w:rsid w:val="00276E15"/>
    <w:rsid w:val="00276E3E"/>
    <w:rsid w:val="00277024"/>
    <w:rsid w:val="002775A6"/>
    <w:rsid w:val="002776F3"/>
    <w:rsid w:val="00277968"/>
    <w:rsid w:val="002802CB"/>
    <w:rsid w:val="00280412"/>
    <w:rsid w:val="00280556"/>
    <w:rsid w:val="00280A11"/>
    <w:rsid w:val="00281377"/>
    <w:rsid w:val="0028178B"/>
    <w:rsid w:val="002818ED"/>
    <w:rsid w:val="00281BB6"/>
    <w:rsid w:val="00281C38"/>
    <w:rsid w:val="00281C43"/>
    <w:rsid w:val="002820A1"/>
    <w:rsid w:val="002821E8"/>
    <w:rsid w:val="0028235C"/>
    <w:rsid w:val="0028236B"/>
    <w:rsid w:val="00282C2D"/>
    <w:rsid w:val="00283CF8"/>
    <w:rsid w:val="00283F61"/>
    <w:rsid w:val="002840BB"/>
    <w:rsid w:val="00284143"/>
    <w:rsid w:val="00284211"/>
    <w:rsid w:val="0028456F"/>
    <w:rsid w:val="00284B48"/>
    <w:rsid w:val="00285109"/>
    <w:rsid w:val="00286330"/>
    <w:rsid w:val="002868A4"/>
    <w:rsid w:val="00287BBD"/>
    <w:rsid w:val="00290CC0"/>
    <w:rsid w:val="0029128D"/>
    <w:rsid w:val="002912DF"/>
    <w:rsid w:val="00291A9F"/>
    <w:rsid w:val="00292C42"/>
    <w:rsid w:val="00292F40"/>
    <w:rsid w:val="00293D09"/>
    <w:rsid w:val="002941A6"/>
    <w:rsid w:val="0029425D"/>
    <w:rsid w:val="00294B5C"/>
    <w:rsid w:val="00294EC2"/>
    <w:rsid w:val="00295157"/>
    <w:rsid w:val="002962FF"/>
    <w:rsid w:val="00296E31"/>
    <w:rsid w:val="00297465"/>
    <w:rsid w:val="002975CA"/>
    <w:rsid w:val="00297833"/>
    <w:rsid w:val="00297FE1"/>
    <w:rsid w:val="002A00EC"/>
    <w:rsid w:val="002A07CC"/>
    <w:rsid w:val="002A17B6"/>
    <w:rsid w:val="002A2342"/>
    <w:rsid w:val="002A2536"/>
    <w:rsid w:val="002A2877"/>
    <w:rsid w:val="002A3C7B"/>
    <w:rsid w:val="002A4711"/>
    <w:rsid w:val="002A47B1"/>
    <w:rsid w:val="002A4812"/>
    <w:rsid w:val="002A4815"/>
    <w:rsid w:val="002A4930"/>
    <w:rsid w:val="002A4D0F"/>
    <w:rsid w:val="002A5E4D"/>
    <w:rsid w:val="002A7312"/>
    <w:rsid w:val="002A7B22"/>
    <w:rsid w:val="002B02B9"/>
    <w:rsid w:val="002B04F4"/>
    <w:rsid w:val="002B0A28"/>
    <w:rsid w:val="002B0F77"/>
    <w:rsid w:val="002B1D6C"/>
    <w:rsid w:val="002B38DE"/>
    <w:rsid w:val="002B3AF8"/>
    <w:rsid w:val="002B4DFC"/>
    <w:rsid w:val="002B5269"/>
    <w:rsid w:val="002B5696"/>
    <w:rsid w:val="002B6D12"/>
    <w:rsid w:val="002B6DA8"/>
    <w:rsid w:val="002B7030"/>
    <w:rsid w:val="002B748F"/>
    <w:rsid w:val="002B7B10"/>
    <w:rsid w:val="002C03A8"/>
    <w:rsid w:val="002C0B1F"/>
    <w:rsid w:val="002C1291"/>
    <w:rsid w:val="002C1640"/>
    <w:rsid w:val="002C196B"/>
    <w:rsid w:val="002C239D"/>
    <w:rsid w:val="002C27CE"/>
    <w:rsid w:val="002C2B34"/>
    <w:rsid w:val="002C31FB"/>
    <w:rsid w:val="002C3436"/>
    <w:rsid w:val="002C36B7"/>
    <w:rsid w:val="002C36F7"/>
    <w:rsid w:val="002C3721"/>
    <w:rsid w:val="002C3871"/>
    <w:rsid w:val="002C4B00"/>
    <w:rsid w:val="002C4DDF"/>
    <w:rsid w:val="002C4F2C"/>
    <w:rsid w:val="002C5423"/>
    <w:rsid w:val="002C5AED"/>
    <w:rsid w:val="002C5FB4"/>
    <w:rsid w:val="002C640A"/>
    <w:rsid w:val="002C68B6"/>
    <w:rsid w:val="002C6FE7"/>
    <w:rsid w:val="002C7C6D"/>
    <w:rsid w:val="002D019D"/>
    <w:rsid w:val="002D1794"/>
    <w:rsid w:val="002D1EED"/>
    <w:rsid w:val="002D2D3E"/>
    <w:rsid w:val="002D3589"/>
    <w:rsid w:val="002D3B9C"/>
    <w:rsid w:val="002D3D8D"/>
    <w:rsid w:val="002D459A"/>
    <w:rsid w:val="002D4849"/>
    <w:rsid w:val="002D4D28"/>
    <w:rsid w:val="002D4F50"/>
    <w:rsid w:val="002D4FEB"/>
    <w:rsid w:val="002D5199"/>
    <w:rsid w:val="002D5441"/>
    <w:rsid w:val="002D54D0"/>
    <w:rsid w:val="002D5615"/>
    <w:rsid w:val="002D5997"/>
    <w:rsid w:val="002D61AB"/>
    <w:rsid w:val="002D66C0"/>
    <w:rsid w:val="002D7C61"/>
    <w:rsid w:val="002E1597"/>
    <w:rsid w:val="002E2224"/>
    <w:rsid w:val="002E24B0"/>
    <w:rsid w:val="002E2796"/>
    <w:rsid w:val="002E2858"/>
    <w:rsid w:val="002E338E"/>
    <w:rsid w:val="002E3BBB"/>
    <w:rsid w:val="002E3DF0"/>
    <w:rsid w:val="002E557D"/>
    <w:rsid w:val="002E72C3"/>
    <w:rsid w:val="002E72CA"/>
    <w:rsid w:val="002E7F33"/>
    <w:rsid w:val="002F0494"/>
    <w:rsid w:val="002F088D"/>
    <w:rsid w:val="002F092C"/>
    <w:rsid w:val="002F175A"/>
    <w:rsid w:val="002F1B75"/>
    <w:rsid w:val="002F2059"/>
    <w:rsid w:val="002F2253"/>
    <w:rsid w:val="002F233A"/>
    <w:rsid w:val="002F2BF5"/>
    <w:rsid w:val="002F39AE"/>
    <w:rsid w:val="002F3A10"/>
    <w:rsid w:val="002F422D"/>
    <w:rsid w:val="002F4600"/>
    <w:rsid w:val="002F5B7E"/>
    <w:rsid w:val="002F61AD"/>
    <w:rsid w:val="002F64E0"/>
    <w:rsid w:val="002F6607"/>
    <w:rsid w:val="002F66AE"/>
    <w:rsid w:val="002F6771"/>
    <w:rsid w:val="002F7EFC"/>
    <w:rsid w:val="00300A93"/>
    <w:rsid w:val="00300DF5"/>
    <w:rsid w:val="003023BA"/>
    <w:rsid w:val="00302610"/>
    <w:rsid w:val="0030315F"/>
    <w:rsid w:val="0030319F"/>
    <w:rsid w:val="003033A1"/>
    <w:rsid w:val="0030360F"/>
    <w:rsid w:val="00303617"/>
    <w:rsid w:val="0030373B"/>
    <w:rsid w:val="00304AA0"/>
    <w:rsid w:val="00305A25"/>
    <w:rsid w:val="00305AA3"/>
    <w:rsid w:val="00305C78"/>
    <w:rsid w:val="00305E62"/>
    <w:rsid w:val="00306523"/>
    <w:rsid w:val="00306781"/>
    <w:rsid w:val="0030717F"/>
    <w:rsid w:val="00310324"/>
    <w:rsid w:val="00310DE3"/>
    <w:rsid w:val="003115D8"/>
    <w:rsid w:val="00311659"/>
    <w:rsid w:val="00311987"/>
    <w:rsid w:val="00312088"/>
    <w:rsid w:val="0031254C"/>
    <w:rsid w:val="00312C36"/>
    <w:rsid w:val="00312FB8"/>
    <w:rsid w:val="0031329F"/>
    <w:rsid w:val="00313E41"/>
    <w:rsid w:val="00313EB9"/>
    <w:rsid w:val="00313FA4"/>
    <w:rsid w:val="003142E9"/>
    <w:rsid w:val="003144D9"/>
    <w:rsid w:val="00314EBB"/>
    <w:rsid w:val="00315D2E"/>
    <w:rsid w:val="00316348"/>
    <w:rsid w:val="0031649F"/>
    <w:rsid w:val="00316994"/>
    <w:rsid w:val="00316A11"/>
    <w:rsid w:val="0031757D"/>
    <w:rsid w:val="0031793C"/>
    <w:rsid w:val="00317C7A"/>
    <w:rsid w:val="00317C8A"/>
    <w:rsid w:val="00320402"/>
    <w:rsid w:val="00321471"/>
    <w:rsid w:val="003216DC"/>
    <w:rsid w:val="00321CFF"/>
    <w:rsid w:val="00321D73"/>
    <w:rsid w:val="00322138"/>
    <w:rsid w:val="00322524"/>
    <w:rsid w:val="003227C8"/>
    <w:rsid w:val="00322E5B"/>
    <w:rsid w:val="00323205"/>
    <w:rsid w:val="003233F6"/>
    <w:rsid w:val="00323819"/>
    <w:rsid w:val="00323B99"/>
    <w:rsid w:val="00323EDB"/>
    <w:rsid w:val="00323F90"/>
    <w:rsid w:val="003253F9"/>
    <w:rsid w:val="00325B64"/>
    <w:rsid w:val="0032616F"/>
    <w:rsid w:val="00326746"/>
    <w:rsid w:val="00326A68"/>
    <w:rsid w:val="00327249"/>
    <w:rsid w:val="003273B4"/>
    <w:rsid w:val="00327A92"/>
    <w:rsid w:val="00327C4E"/>
    <w:rsid w:val="00330182"/>
    <w:rsid w:val="003306D1"/>
    <w:rsid w:val="0033083D"/>
    <w:rsid w:val="00330E2E"/>
    <w:rsid w:val="00331CAB"/>
    <w:rsid w:val="00331E30"/>
    <w:rsid w:val="00332562"/>
    <w:rsid w:val="00333EF7"/>
    <w:rsid w:val="00334537"/>
    <w:rsid w:val="003369A6"/>
    <w:rsid w:val="00337208"/>
    <w:rsid w:val="00337484"/>
    <w:rsid w:val="0033764B"/>
    <w:rsid w:val="003402CD"/>
    <w:rsid w:val="00340460"/>
    <w:rsid w:val="00340D7E"/>
    <w:rsid w:val="00340DB0"/>
    <w:rsid w:val="00340F8C"/>
    <w:rsid w:val="003413F2"/>
    <w:rsid w:val="00341A2E"/>
    <w:rsid w:val="0034277B"/>
    <w:rsid w:val="00342D64"/>
    <w:rsid w:val="003435F4"/>
    <w:rsid w:val="0034395C"/>
    <w:rsid w:val="003440AE"/>
    <w:rsid w:val="00344241"/>
    <w:rsid w:val="00344400"/>
    <w:rsid w:val="0034452E"/>
    <w:rsid w:val="00344B4E"/>
    <w:rsid w:val="00344F81"/>
    <w:rsid w:val="0034512B"/>
    <w:rsid w:val="00345940"/>
    <w:rsid w:val="00345B85"/>
    <w:rsid w:val="00346657"/>
    <w:rsid w:val="00347444"/>
    <w:rsid w:val="00350A5E"/>
    <w:rsid w:val="00350FF7"/>
    <w:rsid w:val="00351B10"/>
    <w:rsid w:val="00351B20"/>
    <w:rsid w:val="00351E08"/>
    <w:rsid w:val="00351E79"/>
    <w:rsid w:val="00352221"/>
    <w:rsid w:val="00352A32"/>
    <w:rsid w:val="00352AC4"/>
    <w:rsid w:val="00352D36"/>
    <w:rsid w:val="00353B56"/>
    <w:rsid w:val="00353D0F"/>
    <w:rsid w:val="00354C18"/>
    <w:rsid w:val="00354CF6"/>
    <w:rsid w:val="00354D13"/>
    <w:rsid w:val="003552C2"/>
    <w:rsid w:val="003554C6"/>
    <w:rsid w:val="00355B94"/>
    <w:rsid w:val="003560A2"/>
    <w:rsid w:val="0035622B"/>
    <w:rsid w:val="00356511"/>
    <w:rsid w:val="00357149"/>
    <w:rsid w:val="00357229"/>
    <w:rsid w:val="00357E10"/>
    <w:rsid w:val="003600A4"/>
    <w:rsid w:val="00360702"/>
    <w:rsid w:val="00360952"/>
    <w:rsid w:val="003609B1"/>
    <w:rsid w:val="00360BE4"/>
    <w:rsid w:val="00361259"/>
    <w:rsid w:val="003621D3"/>
    <w:rsid w:val="003628A9"/>
    <w:rsid w:val="003628AC"/>
    <w:rsid w:val="00362A2C"/>
    <w:rsid w:val="00362DA6"/>
    <w:rsid w:val="00362FB6"/>
    <w:rsid w:val="00363210"/>
    <w:rsid w:val="003636E8"/>
    <w:rsid w:val="0036415D"/>
    <w:rsid w:val="003643A5"/>
    <w:rsid w:val="00366909"/>
    <w:rsid w:val="00367D87"/>
    <w:rsid w:val="00370670"/>
    <w:rsid w:val="0037079C"/>
    <w:rsid w:val="003712C4"/>
    <w:rsid w:val="00371A73"/>
    <w:rsid w:val="003722FE"/>
    <w:rsid w:val="00372494"/>
    <w:rsid w:val="00372699"/>
    <w:rsid w:val="003728D4"/>
    <w:rsid w:val="00372AB7"/>
    <w:rsid w:val="00372BE7"/>
    <w:rsid w:val="00373136"/>
    <w:rsid w:val="0037366F"/>
    <w:rsid w:val="0037372C"/>
    <w:rsid w:val="00373BD8"/>
    <w:rsid w:val="00374813"/>
    <w:rsid w:val="00374E80"/>
    <w:rsid w:val="003757C4"/>
    <w:rsid w:val="00375C79"/>
    <w:rsid w:val="00376A4E"/>
    <w:rsid w:val="00376E00"/>
    <w:rsid w:val="00377ED2"/>
    <w:rsid w:val="003802B6"/>
    <w:rsid w:val="003802FE"/>
    <w:rsid w:val="003804AA"/>
    <w:rsid w:val="00381513"/>
    <w:rsid w:val="003818AC"/>
    <w:rsid w:val="00381E4B"/>
    <w:rsid w:val="00381EFC"/>
    <w:rsid w:val="00382B75"/>
    <w:rsid w:val="00383435"/>
    <w:rsid w:val="003836B6"/>
    <w:rsid w:val="00383706"/>
    <w:rsid w:val="00383AD1"/>
    <w:rsid w:val="00384DD4"/>
    <w:rsid w:val="00385DAA"/>
    <w:rsid w:val="003863AA"/>
    <w:rsid w:val="00386C41"/>
    <w:rsid w:val="00386DBA"/>
    <w:rsid w:val="00387064"/>
    <w:rsid w:val="00387169"/>
    <w:rsid w:val="00387256"/>
    <w:rsid w:val="00387ACF"/>
    <w:rsid w:val="00387ED5"/>
    <w:rsid w:val="003908D5"/>
    <w:rsid w:val="00390BA9"/>
    <w:rsid w:val="00390DBE"/>
    <w:rsid w:val="00391CF1"/>
    <w:rsid w:val="00391D6B"/>
    <w:rsid w:val="00392C5B"/>
    <w:rsid w:val="0039354F"/>
    <w:rsid w:val="003936E2"/>
    <w:rsid w:val="00393AEF"/>
    <w:rsid w:val="003941A2"/>
    <w:rsid w:val="0039424D"/>
    <w:rsid w:val="0039471E"/>
    <w:rsid w:val="00394AB4"/>
    <w:rsid w:val="00394E68"/>
    <w:rsid w:val="00396134"/>
    <w:rsid w:val="003964C5"/>
    <w:rsid w:val="00396B38"/>
    <w:rsid w:val="00396C9D"/>
    <w:rsid w:val="00397848"/>
    <w:rsid w:val="003A08D9"/>
    <w:rsid w:val="003A0DD8"/>
    <w:rsid w:val="003A1DC2"/>
    <w:rsid w:val="003A2A68"/>
    <w:rsid w:val="003A2FAF"/>
    <w:rsid w:val="003A4A95"/>
    <w:rsid w:val="003A4D90"/>
    <w:rsid w:val="003A57D3"/>
    <w:rsid w:val="003A5E28"/>
    <w:rsid w:val="003A6BC3"/>
    <w:rsid w:val="003A6FB3"/>
    <w:rsid w:val="003A6FC9"/>
    <w:rsid w:val="003A74D7"/>
    <w:rsid w:val="003A75FB"/>
    <w:rsid w:val="003B0924"/>
    <w:rsid w:val="003B18BC"/>
    <w:rsid w:val="003B2272"/>
    <w:rsid w:val="003B25AB"/>
    <w:rsid w:val="003B26A1"/>
    <w:rsid w:val="003B3E91"/>
    <w:rsid w:val="003B3EB7"/>
    <w:rsid w:val="003B432D"/>
    <w:rsid w:val="003B4920"/>
    <w:rsid w:val="003B494A"/>
    <w:rsid w:val="003B4A6C"/>
    <w:rsid w:val="003B51FC"/>
    <w:rsid w:val="003B56E9"/>
    <w:rsid w:val="003B5832"/>
    <w:rsid w:val="003B5B81"/>
    <w:rsid w:val="003B5C7D"/>
    <w:rsid w:val="003B5F65"/>
    <w:rsid w:val="003B62D7"/>
    <w:rsid w:val="003B7052"/>
    <w:rsid w:val="003B7647"/>
    <w:rsid w:val="003B7828"/>
    <w:rsid w:val="003C0507"/>
    <w:rsid w:val="003C2D95"/>
    <w:rsid w:val="003C3215"/>
    <w:rsid w:val="003C411F"/>
    <w:rsid w:val="003C43B2"/>
    <w:rsid w:val="003C4D99"/>
    <w:rsid w:val="003C57E2"/>
    <w:rsid w:val="003C5E20"/>
    <w:rsid w:val="003C5F30"/>
    <w:rsid w:val="003C612C"/>
    <w:rsid w:val="003C6D09"/>
    <w:rsid w:val="003C6D6E"/>
    <w:rsid w:val="003C7862"/>
    <w:rsid w:val="003C7CBA"/>
    <w:rsid w:val="003D13C1"/>
    <w:rsid w:val="003D15F7"/>
    <w:rsid w:val="003D180E"/>
    <w:rsid w:val="003D26F4"/>
    <w:rsid w:val="003D33E5"/>
    <w:rsid w:val="003D3A9B"/>
    <w:rsid w:val="003D4243"/>
    <w:rsid w:val="003D4AB6"/>
    <w:rsid w:val="003D5576"/>
    <w:rsid w:val="003D5647"/>
    <w:rsid w:val="003D5D73"/>
    <w:rsid w:val="003D62C6"/>
    <w:rsid w:val="003D6BA2"/>
    <w:rsid w:val="003D7042"/>
    <w:rsid w:val="003D7C31"/>
    <w:rsid w:val="003E01A1"/>
    <w:rsid w:val="003E16FD"/>
    <w:rsid w:val="003E2DC5"/>
    <w:rsid w:val="003E2F09"/>
    <w:rsid w:val="003E308F"/>
    <w:rsid w:val="003E3B1C"/>
    <w:rsid w:val="003E3F9D"/>
    <w:rsid w:val="003E4CA8"/>
    <w:rsid w:val="003E5290"/>
    <w:rsid w:val="003E5623"/>
    <w:rsid w:val="003E5768"/>
    <w:rsid w:val="003E5F77"/>
    <w:rsid w:val="003E6470"/>
    <w:rsid w:val="003E686D"/>
    <w:rsid w:val="003E6898"/>
    <w:rsid w:val="003E72C5"/>
    <w:rsid w:val="003E7F50"/>
    <w:rsid w:val="003F00CF"/>
    <w:rsid w:val="003F0295"/>
    <w:rsid w:val="003F0478"/>
    <w:rsid w:val="003F0520"/>
    <w:rsid w:val="003F07D0"/>
    <w:rsid w:val="003F08CB"/>
    <w:rsid w:val="003F1108"/>
    <w:rsid w:val="003F140F"/>
    <w:rsid w:val="003F20D6"/>
    <w:rsid w:val="003F28AC"/>
    <w:rsid w:val="003F3282"/>
    <w:rsid w:val="003F343A"/>
    <w:rsid w:val="003F40DF"/>
    <w:rsid w:val="003F40EF"/>
    <w:rsid w:val="003F461B"/>
    <w:rsid w:val="003F4641"/>
    <w:rsid w:val="003F486D"/>
    <w:rsid w:val="003F5891"/>
    <w:rsid w:val="003F5FD4"/>
    <w:rsid w:val="003F6755"/>
    <w:rsid w:val="003F7B7F"/>
    <w:rsid w:val="003F7F55"/>
    <w:rsid w:val="00400564"/>
    <w:rsid w:val="00400A7D"/>
    <w:rsid w:val="004024D3"/>
    <w:rsid w:val="004028F0"/>
    <w:rsid w:val="00402B7A"/>
    <w:rsid w:val="0040301F"/>
    <w:rsid w:val="00403346"/>
    <w:rsid w:val="00403351"/>
    <w:rsid w:val="0040395D"/>
    <w:rsid w:val="00404141"/>
    <w:rsid w:val="00404329"/>
    <w:rsid w:val="0040442B"/>
    <w:rsid w:val="00405D44"/>
    <w:rsid w:val="00405FC3"/>
    <w:rsid w:val="00406672"/>
    <w:rsid w:val="0040776F"/>
    <w:rsid w:val="004079A7"/>
    <w:rsid w:val="004100F9"/>
    <w:rsid w:val="00410AE3"/>
    <w:rsid w:val="004113AB"/>
    <w:rsid w:val="004119DB"/>
    <w:rsid w:val="00413755"/>
    <w:rsid w:val="00413984"/>
    <w:rsid w:val="00413B48"/>
    <w:rsid w:val="00413F25"/>
    <w:rsid w:val="0041476F"/>
    <w:rsid w:val="00414855"/>
    <w:rsid w:val="004148D9"/>
    <w:rsid w:val="004153BF"/>
    <w:rsid w:val="0041589B"/>
    <w:rsid w:val="00415CF5"/>
    <w:rsid w:val="00416393"/>
    <w:rsid w:val="0041646B"/>
    <w:rsid w:val="00416739"/>
    <w:rsid w:val="004167AA"/>
    <w:rsid w:val="0041699B"/>
    <w:rsid w:val="00416E69"/>
    <w:rsid w:val="00417F43"/>
    <w:rsid w:val="004206BC"/>
    <w:rsid w:val="00420880"/>
    <w:rsid w:val="00420FF1"/>
    <w:rsid w:val="0042119E"/>
    <w:rsid w:val="0042188D"/>
    <w:rsid w:val="004220BA"/>
    <w:rsid w:val="004227A8"/>
    <w:rsid w:val="004228A2"/>
    <w:rsid w:val="004228CF"/>
    <w:rsid w:val="00422B5C"/>
    <w:rsid w:val="004232B8"/>
    <w:rsid w:val="00423C72"/>
    <w:rsid w:val="00424E8A"/>
    <w:rsid w:val="00425132"/>
    <w:rsid w:val="0042535C"/>
    <w:rsid w:val="00425842"/>
    <w:rsid w:val="00425C7E"/>
    <w:rsid w:val="00425E1D"/>
    <w:rsid w:val="00425FAB"/>
    <w:rsid w:val="0042641F"/>
    <w:rsid w:val="0042652D"/>
    <w:rsid w:val="00426FFD"/>
    <w:rsid w:val="00427093"/>
    <w:rsid w:val="0042752D"/>
    <w:rsid w:val="0042758E"/>
    <w:rsid w:val="00427682"/>
    <w:rsid w:val="0042771F"/>
    <w:rsid w:val="00427BB3"/>
    <w:rsid w:val="00427E28"/>
    <w:rsid w:val="004302D3"/>
    <w:rsid w:val="0043053A"/>
    <w:rsid w:val="004307C7"/>
    <w:rsid w:val="00431134"/>
    <w:rsid w:val="00431F78"/>
    <w:rsid w:val="00432453"/>
    <w:rsid w:val="00432AED"/>
    <w:rsid w:val="00432E85"/>
    <w:rsid w:val="004330F4"/>
    <w:rsid w:val="004349E5"/>
    <w:rsid w:val="00435092"/>
    <w:rsid w:val="004358A6"/>
    <w:rsid w:val="00435C5F"/>
    <w:rsid w:val="0043688D"/>
    <w:rsid w:val="0043735B"/>
    <w:rsid w:val="0043757D"/>
    <w:rsid w:val="00440849"/>
    <w:rsid w:val="004416EC"/>
    <w:rsid w:val="0044181B"/>
    <w:rsid w:val="00441D44"/>
    <w:rsid w:val="004424D8"/>
    <w:rsid w:val="00442CA7"/>
    <w:rsid w:val="00442D11"/>
    <w:rsid w:val="00442D66"/>
    <w:rsid w:val="00442DAC"/>
    <w:rsid w:val="004431FB"/>
    <w:rsid w:val="0044329B"/>
    <w:rsid w:val="00443366"/>
    <w:rsid w:val="004435A9"/>
    <w:rsid w:val="00443CDC"/>
    <w:rsid w:val="00443CE0"/>
    <w:rsid w:val="00443F9D"/>
    <w:rsid w:val="004448FD"/>
    <w:rsid w:val="00444DB7"/>
    <w:rsid w:val="0044543C"/>
    <w:rsid w:val="0044560B"/>
    <w:rsid w:val="004460E2"/>
    <w:rsid w:val="004463AB"/>
    <w:rsid w:val="00446EBB"/>
    <w:rsid w:val="00447291"/>
    <w:rsid w:val="00447691"/>
    <w:rsid w:val="004476C9"/>
    <w:rsid w:val="004478AA"/>
    <w:rsid w:val="00447B41"/>
    <w:rsid w:val="00450092"/>
    <w:rsid w:val="00450DAC"/>
    <w:rsid w:val="00450E49"/>
    <w:rsid w:val="0045171B"/>
    <w:rsid w:val="00451F65"/>
    <w:rsid w:val="00452099"/>
    <w:rsid w:val="00453670"/>
    <w:rsid w:val="00453707"/>
    <w:rsid w:val="00453871"/>
    <w:rsid w:val="00453C44"/>
    <w:rsid w:val="00453D93"/>
    <w:rsid w:val="0045451E"/>
    <w:rsid w:val="0045479D"/>
    <w:rsid w:val="00454D36"/>
    <w:rsid w:val="00454F7B"/>
    <w:rsid w:val="00455127"/>
    <w:rsid w:val="00455AEE"/>
    <w:rsid w:val="00455F97"/>
    <w:rsid w:val="0045677F"/>
    <w:rsid w:val="00456FED"/>
    <w:rsid w:val="00456FF4"/>
    <w:rsid w:val="0046012A"/>
    <w:rsid w:val="00460193"/>
    <w:rsid w:val="00460438"/>
    <w:rsid w:val="00460E0A"/>
    <w:rsid w:val="0046266A"/>
    <w:rsid w:val="00463699"/>
    <w:rsid w:val="00463C64"/>
    <w:rsid w:val="00463EDD"/>
    <w:rsid w:val="00464243"/>
    <w:rsid w:val="00464936"/>
    <w:rsid w:val="00464A6D"/>
    <w:rsid w:val="004650C0"/>
    <w:rsid w:val="004653F0"/>
    <w:rsid w:val="004655F9"/>
    <w:rsid w:val="004657C2"/>
    <w:rsid w:val="00466B03"/>
    <w:rsid w:val="004672F6"/>
    <w:rsid w:val="00467505"/>
    <w:rsid w:val="00467C85"/>
    <w:rsid w:val="00467DC2"/>
    <w:rsid w:val="004706DE"/>
    <w:rsid w:val="00470EE8"/>
    <w:rsid w:val="00472175"/>
    <w:rsid w:val="0047236B"/>
    <w:rsid w:val="004723C1"/>
    <w:rsid w:val="0047248C"/>
    <w:rsid w:val="00472DC7"/>
    <w:rsid w:val="00473505"/>
    <w:rsid w:val="0047381C"/>
    <w:rsid w:val="00473C2B"/>
    <w:rsid w:val="0047402D"/>
    <w:rsid w:val="004744AF"/>
    <w:rsid w:val="0047484A"/>
    <w:rsid w:val="00474928"/>
    <w:rsid w:val="004759E7"/>
    <w:rsid w:val="004764BA"/>
    <w:rsid w:val="00476603"/>
    <w:rsid w:val="00476B67"/>
    <w:rsid w:val="004770E4"/>
    <w:rsid w:val="004772D4"/>
    <w:rsid w:val="004775D5"/>
    <w:rsid w:val="0047772C"/>
    <w:rsid w:val="00477C71"/>
    <w:rsid w:val="00480B40"/>
    <w:rsid w:val="00480CDC"/>
    <w:rsid w:val="0048147D"/>
    <w:rsid w:val="00481AF5"/>
    <w:rsid w:val="00482F68"/>
    <w:rsid w:val="00483218"/>
    <w:rsid w:val="00485C23"/>
    <w:rsid w:val="0048659E"/>
    <w:rsid w:val="004865C2"/>
    <w:rsid w:val="004869D2"/>
    <w:rsid w:val="00486B2E"/>
    <w:rsid w:val="00490B67"/>
    <w:rsid w:val="004911FA"/>
    <w:rsid w:val="0049191A"/>
    <w:rsid w:val="00491E8C"/>
    <w:rsid w:val="0049229F"/>
    <w:rsid w:val="00492301"/>
    <w:rsid w:val="004939D6"/>
    <w:rsid w:val="0049416D"/>
    <w:rsid w:val="00494352"/>
    <w:rsid w:val="00494492"/>
    <w:rsid w:val="00494B1A"/>
    <w:rsid w:val="00495BF5"/>
    <w:rsid w:val="0049639D"/>
    <w:rsid w:val="00496F21"/>
    <w:rsid w:val="00497D65"/>
    <w:rsid w:val="004A0742"/>
    <w:rsid w:val="004A1332"/>
    <w:rsid w:val="004A1701"/>
    <w:rsid w:val="004A1ADE"/>
    <w:rsid w:val="004A296E"/>
    <w:rsid w:val="004A3308"/>
    <w:rsid w:val="004A3535"/>
    <w:rsid w:val="004A375A"/>
    <w:rsid w:val="004A391C"/>
    <w:rsid w:val="004A4B1E"/>
    <w:rsid w:val="004A4E87"/>
    <w:rsid w:val="004A58BD"/>
    <w:rsid w:val="004A5CA4"/>
    <w:rsid w:val="004A6431"/>
    <w:rsid w:val="004A6948"/>
    <w:rsid w:val="004A6C9B"/>
    <w:rsid w:val="004A6EF9"/>
    <w:rsid w:val="004B037E"/>
    <w:rsid w:val="004B0FED"/>
    <w:rsid w:val="004B11A8"/>
    <w:rsid w:val="004B11D5"/>
    <w:rsid w:val="004B1EE6"/>
    <w:rsid w:val="004B2236"/>
    <w:rsid w:val="004B2275"/>
    <w:rsid w:val="004B240B"/>
    <w:rsid w:val="004B2699"/>
    <w:rsid w:val="004B330E"/>
    <w:rsid w:val="004B3BEB"/>
    <w:rsid w:val="004B3F3B"/>
    <w:rsid w:val="004B4104"/>
    <w:rsid w:val="004B41B8"/>
    <w:rsid w:val="004B429A"/>
    <w:rsid w:val="004B42E2"/>
    <w:rsid w:val="004B4BC6"/>
    <w:rsid w:val="004B4E46"/>
    <w:rsid w:val="004B5DA2"/>
    <w:rsid w:val="004B5F81"/>
    <w:rsid w:val="004B60D6"/>
    <w:rsid w:val="004B6167"/>
    <w:rsid w:val="004B64BF"/>
    <w:rsid w:val="004B660B"/>
    <w:rsid w:val="004B6715"/>
    <w:rsid w:val="004B67AB"/>
    <w:rsid w:val="004B70EA"/>
    <w:rsid w:val="004B7331"/>
    <w:rsid w:val="004B77CF"/>
    <w:rsid w:val="004B7910"/>
    <w:rsid w:val="004B7AFD"/>
    <w:rsid w:val="004B7E27"/>
    <w:rsid w:val="004C007D"/>
    <w:rsid w:val="004C02CD"/>
    <w:rsid w:val="004C0563"/>
    <w:rsid w:val="004C0E38"/>
    <w:rsid w:val="004C11AF"/>
    <w:rsid w:val="004C13AE"/>
    <w:rsid w:val="004C2028"/>
    <w:rsid w:val="004C2A03"/>
    <w:rsid w:val="004C39FE"/>
    <w:rsid w:val="004C41C1"/>
    <w:rsid w:val="004C4640"/>
    <w:rsid w:val="004C4A5E"/>
    <w:rsid w:val="004C4F03"/>
    <w:rsid w:val="004C59B4"/>
    <w:rsid w:val="004C5D77"/>
    <w:rsid w:val="004C7706"/>
    <w:rsid w:val="004C786F"/>
    <w:rsid w:val="004C7E2E"/>
    <w:rsid w:val="004D09DD"/>
    <w:rsid w:val="004D1076"/>
    <w:rsid w:val="004D125D"/>
    <w:rsid w:val="004D1347"/>
    <w:rsid w:val="004D2742"/>
    <w:rsid w:val="004D3592"/>
    <w:rsid w:val="004D3780"/>
    <w:rsid w:val="004D399A"/>
    <w:rsid w:val="004D3BA6"/>
    <w:rsid w:val="004D4126"/>
    <w:rsid w:val="004D4128"/>
    <w:rsid w:val="004D465A"/>
    <w:rsid w:val="004D49C0"/>
    <w:rsid w:val="004D4E5C"/>
    <w:rsid w:val="004D56C9"/>
    <w:rsid w:val="004D5905"/>
    <w:rsid w:val="004D6066"/>
    <w:rsid w:val="004D6263"/>
    <w:rsid w:val="004D70DA"/>
    <w:rsid w:val="004D720E"/>
    <w:rsid w:val="004D7293"/>
    <w:rsid w:val="004D7C49"/>
    <w:rsid w:val="004E16F5"/>
    <w:rsid w:val="004E1A81"/>
    <w:rsid w:val="004E1D7F"/>
    <w:rsid w:val="004E2107"/>
    <w:rsid w:val="004E2230"/>
    <w:rsid w:val="004E236A"/>
    <w:rsid w:val="004E23F4"/>
    <w:rsid w:val="004E2873"/>
    <w:rsid w:val="004E318E"/>
    <w:rsid w:val="004E33AD"/>
    <w:rsid w:val="004E3679"/>
    <w:rsid w:val="004E44F8"/>
    <w:rsid w:val="004E48B4"/>
    <w:rsid w:val="004E4F07"/>
    <w:rsid w:val="004E5040"/>
    <w:rsid w:val="004E58BB"/>
    <w:rsid w:val="004E5C2C"/>
    <w:rsid w:val="004E6352"/>
    <w:rsid w:val="004E76A2"/>
    <w:rsid w:val="004E7C21"/>
    <w:rsid w:val="004F09D2"/>
    <w:rsid w:val="004F0E2D"/>
    <w:rsid w:val="004F1914"/>
    <w:rsid w:val="004F204C"/>
    <w:rsid w:val="004F282F"/>
    <w:rsid w:val="004F2C77"/>
    <w:rsid w:val="004F31DE"/>
    <w:rsid w:val="004F36AB"/>
    <w:rsid w:val="004F3C6D"/>
    <w:rsid w:val="004F4154"/>
    <w:rsid w:val="004F49A3"/>
    <w:rsid w:val="004F4B7A"/>
    <w:rsid w:val="004F4BF0"/>
    <w:rsid w:val="004F53F7"/>
    <w:rsid w:val="004F5576"/>
    <w:rsid w:val="004F6B95"/>
    <w:rsid w:val="004F711F"/>
    <w:rsid w:val="004F7452"/>
    <w:rsid w:val="004F7526"/>
    <w:rsid w:val="004F75CA"/>
    <w:rsid w:val="004F75E8"/>
    <w:rsid w:val="004F78A2"/>
    <w:rsid w:val="004F7E2C"/>
    <w:rsid w:val="00500309"/>
    <w:rsid w:val="00500525"/>
    <w:rsid w:val="00500635"/>
    <w:rsid w:val="00500B45"/>
    <w:rsid w:val="00501604"/>
    <w:rsid w:val="00501CD2"/>
    <w:rsid w:val="00501DC1"/>
    <w:rsid w:val="00501F99"/>
    <w:rsid w:val="00502322"/>
    <w:rsid w:val="00502A82"/>
    <w:rsid w:val="005031C7"/>
    <w:rsid w:val="00504F5B"/>
    <w:rsid w:val="0050528E"/>
    <w:rsid w:val="00505F93"/>
    <w:rsid w:val="00506084"/>
    <w:rsid w:val="005065DB"/>
    <w:rsid w:val="00506CAC"/>
    <w:rsid w:val="00506CDE"/>
    <w:rsid w:val="00506FC9"/>
    <w:rsid w:val="00507A67"/>
    <w:rsid w:val="00507AF0"/>
    <w:rsid w:val="00507F63"/>
    <w:rsid w:val="005105BE"/>
    <w:rsid w:val="005108D5"/>
    <w:rsid w:val="00510FAF"/>
    <w:rsid w:val="00511063"/>
    <w:rsid w:val="00511264"/>
    <w:rsid w:val="0051143E"/>
    <w:rsid w:val="00511BAC"/>
    <w:rsid w:val="00511C30"/>
    <w:rsid w:val="00511F99"/>
    <w:rsid w:val="005120EC"/>
    <w:rsid w:val="00512F3F"/>
    <w:rsid w:val="0051333C"/>
    <w:rsid w:val="00513627"/>
    <w:rsid w:val="005140B2"/>
    <w:rsid w:val="005145AD"/>
    <w:rsid w:val="00514AA4"/>
    <w:rsid w:val="00515D0B"/>
    <w:rsid w:val="00515FFA"/>
    <w:rsid w:val="005165B1"/>
    <w:rsid w:val="005165C5"/>
    <w:rsid w:val="00516A7D"/>
    <w:rsid w:val="00516DDB"/>
    <w:rsid w:val="0051708A"/>
    <w:rsid w:val="0051768D"/>
    <w:rsid w:val="00517874"/>
    <w:rsid w:val="00520763"/>
    <w:rsid w:val="00520865"/>
    <w:rsid w:val="00520D0E"/>
    <w:rsid w:val="00521D42"/>
    <w:rsid w:val="00522C98"/>
    <w:rsid w:val="00522CCA"/>
    <w:rsid w:val="005235A7"/>
    <w:rsid w:val="0052374C"/>
    <w:rsid w:val="00523A6D"/>
    <w:rsid w:val="00523D92"/>
    <w:rsid w:val="0052480A"/>
    <w:rsid w:val="00524D01"/>
    <w:rsid w:val="00525136"/>
    <w:rsid w:val="005253BE"/>
    <w:rsid w:val="00525AAA"/>
    <w:rsid w:val="0052649B"/>
    <w:rsid w:val="00526535"/>
    <w:rsid w:val="0052682A"/>
    <w:rsid w:val="005268B2"/>
    <w:rsid w:val="00526B71"/>
    <w:rsid w:val="0052714B"/>
    <w:rsid w:val="00527C81"/>
    <w:rsid w:val="00530531"/>
    <w:rsid w:val="00530632"/>
    <w:rsid w:val="00530B5C"/>
    <w:rsid w:val="00531369"/>
    <w:rsid w:val="005313AC"/>
    <w:rsid w:val="005314BC"/>
    <w:rsid w:val="00531EA8"/>
    <w:rsid w:val="00532448"/>
    <w:rsid w:val="0053249D"/>
    <w:rsid w:val="00532643"/>
    <w:rsid w:val="0053270F"/>
    <w:rsid w:val="00533270"/>
    <w:rsid w:val="0053332D"/>
    <w:rsid w:val="00533533"/>
    <w:rsid w:val="00533DBD"/>
    <w:rsid w:val="0053488F"/>
    <w:rsid w:val="00534C74"/>
    <w:rsid w:val="00534E68"/>
    <w:rsid w:val="0053507F"/>
    <w:rsid w:val="005351C1"/>
    <w:rsid w:val="00535341"/>
    <w:rsid w:val="00535436"/>
    <w:rsid w:val="00535CF7"/>
    <w:rsid w:val="00536477"/>
    <w:rsid w:val="00536C1F"/>
    <w:rsid w:val="0053708A"/>
    <w:rsid w:val="0053718C"/>
    <w:rsid w:val="00537845"/>
    <w:rsid w:val="00537B0D"/>
    <w:rsid w:val="00537EB3"/>
    <w:rsid w:val="00540F43"/>
    <w:rsid w:val="00540FB0"/>
    <w:rsid w:val="005421DC"/>
    <w:rsid w:val="005421DD"/>
    <w:rsid w:val="00542FEC"/>
    <w:rsid w:val="00543317"/>
    <w:rsid w:val="00543933"/>
    <w:rsid w:val="00544131"/>
    <w:rsid w:val="005444B6"/>
    <w:rsid w:val="00544764"/>
    <w:rsid w:val="0054491E"/>
    <w:rsid w:val="00544B41"/>
    <w:rsid w:val="00544CAE"/>
    <w:rsid w:val="0054500B"/>
    <w:rsid w:val="00545A38"/>
    <w:rsid w:val="00545D25"/>
    <w:rsid w:val="005475AB"/>
    <w:rsid w:val="005476ED"/>
    <w:rsid w:val="00547A02"/>
    <w:rsid w:val="00547E76"/>
    <w:rsid w:val="00551A92"/>
    <w:rsid w:val="00551CC6"/>
    <w:rsid w:val="00551F7A"/>
    <w:rsid w:val="00551FA1"/>
    <w:rsid w:val="00552025"/>
    <w:rsid w:val="0055271F"/>
    <w:rsid w:val="005529A2"/>
    <w:rsid w:val="00552AE8"/>
    <w:rsid w:val="00553716"/>
    <w:rsid w:val="00553798"/>
    <w:rsid w:val="00554AA1"/>
    <w:rsid w:val="00555028"/>
    <w:rsid w:val="0055511E"/>
    <w:rsid w:val="005554D6"/>
    <w:rsid w:val="005555EB"/>
    <w:rsid w:val="005562DA"/>
    <w:rsid w:val="005563FA"/>
    <w:rsid w:val="005564A3"/>
    <w:rsid w:val="005576C1"/>
    <w:rsid w:val="005576F6"/>
    <w:rsid w:val="00557D87"/>
    <w:rsid w:val="005600D2"/>
    <w:rsid w:val="00560E4B"/>
    <w:rsid w:val="005611E0"/>
    <w:rsid w:val="0056158B"/>
    <w:rsid w:val="005618F2"/>
    <w:rsid w:val="00561C87"/>
    <w:rsid w:val="00561CF6"/>
    <w:rsid w:val="00561FF4"/>
    <w:rsid w:val="00562A52"/>
    <w:rsid w:val="005630D6"/>
    <w:rsid w:val="005640DD"/>
    <w:rsid w:val="0056477C"/>
    <w:rsid w:val="00565833"/>
    <w:rsid w:val="005662E4"/>
    <w:rsid w:val="00566542"/>
    <w:rsid w:val="005667A6"/>
    <w:rsid w:val="005667F9"/>
    <w:rsid w:val="00566CBF"/>
    <w:rsid w:val="00566E41"/>
    <w:rsid w:val="00567BB4"/>
    <w:rsid w:val="005703F5"/>
    <w:rsid w:val="00570A10"/>
    <w:rsid w:val="00571342"/>
    <w:rsid w:val="005716EF"/>
    <w:rsid w:val="005720E1"/>
    <w:rsid w:val="00572764"/>
    <w:rsid w:val="00572C80"/>
    <w:rsid w:val="00573283"/>
    <w:rsid w:val="005733A0"/>
    <w:rsid w:val="00573497"/>
    <w:rsid w:val="00573E37"/>
    <w:rsid w:val="00573F18"/>
    <w:rsid w:val="005743B5"/>
    <w:rsid w:val="005743F5"/>
    <w:rsid w:val="00574A30"/>
    <w:rsid w:val="0057500B"/>
    <w:rsid w:val="00575792"/>
    <w:rsid w:val="00575CC7"/>
    <w:rsid w:val="005763C3"/>
    <w:rsid w:val="00576A84"/>
    <w:rsid w:val="00576B74"/>
    <w:rsid w:val="00576E14"/>
    <w:rsid w:val="0057791D"/>
    <w:rsid w:val="005779BC"/>
    <w:rsid w:val="00577AAB"/>
    <w:rsid w:val="00580686"/>
    <w:rsid w:val="005807E2"/>
    <w:rsid w:val="0058099E"/>
    <w:rsid w:val="00580D5F"/>
    <w:rsid w:val="00581332"/>
    <w:rsid w:val="005817C6"/>
    <w:rsid w:val="0058188E"/>
    <w:rsid w:val="00581956"/>
    <w:rsid w:val="00581E25"/>
    <w:rsid w:val="0058212D"/>
    <w:rsid w:val="00582517"/>
    <w:rsid w:val="00583660"/>
    <w:rsid w:val="0058369F"/>
    <w:rsid w:val="00584547"/>
    <w:rsid w:val="00584D04"/>
    <w:rsid w:val="005854D1"/>
    <w:rsid w:val="00585E85"/>
    <w:rsid w:val="00585F35"/>
    <w:rsid w:val="0058695B"/>
    <w:rsid w:val="00586CA9"/>
    <w:rsid w:val="00587080"/>
    <w:rsid w:val="00587182"/>
    <w:rsid w:val="005879AF"/>
    <w:rsid w:val="0059114B"/>
    <w:rsid w:val="00591F99"/>
    <w:rsid w:val="00593565"/>
    <w:rsid w:val="0059368B"/>
    <w:rsid w:val="005939B5"/>
    <w:rsid w:val="0059498A"/>
    <w:rsid w:val="00595B70"/>
    <w:rsid w:val="00596BE8"/>
    <w:rsid w:val="00596D3D"/>
    <w:rsid w:val="00597112"/>
    <w:rsid w:val="0059712B"/>
    <w:rsid w:val="005976BB"/>
    <w:rsid w:val="00597DCD"/>
    <w:rsid w:val="005A091C"/>
    <w:rsid w:val="005A1004"/>
    <w:rsid w:val="005A1C7D"/>
    <w:rsid w:val="005A293A"/>
    <w:rsid w:val="005A356F"/>
    <w:rsid w:val="005A3658"/>
    <w:rsid w:val="005A3EA0"/>
    <w:rsid w:val="005A5079"/>
    <w:rsid w:val="005A52BD"/>
    <w:rsid w:val="005A6E47"/>
    <w:rsid w:val="005A7F16"/>
    <w:rsid w:val="005B0651"/>
    <w:rsid w:val="005B126C"/>
    <w:rsid w:val="005B192E"/>
    <w:rsid w:val="005B1BB9"/>
    <w:rsid w:val="005B21A2"/>
    <w:rsid w:val="005B2461"/>
    <w:rsid w:val="005B2A28"/>
    <w:rsid w:val="005B2B6C"/>
    <w:rsid w:val="005B2D67"/>
    <w:rsid w:val="005B32DB"/>
    <w:rsid w:val="005B3419"/>
    <w:rsid w:val="005B4101"/>
    <w:rsid w:val="005B4471"/>
    <w:rsid w:val="005B459C"/>
    <w:rsid w:val="005B484D"/>
    <w:rsid w:val="005B5082"/>
    <w:rsid w:val="005B5A06"/>
    <w:rsid w:val="005B65EE"/>
    <w:rsid w:val="005B670C"/>
    <w:rsid w:val="005B6D0E"/>
    <w:rsid w:val="005B752F"/>
    <w:rsid w:val="005C1E84"/>
    <w:rsid w:val="005C2111"/>
    <w:rsid w:val="005C256E"/>
    <w:rsid w:val="005C2820"/>
    <w:rsid w:val="005C347A"/>
    <w:rsid w:val="005C40A5"/>
    <w:rsid w:val="005C4F00"/>
    <w:rsid w:val="005C55E0"/>
    <w:rsid w:val="005C5DD4"/>
    <w:rsid w:val="005C6811"/>
    <w:rsid w:val="005C7853"/>
    <w:rsid w:val="005C7A10"/>
    <w:rsid w:val="005D02E0"/>
    <w:rsid w:val="005D0301"/>
    <w:rsid w:val="005D14B5"/>
    <w:rsid w:val="005D1ADB"/>
    <w:rsid w:val="005D2612"/>
    <w:rsid w:val="005D280D"/>
    <w:rsid w:val="005D293C"/>
    <w:rsid w:val="005D2C21"/>
    <w:rsid w:val="005D31D6"/>
    <w:rsid w:val="005D3B1D"/>
    <w:rsid w:val="005D4782"/>
    <w:rsid w:val="005D49A0"/>
    <w:rsid w:val="005D4ECD"/>
    <w:rsid w:val="005D4F48"/>
    <w:rsid w:val="005D5307"/>
    <w:rsid w:val="005D5DD2"/>
    <w:rsid w:val="005D5EDF"/>
    <w:rsid w:val="005D5F27"/>
    <w:rsid w:val="005D6725"/>
    <w:rsid w:val="005D6929"/>
    <w:rsid w:val="005D7B8F"/>
    <w:rsid w:val="005D7C0C"/>
    <w:rsid w:val="005D7D92"/>
    <w:rsid w:val="005E00A2"/>
    <w:rsid w:val="005E051A"/>
    <w:rsid w:val="005E09E0"/>
    <w:rsid w:val="005E13F2"/>
    <w:rsid w:val="005E158A"/>
    <w:rsid w:val="005E1706"/>
    <w:rsid w:val="005E1746"/>
    <w:rsid w:val="005E184F"/>
    <w:rsid w:val="005E1F83"/>
    <w:rsid w:val="005E25AF"/>
    <w:rsid w:val="005E26B9"/>
    <w:rsid w:val="005E2B70"/>
    <w:rsid w:val="005E2ED3"/>
    <w:rsid w:val="005E31A8"/>
    <w:rsid w:val="005E338D"/>
    <w:rsid w:val="005E33EB"/>
    <w:rsid w:val="005E37E0"/>
    <w:rsid w:val="005E3A10"/>
    <w:rsid w:val="005E3B62"/>
    <w:rsid w:val="005E44BD"/>
    <w:rsid w:val="005E4977"/>
    <w:rsid w:val="005E4A54"/>
    <w:rsid w:val="005E4E51"/>
    <w:rsid w:val="005E512B"/>
    <w:rsid w:val="005E61D2"/>
    <w:rsid w:val="005E6950"/>
    <w:rsid w:val="005E7B65"/>
    <w:rsid w:val="005F01DF"/>
    <w:rsid w:val="005F0460"/>
    <w:rsid w:val="005F2784"/>
    <w:rsid w:val="005F27DB"/>
    <w:rsid w:val="005F299C"/>
    <w:rsid w:val="005F2BC7"/>
    <w:rsid w:val="005F3539"/>
    <w:rsid w:val="005F35E1"/>
    <w:rsid w:val="005F385C"/>
    <w:rsid w:val="005F4333"/>
    <w:rsid w:val="005F51AE"/>
    <w:rsid w:val="005F5303"/>
    <w:rsid w:val="005F592D"/>
    <w:rsid w:val="005F5D67"/>
    <w:rsid w:val="005F62A5"/>
    <w:rsid w:val="005F663F"/>
    <w:rsid w:val="005F6EC4"/>
    <w:rsid w:val="005F76E4"/>
    <w:rsid w:val="005F78D9"/>
    <w:rsid w:val="00600E77"/>
    <w:rsid w:val="00600F4C"/>
    <w:rsid w:val="006011C9"/>
    <w:rsid w:val="006013AC"/>
    <w:rsid w:val="006022C4"/>
    <w:rsid w:val="006026FA"/>
    <w:rsid w:val="006027BF"/>
    <w:rsid w:val="006029BF"/>
    <w:rsid w:val="006029D5"/>
    <w:rsid w:val="00603A7F"/>
    <w:rsid w:val="00603FE3"/>
    <w:rsid w:val="006042E4"/>
    <w:rsid w:val="00605667"/>
    <w:rsid w:val="006058C0"/>
    <w:rsid w:val="00605C74"/>
    <w:rsid w:val="006063FA"/>
    <w:rsid w:val="006067B6"/>
    <w:rsid w:val="00606A07"/>
    <w:rsid w:val="00606A25"/>
    <w:rsid w:val="00606D82"/>
    <w:rsid w:val="0060755E"/>
    <w:rsid w:val="00607C55"/>
    <w:rsid w:val="00610004"/>
    <w:rsid w:val="00610007"/>
    <w:rsid w:val="00610142"/>
    <w:rsid w:val="00610232"/>
    <w:rsid w:val="006109E8"/>
    <w:rsid w:val="00610FB7"/>
    <w:rsid w:val="006110E1"/>
    <w:rsid w:val="00611A1C"/>
    <w:rsid w:val="006124C0"/>
    <w:rsid w:val="006124DA"/>
    <w:rsid w:val="00612E3B"/>
    <w:rsid w:val="00613BDF"/>
    <w:rsid w:val="00613F4A"/>
    <w:rsid w:val="00613FDB"/>
    <w:rsid w:val="0061456A"/>
    <w:rsid w:val="00615507"/>
    <w:rsid w:val="00615A45"/>
    <w:rsid w:val="00615EE4"/>
    <w:rsid w:val="00615F54"/>
    <w:rsid w:val="00616714"/>
    <w:rsid w:val="00616DB3"/>
    <w:rsid w:val="00616E04"/>
    <w:rsid w:val="00617321"/>
    <w:rsid w:val="006174E1"/>
    <w:rsid w:val="006174F1"/>
    <w:rsid w:val="00617BE6"/>
    <w:rsid w:val="00617C91"/>
    <w:rsid w:val="00617CD4"/>
    <w:rsid w:val="00620757"/>
    <w:rsid w:val="0062077F"/>
    <w:rsid w:val="006208C8"/>
    <w:rsid w:val="00620D81"/>
    <w:rsid w:val="00620D99"/>
    <w:rsid w:val="00620DCE"/>
    <w:rsid w:val="00621ACD"/>
    <w:rsid w:val="00621EDF"/>
    <w:rsid w:val="00622C3A"/>
    <w:rsid w:val="00622D27"/>
    <w:rsid w:val="006241E8"/>
    <w:rsid w:val="006248FB"/>
    <w:rsid w:val="00624DBE"/>
    <w:rsid w:val="00626D8E"/>
    <w:rsid w:val="0062710F"/>
    <w:rsid w:val="006274D3"/>
    <w:rsid w:val="006274D5"/>
    <w:rsid w:val="006275E2"/>
    <w:rsid w:val="00630C8B"/>
    <w:rsid w:val="00631287"/>
    <w:rsid w:val="006316A9"/>
    <w:rsid w:val="00631BDB"/>
    <w:rsid w:val="0063207C"/>
    <w:rsid w:val="0063218C"/>
    <w:rsid w:val="0063315F"/>
    <w:rsid w:val="006339B2"/>
    <w:rsid w:val="00633F16"/>
    <w:rsid w:val="006346A7"/>
    <w:rsid w:val="0063493A"/>
    <w:rsid w:val="00634DF0"/>
    <w:rsid w:val="00634E2A"/>
    <w:rsid w:val="00634E57"/>
    <w:rsid w:val="00635498"/>
    <w:rsid w:val="006354D1"/>
    <w:rsid w:val="006355E1"/>
    <w:rsid w:val="006355FE"/>
    <w:rsid w:val="00636419"/>
    <w:rsid w:val="00636491"/>
    <w:rsid w:val="00636B33"/>
    <w:rsid w:val="0063710A"/>
    <w:rsid w:val="00637734"/>
    <w:rsid w:val="0064031E"/>
    <w:rsid w:val="0064033E"/>
    <w:rsid w:val="00641C18"/>
    <w:rsid w:val="00641CD8"/>
    <w:rsid w:val="00642CCD"/>
    <w:rsid w:val="00642E2D"/>
    <w:rsid w:val="006436E4"/>
    <w:rsid w:val="00644CF6"/>
    <w:rsid w:val="006451A5"/>
    <w:rsid w:val="00645300"/>
    <w:rsid w:val="00645E5C"/>
    <w:rsid w:val="00646948"/>
    <w:rsid w:val="0064730C"/>
    <w:rsid w:val="00647823"/>
    <w:rsid w:val="00647A27"/>
    <w:rsid w:val="00647B89"/>
    <w:rsid w:val="00647D0E"/>
    <w:rsid w:val="00647EE7"/>
    <w:rsid w:val="0065049C"/>
    <w:rsid w:val="0065053B"/>
    <w:rsid w:val="0065110E"/>
    <w:rsid w:val="00651747"/>
    <w:rsid w:val="006518C8"/>
    <w:rsid w:val="00652F8E"/>
    <w:rsid w:val="0065356F"/>
    <w:rsid w:val="00653F75"/>
    <w:rsid w:val="006544DA"/>
    <w:rsid w:val="0065474D"/>
    <w:rsid w:val="00655627"/>
    <w:rsid w:val="00655976"/>
    <w:rsid w:val="006565C7"/>
    <w:rsid w:val="0065707E"/>
    <w:rsid w:val="00657DA9"/>
    <w:rsid w:val="00660426"/>
    <w:rsid w:val="00660500"/>
    <w:rsid w:val="00660648"/>
    <w:rsid w:val="006609D5"/>
    <w:rsid w:val="0066266E"/>
    <w:rsid w:val="006627C3"/>
    <w:rsid w:val="0066286D"/>
    <w:rsid w:val="00662881"/>
    <w:rsid w:val="00662E3B"/>
    <w:rsid w:val="00662E82"/>
    <w:rsid w:val="00662ECA"/>
    <w:rsid w:val="006630C2"/>
    <w:rsid w:val="00663423"/>
    <w:rsid w:val="0066455B"/>
    <w:rsid w:val="00664BD6"/>
    <w:rsid w:val="00664E6D"/>
    <w:rsid w:val="00665376"/>
    <w:rsid w:val="00665FFE"/>
    <w:rsid w:val="006662B0"/>
    <w:rsid w:val="00666383"/>
    <w:rsid w:val="006667DF"/>
    <w:rsid w:val="00666816"/>
    <w:rsid w:val="006673E6"/>
    <w:rsid w:val="0066780C"/>
    <w:rsid w:val="006706F3"/>
    <w:rsid w:val="0067078F"/>
    <w:rsid w:val="00670BD4"/>
    <w:rsid w:val="00671038"/>
    <w:rsid w:val="0067128F"/>
    <w:rsid w:val="00671FDE"/>
    <w:rsid w:val="006723A3"/>
    <w:rsid w:val="00672751"/>
    <w:rsid w:val="00673410"/>
    <w:rsid w:val="00673ECD"/>
    <w:rsid w:val="00674015"/>
    <w:rsid w:val="006746BE"/>
    <w:rsid w:val="00674EDA"/>
    <w:rsid w:val="00675054"/>
    <w:rsid w:val="006756E0"/>
    <w:rsid w:val="00676451"/>
    <w:rsid w:val="00676AB4"/>
    <w:rsid w:val="006770B1"/>
    <w:rsid w:val="00680989"/>
    <w:rsid w:val="00681157"/>
    <w:rsid w:val="00681257"/>
    <w:rsid w:val="006814C7"/>
    <w:rsid w:val="00681C10"/>
    <w:rsid w:val="00681FB1"/>
    <w:rsid w:val="00682682"/>
    <w:rsid w:val="006828D7"/>
    <w:rsid w:val="00682CE9"/>
    <w:rsid w:val="00682D8C"/>
    <w:rsid w:val="0068360F"/>
    <w:rsid w:val="0068371E"/>
    <w:rsid w:val="00684E09"/>
    <w:rsid w:val="006851FA"/>
    <w:rsid w:val="00685806"/>
    <w:rsid w:val="00686385"/>
    <w:rsid w:val="006863B3"/>
    <w:rsid w:val="0068664B"/>
    <w:rsid w:val="00686912"/>
    <w:rsid w:val="00686A30"/>
    <w:rsid w:val="0068731E"/>
    <w:rsid w:val="006875F0"/>
    <w:rsid w:val="0068788B"/>
    <w:rsid w:val="0069057D"/>
    <w:rsid w:val="00690D80"/>
    <w:rsid w:val="00691699"/>
    <w:rsid w:val="00691C41"/>
    <w:rsid w:val="00692319"/>
    <w:rsid w:val="0069343A"/>
    <w:rsid w:val="006936E7"/>
    <w:rsid w:val="006940C5"/>
    <w:rsid w:val="006947E7"/>
    <w:rsid w:val="0069648E"/>
    <w:rsid w:val="00697657"/>
    <w:rsid w:val="006A0C92"/>
    <w:rsid w:val="006A1552"/>
    <w:rsid w:val="006A19FE"/>
    <w:rsid w:val="006A1CCC"/>
    <w:rsid w:val="006A1D33"/>
    <w:rsid w:val="006A1DC7"/>
    <w:rsid w:val="006A2126"/>
    <w:rsid w:val="006A2CE8"/>
    <w:rsid w:val="006A3793"/>
    <w:rsid w:val="006A38CB"/>
    <w:rsid w:val="006A3CC5"/>
    <w:rsid w:val="006A42C0"/>
    <w:rsid w:val="006A4BC0"/>
    <w:rsid w:val="006A5157"/>
    <w:rsid w:val="006A5AF4"/>
    <w:rsid w:val="006A610C"/>
    <w:rsid w:val="006A6522"/>
    <w:rsid w:val="006A7D81"/>
    <w:rsid w:val="006B0661"/>
    <w:rsid w:val="006B0CF1"/>
    <w:rsid w:val="006B0D28"/>
    <w:rsid w:val="006B0F94"/>
    <w:rsid w:val="006B1143"/>
    <w:rsid w:val="006B18AB"/>
    <w:rsid w:val="006B2D64"/>
    <w:rsid w:val="006B3277"/>
    <w:rsid w:val="006B32B6"/>
    <w:rsid w:val="006B34E8"/>
    <w:rsid w:val="006B3A3B"/>
    <w:rsid w:val="006B44E1"/>
    <w:rsid w:val="006B4EC3"/>
    <w:rsid w:val="006B5CAD"/>
    <w:rsid w:val="006B660B"/>
    <w:rsid w:val="006B730E"/>
    <w:rsid w:val="006B79E1"/>
    <w:rsid w:val="006B7B65"/>
    <w:rsid w:val="006C0285"/>
    <w:rsid w:val="006C07A1"/>
    <w:rsid w:val="006C0F9B"/>
    <w:rsid w:val="006C11AF"/>
    <w:rsid w:val="006C1E8C"/>
    <w:rsid w:val="006C280E"/>
    <w:rsid w:val="006C2D13"/>
    <w:rsid w:val="006C2FBF"/>
    <w:rsid w:val="006C3FC4"/>
    <w:rsid w:val="006C4342"/>
    <w:rsid w:val="006C4837"/>
    <w:rsid w:val="006C51B8"/>
    <w:rsid w:val="006C5762"/>
    <w:rsid w:val="006C5785"/>
    <w:rsid w:val="006C658C"/>
    <w:rsid w:val="006C69DD"/>
    <w:rsid w:val="006C716E"/>
    <w:rsid w:val="006C7424"/>
    <w:rsid w:val="006C7446"/>
    <w:rsid w:val="006C75C9"/>
    <w:rsid w:val="006C7A9F"/>
    <w:rsid w:val="006D0C2B"/>
    <w:rsid w:val="006D0EE8"/>
    <w:rsid w:val="006D0F8F"/>
    <w:rsid w:val="006D15A7"/>
    <w:rsid w:val="006D19CB"/>
    <w:rsid w:val="006D1CCB"/>
    <w:rsid w:val="006D22B5"/>
    <w:rsid w:val="006D277E"/>
    <w:rsid w:val="006D2B3D"/>
    <w:rsid w:val="006D3C8C"/>
    <w:rsid w:val="006D3CCA"/>
    <w:rsid w:val="006D4015"/>
    <w:rsid w:val="006D43E0"/>
    <w:rsid w:val="006D5214"/>
    <w:rsid w:val="006D557C"/>
    <w:rsid w:val="006D6DFD"/>
    <w:rsid w:val="006D7509"/>
    <w:rsid w:val="006D78BA"/>
    <w:rsid w:val="006D7ADC"/>
    <w:rsid w:val="006D7B22"/>
    <w:rsid w:val="006D7B2A"/>
    <w:rsid w:val="006E0F18"/>
    <w:rsid w:val="006E1771"/>
    <w:rsid w:val="006E1AA6"/>
    <w:rsid w:val="006E2523"/>
    <w:rsid w:val="006E2D14"/>
    <w:rsid w:val="006E390A"/>
    <w:rsid w:val="006E47A0"/>
    <w:rsid w:val="006E490D"/>
    <w:rsid w:val="006E4F52"/>
    <w:rsid w:val="006E6FAC"/>
    <w:rsid w:val="006E6FF7"/>
    <w:rsid w:val="006E79B2"/>
    <w:rsid w:val="006E79CE"/>
    <w:rsid w:val="006E7C8D"/>
    <w:rsid w:val="006E7D89"/>
    <w:rsid w:val="006F049C"/>
    <w:rsid w:val="006F1EB1"/>
    <w:rsid w:val="006F219A"/>
    <w:rsid w:val="006F2418"/>
    <w:rsid w:val="006F2438"/>
    <w:rsid w:val="006F2CE2"/>
    <w:rsid w:val="006F3103"/>
    <w:rsid w:val="006F33BD"/>
    <w:rsid w:val="006F44FB"/>
    <w:rsid w:val="006F4AE1"/>
    <w:rsid w:val="006F58C8"/>
    <w:rsid w:val="006F5D7C"/>
    <w:rsid w:val="006F6730"/>
    <w:rsid w:val="006F6763"/>
    <w:rsid w:val="006F6B1C"/>
    <w:rsid w:val="006F6C2E"/>
    <w:rsid w:val="006F6E09"/>
    <w:rsid w:val="006F6F85"/>
    <w:rsid w:val="00700383"/>
    <w:rsid w:val="007004EE"/>
    <w:rsid w:val="007005A4"/>
    <w:rsid w:val="007008DF"/>
    <w:rsid w:val="0070182C"/>
    <w:rsid w:val="00701CE9"/>
    <w:rsid w:val="0070209D"/>
    <w:rsid w:val="00703452"/>
    <w:rsid w:val="00704A21"/>
    <w:rsid w:val="00704CF4"/>
    <w:rsid w:val="0070508A"/>
    <w:rsid w:val="00705968"/>
    <w:rsid w:val="00705E60"/>
    <w:rsid w:val="00706020"/>
    <w:rsid w:val="0070697B"/>
    <w:rsid w:val="00706AFE"/>
    <w:rsid w:val="00706D39"/>
    <w:rsid w:val="00706D5C"/>
    <w:rsid w:val="007071CB"/>
    <w:rsid w:val="0070764E"/>
    <w:rsid w:val="00707D18"/>
    <w:rsid w:val="00707E4B"/>
    <w:rsid w:val="00710069"/>
    <w:rsid w:val="0071083A"/>
    <w:rsid w:val="00711151"/>
    <w:rsid w:val="0071171C"/>
    <w:rsid w:val="00711BB7"/>
    <w:rsid w:val="007120AF"/>
    <w:rsid w:val="007126D5"/>
    <w:rsid w:val="007128F4"/>
    <w:rsid w:val="00713646"/>
    <w:rsid w:val="00713829"/>
    <w:rsid w:val="00714289"/>
    <w:rsid w:val="00714315"/>
    <w:rsid w:val="0071434D"/>
    <w:rsid w:val="00714361"/>
    <w:rsid w:val="00714BFD"/>
    <w:rsid w:val="00714D3D"/>
    <w:rsid w:val="007158B8"/>
    <w:rsid w:val="00715AD2"/>
    <w:rsid w:val="007160F3"/>
    <w:rsid w:val="0071620B"/>
    <w:rsid w:val="007171B5"/>
    <w:rsid w:val="0071732E"/>
    <w:rsid w:val="00717B8E"/>
    <w:rsid w:val="00720BB6"/>
    <w:rsid w:val="007212A5"/>
    <w:rsid w:val="0072183B"/>
    <w:rsid w:val="0072226F"/>
    <w:rsid w:val="00722860"/>
    <w:rsid w:val="00722865"/>
    <w:rsid w:val="0072404A"/>
    <w:rsid w:val="00724163"/>
    <w:rsid w:val="0072416A"/>
    <w:rsid w:val="0072434F"/>
    <w:rsid w:val="00724DE8"/>
    <w:rsid w:val="00724EB8"/>
    <w:rsid w:val="0072528D"/>
    <w:rsid w:val="007255FD"/>
    <w:rsid w:val="007260BF"/>
    <w:rsid w:val="0072788E"/>
    <w:rsid w:val="00727952"/>
    <w:rsid w:val="00727CF6"/>
    <w:rsid w:val="00727D44"/>
    <w:rsid w:val="00727E30"/>
    <w:rsid w:val="00730629"/>
    <w:rsid w:val="00730DE0"/>
    <w:rsid w:val="00731125"/>
    <w:rsid w:val="00731446"/>
    <w:rsid w:val="00731DB5"/>
    <w:rsid w:val="007322C1"/>
    <w:rsid w:val="007329B7"/>
    <w:rsid w:val="0073309B"/>
    <w:rsid w:val="00733605"/>
    <w:rsid w:val="00733869"/>
    <w:rsid w:val="007338CB"/>
    <w:rsid w:val="00733AA1"/>
    <w:rsid w:val="00733CBC"/>
    <w:rsid w:val="00735359"/>
    <w:rsid w:val="00735835"/>
    <w:rsid w:val="0073590C"/>
    <w:rsid w:val="007360BE"/>
    <w:rsid w:val="00736800"/>
    <w:rsid w:val="0073715F"/>
    <w:rsid w:val="0073717F"/>
    <w:rsid w:val="00737372"/>
    <w:rsid w:val="00737B47"/>
    <w:rsid w:val="00737BF8"/>
    <w:rsid w:val="00737F7F"/>
    <w:rsid w:val="0074016E"/>
    <w:rsid w:val="00740BE3"/>
    <w:rsid w:val="00740C6C"/>
    <w:rsid w:val="00741BEB"/>
    <w:rsid w:val="00742BCC"/>
    <w:rsid w:val="00742DAF"/>
    <w:rsid w:val="00742E04"/>
    <w:rsid w:val="00743F12"/>
    <w:rsid w:val="00743FFB"/>
    <w:rsid w:val="0074422C"/>
    <w:rsid w:val="0074460D"/>
    <w:rsid w:val="0074472B"/>
    <w:rsid w:val="0074552C"/>
    <w:rsid w:val="00745DAA"/>
    <w:rsid w:val="007462D3"/>
    <w:rsid w:val="00746313"/>
    <w:rsid w:val="0074691B"/>
    <w:rsid w:val="00747771"/>
    <w:rsid w:val="007477B9"/>
    <w:rsid w:val="007502A3"/>
    <w:rsid w:val="00750AFB"/>
    <w:rsid w:val="00750B2A"/>
    <w:rsid w:val="007519C9"/>
    <w:rsid w:val="00751E84"/>
    <w:rsid w:val="007527BB"/>
    <w:rsid w:val="00753049"/>
    <w:rsid w:val="0075368D"/>
    <w:rsid w:val="00753B21"/>
    <w:rsid w:val="00753DA6"/>
    <w:rsid w:val="00753F1F"/>
    <w:rsid w:val="00754345"/>
    <w:rsid w:val="007544C0"/>
    <w:rsid w:val="00754B1A"/>
    <w:rsid w:val="00756905"/>
    <w:rsid w:val="0075764B"/>
    <w:rsid w:val="0075774B"/>
    <w:rsid w:val="00760461"/>
    <w:rsid w:val="007609B4"/>
    <w:rsid w:val="00761BA2"/>
    <w:rsid w:val="00761E7E"/>
    <w:rsid w:val="00762008"/>
    <w:rsid w:val="00762254"/>
    <w:rsid w:val="00762A45"/>
    <w:rsid w:val="007632A8"/>
    <w:rsid w:val="00763591"/>
    <w:rsid w:val="0076372D"/>
    <w:rsid w:val="00763953"/>
    <w:rsid w:val="00764747"/>
    <w:rsid w:val="00764A62"/>
    <w:rsid w:val="00765672"/>
    <w:rsid w:val="00765B4A"/>
    <w:rsid w:val="00765E35"/>
    <w:rsid w:val="00765F5C"/>
    <w:rsid w:val="00766FC5"/>
    <w:rsid w:val="00767377"/>
    <w:rsid w:val="007673DF"/>
    <w:rsid w:val="00767711"/>
    <w:rsid w:val="0077087B"/>
    <w:rsid w:val="007709E1"/>
    <w:rsid w:val="00770E83"/>
    <w:rsid w:val="00771198"/>
    <w:rsid w:val="00771B4F"/>
    <w:rsid w:val="0077223B"/>
    <w:rsid w:val="007723D0"/>
    <w:rsid w:val="0077257E"/>
    <w:rsid w:val="00773343"/>
    <w:rsid w:val="00773EC7"/>
    <w:rsid w:val="007749BB"/>
    <w:rsid w:val="00774C6C"/>
    <w:rsid w:val="00775140"/>
    <w:rsid w:val="00776A89"/>
    <w:rsid w:val="00777154"/>
    <w:rsid w:val="00777684"/>
    <w:rsid w:val="00777E99"/>
    <w:rsid w:val="0078041A"/>
    <w:rsid w:val="00780FCA"/>
    <w:rsid w:val="007812C4"/>
    <w:rsid w:val="007814D9"/>
    <w:rsid w:val="00782D3C"/>
    <w:rsid w:val="0078332A"/>
    <w:rsid w:val="007834CD"/>
    <w:rsid w:val="00783540"/>
    <w:rsid w:val="0078362C"/>
    <w:rsid w:val="0078364F"/>
    <w:rsid w:val="0078418C"/>
    <w:rsid w:val="00784527"/>
    <w:rsid w:val="007854B2"/>
    <w:rsid w:val="007859AE"/>
    <w:rsid w:val="00785D7B"/>
    <w:rsid w:val="00786498"/>
    <w:rsid w:val="00787661"/>
    <w:rsid w:val="00787961"/>
    <w:rsid w:val="00787C3C"/>
    <w:rsid w:val="00787EE3"/>
    <w:rsid w:val="00790145"/>
    <w:rsid w:val="007904A1"/>
    <w:rsid w:val="00790CAC"/>
    <w:rsid w:val="00791196"/>
    <w:rsid w:val="00791377"/>
    <w:rsid w:val="0079226E"/>
    <w:rsid w:val="007927A1"/>
    <w:rsid w:val="00792C9F"/>
    <w:rsid w:val="0079339D"/>
    <w:rsid w:val="0079445C"/>
    <w:rsid w:val="0079499E"/>
    <w:rsid w:val="00794BC5"/>
    <w:rsid w:val="007951D9"/>
    <w:rsid w:val="0079591F"/>
    <w:rsid w:val="00795AF6"/>
    <w:rsid w:val="00795F9B"/>
    <w:rsid w:val="00796797"/>
    <w:rsid w:val="00797546"/>
    <w:rsid w:val="007976CA"/>
    <w:rsid w:val="007A0B67"/>
    <w:rsid w:val="007A0EF2"/>
    <w:rsid w:val="007A1C49"/>
    <w:rsid w:val="007A3177"/>
    <w:rsid w:val="007A37A0"/>
    <w:rsid w:val="007A3B93"/>
    <w:rsid w:val="007A3DFD"/>
    <w:rsid w:val="007A3ECD"/>
    <w:rsid w:val="007A3EE2"/>
    <w:rsid w:val="007A3EEA"/>
    <w:rsid w:val="007A43F9"/>
    <w:rsid w:val="007A4BC0"/>
    <w:rsid w:val="007A5334"/>
    <w:rsid w:val="007A5749"/>
    <w:rsid w:val="007A5788"/>
    <w:rsid w:val="007A5901"/>
    <w:rsid w:val="007A5AC1"/>
    <w:rsid w:val="007A5B3E"/>
    <w:rsid w:val="007A61B8"/>
    <w:rsid w:val="007A61D3"/>
    <w:rsid w:val="007A6598"/>
    <w:rsid w:val="007A665E"/>
    <w:rsid w:val="007A67A9"/>
    <w:rsid w:val="007A7249"/>
    <w:rsid w:val="007A7394"/>
    <w:rsid w:val="007A7711"/>
    <w:rsid w:val="007A794F"/>
    <w:rsid w:val="007A7F9C"/>
    <w:rsid w:val="007B0DC1"/>
    <w:rsid w:val="007B0E17"/>
    <w:rsid w:val="007B1821"/>
    <w:rsid w:val="007B1A72"/>
    <w:rsid w:val="007B21D2"/>
    <w:rsid w:val="007B244D"/>
    <w:rsid w:val="007B34A5"/>
    <w:rsid w:val="007B3946"/>
    <w:rsid w:val="007B3CBB"/>
    <w:rsid w:val="007B3D78"/>
    <w:rsid w:val="007B4C74"/>
    <w:rsid w:val="007B53B8"/>
    <w:rsid w:val="007B56E2"/>
    <w:rsid w:val="007B583F"/>
    <w:rsid w:val="007B5A62"/>
    <w:rsid w:val="007B5BC2"/>
    <w:rsid w:val="007B6044"/>
    <w:rsid w:val="007B677A"/>
    <w:rsid w:val="007B6814"/>
    <w:rsid w:val="007B6904"/>
    <w:rsid w:val="007B705C"/>
    <w:rsid w:val="007B7124"/>
    <w:rsid w:val="007B7CCF"/>
    <w:rsid w:val="007C0227"/>
    <w:rsid w:val="007C10C8"/>
    <w:rsid w:val="007C2400"/>
    <w:rsid w:val="007C285D"/>
    <w:rsid w:val="007C297D"/>
    <w:rsid w:val="007C3074"/>
    <w:rsid w:val="007C30C3"/>
    <w:rsid w:val="007C36AC"/>
    <w:rsid w:val="007C453B"/>
    <w:rsid w:val="007C4678"/>
    <w:rsid w:val="007C4B1A"/>
    <w:rsid w:val="007C4CE9"/>
    <w:rsid w:val="007C587E"/>
    <w:rsid w:val="007C5C77"/>
    <w:rsid w:val="007C5E27"/>
    <w:rsid w:val="007C623C"/>
    <w:rsid w:val="007C65EA"/>
    <w:rsid w:val="007C68FA"/>
    <w:rsid w:val="007C6A20"/>
    <w:rsid w:val="007C6A5C"/>
    <w:rsid w:val="007C6AD6"/>
    <w:rsid w:val="007C71F3"/>
    <w:rsid w:val="007C7204"/>
    <w:rsid w:val="007C74EA"/>
    <w:rsid w:val="007C7788"/>
    <w:rsid w:val="007D0100"/>
    <w:rsid w:val="007D0A72"/>
    <w:rsid w:val="007D14E3"/>
    <w:rsid w:val="007D1C24"/>
    <w:rsid w:val="007D20A3"/>
    <w:rsid w:val="007D2863"/>
    <w:rsid w:val="007D2F48"/>
    <w:rsid w:val="007D3074"/>
    <w:rsid w:val="007D350F"/>
    <w:rsid w:val="007D3F02"/>
    <w:rsid w:val="007D4AA6"/>
    <w:rsid w:val="007D53AD"/>
    <w:rsid w:val="007D545A"/>
    <w:rsid w:val="007D5C91"/>
    <w:rsid w:val="007D5DA6"/>
    <w:rsid w:val="007D5ED3"/>
    <w:rsid w:val="007D6C79"/>
    <w:rsid w:val="007D71DE"/>
    <w:rsid w:val="007E1449"/>
    <w:rsid w:val="007E1691"/>
    <w:rsid w:val="007E18A2"/>
    <w:rsid w:val="007E21D7"/>
    <w:rsid w:val="007E2625"/>
    <w:rsid w:val="007E2EFB"/>
    <w:rsid w:val="007E3075"/>
    <w:rsid w:val="007E36A8"/>
    <w:rsid w:val="007E3C7F"/>
    <w:rsid w:val="007E427C"/>
    <w:rsid w:val="007E46BF"/>
    <w:rsid w:val="007E4949"/>
    <w:rsid w:val="007E4F40"/>
    <w:rsid w:val="007E53CE"/>
    <w:rsid w:val="007E54A7"/>
    <w:rsid w:val="007E57E7"/>
    <w:rsid w:val="007E59B7"/>
    <w:rsid w:val="007E5AB3"/>
    <w:rsid w:val="007E5D9E"/>
    <w:rsid w:val="007E67CD"/>
    <w:rsid w:val="007E764D"/>
    <w:rsid w:val="007E7A09"/>
    <w:rsid w:val="007F02A5"/>
    <w:rsid w:val="007F09B2"/>
    <w:rsid w:val="007F0EDD"/>
    <w:rsid w:val="007F1114"/>
    <w:rsid w:val="007F1311"/>
    <w:rsid w:val="007F16ED"/>
    <w:rsid w:val="007F1BA5"/>
    <w:rsid w:val="007F2039"/>
    <w:rsid w:val="007F20BF"/>
    <w:rsid w:val="007F2417"/>
    <w:rsid w:val="007F270F"/>
    <w:rsid w:val="007F2CA0"/>
    <w:rsid w:val="007F3130"/>
    <w:rsid w:val="007F3783"/>
    <w:rsid w:val="007F3BCF"/>
    <w:rsid w:val="007F3E7B"/>
    <w:rsid w:val="007F3F55"/>
    <w:rsid w:val="007F3FF2"/>
    <w:rsid w:val="007F40B6"/>
    <w:rsid w:val="007F49E8"/>
    <w:rsid w:val="007F4FF6"/>
    <w:rsid w:val="007F52B8"/>
    <w:rsid w:val="007F55DF"/>
    <w:rsid w:val="007F579C"/>
    <w:rsid w:val="007F66C1"/>
    <w:rsid w:val="007F6AD9"/>
    <w:rsid w:val="007F6AF4"/>
    <w:rsid w:val="007F7A3F"/>
    <w:rsid w:val="007F7B62"/>
    <w:rsid w:val="008005A6"/>
    <w:rsid w:val="00801E4A"/>
    <w:rsid w:val="00802227"/>
    <w:rsid w:val="00802B76"/>
    <w:rsid w:val="00803D78"/>
    <w:rsid w:val="008043A1"/>
    <w:rsid w:val="00804673"/>
    <w:rsid w:val="00804AF0"/>
    <w:rsid w:val="00805272"/>
    <w:rsid w:val="00805694"/>
    <w:rsid w:val="00805CF1"/>
    <w:rsid w:val="00805D66"/>
    <w:rsid w:val="00805F82"/>
    <w:rsid w:val="00806755"/>
    <w:rsid w:val="00806802"/>
    <w:rsid w:val="008069FF"/>
    <w:rsid w:val="008102D6"/>
    <w:rsid w:val="008118C4"/>
    <w:rsid w:val="008123F4"/>
    <w:rsid w:val="00812867"/>
    <w:rsid w:val="00812A15"/>
    <w:rsid w:val="00812E71"/>
    <w:rsid w:val="008149A8"/>
    <w:rsid w:val="00815929"/>
    <w:rsid w:val="00815B33"/>
    <w:rsid w:val="00815C45"/>
    <w:rsid w:val="00815D6C"/>
    <w:rsid w:val="00816E2E"/>
    <w:rsid w:val="00817649"/>
    <w:rsid w:val="0081764B"/>
    <w:rsid w:val="008176F4"/>
    <w:rsid w:val="00817F03"/>
    <w:rsid w:val="0082039F"/>
    <w:rsid w:val="00820742"/>
    <w:rsid w:val="00820C75"/>
    <w:rsid w:val="008210D6"/>
    <w:rsid w:val="008219C8"/>
    <w:rsid w:val="00821CA7"/>
    <w:rsid w:val="008224C5"/>
    <w:rsid w:val="00822DED"/>
    <w:rsid w:val="0082340D"/>
    <w:rsid w:val="00823774"/>
    <w:rsid w:val="00823D38"/>
    <w:rsid w:val="00823FF1"/>
    <w:rsid w:val="0082417D"/>
    <w:rsid w:val="0082496A"/>
    <w:rsid w:val="0082662E"/>
    <w:rsid w:val="00826D7D"/>
    <w:rsid w:val="0082753E"/>
    <w:rsid w:val="0082783B"/>
    <w:rsid w:val="00827A90"/>
    <w:rsid w:val="00830306"/>
    <w:rsid w:val="0083045A"/>
    <w:rsid w:val="00830E5A"/>
    <w:rsid w:val="00831138"/>
    <w:rsid w:val="00831229"/>
    <w:rsid w:val="00831F20"/>
    <w:rsid w:val="008323AE"/>
    <w:rsid w:val="008326E1"/>
    <w:rsid w:val="00832733"/>
    <w:rsid w:val="008328E0"/>
    <w:rsid w:val="00832B75"/>
    <w:rsid w:val="00832D2E"/>
    <w:rsid w:val="00833258"/>
    <w:rsid w:val="00833680"/>
    <w:rsid w:val="00835858"/>
    <w:rsid w:val="00835B8D"/>
    <w:rsid w:val="00836427"/>
    <w:rsid w:val="0083701B"/>
    <w:rsid w:val="00837058"/>
    <w:rsid w:val="0083738E"/>
    <w:rsid w:val="008377EC"/>
    <w:rsid w:val="00837824"/>
    <w:rsid w:val="00837B11"/>
    <w:rsid w:val="00837CD0"/>
    <w:rsid w:val="0084029C"/>
    <w:rsid w:val="00840822"/>
    <w:rsid w:val="00840EDF"/>
    <w:rsid w:val="00842D80"/>
    <w:rsid w:val="00842F28"/>
    <w:rsid w:val="00842FEE"/>
    <w:rsid w:val="00843526"/>
    <w:rsid w:val="00843789"/>
    <w:rsid w:val="008439B7"/>
    <w:rsid w:val="00844694"/>
    <w:rsid w:val="0084505A"/>
    <w:rsid w:val="008450C9"/>
    <w:rsid w:val="008451D5"/>
    <w:rsid w:val="00845387"/>
    <w:rsid w:val="008455FB"/>
    <w:rsid w:val="00845693"/>
    <w:rsid w:val="008459B1"/>
    <w:rsid w:val="00845E8F"/>
    <w:rsid w:val="00845ED7"/>
    <w:rsid w:val="00846EA7"/>
    <w:rsid w:val="008473D5"/>
    <w:rsid w:val="008474C4"/>
    <w:rsid w:val="00847823"/>
    <w:rsid w:val="00847B74"/>
    <w:rsid w:val="00850148"/>
    <w:rsid w:val="008503A5"/>
    <w:rsid w:val="008504FA"/>
    <w:rsid w:val="00850D36"/>
    <w:rsid w:val="0085113A"/>
    <w:rsid w:val="008513D3"/>
    <w:rsid w:val="008520F7"/>
    <w:rsid w:val="008525EC"/>
    <w:rsid w:val="00852797"/>
    <w:rsid w:val="00852DE8"/>
    <w:rsid w:val="00853698"/>
    <w:rsid w:val="00853AB4"/>
    <w:rsid w:val="00853C43"/>
    <w:rsid w:val="00853C69"/>
    <w:rsid w:val="00854973"/>
    <w:rsid w:val="00854D42"/>
    <w:rsid w:val="00854DA1"/>
    <w:rsid w:val="00854ED5"/>
    <w:rsid w:val="008553EF"/>
    <w:rsid w:val="00855C48"/>
    <w:rsid w:val="00855DA0"/>
    <w:rsid w:val="00855EB2"/>
    <w:rsid w:val="00856171"/>
    <w:rsid w:val="00856DC0"/>
    <w:rsid w:val="0085741E"/>
    <w:rsid w:val="00857467"/>
    <w:rsid w:val="008575F0"/>
    <w:rsid w:val="0085760F"/>
    <w:rsid w:val="0086063C"/>
    <w:rsid w:val="00860A0D"/>
    <w:rsid w:val="00860C60"/>
    <w:rsid w:val="008610FB"/>
    <w:rsid w:val="008613CF"/>
    <w:rsid w:val="00861B46"/>
    <w:rsid w:val="00862910"/>
    <w:rsid w:val="00862AB0"/>
    <w:rsid w:val="00862D29"/>
    <w:rsid w:val="00863BF6"/>
    <w:rsid w:val="008641A1"/>
    <w:rsid w:val="0086461D"/>
    <w:rsid w:val="00864BCE"/>
    <w:rsid w:val="00864C5C"/>
    <w:rsid w:val="00864FD4"/>
    <w:rsid w:val="00866692"/>
    <w:rsid w:val="00867AC4"/>
    <w:rsid w:val="0087072A"/>
    <w:rsid w:val="00870C91"/>
    <w:rsid w:val="00871BB1"/>
    <w:rsid w:val="0087209D"/>
    <w:rsid w:val="00872297"/>
    <w:rsid w:val="008724DE"/>
    <w:rsid w:val="00874345"/>
    <w:rsid w:val="008745D0"/>
    <w:rsid w:val="00874B2C"/>
    <w:rsid w:val="00874B3F"/>
    <w:rsid w:val="00874CA4"/>
    <w:rsid w:val="0087535F"/>
    <w:rsid w:val="008758B9"/>
    <w:rsid w:val="00875BAF"/>
    <w:rsid w:val="008768AE"/>
    <w:rsid w:val="00876A5A"/>
    <w:rsid w:val="00876EC5"/>
    <w:rsid w:val="008775DA"/>
    <w:rsid w:val="00877959"/>
    <w:rsid w:val="00877FCE"/>
    <w:rsid w:val="008802AC"/>
    <w:rsid w:val="008806F9"/>
    <w:rsid w:val="0088098A"/>
    <w:rsid w:val="00880D4A"/>
    <w:rsid w:val="00881682"/>
    <w:rsid w:val="0088181F"/>
    <w:rsid w:val="00881BD6"/>
    <w:rsid w:val="00882375"/>
    <w:rsid w:val="008829AE"/>
    <w:rsid w:val="00882F86"/>
    <w:rsid w:val="008832F2"/>
    <w:rsid w:val="008835FD"/>
    <w:rsid w:val="008839DE"/>
    <w:rsid w:val="008846BA"/>
    <w:rsid w:val="0088509F"/>
    <w:rsid w:val="0088543A"/>
    <w:rsid w:val="00885D50"/>
    <w:rsid w:val="00886DBB"/>
    <w:rsid w:val="0088723F"/>
    <w:rsid w:val="00887280"/>
    <w:rsid w:val="008877A9"/>
    <w:rsid w:val="008903CA"/>
    <w:rsid w:val="00890ED2"/>
    <w:rsid w:val="00890F39"/>
    <w:rsid w:val="008912A1"/>
    <w:rsid w:val="008923F4"/>
    <w:rsid w:val="0089268A"/>
    <w:rsid w:val="008926CA"/>
    <w:rsid w:val="008933BE"/>
    <w:rsid w:val="00893AE7"/>
    <w:rsid w:val="00894291"/>
    <w:rsid w:val="00894410"/>
    <w:rsid w:val="008949F6"/>
    <w:rsid w:val="00894C64"/>
    <w:rsid w:val="00896756"/>
    <w:rsid w:val="008967F5"/>
    <w:rsid w:val="008968B5"/>
    <w:rsid w:val="0089725C"/>
    <w:rsid w:val="00897637"/>
    <w:rsid w:val="008977AC"/>
    <w:rsid w:val="00897825"/>
    <w:rsid w:val="00897836"/>
    <w:rsid w:val="0089799B"/>
    <w:rsid w:val="00897B51"/>
    <w:rsid w:val="008A0498"/>
    <w:rsid w:val="008A054D"/>
    <w:rsid w:val="008A19E8"/>
    <w:rsid w:val="008A1B8E"/>
    <w:rsid w:val="008A1F37"/>
    <w:rsid w:val="008A2229"/>
    <w:rsid w:val="008A26BF"/>
    <w:rsid w:val="008A2E59"/>
    <w:rsid w:val="008A2F60"/>
    <w:rsid w:val="008A3FEA"/>
    <w:rsid w:val="008A4628"/>
    <w:rsid w:val="008A4A0C"/>
    <w:rsid w:val="008A4ED2"/>
    <w:rsid w:val="008A55F6"/>
    <w:rsid w:val="008A5FC6"/>
    <w:rsid w:val="008A6AEC"/>
    <w:rsid w:val="008A6C8F"/>
    <w:rsid w:val="008A7DD5"/>
    <w:rsid w:val="008A7FD2"/>
    <w:rsid w:val="008B06C1"/>
    <w:rsid w:val="008B08B7"/>
    <w:rsid w:val="008B0CB5"/>
    <w:rsid w:val="008B0EC6"/>
    <w:rsid w:val="008B10FD"/>
    <w:rsid w:val="008B12D8"/>
    <w:rsid w:val="008B1301"/>
    <w:rsid w:val="008B1691"/>
    <w:rsid w:val="008B1C79"/>
    <w:rsid w:val="008B1F5D"/>
    <w:rsid w:val="008B1F5F"/>
    <w:rsid w:val="008B27C5"/>
    <w:rsid w:val="008B2D87"/>
    <w:rsid w:val="008B3A52"/>
    <w:rsid w:val="008B3F31"/>
    <w:rsid w:val="008B46E1"/>
    <w:rsid w:val="008B4F9E"/>
    <w:rsid w:val="008B5A79"/>
    <w:rsid w:val="008B5BB2"/>
    <w:rsid w:val="008B5C62"/>
    <w:rsid w:val="008B61E1"/>
    <w:rsid w:val="008B6527"/>
    <w:rsid w:val="008B6857"/>
    <w:rsid w:val="008B7222"/>
    <w:rsid w:val="008C04BE"/>
    <w:rsid w:val="008C0790"/>
    <w:rsid w:val="008C09BA"/>
    <w:rsid w:val="008C12FC"/>
    <w:rsid w:val="008C1488"/>
    <w:rsid w:val="008C17C7"/>
    <w:rsid w:val="008C1AB3"/>
    <w:rsid w:val="008C1CD6"/>
    <w:rsid w:val="008C2030"/>
    <w:rsid w:val="008C263C"/>
    <w:rsid w:val="008C28A3"/>
    <w:rsid w:val="008C29A8"/>
    <w:rsid w:val="008C2A17"/>
    <w:rsid w:val="008C38B1"/>
    <w:rsid w:val="008C46E7"/>
    <w:rsid w:val="008C569F"/>
    <w:rsid w:val="008C6342"/>
    <w:rsid w:val="008C6EEE"/>
    <w:rsid w:val="008C743E"/>
    <w:rsid w:val="008C784C"/>
    <w:rsid w:val="008C7B31"/>
    <w:rsid w:val="008D0022"/>
    <w:rsid w:val="008D0C1F"/>
    <w:rsid w:val="008D13DB"/>
    <w:rsid w:val="008D195A"/>
    <w:rsid w:val="008D1FC2"/>
    <w:rsid w:val="008D2CF5"/>
    <w:rsid w:val="008D2FD0"/>
    <w:rsid w:val="008D3126"/>
    <w:rsid w:val="008D36AA"/>
    <w:rsid w:val="008D3B0B"/>
    <w:rsid w:val="008D3B8A"/>
    <w:rsid w:val="008D3D55"/>
    <w:rsid w:val="008D3FC0"/>
    <w:rsid w:val="008D46B3"/>
    <w:rsid w:val="008D5AA3"/>
    <w:rsid w:val="008D61BB"/>
    <w:rsid w:val="008D64A2"/>
    <w:rsid w:val="008D6995"/>
    <w:rsid w:val="008D6E90"/>
    <w:rsid w:val="008D70FF"/>
    <w:rsid w:val="008D79C7"/>
    <w:rsid w:val="008D7C4C"/>
    <w:rsid w:val="008D7DA2"/>
    <w:rsid w:val="008D7F9C"/>
    <w:rsid w:val="008E01A1"/>
    <w:rsid w:val="008E0210"/>
    <w:rsid w:val="008E0FA5"/>
    <w:rsid w:val="008E2A9F"/>
    <w:rsid w:val="008E4D58"/>
    <w:rsid w:val="008E4D9F"/>
    <w:rsid w:val="008E4F2F"/>
    <w:rsid w:val="008E5456"/>
    <w:rsid w:val="008E5668"/>
    <w:rsid w:val="008E5C5D"/>
    <w:rsid w:val="008E5EC7"/>
    <w:rsid w:val="008E62AF"/>
    <w:rsid w:val="008E639F"/>
    <w:rsid w:val="008E685A"/>
    <w:rsid w:val="008E68D4"/>
    <w:rsid w:val="008E6EA3"/>
    <w:rsid w:val="008E6EF3"/>
    <w:rsid w:val="008E7675"/>
    <w:rsid w:val="008E78DB"/>
    <w:rsid w:val="008E79C0"/>
    <w:rsid w:val="008F04ED"/>
    <w:rsid w:val="008F0C6E"/>
    <w:rsid w:val="008F0D90"/>
    <w:rsid w:val="008F13C4"/>
    <w:rsid w:val="008F18BC"/>
    <w:rsid w:val="008F1DC8"/>
    <w:rsid w:val="008F2728"/>
    <w:rsid w:val="008F29A7"/>
    <w:rsid w:val="008F2CA8"/>
    <w:rsid w:val="008F2E30"/>
    <w:rsid w:val="008F3410"/>
    <w:rsid w:val="008F3496"/>
    <w:rsid w:val="008F365B"/>
    <w:rsid w:val="008F3968"/>
    <w:rsid w:val="008F3CD8"/>
    <w:rsid w:val="008F3D94"/>
    <w:rsid w:val="008F4B8F"/>
    <w:rsid w:val="008F6CBB"/>
    <w:rsid w:val="008F7BF0"/>
    <w:rsid w:val="009005A8"/>
    <w:rsid w:val="00900A92"/>
    <w:rsid w:val="00900B33"/>
    <w:rsid w:val="009020A5"/>
    <w:rsid w:val="00902917"/>
    <w:rsid w:val="009031A6"/>
    <w:rsid w:val="009046EE"/>
    <w:rsid w:val="0090548F"/>
    <w:rsid w:val="00905B01"/>
    <w:rsid w:val="009062D1"/>
    <w:rsid w:val="009070BC"/>
    <w:rsid w:val="00907296"/>
    <w:rsid w:val="0090736F"/>
    <w:rsid w:val="00907A2F"/>
    <w:rsid w:val="0091009E"/>
    <w:rsid w:val="0091035D"/>
    <w:rsid w:val="009106B2"/>
    <w:rsid w:val="00910AAA"/>
    <w:rsid w:val="00910FBF"/>
    <w:rsid w:val="009111B5"/>
    <w:rsid w:val="00911DF6"/>
    <w:rsid w:val="009121A6"/>
    <w:rsid w:val="0091236D"/>
    <w:rsid w:val="009123F4"/>
    <w:rsid w:val="00912EC7"/>
    <w:rsid w:val="00912F11"/>
    <w:rsid w:val="00913081"/>
    <w:rsid w:val="00913627"/>
    <w:rsid w:val="009138F4"/>
    <w:rsid w:val="00913A1E"/>
    <w:rsid w:val="00913A99"/>
    <w:rsid w:val="0091428D"/>
    <w:rsid w:val="009164C6"/>
    <w:rsid w:val="009164F5"/>
    <w:rsid w:val="00916865"/>
    <w:rsid w:val="0091759D"/>
    <w:rsid w:val="00920307"/>
    <w:rsid w:val="00920FE7"/>
    <w:rsid w:val="00921071"/>
    <w:rsid w:val="009211E3"/>
    <w:rsid w:val="00921B3F"/>
    <w:rsid w:val="0092238D"/>
    <w:rsid w:val="0092263B"/>
    <w:rsid w:val="00922B5D"/>
    <w:rsid w:val="00923869"/>
    <w:rsid w:val="00923A91"/>
    <w:rsid w:val="00923D63"/>
    <w:rsid w:val="0092408E"/>
    <w:rsid w:val="00924175"/>
    <w:rsid w:val="00924223"/>
    <w:rsid w:val="00924810"/>
    <w:rsid w:val="00924982"/>
    <w:rsid w:val="009255C6"/>
    <w:rsid w:val="0092641E"/>
    <w:rsid w:val="00926818"/>
    <w:rsid w:val="00926CCD"/>
    <w:rsid w:val="0092707A"/>
    <w:rsid w:val="0092722A"/>
    <w:rsid w:val="00927269"/>
    <w:rsid w:val="0092749B"/>
    <w:rsid w:val="00927C93"/>
    <w:rsid w:val="009300FA"/>
    <w:rsid w:val="0093036E"/>
    <w:rsid w:val="009306CC"/>
    <w:rsid w:val="009308D5"/>
    <w:rsid w:val="00930A88"/>
    <w:rsid w:val="009313C7"/>
    <w:rsid w:val="00931538"/>
    <w:rsid w:val="00931730"/>
    <w:rsid w:val="00932767"/>
    <w:rsid w:val="009335EB"/>
    <w:rsid w:val="00933B9A"/>
    <w:rsid w:val="00934217"/>
    <w:rsid w:val="009346FF"/>
    <w:rsid w:val="00934DB8"/>
    <w:rsid w:val="0093503F"/>
    <w:rsid w:val="009351D3"/>
    <w:rsid w:val="00935B0E"/>
    <w:rsid w:val="00935B9E"/>
    <w:rsid w:val="00935E76"/>
    <w:rsid w:val="00936455"/>
    <w:rsid w:val="0093658E"/>
    <w:rsid w:val="00936C97"/>
    <w:rsid w:val="0093729C"/>
    <w:rsid w:val="009372AA"/>
    <w:rsid w:val="00937823"/>
    <w:rsid w:val="00937CBE"/>
    <w:rsid w:val="0094034E"/>
    <w:rsid w:val="0094054A"/>
    <w:rsid w:val="00940C82"/>
    <w:rsid w:val="00940FE3"/>
    <w:rsid w:val="009416A7"/>
    <w:rsid w:val="00941A0F"/>
    <w:rsid w:val="00941CC9"/>
    <w:rsid w:val="00941DD2"/>
    <w:rsid w:val="00941DFB"/>
    <w:rsid w:val="009420B3"/>
    <w:rsid w:val="00942D0A"/>
    <w:rsid w:val="009435F3"/>
    <w:rsid w:val="00943DB7"/>
    <w:rsid w:val="0094411B"/>
    <w:rsid w:val="00944301"/>
    <w:rsid w:val="00944870"/>
    <w:rsid w:val="00944EF7"/>
    <w:rsid w:val="009452D4"/>
    <w:rsid w:val="009457A3"/>
    <w:rsid w:val="00946316"/>
    <w:rsid w:val="009465CB"/>
    <w:rsid w:val="009466DC"/>
    <w:rsid w:val="00946BE7"/>
    <w:rsid w:val="00946DFE"/>
    <w:rsid w:val="00946EB0"/>
    <w:rsid w:val="0094727C"/>
    <w:rsid w:val="0094733E"/>
    <w:rsid w:val="0094751B"/>
    <w:rsid w:val="00947D53"/>
    <w:rsid w:val="00950265"/>
    <w:rsid w:val="00950BAF"/>
    <w:rsid w:val="0095105D"/>
    <w:rsid w:val="00951195"/>
    <w:rsid w:val="00951C1F"/>
    <w:rsid w:val="00951D51"/>
    <w:rsid w:val="00951F99"/>
    <w:rsid w:val="0095286C"/>
    <w:rsid w:val="00952F8E"/>
    <w:rsid w:val="009530C3"/>
    <w:rsid w:val="00954B36"/>
    <w:rsid w:val="00955305"/>
    <w:rsid w:val="00955316"/>
    <w:rsid w:val="00955390"/>
    <w:rsid w:val="00955706"/>
    <w:rsid w:val="00955796"/>
    <w:rsid w:val="00956694"/>
    <w:rsid w:val="00956F08"/>
    <w:rsid w:val="00957171"/>
    <w:rsid w:val="0095776A"/>
    <w:rsid w:val="00957834"/>
    <w:rsid w:val="009579FB"/>
    <w:rsid w:val="00957B25"/>
    <w:rsid w:val="00960141"/>
    <w:rsid w:val="00960231"/>
    <w:rsid w:val="00960EE1"/>
    <w:rsid w:val="00962380"/>
    <w:rsid w:val="009625BA"/>
    <w:rsid w:val="00962731"/>
    <w:rsid w:val="00962DB1"/>
    <w:rsid w:val="00963566"/>
    <w:rsid w:val="009636EC"/>
    <w:rsid w:val="00963D41"/>
    <w:rsid w:val="00963D68"/>
    <w:rsid w:val="00963E11"/>
    <w:rsid w:val="00964DA5"/>
    <w:rsid w:val="009650A9"/>
    <w:rsid w:val="0096540D"/>
    <w:rsid w:val="00965CAF"/>
    <w:rsid w:val="00965E73"/>
    <w:rsid w:val="00965ECE"/>
    <w:rsid w:val="00965FE1"/>
    <w:rsid w:val="00966A38"/>
    <w:rsid w:val="00966F76"/>
    <w:rsid w:val="009673B0"/>
    <w:rsid w:val="009674FD"/>
    <w:rsid w:val="00967733"/>
    <w:rsid w:val="009679C6"/>
    <w:rsid w:val="009705D5"/>
    <w:rsid w:val="00971289"/>
    <w:rsid w:val="00972614"/>
    <w:rsid w:val="009727A3"/>
    <w:rsid w:val="00972C71"/>
    <w:rsid w:val="00972D53"/>
    <w:rsid w:val="00972D60"/>
    <w:rsid w:val="009731A2"/>
    <w:rsid w:val="00973506"/>
    <w:rsid w:val="009735DF"/>
    <w:rsid w:val="0097434B"/>
    <w:rsid w:val="00974D6D"/>
    <w:rsid w:val="0097516F"/>
    <w:rsid w:val="00975825"/>
    <w:rsid w:val="00975E49"/>
    <w:rsid w:val="0097757D"/>
    <w:rsid w:val="00977A09"/>
    <w:rsid w:val="009800ED"/>
    <w:rsid w:val="00980414"/>
    <w:rsid w:val="00980641"/>
    <w:rsid w:val="00980AE8"/>
    <w:rsid w:val="00981099"/>
    <w:rsid w:val="0098125D"/>
    <w:rsid w:val="00981993"/>
    <w:rsid w:val="00981BF1"/>
    <w:rsid w:val="00981EA3"/>
    <w:rsid w:val="00982112"/>
    <w:rsid w:val="00982321"/>
    <w:rsid w:val="00982A84"/>
    <w:rsid w:val="00982C35"/>
    <w:rsid w:val="00982E6D"/>
    <w:rsid w:val="00983006"/>
    <w:rsid w:val="009830BD"/>
    <w:rsid w:val="00984DA1"/>
    <w:rsid w:val="00984DFD"/>
    <w:rsid w:val="00985498"/>
    <w:rsid w:val="009862C5"/>
    <w:rsid w:val="0098676F"/>
    <w:rsid w:val="00986A8C"/>
    <w:rsid w:val="00987545"/>
    <w:rsid w:val="00987BA2"/>
    <w:rsid w:val="00987C7F"/>
    <w:rsid w:val="00987D0E"/>
    <w:rsid w:val="00987D97"/>
    <w:rsid w:val="00990397"/>
    <w:rsid w:val="00990659"/>
    <w:rsid w:val="00990A58"/>
    <w:rsid w:val="00990E62"/>
    <w:rsid w:val="00990E7C"/>
    <w:rsid w:val="009911A4"/>
    <w:rsid w:val="00991702"/>
    <w:rsid w:val="00991824"/>
    <w:rsid w:val="00991FBB"/>
    <w:rsid w:val="0099201E"/>
    <w:rsid w:val="009922A6"/>
    <w:rsid w:val="00992717"/>
    <w:rsid w:val="00993A01"/>
    <w:rsid w:val="00994341"/>
    <w:rsid w:val="00994DFF"/>
    <w:rsid w:val="00995824"/>
    <w:rsid w:val="009962AB"/>
    <w:rsid w:val="009964B6"/>
    <w:rsid w:val="00996EA6"/>
    <w:rsid w:val="009976CC"/>
    <w:rsid w:val="00997B17"/>
    <w:rsid w:val="009A03C2"/>
    <w:rsid w:val="009A0533"/>
    <w:rsid w:val="009A06D4"/>
    <w:rsid w:val="009A0E07"/>
    <w:rsid w:val="009A24B7"/>
    <w:rsid w:val="009A26D0"/>
    <w:rsid w:val="009A2741"/>
    <w:rsid w:val="009A27FF"/>
    <w:rsid w:val="009A2EA2"/>
    <w:rsid w:val="009A2F89"/>
    <w:rsid w:val="009A33B6"/>
    <w:rsid w:val="009A3500"/>
    <w:rsid w:val="009A36D9"/>
    <w:rsid w:val="009A3791"/>
    <w:rsid w:val="009A39B0"/>
    <w:rsid w:val="009A3B50"/>
    <w:rsid w:val="009A3B5A"/>
    <w:rsid w:val="009A4251"/>
    <w:rsid w:val="009A48FF"/>
    <w:rsid w:val="009A4A25"/>
    <w:rsid w:val="009A4E29"/>
    <w:rsid w:val="009A4F88"/>
    <w:rsid w:val="009A500B"/>
    <w:rsid w:val="009A514E"/>
    <w:rsid w:val="009A57C7"/>
    <w:rsid w:val="009A582E"/>
    <w:rsid w:val="009A5F06"/>
    <w:rsid w:val="009A5F18"/>
    <w:rsid w:val="009A6679"/>
    <w:rsid w:val="009A6BDA"/>
    <w:rsid w:val="009A6C38"/>
    <w:rsid w:val="009A6C43"/>
    <w:rsid w:val="009A6C9E"/>
    <w:rsid w:val="009A7842"/>
    <w:rsid w:val="009B0C3B"/>
    <w:rsid w:val="009B1463"/>
    <w:rsid w:val="009B178B"/>
    <w:rsid w:val="009B1840"/>
    <w:rsid w:val="009B1966"/>
    <w:rsid w:val="009B236C"/>
    <w:rsid w:val="009B2384"/>
    <w:rsid w:val="009B2D14"/>
    <w:rsid w:val="009B2DCB"/>
    <w:rsid w:val="009B3330"/>
    <w:rsid w:val="009B3CA4"/>
    <w:rsid w:val="009B3F6C"/>
    <w:rsid w:val="009B48CA"/>
    <w:rsid w:val="009B5209"/>
    <w:rsid w:val="009B56B6"/>
    <w:rsid w:val="009B572A"/>
    <w:rsid w:val="009B58D7"/>
    <w:rsid w:val="009B60D0"/>
    <w:rsid w:val="009B6495"/>
    <w:rsid w:val="009B6523"/>
    <w:rsid w:val="009B6788"/>
    <w:rsid w:val="009B7B70"/>
    <w:rsid w:val="009B7DA9"/>
    <w:rsid w:val="009B7DE3"/>
    <w:rsid w:val="009C03DF"/>
    <w:rsid w:val="009C176F"/>
    <w:rsid w:val="009C22BF"/>
    <w:rsid w:val="009C2AC3"/>
    <w:rsid w:val="009C34BC"/>
    <w:rsid w:val="009C4304"/>
    <w:rsid w:val="009C4672"/>
    <w:rsid w:val="009C476F"/>
    <w:rsid w:val="009C4FB9"/>
    <w:rsid w:val="009C55FF"/>
    <w:rsid w:val="009C5F16"/>
    <w:rsid w:val="009D06FA"/>
    <w:rsid w:val="009D1162"/>
    <w:rsid w:val="009D1299"/>
    <w:rsid w:val="009D139C"/>
    <w:rsid w:val="009D15C8"/>
    <w:rsid w:val="009D23C3"/>
    <w:rsid w:val="009D2622"/>
    <w:rsid w:val="009D2700"/>
    <w:rsid w:val="009D2C62"/>
    <w:rsid w:val="009D2F01"/>
    <w:rsid w:val="009D3019"/>
    <w:rsid w:val="009D32B5"/>
    <w:rsid w:val="009D342B"/>
    <w:rsid w:val="009D36DA"/>
    <w:rsid w:val="009D4341"/>
    <w:rsid w:val="009D4A1E"/>
    <w:rsid w:val="009D53E7"/>
    <w:rsid w:val="009D5DF3"/>
    <w:rsid w:val="009D62BE"/>
    <w:rsid w:val="009D713F"/>
    <w:rsid w:val="009D734C"/>
    <w:rsid w:val="009E0292"/>
    <w:rsid w:val="009E0B04"/>
    <w:rsid w:val="009E0CD6"/>
    <w:rsid w:val="009E0F34"/>
    <w:rsid w:val="009E0F94"/>
    <w:rsid w:val="009E1341"/>
    <w:rsid w:val="009E1D57"/>
    <w:rsid w:val="009E2395"/>
    <w:rsid w:val="009E3A6B"/>
    <w:rsid w:val="009E3AE4"/>
    <w:rsid w:val="009E4264"/>
    <w:rsid w:val="009E4444"/>
    <w:rsid w:val="009E4F0F"/>
    <w:rsid w:val="009E5AB6"/>
    <w:rsid w:val="009E5E0D"/>
    <w:rsid w:val="009E6285"/>
    <w:rsid w:val="009E633A"/>
    <w:rsid w:val="009E697D"/>
    <w:rsid w:val="009F03CE"/>
    <w:rsid w:val="009F0949"/>
    <w:rsid w:val="009F1546"/>
    <w:rsid w:val="009F23C8"/>
    <w:rsid w:val="009F3100"/>
    <w:rsid w:val="009F388C"/>
    <w:rsid w:val="009F3C8F"/>
    <w:rsid w:val="009F5197"/>
    <w:rsid w:val="009F62D1"/>
    <w:rsid w:val="009F67C0"/>
    <w:rsid w:val="009F6F53"/>
    <w:rsid w:val="009F768B"/>
    <w:rsid w:val="009F7F3F"/>
    <w:rsid w:val="00A00584"/>
    <w:rsid w:val="00A00B6D"/>
    <w:rsid w:val="00A00E60"/>
    <w:rsid w:val="00A016CE"/>
    <w:rsid w:val="00A01CE8"/>
    <w:rsid w:val="00A01E1C"/>
    <w:rsid w:val="00A01E92"/>
    <w:rsid w:val="00A023ED"/>
    <w:rsid w:val="00A02BF0"/>
    <w:rsid w:val="00A02CBB"/>
    <w:rsid w:val="00A0339D"/>
    <w:rsid w:val="00A03409"/>
    <w:rsid w:val="00A0361F"/>
    <w:rsid w:val="00A03690"/>
    <w:rsid w:val="00A03DFA"/>
    <w:rsid w:val="00A03FD1"/>
    <w:rsid w:val="00A04344"/>
    <w:rsid w:val="00A044FB"/>
    <w:rsid w:val="00A047C5"/>
    <w:rsid w:val="00A058D8"/>
    <w:rsid w:val="00A06178"/>
    <w:rsid w:val="00A07291"/>
    <w:rsid w:val="00A07873"/>
    <w:rsid w:val="00A07B9A"/>
    <w:rsid w:val="00A106C1"/>
    <w:rsid w:val="00A10D19"/>
    <w:rsid w:val="00A136C9"/>
    <w:rsid w:val="00A1392E"/>
    <w:rsid w:val="00A1488D"/>
    <w:rsid w:val="00A14C82"/>
    <w:rsid w:val="00A15030"/>
    <w:rsid w:val="00A15577"/>
    <w:rsid w:val="00A15BDA"/>
    <w:rsid w:val="00A16318"/>
    <w:rsid w:val="00A1689E"/>
    <w:rsid w:val="00A16D70"/>
    <w:rsid w:val="00A171AA"/>
    <w:rsid w:val="00A171F1"/>
    <w:rsid w:val="00A20E01"/>
    <w:rsid w:val="00A21EE9"/>
    <w:rsid w:val="00A2225A"/>
    <w:rsid w:val="00A22F4D"/>
    <w:rsid w:val="00A230BA"/>
    <w:rsid w:val="00A23E79"/>
    <w:rsid w:val="00A23F3C"/>
    <w:rsid w:val="00A24825"/>
    <w:rsid w:val="00A248FB"/>
    <w:rsid w:val="00A251E4"/>
    <w:rsid w:val="00A2544D"/>
    <w:rsid w:val="00A25986"/>
    <w:rsid w:val="00A25B3E"/>
    <w:rsid w:val="00A26A8F"/>
    <w:rsid w:val="00A26E00"/>
    <w:rsid w:val="00A272DC"/>
    <w:rsid w:val="00A27839"/>
    <w:rsid w:val="00A27B14"/>
    <w:rsid w:val="00A30301"/>
    <w:rsid w:val="00A3077A"/>
    <w:rsid w:val="00A30A13"/>
    <w:rsid w:val="00A30A54"/>
    <w:rsid w:val="00A31A98"/>
    <w:rsid w:val="00A31DD7"/>
    <w:rsid w:val="00A32729"/>
    <w:rsid w:val="00A328F7"/>
    <w:rsid w:val="00A329D2"/>
    <w:rsid w:val="00A34E42"/>
    <w:rsid w:val="00A3524C"/>
    <w:rsid w:val="00A3531D"/>
    <w:rsid w:val="00A35418"/>
    <w:rsid w:val="00A35689"/>
    <w:rsid w:val="00A358B7"/>
    <w:rsid w:val="00A35A0F"/>
    <w:rsid w:val="00A361D9"/>
    <w:rsid w:val="00A36C17"/>
    <w:rsid w:val="00A3703F"/>
    <w:rsid w:val="00A3748C"/>
    <w:rsid w:val="00A37505"/>
    <w:rsid w:val="00A37C82"/>
    <w:rsid w:val="00A40138"/>
    <w:rsid w:val="00A403A1"/>
    <w:rsid w:val="00A40CA4"/>
    <w:rsid w:val="00A40D6A"/>
    <w:rsid w:val="00A410F4"/>
    <w:rsid w:val="00A41B22"/>
    <w:rsid w:val="00A42A58"/>
    <w:rsid w:val="00A42D30"/>
    <w:rsid w:val="00A42EE2"/>
    <w:rsid w:val="00A4421B"/>
    <w:rsid w:val="00A44C97"/>
    <w:rsid w:val="00A44D80"/>
    <w:rsid w:val="00A45731"/>
    <w:rsid w:val="00A45981"/>
    <w:rsid w:val="00A45A71"/>
    <w:rsid w:val="00A46E2E"/>
    <w:rsid w:val="00A47196"/>
    <w:rsid w:val="00A4731E"/>
    <w:rsid w:val="00A47EFD"/>
    <w:rsid w:val="00A50428"/>
    <w:rsid w:val="00A50442"/>
    <w:rsid w:val="00A515B2"/>
    <w:rsid w:val="00A5238F"/>
    <w:rsid w:val="00A52A12"/>
    <w:rsid w:val="00A52C85"/>
    <w:rsid w:val="00A52E9E"/>
    <w:rsid w:val="00A54553"/>
    <w:rsid w:val="00A54760"/>
    <w:rsid w:val="00A54DB6"/>
    <w:rsid w:val="00A56005"/>
    <w:rsid w:val="00A56025"/>
    <w:rsid w:val="00A56128"/>
    <w:rsid w:val="00A57DA4"/>
    <w:rsid w:val="00A60611"/>
    <w:rsid w:val="00A6065B"/>
    <w:rsid w:val="00A60B4A"/>
    <w:rsid w:val="00A60B87"/>
    <w:rsid w:val="00A60C3F"/>
    <w:rsid w:val="00A60E41"/>
    <w:rsid w:val="00A615BA"/>
    <w:rsid w:val="00A616AC"/>
    <w:rsid w:val="00A61C82"/>
    <w:rsid w:val="00A62040"/>
    <w:rsid w:val="00A6240C"/>
    <w:rsid w:val="00A625FA"/>
    <w:rsid w:val="00A627E0"/>
    <w:rsid w:val="00A629B7"/>
    <w:rsid w:val="00A62EA6"/>
    <w:rsid w:val="00A632BE"/>
    <w:rsid w:val="00A6414E"/>
    <w:rsid w:val="00A642A4"/>
    <w:rsid w:val="00A64A17"/>
    <w:rsid w:val="00A65666"/>
    <w:rsid w:val="00A65AFA"/>
    <w:rsid w:val="00A67153"/>
    <w:rsid w:val="00A67352"/>
    <w:rsid w:val="00A67390"/>
    <w:rsid w:val="00A67CDC"/>
    <w:rsid w:val="00A70418"/>
    <w:rsid w:val="00A7083F"/>
    <w:rsid w:val="00A70CB3"/>
    <w:rsid w:val="00A71BD3"/>
    <w:rsid w:val="00A7220C"/>
    <w:rsid w:val="00A72359"/>
    <w:rsid w:val="00A73D27"/>
    <w:rsid w:val="00A74174"/>
    <w:rsid w:val="00A74DF1"/>
    <w:rsid w:val="00A74E6F"/>
    <w:rsid w:val="00A750EC"/>
    <w:rsid w:val="00A75A75"/>
    <w:rsid w:val="00A75ADF"/>
    <w:rsid w:val="00A75DCC"/>
    <w:rsid w:val="00A76204"/>
    <w:rsid w:val="00A76580"/>
    <w:rsid w:val="00A76AC5"/>
    <w:rsid w:val="00A76E7B"/>
    <w:rsid w:val="00A76ED5"/>
    <w:rsid w:val="00A771A3"/>
    <w:rsid w:val="00A77566"/>
    <w:rsid w:val="00A77A87"/>
    <w:rsid w:val="00A77F47"/>
    <w:rsid w:val="00A803D1"/>
    <w:rsid w:val="00A80F34"/>
    <w:rsid w:val="00A811BB"/>
    <w:rsid w:val="00A81E34"/>
    <w:rsid w:val="00A81EB2"/>
    <w:rsid w:val="00A82225"/>
    <w:rsid w:val="00A822D2"/>
    <w:rsid w:val="00A82974"/>
    <w:rsid w:val="00A83075"/>
    <w:rsid w:val="00A84CAA"/>
    <w:rsid w:val="00A84D77"/>
    <w:rsid w:val="00A84E7F"/>
    <w:rsid w:val="00A85390"/>
    <w:rsid w:val="00A853F3"/>
    <w:rsid w:val="00A8589E"/>
    <w:rsid w:val="00A8595F"/>
    <w:rsid w:val="00A85A1E"/>
    <w:rsid w:val="00A85B3F"/>
    <w:rsid w:val="00A8663E"/>
    <w:rsid w:val="00A86643"/>
    <w:rsid w:val="00A867F6"/>
    <w:rsid w:val="00A86B8C"/>
    <w:rsid w:val="00A870AA"/>
    <w:rsid w:val="00A9062B"/>
    <w:rsid w:val="00A9090C"/>
    <w:rsid w:val="00A90CAB"/>
    <w:rsid w:val="00A91552"/>
    <w:rsid w:val="00A91E42"/>
    <w:rsid w:val="00A924B1"/>
    <w:rsid w:val="00A927A2"/>
    <w:rsid w:val="00A9394A"/>
    <w:rsid w:val="00A93F76"/>
    <w:rsid w:val="00A94E61"/>
    <w:rsid w:val="00A9519E"/>
    <w:rsid w:val="00A95692"/>
    <w:rsid w:val="00A95DEC"/>
    <w:rsid w:val="00A95F53"/>
    <w:rsid w:val="00A965FA"/>
    <w:rsid w:val="00A969ED"/>
    <w:rsid w:val="00A96ADA"/>
    <w:rsid w:val="00A96BD8"/>
    <w:rsid w:val="00A96F28"/>
    <w:rsid w:val="00A9708D"/>
    <w:rsid w:val="00A97751"/>
    <w:rsid w:val="00A97AEA"/>
    <w:rsid w:val="00AA0030"/>
    <w:rsid w:val="00AA089E"/>
    <w:rsid w:val="00AA0C44"/>
    <w:rsid w:val="00AA0F85"/>
    <w:rsid w:val="00AA1195"/>
    <w:rsid w:val="00AA12B8"/>
    <w:rsid w:val="00AA1D0B"/>
    <w:rsid w:val="00AA1D68"/>
    <w:rsid w:val="00AA1E36"/>
    <w:rsid w:val="00AA28E2"/>
    <w:rsid w:val="00AA2CE3"/>
    <w:rsid w:val="00AA2D77"/>
    <w:rsid w:val="00AA2FDD"/>
    <w:rsid w:val="00AA3C39"/>
    <w:rsid w:val="00AA449B"/>
    <w:rsid w:val="00AA45D4"/>
    <w:rsid w:val="00AA47F0"/>
    <w:rsid w:val="00AA4933"/>
    <w:rsid w:val="00AA52BE"/>
    <w:rsid w:val="00AA5924"/>
    <w:rsid w:val="00AA5B04"/>
    <w:rsid w:val="00AA5F46"/>
    <w:rsid w:val="00AA5FFA"/>
    <w:rsid w:val="00AA690E"/>
    <w:rsid w:val="00AA6E57"/>
    <w:rsid w:val="00AA7808"/>
    <w:rsid w:val="00AA799C"/>
    <w:rsid w:val="00AA7D9F"/>
    <w:rsid w:val="00AB0623"/>
    <w:rsid w:val="00AB08B5"/>
    <w:rsid w:val="00AB0D2B"/>
    <w:rsid w:val="00AB0E37"/>
    <w:rsid w:val="00AB1B7A"/>
    <w:rsid w:val="00AB1D05"/>
    <w:rsid w:val="00AB23FD"/>
    <w:rsid w:val="00AB302F"/>
    <w:rsid w:val="00AB39DD"/>
    <w:rsid w:val="00AB4081"/>
    <w:rsid w:val="00AB47BD"/>
    <w:rsid w:val="00AB47C0"/>
    <w:rsid w:val="00AB4E87"/>
    <w:rsid w:val="00AB5CDA"/>
    <w:rsid w:val="00AB65D5"/>
    <w:rsid w:val="00AB693C"/>
    <w:rsid w:val="00AB7967"/>
    <w:rsid w:val="00AB79FD"/>
    <w:rsid w:val="00AB7C9C"/>
    <w:rsid w:val="00AC0254"/>
    <w:rsid w:val="00AC0931"/>
    <w:rsid w:val="00AC1703"/>
    <w:rsid w:val="00AC1DAD"/>
    <w:rsid w:val="00AC1FB1"/>
    <w:rsid w:val="00AC2530"/>
    <w:rsid w:val="00AC2F23"/>
    <w:rsid w:val="00AC38EC"/>
    <w:rsid w:val="00AC490F"/>
    <w:rsid w:val="00AC4EDE"/>
    <w:rsid w:val="00AC64F0"/>
    <w:rsid w:val="00AC65A0"/>
    <w:rsid w:val="00AC69A7"/>
    <w:rsid w:val="00AC7A1F"/>
    <w:rsid w:val="00AD0453"/>
    <w:rsid w:val="00AD04BD"/>
    <w:rsid w:val="00AD098B"/>
    <w:rsid w:val="00AD0C24"/>
    <w:rsid w:val="00AD0F49"/>
    <w:rsid w:val="00AD1336"/>
    <w:rsid w:val="00AD20EA"/>
    <w:rsid w:val="00AD23FD"/>
    <w:rsid w:val="00AD2445"/>
    <w:rsid w:val="00AD25D5"/>
    <w:rsid w:val="00AD26A6"/>
    <w:rsid w:val="00AD28B9"/>
    <w:rsid w:val="00AD2ACD"/>
    <w:rsid w:val="00AD33F9"/>
    <w:rsid w:val="00AD3D52"/>
    <w:rsid w:val="00AD3E05"/>
    <w:rsid w:val="00AD4026"/>
    <w:rsid w:val="00AD42C0"/>
    <w:rsid w:val="00AD4D00"/>
    <w:rsid w:val="00AD4D1A"/>
    <w:rsid w:val="00AD5BB8"/>
    <w:rsid w:val="00AD6290"/>
    <w:rsid w:val="00AD65DB"/>
    <w:rsid w:val="00AD6762"/>
    <w:rsid w:val="00AD6DFB"/>
    <w:rsid w:val="00AD784B"/>
    <w:rsid w:val="00AE0540"/>
    <w:rsid w:val="00AE08F8"/>
    <w:rsid w:val="00AE0993"/>
    <w:rsid w:val="00AE0F4C"/>
    <w:rsid w:val="00AE0FCE"/>
    <w:rsid w:val="00AE120F"/>
    <w:rsid w:val="00AE152E"/>
    <w:rsid w:val="00AE280E"/>
    <w:rsid w:val="00AE32BD"/>
    <w:rsid w:val="00AE35FA"/>
    <w:rsid w:val="00AE38F5"/>
    <w:rsid w:val="00AE3A9C"/>
    <w:rsid w:val="00AE3D51"/>
    <w:rsid w:val="00AE43D8"/>
    <w:rsid w:val="00AE44C4"/>
    <w:rsid w:val="00AE46F0"/>
    <w:rsid w:val="00AE4E5E"/>
    <w:rsid w:val="00AE5194"/>
    <w:rsid w:val="00AE579C"/>
    <w:rsid w:val="00AE5889"/>
    <w:rsid w:val="00AE5BAB"/>
    <w:rsid w:val="00AE5DEB"/>
    <w:rsid w:val="00AE5FA6"/>
    <w:rsid w:val="00AE64E2"/>
    <w:rsid w:val="00AE6FE3"/>
    <w:rsid w:val="00AE6FEC"/>
    <w:rsid w:val="00AE794A"/>
    <w:rsid w:val="00AF1565"/>
    <w:rsid w:val="00AF1A7A"/>
    <w:rsid w:val="00AF1B9F"/>
    <w:rsid w:val="00AF1D5E"/>
    <w:rsid w:val="00AF1ED2"/>
    <w:rsid w:val="00AF2081"/>
    <w:rsid w:val="00AF22AC"/>
    <w:rsid w:val="00AF3175"/>
    <w:rsid w:val="00AF374D"/>
    <w:rsid w:val="00AF397D"/>
    <w:rsid w:val="00AF3AA4"/>
    <w:rsid w:val="00AF3C1F"/>
    <w:rsid w:val="00AF43D0"/>
    <w:rsid w:val="00AF556A"/>
    <w:rsid w:val="00AF55E4"/>
    <w:rsid w:val="00AF618E"/>
    <w:rsid w:val="00AF6285"/>
    <w:rsid w:val="00AF6496"/>
    <w:rsid w:val="00AF6869"/>
    <w:rsid w:val="00AF6A12"/>
    <w:rsid w:val="00AF751E"/>
    <w:rsid w:val="00AF78CB"/>
    <w:rsid w:val="00B006B9"/>
    <w:rsid w:val="00B00711"/>
    <w:rsid w:val="00B00CFE"/>
    <w:rsid w:val="00B010AF"/>
    <w:rsid w:val="00B010BA"/>
    <w:rsid w:val="00B010EC"/>
    <w:rsid w:val="00B01EEF"/>
    <w:rsid w:val="00B02C59"/>
    <w:rsid w:val="00B031FC"/>
    <w:rsid w:val="00B03BDB"/>
    <w:rsid w:val="00B05A7B"/>
    <w:rsid w:val="00B05CE5"/>
    <w:rsid w:val="00B0684D"/>
    <w:rsid w:val="00B06DAA"/>
    <w:rsid w:val="00B10507"/>
    <w:rsid w:val="00B10BE1"/>
    <w:rsid w:val="00B10C0A"/>
    <w:rsid w:val="00B11037"/>
    <w:rsid w:val="00B11203"/>
    <w:rsid w:val="00B1139E"/>
    <w:rsid w:val="00B12E0C"/>
    <w:rsid w:val="00B138F3"/>
    <w:rsid w:val="00B141EC"/>
    <w:rsid w:val="00B14848"/>
    <w:rsid w:val="00B14C5C"/>
    <w:rsid w:val="00B14E07"/>
    <w:rsid w:val="00B15094"/>
    <w:rsid w:val="00B15788"/>
    <w:rsid w:val="00B16314"/>
    <w:rsid w:val="00B16D65"/>
    <w:rsid w:val="00B16F84"/>
    <w:rsid w:val="00B17052"/>
    <w:rsid w:val="00B204CA"/>
    <w:rsid w:val="00B205E3"/>
    <w:rsid w:val="00B20845"/>
    <w:rsid w:val="00B2092F"/>
    <w:rsid w:val="00B20A65"/>
    <w:rsid w:val="00B20CA5"/>
    <w:rsid w:val="00B21462"/>
    <w:rsid w:val="00B21F11"/>
    <w:rsid w:val="00B22A1D"/>
    <w:rsid w:val="00B22BAA"/>
    <w:rsid w:val="00B234FA"/>
    <w:rsid w:val="00B242B0"/>
    <w:rsid w:val="00B24776"/>
    <w:rsid w:val="00B24B93"/>
    <w:rsid w:val="00B25974"/>
    <w:rsid w:val="00B25975"/>
    <w:rsid w:val="00B26091"/>
    <w:rsid w:val="00B26414"/>
    <w:rsid w:val="00B27254"/>
    <w:rsid w:val="00B27D85"/>
    <w:rsid w:val="00B27DB8"/>
    <w:rsid w:val="00B304AD"/>
    <w:rsid w:val="00B30562"/>
    <w:rsid w:val="00B306DB"/>
    <w:rsid w:val="00B31EA9"/>
    <w:rsid w:val="00B32574"/>
    <w:rsid w:val="00B32B73"/>
    <w:rsid w:val="00B32EE3"/>
    <w:rsid w:val="00B333BF"/>
    <w:rsid w:val="00B33867"/>
    <w:rsid w:val="00B33BDB"/>
    <w:rsid w:val="00B33D59"/>
    <w:rsid w:val="00B340B0"/>
    <w:rsid w:val="00B344F6"/>
    <w:rsid w:val="00B35188"/>
    <w:rsid w:val="00B352AF"/>
    <w:rsid w:val="00B353AF"/>
    <w:rsid w:val="00B35494"/>
    <w:rsid w:val="00B35823"/>
    <w:rsid w:val="00B36800"/>
    <w:rsid w:val="00B36973"/>
    <w:rsid w:val="00B3697B"/>
    <w:rsid w:val="00B36D86"/>
    <w:rsid w:val="00B374DB"/>
    <w:rsid w:val="00B37594"/>
    <w:rsid w:val="00B37792"/>
    <w:rsid w:val="00B4009B"/>
    <w:rsid w:val="00B40241"/>
    <w:rsid w:val="00B4129D"/>
    <w:rsid w:val="00B41F88"/>
    <w:rsid w:val="00B4209D"/>
    <w:rsid w:val="00B42EEC"/>
    <w:rsid w:val="00B431A8"/>
    <w:rsid w:val="00B43898"/>
    <w:rsid w:val="00B438B8"/>
    <w:rsid w:val="00B438FC"/>
    <w:rsid w:val="00B44810"/>
    <w:rsid w:val="00B44972"/>
    <w:rsid w:val="00B44C19"/>
    <w:rsid w:val="00B44CA1"/>
    <w:rsid w:val="00B453DA"/>
    <w:rsid w:val="00B45682"/>
    <w:rsid w:val="00B456E7"/>
    <w:rsid w:val="00B45E9F"/>
    <w:rsid w:val="00B4705F"/>
    <w:rsid w:val="00B471F3"/>
    <w:rsid w:val="00B47748"/>
    <w:rsid w:val="00B5008C"/>
    <w:rsid w:val="00B500D2"/>
    <w:rsid w:val="00B5042B"/>
    <w:rsid w:val="00B51908"/>
    <w:rsid w:val="00B53501"/>
    <w:rsid w:val="00B53A16"/>
    <w:rsid w:val="00B542E7"/>
    <w:rsid w:val="00B54839"/>
    <w:rsid w:val="00B549D4"/>
    <w:rsid w:val="00B54DCB"/>
    <w:rsid w:val="00B56A7D"/>
    <w:rsid w:val="00B56AA0"/>
    <w:rsid w:val="00B5778E"/>
    <w:rsid w:val="00B5785C"/>
    <w:rsid w:val="00B57AEB"/>
    <w:rsid w:val="00B57B5E"/>
    <w:rsid w:val="00B60398"/>
    <w:rsid w:val="00B6040D"/>
    <w:rsid w:val="00B6056B"/>
    <w:rsid w:val="00B608C0"/>
    <w:rsid w:val="00B60DCB"/>
    <w:rsid w:val="00B61864"/>
    <w:rsid w:val="00B63B5F"/>
    <w:rsid w:val="00B640FC"/>
    <w:rsid w:val="00B647EE"/>
    <w:rsid w:val="00B648AC"/>
    <w:rsid w:val="00B64941"/>
    <w:rsid w:val="00B6502C"/>
    <w:rsid w:val="00B664F9"/>
    <w:rsid w:val="00B66684"/>
    <w:rsid w:val="00B669FA"/>
    <w:rsid w:val="00B66C0F"/>
    <w:rsid w:val="00B66E65"/>
    <w:rsid w:val="00B66E9B"/>
    <w:rsid w:val="00B66F6B"/>
    <w:rsid w:val="00B676E7"/>
    <w:rsid w:val="00B67CAB"/>
    <w:rsid w:val="00B70B2E"/>
    <w:rsid w:val="00B71C06"/>
    <w:rsid w:val="00B72607"/>
    <w:rsid w:val="00B726EB"/>
    <w:rsid w:val="00B72E4E"/>
    <w:rsid w:val="00B72E96"/>
    <w:rsid w:val="00B73038"/>
    <w:rsid w:val="00B741BA"/>
    <w:rsid w:val="00B74ADC"/>
    <w:rsid w:val="00B777E3"/>
    <w:rsid w:val="00B77BD4"/>
    <w:rsid w:val="00B80086"/>
    <w:rsid w:val="00B80744"/>
    <w:rsid w:val="00B8174C"/>
    <w:rsid w:val="00B81785"/>
    <w:rsid w:val="00B81ABC"/>
    <w:rsid w:val="00B81D8E"/>
    <w:rsid w:val="00B822BE"/>
    <w:rsid w:val="00B8284F"/>
    <w:rsid w:val="00B82922"/>
    <w:rsid w:val="00B82CBE"/>
    <w:rsid w:val="00B830CB"/>
    <w:rsid w:val="00B832B6"/>
    <w:rsid w:val="00B83314"/>
    <w:rsid w:val="00B839BE"/>
    <w:rsid w:val="00B83D32"/>
    <w:rsid w:val="00B84536"/>
    <w:rsid w:val="00B8534D"/>
    <w:rsid w:val="00B859DB"/>
    <w:rsid w:val="00B863B2"/>
    <w:rsid w:val="00B86A0D"/>
    <w:rsid w:val="00B87B32"/>
    <w:rsid w:val="00B87FC8"/>
    <w:rsid w:val="00B87FCA"/>
    <w:rsid w:val="00B90496"/>
    <w:rsid w:val="00B904BC"/>
    <w:rsid w:val="00B91258"/>
    <w:rsid w:val="00B916BF"/>
    <w:rsid w:val="00B91981"/>
    <w:rsid w:val="00B91B47"/>
    <w:rsid w:val="00B91E98"/>
    <w:rsid w:val="00B91F37"/>
    <w:rsid w:val="00B92520"/>
    <w:rsid w:val="00B9273A"/>
    <w:rsid w:val="00B9276A"/>
    <w:rsid w:val="00B928ED"/>
    <w:rsid w:val="00B92C69"/>
    <w:rsid w:val="00B92E13"/>
    <w:rsid w:val="00B943C0"/>
    <w:rsid w:val="00B9440A"/>
    <w:rsid w:val="00B94D01"/>
    <w:rsid w:val="00B95055"/>
    <w:rsid w:val="00B955D8"/>
    <w:rsid w:val="00B9634F"/>
    <w:rsid w:val="00B968D4"/>
    <w:rsid w:val="00B96FC7"/>
    <w:rsid w:val="00B972F6"/>
    <w:rsid w:val="00B974F8"/>
    <w:rsid w:val="00B97FCC"/>
    <w:rsid w:val="00BA02CD"/>
    <w:rsid w:val="00BA04BA"/>
    <w:rsid w:val="00BA066A"/>
    <w:rsid w:val="00BA1355"/>
    <w:rsid w:val="00BA1858"/>
    <w:rsid w:val="00BA1ECC"/>
    <w:rsid w:val="00BA212E"/>
    <w:rsid w:val="00BA29C8"/>
    <w:rsid w:val="00BA2ECB"/>
    <w:rsid w:val="00BA2EDD"/>
    <w:rsid w:val="00BA3C51"/>
    <w:rsid w:val="00BA408B"/>
    <w:rsid w:val="00BA4B93"/>
    <w:rsid w:val="00BA4DD8"/>
    <w:rsid w:val="00BA56BD"/>
    <w:rsid w:val="00BA5750"/>
    <w:rsid w:val="00BA5F92"/>
    <w:rsid w:val="00BA6BD9"/>
    <w:rsid w:val="00BA77DF"/>
    <w:rsid w:val="00BA7E06"/>
    <w:rsid w:val="00BB0B0F"/>
    <w:rsid w:val="00BB1296"/>
    <w:rsid w:val="00BB134E"/>
    <w:rsid w:val="00BB2066"/>
    <w:rsid w:val="00BB235D"/>
    <w:rsid w:val="00BB24EA"/>
    <w:rsid w:val="00BB2814"/>
    <w:rsid w:val="00BB2D31"/>
    <w:rsid w:val="00BB35BF"/>
    <w:rsid w:val="00BB3AED"/>
    <w:rsid w:val="00BB42D1"/>
    <w:rsid w:val="00BB43D7"/>
    <w:rsid w:val="00BB4632"/>
    <w:rsid w:val="00BB468B"/>
    <w:rsid w:val="00BB4E1E"/>
    <w:rsid w:val="00BB619B"/>
    <w:rsid w:val="00BB666C"/>
    <w:rsid w:val="00BB6FA0"/>
    <w:rsid w:val="00BB756B"/>
    <w:rsid w:val="00BB75B8"/>
    <w:rsid w:val="00BB7802"/>
    <w:rsid w:val="00BB78A3"/>
    <w:rsid w:val="00BB7988"/>
    <w:rsid w:val="00BC0473"/>
    <w:rsid w:val="00BC0683"/>
    <w:rsid w:val="00BC099C"/>
    <w:rsid w:val="00BC0E99"/>
    <w:rsid w:val="00BC1A41"/>
    <w:rsid w:val="00BC1F2C"/>
    <w:rsid w:val="00BC2088"/>
    <w:rsid w:val="00BC2A3B"/>
    <w:rsid w:val="00BC3132"/>
    <w:rsid w:val="00BC33D0"/>
    <w:rsid w:val="00BC3447"/>
    <w:rsid w:val="00BC39F4"/>
    <w:rsid w:val="00BC3C93"/>
    <w:rsid w:val="00BC41D7"/>
    <w:rsid w:val="00BC45E7"/>
    <w:rsid w:val="00BC4D7D"/>
    <w:rsid w:val="00BC52D5"/>
    <w:rsid w:val="00BC59F0"/>
    <w:rsid w:val="00BC5DB5"/>
    <w:rsid w:val="00BC5F01"/>
    <w:rsid w:val="00BC6111"/>
    <w:rsid w:val="00BC62D0"/>
    <w:rsid w:val="00BC6D05"/>
    <w:rsid w:val="00BC7E46"/>
    <w:rsid w:val="00BD1003"/>
    <w:rsid w:val="00BD16A0"/>
    <w:rsid w:val="00BD24CB"/>
    <w:rsid w:val="00BD3511"/>
    <w:rsid w:val="00BD3C79"/>
    <w:rsid w:val="00BD41FE"/>
    <w:rsid w:val="00BD42DC"/>
    <w:rsid w:val="00BD43B6"/>
    <w:rsid w:val="00BD54A2"/>
    <w:rsid w:val="00BD5B26"/>
    <w:rsid w:val="00BD5BBA"/>
    <w:rsid w:val="00BD60E0"/>
    <w:rsid w:val="00BD771D"/>
    <w:rsid w:val="00BD778A"/>
    <w:rsid w:val="00BD7A8E"/>
    <w:rsid w:val="00BE04DD"/>
    <w:rsid w:val="00BE091F"/>
    <w:rsid w:val="00BE0921"/>
    <w:rsid w:val="00BE113E"/>
    <w:rsid w:val="00BE2270"/>
    <w:rsid w:val="00BE28DA"/>
    <w:rsid w:val="00BE2E05"/>
    <w:rsid w:val="00BE2E8B"/>
    <w:rsid w:val="00BE3057"/>
    <w:rsid w:val="00BE33B7"/>
    <w:rsid w:val="00BE3515"/>
    <w:rsid w:val="00BE3FD4"/>
    <w:rsid w:val="00BE4525"/>
    <w:rsid w:val="00BE4AEE"/>
    <w:rsid w:val="00BE51D3"/>
    <w:rsid w:val="00BE5227"/>
    <w:rsid w:val="00BE5345"/>
    <w:rsid w:val="00BE5581"/>
    <w:rsid w:val="00BE667A"/>
    <w:rsid w:val="00BE69AE"/>
    <w:rsid w:val="00BE69CE"/>
    <w:rsid w:val="00BE6A25"/>
    <w:rsid w:val="00BE70D6"/>
    <w:rsid w:val="00BE742D"/>
    <w:rsid w:val="00BE759C"/>
    <w:rsid w:val="00BE78AE"/>
    <w:rsid w:val="00BE7A60"/>
    <w:rsid w:val="00BE7B05"/>
    <w:rsid w:val="00BE7C67"/>
    <w:rsid w:val="00BE7E83"/>
    <w:rsid w:val="00BF0649"/>
    <w:rsid w:val="00BF0B02"/>
    <w:rsid w:val="00BF0CA7"/>
    <w:rsid w:val="00BF0F1C"/>
    <w:rsid w:val="00BF1B86"/>
    <w:rsid w:val="00BF2E8A"/>
    <w:rsid w:val="00BF3217"/>
    <w:rsid w:val="00BF32CC"/>
    <w:rsid w:val="00BF3355"/>
    <w:rsid w:val="00BF3506"/>
    <w:rsid w:val="00BF368D"/>
    <w:rsid w:val="00BF391D"/>
    <w:rsid w:val="00BF3CB8"/>
    <w:rsid w:val="00BF3DA7"/>
    <w:rsid w:val="00BF4E80"/>
    <w:rsid w:val="00BF5C9B"/>
    <w:rsid w:val="00BF6837"/>
    <w:rsid w:val="00BF687E"/>
    <w:rsid w:val="00BF68FD"/>
    <w:rsid w:val="00BF75F4"/>
    <w:rsid w:val="00BF76F8"/>
    <w:rsid w:val="00BF7726"/>
    <w:rsid w:val="00C005C5"/>
    <w:rsid w:val="00C0183D"/>
    <w:rsid w:val="00C01F3A"/>
    <w:rsid w:val="00C02516"/>
    <w:rsid w:val="00C02D7F"/>
    <w:rsid w:val="00C03234"/>
    <w:rsid w:val="00C03690"/>
    <w:rsid w:val="00C03CD5"/>
    <w:rsid w:val="00C04033"/>
    <w:rsid w:val="00C042E8"/>
    <w:rsid w:val="00C0541C"/>
    <w:rsid w:val="00C055BF"/>
    <w:rsid w:val="00C05B44"/>
    <w:rsid w:val="00C05E41"/>
    <w:rsid w:val="00C060B6"/>
    <w:rsid w:val="00C06110"/>
    <w:rsid w:val="00C066F5"/>
    <w:rsid w:val="00C06A97"/>
    <w:rsid w:val="00C073E6"/>
    <w:rsid w:val="00C0747A"/>
    <w:rsid w:val="00C079B4"/>
    <w:rsid w:val="00C079ED"/>
    <w:rsid w:val="00C07F33"/>
    <w:rsid w:val="00C10192"/>
    <w:rsid w:val="00C10BFD"/>
    <w:rsid w:val="00C11738"/>
    <w:rsid w:val="00C12B3F"/>
    <w:rsid w:val="00C12BF1"/>
    <w:rsid w:val="00C12C48"/>
    <w:rsid w:val="00C12CF3"/>
    <w:rsid w:val="00C1300E"/>
    <w:rsid w:val="00C13027"/>
    <w:rsid w:val="00C130B5"/>
    <w:rsid w:val="00C14F3F"/>
    <w:rsid w:val="00C14F80"/>
    <w:rsid w:val="00C16B1D"/>
    <w:rsid w:val="00C175B5"/>
    <w:rsid w:val="00C209E6"/>
    <w:rsid w:val="00C21DCA"/>
    <w:rsid w:val="00C220FE"/>
    <w:rsid w:val="00C22868"/>
    <w:rsid w:val="00C22C44"/>
    <w:rsid w:val="00C260D3"/>
    <w:rsid w:val="00C26236"/>
    <w:rsid w:val="00C27933"/>
    <w:rsid w:val="00C3031F"/>
    <w:rsid w:val="00C305D1"/>
    <w:rsid w:val="00C313FA"/>
    <w:rsid w:val="00C314C2"/>
    <w:rsid w:val="00C3163F"/>
    <w:rsid w:val="00C3289F"/>
    <w:rsid w:val="00C33902"/>
    <w:rsid w:val="00C34AFC"/>
    <w:rsid w:val="00C34E64"/>
    <w:rsid w:val="00C34E8E"/>
    <w:rsid w:val="00C34F52"/>
    <w:rsid w:val="00C35089"/>
    <w:rsid w:val="00C351DB"/>
    <w:rsid w:val="00C354AB"/>
    <w:rsid w:val="00C358DC"/>
    <w:rsid w:val="00C35A22"/>
    <w:rsid w:val="00C362D7"/>
    <w:rsid w:val="00C364EA"/>
    <w:rsid w:val="00C36709"/>
    <w:rsid w:val="00C36DFC"/>
    <w:rsid w:val="00C37245"/>
    <w:rsid w:val="00C37F1F"/>
    <w:rsid w:val="00C40B6A"/>
    <w:rsid w:val="00C40FED"/>
    <w:rsid w:val="00C410CE"/>
    <w:rsid w:val="00C4143F"/>
    <w:rsid w:val="00C41BD1"/>
    <w:rsid w:val="00C42A60"/>
    <w:rsid w:val="00C42BE3"/>
    <w:rsid w:val="00C42D9D"/>
    <w:rsid w:val="00C43143"/>
    <w:rsid w:val="00C43BCF"/>
    <w:rsid w:val="00C43D40"/>
    <w:rsid w:val="00C4470B"/>
    <w:rsid w:val="00C4530A"/>
    <w:rsid w:val="00C45A9C"/>
    <w:rsid w:val="00C45C72"/>
    <w:rsid w:val="00C45E07"/>
    <w:rsid w:val="00C469A1"/>
    <w:rsid w:val="00C472D6"/>
    <w:rsid w:val="00C47842"/>
    <w:rsid w:val="00C47B01"/>
    <w:rsid w:val="00C47EB0"/>
    <w:rsid w:val="00C47F0D"/>
    <w:rsid w:val="00C50277"/>
    <w:rsid w:val="00C506C1"/>
    <w:rsid w:val="00C50CC4"/>
    <w:rsid w:val="00C50D3A"/>
    <w:rsid w:val="00C50F75"/>
    <w:rsid w:val="00C51E69"/>
    <w:rsid w:val="00C5208B"/>
    <w:rsid w:val="00C523F8"/>
    <w:rsid w:val="00C52B91"/>
    <w:rsid w:val="00C52F48"/>
    <w:rsid w:val="00C540FE"/>
    <w:rsid w:val="00C5530E"/>
    <w:rsid w:val="00C55680"/>
    <w:rsid w:val="00C55B03"/>
    <w:rsid w:val="00C568EE"/>
    <w:rsid w:val="00C57091"/>
    <w:rsid w:val="00C574CE"/>
    <w:rsid w:val="00C600E3"/>
    <w:rsid w:val="00C60321"/>
    <w:rsid w:val="00C605AF"/>
    <w:rsid w:val="00C605F1"/>
    <w:rsid w:val="00C6122A"/>
    <w:rsid w:val="00C61388"/>
    <w:rsid w:val="00C613B2"/>
    <w:rsid w:val="00C61D28"/>
    <w:rsid w:val="00C624F0"/>
    <w:rsid w:val="00C63FC0"/>
    <w:rsid w:val="00C649FC"/>
    <w:rsid w:val="00C64E64"/>
    <w:rsid w:val="00C654CA"/>
    <w:rsid w:val="00C65523"/>
    <w:rsid w:val="00C659F7"/>
    <w:rsid w:val="00C6655F"/>
    <w:rsid w:val="00C66694"/>
    <w:rsid w:val="00C66E0D"/>
    <w:rsid w:val="00C67033"/>
    <w:rsid w:val="00C6714E"/>
    <w:rsid w:val="00C675FF"/>
    <w:rsid w:val="00C67F60"/>
    <w:rsid w:val="00C7153E"/>
    <w:rsid w:val="00C71A72"/>
    <w:rsid w:val="00C71BC7"/>
    <w:rsid w:val="00C72825"/>
    <w:rsid w:val="00C731AF"/>
    <w:rsid w:val="00C73282"/>
    <w:rsid w:val="00C736D6"/>
    <w:rsid w:val="00C73DB7"/>
    <w:rsid w:val="00C73EC9"/>
    <w:rsid w:val="00C7429C"/>
    <w:rsid w:val="00C7482A"/>
    <w:rsid w:val="00C75426"/>
    <w:rsid w:val="00C75831"/>
    <w:rsid w:val="00C76340"/>
    <w:rsid w:val="00C76B32"/>
    <w:rsid w:val="00C76E30"/>
    <w:rsid w:val="00C772E3"/>
    <w:rsid w:val="00C77B9A"/>
    <w:rsid w:val="00C81F2F"/>
    <w:rsid w:val="00C829C4"/>
    <w:rsid w:val="00C82E10"/>
    <w:rsid w:val="00C83341"/>
    <w:rsid w:val="00C83AC0"/>
    <w:rsid w:val="00C83C00"/>
    <w:rsid w:val="00C83F84"/>
    <w:rsid w:val="00C84300"/>
    <w:rsid w:val="00C849DE"/>
    <w:rsid w:val="00C853E0"/>
    <w:rsid w:val="00C85D76"/>
    <w:rsid w:val="00C868B1"/>
    <w:rsid w:val="00C8752F"/>
    <w:rsid w:val="00C87B12"/>
    <w:rsid w:val="00C91981"/>
    <w:rsid w:val="00C91B6A"/>
    <w:rsid w:val="00C9212F"/>
    <w:rsid w:val="00C92485"/>
    <w:rsid w:val="00C925D7"/>
    <w:rsid w:val="00C92A06"/>
    <w:rsid w:val="00C92BD0"/>
    <w:rsid w:val="00C9309D"/>
    <w:rsid w:val="00C938AF"/>
    <w:rsid w:val="00C94970"/>
    <w:rsid w:val="00C94D85"/>
    <w:rsid w:val="00C94DBA"/>
    <w:rsid w:val="00C94E5E"/>
    <w:rsid w:val="00C950B4"/>
    <w:rsid w:val="00C9527A"/>
    <w:rsid w:val="00C954B5"/>
    <w:rsid w:val="00C95695"/>
    <w:rsid w:val="00C956BE"/>
    <w:rsid w:val="00C95A8A"/>
    <w:rsid w:val="00C96936"/>
    <w:rsid w:val="00CA0330"/>
    <w:rsid w:val="00CA052A"/>
    <w:rsid w:val="00CA08D2"/>
    <w:rsid w:val="00CA0A32"/>
    <w:rsid w:val="00CA0CEA"/>
    <w:rsid w:val="00CA148B"/>
    <w:rsid w:val="00CA14D9"/>
    <w:rsid w:val="00CA181A"/>
    <w:rsid w:val="00CA1C6F"/>
    <w:rsid w:val="00CA26BB"/>
    <w:rsid w:val="00CA2CAC"/>
    <w:rsid w:val="00CA2CED"/>
    <w:rsid w:val="00CA2D4E"/>
    <w:rsid w:val="00CA39F8"/>
    <w:rsid w:val="00CA3D03"/>
    <w:rsid w:val="00CA3EE1"/>
    <w:rsid w:val="00CA43E4"/>
    <w:rsid w:val="00CA483F"/>
    <w:rsid w:val="00CA5049"/>
    <w:rsid w:val="00CA53FA"/>
    <w:rsid w:val="00CA5B47"/>
    <w:rsid w:val="00CA63DC"/>
    <w:rsid w:val="00CA72F2"/>
    <w:rsid w:val="00CB0BCD"/>
    <w:rsid w:val="00CB2D19"/>
    <w:rsid w:val="00CB31DF"/>
    <w:rsid w:val="00CB391F"/>
    <w:rsid w:val="00CB4574"/>
    <w:rsid w:val="00CB4B51"/>
    <w:rsid w:val="00CB52A7"/>
    <w:rsid w:val="00CB531D"/>
    <w:rsid w:val="00CB589C"/>
    <w:rsid w:val="00CB5B08"/>
    <w:rsid w:val="00CB601C"/>
    <w:rsid w:val="00CB6CB4"/>
    <w:rsid w:val="00CB72ED"/>
    <w:rsid w:val="00CB7444"/>
    <w:rsid w:val="00CB7577"/>
    <w:rsid w:val="00CB7C05"/>
    <w:rsid w:val="00CB7CF6"/>
    <w:rsid w:val="00CB7F75"/>
    <w:rsid w:val="00CC03BB"/>
    <w:rsid w:val="00CC05A9"/>
    <w:rsid w:val="00CC085C"/>
    <w:rsid w:val="00CC0CBD"/>
    <w:rsid w:val="00CC116B"/>
    <w:rsid w:val="00CC1C36"/>
    <w:rsid w:val="00CC211B"/>
    <w:rsid w:val="00CC25A1"/>
    <w:rsid w:val="00CC2797"/>
    <w:rsid w:val="00CC2C04"/>
    <w:rsid w:val="00CC31D0"/>
    <w:rsid w:val="00CC36C3"/>
    <w:rsid w:val="00CC3A1E"/>
    <w:rsid w:val="00CC3AD8"/>
    <w:rsid w:val="00CC49A2"/>
    <w:rsid w:val="00CC4C82"/>
    <w:rsid w:val="00CC4E4A"/>
    <w:rsid w:val="00CC5B7E"/>
    <w:rsid w:val="00CC615C"/>
    <w:rsid w:val="00CC6701"/>
    <w:rsid w:val="00CC7B6E"/>
    <w:rsid w:val="00CD0217"/>
    <w:rsid w:val="00CD04DF"/>
    <w:rsid w:val="00CD05CA"/>
    <w:rsid w:val="00CD0C48"/>
    <w:rsid w:val="00CD255D"/>
    <w:rsid w:val="00CD26E6"/>
    <w:rsid w:val="00CD320C"/>
    <w:rsid w:val="00CD32CD"/>
    <w:rsid w:val="00CD3E35"/>
    <w:rsid w:val="00CD44CB"/>
    <w:rsid w:val="00CD527C"/>
    <w:rsid w:val="00CD5C47"/>
    <w:rsid w:val="00CD6FFF"/>
    <w:rsid w:val="00CD73FD"/>
    <w:rsid w:val="00CD7483"/>
    <w:rsid w:val="00CD7809"/>
    <w:rsid w:val="00CE002D"/>
    <w:rsid w:val="00CE0101"/>
    <w:rsid w:val="00CE0585"/>
    <w:rsid w:val="00CE0F75"/>
    <w:rsid w:val="00CE1028"/>
    <w:rsid w:val="00CE1500"/>
    <w:rsid w:val="00CE18D1"/>
    <w:rsid w:val="00CE1AA4"/>
    <w:rsid w:val="00CE21E0"/>
    <w:rsid w:val="00CE27FD"/>
    <w:rsid w:val="00CE3704"/>
    <w:rsid w:val="00CE3906"/>
    <w:rsid w:val="00CE3EE5"/>
    <w:rsid w:val="00CE4929"/>
    <w:rsid w:val="00CE4E55"/>
    <w:rsid w:val="00CE5976"/>
    <w:rsid w:val="00CE5A2C"/>
    <w:rsid w:val="00CE70F2"/>
    <w:rsid w:val="00CF022C"/>
    <w:rsid w:val="00CF06F0"/>
    <w:rsid w:val="00CF087B"/>
    <w:rsid w:val="00CF0C6F"/>
    <w:rsid w:val="00CF0ED4"/>
    <w:rsid w:val="00CF107D"/>
    <w:rsid w:val="00CF1392"/>
    <w:rsid w:val="00CF169E"/>
    <w:rsid w:val="00CF1CCE"/>
    <w:rsid w:val="00CF214A"/>
    <w:rsid w:val="00CF29AA"/>
    <w:rsid w:val="00CF344C"/>
    <w:rsid w:val="00CF35B0"/>
    <w:rsid w:val="00CF36EF"/>
    <w:rsid w:val="00CF3F13"/>
    <w:rsid w:val="00CF4187"/>
    <w:rsid w:val="00CF435D"/>
    <w:rsid w:val="00CF4700"/>
    <w:rsid w:val="00CF4C38"/>
    <w:rsid w:val="00CF4E4A"/>
    <w:rsid w:val="00CF56DB"/>
    <w:rsid w:val="00CF5E54"/>
    <w:rsid w:val="00CF633B"/>
    <w:rsid w:val="00CF6A5B"/>
    <w:rsid w:val="00CF6F1E"/>
    <w:rsid w:val="00CF7788"/>
    <w:rsid w:val="00CF7997"/>
    <w:rsid w:val="00CF7B14"/>
    <w:rsid w:val="00CF7F2E"/>
    <w:rsid w:val="00D002B7"/>
    <w:rsid w:val="00D00339"/>
    <w:rsid w:val="00D0096E"/>
    <w:rsid w:val="00D00FD7"/>
    <w:rsid w:val="00D01726"/>
    <w:rsid w:val="00D018FF"/>
    <w:rsid w:val="00D01928"/>
    <w:rsid w:val="00D01C78"/>
    <w:rsid w:val="00D01EE9"/>
    <w:rsid w:val="00D020A6"/>
    <w:rsid w:val="00D02240"/>
    <w:rsid w:val="00D02E6F"/>
    <w:rsid w:val="00D036FD"/>
    <w:rsid w:val="00D040E9"/>
    <w:rsid w:val="00D04A30"/>
    <w:rsid w:val="00D04D0F"/>
    <w:rsid w:val="00D04DE6"/>
    <w:rsid w:val="00D05214"/>
    <w:rsid w:val="00D055F4"/>
    <w:rsid w:val="00D05988"/>
    <w:rsid w:val="00D062CE"/>
    <w:rsid w:val="00D06319"/>
    <w:rsid w:val="00D07C65"/>
    <w:rsid w:val="00D10744"/>
    <w:rsid w:val="00D11C0F"/>
    <w:rsid w:val="00D11FD3"/>
    <w:rsid w:val="00D12B08"/>
    <w:rsid w:val="00D1344A"/>
    <w:rsid w:val="00D139BE"/>
    <w:rsid w:val="00D13ABA"/>
    <w:rsid w:val="00D13C8C"/>
    <w:rsid w:val="00D13EDB"/>
    <w:rsid w:val="00D14F8F"/>
    <w:rsid w:val="00D15AD2"/>
    <w:rsid w:val="00D15B42"/>
    <w:rsid w:val="00D15CEE"/>
    <w:rsid w:val="00D15DB1"/>
    <w:rsid w:val="00D15E31"/>
    <w:rsid w:val="00D1646B"/>
    <w:rsid w:val="00D17147"/>
    <w:rsid w:val="00D21088"/>
    <w:rsid w:val="00D21574"/>
    <w:rsid w:val="00D21636"/>
    <w:rsid w:val="00D22897"/>
    <w:rsid w:val="00D22C72"/>
    <w:rsid w:val="00D2309A"/>
    <w:rsid w:val="00D23400"/>
    <w:rsid w:val="00D23E81"/>
    <w:rsid w:val="00D24735"/>
    <w:rsid w:val="00D249F9"/>
    <w:rsid w:val="00D25B7C"/>
    <w:rsid w:val="00D26362"/>
    <w:rsid w:val="00D265D5"/>
    <w:rsid w:val="00D26731"/>
    <w:rsid w:val="00D2686C"/>
    <w:rsid w:val="00D27DBF"/>
    <w:rsid w:val="00D30477"/>
    <w:rsid w:val="00D30929"/>
    <w:rsid w:val="00D30A85"/>
    <w:rsid w:val="00D30EA4"/>
    <w:rsid w:val="00D30EC8"/>
    <w:rsid w:val="00D3164B"/>
    <w:rsid w:val="00D31B24"/>
    <w:rsid w:val="00D32BB3"/>
    <w:rsid w:val="00D33382"/>
    <w:rsid w:val="00D34FC7"/>
    <w:rsid w:val="00D3512B"/>
    <w:rsid w:val="00D3583A"/>
    <w:rsid w:val="00D35D0D"/>
    <w:rsid w:val="00D35F94"/>
    <w:rsid w:val="00D35FC0"/>
    <w:rsid w:val="00D362C3"/>
    <w:rsid w:val="00D367B5"/>
    <w:rsid w:val="00D367D7"/>
    <w:rsid w:val="00D400CE"/>
    <w:rsid w:val="00D4017A"/>
    <w:rsid w:val="00D40790"/>
    <w:rsid w:val="00D407F2"/>
    <w:rsid w:val="00D41016"/>
    <w:rsid w:val="00D41326"/>
    <w:rsid w:val="00D413BE"/>
    <w:rsid w:val="00D4148E"/>
    <w:rsid w:val="00D41496"/>
    <w:rsid w:val="00D41D25"/>
    <w:rsid w:val="00D41D2B"/>
    <w:rsid w:val="00D429AE"/>
    <w:rsid w:val="00D42D42"/>
    <w:rsid w:val="00D42E82"/>
    <w:rsid w:val="00D4344B"/>
    <w:rsid w:val="00D437CC"/>
    <w:rsid w:val="00D43BFF"/>
    <w:rsid w:val="00D44DCC"/>
    <w:rsid w:val="00D45238"/>
    <w:rsid w:val="00D458EF"/>
    <w:rsid w:val="00D4643D"/>
    <w:rsid w:val="00D469FD"/>
    <w:rsid w:val="00D46A33"/>
    <w:rsid w:val="00D46B14"/>
    <w:rsid w:val="00D46D88"/>
    <w:rsid w:val="00D4730D"/>
    <w:rsid w:val="00D4745F"/>
    <w:rsid w:val="00D4782B"/>
    <w:rsid w:val="00D479AA"/>
    <w:rsid w:val="00D47AA7"/>
    <w:rsid w:val="00D47AB5"/>
    <w:rsid w:val="00D505B8"/>
    <w:rsid w:val="00D5060D"/>
    <w:rsid w:val="00D50C26"/>
    <w:rsid w:val="00D50F78"/>
    <w:rsid w:val="00D512C5"/>
    <w:rsid w:val="00D51747"/>
    <w:rsid w:val="00D51C0F"/>
    <w:rsid w:val="00D5206C"/>
    <w:rsid w:val="00D523CC"/>
    <w:rsid w:val="00D5275B"/>
    <w:rsid w:val="00D53816"/>
    <w:rsid w:val="00D53A03"/>
    <w:rsid w:val="00D54005"/>
    <w:rsid w:val="00D54357"/>
    <w:rsid w:val="00D5438D"/>
    <w:rsid w:val="00D5492C"/>
    <w:rsid w:val="00D54BFB"/>
    <w:rsid w:val="00D552B8"/>
    <w:rsid w:val="00D5540C"/>
    <w:rsid w:val="00D5599A"/>
    <w:rsid w:val="00D55CFC"/>
    <w:rsid w:val="00D55ECF"/>
    <w:rsid w:val="00D5690A"/>
    <w:rsid w:val="00D56DFC"/>
    <w:rsid w:val="00D57308"/>
    <w:rsid w:val="00D5733C"/>
    <w:rsid w:val="00D57AE4"/>
    <w:rsid w:val="00D57E29"/>
    <w:rsid w:val="00D57E73"/>
    <w:rsid w:val="00D57F3A"/>
    <w:rsid w:val="00D60538"/>
    <w:rsid w:val="00D60A2F"/>
    <w:rsid w:val="00D60DAF"/>
    <w:rsid w:val="00D60E03"/>
    <w:rsid w:val="00D61033"/>
    <w:rsid w:val="00D613AA"/>
    <w:rsid w:val="00D61672"/>
    <w:rsid w:val="00D61D79"/>
    <w:rsid w:val="00D62176"/>
    <w:rsid w:val="00D629E4"/>
    <w:rsid w:val="00D62ED4"/>
    <w:rsid w:val="00D6328F"/>
    <w:rsid w:val="00D6368B"/>
    <w:rsid w:val="00D638F4"/>
    <w:rsid w:val="00D6413F"/>
    <w:rsid w:val="00D646E6"/>
    <w:rsid w:val="00D647FD"/>
    <w:rsid w:val="00D654EE"/>
    <w:rsid w:val="00D65DAE"/>
    <w:rsid w:val="00D664F3"/>
    <w:rsid w:val="00D6781A"/>
    <w:rsid w:val="00D67E86"/>
    <w:rsid w:val="00D70A28"/>
    <w:rsid w:val="00D70E12"/>
    <w:rsid w:val="00D71924"/>
    <w:rsid w:val="00D71D86"/>
    <w:rsid w:val="00D71F2F"/>
    <w:rsid w:val="00D72776"/>
    <w:rsid w:val="00D72ADA"/>
    <w:rsid w:val="00D72C08"/>
    <w:rsid w:val="00D72E95"/>
    <w:rsid w:val="00D73487"/>
    <w:rsid w:val="00D73F07"/>
    <w:rsid w:val="00D73F59"/>
    <w:rsid w:val="00D73F81"/>
    <w:rsid w:val="00D741EA"/>
    <w:rsid w:val="00D74624"/>
    <w:rsid w:val="00D7485D"/>
    <w:rsid w:val="00D7494A"/>
    <w:rsid w:val="00D74F6A"/>
    <w:rsid w:val="00D74FAD"/>
    <w:rsid w:val="00D76C41"/>
    <w:rsid w:val="00D7740F"/>
    <w:rsid w:val="00D7786A"/>
    <w:rsid w:val="00D778EA"/>
    <w:rsid w:val="00D779E1"/>
    <w:rsid w:val="00D807AD"/>
    <w:rsid w:val="00D8105C"/>
    <w:rsid w:val="00D8123C"/>
    <w:rsid w:val="00D818D8"/>
    <w:rsid w:val="00D81EA9"/>
    <w:rsid w:val="00D81ED4"/>
    <w:rsid w:val="00D81F35"/>
    <w:rsid w:val="00D82C9F"/>
    <w:rsid w:val="00D82FD0"/>
    <w:rsid w:val="00D83075"/>
    <w:rsid w:val="00D8331C"/>
    <w:rsid w:val="00D833CF"/>
    <w:rsid w:val="00D83496"/>
    <w:rsid w:val="00D83828"/>
    <w:rsid w:val="00D84480"/>
    <w:rsid w:val="00D84ABF"/>
    <w:rsid w:val="00D850B7"/>
    <w:rsid w:val="00D86569"/>
    <w:rsid w:val="00D86D68"/>
    <w:rsid w:val="00D86F97"/>
    <w:rsid w:val="00D8736E"/>
    <w:rsid w:val="00D87662"/>
    <w:rsid w:val="00D87829"/>
    <w:rsid w:val="00D900FD"/>
    <w:rsid w:val="00D9012D"/>
    <w:rsid w:val="00D90233"/>
    <w:rsid w:val="00D90B76"/>
    <w:rsid w:val="00D9114F"/>
    <w:rsid w:val="00D9167C"/>
    <w:rsid w:val="00D921BF"/>
    <w:rsid w:val="00D9242F"/>
    <w:rsid w:val="00D9247F"/>
    <w:rsid w:val="00D92DF7"/>
    <w:rsid w:val="00D9361E"/>
    <w:rsid w:val="00D940A8"/>
    <w:rsid w:val="00D949B7"/>
    <w:rsid w:val="00D9508C"/>
    <w:rsid w:val="00D962E6"/>
    <w:rsid w:val="00D964B0"/>
    <w:rsid w:val="00D9654E"/>
    <w:rsid w:val="00D965DB"/>
    <w:rsid w:val="00D9680C"/>
    <w:rsid w:val="00D971EB"/>
    <w:rsid w:val="00DA0102"/>
    <w:rsid w:val="00DA065D"/>
    <w:rsid w:val="00DA0A63"/>
    <w:rsid w:val="00DA0EAB"/>
    <w:rsid w:val="00DA1004"/>
    <w:rsid w:val="00DA168D"/>
    <w:rsid w:val="00DA1910"/>
    <w:rsid w:val="00DA1B59"/>
    <w:rsid w:val="00DA1FF2"/>
    <w:rsid w:val="00DA248E"/>
    <w:rsid w:val="00DA2657"/>
    <w:rsid w:val="00DA29C0"/>
    <w:rsid w:val="00DA2C36"/>
    <w:rsid w:val="00DA2F78"/>
    <w:rsid w:val="00DA3419"/>
    <w:rsid w:val="00DA3DFE"/>
    <w:rsid w:val="00DA3F5D"/>
    <w:rsid w:val="00DA4731"/>
    <w:rsid w:val="00DA5305"/>
    <w:rsid w:val="00DA582B"/>
    <w:rsid w:val="00DA5D5D"/>
    <w:rsid w:val="00DA6093"/>
    <w:rsid w:val="00DA669D"/>
    <w:rsid w:val="00DA6EE5"/>
    <w:rsid w:val="00DA6F78"/>
    <w:rsid w:val="00DA72D8"/>
    <w:rsid w:val="00DA7966"/>
    <w:rsid w:val="00DB03F7"/>
    <w:rsid w:val="00DB08E4"/>
    <w:rsid w:val="00DB0981"/>
    <w:rsid w:val="00DB0C91"/>
    <w:rsid w:val="00DB0E49"/>
    <w:rsid w:val="00DB2917"/>
    <w:rsid w:val="00DB3EEA"/>
    <w:rsid w:val="00DB475C"/>
    <w:rsid w:val="00DB4F39"/>
    <w:rsid w:val="00DB50A7"/>
    <w:rsid w:val="00DB56D8"/>
    <w:rsid w:val="00DB5BF8"/>
    <w:rsid w:val="00DB6779"/>
    <w:rsid w:val="00DB6B01"/>
    <w:rsid w:val="00DB6BA3"/>
    <w:rsid w:val="00DB6F8E"/>
    <w:rsid w:val="00DB7BC7"/>
    <w:rsid w:val="00DC019A"/>
    <w:rsid w:val="00DC020F"/>
    <w:rsid w:val="00DC05CC"/>
    <w:rsid w:val="00DC0977"/>
    <w:rsid w:val="00DC0A08"/>
    <w:rsid w:val="00DC0D8E"/>
    <w:rsid w:val="00DC0FC7"/>
    <w:rsid w:val="00DC10DF"/>
    <w:rsid w:val="00DC12F6"/>
    <w:rsid w:val="00DC131A"/>
    <w:rsid w:val="00DC22A0"/>
    <w:rsid w:val="00DC32C0"/>
    <w:rsid w:val="00DC3879"/>
    <w:rsid w:val="00DC3A72"/>
    <w:rsid w:val="00DC3BB7"/>
    <w:rsid w:val="00DC3E1F"/>
    <w:rsid w:val="00DC4E57"/>
    <w:rsid w:val="00DC50D7"/>
    <w:rsid w:val="00DC68B2"/>
    <w:rsid w:val="00DC6959"/>
    <w:rsid w:val="00DC6990"/>
    <w:rsid w:val="00DC6A5F"/>
    <w:rsid w:val="00DC75BD"/>
    <w:rsid w:val="00DC7EEA"/>
    <w:rsid w:val="00DC7F97"/>
    <w:rsid w:val="00DD1341"/>
    <w:rsid w:val="00DD1955"/>
    <w:rsid w:val="00DD1D47"/>
    <w:rsid w:val="00DD2A97"/>
    <w:rsid w:val="00DD32E1"/>
    <w:rsid w:val="00DD361B"/>
    <w:rsid w:val="00DD3A04"/>
    <w:rsid w:val="00DD4246"/>
    <w:rsid w:val="00DD45FA"/>
    <w:rsid w:val="00DD4B90"/>
    <w:rsid w:val="00DD4DD6"/>
    <w:rsid w:val="00DD5385"/>
    <w:rsid w:val="00DD5D50"/>
    <w:rsid w:val="00DD62A7"/>
    <w:rsid w:val="00DD6ACB"/>
    <w:rsid w:val="00DD6BAB"/>
    <w:rsid w:val="00DD6DE4"/>
    <w:rsid w:val="00DD78A2"/>
    <w:rsid w:val="00DD794C"/>
    <w:rsid w:val="00DD7B41"/>
    <w:rsid w:val="00DD7C62"/>
    <w:rsid w:val="00DD7CB5"/>
    <w:rsid w:val="00DD7E19"/>
    <w:rsid w:val="00DE0976"/>
    <w:rsid w:val="00DE09C0"/>
    <w:rsid w:val="00DE0CCB"/>
    <w:rsid w:val="00DE159A"/>
    <w:rsid w:val="00DE1A59"/>
    <w:rsid w:val="00DE1AE5"/>
    <w:rsid w:val="00DE257D"/>
    <w:rsid w:val="00DE2637"/>
    <w:rsid w:val="00DE2B3E"/>
    <w:rsid w:val="00DE2C77"/>
    <w:rsid w:val="00DE322C"/>
    <w:rsid w:val="00DE38AA"/>
    <w:rsid w:val="00DE38CF"/>
    <w:rsid w:val="00DE3C3E"/>
    <w:rsid w:val="00DE3FD7"/>
    <w:rsid w:val="00DE4387"/>
    <w:rsid w:val="00DE446C"/>
    <w:rsid w:val="00DE44FC"/>
    <w:rsid w:val="00DE470F"/>
    <w:rsid w:val="00DE4C08"/>
    <w:rsid w:val="00DE52F5"/>
    <w:rsid w:val="00DE5873"/>
    <w:rsid w:val="00DE5A9B"/>
    <w:rsid w:val="00DE5BBF"/>
    <w:rsid w:val="00DE70E9"/>
    <w:rsid w:val="00DE711F"/>
    <w:rsid w:val="00DE73B9"/>
    <w:rsid w:val="00DE776F"/>
    <w:rsid w:val="00DE7A21"/>
    <w:rsid w:val="00DF0254"/>
    <w:rsid w:val="00DF18F7"/>
    <w:rsid w:val="00DF1CFC"/>
    <w:rsid w:val="00DF1D22"/>
    <w:rsid w:val="00DF2047"/>
    <w:rsid w:val="00DF3151"/>
    <w:rsid w:val="00DF3DE7"/>
    <w:rsid w:val="00DF4163"/>
    <w:rsid w:val="00DF4DAB"/>
    <w:rsid w:val="00DF501A"/>
    <w:rsid w:val="00DF510C"/>
    <w:rsid w:val="00DF54C6"/>
    <w:rsid w:val="00DF5B1C"/>
    <w:rsid w:val="00DF5ED7"/>
    <w:rsid w:val="00DF7705"/>
    <w:rsid w:val="00DF7D4E"/>
    <w:rsid w:val="00DF7DC3"/>
    <w:rsid w:val="00E009F3"/>
    <w:rsid w:val="00E0166D"/>
    <w:rsid w:val="00E01BEC"/>
    <w:rsid w:val="00E023BB"/>
    <w:rsid w:val="00E027F3"/>
    <w:rsid w:val="00E037C9"/>
    <w:rsid w:val="00E03A7A"/>
    <w:rsid w:val="00E042D6"/>
    <w:rsid w:val="00E04A96"/>
    <w:rsid w:val="00E04D25"/>
    <w:rsid w:val="00E052F9"/>
    <w:rsid w:val="00E05B41"/>
    <w:rsid w:val="00E0615B"/>
    <w:rsid w:val="00E06171"/>
    <w:rsid w:val="00E0659E"/>
    <w:rsid w:val="00E065F5"/>
    <w:rsid w:val="00E07498"/>
    <w:rsid w:val="00E07CD1"/>
    <w:rsid w:val="00E10686"/>
    <w:rsid w:val="00E10B32"/>
    <w:rsid w:val="00E1188B"/>
    <w:rsid w:val="00E1226A"/>
    <w:rsid w:val="00E1227F"/>
    <w:rsid w:val="00E12703"/>
    <w:rsid w:val="00E12AB7"/>
    <w:rsid w:val="00E1321D"/>
    <w:rsid w:val="00E14AC6"/>
    <w:rsid w:val="00E15405"/>
    <w:rsid w:val="00E16B23"/>
    <w:rsid w:val="00E177B8"/>
    <w:rsid w:val="00E17F6D"/>
    <w:rsid w:val="00E2077F"/>
    <w:rsid w:val="00E20DE5"/>
    <w:rsid w:val="00E20FBC"/>
    <w:rsid w:val="00E2168D"/>
    <w:rsid w:val="00E21BD8"/>
    <w:rsid w:val="00E22ECF"/>
    <w:rsid w:val="00E231B5"/>
    <w:rsid w:val="00E231BA"/>
    <w:rsid w:val="00E232B9"/>
    <w:rsid w:val="00E23D7C"/>
    <w:rsid w:val="00E23DF9"/>
    <w:rsid w:val="00E24037"/>
    <w:rsid w:val="00E244F1"/>
    <w:rsid w:val="00E255EF"/>
    <w:rsid w:val="00E25F64"/>
    <w:rsid w:val="00E263F8"/>
    <w:rsid w:val="00E26523"/>
    <w:rsid w:val="00E26C7A"/>
    <w:rsid w:val="00E274FB"/>
    <w:rsid w:val="00E27BAD"/>
    <w:rsid w:val="00E3098B"/>
    <w:rsid w:val="00E309F8"/>
    <w:rsid w:val="00E3149B"/>
    <w:rsid w:val="00E320CE"/>
    <w:rsid w:val="00E32352"/>
    <w:rsid w:val="00E32BCA"/>
    <w:rsid w:val="00E32FF1"/>
    <w:rsid w:val="00E33571"/>
    <w:rsid w:val="00E33DBD"/>
    <w:rsid w:val="00E33EE0"/>
    <w:rsid w:val="00E344DF"/>
    <w:rsid w:val="00E345CE"/>
    <w:rsid w:val="00E34839"/>
    <w:rsid w:val="00E3483C"/>
    <w:rsid w:val="00E358BA"/>
    <w:rsid w:val="00E3591C"/>
    <w:rsid w:val="00E359B3"/>
    <w:rsid w:val="00E35FAD"/>
    <w:rsid w:val="00E36241"/>
    <w:rsid w:val="00E36314"/>
    <w:rsid w:val="00E36BDD"/>
    <w:rsid w:val="00E36D59"/>
    <w:rsid w:val="00E36E8F"/>
    <w:rsid w:val="00E37044"/>
    <w:rsid w:val="00E3708E"/>
    <w:rsid w:val="00E40189"/>
    <w:rsid w:val="00E4041F"/>
    <w:rsid w:val="00E404FA"/>
    <w:rsid w:val="00E405AF"/>
    <w:rsid w:val="00E40F29"/>
    <w:rsid w:val="00E4116A"/>
    <w:rsid w:val="00E416EF"/>
    <w:rsid w:val="00E41F32"/>
    <w:rsid w:val="00E41FB3"/>
    <w:rsid w:val="00E424A2"/>
    <w:rsid w:val="00E42659"/>
    <w:rsid w:val="00E4291B"/>
    <w:rsid w:val="00E42932"/>
    <w:rsid w:val="00E42A5D"/>
    <w:rsid w:val="00E42C5D"/>
    <w:rsid w:val="00E42DC2"/>
    <w:rsid w:val="00E431C2"/>
    <w:rsid w:val="00E43D5A"/>
    <w:rsid w:val="00E43F2C"/>
    <w:rsid w:val="00E4446E"/>
    <w:rsid w:val="00E44FB6"/>
    <w:rsid w:val="00E457A3"/>
    <w:rsid w:val="00E4643A"/>
    <w:rsid w:val="00E46470"/>
    <w:rsid w:val="00E47098"/>
    <w:rsid w:val="00E473CB"/>
    <w:rsid w:val="00E47860"/>
    <w:rsid w:val="00E50365"/>
    <w:rsid w:val="00E506E5"/>
    <w:rsid w:val="00E5149B"/>
    <w:rsid w:val="00E51682"/>
    <w:rsid w:val="00E536F0"/>
    <w:rsid w:val="00E5419E"/>
    <w:rsid w:val="00E551D5"/>
    <w:rsid w:val="00E5542A"/>
    <w:rsid w:val="00E556D9"/>
    <w:rsid w:val="00E56532"/>
    <w:rsid w:val="00E56BBA"/>
    <w:rsid w:val="00E60BC2"/>
    <w:rsid w:val="00E60E53"/>
    <w:rsid w:val="00E614F9"/>
    <w:rsid w:val="00E61EB5"/>
    <w:rsid w:val="00E639C1"/>
    <w:rsid w:val="00E640F9"/>
    <w:rsid w:val="00E64258"/>
    <w:rsid w:val="00E64EB2"/>
    <w:rsid w:val="00E6517A"/>
    <w:rsid w:val="00E654DD"/>
    <w:rsid w:val="00E657F0"/>
    <w:rsid w:val="00E678A2"/>
    <w:rsid w:val="00E678EC"/>
    <w:rsid w:val="00E7036C"/>
    <w:rsid w:val="00E70EB5"/>
    <w:rsid w:val="00E71A2E"/>
    <w:rsid w:val="00E71B54"/>
    <w:rsid w:val="00E72370"/>
    <w:rsid w:val="00E72501"/>
    <w:rsid w:val="00E7263D"/>
    <w:rsid w:val="00E72E12"/>
    <w:rsid w:val="00E7323F"/>
    <w:rsid w:val="00E73373"/>
    <w:rsid w:val="00E73EB1"/>
    <w:rsid w:val="00E73FA4"/>
    <w:rsid w:val="00E741A0"/>
    <w:rsid w:val="00E74922"/>
    <w:rsid w:val="00E7574C"/>
    <w:rsid w:val="00E75E92"/>
    <w:rsid w:val="00E75FC9"/>
    <w:rsid w:val="00E75FDF"/>
    <w:rsid w:val="00E761B2"/>
    <w:rsid w:val="00E8046B"/>
    <w:rsid w:val="00E80AAA"/>
    <w:rsid w:val="00E81A52"/>
    <w:rsid w:val="00E820A9"/>
    <w:rsid w:val="00E8227A"/>
    <w:rsid w:val="00E82DAB"/>
    <w:rsid w:val="00E8320E"/>
    <w:rsid w:val="00E83312"/>
    <w:rsid w:val="00E83BCC"/>
    <w:rsid w:val="00E842F9"/>
    <w:rsid w:val="00E8474E"/>
    <w:rsid w:val="00E8475C"/>
    <w:rsid w:val="00E84917"/>
    <w:rsid w:val="00E855F7"/>
    <w:rsid w:val="00E85D0C"/>
    <w:rsid w:val="00E85D88"/>
    <w:rsid w:val="00E85F43"/>
    <w:rsid w:val="00E85F57"/>
    <w:rsid w:val="00E866C6"/>
    <w:rsid w:val="00E86F0C"/>
    <w:rsid w:val="00E8730D"/>
    <w:rsid w:val="00E874BA"/>
    <w:rsid w:val="00E874F7"/>
    <w:rsid w:val="00E87E5E"/>
    <w:rsid w:val="00E9020F"/>
    <w:rsid w:val="00E904F9"/>
    <w:rsid w:val="00E9090F"/>
    <w:rsid w:val="00E90FCB"/>
    <w:rsid w:val="00E9164E"/>
    <w:rsid w:val="00E91A4C"/>
    <w:rsid w:val="00E91AF0"/>
    <w:rsid w:val="00E91BB8"/>
    <w:rsid w:val="00E91F8B"/>
    <w:rsid w:val="00E92071"/>
    <w:rsid w:val="00E926CC"/>
    <w:rsid w:val="00E928E7"/>
    <w:rsid w:val="00E92C3E"/>
    <w:rsid w:val="00E92C6F"/>
    <w:rsid w:val="00E92F96"/>
    <w:rsid w:val="00E92FD5"/>
    <w:rsid w:val="00E93382"/>
    <w:rsid w:val="00E93876"/>
    <w:rsid w:val="00E93E62"/>
    <w:rsid w:val="00E93ED1"/>
    <w:rsid w:val="00E94154"/>
    <w:rsid w:val="00E945E1"/>
    <w:rsid w:val="00E94772"/>
    <w:rsid w:val="00E94BDA"/>
    <w:rsid w:val="00E9508A"/>
    <w:rsid w:val="00E9645F"/>
    <w:rsid w:val="00E96498"/>
    <w:rsid w:val="00E969C0"/>
    <w:rsid w:val="00E96DBF"/>
    <w:rsid w:val="00E972D4"/>
    <w:rsid w:val="00EA0502"/>
    <w:rsid w:val="00EA0825"/>
    <w:rsid w:val="00EA0FA6"/>
    <w:rsid w:val="00EA11E4"/>
    <w:rsid w:val="00EA1215"/>
    <w:rsid w:val="00EA2A10"/>
    <w:rsid w:val="00EA3601"/>
    <w:rsid w:val="00EA376B"/>
    <w:rsid w:val="00EA389D"/>
    <w:rsid w:val="00EA4A5C"/>
    <w:rsid w:val="00EA4AF5"/>
    <w:rsid w:val="00EA5310"/>
    <w:rsid w:val="00EA59BE"/>
    <w:rsid w:val="00EA5AB2"/>
    <w:rsid w:val="00EA6019"/>
    <w:rsid w:val="00EA642A"/>
    <w:rsid w:val="00EA66A9"/>
    <w:rsid w:val="00EA7DFC"/>
    <w:rsid w:val="00EB08C9"/>
    <w:rsid w:val="00EB0CD8"/>
    <w:rsid w:val="00EB153D"/>
    <w:rsid w:val="00EB1F4D"/>
    <w:rsid w:val="00EB245A"/>
    <w:rsid w:val="00EB2665"/>
    <w:rsid w:val="00EB2ECF"/>
    <w:rsid w:val="00EB37BA"/>
    <w:rsid w:val="00EB3E72"/>
    <w:rsid w:val="00EB5166"/>
    <w:rsid w:val="00EB53AE"/>
    <w:rsid w:val="00EB54A1"/>
    <w:rsid w:val="00EB58EA"/>
    <w:rsid w:val="00EB6746"/>
    <w:rsid w:val="00EB754D"/>
    <w:rsid w:val="00EC067E"/>
    <w:rsid w:val="00EC0A4E"/>
    <w:rsid w:val="00EC0BB4"/>
    <w:rsid w:val="00EC162D"/>
    <w:rsid w:val="00EC198A"/>
    <w:rsid w:val="00EC2106"/>
    <w:rsid w:val="00EC2751"/>
    <w:rsid w:val="00EC2879"/>
    <w:rsid w:val="00EC28A4"/>
    <w:rsid w:val="00EC309C"/>
    <w:rsid w:val="00EC32C1"/>
    <w:rsid w:val="00EC355C"/>
    <w:rsid w:val="00EC3CA6"/>
    <w:rsid w:val="00EC4144"/>
    <w:rsid w:val="00EC4213"/>
    <w:rsid w:val="00EC4283"/>
    <w:rsid w:val="00EC4742"/>
    <w:rsid w:val="00EC59FA"/>
    <w:rsid w:val="00EC7C76"/>
    <w:rsid w:val="00EC7DFF"/>
    <w:rsid w:val="00ED021E"/>
    <w:rsid w:val="00ED0882"/>
    <w:rsid w:val="00ED0B8F"/>
    <w:rsid w:val="00ED1249"/>
    <w:rsid w:val="00ED1560"/>
    <w:rsid w:val="00ED1D46"/>
    <w:rsid w:val="00ED1EB6"/>
    <w:rsid w:val="00ED256D"/>
    <w:rsid w:val="00ED33E1"/>
    <w:rsid w:val="00ED3F88"/>
    <w:rsid w:val="00ED47AE"/>
    <w:rsid w:val="00ED48A0"/>
    <w:rsid w:val="00ED4DB7"/>
    <w:rsid w:val="00ED5E65"/>
    <w:rsid w:val="00ED5EEA"/>
    <w:rsid w:val="00ED61F8"/>
    <w:rsid w:val="00ED62DF"/>
    <w:rsid w:val="00ED65AE"/>
    <w:rsid w:val="00ED6847"/>
    <w:rsid w:val="00ED7412"/>
    <w:rsid w:val="00ED7C95"/>
    <w:rsid w:val="00ED7E08"/>
    <w:rsid w:val="00ED7FE2"/>
    <w:rsid w:val="00EE0165"/>
    <w:rsid w:val="00EE02BB"/>
    <w:rsid w:val="00EE04F2"/>
    <w:rsid w:val="00EE10D1"/>
    <w:rsid w:val="00EE1510"/>
    <w:rsid w:val="00EE1715"/>
    <w:rsid w:val="00EE1D7D"/>
    <w:rsid w:val="00EE1E05"/>
    <w:rsid w:val="00EE1F05"/>
    <w:rsid w:val="00EE2199"/>
    <w:rsid w:val="00EE2774"/>
    <w:rsid w:val="00EE331D"/>
    <w:rsid w:val="00EE3C52"/>
    <w:rsid w:val="00EE3F1A"/>
    <w:rsid w:val="00EE4341"/>
    <w:rsid w:val="00EE4B8B"/>
    <w:rsid w:val="00EE4FB2"/>
    <w:rsid w:val="00EE524D"/>
    <w:rsid w:val="00EE5617"/>
    <w:rsid w:val="00EE59E0"/>
    <w:rsid w:val="00EE60C9"/>
    <w:rsid w:val="00EE6722"/>
    <w:rsid w:val="00EE67F3"/>
    <w:rsid w:val="00EE726E"/>
    <w:rsid w:val="00EF0328"/>
    <w:rsid w:val="00EF05FE"/>
    <w:rsid w:val="00EF0E05"/>
    <w:rsid w:val="00EF15AA"/>
    <w:rsid w:val="00EF282D"/>
    <w:rsid w:val="00EF2864"/>
    <w:rsid w:val="00EF2A21"/>
    <w:rsid w:val="00EF4E20"/>
    <w:rsid w:val="00EF5B62"/>
    <w:rsid w:val="00EF5D6F"/>
    <w:rsid w:val="00EF6AB4"/>
    <w:rsid w:val="00EF6B39"/>
    <w:rsid w:val="00EF6C58"/>
    <w:rsid w:val="00F00821"/>
    <w:rsid w:val="00F00ACC"/>
    <w:rsid w:val="00F016A5"/>
    <w:rsid w:val="00F02026"/>
    <w:rsid w:val="00F02069"/>
    <w:rsid w:val="00F027FC"/>
    <w:rsid w:val="00F02D8D"/>
    <w:rsid w:val="00F03040"/>
    <w:rsid w:val="00F0311C"/>
    <w:rsid w:val="00F031F3"/>
    <w:rsid w:val="00F037BD"/>
    <w:rsid w:val="00F03859"/>
    <w:rsid w:val="00F03FBC"/>
    <w:rsid w:val="00F043E9"/>
    <w:rsid w:val="00F04BBD"/>
    <w:rsid w:val="00F04DC2"/>
    <w:rsid w:val="00F052D4"/>
    <w:rsid w:val="00F05522"/>
    <w:rsid w:val="00F059A7"/>
    <w:rsid w:val="00F061EE"/>
    <w:rsid w:val="00F06209"/>
    <w:rsid w:val="00F062E9"/>
    <w:rsid w:val="00F064FC"/>
    <w:rsid w:val="00F06665"/>
    <w:rsid w:val="00F067FD"/>
    <w:rsid w:val="00F072E8"/>
    <w:rsid w:val="00F10F93"/>
    <w:rsid w:val="00F1141E"/>
    <w:rsid w:val="00F11A2C"/>
    <w:rsid w:val="00F12127"/>
    <w:rsid w:val="00F1235E"/>
    <w:rsid w:val="00F123DB"/>
    <w:rsid w:val="00F125D9"/>
    <w:rsid w:val="00F1266A"/>
    <w:rsid w:val="00F132E9"/>
    <w:rsid w:val="00F13325"/>
    <w:rsid w:val="00F1356A"/>
    <w:rsid w:val="00F13671"/>
    <w:rsid w:val="00F1379E"/>
    <w:rsid w:val="00F14334"/>
    <w:rsid w:val="00F14342"/>
    <w:rsid w:val="00F14B5A"/>
    <w:rsid w:val="00F15A6D"/>
    <w:rsid w:val="00F161F1"/>
    <w:rsid w:val="00F169CB"/>
    <w:rsid w:val="00F174C8"/>
    <w:rsid w:val="00F175CD"/>
    <w:rsid w:val="00F177CD"/>
    <w:rsid w:val="00F17E0C"/>
    <w:rsid w:val="00F201E3"/>
    <w:rsid w:val="00F204C7"/>
    <w:rsid w:val="00F2073A"/>
    <w:rsid w:val="00F20B37"/>
    <w:rsid w:val="00F2226E"/>
    <w:rsid w:val="00F22293"/>
    <w:rsid w:val="00F223DC"/>
    <w:rsid w:val="00F2284A"/>
    <w:rsid w:val="00F23581"/>
    <w:rsid w:val="00F23693"/>
    <w:rsid w:val="00F23993"/>
    <w:rsid w:val="00F23DC2"/>
    <w:rsid w:val="00F23E19"/>
    <w:rsid w:val="00F23EC5"/>
    <w:rsid w:val="00F243F7"/>
    <w:rsid w:val="00F24563"/>
    <w:rsid w:val="00F24692"/>
    <w:rsid w:val="00F24720"/>
    <w:rsid w:val="00F24FCA"/>
    <w:rsid w:val="00F2602A"/>
    <w:rsid w:val="00F2664E"/>
    <w:rsid w:val="00F26EFD"/>
    <w:rsid w:val="00F27095"/>
    <w:rsid w:val="00F2715D"/>
    <w:rsid w:val="00F275FC"/>
    <w:rsid w:val="00F3003D"/>
    <w:rsid w:val="00F3006C"/>
    <w:rsid w:val="00F30156"/>
    <w:rsid w:val="00F3029A"/>
    <w:rsid w:val="00F30D3E"/>
    <w:rsid w:val="00F3127B"/>
    <w:rsid w:val="00F312DC"/>
    <w:rsid w:val="00F31423"/>
    <w:rsid w:val="00F31797"/>
    <w:rsid w:val="00F31C34"/>
    <w:rsid w:val="00F31F0F"/>
    <w:rsid w:val="00F32114"/>
    <w:rsid w:val="00F321D8"/>
    <w:rsid w:val="00F32252"/>
    <w:rsid w:val="00F33507"/>
    <w:rsid w:val="00F339E4"/>
    <w:rsid w:val="00F340F4"/>
    <w:rsid w:val="00F35071"/>
    <w:rsid w:val="00F35243"/>
    <w:rsid w:val="00F35267"/>
    <w:rsid w:val="00F35517"/>
    <w:rsid w:val="00F35A58"/>
    <w:rsid w:val="00F35AF7"/>
    <w:rsid w:val="00F363E9"/>
    <w:rsid w:val="00F36453"/>
    <w:rsid w:val="00F36BDA"/>
    <w:rsid w:val="00F401C3"/>
    <w:rsid w:val="00F40B37"/>
    <w:rsid w:val="00F40DDC"/>
    <w:rsid w:val="00F41186"/>
    <w:rsid w:val="00F41473"/>
    <w:rsid w:val="00F42746"/>
    <w:rsid w:val="00F42B34"/>
    <w:rsid w:val="00F42DA4"/>
    <w:rsid w:val="00F4325B"/>
    <w:rsid w:val="00F4343D"/>
    <w:rsid w:val="00F4414E"/>
    <w:rsid w:val="00F44564"/>
    <w:rsid w:val="00F4476E"/>
    <w:rsid w:val="00F4490D"/>
    <w:rsid w:val="00F44B0D"/>
    <w:rsid w:val="00F44CE9"/>
    <w:rsid w:val="00F45014"/>
    <w:rsid w:val="00F45062"/>
    <w:rsid w:val="00F4588A"/>
    <w:rsid w:val="00F45D66"/>
    <w:rsid w:val="00F460A1"/>
    <w:rsid w:val="00F4636C"/>
    <w:rsid w:val="00F46564"/>
    <w:rsid w:val="00F46FA5"/>
    <w:rsid w:val="00F47062"/>
    <w:rsid w:val="00F47DF5"/>
    <w:rsid w:val="00F47E9E"/>
    <w:rsid w:val="00F5053E"/>
    <w:rsid w:val="00F50940"/>
    <w:rsid w:val="00F50BCD"/>
    <w:rsid w:val="00F50CF7"/>
    <w:rsid w:val="00F510C9"/>
    <w:rsid w:val="00F5263D"/>
    <w:rsid w:val="00F52BDC"/>
    <w:rsid w:val="00F53A0A"/>
    <w:rsid w:val="00F53C0E"/>
    <w:rsid w:val="00F542B4"/>
    <w:rsid w:val="00F546F9"/>
    <w:rsid w:val="00F554D5"/>
    <w:rsid w:val="00F55608"/>
    <w:rsid w:val="00F5577E"/>
    <w:rsid w:val="00F55943"/>
    <w:rsid w:val="00F55A5B"/>
    <w:rsid w:val="00F565C0"/>
    <w:rsid w:val="00F57EA6"/>
    <w:rsid w:val="00F601B8"/>
    <w:rsid w:val="00F603A8"/>
    <w:rsid w:val="00F608DA"/>
    <w:rsid w:val="00F609BE"/>
    <w:rsid w:val="00F61280"/>
    <w:rsid w:val="00F6158E"/>
    <w:rsid w:val="00F615F4"/>
    <w:rsid w:val="00F61AB8"/>
    <w:rsid w:val="00F63178"/>
    <w:rsid w:val="00F63322"/>
    <w:rsid w:val="00F63401"/>
    <w:rsid w:val="00F637CF"/>
    <w:rsid w:val="00F63890"/>
    <w:rsid w:val="00F6395A"/>
    <w:rsid w:val="00F63D4C"/>
    <w:rsid w:val="00F63E6B"/>
    <w:rsid w:val="00F64218"/>
    <w:rsid w:val="00F64427"/>
    <w:rsid w:val="00F648EB"/>
    <w:rsid w:val="00F649C1"/>
    <w:rsid w:val="00F64A77"/>
    <w:rsid w:val="00F64BE2"/>
    <w:rsid w:val="00F65768"/>
    <w:rsid w:val="00F65C33"/>
    <w:rsid w:val="00F66370"/>
    <w:rsid w:val="00F66627"/>
    <w:rsid w:val="00F66826"/>
    <w:rsid w:val="00F669BE"/>
    <w:rsid w:val="00F66BCD"/>
    <w:rsid w:val="00F66EBA"/>
    <w:rsid w:val="00F67683"/>
    <w:rsid w:val="00F67E94"/>
    <w:rsid w:val="00F70428"/>
    <w:rsid w:val="00F7135E"/>
    <w:rsid w:val="00F71741"/>
    <w:rsid w:val="00F72C16"/>
    <w:rsid w:val="00F730D1"/>
    <w:rsid w:val="00F74D6D"/>
    <w:rsid w:val="00F75FEF"/>
    <w:rsid w:val="00F7648A"/>
    <w:rsid w:val="00F7730C"/>
    <w:rsid w:val="00F77F60"/>
    <w:rsid w:val="00F80AFC"/>
    <w:rsid w:val="00F8156A"/>
    <w:rsid w:val="00F817D4"/>
    <w:rsid w:val="00F81A42"/>
    <w:rsid w:val="00F81E37"/>
    <w:rsid w:val="00F830B9"/>
    <w:rsid w:val="00F833B6"/>
    <w:rsid w:val="00F838F6"/>
    <w:rsid w:val="00F83BF2"/>
    <w:rsid w:val="00F83F4F"/>
    <w:rsid w:val="00F8430F"/>
    <w:rsid w:val="00F84E22"/>
    <w:rsid w:val="00F84F61"/>
    <w:rsid w:val="00F850C4"/>
    <w:rsid w:val="00F854B7"/>
    <w:rsid w:val="00F85FE3"/>
    <w:rsid w:val="00F86823"/>
    <w:rsid w:val="00F87AE4"/>
    <w:rsid w:val="00F90121"/>
    <w:rsid w:val="00F9105A"/>
    <w:rsid w:val="00F91990"/>
    <w:rsid w:val="00F9259E"/>
    <w:rsid w:val="00F92B85"/>
    <w:rsid w:val="00F92DF0"/>
    <w:rsid w:val="00F93436"/>
    <w:rsid w:val="00F93C3A"/>
    <w:rsid w:val="00F95C44"/>
    <w:rsid w:val="00F961C8"/>
    <w:rsid w:val="00F96330"/>
    <w:rsid w:val="00F9638F"/>
    <w:rsid w:val="00F97547"/>
    <w:rsid w:val="00F97D1D"/>
    <w:rsid w:val="00FA07C0"/>
    <w:rsid w:val="00FA2CF5"/>
    <w:rsid w:val="00FA3061"/>
    <w:rsid w:val="00FA32D1"/>
    <w:rsid w:val="00FA39C3"/>
    <w:rsid w:val="00FA3C5A"/>
    <w:rsid w:val="00FA41C4"/>
    <w:rsid w:val="00FA5DB7"/>
    <w:rsid w:val="00FA6074"/>
    <w:rsid w:val="00FA608E"/>
    <w:rsid w:val="00FA6BB0"/>
    <w:rsid w:val="00FA76E9"/>
    <w:rsid w:val="00FA775D"/>
    <w:rsid w:val="00FA784D"/>
    <w:rsid w:val="00FA787C"/>
    <w:rsid w:val="00FB008B"/>
    <w:rsid w:val="00FB07E3"/>
    <w:rsid w:val="00FB1263"/>
    <w:rsid w:val="00FB17A7"/>
    <w:rsid w:val="00FB1A3B"/>
    <w:rsid w:val="00FB202B"/>
    <w:rsid w:val="00FB242F"/>
    <w:rsid w:val="00FB2876"/>
    <w:rsid w:val="00FB2CBB"/>
    <w:rsid w:val="00FB3FB4"/>
    <w:rsid w:val="00FB4330"/>
    <w:rsid w:val="00FB639F"/>
    <w:rsid w:val="00FB67F2"/>
    <w:rsid w:val="00FB6D8A"/>
    <w:rsid w:val="00FB7124"/>
    <w:rsid w:val="00FB7825"/>
    <w:rsid w:val="00FB7A58"/>
    <w:rsid w:val="00FC0AD6"/>
    <w:rsid w:val="00FC19AE"/>
    <w:rsid w:val="00FC1C73"/>
    <w:rsid w:val="00FC2613"/>
    <w:rsid w:val="00FC36A3"/>
    <w:rsid w:val="00FC3D2B"/>
    <w:rsid w:val="00FC4804"/>
    <w:rsid w:val="00FC4990"/>
    <w:rsid w:val="00FC5073"/>
    <w:rsid w:val="00FC524A"/>
    <w:rsid w:val="00FC56C8"/>
    <w:rsid w:val="00FC5C07"/>
    <w:rsid w:val="00FC60D6"/>
    <w:rsid w:val="00FC6771"/>
    <w:rsid w:val="00FC722E"/>
    <w:rsid w:val="00FC72BD"/>
    <w:rsid w:val="00FD05A8"/>
    <w:rsid w:val="00FD0DCE"/>
    <w:rsid w:val="00FD1612"/>
    <w:rsid w:val="00FD1D9E"/>
    <w:rsid w:val="00FD1DB3"/>
    <w:rsid w:val="00FD24E0"/>
    <w:rsid w:val="00FD2584"/>
    <w:rsid w:val="00FD3253"/>
    <w:rsid w:val="00FD3257"/>
    <w:rsid w:val="00FD38B3"/>
    <w:rsid w:val="00FD39D9"/>
    <w:rsid w:val="00FD4534"/>
    <w:rsid w:val="00FD5011"/>
    <w:rsid w:val="00FD5BC9"/>
    <w:rsid w:val="00FD5C84"/>
    <w:rsid w:val="00FD5D97"/>
    <w:rsid w:val="00FD6DCF"/>
    <w:rsid w:val="00FD72F2"/>
    <w:rsid w:val="00FE056E"/>
    <w:rsid w:val="00FE0D31"/>
    <w:rsid w:val="00FE10B6"/>
    <w:rsid w:val="00FE1D5E"/>
    <w:rsid w:val="00FE22D7"/>
    <w:rsid w:val="00FE3669"/>
    <w:rsid w:val="00FE40F8"/>
    <w:rsid w:val="00FE4CE0"/>
    <w:rsid w:val="00FE4EAC"/>
    <w:rsid w:val="00FE56DD"/>
    <w:rsid w:val="00FE5896"/>
    <w:rsid w:val="00FE5A48"/>
    <w:rsid w:val="00FE5B6A"/>
    <w:rsid w:val="00FE656B"/>
    <w:rsid w:val="00FE7033"/>
    <w:rsid w:val="00FE7444"/>
    <w:rsid w:val="00FE7895"/>
    <w:rsid w:val="00FE7C45"/>
    <w:rsid w:val="00FF05C9"/>
    <w:rsid w:val="00FF08C2"/>
    <w:rsid w:val="00FF1A6E"/>
    <w:rsid w:val="00FF1BA9"/>
    <w:rsid w:val="00FF24DC"/>
    <w:rsid w:val="00FF2C5C"/>
    <w:rsid w:val="00FF3446"/>
    <w:rsid w:val="00FF3F51"/>
    <w:rsid w:val="00FF4571"/>
    <w:rsid w:val="00FF459C"/>
    <w:rsid w:val="00FF56B5"/>
    <w:rsid w:val="00FF56D2"/>
    <w:rsid w:val="00FF5868"/>
    <w:rsid w:val="00FF64F0"/>
    <w:rsid w:val="00FF69A4"/>
    <w:rsid w:val="00FF6D18"/>
    <w:rsid w:val="07DA51CD"/>
    <w:rsid w:val="12783EC7"/>
    <w:rsid w:val="147F5F7D"/>
    <w:rsid w:val="1B8800B7"/>
    <w:rsid w:val="207D788F"/>
    <w:rsid w:val="21FB04E4"/>
    <w:rsid w:val="234F039E"/>
    <w:rsid w:val="2557BEAC"/>
    <w:rsid w:val="38130864"/>
    <w:rsid w:val="3CA06E6F"/>
    <w:rsid w:val="3CD45A24"/>
    <w:rsid w:val="3D0C6726"/>
    <w:rsid w:val="3FD50DCD"/>
    <w:rsid w:val="420D61A7"/>
    <w:rsid w:val="466367DE"/>
    <w:rsid w:val="4991615F"/>
    <w:rsid w:val="55BF02CC"/>
    <w:rsid w:val="57EB7375"/>
    <w:rsid w:val="593047CD"/>
    <w:rsid w:val="59683B37"/>
    <w:rsid w:val="5BA92439"/>
    <w:rsid w:val="5DD25B1C"/>
    <w:rsid w:val="5E423594"/>
    <w:rsid w:val="5E4E0E58"/>
    <w:rsid w:val="5FD224A0"/>
    <w:rsid w:val="63EE7AAE"/>
    <w:rsid w:val="6D150863"/>
    <w:rsid w:val="6D36271B"/>
    <w:rsid w:val="6EFFD993"/>
    <w:rsid w:val="6FD67D1A"/>
    <w:rsid w:val="714859FA"/>
    <w:rsid w:val="74A9310F"/>
    <w:rsid w:val="7674215F"/>
    <w:rsid w:val="77FDDD23"/>
    <w:rsid w:val="784515E0"/>
    <w:rsid w:val="7B8B5021"/>
    <w:rsid w:val="7BA37E4E"/>
    <w:rsid w:val="7EBE7518"/>
    <w:rsid w:val="7EFB82B8"/>
    <w:rsid w:val="7F635A80"/>
    <w:rsid w:val="7FFCB252"/>
    <w:rsid w:val="BBF9AA74"/>
    <w:rsid w:val="BF77EA17"/>
    <w:rsid w:val="CBED1DBA"/>
    <w:rsid w:val="DB77A9AC"/>
    <w:rsid w:val="DD3F36F6"/>
    <w:rsid w:val="DDFF5106"/>
    <w:rsid w:val="DE3DAA96"/>
    <w:rsid w:val="EBF7D680"/>
    <w:rsid w:val="F7BFFEB6"/>
    <w:rsid w:val="FCA9035C"/>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nhideWhenUsed="0"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60" w:lineRule="auto"/>
      <w:jc w:val="both"/>
    </w:pPr>
    <w:rPr>
      <w:rFonts w:ascii="宋体" w:hAnsi="Times New Roman" w:eastAsia="宋体" w:cs="Times New Roman"/>
      <w:kern w:val="2"/>
      <w:sz w:val="24"/>
      <w:szCs w:val="24"/>
      <w:lang w:val="en-US" w:eastAsia="zh-CN" w:bidi="ar-SA"/>
    </w:rPr>
  </w:style>
  <w:style w:type="paragraph" w:styleId="3">
    <w:name w:val="heading 1"/>
    <w:basedOn w:val="1"/>
    <w:next w:val="1"/>
    <w:link w:val="29"/>
    <w:qFormat/>
    <w:uiPriority w:val="0"/>
    <w:pPr>
      <w:keepNext/>
      <w:keepLines/>
      <w:numPr>
        <w:ilvl w:val="0"/>
        <w:numId w:val="1"/>
      </w:numPr>
      <w:outlineLvl w:val="0"/>
    </w:pPr>
    <w:rPr>
      <w:b/>
      <w:bCs/>
      <w:kern w:val="44"/>
      <w:szCs w:val="44"/>
    </w:rPr>
  </w:style>
  <w:style w:type="paragraph" w:styleId="4">
    <w:name w:val="heading 2"/>
    <w:basedOn w:val="1"/>
    <w:next w:val="1"/>
    <w:link w:val="39"/>
    <w:qFormat/>
    <w:uiPriority w:val="0"/>
    <w:pPr>
      <w:keepNext/>
      <w:keepLines/>
      <w:numPr>
        <w:ilvl w:val="1"/>
        <w:numId w:val="1"/>
      </w:numPr>
      <w:outlineLvl w:val="1"/>
    </w:pPr>
    <w:rPr>
      <w:rFonts w:hAnsi="Arial"/>
      <w:b/>
      <w:bCs/>
      <w:szCs w:val="32"/>
    </w:rPr>
  </w:style>
  <w:style w:type="character" w:default="1" w:styleId="16">
    <w:name w:val="Default Paragraph Font"/>
    <w:unhideWhenUsed/>
    <w:qFormat/>
    <w:uiPriority w:val="1"/>
  </w:style>
  <w:style w:type="table" w:default="1" w:styleId="14">
    <w:name w:val="Normal Table"/>
    <w:unhideWhenUsed/>
    <w:qFormat/>
    <w:uiPriority w:val="99"/>
    <w:tblPr>
      <w:tblLayout w:type="fixed"/>
      <w:tblCellMar>
        <w:top w:w="0" w:type="dxa"/>
        <w:left w:w="108" w:type="dxa"/>
        <w:bottom w:w="0" w:type="dxa"/>
        <w:right w:w="108" w:type="dxa"/>
      </w:tblCellMar>
    </w:tblPr>
  </w:style>
  <w:style w:type="paragraph" w:styleId="2">
    <w:name w:val="Body Text"/>
    <w:basedOn w:val="1"/>
    <w:next w:val="1"/>
    <w:qFormat/>
    <w:uiPriority w:val="0"/>
    <w:pPr>
      <w:adjustRightInd w:val="0"/>
      <w:spacing w:line="360" w:lineRule="auto"/>
      <w:textAlignment w:val="baseline"/>
    </w:pPr>
    <w:rPr>
      <w:rFonts w:ascii="楷体_GB2312" w:hAnsi="Times New Roman"/>
      <w:kern w:val="0"/>
      <w:sz w:val="28"/>
    </w:rPr>
  </w:style>
  <w:style w:type="paragraph" w:styleId="5">
    <w:name w:val="Normal Indent"/>
    <w:basedOn w:val="1"/>
    <w:link w:val="35"/>
    <w:qFormat/>
    <w:uiPriority w:val="0"/>
    <w:pPr>
      <w:ind w:firstLine="420" w:firstLineChars="200"/>
    </w:pPr>
    <w:rPr>
      <w:rFonts w:ascii="Times New Roman"/>
      <w:sz w:val="21"/>
    </w:rPr>
  </w:style>
  <w:style w:type="paragraph" w:styleId="6">
    <w:name w:val="annotation text"/>
    <w:basedOn w:val="1"/>
    <w:link w:val="27"/>
    <w:unhideWhenUsed/>
    <w:qFormat/>
    <w:uiPriority w:val="99"/>
    <w:pPr>
      <w:jc w:val="left"/>
    </w:pPr>
  </w:style>
  <w:style w:type="paragraph" w:styleId="7">
    <w:name w:val="Date"/>
    <w:basedOn w:val="1"/>
    <w:next w:val="1"/>
    <w:link w:val="34"/>
    <w:unhideWhenUsed/>
    <w:qFormat/>
    <w:uiPriority w:val="99"/>
    <w:pPr>
      <w:ind w:left="100" w:leftChars="2500"/>
    </w:pPr>
  </w:style>
  <w:style w:type="paragraph" w:styleId="8">
    <w:name w:val="Balloon Text"/>
    <w:basedOn w:val="1"/>
    <w:link w:val="37"/>
    <w:unhideWhenUsed/>
    <w:qFormat/>
    <w:uiPriority w:val="99"/>
    <w:pPr>
      <w:spacing w:line="240" w:lineRule="auto"/>
    </w:pPr>
    <w:rPr>
      <w:sz w:val="18"/>
      <w:szCs w:val="18"/>
    </w:rPr>
  </w:style>
  <w:style w:type="paragraph" w:styleId="9">
    <w:name w:val="footer"/>
    <w:basedOn w:val="1"/>
    <w:link w:val="31"/>
    <w:unhideWhenUsed/>
    <w:qFormat/>
    <w:uiPriority w:val="99"/>
    <w:pPr>
      <w:tabs>
        <w:tab w:val="center" w:pos="4153"/>
        <w:tab w:val="right" w:pos="8306"/>
      </w:tabs>
      <w:snapToGrid w:val="0"/>
      <w:spacing w:line="240" w:lineRule="auto"/>
      <w:jc w:val="left"/>
    </w:pPr>
    <w:rPr>
      <w:sz w:val="18"/>
      <w:szCs w:val="18"/>
    </w:rPr>
  </w:style>
  <w:style w:type="paragraph" w:styleId="10">
    <w:name w:val="header"/>
    <w:basedOn w:val="1"/>
    <w:link w:val="38"/>
    <w:qFormat/>
    <w:uiPriority w:val="0"/>
    <w:pPr>
      <w:pBdr>
        <w:bottom w:val="single" w:color="auto" w:sz="6" w:space="1"/>
      </w:pBdr>
      <w:tabs>
        <w:tab w:val="center" w:pos="4153"/>
        <w:tab w:val="right" w:pos="8306"/>
      </w:tabs>
      <w:snapToGrid w:val="0"/>
      <w:spacing w:line="240" w:lineRule="auto"/>
      <w:jc w:val="center"/>
    </w:pPr>
    <w:rPr>
      <w:rFonts w:hAnsi="Calibri"/>
      <w:kern w:val="0"/>
      <w:sz w:val="18"/>
      <w:szCs w:val="18"/>
    </w:rPr>
  </w:style>
  <w:style w:type="paragraph" w:styleId="11">
    <w:name w:val="toc 1"/>
    <w:basedOn w:val="1"/>
    <w:next w:val="1"/>
    <w:qFormat/>
    <w:uiPriority w:val="39"/>
    <w:pPr>
      <w:tabs>
        <w:tab w:val="right" w:leader="dot" w:pos="8296"/>
      </w:tabs>
    </w:pPr>
  </w:style>
  <w:style w:type="paragraph" w:styleId="12">
    <w:name w:val="Title"/>
    <w:basedOn w:val="1"/>
    <w:link w:val="28"/>
    <w:qFormat/>
    <w:uiPriority w:val="0"/>
    <w:pPr>
      <w:spacing w:before="240" w:after="60" w:line="240" w:lineRule="auto"/>
      <w:jc w:val="center"/>
      <w:outlineLvl w:val="0"/>
    </w:pPr>
    <w:rPr>
      <w:rFonts w:ascii="Arial" w:hAnsi="Arial"/>
      <w:b/>
      <w:bCs/>
      <w:sz w:val="32"/>
      <w:szCs w:val="32"/>
    </w:rPr>
  </w:style>
  <w:style w:type="paragraph" w:styleId="13">
    <w:name w:val="annotation subject"/>
    <w:basedOn w:val="6"/>
    <w:next w:val="6"/>
    <w:link w:val="26"/>
    <w:unhideWhenUsed/>
    <w:qFormat/>
    <w:uiPriority w:val="99"/>
    <w:rPr>
      <w:b/>
      <w:bCs/>
    </w:rPr>
  </w:style>
  <w:style w:type="table" w:styleId="15">
    <w:name w:val="Table Grid"/>
    <w:basedOn w:val="14"/>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styleId="17">
    <w:name w:val="Hyperlink"/>
    <w:qFormat/>
    <w:uiPriority w:val="99"/>
    <w:rPr>
      <w:color w:val="0000FF"/>
      <w:u w:val="single"/>
    </w:rPr>
  </w:style>
  <w:style w:type="character" w:styleId="18">
    <w:name w:val="annotation reference"/>
    <w:basedOn w:val="16"/>
    <w:unhideWhenUsed/>
    <w:qFormat/>
    <w:uiPriority w:val="99"/>
    <w:rPr>
      <w:sz w:val="21"/>
      <w:szCs w:val="21"/>
    </w:rPr>
  </w:style>
  <w:style w:type="paragraph" w:customStyle="1" w:styleId="19">
    <w:name w:val="样式1"/>
    <w:basedOn w:val="1"/>
    <w:qFormat/>
    <w:uiPriority w:val="0"/>
    <w:pPr>
      <w:numPr>
        <w:ilvl w:val="2"/>
        <w:numId w:val="1"/>
      </w:numPr>
    </w:pPr>
  </w:style>
  <w:style w:type="paragraph" w:customStyle="1" w:styleId="20">
    <w:name w:val="段"/>
    <w:qFormat/>
    <w:uiPriority w:val="0"/>
    <w:pPr>
      <w:ind w:firstLine="200" w:firstLineChars="200"/>
      <w:jc w:val="both"/>
    </w:pPr>
    <w:rPr>
      <w:rFonts w:ascii="宋体" w:hAnsi="Times New Roman" w:eastAsia="宋体" w:cs="Times New Roman"/>
      <w:sz w:val="21"/>
      <w:lang w:val="en-US" w:eastAsia="zh-CN" w:bidi="ar-SA"/>
    </w:rPr>
  </w:style>
  <w:style w:type="paragraph" w:customStyle="1" w:styleId="21">
    <w:name w:val="二级条标题"/>
    <w:basedOn w:val="1"/>
    <w:next w:val="1"/>
    <w:link w:val="36"/>
    <w:qFormat/>
    <w:uiPriority w:val="0"/>
    <w:pPr>
      <w:widowControl/>
      <w:spacing w:line="240" w:lineRule="auto"/>
      <w:outlineLvl w:val="3"/>
    </w:pPr>
    <w:rPr>
      <w:rFonts w:ascii="黑体" w:hAnsi="黑体" w:eastAsia="黑体"/>
      <w:b/>
      <w:kern w:val="0"/>
      <w:sz w:val="21"/>
      <w:szCs w:val="20"/>
    </w:rPr>
  </w:style>
  <w:style w:type="paragraph" w:customStyle="1" w:styleId="22">
    <w:name w:val="首行缩进"/>
    <w:basedOn w:val="1"/>
    <w:link w:val="40"/>
    <w:qFormat/>
    <w:uiPriority w:val="99"/>
    <w:pPr>
      <w:spacing w:line="300" w:lineRule="auto"/>
      <w:ind w:firstLine="420" w:firstLineChars="200"/>
    </w:pPr>
    <w:rPr>
      <w:rFonts w:ascii="Calibri" w:hAnsi="Calibri" w:eastAsia="方正书宋简体"/>
      <w:sz w:val="21"/>
      <w:szCs w:val="20"/>
    </w:rPr>
  </w:style>
  <w:style w:type="paragraph" w:customStyle="1" w:styleId="23">
    <w:name w:val="样式2"/>
    <w:basedOn w:val="1"/>
    <w:link w:val="32"/>
    <w:qFormat/>
    <w:uiPriority w:val="0"/>
    <w:pPr>
      <w:numPr>
        <w:ilvl w:val="3"/>
        <w:numId w:val="1"/>
      </w:numPr>
    </w:pPr>
    <w:rPr>
      <w:rFonts w:hAnsi="Calibri"/>
      <w:kern w:val="0"/>
    </w:rPr>
  </w:style>
  <w:style w:type="paragraph" w:customStyle="1" w:styleId="24">
    <w:name w:val="样式 标题 2"/>
    <w:basedOn w:val="4"/>
    <w:qFormat/>
    <w:uiPriority w:val="0"/>
    <w:rPr>
      <w:b w:val="0"/>
      <w:bCs w:val="0"/>
    </w:rPr>
  </w:style>
  <w:style w:type="paragraph" w:customStyle="1" w:styleId="25">
    <w:name w:val="正文1_TB"/>
    <w:basedOn w:val="1"/>
    <w:link w:val="33"/>
    <w:qFormat/>
    <w:uiPriority w:val="0"/>
    <w:pPr>
      <w:adjustRightInd w:val="0"/>
      <w:spacing w:line="320" w:lineRule="exact"/>
      <w:ind w:firstLine="420" w:firstLineChars="200"/>
      <w:jc w:val="left"/>
    </w:pPr>
    <w:rPr>
      <w:rFonts w:hAnsi="宋体"/>
      <w:kern w:val="0"/>
      <w:sz w:val="21"/>
      <w:szCs w:val="20"/>
    </w:rPr>
  </w:style>
  <w:style w:type="character" w:customStyle="1" w:styleId="26">
    <w:name w:val="批注主题 Char"/>
    <w:basedOn w:val="27"/>
    <w:link w:val="13"/>
    <w:semiHidden/>
    <w:qFormat/>
    <w:uiPriority w:val="99"/>
    <w:rPr>
      <w:b/>
      <w:bCs/>
    </w:rPr>
  </w:style>
  <w:style w:type="character" w:customStyle="1" w:styleId="27">
    <w:name w:val="批注文字 Char"/>
    <w:basedOn w:val="16"/>
    <w:link w:val="6"/>
    <w:semiHidden/>
    <w:qFormat/>
    <w:uiPriority w:val="99"/>
    <w:rPr>
      <w:rFonts w:ascii="宋体" w:hAnsi="Times New Roman"/>
      <w:kern w:val="2"/>
      <w:sz w:val="24"/>
      <w:szCs w:val="24"/>
    </w:rPr>
  </w:style>
  <w:style w:type="character" w:customStyle="1" w:styleId="28">
    <w:name w:val="标题 Char"/>
    <w:link w:val="12"/>
    <w:qFormat/>
    <w:uiPriority w:val="0"/>
    <w:rPr>
      <w:rFonts w:ascii="Arial" w:hAnsi="Arial" w:cs="Arial"/>
      <w:b/>
      <w:bCs/>
      <w:kern w:val="2"/>
      <w:sz w:val="32"/>
      <w:szCs w:val="32"/>
    </w:rPr>
  </w:style>
  <w:style w:type="character" w:customStyle="1" w:styleId="29">
    <w:name w:val="标题 1 Char"/>
    <w:link w:val="3"/>
    <w:qFormat/>
    <w:uiPriority w:val="0"/>
    <w:rPr>
      <w:rFonts w:ascii="宋体" w:hAnsi="Times New Roman"/>
      <w:b/>
      <w:bCs/>
      <w:kern w:val="44"/>
      <w:sz w:val="24"/>
      <w:szCs w:val="44"/>
    </w:rPr>
  </w:style>
  <w:style w:type="character" w:customStyle="1" w:styleId="30">
    <w:name w:val="页眉 Char1"/>
    <w:semiHidden/>
    <w:qFormat/>
    <w:uiPriority w:val="99"/>
    <w:rPr>
      <w:rFonts w:ascii="宋体" w:hAnsi="Times New Roman" w:eastAsia="宋体" w:cs="Times New Roman"/>
      <w:sz w:val="18"/>
      <w:szCs w:val="18"/>
    </w:rPr>
  </w:style>
  <w:style w:type="character" w:customStyle="1" w:styleId="31">
    <w:name w:val="页脚 Char"/>
    <w:link w:val="9"/>
    <w:qFormat/>
    <w:uiPriority w:val="99"/>
    <w:rPr>
      <w:rFonts w:ascii="宋体" w:hAnsi="Times New Roman"/>
      <w:kern w:val="2"/>
      <w:sz w:val="18"/>
      <w:szCs w:val="18"/>
    </w:rPr>
  </w:style>
  <w:style w:type="character" w:customStyle="1" w:styleId="32">
    <w:name w:val="样式2 Char Char"/>
    <w:link w:val="23"/>
    <w:qFormat/>
    <w:uiPriority w:val="0"/>
    <w:rPr>
      <w:rFonts w:ascii="宋体"/>
      <w:sz w:val="24"/>
      <w:szCs w:val="24"/>
    </w:rPr>
  </w:style>
  <w:style w:type="character" w:customStyle="1" w:styleId="33">
    <w:name w:val="正文1_TB Char"/>
    <w:link w:val="25"/>
    <w:qFormat/>
    <w:locked/>
    <w:uiPriority w:val="0"/>
    <w:rPr>
      <w:rFonts w:ascii="宋体" w:hAnsi="宋体"/>
      <w:sz w:val="21"/>
    </w:rPr>
  </w:style>
  <w:style w:type="character" w:customStyle="1" w:styleId="34">
    <w:name w:val="日期 Char"/>
    <w:link w:val="7"/>
    <w:semiHidden/>
    <w:qFormat/>
    <w:uiPriority w:val="99"/>
    <w:rPr>
      <w:rFonts w:ascii="宋体" w:hAnsi="Times New Roman"/>
      <w:kern w:val="2"/>
      <w:sz w:val="24"/>
      <w:szCs w:val="24"/>
    </w:rPr>
  </w:style>
  <w:style w:type="character" w:customStyle="1" w:styleId="35">
    <w:name w:val="正文缩进 Char"/>
    <w:link w:val="5"/>
    <w:qFormat/>
    <w:uiPriority w:val="0"/>
    <w:rPr>
      <w:rFonts w:ascii="Times New Roman" w:hAnsi="Times New Roman"/>
      <w:kern w:val="2"/>
      <w:sz w:val="21"/>
      <w:szCs w:val="24"/>
    </w:rPr>
  </w:style>
  <w:style w:type="character" w:customStyle="1" w:styleId="36">
    <w:name w:val="二级条标题 Char"/>
    <w:link w:val="21"/>
    <w:qFormat/>
    <w:locked/>
    <w:uiPriority w:val="0"/>
    <w:rPr>
      <w:rFonts w:ascii="黑体" w:hAnsi="黑体" w:eastAsia="黑体"/>
      <w:b/>
      <w:sz w:val="21"/>
    </w:rPr>
  </w:style>
  <w:style w:type="character" w:customStyle="1" w:styleId="37">
    <w:name w:val="批注框文本 Char"/>
    <w:link w:val="8"/>
    <w:semiHidden/>
    <w:qFormat/>
    <w:uiPriority w:val="99"/>
    <w:rPr>
      <w:rFonts w:ascii="宋体" w:hAnsi="Times New Roman"/>
      <w:kern w:val="2"/>
      <w:sz w:val="18"/>
      <w:szCs w:val="18"/>
    </w:rPr>
  </w:style>
  <w:style w:type="character" w:customStyle="1" w:styleId="38">
    <w:name w:val="页眉 Char"/>
    <w:link w:val="10"/>
    <w:qFormat/>
    <w:uiPriority w:val="0"/>
    <w:rPr>
      <w:rFonts w:ascii="宋体"/>
      <w:sz w:val="18"/>
      <w:szCs w:val="18"/>
    </w:rPr>
  </w:style>
  <w:style w:type="character" w:customStyle="1" w:styleId="39">
    <w:name w:val="标题 2 Char"/>
    <w:link w:val="4"/>
    <w:qFormat/>
    <w:uiPriority w:val="0"/>
    <w:rPr>
      <w:rFonts w:ascii="宋体" w:hAnsi="Arial"/>
      <w:b/>
      <w:bCs/>
      <w:kern w:val="2"/>
      <w:sz w:val="24"/>
      <w:szCs w:val="32"/>
    </w:rPr>
  </w:style>
  <w:style w:type="character" w:customStyle="1" w:styleId="40">
    <w:name w:val="首行缩进 Char"/>
    <w:link w:val="22"/>
    <w:qFormat/>
    <w:uiPriority w:val="99"/>
    <w:rPr>
      <w:rFonts w:eastAsia="方正书宋简体"/>
      <w:kern w:val="2"/>
      <w:sz w:val="21"/>
    </w:rPr>
  </w:style>
  <w:style w:type="paragraph" w:customStyle="1" w:styleId="41">
    <w:name w:val="条目名称"/>
    <w:basedOn w:val="42"/>
    <w:qFormat/>
    <w:uiPriority w:val="0"/>
    <w:pPr>
      <w:numPr>
        <w:ilvl w:val="0"/>
        <w:numId w:val="2"/>
      </w:numPr>
      <w:ind w:firstLine="0"/>
      <w:outlineLvl w:val="1"/>
    </w:pPr>
    <w:rPr>
      <w:rFonts w:hAnsi="宋体" w:eastAsia="仿宋_GB2312"/>
      <w:sz w:val="32"/>
    </w:rPr>
  </w:style>
  <w:style w:type="paragraph" w:customStyle="1" w:styleId="42">
    <w:name w:val="编号正文"/>
    <w:basedOn w:val="1"/>
    <w:qFormat/>
    <w:uiPriority w:val="0"/>
    <w:pPr>
      <w:ind w:left="3823" w:hanging="420"/>
    </w:pPr>
    <w:rPr>
      <w:rFonts w:ascii="方正仿宋_GBK"/>
      <w:sz w:val="28"/>
    </w:rPr>
  </w:style>
  <w:style w:type="paragraph" w:customStyle="1" w:styleId="43">
    <w:name w:val="pa-1"/>
    <w:basedOn w:val="1"/>
    <w:qFormat/>
    <w:uiPriority w:val="0"/>
    <w:pPr>
      <w:widowControl/>
      <w:spacing w:before="150" w:after="150"/>
      <w:jc w:val="left"/>
    </w:pPr>
    <w:rPr>
      <w:rFonts w:ascii="宋体" w:hAnsi="宋体" w:cs="宋体"/>
      <w:kern w:val="0"/>
      <w:sz w:val="24"/>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12</Pages>
  <Words>7327</Words>
  <Characters>7889</Characters>
  <Lines>59</Lines>
  <Paragraphs>16</Paragraphs>
  <TotalTime>1</TotalTime>
  <ScaleCrop>false</ScaleCrop>
  <LinksUpToDate>false</LinksUpToDate>
  <CharactersWithSpaces>8027</CharactersWithSpaces>
  <Application>WPS Office_11.8.2.8696_F1E327BC-269C-435d-A152-05C5408002CA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2017-07-29T05:15:00Z</dcterms:created>
  <dc:creator>zhong_shiyu</dc:creator>
  <cp:lastModifiedBy>秦洁露</cp:lastModifiedBy>
  <dcterms:modified xsi:type="dcterms:W3CDTF">2026-03-20T08:59:28Z</dcterms:modified>
  <cp:revision>66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2052-11.8.2.8696</vt:lpwstr>
  </property>
  <property fmtid="{D5CDD505-2E9C-101B-9397-08002B2CF9AE}" pid="3" name="ICV">
    <vt:lpwstr>B681CCE46CD94E38B9C91D5BBC275884_13</vt:lpwstr>
  </property>
  <property fmtid="{D5CDD505-2E9C-101B-9397-08002B2CF9AE}" pid="4" name="KSOTemplateDocerSaveRecord">
    <vt:lpwstr>eyJoZGlkIjoiOGVlMGYxMGVmOWJkZTkyYjU5MDY2MWFlMmFjZDIxZGQiLCJ1c2VySWQiOiIzNTUyMzcwOTcifQ==</vt:lpwstr>
  </property>
</Properties>
</file>