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  <w:highlight w:val="none"/>
        </w:rPr>
      </w:pPr>
      <w:r>
        <w:rPr>
          <w:rFonts w:hint="eastAsia" w:ascii="黑体" w:hAnsi="宋体" w:eastAsia="黑体"/>
          <w:sz w:val="52"/>
          <w:highlight w:val="none"/>
          <w:lang w:eastAsia="zh-CN"/>
        </w:rPr>
        <w:t>油位计</w:t>
      </w:r>
      <w:r>
        <w:rPr>
          <w:rFonts w:hint="eastAsia" w:ascii="黑体" w:hAnsi="宋体" w:eastAsia="黑体"/>
          <w:sz w:val="52"/>
          <w:highlight w:val="none"/>
        </w:rPr>
        <w:t>技术规范书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  <w:highlight w:val="none"/>
        </w:rPr>
      </w:pPr>
      <w:r>
        <w:rPr>
          <w:rFonts w:hint="eastAsia" w:ascii="黑体" w:hAnsi="宋体" w:eastAsia="黑体"/>
          <w:sz w:val="52"/>
          <w:highlight w:val="none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  <w:highlight w:val="none"/>
        </w:rPr>
      </w:pPr>
      <w:r>
        <w:rPr>
          <w:rFonts w:hint="eastAsia" w:hAnsi="宋体"/>
          <w:b w:val="0"/>
          <w:szCs w:val="28"/>
          <w:highlight w:val="none"/>
          <w:lang w:eastAsia="zh-CN"/>
        </w:rPr>
        <w:t>河池</w:t>
      </w:r>
      <w:r>
        <w:rPr>
          <w:rFonts w:hint="eastAsia" w:hAnsi="宋体"/>
          <w:b w:val="0"/>
          <w:szCs w:val="28"/>
          <w:highlight w:val="none"/>
        </w:rPr>
        <w:t>供电局</w:t>
      </w: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  <w:highlight w:val="none"/>
        </w:rPr>
      </w:pPr>
      <w:r>
        <w:rPr>
          <w:rFonts w:hint="eastAsia" w:hAnsi="宋体"/>
          <w:b w:val="0"/>
          <w:szCs w:val="28"/>
          <w:highlight w:val="none"/>
        </w:rPr>
        <w:t>20</w:t>
      </w:r>
      <w:r>
        <w:rPr>
          <w:rFonts w:hint="eastAsia" w:hAnsi="宋体"/>
          <w:b w:val="0"/>
          <w:szCs w:val="28"/>
          <w:highlight w:val="none"/>
          <w:lang w:val="en-US" w:eastAsia="zh-CN"/>
        </w:rPr>
        <w:t>26</w:t>
      </w:r>
      <w:r>
        <w:rPr>
          <w:rFonts w:hint="eastAsia" w:hAnsi="宋体"/>
          <w:b w:val="0"/>
          <w:szCs w:val="28"/>
          <w:highlight w:val="none"/>
        </w:rPr>
        <w:t>年</w:t>
      </w:r>
      <w:r>
        <w:rPr>
          <w:rFonts w:hint="eastAsia" w:hAnsi="宋体"/>
          <w:b w:val="0"/>
          <w:szCs w:val="28"/>
          <w:highlight w:val="none"/>
          <w:lang w:val="en-US" w:eastAsia="zh-CN"/>
        </w:rPr>
        <w:t>02</w:t>
      </w:r>
      <w:r>
        <w:rPr>
          <w:rFonts w:hint="eastAsia" w:hAnsi="宋体"/>
          <w:b w:val="0"/>
          <w:szCs w:val="28"/>
          <w:highlight w:val="none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  <w:highlight w:val="none"/>
        </w:rPr>
      </w:pPr>
    </w:p>
    <w:p>
      <w:pPr>
        <w:jc w:val="center"/>
        <w:rPr>
          <w:rFonts w:hint="eastAsia"/>
          <w:sz w:val="36"/>
          <w:highlight w:val="none"/>
        </w:rPr>
      </w:pPr>
    </w:p>
    <w:p>
      <w:pPr>
        <w:jc w:val="center"/>
        <w:rPr>
          <w:rFonts w:hint="eastAsia"/>
          <w:sz w:val="36"/>
          <w:highlight w:val="none"/>
        </w:rPr>
      </w:pPr>
    </w:p>
    <w:p>
      <w:pPr>
        <w:jc w:val="center"/>
        <w:rPr>
          <w:rFonts w:hint="eastAsia"/>
          <w:sz w:val="36"/>
          <w:highlight w:val="none"/>
        </w:rPr>
      </w:pPr>
    </w:p>
    <w:p>
      <w:pPr>
        <w:jc w:val="center"/>
        <w:rPr>
          <w:rFonts w:hint="eastAsia"/>
          <w:sz w:val="36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目</w:t>
      </w:r>
      <w:r>
        <w:rPr>
          <w:b/>
          <w:sz w:val="28"/>
          <w:szCs w:val="28"/>
          <w:highlight w:val="none"/>
        </w:rPr>
        <w:t xml:space="preserve">     </w:t>
      </w:r>
      <w:r>
        <w:rPr>
          <w:rFonts w:hint="eastAsia"/>
          <w:b/>
          <w:sz w:val="28"/>
          <w:szCs w:val="28"/>
          <w:highlight w:val="none"/>
        </w:rPr>
        <w:t>次</w:t>
      </w:r>
    </w:p>
    <w:p>
      <w:pPr>
        <w:rPr>
          <w:b/>
          <w:sz w:val="28"/>
          <w:szCs w:val="28"/>
          <w:highlight w:val="none"/>
        </w:rPr>
      </w:pPr>
    </w:p>
    <w:p>
      <w:pPr>
        <w:rPr>
          <w:b/>
          <w:sz w:val="28"/>
          <w:szCs w:val="28"/>
          <w:highlight w:val="none"/>
        </w:rPr>
      </w:pPr>
    </w:p>
    <w:p>
      <w:pPr>
        <w:numPr>
          <w:ilvl w:val="0"/>
          <w:numId w:val="1"/>
        </w:numPr>
        <w:spacing w:line="300" w:lineRule="auto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总则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  <w:highlight w:val="none"/>
        </w:rPr>
      </w:pPr>
      <w:r>
        <w:rPr>
          <w:rFonts w:hint="eastAsia" w:ascii="黑体" w:hAnsi="Calibri" w:eastAsia="黑体"/>
          <w:sz w:val="28"/>
          <w:szCs w:val="28"/>
          <w:highlight w:val="none"/>
        </w:rPr>
        <w:t>主要技术说明</w:t>
      </w:r>
    </w:p>
    <w:p>
      <w:pPr>
        <w:numPr>
          <w:ilvl w:val="0"/>
          <w:numId w:val="1"/>
        </w:numPr>
        <w:spacing w:line="300" w:lineRule="auto"/>
        <w:rPr>
          <w:bCs/>
          <w:sz w:val="28"/>
          <w:szCs w:val="28"/>
          <w:highlight w:val="none"/>
        </w:rPr>
      </w:pPr>
      <w:r>
        <w:rPr>
          <w:rFonts w:hint="eastAsia" w:ascii="黑体" w:hAnsi="宋体" w:eastAsia="黑体"/>
          <w:bCs/>
          <w:sz w:val="28"/>
          <w:szCs w:val="28"/>
          <w:highlight w:val="none"/>
        </w:rPr>
        <w:t>技术服务和售后服务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  <w:highlight w:val="none"/>
        </w:rPr>
      </w:pPr>
      <w:r>
        <w:rPr>
          <w:rFonts w:hint="eastAsia" w:ascii="黑体" w:hAnsi="宋体" w:eastAsia="黑体"/>
          <w:bCs/>
          <w:sz w:val="28"/>
          <w:szCs w:val="28"/>
          <w:highlight w:val="none"/>
        </w:rPr>
        <w:t>供货范围</w:t>
      </w:r>
      <w:r>
        <w:rPr>
          <w:sz w:val="28"/>
          <w:szCs w:val="28"/>
          <w:highlight w:val="none"/>
        </w:rPr>
        <w:t xml:space="preserve"> </w:t>
      </w:r>
    </w:p>
    <w:p>
      <w:pPr>
        <w:rPr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jc w:val="center"/>
        <w:rPr>
          <w:rFonts w:hint="eastAsia"/>
          <w:sz w:val="36"/>
          <w:highlight w:val="none"/>
          <w:lang w:eastAsia="zh-CN"/>
        </w:rPr>
      </w:pPr>
    </w:p>
    <w:p>
      <w:pPr>
        <w:jc w:val="center"/>
        <w:rPr>
          <w:sz w:val="36"/>
          <w:highlight w:val="none"/>
        </w:rPr>
      </w:pPr>
      <w:r>
        <w:rPr>
          <w:rFonts w:hint="eastAsia"/>
          <w:sz w:val="36"/>
          <w:highlight w:val="none"/>
          <w:lang w:eastAsia="zh-CN"/>
        </w:rPr>
        <w:t>油位计</w:t>
      </w:r>
      <w:r>
        <w:rPr>
          <w:rFonts w:hint="eastAsia"/>
          <w:sz w:val="36"/>
          <w:highlight w:val="none"/>
        </w:rPr>
        <w:t>技术规范书要求</w:t>
      </w:r>
    </w:p>
    <w:p>
      <w:pPr>
        <w:rPr>
          <w:rFonts w:hint="eastAsia"/>
          <w:highlight w:val="none"/>
        </w:rPr>
      </w:pPr>
      <w:r>
        <w:rPr>
          <w:rFonts w:hint="eastAsia"/>
          <w:b/>
          <w:highlight w:val="none"/>
        </w:rPr>
        <w:t xml:space="preserve">1 </w:t>
      </w:r>
      <w:r>
        <w:rPr>
          <w:rFonts w:hint="eastAsia"/>
          <w:highlight w:val="none"/>
        </w:rPr>
        <w:t xml:space="preserve"> 总则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1.1本规范书适用于</w:t>
      </w:r>
      <w:r>
        <w:rPr>
          <w:rFonts w:hint="eastAsia"/>
          <w:highlight w:val="none"/>
          <w:lang w:eastAsia="zh-CN"/>
        </w:rPr>
        <w:t>油位计</w:t>
      </w:r>
      <w:r>
        <w:rPr>
          <w:rFonts w:hint="eastAsia"/>
          <w:highlight w:val="none"/>
        </w:rPr>
        <w:t>，它提出</w:t>
      </w:r>
      <w:r>
        <w:rPr>
          <w:rFonts w:hint="eastAsia"/>
          <w:highlight w:val="none"/>
          <w:lang w:eastAsia="zh-CN"/>
        </w:rPr>
        <w:t>油位计</w:t>
      </w:r>
      <w:r>
        <w:rPr>
          <w:rFonts w:hint="eastAsia"/>
          <w:highlight w:val="none"/>
        </w:rPr>
        <w:t>的技术性能、要求、标志等。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1.5本规范书经供需双方确认后作为订货合同的技术附件，与合同正文具有同等法律效力。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1.6 本规范书未尽事宜，由供需双方协商确定。</w:t>
      </w:r>
    </w:p>
    <w:p>
      <w:pPr>
        <w:rPr>
          <w:rFonts w:hint="eastAsia"/>
          <w:highlight w:val="none"/>
        </w:rPr>
      </w:pPr>
      <w:r>
        <w:rPr>
          <w:rFonts w:hint="eastAsia"/>
          <w:b/>
          <w:highlight w:val="none"/>
        </w:rPr>
        <w:t xml:space="preserve">2 </w:t>
      </w:r>
      <w:r>
        <w:rPr>
          <w:rFonts w:hint="eastAsia"/>
          <w:highlight w:val="none"/>
        </w:rPr>
        <w:t xml:space="preserve"> 技术要求</w:t>
      </w:r>
    </w:p>
    <w:p>
      <w:pPr>
        <w:rPr>
          <w:highlight w:val="none"/>
        </w:rPr>
      </w:pPr>
      <w:r>
        <w:rPr>
          <w:rFonts w:hint="eastAsia"/>
          <w:highlight w:val="none"/>
        </w:rPr>
        <w:t xml:space="preserve">2.1 </w:t>
      </w:r>
      <w:r>
        <w:rPr>
          <w:highlight w:val="none"/>
        </w:rPr>
        <w:t>技术性能要求</w:t>
      </w:r>
    </w:p>
    <w:p>
      <w:pPr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设备名称：油位计</w:t>
      </w:r>
    </w:p>
    <w:p>
      <w:pPr>
        <w:rPr>
          <w:rFonts w:hint="eastAsia" w:ascii="宋体" w:hAnsi="宋体"/>
          <w:sz w:val="28"/>
          <w:szCs w:val="28"/>
          <w:highlight w:val="none"/>
          <w:lang w:val="en-US" w:eastAsia="zh-CN"/>
        </w:rPr>
      </w:pPr>
      <w:r>
        <w:rPr>
          <w:rFonts w:hint="eastAsia"/>
          <w:highlight w:val="none"/>
          <w:lang w:eastAsia="zh-CN"/>
        </w:rPr>
        <w:t>适用于</w:t>
      </w: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电压互感器油位观察窗有机玻璃管材质</w:t>
      </w:r>
    </w:p>
    <w:p>
      <w:p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参数详情：中心距</w:t>
      </w: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90mm</w:t>
      </w:r>
      <w:bookmarkStart w:id="0" w:name="_GoBack"/>
      <w:bookmarkEnd w:id="0"/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- 工作温度：-20℃~120℃，长期稳定不发黄变形。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- 连接方式：螺纹（G1/2″、G3/4″等）；法兰（DN15/20/25，HG20592标准）。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- 钢球自封压力：≥0.2MPa（断管时自动封堵防漏油）。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- 防护等级：IP54/IP65（户外型）。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参考图片：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5273040"/>
            <wp:effectExtent l="0" t="0" r="3810" b="3810"/>
            <wp:docPr id="1" name="图片 1" descr="ceb0943ab45f994b4047a39b29be3064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eb0943ab45f994b4047a39b29be3064_compress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center"/>
        <w:rPr>
          <w:rFonts w:hint="default"/>
          <w:lang w:val="en-US" w:eastAsia="zh-CN"/>
        </w:rPr>
      </w:pPr>
      <w:r>
        <w:rPr>
          <w:rFonts w:hint="eastAsia" w:eastAsia="宋体"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default"/>
          <w:highlight w:val="none"/>
          <w:lang w:val="en-US" w:eastAsia="zh-CN"/>
        </w:rPr>
      </w:pPr>
    </w:p>
    <w:p>
      <w:pPr>
        <w:rPr>
          <w:rFonts w:hint="default"/>
          <w:highlight w:val="none"/>
          <w:lang w:val="en-US" w:eastAsia="zh-CN"/>
        </w:rPr>
      </w:pPr>
    </w:p>
    <w:p>
      <w:pPr>
        <w:rPr>
          <w:rFonts w:hint="eastAsia" w:ascii="宋体" w:hAnsi="宋体"/>
          <w:szCs w:val="30"/>
          <w:highlight w:val="none"/>
        </w:rPr>
      </w:pPr>
      <w:r>
        <w:rPr>
          <w:rFonts w:hint="eastAsia" w:ascii="宋体" w:hAnsi="宋体"/>
          <w:b/>
          <w:szCs w:val="30"/>
          <w:highlight w:val="none"/>
        </w:rPr>
        <w:t>3</w:t>
      </w:r>
      <w:r>
        <w:rPr>
          <w:rFonts w:hint="eastAsia" w:ascii="宋体" w:hAnsi="宋体"/>
          <w:szCs w:val="30"/>
          <w:highlight w:val="none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  <w:highlight w:val="none"/>
        </w:rPr>
      </w:pPr>
      <w:r>
        <w:rPr>
          <w:rFonts w:hint="eastAsia" w:ascii="宋体" w:hAnsi="宋体"/>
          <w:szCs w:val="30"/>
          <w:highlight w:val="none"/>
        </w:rPr>
        <w:t>物资到达需方指定的地点后，由需方按相关标准要求进行抽验，发现不合格的，供方必须将该产品整批运回厂家，重新供货。</w:t>
      </w:r>
    </w:p>
    <w:p>
      <w:pPr>
        <w:numPr>
          <w:ilvl w:val="0"/>
          <w:numId w:val="2"/>
        </w:numPr>
        <w:rPr>
          <w:rFonts w:hint="eastAsia" w:ascii="宋体" w:hAnsi="宋体"/>
          <w:szCs w:val="30"/>
          <w:highlight w:val="none"/>
        </w:rPr>
      </w:pPr>
      <w:r>
        <w:rPr>
          <w:rFonts w:hint="eastAsia" w:ascii="宋体" w:hAnsi="宋体"/>
          <w:szCs w:val="30"/>
          <w:highlight w:val="none"/>
        </w:rPr>
        <w:t xml:space="preserve"> 供货范围</w:t>
      </w:r>
    </w:p>
    <w:tbl>
      <w:tblPr>
        <w:tblStyle w:val="5"/>
        <w:tblW w:w="96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2217"/>
        <w:gridCol w:w="1800"/>
        <w:gridCol w:w="1140"/>
        <w:gridCol w:w="1391"/>
        <w:gridCol w:w="21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2217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  <w:t>物资名称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规格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  <w:t>计量单位</w:t>
            </w:r>
          </w:p>
        </w:tc>
        <w:tc>
          <w:tcPr>
            <w:tcW w:w="216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2217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  <w:t>油位计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val="en-US" w:eastAsia="zh-CN"/>
              </w:rPr>
              <w:t>电压互感器油位观察窗有机玻璃管材质;中心距90mm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val="en-US" w:eastAsia="zh-CN"/>
              </w:rPr>
              <w:t>60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val="en-US" w:eastAsia="zh-CN"/>
              </w:rPr>
              <w:t>个</w:t>
            </w:r>
          </w:p>
        </w:tc>
        <w:tc>
          <w:tcPr>
            <w:tcW w:w="216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highlight w:val="none"/>
                <w:lang w:val="en-US" w:eastAsia="zh-CN"/>
              </w:rPr>
            </w:pPr>
          </w:p>
        </w:tc>
      </w:tr>
    </w:tbl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highlight w:val="none"/>
        </w:rPr>
      </w:pPr>
    </w:p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751C0D"/>
    <w:rsid w:val="166471AD"/>
    <w:rsid w:val="1A751C0D"/>
    <w:rsid w:val="4D7270AC"/>
    <w:rsid w:val="4F34552E"/>
    <w:rsid w:val="508116C7"/>
    <w:rsid w:val="60B9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2025-07-24T08:56:00Z</dcterms:created>
  <dc:creator>黄治鹏</dc:creator>
  <cp:lastModifiedBy>weiyunyi.hc</cp:lastModifiedBy>
  <dcterms:modified xsi:type="dcterms:W3CDTF">2026-03-09T02:55:59Z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103E4503D57E4333A090ED11E6F43826</vt:lpwstr>
  </property>
</Properties>
</file>