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5F7092B">
      <w:pPr>
        <w:spacing w:beforeLines="200" w:line="360" w:lineRule="auto"/>
        <w:rPr>
          <w:rFonts w:asciiTheme="minorEastAsia" w:hAnsiTheme="minorEastAsia" w:eastAsiaTheme="minorEastAsia"/>
        </w:rPr>
      </w:pPr>
      <w:r>
        <w:rPr>
          <w:rFonts w:asciiTheme="minorEastAsia" w:hAnsiTheme="minorEastAsia" w:eastAsiaTheme="minorEastAsia"/>
          <w:b/>
          <w:sz w:val="52"/>
          <w:szCs w:val="22"/>
        </w:rPr>
        <w:drawing>
          <wp:anchor distT="0" distB="0" distL="114300" distR="114300" simplePos="0" relativeHeight="251659264" behindDoc="1" locked="0" layoutInCell="1" allowOverlap="1">
            <wp:simplePos x="0" y="0"/>
            <wp:positionH relativeFrom="column">
              <wp:posOffset>-1139190</wp:posOffset>
            </wp:positionH>
            <wp:positionV relativeFrom="paragraph">
              <wp:posOffset>-955040</wp:posOffset>
            </wp:positionV>
            <wp:extent cx="8915400" cy="2736850"/>
            <wp:effectExtent l="0" t="0" r="0" b="6350"/>
            <wp:wrapTight wrapText="bothSides">
              <wp:wrapPolygon>
                <wp:start x="-23" y="0"/>
                <wp:lineTo x="-23" y="21525"/>
                <wp:lineTo x="21600" y="21525"/>
                <wp:lineTo x="21600" y="0"/>
                <wp:lineTo x="-23" y="0"/>
              </wp:wrapPolygon>
            </wp:wrapTight>
            <wp:docPr id="2" name="Picture 68"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8" descr="模板-3"/>
                    <pic:cNvPicPr>
                      <a:picLocks noChangeAspect="1"/>
                    </pic:cNvPicPr>
                  </pic:nvPicPr>
                  <pic:blipFill>
                    <a:blip r:embed="rId6"/>
                    <a:stretch>
                      <a:fillRect/>
                    </a:stretch>
                  </pic:blipFill>
                  <pic:spPr>
                    <a:xfrm>
                      <a:off x="0" y="0"/>
                      <a:ext cx="8915400" cy="2736850"/>
                    </a:xfrm>
                    <a:prstGeom prst="rect">
                      <a:avLst/>
                    </a:prstGeom>
                    <a:noFill/>
                    <a:ln w="9525">
                      <a:noFill/>
                    </a:ln>
                  </pic:spPr>
                </pic:pic>
              </a:graphicData>
            </a:graphic>
          </wp:anchor>
        </w:drawing>
      </w:r>
    </w:p>
    <w:p w14:paraId="6F33878F">
      <w:pPr>
        <w:tabs>
          <w:tab w:val="left" w:pos="480"/>
        </w:tabs>
        <w:adjustRightInd w:val="0"/>
        <w:snapToGrid w:val="0"/>
        <w:spacing w:line="360" w:lineRule="auto"/>
        <w:jc w:val="center"/>
        <w:rPr>
          <w:rFonts w:hint="eastAsia" w:asciiTheme="minorEastAsia" w:hAnsiTheme="minorEastAsia" w:eastAsiaTheme="minorEastAsia"/>
          <w:b/>
          <w:bCs/>
          <w:sz w:val="44"/>
          <w:szCs w:val="44"/>
        </w:rPr>
      </w:pPr>
      <w:r>
        <w:rPr>
          <w:rFonts w:hint="eastAsia" w:asciiTheme="minorEastAsia" w:hAnsiTheme="minorEastAsia" w:eastAsiaTheme="minorEastAsia"/>
          <w:b/>
          <w:bCs/>
          <w:sz w:val="44"/>
          <w:szCs w:val="44"/>
          <w:lang w:val="en-US" w:eastAsia="zh-CN"/>
        </w:rPr>
        <w:t>昌江</w:t>
      </w:r>
      <w:r>
        <w:rPr>
          <w:rFonts w:hint="eastAsia" w:asciiTheme="minorEastAsia" w:hAnsiTheme="minorEastAsia" w:eastAsiaTheme="minorEastAsia"/>
          <w:b/>
          <w:bCs/>
          <w:sz w:val="44"/>
          <w:szCs w:val="44"/>
        </w:rPr>
        <w:t>供电局</w:t>
      </w:r>
    </w:p>
    <w:p w14:paraId="7E93B5A2">
      <w:pPr>
        <w:tabs>
          <w:tab w:val="left" w:pos="480"/>
        </w:tabs>
        <w:adjustRightInd w:val="0"/>
        <w:snapToGrid w:val="0"/>
        <w:spacing w:line="360" w:lineRule="auto"/>
        <w:jc w:val="center"/>
        <w:rPr>
          <w:rFonts w:hint="default" w:asciiTheme="minorEastAsia" w:hAnsiTheme="minorEastAsia" w:eastAsiaTheme="minorEastAsia"/>
          <w:b/>
          <w:bCs/>
          <w:sz w:val="44"/>
          <w:szCs w:val="44"/>
          <w:lang w:val="en-US"/>
        </w:rPr>
      </w:pPr>
      <w:r>
        <w:rPr>
          <w:rFonts w:hint="eastAsia" w:asciiTheme="minorEastAsia" w:hAnsiTheme="minorEastAsia" w:eastAsiaTheme="minorEastAsia"/>
          <w:b/>
          <w:bCs/>
          <w:sz w:val="44"/>
          <w:szCs w:val="44"/>
        </w:rPr>
        <w:t>202</w:t>
      </w:r>
      <w:r>
        <w:rPr>
          <w:rFonts w:hint="eastAsia" w:asciiTheme="minorEastAsia" w:hAnsiTheme="minorEastAsia" w:eastAsiaTheme="minorEastAsia"/>
          <w:b/>
          <w:bCs/>
          <w:sz w:val="44"/>
          <w:szCs w:val="44"/>
          <w:lang w:val="en-US" w:eastAsia="zh-CN"/>
        </w:rPr>
        <w:t>5年一种基于叠加电压法的新型低压台区末端稳压装置的研制项目所需材料采购</w:t>
      </w:r>
    </w:p>
    <w:p w14:paraId="033909DD">
      <w:pPr>
        <w:pStyle w:val="4"/>
        <w:spacing w:line="360" w:lineRule="auto"/>
        <w:ind w:right="210"/>
        <w:jc w:val="center"/>
        <w:rPr>
          <w:rFonts w:asciiTheme="minorEastAsia" w:hAnsiTheme="minorEastAsia" w:eastAsiaTheme="minorEastAsia"/>
          <w:sz w:val="44"/>
          <w:szCs w:val="44"/>
        </w:rPr>
      </w:pPr>
      <w:bookmarkStart w:id="0" w:name="_Toc529463209"/>
      <w:bookmarkStart w:id="1" w:name="_Toc490828824"/>
      <w:bookmarkStart w:id="2" w:name="_Toc490994883"/>
      <w:bookmarkStart w:id="3" w:name="_Toc490828342"/>
      <w:bookmarkStart w:id="4" w:name="_Toc490992882"/>
      <w:bookmarkStart w:id="5" w:name="_Toc490833902"/>
      <w:bookmarkStart w:id="6" w:name="_Toc490836685"/>
      <w:bookmarkStart w:id="7" w:name="_Toc490993881"/>
      <w:bookmarkStart w:id="8" w:name="_Toc490827275"/>
      <w:bookmarkStart w:id="9" w:name="_Toc490836987"/>
      <w:bookmarkStart w:id="10" w:name="_Toc490836196"/>
      <w:bookmarkStart w:id="11" w:name="_Toc490993917"/>
      <w:bookmarkStart w:id="12" w:name="_Toc490836508"/>
      <w:r>
        <w:rPr>
          <w:rFonts w:asciiTheme="minorEastAsia" w:hAnsiTheme="minorEastAsia" w:eastAsiaTheme="minorEastAsia"/>
          <w:sz w:val="44"/>
          <w:szCs w:val="44"/>
        </w:rPr>
        <w:t>技术</w:t>
      </w:r>
      <w:r>
        <w:rPr>
          <w:rFonts w:hint="eastAsia" w:asciiTheme="minorEastAsia" w:hAnsiTheme="minorEastAsia" w:eastAsiaTheme="minorEastAsia"/>
          <w:sz w:val="44"/>
          <w:szCs w:val="44"/>
        </w:rPr>
        <w:t>规范书</w:t>
      </w:r>
      <w:bookmarkEnd w:id="0"/>
      <w:bookmarkEnd w:id="1"/>
      <w:bookmarkEnd w:id="2"/>
      <w:bookmarkEnd w:id="3"/>
      <w:bookmarkEnd w:id="4"/>
      <w:bookmarkEnd w:id="5"/>
      <w:bookmarkEnd w:id="6"/>
      <w:bookmarkEnd w:id="7"/>
      <w:bookmarkEnd w:id="8"/>
      <w:bookmarkEnd w:id="9"/>
      <w:bookmarkEnd w:id="10"/>
      <w:bookmarkEnd w:id="11"/>
      <w:bookmarkEnd w:id="12"/>
    </w:p>
    <w:p w14:paraId="05BA694D">
      <w:pPr>
        <w:spacing w:beforeLines="200"/>
        <w:rPr>
          <w:rFonts w:asciiTheme="minorEastAsia" w:hAnsiTheme="minorEastAsia" w:eastAsiaTheme="minorEastAsia"/>
          <w:b/>
          <w:sz w:val="52"/>
          <w:szCs w:val="22"/>
        </w:rPr>
      </w:pPr>
    </w:p>
    <w:p w14:paraId="50D26DF6">
      <w:pPr>
        <w:spacing w:beforeLines="200"/>
        <w:rPr>
          <w:rFonts w:asciiTheme="minorEastAsia" w:hAnsiTheme="minorEastAsia" w:eastAsiaTheme="minorEastAsia"/>
          <w:b/>
          <w:sz w:val="52"/>
          <w:szCs w:val="22"/>
        </w:rPr>
      </w:pPr>
    </w:p>
    <w:p w14:paraId="6FBD8BD7">
      <w:pPr>
        <w:jc w:val="center"/>
        <w:rPr>
          <w:rFonts w:hint="eastAsia"/>
          <w:b/>
          <w:sz w:val="30"/>
          <w:szCs w:val="30"/>
          <w:lang w:eastAsia="zh-CN"/>
        </w:rPr>
      </w:pPr>
      <w:r>
        <w:rPr>
          <w:rFonts w:hint="eastAsia"/>
          <w:b/>
          <w:sz w:val="30"/>
          <w:szCs w:val="30"/>
          <w:lang w:val="en-US" w:eastAsia="zh-CN"/>
        </w:rPr>
        <w:t>昌江</w:t>
      </w:r>
      <w:r>
        <w:rPr>
          <w:rFonts w:hint="eastAsia"/>
          <w:b/>
          <w:sz w:val="30"/>
          <w:szCs w:val="30"/>
          <w:lang w:eastAsia="zh-CN"/>
        </w:rPr>
        <w:t>供电局</w:t>
      </w:r>
    </w:p>
    <w:p w14:paraId="15137B74">
      <w:pPr>
        <w:jc w:val="center"/>
        <w:rPr>
          <w:b/>
          <w:sz w:val="30"/>
          <w:szCs w:val="30"/>
        </w:rPr>
      </w:pPr>
      <w:r>
        <w:rPr>
          <w:b/>
          <w:sz w:val="30"/>
          <w:szCs w:val="30"/>
        </w:rPr>
        <w:t>二〇</w:t>
      </w:r>
      <w:r>
        <w:rPr>
          <w:rFonts w:hint="eastAsia"/>
          <w:b/>
          <w:sz w:val="30"/>
          <w:szCs w:val="30"/>
          <w:lang w:eastAsia="zh-CN"/>
        </w:rPr>
        <w:t>二</w:t>
      </w:r>
      <w:r>
        <w:rPr>
          <w:rFonts w:hint="eastAsia"/>
          <w:b/>
          <w:sz w:val="30"/>
          <w:szCs w:val="30"/>
          <w:lang w:val="en-US" w:eastAsia="zh-CN"/>
        </w:rPr>
        <w:t>五</w:t>
      </w:r>
      <w:r>
        <w:rPr>
          <w:b/>
          <w:sz w:val="30"/>
          <w:szCs w:val="30"/>
        </w:rPr>
        <w:t>年</w:t>
      </w:r>
      <w:r>
        <w:rPr>
          <w:rFonts w:hint="eastAsia"/>
          <w:b/>
          <w:sz w:val="30"/>
          <w:szCs w:val="30"/>
          <w:lang w:val="en-US" w:eastAsia="zh-CN"/>
        </w:rPr>
        <w:t>七</w:t>
      </w:r>
      <w:r>
        <w:rPr>
          <w:b/>
          <w:sz w:val="30"/>
          <w:szCs w:val="30"/>
        </w:rPr>
        <w:t>月</w:t>
      </w:r>
    </w:p>
    <w:p w14:paraId="32E7CC9D">
      <w:pPr>
        <w:jc w:val="center"/>
        <w:rPr>
          <w:rFonts w:hint="default" w:eastAsia="宋体"/>
          <w:b/>
          <w:sz w:val="30"/>
          <w:szCs w:val="30"/>
          <w:lang w:val="en-US" w:eastAsia="zh-CN"/>
        </w:rPr>
      </w:pPr>
      <w:r>
        <w:rPr>
          <w:rFonts w:hint="eastAsia"/>
          <w:b/>
          <w:sz w:val="30"/>
          <w:szCs w:val="30"/>
          <w:lang w:val="en-US" w:eastAsia="zh-CN"/>
        </w:rPr>
        <w:t>项目负责人：</w:t>
      </w:r>
      <w:r>
        <w:rPr>
          <w:rFonts w:hint="eastAsia"/>
          <w:b/>
          <w:sz w:val="30"/>
          <w:szCs w:val="30"/>
          <w:u w:val="single"/>
          <w:lang w:val="en-US" w:eastAsia="zh-CN"/>
        </w:rPr>
        <w:t xml:space="preserve">       </w:t>
      </w:r>
      <w:r>
        <w:rPr>
          <w:rFonts w:hint="eastAsia"/>
          <w:b/>
          <w:sz w:val="30"/>
          <w:szCs w:val="30"/>
          <w:lang w:val="en-US" w:eastAsia="zh-CN"/>
        </w:rPr>
        <w:t>（签名）</w:t>
      </w:r>
    </w:p>
    <w:p w14:paraId="2326EC22">
      <w:pPr>
        <w:rPr>
          <w:rFonts w:hint="eastAsia"/>
        </w:rPr>
      </w:pPr>
      <w:bookmarkStart w:id="13" w:name="_Toc490993882"/>
    </w:p>
    <w:p w14:paraId="3024EAAC">
      <w:pPr>
        <w:pStyle w:val="22"/>
        <w:rPr>
          <w:rFonts w:hint="eastAsia"/>
        </w:rPr>
      </w:pPr>
    </w:p>
    <w:p w14:paraId="04FAECF2">
      <w:pPr>
        <w:pStyle w:val="4"/>
        <w:pageBreakBefore w:val="0"/>
        <w:kinsoku/>
        <w:wordWrap/>
        <w:overflowPunct/>
        <w:autoSpaceDE/>
        <w:autoSpaceDN/>
        <w:bidi w:val="0"/>
        <w:spacing w:line="560" w:lineRule="exact"/>
        <w:ind w:right="0" w:rightChars="0"/>
        <w:rPr>
          <w:sz w:val="32"/>
          <w:szCs w:val="32"/>
        </w:rPr>
      </w:pPr>
      <w:bookmarkStart w:id="14" w:name="_Toc529463210"/>
      <w:r>
        <w:rPr>
          <w:rFonts w:hint="eastAsia"/>
          <w:sz w:val="32"/>
          <w:szCs w:val="32"/>
        </w:rPr>
        <w:t>1.总则</w:t>
      </w:r>
      <w:bookmarkEnd w:id="13"/>
      <w:bookmarkEnd w:id="14"/>
    </w:p>
    <w:p w14:paraId="2B66A08D">
      <w:pPr>
        <w:pageBreakBefore w:val="0"/>
        <w:kinsoku/>
        <w:wordWrap/>
        <w:overflowPunct/>
        <w:autoSpaceDE/>
        <w:autoSpaceDN/>
        <w:bidi w:val="0"/>
        <w:spacing w:line="560" w:lineRule="exact"/>
        <w:ind w:right="0" w:rightChars="0"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本技术规范书适用于一种基于叠加电压法的新型低压台区末端稳压装置的研发项目</w:t>
      </w:r>
      <w:r>
        <w:rPr>
          <w:rFonts w:hint="eastAsia" w:asciiTheme="minorEastAsia" w:hAnsiTheme="minorEastAsia" w:eastAsiaTheme="minorEastAsia" w:cstheme="minorEastAsia"/>
          <w:sz w:val="24"/>
          <w:szCs w:val="24"/>
          <w:lang w:val="en-US" w:eastAsia="zh-CN"/>
        </w:rPr>
        <w:t>所需材料</w:t>
      </w:r>
      <w:r>
        <w:rPr>
          <w:rFonts w:hint="eastAsia" w:asciiTheme="minorEastAsia" w:hAnsiTheme="minorEastAsia" w:eastAsiaTheme="minorEastAsia" w:cstheme="minorEastAsia"/>
          <w:sz w:val="24"/>
          <w:szCs w:val="24"/>
        </w:rPr>
        <w:t>。</w:t>
      </w:r>
    </w:p>
    <w:p w14:paraId="6E70389D">
      <w:pPr>
        <w:pageBreakBefore w:val="0"/>
        <w:kinsoku/>
        <w:wordWrap/>
        <w:overflowPunct/>
        <w:autoSpaceDE/>
        <w:autoSpaceDN/>
        <w:bidi w:val="0"/>
        <w:spacing w:line="560" w:lineRule="exact"/>
        <w:ind w:right="0" w:rightChars="0"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1.1本技术规范书规定了一种基于叠加电压法的新型低压台区末端稳压装置的</w:t>
      </w:r>
      <w:r>
        <w:rPr>
          <w:rFonts w:hint="eastAsia" w:asciiTheme="minorEastAsia" w:hAnsiTheme="minorEastAsia" w:eastAsiaTheme="minorEastAsia" w:cstheme="minorEastAsia"/>
          <w:sz w:val="24"/>
          <w:szCs w:val="24"/>
          <w:lang w:val="en-US" w:eastAsia="zh-CN"/>
        </w:rPr>
        <w:t>所需材料的</w:t>
      </w:r>
      <w:r>
        <w:rPr>
          <w:rFonts w:hint="eastAsia" w:asciiTheme="minorEastAsia" w:hAnsiTheme="minorEastAsia" w:eastAsiaTheme="minorEastAsia" w:cstheme="minorEastAsia"/>
          <w:sz w:val="24"/>
          <w:szCs w:val="24"/>
          <w:lang w:eastAsia="zh-CN"/>
        </w:rPr>
        <w:t>界限</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eastAsia="zh-CN"/>
        </w:rPr>
        <w:t>技术要求、安全要求等</w:t>
      </w:r>
      <w:r>
        <w:rPr>
          <w:rFonts w:hint="eastAsia" w:asciiTheme="minorEastAsia" w:hAnsiTheme="minorEastAsia" w:eastAsiaTheme="minorEastAsia" w:cstheme="minorEastAsia"/>
          <w:sz w:val="24"/>
          <w:szCs w:val="24"/>
        </w:rPr>
        <w:t>具体内容。</w:t>
      </w:r>
    </w:p>
    <w:p w14:paraId="139E52EC">
      <w:pPr>
        <w:pageBreakBefore w:val="0"/>
        <w:kinsoku/>
        <w:wordWrap/>
        <w:overflowPunct/>
        <w:autoSpaceDE/>
        <w:autoSpaceDN/>
        <w:bidi w:val="0"/>
        <w:spacing w:line="560" w:lineRule="exact"/>
        <w:ind w:right="0" w:rightChars="0" w:firstLine="480" w:firstLineChars="200"/>
        <w:rPr>
          <w:rFonts w:hint="eastAsia"/>
          <w:sz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本技术规范书提出的技术要求。除技术规范书中规定的技术参数和要求外，其余均遵循最新版本的国家标准（GB）、电力行业标准（DL）、IEC标准和国际单位（SI）。</w:t>
      </w:r>
    </w:p>
    <w:p w14:paraId="160E3019">
      <w:pPr>
        <w:pStyle w:val="4"/>
        <w:pageBreakBefore w:val="0"/>
        <w:kinsoku/>
        <w:wordWrap/>
        <w:overflowPunct/>
        <w:autoSpaceDE/>
        <w:autoSpaceDN/>
        <w:bidi w:val="0"/>
        <w:spacing w:line="560" w:lineRule="exact"/>
        <w:ind w:right="0" w:rightChars="0"/>
        <w:rPr>
          <w:sz w:val="32"/>
          <w:szCs w:val="32"/>
        </w:rPr>
      </w:pPr>
      <w:bookmarkStart w:id="15" w:name="_Toc490993883"/>
      <w:bookmarkStart w:id="16" w:name="_Toc529463211"/>
      <w:r>
        <w:rPr>
          <w:rFonts w:hint="eastAsia"/>
          <w:sz w:val="32"/>
          <w:szCs w:val="32"/>
        </w:rPr>
        <w:t>2.</w:t>
      </w:r>
      <w:bookmarkEnd w:id="15"/>
      <w:bookmarkStart w:id="17" w:name="_Toc445396910"/>
      <w:bookmarkStart w:id="18" w:name="_Toc351722589"/>
      <w:bookmarkStart w:id="19" w:name="_Toc476060462"/>
      <w:r>
        <w:rPr>
          <w:rFonts w:hint="eastAsia"/>
          <w:sz w:val="32"/>
          <w:szCs w:val="32"/>
        </w:rPr>
        <w:t>项目目标</w:t>
      </w:r>
      <w:bookmarkEnd w:id="16"/>
      <w:bookmarkEnd w:id="17"/>
      <w:bookmarkEnd w:id="18"/>
      <w:bookmarkEnd w:id="19"/>
    </w:p>
    <w:p w14:paraId="4A30EC6D">
      <w:pPr>
        <w:pageBreakBefore w:val="0"/>
        <w:kinsoku/>
        <w:wordWrap/>
        <w:overflowPunct/>
        <w:autoSpaceDE/>
        <w:autoSpaceDN/>
        <w:bidi w:val="0"/>
        <w:spacing w:line="560" w:lineRule="exact"/>
        <w:ind w:right="0" w:rightChars="0" w:firstLine="480" w:firstLineChars="200"/>
        <w:rPr>
          <w:rFonts w:hint="default" w:asciiTheme="minorEastAsia" w:hAnsiTheme="minorEastAsia" w:eastAsiaTheme="minorEastAsia" w:cstheme="minorEastAsia"/>
          <w:sz w:val="24"/>
          <w:szCs w:val="24"/>
          <w:lang w:val="en-US" w:eastAsia="zh-CN"/>
        </w:rPr>
      </w:pPr>
      <w:bookmarkStart w:id="20" w:name="_Toc351722590"/>
      <w:bookmarkStart w:id="21" w:name="_Toc291690055"/>
      <w:r>
        <w:rPr>
          <w:rFonts w:hint="eastAsia" w:asciiTheme="minorEastAsia" w:hAnsiTheme="minorEastAsia" w:eastAsiaTheme="minorEastAsia" w:cstheme="minorEastAsia"/>
          <w:sz w:val="24"/>
          <w:szCs w:val="24"/>
          <w:lang w:val="en-US" w:eastAsia="zh-CN"/>
        </w:rPr>
        <w:t>为满足</w:t>
      </w:r>
      <w:r>
        <w:rPr>
          <w:rFonts w:hint="eastAsia" w:asciiTheme="minorEastAsia" w:hAnsiTheme="minorEastAsia" w:eastAsiaTheme="minorEastAsia" w:cstheme="minorEastAsia"/>
          <w:sz w:val="24"/>
          <w:szCs w:val="24"/>
          <w:lang w:eastAsia="zh-CN"/>
        </w:rPr>
        <w:t>研发一种基于叠加电压法的新型低压台区末端稳压装置，</w:t>
      </w:r>
      <w:r>
        <w:rPr>
          <w:rFonts w:hint="eastAsia" w:asciiTheme="minorEastAsia" w:hAnsiTheme="minorEastAsia" w:eastAsiaTheme="minorEastAsia" w:cstheme="minorEastAsia"/>
          <w:sz w:val="24"/>
          <w:szCs w:val="24"/>
          <w:lang w:val="en-US" w:eastAsia="zh-CN"/>
        </w:rPr>
        <w:t>拟</w:t>
      </w:r>
      <w:r>
        <w:rPr>
          <w:rFonts w:hint="eastAsia" w:asciiTheme="minorEastAsia" w:hAnsiTheme="minorEastAsia" w:eastAsiaTheme="minorEastAsia" w:cstheme="minorEastAsia"/>
          <w:sz w:val="24"/>
          <w:szCs w:val="24"/>
          <w:lang w:eastAsia="zh-CN"/>
        </w:rPr>
        <w:t>通过在配电线路末端叠加一个与线路电压同相位，振幅自动调节的电压源，利用自动调压算法，实时监测输出电压的变化，调整装置的运作参数，保证输出电压的稳定。同时制定了过压保护、过流保护、过温保护等保护算法，防止设备损坏。该</w:t>
      </w:r>
      <w:r>
        <w:rPr>
          <w:rFonts w:hint="eastAsia" w:asciiTheme="minorEastAsia" w:hAnsiTheme="minorEastAsia" w:eastAsiaTheme="minorEastAsia" w:cstheme="minorEastAsia"/>
          <w:sz w:val="24"/>
          <w:szCs w:val="24"/>
          <w:lang w:val="en-US" w:eastAsia="zh-CN"/>
        </w:rPr>
        <w:t>装置</w:t>
      </w:r>
      <w:r>
        <w:rPr>
          <w:rFonts w:hint="eastAsia" w:asciiTheme="minorEastAsia" w:hAnsiTheme="minorEastAsia" w:eastAsiaTheme="minorEastAsia" w:cstheme="minorEastAsia"/>
          <w:sz w:val="24"/>
          <w:szCs w:val="24"/>
          <w:lang w:eastAsia="zh-CN"/>
        </w:rPr>
        <w:t>成本低，施工周期短、易于实施，具有很好的实用价值和推广应用前景。</w:t>
      </w:r>
    </w:p>
    <w:p w14:paraId="3C8D3938">
      <w:pPr>
        <w:pStyle w:val="4"/>
        <w:pageBreakBefore w:val="0"/>
        <w:numPr>
          <w:ilvl w:val="0"/>
          <w:numId w:val="0"/>
        </w:numPr>
        <w:kinsoku/>
        <w:wordWrap/>
        <w:overflowPunct/>
        <w:autoSpaceDE/>
        <w:autoSpaceDN/>
        <w:bidi w:val="0"/>
        <w:spacing w:line="560" w:lineRule="exact"/>
        <w:ind w:right="0" w:rightChars="0"/>
        <w:rPr>
          <w:rFonts w:hint="eastAsia"/>
          <w:lang w:eastAsia="zh-CN"/>
        </w:rPr>
      </w:pPr>
      <w:bookmarkStart w:id="22" w:name="_Toc529463212"/>
      <w:bookmarkStart w:id="23" w:name="_Toc476060463"/>
      <w:bookmarkStart w:id="24" w:name="_Toc445396911"/>
      <w:r>
        <w:rPr>
          <w:rFonts w:hint="eastAsia"/>
          <w:sz w:val="32"/>
          <w:szCs w:val="32"/>
          <w:lang w:val="en-US" w:eastAsia="zh-CN"/>
        </w:rPr>
        <w:t>3.</w:t>
      </w:r>
      <w:r>
        <w:rPr>
          <w:rFonts w:hint="eastAsia"/>
          <w:sz w:val="32"/>
          <w:szCs w:val="32"/>
        </w:rPr>
        <w:t>服务</w:t>
      </w:r>
      <w:bookmarkEnd w:id="20"/>
      <w:bookmarkEnd w:id="21"/>
      <w:bookmarkEnd w:id="22"/>
      <w:bookmarkEnd w:id="23"/>
      <w:bookmarkEnd w:id="24"/>
      <w:r>
        <w:rPr>
          <w:rFonts w:hint="eastAsia"/>
          <w:sz w:val="32"/>
          <w:szCs w:val="32"/>
          <w:lang w:eastAsia="zh-CN"/>
        </w:rPr>
        <w:t>要求</w:t>
      </w:r>
    </w:p>
    <w:p w14:paraId="4291A2A6">
      <w:pPr>
        <w:pStyle w:val="47"/>
        <w:widowControl/>
        <w:numPr>
          <w:ilvl w:val="0"/>
          <w:numId w:val="0"/>
        </w:numPr>
        <w:shd w:val="clear" w:color="auto" w:fill="FFFFFF"/>
        <w:tabs>
          <w:tab w:val="left" w:pos="0"/>
        </w:tabs>
        <w:spacing w:before="105" w:beforeAutospacing="0" w:after="105" w:afterAutospacing="0" w:line="360" w:lineRule="auto"/>
        <w:ind w:firstLine="480" w:firstLineChars="200"/>
        <w:jc w:val="left"/>
        <w:rPr>
          <w:rFonts w:hint="eastAsia" w:asciiTheme="minorEastAsia" w:hAnsiTheme="minorEastAsia" w:eastAsiaTheme="minorEastAsia" w:cstheme="minorEastAsia"/>
          <w:kern w:val="2"/>
          <w:sz w:val="24"/>
          <w:szCs w:val="24"/>
          <w:lang w:val="en-US" w:eastAsia="zh-CN" w:bidi="ar-SA"/>
        </w:rPr>
      </w:pPr>
      <w:bookmarkStart w:id="25" w:name="_Toc529463214"/>
      <w:bookmarkStart w:id="26" w:name="_Toc490993885"/>
      <w:r>
        <w:rPr>
          <w:rFonts w:hint="eastAsia" w:asciiTheme="minorEastAsia" w:hAnsiTheme="minorEastAsia" w:eastAsiaTheme="minorEastAsia" w:cstheme="minorEastAsia"/>
          <w:kern w:val="2"/>
          <w:sz w:val="24"/>
          <w:szCs w:val="24"/>
          <w:lang w:val="en-US" w:eastAsia="zh-CN" w:bidi="ar-SA"/>
        </w:rPr>
        <w:t>3.1总体要求：要求中标单位做好一种基于叠加电压法的新型低压台区末端稳压装置研制过程中的才材料供应和质量控制，使得产品符合高效精准作业、安全保、障升级、成本优化测试和场景适配性测试。</w:t>
      </w:r>
    </w:p>
    <w:p w14:paraId="01636221">
      <w:pPr>
        <w:pStyle w:val="47"/>
        <w:widowControl/>
        <w:numPr>
          <w:ilvl w:val="0"/>
          <w:numId w:val="0"/>
        </w:numPr>
        <w:shd w:val="clear" w:color="auto" w:fill="FFFFFF"/>
        <w:tabs>
          <w:tab w:val="left" w:pos="0"/>
        </w:tabs>
        <w:spacing w:before="105" w:beforeAutospacing="0" w:after="105" w:afterAutospacing="0" w:line="360" w:lineRule="auto"/>
        <w:ind w:firstLine="480" w:firstLineChars="20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3.2项目要求完成新型低压台区末端稳压装置的研制工作，设备需具备以下功能：</w:t>
      </w:r>
    </w:p>
    <w:p w14:paraId="16F0383D">
      <w:pPr>
        <w:pStyle w:val="47"/>
        <w:widowControl/>
        <w:numPr>
          <w:ilvl w:val="0"/>
          <w:numId w:val="0"/>
        </w:numPr>
        <w:shd w:val="clear" w:color="auto" w:fill="FFFFFF"/>
        <w:tabs>
          <w:tab w:val="left" w:pos="0"/>
        </w:tabs>
        <w:spacing w:before="105" w:beforeAutospacing="0" w:after="105" w:afterAutospacing="0" w:line="360" w:lineRule="auto"/>
        <w:ind w:firstLine="480" w:firstLineChars="20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（1）低电压补偿功能：当系统末端电压低于合格范围时，低压台区末端稳压装置应自动投入运行，将末端电压提升至设定的合格范围内，从而有效降低因低电压引起的线路损耗。</w:t>
      </w:r>
    </w:p>
    <w:p w14:paraId="399F09FA">
      <w:pPr>
        <w:pStyle w:val="47"/>
        <w:widowControl/>
        <w:numPr>
          <w:ilvl w:val="0"/>
          <w:numId w:val="0"/>
        </w:numPr>
        <w:shd w:val="clear" w:color="auto" w:fill="FFFFFF"/>
        <w:tabs>
          <w:tab w:val="left" w:pos="0"/>
        </w:tabs>
        <w:spacing w:before="105" w:beforeAutospacing="0" w:after="105" w:afterAutospacing="0" w:line="360" w:lineRule="auto"/>
        <w:ind w:firstLine="480" w:firstLineChars="20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电压自动调节功能：装置应支持电压合格范围的设定。当系统电压超出该设定范围时，转换模块应自动动作，将电压调整至系统所需的目标值；同时，通过耦合装置实现输出电压与系统电压的叠加或相减，完成对系统电压的精确调节。</w:t>
      </w:r>
    </w:p>
    <w:p w14:paraId="128293BE">
      <w:pPr>
        <w:pStyle w:val="47"/>
        <w:widowControl/>
        <w:numPr>
          <w:ilvl w:val="0"/>
          <w:numId w:val="0"/>
        </w:numPr>
        <w:shd w:val="clear" w:color="auto" w:fill="FFFFFF"/>
        <w:tabs>
          <w:tab w:val="left" w:pos="0"/>
        </w:tabs>
        <w:spacing w:before="105" w:beforeAutospacing="0" w:after="105" w:afterAutospacing="0" w:line="360" w:lineRule="auto"/>
        <w:ind w:firstLine="480" w:firstLineChars="20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投标方应仔细阅读包括本技术规范书在内的招标文件的所有条款，投标方提供的技术应符合本规范书的要求。</w:t>
      </w:r>
    </w:p>
    <w:p w14:paraId="52CAEE89">
      <w:pPr>
        <w:pStyle w:val="47"/>
        <w:widowControl/>
        <w:numPr>
          <w:ilvl w:val="0"/>
          <w:numId w:val="0"/>
        </w:numPr>
        <w:shd w:val="clear" w:color="auto" w:fill="FFFFFF"/>
        <w:tabs>
          <w:tab w:val="left" w:pos="0"/>
        </w:tabs>
        <w:spacing w:before="105" w:beforeAutospacing="0" w:after="105" w:afterAutospacing="0" w:line="360" w:lineRule="auto"/>
        <w:ind w:firstLine="480" w:firstLineChars="20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4.3实施内容</w:t>
      </w:r>
    </w:p>
    <w:p w14:paraId="7F6C86D2">
      <w:pPr>
        <w:pStyle w:val="47"/>
        <w:widowControl/>
        <w:numPr>
          <w:ilvl w:val="0"/>
          <w:numId w:val="0"/>
        </w:numPr>
        <w:shd w:val="clear" w:color="auto" w:fill="FFFFFF"/>
        <w:tabs>
          <w:tab w:val="left" w:pos="0"/>
        </w:tabs>
        <w:spacing w:before="105" w:beforeAutospacing="0" w:after="105" w:afterAutospacing="0" w:line="360" w:lineRule="auto"/>
        <w:ind w:firstLine="480" w:firstLineChars="20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（1）协助业主在实际用户环境中进行试点应用，验证稳压装置的性能与可靠性，收集用户反馈，进行必要的优化与改进。</w:t>
      </w:r>
    </w:p>
    <w:p w14:paraId="1FF07A38">
      <w:pPr>
        <w:pStyle w:val="47"/>
        <w:widowControl/>
        <w:numPr>
          <w:ilvl w:val="0"/>
          <w:numId w:val="0"/>
        </w:numPr>
        <w:shd w:val="clear" w:color="auto" w:fill="FFFFFF"/>
        <w:tabs>
          <w:tab w:val="left" w:pos="0"/>
        </w:tabs>
        <w:spacing w:before="105" w:beforeAutospacing="0" w:after="105" w:afterAutospacing="0" w:line="360" w:lineRule="auto"/>
        <w:ind w:firstLine="480" w:firstLineChars="20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（3）协助业主申请并获得相关实用新型专利一项、技术报告一篇、撰写并发表专业论文一篇、制作项目宣传视频，提升项目的社会影响力。</w:t>
      </w:r>
    </w:p>
    <w:p w14:paraId="434A771E">
      <w:pPr>
        <w:pStyle w:val="4"/>
        <w:pageBreakBefore w:val="0"/>
        <w:numPr>
          <w:ilvl w:val="0"/>
          <w:numId w:val="2"/>
        </w:numPr>
        <w:kinsoku/>
        <w:wordWrap/>
        <w:overflowPunct/>
        <w:autoSpaceDE/>
        <w:autoSpaceDN/>
        <w:bidi w:val="0"/>
        <w:spacing w:line="560" w:lineRule="exact"/>
        <w:ind w:right="0" w:rightChars="0"/>
        <w:rPr>
          <w:rFonts w:hint="eastAsia"/>
          <w:sz w:val="32"/>
          <w:szCs w:val="32"/>
        </w:rPr>
      </w:pPr>
      <w:r>
        <w:rPr>
          <w:rFonts w:hint="eastAsia"/>
          <w:sz w:val="32"/>
          <w:szCs w:val="32"/>
        </w:rPr>
        <w:t>技术要求</w:t>
      </w:r>
      <w:bookmarkEnd w:id="25"/>
      <w:bookmarkEnd w:id="26"/>
    </w:p>
    <w:p w14:paraId="5D6B8903">
      <w:pPr>
        <w:rPr>
          <w:rFonts w:hint="eastAsia"/>
        </w:rPr>
      </w:pPr>
    </w:p>
    <w:tbl>
      <w:tblPr>
        <w:tblStyle w:val="25"/>
        <w:tblW w:w="8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1636"/>
        <w:gridCol w:w="2690"/>
        <w:gridCol w:w="625"/>
        <w:gridCol w:w="1090"/>
        <w:gridCol w:w="1475"/>
      </w:tblGrid>
      <w:tr w14:paraId="0BD0C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21" w:type="dxa"/>
            <w:noWrap w:val="0"/>
            <w:vAlign w:val="center"/>
          </w:tcPr>
          <w:p w14:paraId="09502F51">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序号</w:t>
            </w:r>
          </w:p>
        </w:tc>
        <w:tc>
          <w:tcPr>
            <w:tcW w:w="1636" w:type="dxa"/>
            <w:noWrap w:val="0"/>
            <w:vAlign w:val="center"/>
          </w:tcPr>
          <w:p w14:paraId="57405FC2">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名称</w:t>
            </w:r>
          </w:p>
        </w:tc>
        <w:tc>
          <w:tcPr>
            <w:tcW w:w="2690" w:type="dxa"/>
            <w:noWrap w:val="0"/>
            <w:vAlign w:val="center"/>
          </w:tcPr>
          <w:p w14:paraId="7453DA39">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技术要求等</w:t>
            </w:r>
          </w:p>
        </w:tc>
        <w:tc>
          <w:tcPr>
            <w:tcW w:w="625" w:type="dxa"/>
            <w:noWrap w:val="0"/>
            <w:vAlign w:val="center"/>
          </w:tcPr>
          <w:p w14:paraId="1E0C6CE1">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数量</w:t>
            </w:r>
          </w:p>
        </w:tc>
        <w:tc>
          <w:tcPr>
            <w:tcW w:w="1090" w:type="dxa"/>
            <w:noWrap w:val="0"/>
            <w:vAlign w:val="center"/>
          </w:tcPr>
          <w:p w14:paraId="162B7093">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计量单位</w:t>
            </w:r>
          </w:p>
        </w:tc>
        <w:tc>
          <w:tcPr>
            <w:tcW w:w="1475" w:type="dxa"/>
            <w:noWrap w:val="0"/>
            <w:vAlign w:val="center"/>
          </w:tcPr>
          <w:p w14:paraId="1667690B">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备注</w:t>
            </w:r>
          </w:p>
        </w:tc>
      </w:tr>
      <w:tr w14:paraId="40E0B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4" w:hRule="atLeast"/>
        </w:trPr>
        <w:tc>
          <w:tcPr>
            <w:tcW w:w="721" w:type="dxa"/>
            <w:noWrap w:val="0"/>
            <w:vAlign w:val="center"/>
          </w:tcPr>
          <w:p w14:paraId="0071E3EC">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1</w:t>
            </w:r>
          </w:p>
        </w:tc>
        <w:tc>
          <w:tcPr>
            <w:tcW w:w="1636" w:type="dxa"/>
            <w:noWrap w:val="0"/>
            <w:vAlign w:val="center"/>
          </w:tcPr>
          <w:p w14:paraId="65953C45">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电压调控组件</w:t>
            </w:r>
          </w:p>
        </w:tc>
        <w:tc>
          <w:tcPr>
            <w:tcW w:w="2690" w:type="dxa"/>
            <w:noWrap w:val="0"/>
            <w:vAlign w:val="center"/>
          </w:tcPr>
          <w:p w14:paraId="2D148A03">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具备两段式调压能力，调节范围±20%，整机效率</w:t>
            </w:r>
            <w:r>
              <w:rPr>
                <w:rFonts w:hint="eastAsia" w:ascii="宋体" w:hAnsi="宋体" w:eastAsia="宋体" w:cs="Times New Roman"/>
                <w:kern w:val="2"/>
                <w:sz w:val="18"/>
                <w:szCs w:val="18"/>
                <w:lang w:val="en-US" w:eastAsia="zh-CN" w:bidi="ar-SA"/>
              </w:rPr>
              <w:t>≥98%，五档调压</w:t>
            </w:r>
          </w:p>
        </w:tc>
        <w:tc>
          <w:tcPr>
            <w:tcW w:w="625" w:type="dxa"/>
            <w:noWrap w:val="0"/>
            <w:vAlign w:val="center"/>
          </w:tcPr>
          <w:p w14:paraId="30BAF234">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1</w:t>
            </w:r>
          </w:p>
        </w:tc>
        <w:tc>
          <w:tcPr>
            <w:tcW w:w="1090" w:type="dxa"/>
            <w:noWrap w:val="0"/>
            <w:vAlign w:val="center"/>
          </w:tcPr>
          <w:p w14:paraId="6DD5FBD3">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套</w:t>
            </w:r>
          </w:p>
        </w:tc>
        <w:tc>
          <w:tcPr>
            <w:tcW w:w="1475" w:type="dxa"/>
            <w:noWrap w:val="0"/>
            <w:vAlign w:val="center"/>
          </w:tcPr>
          <w:p w14:paraId="670A90C8">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p>
        </w:tc>
      </w:tr>
      <w:tr w14:paraId="09078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721" w:type="dxa"/>
            <w:noWrap w:val="0"/>
            <w:vAlign w:val="center"/>
          </w:tcPr>
          <w:p w14:paraId="605325F2">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2</w:t>
            </w:r>
          </w:p>
        </w:tc>
        <w:tc>
          <w:tcPr>
            <w:tcW w:w="1636" w:type="dxa"/>
            <w:noWrap w:val="0"/>
            <w:vAlign w:val="center"/>
          </w:tcPr>
          <w:p w14:paraId="3A2AA535">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电压监控组件</w:t>
            </w:r>
          </w:p>
        </w:tc>
        <w:tc>
          <w:tcPr>
            <w:tcW w:w="2690" w:type="dxa"/>
            <w:noWrap w:val="0"/>
            <w:vAlign w:val="center"/>
          </w:tcPr>
          <w:p w14:paraId="3A8ADE21">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实时监控电压，误差0.5%，可将数据上传至稳压控制组件</w:t>
            </w:r>
          </w:p>
        </w:tc>
        <w:tc>
          <w:tcPr>
            <w:tcW w:w="625" w:type="dxa"/>
            <w:noWrap w:val="0"/>
            <w:vAlign w:val="center"/>
          </w:tcPr>
          <w:p w14:paraId="194055E6">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1</w:t>
            </w:r>
          </w:p>
        </w:tc>
        <w:tc>
          <w:tcPr>
            <w:tcW w:w="1090" w:type="dxa"/>
            <w:noWrap w:val="0"/>
            <w:vAlign w:val="center"/>
          </w:tcPr>
          <w:p w14:paraId="04E4297B">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套</w:t>
            </w:r>
          </w:p>
        </w:tc>
        <w:tc>
          <w:tcPr>
            <w:tcW w:w="1475" w:type="dxa"/>
            <w:noWrap w:val="0"/>
            <w:vAlign w:val="center"/>
          </w:tcPr>
          <w:p w14:paraId="603A2B65">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p>
        </w:tc>
      </w:tr>
      <w:tr w14:paraId="52E62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721" w:type="dxa"/>
            <w:noWrap w:val="0"/>
            <w:vAlign w:val="center"/>
          </w:tcPr>
          <w:p w14:paraId="2A3A4B44">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3</w:t>
            </w:r>
          </w:p>
        </w:tc>
        <w:tc>
          <w:tcPr>
            <w:tcW w:w="1636" w:type="dxa"/>
            <w:noWrap w:val="0"/>
            <w:vAlign w:val="center"/>
          </w:tcPr>
          <w:p w14:paraId="48A68117">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稳压控制组件</w:t>
            </w:r>
          </w:p>
        </w:tc>
        <w:tc>
          <w:tcPr>
            <w:tcW w:w="2690" w:type="dxa"/>
            <w:noWrap w:val="0"/>
            <w:vAlign w:val="center"/>
          </w:tcPr>
          <w:p w14:paraId="2D1B0EC2">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可采集电压监控组件数据，控制电压调控组件接入，整体接入时间小于50ms，</w:t>
            </w:r>
            <w:r>
              <w:rPr>
                <w:rFonts w:hint="eastAsia" w:ascii="宋体" w:hAnsi="宋体" w:eastAsia="宋体" w:cs="Times New Roman"/>
                <w:kern w:val="2"/>
                <w:sz w:val="18"/>
                <w:szCs w:val="18"/>
                <w:lang w:val="en-US" w:eastAsia="zh-CN" w:bidi="ar-SA"/>
              </w:rPr>
              <w:t>电压过零点无延时调节，</w:t>
            </w:r>
            <w:r>
              <w:rPr>
                <w:rFonts w:hint="eastAsia" w:asciiTheme="minorEastAsia" w:hAnsiTheme="minorEastAsia" w:eastAsiaTheme="minorEastAsia" w:cstheme="minorEastAsia"/>
                <w:color w:val="auto"/>
                <w:sz w:val="18"/>
                <w:szCs w:val="18"/>
                <w:highlight w:val="none"/>
                <w:u w:val="none"/>
                <w:vertAlign w:val="baseline"/>
                <w:lang w:val="en-US" w:eastAsia="zh-CN"/>
              </w:rPr>
              <w:t>过流、过压、过温自动保护功能</w:t>
            </w:r>
          </w:p>
        </w:tc>
        <w:tc>
          <w:tcPr>
            <w:tcW w:w="625" w:type="dxa"/>
            <w:noWrap w:val="0"/>
            <w:vAlign w:val="center"/>
          </w:tcPr>
          <w:p w14:paraId="00A3D8B2">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1</w:t>
            </w:r>
          </w:p>
        </w:tc>
        <w:tc>
          <w:tcPr>
            <w:tcW w:w="1090" w:type="dxa"/>
            <w:noWrap w:val="0"/>
            <w:vAlign w:val="center"/>
          </w:tcPr>
          <w:p w14:paraId="3E369C36">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套</w:t>
            </w:r>
          </w:p>
        </w:tc>
        <w:tc>
          <w:tcPr>
            <w:tcW w:w="1475" w:type="dxa"/>
            <w:noWrap w:val="0"/>
            <w:vAlign w:val="center"/>
          </w:tcPr>
          <w:p w14:paraId="50E2389A">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p>
        </w:tc>
      </w:tr>
      <w:tr w14:paraId="7A3BB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21" w:type="dxa"/>
            <w:noWrap w:val="0"/>
            <w:vAlign w:val="center"/>
          </w:tcPr>
          <w:p w14:paraId="3706FE03">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4</w:t>
            </w:r>
          </w:p>
        </w:tc>
        <w:tc>
          <w:tcPr>
            <w:tcW w:w="1636" w:type="dxa"/>
            <w:noWrap w:val="0"/>
            <w:vAlign w:val="center"/>
          </w:tcPr>
          <w:p w14:paraId="790137F3">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远程监控组件</w:t>
            </w:r>
          </w:p>
        </w:tc>
        <w:tc>
          <w:tcPr>
            <w:tcW w:w="2690" w:type="dxa"/>
            <w:noWrap w:val="0"/>
            <w:vAlign w:val="center"/>
          </w:tcPr>
          <w:p w14:paraId="4D8E0868">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将电压监控组件数据远程传输</w:t>
            </w:r>
          </w:p>
        </w:tc>
        <w:tc>
          <w:tcPr>
            <w:tcW w:w="625" w:type="dxa"/>
            <w:noWrap w:val="0"/>
            <w:vAlign w:val="center"/>
          </w:tcPr>
          <w:p w14:paraId="7551D453">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1</w:t>
            </w:r>
          </w:p>
        </w:tc>
        <w:tc>
          <w:tcPr>
            <w:tcW w:w="1090" w:type="dxa"/>
            <w:noWrap w:val="0"/>
            <w:vAlign w:val="center"/>
          </w:tcPr>
          <w:p w14:paraId="557BD14B">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套</w:t>
            </w:r>
          </w:p>
        </w:tc>
        <w:tc>
          <w:tcPr>
            <w:tcW w:w="1475" w:type="dxa"/>
            <w:noWrap w:val="0"/>
            <w:vAlign w:val="center"/>
          </w:tcPr>
          <w:p w14:paraId="5A7CA683">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p>
        </w:tc>
      </w:tr>
      <w:tr w14:paraId="7A255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721" w:type="dxa"/>
            <w:noWrap w:val="0"/>
            <w:vAlign w:val="center"/>
          </w:tcPr>
          <w:p w14:paraId="793EDFC9">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5</w:t>
            </w:r>
          </w:p>
        </w:tc>
        <w:tc>
          <w:tcPr>
            <w:tcW w:w="1636" w:type="dxa"/>
            <w:noWrap w:val="0"/>
            <w:vAlign w:val="center"/>
          </w:tcPr>
          <w:p w14:paraId="6DEA02B1">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稳压防护组件</w:t>
            </w:r>
          </w:p>
        </w:tc>
        <w:tc>
          <w:tcPr>
            <w:tcW w:w="2690" w:type="dxa"/>
            <w:noWrap w:val="0"/>
            <w:vAlign w:val="center"/>
          </w:tcPr>
          <w:p w14:paraId="0B6E7C01">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201不锈钢喷塑，支持单杆或落地安装，防护等级</w:t>
            </w:r>
            <w:r>
              <w:rPr>
                <w:rFonts w:hint="eastAsia" w:ascii="宋体" w:hAnsi="宋体" w:eastAsia="宋体" w:cs="Times New Roman"/>
                <w:kern w:val="2"/>
                <w:sz w:val="18"/>
                <w:szCs w:val="18"/>
                <w:lang w:val="en-US" w:eastAsia="zh-CN" w:bidi="ar-SA"/>
              </w:rPr>
              <w:t>≥IP44</w:t>
            </w:r>
          </w:p>
        </w:tc>
        <w:tc>
          <w:tcPr>
            <w:tcW w:w="625" w:type="dxa"/>
            <w:noWrap w:val="0"/>
            <w:vAlign w:val="center"/>
          </w:tcPr>
          <w:p w14:paraId="7E196A00">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1</w:t>
            </w:r>
          </w:p>
        </w:tc>
        <w:tc>
          <w:tcPr>
            <w:tcW w:w="1090" w:type="dxa"/>
            <w:noWrap w:val="0"/>
            <w:vAlign w:val="center"/>
          </w:tcPr>
          <w:p w14:paraId="59FB3784">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套</w:t>
            </w:r>
          </w:p>
        </w:tc>
        <w:tc>
          <w:tcPr>
            <w:tcW w:w="1475" w:type="dxa"/>
            <w:noWrap w:val="0"/>
            <w:vAlign w:val="center"/>
          </w:tcPr>
          <w:p w14:paraId="647504DF">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p>
        </w:tc>
      </w:tr>
      <w:tr w14:paraId="6EE4D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721" w:type="dxa"/>
            <w:noWrap w:val="0"/>
            <w:vAlign w:val="center"/>
          </w:tcPr>
          <w:p w14:paraId="2F5D12DE">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6</w:t>
            </w:r>
          </w:p>
        </w:tc>
        <w:tc>
          <w:tcPr>
            <w:tcW w:w="1636" w:type="dxa"/>
            <w:noWrap w:val="0"/>
            <w:vAlign w:val="center"/>
          </w:tcPr>
          <w:p w14:paraId="0344FD22">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安装附件</w:t>
            </w:r>
          </w:p>
        </w:tc>
        <w:tc>
          <w:tcPr>
            <w:tcW w:w="2690" w:type="dxa"/>
            <w:noWrap w:val="0"/>
            <w:vAlign w:val="center"/>
          </w:tcPr>
          <w:p w14:paraId="4F8DA89A">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辅助稳压防护组件安装</w:t>
            </w:r>
          </w:p>
        </w:tc>
        <w:tc>
          <w:tcPr>
            <w:tcW w:w="625" w:type="dxa"/>
            <w:noWrap w:val="0"/>
            <w:vAlign w:val="center"/>
          </w:tcPr>
          <w:p w14:paraId="71BF680A">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1</w:t>
            </w:r>
          </w:p>
        </w:tc>
        <w:tc>
          <w:tcPr>
            <w:tcW w:w="1090" w:type="dxa"/>
            <w:noWrap w:val="0"/>
            <w:vAlign w:val="center"/>
          </w:tcPr>
          <w:p w14:paraId="49DBAD93">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套</w:t>
            </w:r>
          </w:p>
        </w:tc>
        <w:tc>
          <w:tcPr>
            <w:tcW w:w="1475" w:type="dxa"/>
            <w:noWrap w:val="0"/>
            <w:vAlign w:val="center"/>
          </w:tcPr>
          <w:p w14:paraId="46FE9E60">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p>
        </w:tc>
      </w:tr>
    </w:tbl>
    <w:p w14:paraId="44A213B5">
      <w:pPr>
        <w:pStyle w:val="4"/>
        <w:pageBreakBefore w:val="0"/>
        <w:kinsoku/>
        <w:wordWrap/>
        <w:overflowPunct/>
        <w:autoSpaceDE/>
        <w:autoSpaceDN/>
        <w:bidi w:val="0"/>
        <w:spacing w:line="560" w:lineRule="exact"/>
        <w:ind w:right="0" w:rightChars="0"/>
        <w:rPr>
          <w:rFonts w:hint="eastAsia"/>
          <w:sz w:val="32"/>
          <w:szCs w:val="32"/>
        </w:rPr>
      </w:pPr>
      <w:bookmarkStart w:id="27" w:name="_GoBack"/>
      <w:bookmarkEnd w:id="27"/>
      <w:r>
        <w:rPr>
          <w:rFonts w:hint="eastAsia"/>
          <w:sz w:val="32"/>
          <w:szCs w:val="32"/>
          <w:lang w:val="en-US" w:eastAsia="zh-CN"/>
        </w:rPr>
        <w:t>5</w:t>
      </w:r>
      <w:r>
        <w:rPr>
          <w:rFonts w:hint="eastAsia"/>
          <w:sz w:val="32"/>
          <w:szCs w:val="32"/>
        </w:rPr>
        <w:t>.</w:t>
      </w:r>
      <w:r>
        <w:rPr>
          <w:rFonts w:hint="eastAsia"/>
          <w:sz w:val="32"/>
          <w:szCs w:val="32"/>
          <w:lang w:eastAsia="zh-CN"/>
        </w:rPr>
        <w:t>安全责任</w:t>
      </w:r>
      <w:r>
        <w:rPr>
          <w:rFonts w:hint="eastAsia"/>
          <w:sz w:val="32"/>
          <w:szCs w:val="32"/>
        </w:rPr>
        <w:t>要求</w:t>
      </w:r>
    </w:p>
    <w:p w14:paraId="2E0117E9">
      <w:pPr>
        <w:pageBreakBefore w:val="0"/>
        <w:kinsoku/>
        <w:wordWrap/>
        <w:overflowPunct/>
        <w:autoSpaceDE/>
        <w:autoSpaceDN/>
        <w:bidi w:val="0"/>
        <w:spacing w:line="560" w:lineRule="exact"/>
        <w:ind w:right="0" w:rightChars="0" w:firstLine="480" w:firstLineChars="200"/>
        <w:contextualSpacing/>
        <w:rPr>
          <w:rFonts w:hint="eastAsia" w:asciiTheme="minorEastAsia" w:hAnsiTheme="minorEastAsia" w:eastAsiaTheme="minorEastAsia" w:cstheme="minorEastAsia"/>
          <w:kern w:val="0"/>
          <w:sz w:val="24"/>
          <w:lang w:val="en-US" w:eastAsia="zh-CN"/>
        </w:rPr>
      </w:pPr>
      <w:r>
        <w:rPr>
          <w:rFonts w:hint="eastAsia" w:asciiTheme="minorEastAsia" w:hAnsiTheme="minorEastAsia" w:eastAsiaTheme="minorEastAsia" w:cstheme="minorEastAsia"/>
          <w:kern w:val="0"/>
          <w:sz w:val="24"/>
          <w:lang w:val="en-US" w:eastAsia="zh-CN"/>
        </w:rPr>
        <w:t>在</w:t>
      </w:r>
      <w:r>
        <w:rPr>
          <w:rFonts w:hint="eastAsia" w:asciiTheme="minorEastAsia" w:hAnsiTheme="minorEastAsia" w:eastAsiaTheme="minorEastAsia" w:cstheme="minorEastAsia"/>
          <w:sz w:val="24"/>
          <w:szCs w:val="24"/>
          <w:lang w:eastAsia="zh-CN"/>
        </w:rPr>
        <w:t>新型低压台区末端稳压装置</w:t>
      </w:r>
      <w:r>
        <w:rPr>
          <w:rFonts w:hint="eastAsia" w:asciiTheme="minorEastAsia" w:hAnsiTheme="minorEastAsia" w:eastAsiaTheme="minorEastAsia" w:cstheme="minorEastAsia"/>
          <w:kern w:val="0"/>
          <w:sz w:val="24"/>
          <w:lang w:val="en-US" w:eastAsia="zh-CN"/>
        </w:rPr>
        <w:t>制作、试验过程中，作业人员须严格落实安全责任：严禁以人力扶持、凳子/箱子/绳索等简易物品作为临时固定支撑，须使用专用电缆固定工器具，确保支撑稳固可靠；作业前须检查固定装置安全性，狭窄空间（如开关柜内）需增设防倾倒、防滑落措施；监护人全程监督，制止违规扶持或不规范固定行为；项目负责人需核查工器具合规性，强化现场安全交底。因固定不牢导致操作失误、试验事故的，严肃追究相关责任人责任，确保作业质量与人员安全双保障。</w:t>
      </w:r>
    </w:p>
    <w:sectPr>
      <w:headerReference r:id="rId3" w:type="default"/>
      <w:footerReference r:id="rId4" w:type="default"/>
      <w:pgSz w:w="11906" w:h="16838"/>
      <w:pgMar w:top="1670" w:right="1800" w:bottom="1440" w:left="1800" w:header="1135"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D705B">
    <w:pPr>
      <w:pStyle w:val="42"/>
      <w:rPr>
        <w:sz w:val="21"/>
        <w:szCs w:val="21"/>
      </w:rPr>
    </w:pPr>
    <w:r>
      <w:rPr>
        <w:rFonts w:hint="eastAsia"/>
      </w:rPr>
      <w:t xml:space="preserve"> </w:t>
    </w:r>
    <w:r>
      <w:t xml:space="preserve">                     </w:t>
    </w:r>
    <w:r>
      <w:rPr>
        <w:sz w:val="21"/>
        <w:szCs w:val="21"/>
      </w:rPr>
      <w:t xml:space="preserve"> </w:t>
    </w:r>
    <w:r>
      <w:rPr>
        <w:sz w:val="21"/>
        <w:szCs w:val="21"/>
        <w:lang w:val="zh-CN"/>
      </w:rPr>
      <w:t xml:space="preserve">~ </w:t>
    </w:r>
    <w:r>
      <w:rPr>
        <w:rFonts w:asciiTheme="minorHAnsi" w:hAnsiTheme="minorHAnsi" w:eastAsiaTheme="minorEastAsia" w:cstheme="minorBidi"/>
        <w:sz w:val="21"/>
        <w:szCs w:val="21"/>
      </w:rPr>
      <w:fldChar w:fldCharType="begin"/>
    </w:r>
    <w:r>
      <w:rPr>
        <w:sz w:val="21"/>
        <w:szCs w:val="21"/>
      </w:rPr>
      <w:instrText xml:space="preserve">PAGE    \* MERGEFORMAT</w:instrText>
    </w:r>
    <w:r>
      <w:rPr>
        <w:rFonts w:asciiTheme="minorHAnsi" w:hAnsiTheme="minorHAnsi" w:eastAsiaTheme="minorEastAsia" w:cstheme="minorBidi"/>
        <w:sz w:val="21"/>
        <w:szCs w:val="21"/>
      </w:rPr>
      <w:fldChar w:fldCharType="separate"/>
    </w:r>
    <w:r>
      <w:rPr>
        <w:sz w:val="21"/>
        <w:szCs w:val="21"/>
        <w:lang w:val="zh-CN"/>
      </w:rPr>
      <w:t>1</w:t>
    </w:r>
    <w:r>
      <w:rPr>
        <w:sz w:val="21"/>
        <w:szCs w:val="21"/>
      </w:rPr>
      <w:fldChar w:fldCharType="end"/>
    </w:r>
    <w:r>
      <w:rPr>
        <w:sz w:val="21"/>
        <w:szCs w:val="21"/>
        <w:lang w:val="zh-CN"/>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80B82">
    <w:pPr>
      <w:pStyle w:val="1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5CBF1A"/>
    <w:multiLevelType w:val="singleLevel"/>
    <w:tmpl w:val="8A5CBF1A"/>
    <w:lvl w:ilvl="0" w:tentative="0">
      <w:start w:val="4"/>
      <w:numFmt w:val="decimal"/>
      <w:lvlText w:val="%1."/>
      <w:lvlJc w:val="left"/>
      <w:pPr>
        <w:tabs>
          <w:tab w:val="left" w:pos="312"/>
        </w:tabs>
      </w:pPr>
    </w:lvl>
  </w:abstractNum>
  <w:abstractNum w:abstractNumId="1">
    <w:nsid w:val="00000013"/>
    <w:multiLevelType w:val="multilevel"/>
    <w:tmpl w:val="00000013"/>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36"/>
      <w:lvlText w:val="%1%2"/>
      <w:lvlJc w:val="left"/>
      <w:pPr>
        <w:tabs>
          <w:tab w:val="left" w:pos="360"/>
        </w:tabs>
        <w:ind w:left="0" w:firstLine="0"/>
      </w:pPr>
      <w:rPr>
        <w:rFonts w:hint="eastAsia" w:ascii="黑体" w:hAnsi="Times New Roman" w:eastAsia="黑体"/>
        <w:b/>
        <w:i w:val="0"/>
        <w:sz w:val="20"/>
      </w:rPr>
    </w:lvl>
    <w:lvl w:ilvl="2" w:tentative="0">
      <w:start w:val="1"/>
      <w:numFmt w:val="decimal"/>
      <w:pStyle w:val="35"/>
      <w:lvlText w:val="%1%2.%3"/>
      <w:lvlJc w:val="left"/>
      <w:pPr>
        <w:tabs>
          <w:tab w:val="left" w:pos="720"/>
        </w:tabs>
        <w:ind w:left="0" w:firstLine="0"/>
      </w:pPr>
      <w:rPr>
        <w:rFonts w:hint="eastAsia" w:ascii="黑体" w:hAnsi="Times New Roman" w:eastAsia="黑体"/>
        <w:b/>
        <w:i w:val="0"/>
        <w:sz w:val="21"/>
      </w:rPr>
    </w:lvl>
    <w:lvl w:ilvl="3" w:tentative="0">
      <w:start w:val="1"/>
      <w:numFmt w:val="decimal"/>
      <w:lvlText w:val="%1%2.%3.%4"/>
      <w:lvlJc w:val="left"/>
      <w:pPr>
        <w:tabs>
          <w:tab w:val="left" w:pos="720"/>
        </w:tabs>
        <w:ind w:left="0" w:firstLine="0"/>
      </w:pPr>
      <w:rPr>
        <w:rFonts w:hint="eastAsia" w:ascii="黑体" w:hAnsi="Times New Roman" w:eastAsia="黑体"/>
        <w:b/>
        <w:i w:val="0"/>
        <w:sz w:val="21"/>
      </w:rPr>
    </w:lvl>
    <w:lvl w:ilvl="4" w:tentative="0">
      <w:start w:val="1"/>
      <w:numFmt w:val="decimal"/>
      <w:lvlText w:val="%2.%3.%4.%5"/>
      <w:lvlJc w:val="left"/>
      <w:pPr>
        <w:tabs>
          <w:tab w:val="left" w:pos="1080"/>
        </w:tabs>
        <w:ind w:left="0" w:firstLine="0"/>
      </w:pPr>
      <w:rPr>
        <w:rFonts w:hint="eastAsia" w:ascii="黑体" w:hAnsi="Times New Roman" w:eastAsia="黑体"/>
        <w:b/>
        <w:i w:val="0"/>
        <w:sz w:val="21"/>
      </w:rPr>
    </w:lvl>
    <w:lvl w:ilvl="5" w:tentative="0">
      <w:start w:val="1"/>
      <w:numFmt w:val="decimal"/>
      <w:lvlText w:val="%2.%3.%4.%5.%6"/>
      <w:lvlJc w:val="left"/>
      <w:pPr>
        <w:tabs>
          <w:tab w:val="left" w:pos="1021"/>
        </w:tabs>
        <w:ind w:left="1021" w:hanging="1021"/>
      </w:pPr>
      <w:rPr>
        <w:rFonts w:hint="eastAsia" w:ascii="黑体" w:hAnsi="Times New Roman" w:eastAsia="黑体"/>
        <w:b/>
        <w:i w:val="0"/>
        <w:sz w:val="21"/>
      </w:rPr>
    </w:lvl>
    <w:lvl w:ilvl="6" w:tentative="0">
      <w:start w:val="1"/>
      <w:numFmt w:val="decimal"/>
      <w:lvlRestart w:val="5"/>
      <w:lvlText w:val="%2.%3.%4.%5.%6.%7"/>
      <w:lvlJc w:val="left"/>
      <w:pPr>
        <w:tabs>
          <w:tab w:val="left" w:pos="1440"/>
        </w:tabs>
        <w:ind w:left="0" w:firstLine="0"/>
      </w:pPr>
      <w:rPr>
        <w:rFonts w:hint="eastAsia" w:ascii="黑体" w:hAnsi="Times New Roman" w:eastAsia="黑体"/>
        <w:b/>
        <w:i w:val="0"/>
        <w:sz w:val="21"/>
      </w:rPr>
    </w:lvl>
    <w:lvl w:ilvl="7" w:tentative="0">
      <w:start w:val="1"/>
      <w:numFmt w:val="decimal"/>
      <w:lvlRestart w:val="5"/>
      <w:lvlText w:val="图 %2.0.%5 -%8"/>
      <w:lvlJc w:val="left"/>
      <w:pPr>
        <w:tabs>
          <w:tab w:val="left" w:pos="144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embedSystemFonts/>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180014"/>
    <w:rsid w:val="000130DC"/>
    <w:rsid w:val="00013BEA"/>
    <w:rsid w:val="00017942"/>
    <w:rsid w:val="0002391A"/>
    <w:rsid w:val="00050526"/>
    <w:rsid w:val="00076B1C"/>
    <w:rsid w:val="00085CFF"/>
    <w:rsid w:val="000A7712"/>
    <w:rsid w:val="000D737C"/>
    <w:rsid w:val="00107F72"/>
    <w:rsid w:val="00132756"/>
    <w:rsid w:val="00172B95"/>
    <w:rsid w:val="001859E9"/>
    <w:rsid w:val="00185AA2"/>
    <w:rsid w:val="001A6D90"/>
    <w:rsid w:val="001C2E12"/>
    <w:rsid w:val="001C72F7"/>
    <w:rsid w:val="001D2314"/>
    <w:rsid w:val="001D3301"/>
    <w:rsid w:val="002100E8"/>
    <w:rsid w:val="00225A3C"/>
    <w:rsid w:val="00247834"/>
    <w:rsid w:val="00262BDA"/>
    <w:rsid w:val="00273884"/>
    <w:rsid w:val="00290A6F"/>
    <w:rsid w:val="00290F7D"/>
    <w:rsid w:val="002A538F"/>
    <w:rsid w:val="002F124B"/>
    <w:rsid w:val="0031179A"/>
    <w:rsid w:val="00347DDA"/>
    <w:rsid w:val="00383BE1"/>
    <w:rsid w:val="00384DA6"/>
    <w:rsid w:val="003A2B05"/>
    <w:rsid w:val="003A5992"/>
    <w:rsid w:val="003B1A44"/>
    <w:rsid w:val="003C0E5F"/>
    <w:rsid w:val="003D2ACE"/>
    <w:rsid w:val="00416E50"/>
    <w:rsid w:val="0042357C"/>
    <w:rsid w:val="004254C0"/>
    <w:rsid w:val="004544A0"/>
    <w:rsid w:val="0048080D"/>
    <w:rsid w:val="004D3D3B"/>
    <w:rsid w:val="004D7F27"/>
    <w:rsid w:val="004E63D7"/>
    <w:rsid w:val="004E6699"/>
    <w:rsid w:val="00541C16"/>
    <w:rsid w:val="005558F8"/>
    <w:rsid w:val="00591249"/>
    <w:rsid w:val="005D5321"/>
    <w:rsid w:val="005F6B46"/>
    <w:rsid w:val="00603106"/>
    <w:rsid w:val="00617DE6"/>
    <w:rsid w:val="00621AF7"/>
    <w:rsid w:val="00692926"/>
    <w:rsid w:val="00694FCF"/>
    <w:rsid w:val="006B0925"/>
    <w:rsid w:val="006B19F7"/>
    <w:rsid w:val="006B1FEE"/>
    <w:rsid w:val="006E0D21"/>
    <w:rsid w:val="006E4024"/>
    <w:rsid w:val="00712AEF"/>
    <w:rsid w:val="007410A1"/>
    <w:rsid w:val="00786671"/>
    <w:rsid w:val="007A14DC"/>
    <w:rsid w:val="007C2DAF"/>
    <w:rsid w:val="007E7481"/>
    <w:rsid w:val="007F34ED"/>
    <w:rsid w:val="007F7D2A"/>
    <w:rsid w:val="0080340F"/>
    <w:rsid w:val="008272FB"/>
    <w:rsid w:val="00840277"/>
    <w:rsid w:val="008463BB"/>
    <w:rsid w:val="008620D3"/>
    <w:rsid w:val="00885ABC"/>
    <w:rsid w:val="008B6C01"/>
    <w:rsid w:val="00903D7C"/>
    <w:rsid w:val="00906157"/>
    <w:rsid w:val="009103FD"/>
    <w:rsid w:val="00941A0A"/>
    <w:rsid w:val="00941E94"/>
    <w:rsid w:val="009505D1"/>
    <w:rsid w:val="00953977"/>
    <w:rsid w:val="00996538"/>
    <w:rsid w:val="009A7DBE"/>
    <w:rsid w:val="009D39F9"/>
    <w:rsid w:val="00A3574F"/>
    <w:rsid w:val="00A41CA2"/>
    <w:rsid w:val="00A43D49"/>
    <w:rsid w:val="00A521AC"/>
    <w:rsid w:val="00A548F0"/>
    <w:rsid w:val="00A6074C"/>
    <w:rsid w:val="00A64A3E"/>
    <w:rsid w:val="00A7401E"/>
    <w:rsid w:val="00AA194B"/>
    <w:rsid w:val="00AC5547"/>
    <w:rsid w:val="00AC5590"/>
    <w:rsid w:val="00AF2444"/>
    <w:rsid w:val="00B40611"/>
    <w:rsid w:val="00B42A4C"/>
    <w:rsid w:val="00B467BA"/>
    <w:rsid w:val="00B53DFC"/>
    <w:rsid w:val="00B560CE"/>
    <w:rsid w:val="00B720C7"/>
    <w:rsid w:val="00B845E1"/>
    <w:rsid w:val="00B93E0E"/>
    <w:rsid w:val="00BE3AF9"/>
    <w:rsid w:val="00BF1ED3"/>
    <w:rsid w:val="00C01920"/>
    <w:rsid w:val="00C0523B"/>
    <w:rsid w:val="00C154B8"/>
    <w:rsid w:val="00C321A1"/>
    <w:rsid w:val="00C734D9"/>
    <w:rsid w:val="00C73B3B"/>
    <w:rsid w:val="00C95E5D"/>
    <w:rsid w:val="00CC6F04"/>
    <w:rsid w:val="00D25086"/>
    <w:rsid w:val="00D25776"/>
    <w:rsid w:val="00D5709A"/>
    <w:rsid w:val="00D8670C"/>
    <w:rsid w:val="00DD1A75"/>
    <w:rsid w:val="00DE46ED"/>
    <w:rsid w:val="00E03840"/>
    <w:rsid w:val="00E04657"/>
    <w:rsid w:val="00E44A4B"/>
    <w:rsid w:val="00E564D4"/>
    <w:rsid w:val="00E66055"/>
    <w:rsid w:val="00E906D3"/>
    <w:rsid w:val="00EA153F"/>
    <w:rsid w:val="00EA2C97"/>
    <w:rsid w:val="00EC7232"/>
    <w:rsid w:val="00ED3B47"/>
    <w:rsid w:val="00ED78D5"/>
    <w:rsid w:val="00EE3C2F"/>
    <w:rsid w:val="00F07E86"/>
    <w:rsid w:val="00F54C14"/>
    <w:rsid w:val="00F75A56"/>
    <w:rsid w:val="00F822B1"/>
    <w:rsid w:val="00F95F26"/>
    <w:rsid w:val="00FD1C84"/>
    <w:rsid w:val="00FE45A4"/>
    <w:rsid w:val="01427513"/>
    <w:rsid w:val="023175F6"/>
    <w:rsid w:val="03472883"/>
    <w:rsid w:val="035A08D4"/>
    <w:rsid w:val="04130446"/>
    <w:rsid w:val="043E60E5"/>
    <w:rsid w:val="044353B7"/>
    <w:rsid w:val="04445771"/>
    <w:rsid w:val="04B16F17"/>
    <w:rsid w:val="04D27709"/>
    <w:rsid w:val="08011098"/>
    <w:rsid w:val="084E378E"/>
    <w:rsid w:val="08A27553"/>
    <w:rsid w:val="09152D91"/>
    <w:rsid w:val="09657434"/>
    <w:rsid w:val="09A228DE"/>
    <w:rsid w:val="0A2B721E"/>
    <w:rsid w:val="0B2240B4"/>
    <w:rsid w:val="0BE36F7D"/>
    <w:rsid w:val="0CE1665B"/>
    <w:rsid w:val="0E5B6A37"/>
    <w:rsid w:val="0EA03C30"/>
    <w:rsid w:val="0ED50EC9"/>
    <w:rsid w:val="0F2B423C"/>
    <w:rsid w:val="11094C8A"/>
    <w:rsid w:val="11EF081B"/>
    <w:rsid w:val="12DA6698"/>
    <w:rsid w:val="137D3964"/>
    <w:rsid w:val="140830E5"/>
    <w:rsid w:val="15813DAC"/>
    <w:rsid w:val="17B46299"/>
    <w:rsid w:val="182E08BB"/>
    <w:rsid w:val="185537EF"/>
    <w:rsid w:val="18765555"/>
    <w:rsid w:val="18904609"/>
    <w:rsid w:val="1A4D5C8C"/>
    <w:rsid w:val="1A5A4A7F"/>
    <w:rsid w:val="1A6A5E0F"/>
    <w:rsid w:val="1A8C5B4B"/>
    <w:rsid w:val="1A9B1E8A"/>
    <w:rsid w:val="1B0808B7"/>
    <w:rsid w:val="1BA83F4D"/>
    <w:rsid w:val="1BF4530E"/>
    <w:rsid w:val="1CAA45F0"/>
    <w:rsid w:val="1DDD1B29"/>
    <w:rsid w:val="1FC573ED"/>
    <w:rsid w:val="208206D0"/>
    <w:rsid w:val="21C53406"/>
    <w:rsid w:val="22A9397E"/>
    <w:rsid w:val="235B3C3A"/>
    <w:rsid w:val="23687149"/>
    <w:rsid w:val="23B054A6"/>
    <w:rsid w:val="24F3732E"/>
    <w:rsid w:val="269246A6"/>
    <w:rsid w:val="2B401C9B"/>
    <w:rsid w:val="2B7E2BE1"/>
    <w:rsid w:val="2BA532A3"/>
    <w:rsid w:val="2CAA15D4"/>
    <w:rsid w:val="2D3B59AF"/>
    <w:rsid w:val="2DC85678"/>
    <w:rsid w:val="2DF974B1"/>
    <w:rsid w:val="2E016B8B"/>
    <w:rsid w:val="2E470960"/>
    <w:rsid w:val="2FD44A0C"/>
    <w:rsid w:val="301D1543"/>
    <w:rsid w:val="303C4EDB"/>
    <w:rsid w:val="303E26F6"/>
    <w:rsid w:val="30FC5D3E"/>
    <w:rsid w:val="318B21C8"/>
    <w:rsid w:val="329E24FB"/>
    <w:rsid w:val="32F35A40"/>
    <w:rsid w:val="34236D31"/>
    <w:rsid w:val="34B519E8"/>
    <w:rsid w:val="358B1B13"/>
    <w:rsid w:val="36724472"/>
    <w:rsid w:val="36A66572"/>
    <w:rsid w:val="36CC15FA"/>
    <w:rsid w:val="36F62CDD"/>
    <w:rsid w:val="37D27BEE"/>
    <w:rsid w:val="38865BFA"/>
    <w:rsid w:val="38F3706A"/>
    <w:rsid w:val="391B003F"/>
    <w:rsid w:val="39521A93"/>
    <w:rsid w:val="3A5B065E"/>
    <w:rsid w:val="3B241322"/>
    <w:rsid w:val="3BE26D15"/>
    <w:rsid w:val="3CA43677"/>
    <w:rsid w:val="3CA462CE"/>
    <w:rsid w:val="3D5A2083"/>
    <w:rsid w:val="3E257BC1"/>
    <w:rsid w:val="3E655422"/>
    <w:rsid w:val="3E8222C8"/>
    <w:rsid w:val="3F303F95"/>
    <w:rsid w:val="40CE3A18"/>
    <w:rsid w:val="42304E6A"/>
    <w:rsid w:val="4399424E"/>
    <w:rsid w:val="44B855DE"/>
    <w:rsid w:val="457E4C38"/>
    <w:rsid w:val="479559D1"/>
    <w:rsid w:val="479743D0"/>
    <w:rsid w:val="47FE2438"/>
    <w:rsid w:val="4BFB1865"/>
    <w:rsid w:val="4C423DF2"/>
    <w:rsid w:val="4E3F1601"/>
    <w:rsid w:val="4F02195D"/>
    <w:rsid w:val="4F1E5CBB"/>
    <w:rsid w:val="4FFB11C5"/>
    <w:rsid w:val="50C5099A"/>
    <w:rsid w:val="50DF153C"/>
    <w:rsid w:val="50E517A3"/>
    <w:rsid w:val="51533282"/>
    <w:rsid w:val="51CE4E43"/>
    <w:rsid w:val="528365E6"/>
    <w:rsid w:val="53877A48"/>
    <w:rsid w:val="556D13DD"/>
    <w:rsid w:val="56360AFF"/>
    <w:rsid w:val="59303A61"/>
    <w:rsid w:val="594823FB"/>
    <w:rsid w:val="59B74569"/>
    <w:rsid w:val="59FE4F42"/>
    <w:rsid w:val="5A0F163F"/>
    <w:rsid w:val="5B6A0515"/>
    <w:rsid w:val="5BDB1617"/>
    <w:rsid w:val="5CE92A69"/>
    <w:rsid w:val="604C09F6"/>
    <w:rsid w:val="60AA45DA"/>
    <w:rsid w:val="611500E3"/>
    <w:rsid w:val="6284312B"/>
    <w:rsid w:val="63F73F4E"/>
    <w:rsid w:val="644C0D79"/>
    <w:rsid w:val="64AC6EB6"/>
    <w:rsid w:val="65750EF0"/>
    <w:rsid w:val="65F67B6A"/>
    <w:rsid w:val="663805AA"/>
    <w:rsid w:val="68E618F1"/>
    <w:rsid w:val="69640996"/>
    <w:rsid w:val="6985301C"/>
    <w:rsid w:val="6A12740C"/>
    <w:rsid w:val="6B1B5B89"/>
    <w:rsid w:val="6C071E63"/>
    <w:rsid w:val="6C43179E"/>
    <w:rsid w:val="6DB07F69"/>
    <w:rsid w:val="6DBF2751"/>
    <w:rsid w:val="6E067F3B"/>
    <w:rsid w:val="6E0E18EE"/>
    <w:rsid w:val="6E2340F9"/>
    <w:rsid w:val="6E6764DE"/>
    <w:rsid w:val="6FC70BF5"/>
    <w:rsid w:val="7005291A"/>
    <w:rsid w:val="70C81FA4"/>
    <w:rsid w:val="70D215D6"/>
    <w:rsid w:val="70F34F32"/>
    <w:rsid w:val="711A7F46"/>
    <w:rsid w:val="71C80221"/>
    <w:rsid w:val="73357908"/>
    <w:rsid w:val="7485672D"/>
    <w:rsid w:val="74C44169"/>
    <w:rsid w:val="76443671"/>
    <w:rsid w:val="7645082D"/>
    <w:rsid w:val="78163F80"/>
    <w:rsid w:val="7819191E"/>
    <w:rsid w:val="782313D7"/>
    <w:rsid w:val="78A97AC0"/>
    <w:rsid w:val="79180014"/>
    <w:rsid w:val="79796385"/>
    <w:rsid w:val="7A514B74"/>
    <w:rsid w:val="7C0C2A5A"/>
    <w:rsid w:val="7D374087"/>
    <w:rsid w:val="7EA412BC"/>
    <w:rsid w:val="7F3173D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nhideWhenUsed="0" w:uiPriority="99" w:semiHidden="0" w:name="heading 2"/>
    <w:lsdException w:qFormat="1" w:uiPriority="9" w:semiHidden="0" w:name="heading 3" w:locked="1"/>
    <w:lsdException w:qFormat="1" w:uiPriority="9" w:semiHidden="0"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ocked="1"/>
    <w:lsdException w:uiPriority="99" w:name="footnote text" w:locked="1"/>
    <w:lsdException w:uiPriority="99" w:name="annotation text" w:locked="1"/>
    <w:lsdException w:qFormat="1" w:uiPriority="0" w:semiHidden="0" w:name="header" w:locked="1"/>
    <w:lsdException w:qFormat="1" w:uiPriority="0" w:semiHidden="0" w:name="footer" w:locked="1"/>
    <w:lsdException w:uiPriority="99" w:name="index heading" w:locked="1"/>
    <w:lsdException w:qFormat="1" w:uiPriority="35" w:semiHidden="0"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0" w:semiHidden="0"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ocked="1"/>
    <w:lsdException w:uiPriority="99" w:name="Closing" w:locked="1"/>
    <w:lsdException w:uiPriority="99" w:name="Signature" w:locked="1"/>
    <w:lsdException w:qFormat="1" w:uiPriority="1" w:semiHidden="0" w:name="Default Paragraph Font"/>
    <w:lsdException w:qFormat="1" w:unhideWhenUsed="0" w:uiPriority="0" w:semiHidden="0"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iPriority="99" w:semiHidden="0" w:name="Hyperlink" w:locked="1"/>
    <w:lsdException w:uiPriority="99" w:name="FollowedHyperlink" w:locked="1"/>
    <w:lsdException w:qFormat="1" w:unhideWhenUsed="0" w:uiPriority="22" w:semiHidden="0" w:name="Strong" w:locked="1"/>
    <w:lsdException w:qFormat="1" w:unhideWhenUsed="0" w:uiPriority="20" w:semiHidden="0" w:name="Emphasis" w:locked="1"/>
    <w:lsdException w:qFormat="1" w:uiPriority="99" w:semiHidden="0" w:name="Document Map" w:locked="1"/>
    <w:lsdException w:qFormat="1" w:uiPriority="99" w:semiHidden="0" w:name="Plain Text" w:locked="1"/>
    <w:lsdException w:uiPriority="99" w:name="E-mail Signature" w:locked="1"/>
    <w:lsdException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semiHidden="0"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iPriority="99" w:semiHidden="0" w:name="Balloon Text" w:locked="1"/>
    <w:lsdException w:qFormat="1" w:unhideWhenUsed="0" w:uiPriority="0" w:semiHidden="0" w:name="Table Grid" w:locked="1"/>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locked/>
    <w:uiPriority w:val="9"/>
    <w:pPr>
      <w:keepNext/>
      <w:keepLines/>
      <w:spacing w:before="240" w:after="120" w:line="420" w:lineRule="auto"/>
      <w:jc w:val="left"/>
      <w:outlineLvl w:val="0"/>
    </w:pPr>
    <w:rPr>
      <w:rFonts w:ascii="宋体" w:hAnsi="宋体" w:cs="宋体"/>
      <w:b/>
      <w:sz w:val="24"/>
      <w:szCs w:val="21"/>
    </w:rPr>
  </w:style>
  <w:style w:type="paragraph" w:styleId="5">
    <w:name w:val="heading 2"/>
    <w:basedOn w:val="1"/>
    <w:next w:val="6"/>
    <w:link w:val="29"/>
    <w:qFormat/>
    <w:uiPriority w:val="99"/>
    <w:pPr>
      <w:spacing w:beforeLines="50" w:afterLines="50"/>
      <w:jc w:val="left"/>
      <w:outlineLvl w:val="1"/>
    </w:pPr>
    <w:rPr>
      <w:rFonts w:ascii="宋体" w:hAnsi="宋体"/>
      <w:b/>
      <w:kern w:val="0"/>
      <w:sz w:val="36"/>
      <w:szCs w:val="36"/>
    </w:rPr>
  </w:style>
  <w:style w:type="paragraph" w:styleId="7">
    <w:name w:val="heading 3"/>
    <w:basedOn w:val="1"/>
    <w:next w:val="1"/>
    <w:unhideWhenUsed/>
    <w:qFormat/>
    <w:locked/>
    <w:uiPriority w:val="9"/>
    <w:pPr>
      <w:keepNext/>
      <w:keepLines/>
      <w:tabs>
        <w:tab w:val="left" w:pos="432"/>
        <w:tab w:val="left" w:pos="720"/>
      </w:tabs>
      <w:spacing w:line="413" w:lineRule="auto"/>
      <w:outlineLvl w:val="2"/>
    </w:pPr>
    <w:rPr>
      <w:rFonts w:ascii="Times New Roman" w:hAnsi="Times New Roman" w:eastAsia="黑体"/>
      <w:b/>
      <w:szCs w:val="20"/>
    </w:rPr>
  </w:style>
  <w:style w:type="paragraph" w:styleId="8">
    <w:name w:val="heading 4"/>
    <w:basedOn w:val="1"/>
    <w:next w:val="1"/>
    <w:unhideWhenUsed/>
    <w:qFormat/>
    <w:locked/>
    <w:uiPriority w:val="9"/>
    <w:pPr>
      <w:keepNext/>
      <w:keepLines/>
      <w:tabs>
        <w:tab w:val="left" w:pos="432"/>
        <w:tab w:val="left" w:pos="864"/>
      </w:tabs>
      <w:spacing w:line="372" w:lineRule="auto"/>
      <w:ind w:left="864" w:hanging="864"/>
      <w:outlineLvl w:val="3"/>
    </w:pPr>
    <w:rPr>
      <w:rFonts w:ascii="Arial" w:hAnsi="Arial" w:eastAsia="黑体"/>
      <w:szCs w:val="20"/>
    </w:rPr>
  </w:style>
  <w:style w:type="character" w:default="1" w:styleId="26">
    <w:name w:val="Default Paragraph Font"/>
    <w:unhideWhenUsed/>
    <w:qFormat/>
    <w:uiPriority w:val="1"/>
  </w:style>
  <w:style w:type="table" w:default="1" w:styleId="24">
    <w:name w:val="Normal Table"/>
    <w:unhideWhenUsed/>
    <w:qFormat/>
    <w:uiPriority w:val="99"/>
    <w:tblPr>
      <w:tblCellMar>
        <w:top w:w="0" w:type="dxa"/>
        <w:left w:w="108" w:type="dxa"/>
        <w:bottom w:w="0" w:type="dxa"/>
        <w:right w:w="108" w:type="dxa"/>
      </w:tblCellMar>
    </w:tblPr>
  </w:style>
  <w:style w:type="paragraph" w:styleId="2">
    <w:name w:val="Body Text"/>
    <w:basedOn w:val="3"/>
    <w:next w:val="3"/>
    <w:qFormat/>
    <w:locked/>
    <w:uiPriority w:val="0"/>
    <w:pPr>
      <w:spacing w:after="120" w:line="240" w:lineRule="auto"/>
    </w:pPr>
  </w:style>
  <w:style w:type="paragraph" w:styleId="3">
    <w:name w:val="Title"/>
    <w:basedOn w:val="1"/>
    <w:next w:val="1"/>
    <w:qFormat/>
    <w:locked/>
    <w:uiPriority w:val="0"/>
    <w:pPr>
      <w:spacing w:before="240" w:beforeLines="0" w:after="60" w:afterLines="0"/>
      <w:jc w:val="center"/>
      <w:outlineLvl w:val="0"/>
    </w:pPr>
    <w:rPr>
      <w:rFonts w:ascii="Arial" w:hAnsi="Arial"/>
      <w:b/>
      <w:bCs/>
      <w:sz w:val="32"/>
      <w:szCs w:val="32"/>
    </w:rPr>
  </w:style>
  <w:style w:type="paragraph" w:styleId="6">
    <w:name w:val="Normal Indent"/>
    <w:basedOn w:val="1"/>
    <w:qFormat/>
    <w:locked/>
    <w:uiPriority w:val="0"/>
    <w:pPr>
      <w:ind w:firstLine="420" w:firstLineChars="200"/>
    </w:pPr>
  </w:style>
  <w:style w:type="paragraph" w:styleId="9">
    <w:name w:val="toc 7"/>
    <w:basedOn w:val="1"/>
    <w:next w:val="1"/>
    <w:qFormat/>
    <w:uiPriority w:val="39"/>
    <w:pPr>
      <w:ind w:left="2520" w:leftChars="1200"/>
    </w:pPr>
  </w:style>
  <w:style w:type="paragraph" w:styleId="10">
    <w:name w:val="caption"/>
    <w:basedOn w:val="1"/>
    <w:next w:val="1"/>
    <w:unhideWhenUsed/>
    <w:qFormat/>
    <w:locked/>
    <w:uiPriority w:val="35"/>
    <w:rPr>
      <w:rFonts w:eastAsia="黑体" w:asciiTheme="majorHAnsi" w:hAnsiTheme="majorHAnsi" w:cstheme="majorBidi"/>
      <w:sz w:val="20"/>
      <w:szCs w:val="20"/>
    </w:rPr>
  </w:style>
  <w:style w:type="paragraph" w:styleId="11">
    <w:name w:val="Document Map"/>
    <w:basedOn w:val="1"/>
    <w:link w:val="46"/>
    <w:unhideWhenUsed/>
    <w:qFormat/>
    <w:locked/>
    <w:uiPriority w:val="99"/>
    <w:rPr>
      <w:rFonts w:ascii="宋体"/>
      <w:sz w:val="18"/>
      <w:szCs w:val="18"/>
    </w:rPr>
  </w:style>
  <w:style w:type="paragraph" w:styleId="12">
    <w:name w:val="toc 5"/>
    <w:basedOn w:val="1"/>
    <w:next w:val="1"/>
    <w:qFormat/>
    <w:uiPriority w:val="39"/>
    <w:pPr>
      <w:ind w:left="1680" w:leftChars="800"/>
    </w:pPr>
  </w:style>
  <w:style w:type="paragraph" w:styleId="13">
    <w:name w:val="toc 3"/>
    <w:basedOn w:val="1"/>
    <w:next w:val="1"/>
    <w:qFormat/>
    <w:uiPriority w:val="39"/>
    <w:pPr>
      <w:ind w:left="840" w:leftChars="400"/>
    </w:pPr>
  </w:style>
  <w:style w:type="paragraph" w:styleId="14">
    <w:name w:val="Plain Text"/>
    <w:basedOn w:val="1"/>
    <w:unhideWhenUsed/>
    <w:qFormat/>
    <w:locked/>
    <w:uiPriority w:val="99"/>
    <w:rPr>
      <w:rFonts w:ascii="宋体" w:hAnsi="Courier New"/>
      <w:szCs w:val="20"/>
    </w:rPr>
  </w:style>
  <w:style w:type="paragraph" w:styleId="15">
    <w:name w:val="toc 8"/>
    <w:basedOn w:val="1"/>
    <w:next w:val="1"/>
    <w:qFormat/>
    <w:uiPriority w:val="39"/>
    <w:pPr>
      <w:ind w:left="2940" w:leftChars="1400"/>
    </w:pPr>
  </w:style>
  <w:style w:type="paragraph" w:styleId="16">
    <w:name w:val="Balloon Text"/>
    <w:basedOn w:val="1"/>
    <w:link w:val="43"/>
    <w:unhideWhenUsed/>
    <w:qFormat/>
    <w:locked/>
    <w:uiPriority w:val="99"/>
    <w:rPr>
      <w:sz w:val="18"/>
      <w:szCs w:val="18"/>
    </w:rPr>
  </w:style>
  <w:style w:type="paragraph" w:styleId="17">
    <w:name w:val="footer"/>
    <w:basedOn w:val="1"/>
    <w:link w:val="30"/>
    <w:unhideWhenUsed/>
    <w:qFormat/>
    <w:locked/>
    <w:uiPriority w:val="0"/>
    <w:pPr>
      <w:tabs>
        <w:tab w:val="center" w:pos="4153"/>
        <w:tab w:val="right" w:pos="8306"/>
      </w:tabs>
      <w:snapToGrid w:val="0"/>
      <w:jc w:val="left"/>
    </w:pPr>
    <w:rPr>
      <w:sz w:val="18"/>
    </w:rPr>
  </w:style>
  <w:style w:type="paragraph" w:styleId="18">
    <w:name w:val="header"/>
    <w:basedOn w:val="1"/>
    <w:link w:val="31"/>
    <w:unhideWhenUsed/>
    <w:qFormat/>
    <w:locked/>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9">
    <w:name w:val="toc 1"/>
    <w:basedOn w:val="1"/>
    <w:next w:val="1"/>
    <w:qFormat/>
    <w:uiPriority w:val="39"/>
    <w:pPr>
      <w:spacing w:line="360" w:lineRule="auto"/>
    </w:pPr>
    <w:rPr>
      <w:b/>
      <w:sz w:val="24"/>
    </w:rPr>
  </w:style>
  <w:style w:type="paragraph" w:styleId="20">
    <w:name w:val="toc 4"/>
    <w:basedOn w:val="1"/>
    <w:next w:val="1"/>
    <w:qFormat/>
    <w:uiPriority w:val="39"/>
    <w:pPr>
      <w:ind w:left="1260" w:leftChars="600"/>
    </w:pPr>
  </w:style>
  <w:style w:type="paragraph" w:styleId="21">
    <w:name w:val="toc 6"/>
    <w:basedOn w:val="1"/>
    <w:next w:val="1"/>
    <w:qFormat/>
    <w:uiPriority w:val="39"/>
    <w:pPr>
      <w:ind w:left="2100" w:leftChars="1000"/>
    </w:pPr>
  </w:style>
  <w:style w:type="paragraph" w:styleId="22">
    <w:name w:val="toc 2"/>
    <w:basedOn w:val="1"/>
    <w:next w:val="1"/>
    <w:qFormat/>
    <w:uiPriority w:val="39"/>
    <w:pPr>
      <w:ind w:left="420" w:leftChars="200"/>
    </w:pPr>
    <w:rPr>
      <w:b/>
      <w:sz w:val="24"/>
    </w:rPr>
  </w:style>
  <w:style w:type="paragraph" w:styleId="23">
    <w:name w:val="toc 9"/>
    <w:basedOn w:val="1"/>
    <w:next w:val="1"/>
    <w:qFormat/>
    <w:uiPriority w:val="39"/>
    <w:pPr>
      <w:ind w:left="3360" w:leftChars="1600"/>
    </w:pPr>
  </w:style>
  <w:style w:type="table" w:styleId="25">
    <w:name w:val="Table Grid"/>
    <w:basedOn w:val="24"/>
    <w:qFormat/>
    <w:locked/>
    <w:uiPriority w:val="0"/>
    <w:pPr>
      <w:widowControl w:val="0"/>
      <w:jc w:val="both"/>
    </w:pPr>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page number"/>
    <w:basedOn w:val="26"/>
    <w:qFormat/>
    <w:locked/>
    <w:uiPriority w:val="0"/>
  </w:style>
  <w:style w:type="character" w:styleId="28">
    <w:name w:val="Hyperlink"/>
    <w:basedOn w:val="26"/>
    <w:unhideWhenUsed/>
    <w:qFormat/>
    <w:locked/>
    <w:uiPriority w:val="99"/>
    <w:rPr>
      <w:color w:val="0000FF" w:themeColor="hyperlink"/>
      <w:u w:val="single"/>
      <w14:textFill>
        <w14:solidFill>
          <w14:schemeClr w14:val="hlink"/>
        </w14:solidFill>
      </w14:textFill>
    </w:rPr>
  </w:style>
  <w:style w:type="character" w:customStyle="1" w:styleId="29">
    <w:name w:val="标题 2 Char"/>
    <w:link w:val="5"/>
    <w:qFormat/>
    <w:locked/>
    <w:uiPriority w:val="99"/>
    <w:rPr>
      <w:rFonts w:ascii="宋体" w:hAnsi="宋体"/>
      <w:b/>
      <w:sz w:val="36"/>
      <w:szCs w:val="36"/>
    </w:rPr>
  </w:style>
  <w:style w:type="character" w:customStyle="1" w:styleId="30">
    <w:name w:val="页脚 Char"/>
    <w:link w:val="17"/>
    <w:qFormat/>
    <w:uiPriority w:val="99"/>
    <w:rPr>
      <w:rFonts w:ascii="Calibri" w:hAnsi="Calibri"/>
      <w:kern w:val="2"/>
      <w:sz w:val="18"/>
      <w:szCs w:val="24"/>
    </w:rPr>
  </w:style>
  <w:style w:type="character" w:customStyle="1" w:styleId="31">
    <w:name w:val="页眉 Char"/>
    <w:link w:val="18"/>
    <w:qFormat/>
    <w:uiPriority w:val="99"/>
    <w:rPr>
      <w:rFonts w:ascii="Calibri" w:hAnsi="Calibri"/>
      <w:kern w:val="2"/>
      <w:sz w:val="18"/>
      <w:szCs w:val="24"/>
    </w:rPr>
  </w:style>
  <w:style w:type="paragraph" w:customStyle="1" w:styleId="32">
    <w:name w:val="TOC 标题1"/>
    <w:basedOn w:val="4"/>
    <w:next w:val="1"/>
    <w:unhideWhenUsed/>
    <w:qFormat/>
    <w:uiPriority w:val="39"/>
    <w:pPr>
      <w:widowControl/>
      <w:spacing w:after="0" w:line="259" w:lineRule="auto"/>
      <w:outlineLvl w:val="9"/>
    </w:pPr>
    <w:rPr>
      <w:rFonts w:asciiTheme="majorHAnsi" w:hAnsiTheme="majorHAnsi" w:eastAsiaTheme="majorEastAsia" w:cstheme="majorBidi"/>
      <w:color w:val="376092" w:themeColor="accent1" w:themeShade="BF"/>
      <w:kern w:val="0"/>
      <w:sz w:val="32"/>
      <w:szCs w:val="32"/>
    </w:rPr>
  </w:style>
  <w:style w:type="paragraph" w:customStyle="1" w:styleId="33">
    <w:name w:val="列出段落1"/>
    <w:basedOn w:val="1"/>
    <w:qFormat/>
    <w:uiPriority w:val="34"/>
    <w:pPr>
      <w:ind w:firstLine="420" w:firstLineChars="200"/>
    </w:pPr>
  </w:style>
  <w:style w:type="paragraph" w:customStyle="1" w:styleId="34">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35">
    <w:name w:val="一级条标题"/>
    <w:basedOn w:val="36"/>
    <w:next w:val="37"/>
    <w:qFormat/>
    <w:uiPriority w:val="0"/>
    <w:pPr>
      <w:numPr>
        <w:ilvl w:val="2"/>
      </w:numPr>
      <w:tabs>
        <w:tab w:val="left" w:pos="420"/>
        <w:tab w:val="left" w:pos="525"/>
      </w:tabs>
      <w:spacing w:beforeLines="0" w:afterLines="0"/>
      <w:outlineLvl w:val="2"/>
    </w:pPr>
  </w:style>
  <w:style w:type="paragraph" w:customStyle="1" w:styleId="36">
    <w:name w:val="章标题"/>
    <w:next w:val="37"/>
    <w:qFormat/>
    <w:uiPriority w:val="0"/>
    <w:pPr>
      <w:numPr>
        <w:ilvl w:val="1"/>
        <w:numId w:val="1"/>
      </w:numPr>
      <w:tabs>
        <w:tab w:val="left" w:pos="420"/>
        <w:tab w:val="clear" w:pos="360"/>
      </w:tabs>
      <w:spacing w:beforeLines="50" w:afterLines="50"/>
      <w:jc w:val="both"/>
      <w:outlineLvl w:val="1"/>
    </w:pPr>
    <w:rPr>
      <w:rFonts w:ascii="黑体" w:hAnsi="Times New Roman" w:eastAsia="黑体" w:cs="Times New Roman"/>
      <w:b/>
      <w:sz w:val="21"/>
      <w:lang w:val="en-US" w:eastAsia="zh-CN" w:bidi="ar-SA"/>
    </w:rPr>
  </w:style>
  <w:style w:type="paragraph" w:customStyle="1" w:styleId="37">
    <w:name w:val="段"/>
    <w:link w:val="45"/>
    <w:qFormat/>
    <w:uiPriority w:val="99"/>
    <w:pPr>
      <w:ind w:firstLine="200" w:firstLineChars="200"/>
      <w:jc w:val="both"/>
    </w:pPr>
    <w:rPr>
      <w:rFonts w:ascii="宋体" w:hAnsi="Times New Roman" w:eastAsia="宋体" w:cs="Times New Roman"/>
      <w:sz w:val="21"/>
      <w:lang w:val="en-US" w:eastAsia="zh-CN" w:bidi="ar-SA"/>
    </w:rPr>
  </w:style>
  <w:style w:type="character" w:customStyle="1" w:styleId="38">
    <w:name w:val="表题 + (西文) 宋体 Char Char Char Char Char Char Char Char"/>
    <w:link w:val="39"/>
    <w:qFormat/>
    <w:uiPriority w:val="0"/>
    <w:rPr>
      <w:rFonts w:hAnsi="宋体" w:eastAsia="黑体" w:cstheme="minorBidi"/>
      <w:szCs w:val="22"/>
    </w:rPr>
  </w:style>
  <w:style w:type="paragraph" w:customStyle="1" w:styleId="39">
    <w:name w:val="表题 + (西文) 宋体 Char Char Char Char Char Char Char"/>
    <w:basedOn w:val="10"/>
    <w:link w:val="38"/>
    <w:qFormat/>
    <w:uiPriority w:val="0"/>
    <w:pPr>
      <w:adjustRightInd w:val="0"/>
      <w:spacing w:before="120" w:after="120" w:line="320" w:lineRule="exact"/>
      <w:jc w:val="center"/>
      <w:textAlignment w:val="baseline"/>
    </w:pPr>
    <w:rPr>
      <w:rFonts w:hAnsi="宋体" w:cstheme="minorBidi"/>
      <w:szCs w:val="22"/>
    </w:rPr>
  </w:style>
  <w:style w:type="character" w:customStyle="1" w:styleId="40">
    <w:name w:val="font01"/>
    <w:basedOn w:val="26"/>
    <w:qFormat/>
    <w:uiPriority w:val="0"/>
    <w:rPr>
      <w:rFonts w:hint="eastAsia" w:ascii="宋体" w:hAnsi="宋体" w:eastAsia="宋体" w:cs="宋体"/>
      <w:color w:val="000000"/>
      <w:sz w:val="22"/>
      <w:szCs w:val="22"/>
      <w:u w:val="none"/>
    </w:rPr>
  </w:style>
  <w:style w:type="paragraph" w:customStyle="1" w:styleId="41">
    <w:name w:val="列出段落2"/>
    <w:basedOn w:val="1"/>
    <w:qFormat/>
    <w:uiPriority w:val="99"/>
    <w:pPr>
      <w:ind w:firstLine="420" w:firstLineChars="200"/>
    </w:pPr>
  </w:style>
  <w:style w:type="paragraph" w:customStyle="1" w:styleId="42">
    <w:name w:val="TOC 标题2"/>
    <w:basedOn w:val="4"/>
    <w:next w:val="1"/>
    <w:unhideWhenUsed/>
    <w:qFormat/>
    <w:uiPriority w:val="39"/>
    <w:pPr>
      <w:widowControl/>
      <w:spacing w:after="0" w:line="259" w:lineRule="auto"/>
      <w:outlineLvl w:val="9"/>
    </w:pPr>
    <w:rPr>
      <w:rFonts w:asciiTheme="majorHAnsi" w:hAnsiTheme="majorHAnsi" w:eastAsiaTheme="majorEastAsia" w:cstheme="majorBidi"/>
      <w:b w:val="0"/>
      <w:color w:val="376092" w:themeColor="accent1" w:themeShade="BF"/>
      <w:kern w:val="0"/>
      <w:sz w:val="32"/>
      <w:szCs w:val="32"/>
    </w:rPr>
  </w:style>
  <w:style w:type="character" w:customStyle="1" w:styleId="43">
    <w:name w:val="批注框文本 Char"/>
    <w:basedOn w:val="26"/>
    <w:link w:val="16"/>
    <w:semiHidden/>
    <w:qFormat/>
    <w:uiPriority w:val="99"/>
    <w:rPr>
      <w:rFonts w:ascii="Calibri" w:hAnsi="Calibri"/>
      <w:kern w:val="2"/>
      <w:sz w:val="18"/>
      <w:szCs w:val="18"/>
    </w:rPr>
  </w:style>
  <w:style w:type="paragraph" w:customStyle="1" w:styleId="44">
    <w:name w:val="字母编号列项（一级）"/>
    <w:qFormat/>
    <w:uiPriority w:val="0"/>
    <w:pPr>
      <w:tabs>
        <w:tab w:val="left" w:pos="840"/>
      </w:tabs>
      <w:ind w:left="315"/>
      <w:jc w:val="both"/>
    </w:pPr>
    <w:rPr>
      <w:rFonts w:ascii="宋体" w:hAnsi="Times New Roman" w:eastAsia="宋体" w:cs="Times New Roman"/>
      <w:sz w:val="21"/>
      <w:lang w:val="en-US" w:eastAsia="zh-CN" w:bidi="ar-SA"/>
    </w:rPr>
  </w:style>
  <w:style w:type="character" w:customStyle="1" w:styleId="45">
    <w:name w:val="段 Char"/>
    <w:link w:val="37"/>
    <w:qFormat/>
    <w:uiPriority w:val="99"/>
    <w:rPr>
      <w:rFonts w:ascii="宋体"/>
      <w:sz w:val="21"/>
    </w:rPr>
  </w:style>
  <w:style w:type="character" w:customStyle="1" w:styleId="46">
    <w:name w:val="文档结构图 Char"/>
    <w:basedOn w:val="26"/>
    <w:link w:val="11"/>
    <w:semiHidden/>
    <w:qFormat/>
    <w:uiPriority w:val="99"/>
    <w:rPr>
      <w:rFonts w:ascii="宋体" w:hAnsi="Calibri"/>
      <w:kern w:val="2"/>
      <w:sz w:val="18"/>
      <w:szCs w:val="18"/>
    </w:rPr>
  </w:style>
  <w:style w:type="paragraph" w:customStyle="1" w:styleId="47">
    <w:name w:val="marklang-paragraph"/>
    <w:basedOn w:val="1"/>
    <w:qFormat/>
    <w:uiPriority w:val="0"/>
    <w:pPr>
      <w:widowControl/>
      <w:spacing w:before="100" w:beforeAutospacing="1" w:after="100" w:afterAutospacing="1" w:line="240" w:lineRule="auto"/>
      <w:jc w:val="left"/>
    </w:pPr>
    <w:rPr>
      <w:rFonts w:ascii="宋体" w:hAnsi="宋体" w:cs="宋体"/>
      <w:kern w:val="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0D87A2-F2D6-4812-9D52-4B228576FF48}">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4</Pages>
  <Words>399</Words>
  <Characters>460</Characters>
  <Lines>53</Lines>
  <Paragraphs>15</Paragraphs>
  <TotalTime>0</TotalTime>
  <ScaleCrop>false</ScaleCrop>
  <LinksUpToDate>false</LinksUpToDate>
  <CharactersWithSpaces>472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2018-09-26T02:24:00Z</dcterms:created>
  <dc:creator>emmy810</dc:creator>
  <cp:lastModifiedBy>谢道金</cp:lastModifiedBy>
  <dcterms:modified xsi:type="dcterms:W3CDTF">2026-03-27T03:37:22Z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5077C04E6C6B48FC857B756F82371BEE_13</vt:lpwstr>
  </property>
  <property fmtid="{D5CDD505-2E9C-101B-9397-08002B2CF9AE}" pid="4" name="KSOTemplateDocerSaveRecord">
    <vt:lpwstr>eyJoZGlkIjoiNTQxOTMwZGIzY2E2Njc1YzUyMDBkNTY4ZjEwNjdkNTYiLCJ1c2VySWQiOiIzMjA2MDUxMjcifQ==</vt:lpwstr>
  </property>
</Properties>
</file>