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right="-57" w:rightChars="-19"/>
        <w:jc w:val="center"/>
        <w:rPr>
          <w:rFonts w:hint="eastAsia" w:ascii="黑体" w:hAnsi="宋体" w:eastAsia="黑体"/>
          <w:sz w:val="52"/>
        </w:rPr>
      </w:pPr>
    </w:p>
    <w:p>
      <w:pPr>
        <w:spacing w:line="360" w:lineRule="auto"/>
        <w:ind w:right="-19"/>
        <w:jc w:val="center"/>
        <w:rPr>
          <w:rFonts w:hint="eastAsia" w:ascii="黑体" w:hAnsi="宋体" w:eastAsia="黑体"/>
          <w:sz w:val="52"/>
        </w:rPr>
      </w:pPr>
      <w:r>
        <w:rPr>
          <w:rFonts w:hint="eastAsia" w:ascii="黑体" w:hAnsi="宋体" w:eastAsia="黑体"/>
          <w:sz w:val="52"/>
          <w:lang w:eastAsia="zh-CN"/>
        </w:rPr>
        <w:t>大功率抽水泵</w:t>
      </w:r>
      <w:r>
        <w:rPr>
          <w:rFonts w:hint="eastAsia" w:ascii="黑体" w:hAnsi="宋体" w:eastAsia="黑体"/>
          <w:sz w:val="52"/>
        </w:rPr>
        <w:t>技术规范书</w:t>
      </w: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32"/>
          <w:szCs w:val="32"/>
        </w:rPr>
      </w:pPr>
      <w:r>
        <w:rPr>
          <w:rFonts w:hint="eastAsia" w:ascii="宋体" w:hAnsi="宋体" w:cs="Arial"/>
          <w:bCs/>
          <w:sz w:val="32"/>
          <w:szCs w:val="32"/>
        </w:rPr>
        <w:t>项目名称：</w:t>
      </w:r>
      <w:r>
        <w:rPr>
          <w:rFonts w:hint="eastAsia" w:ascii="宋体" w:hAnsi="宋体" w:eastAsia="宋体" w:cs="宋体"/>
          <w:bCs/>
          <w:sz w:val="32"/>
          <w:szCs w:val="32"/>
        </w:rPr>
        <w:t>202</w:t>
      </w:r>
      <w:r>
        <w:rPr>
          <w:rFonts w:hint="eastAsia" w:ascii="宋体" w:hAnsi="宋体" w:cs="宋体"/>
          <w:bCs/>
          <w:sz w:val="32"/>
          <w:szCs w:val="32"/>
          <w:lang w:val="en-US" w:eastAsia="zh-CN"/>
        </w:rPr>
        <w:t>6</w:t>
      </w:r>
      <w:r>
        <w:rPr>
          <w:rFonts w:hint="eastAsia" w:ascii="宋体" w:hAnsi="宋体" w:eastAsia="宋体" w:cs="宋体"/>
          <w:bCs/>
          <w:sz w:val="32"/>
          <w:szCs w:val="32"/>
        </w:rPr>
        <w:t>年</w:t>
      </w:r>
      <w:r>
        <w:rPr>
          <w:rFonts w:hint="eastAsia" w:ascii="宋体" w:hAnsi="宋体" w:cs="宋体"/>
          <w:bCs/>
          <w:sz w:val="32"/>
          <w:szCs w:val="32"/>
          <w:lang w:val="en-US" w:eastAsia="zh-CN"/>
        </w:rPr>
        <w:t>变电管理二所</w:t>
      </w:r>
      <w:r>
        <w:rPr>
          <w:rFonts w:hint="eastAsia" w:ascii="宋体" w:hAnsi="宋体" w:eastAsia="宋体" w:cs="宋体"/>
          <w:bCs/>
          <w:sz w:val="32"/>
          <w:szCs w:val="32"/>
        </w:rPr>
        <w:t>生产</w:t>
      </w:r>
      <w:r>
        <w:rPr>
          <w:rFonts w:hint="eastAsia" w:ascii="宋体" w:hAnsi="宋体" w:cs="宋体"/>
          <w:bCs/>
          <w:sz w:val="32"/>
          <w:szCs w:val="32"/>
          <w:lang w:eastAsia="zh-CN"/>
        </w:rPr>
        <w:t>材料</w:t>
      </w:r>
      <w:r>
        <w:rPr>
          <w:rFonts w:hint="eastAsia" w:ascii="宋体" w:hAnsi="宋体" w:eastAsia="宋体" w:cs="宋体"/>
          <w:bCs/>
          <w:sz w:val="32"/>
          <w:szCs w:val="32"/>
        </w:rPr>
        <w:t>购置项目（变电）</w:t>
      </w:r>
    </w:p>
    <w:p>
      <w:pPr>
        <w:spacing w:line="300" w:lineRule="auto"/>
        <w:jc w:val="center"/>
        <w:rPr>
          <w:rFonts w:hint="eastAsia" w:ascii="黑体" w:hAnsi="宋体" w:eastAsia="黑体"/>
          <w:sz w:val="52"/>
        </w:rPr>
      </w:pPr>
    </w:p>
    <w:p>
      <w:pPr>
        <w:spacing w:line="300" w:lineRule="auto"/>
        <w:jc w:val="center"/>
        <w:rPr>
          <w:rFonts w:hint="eastAsia" w:ascii="黑体" w:hAnsi="宋体" w:eastAsia="黑体"/>
          <w:sz w:val="52"/>
        </w:rPr>
      </w:pPr>
    </w:p>
    <w:p>
      <w:pPr>
        <w:spacing w:line="300" w:lineRule="auto"/>
        <w:jc w:val="center"/>
        <w:rPr>
          <w:rFonts w:hint="eastAsia" w:ascii="黑体" w:hAnsi="宋体" w:eastAsia="黑体"/>
          <w:sz w:val="52"/>
        </w:rPr>
      </w:pPr>
    </w:p>
    <w:p>
      <w:pPr>
        <w:spacing w:line="300" w:lineRule="auto"/>
        <w:jc w:val="center"/>
        <w:rPr>
          <w:rFonts w:hint="eastAsia" w:ascii="黑体" w:hAnsi="宋体" w:eastAsia="黑体"/>
          <w:b/>
          <w:sz w:val="52"/>
        </w:rPr>
      </w:pPr>
      <w:r>
        <w:rPr>
          <w:rFonts w:hint="eastAsia" w:ascii="黑体" w:hAnsi="宋体" w:eastAsia="黑体"/>
          <w:sz w:val="52"/>
        </w:rPr>
        <w:t xml:space="preserve"> </w:t>
      </w: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ascii="宋体" w:hAnsi="宋体" w:cs="Arial"/>
          <w:bCs/>
          <w:sz w:val="24"/>
        </w:rPr>
      </w:pPr>
    </w:p>
    <w:p>
      <w:pPr>
        <w:spacing w:line="360" w:lineRule="auto"/>
        <w:ind w:right="-19"/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 xml:space="preserve">          </w:t>
      </w:r>
    </w:p>
    <w:p>
      <w:pPr>
        <w:spacing w:line="360" w:lineRule="auto"/>
        <w:ind w:right="-19"/>
        <w:jc w:val="center"/>
        <w:rPr>
          <w:rFonts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pStyle w:val="2"/>
        <w:spacing w:line="360" w:lineRule="auto"/>
        <w:ind w:right="-19"/>
        <w:jc w:val="center"/>
        <w:rPr>
          <w:rFonts w:hint="eastAsia" w:hAnsi="宋体"/>
          <w:b w:val="0"/>
          <w:szCs w:val="28"/>
        </w:rPr>
      </w:pPr>
      <w:r>
        <w:rPr>
          <w:rFonts w:hint="eastAsia" w:hAnsi="宋体"/>
          <w:b w:val="0"/>
          <w:szCs w:val="28"/>
          <w:lang w:eastAsia="zh-CN"/>
        </w:rPr>
        <w:t>河池</w:t>
      </w:r>
      <w:r>
        <w:rPr>
          <w:rFonts w:hint="eastAsia" w:hAnsi="宋体"/>
          <w:b w:val="0"/>
          <w:szCs w:val="28"/>
        </w:rPr>
        <w:t>供电局</w:t>
      </w:r>
    </w:p>
    <w:p>
      <w:pPr>
        <w:pStyle w:val="2"/>
        <w:spacing w:line="360" w:lineRule="auto"/>
        <w:ind w:right="-19"/>
        <w:jc w:val="center"/>
        <w:rPr>
          <w:rFonts w:hint="eastAsia" w:hAnsi="宋体"/>
          <w:b w:val="0"/>
          <w:szCs w:val="28"/>
        </w:rPr>
      </w:pPr>
      <w:r>
        <w:rPr>
          <w:rFonts w:hint="eastAsia" w:hAnsi="宋体"/>
          <w:b w:val="0"/>
          <w:szCs w:val="28"/>
        </w:rPr>
        <w:t>20</w:t>
      </w:r>
      <w:r>
        <w:rPr>
          <w:rFonts w:hint="eastAsia" w:hAnsi="宋体"/>
          <w:b w:val="0"/>
          <w:szCs w:val="28"/>
          <w:lang w:val="en-US" w:eastAsia="zh-CN"/>
        </w:rPr>
        <w:t>26</w:t>
      </w:r>
      <w:r>
        <w:rPr>
          <w:rFonts w:hint="eastAsia" w:hAnsi="宋体"/>
          <w:b w:val="0"/>
          <w:szCs w:val="28"/>
        </w:rPr>
        <w:t>年</w:t>
      </w:r>
      <w:r>
        <w:rPr>
          <w:rFonts w:hint="eastAsia" w:hAnsi="宋体"/>
          <w:b w:val="0"/>
          <w:szCs w:val="28"/>
          <w:lang w:val="en-US" w:eastAsia="zh-CN"/>
        </w:rPr>
        <w:t>02</w:t>
      </w:r>
      <w:r>
        <w:rPr>
          <w:rFonts w:hint="eastAsia" w:hAnsi="宋体"/>
          <w:b w:val="0"/>
          <w:szCs w:val="28"/>
        </w:rPr>
        <w:t>月</w:t>
      </w:r>
    </w:p>
    <w:p>
      <w:pPr>
        <w:spacing w:line="360" w:lineRule="auto"/>
        <w:ind w:right="-19"/>
        <w:rPr>
          <w:rFonts w:hint="eastAsia" w:ascii="宋体" w:hAnsi="宋体" w:cs="Arial"/>
          <w:bCs/>
          <w:sz w:val="24"/>
        </w:rPr>
      </w:pPr>
    </w:p>
    <w:p>
      <w:pPr>
        <w:jc w:val="center"/>
        <w:rPr>
          <w:rFonts w:hint="eastAsia"/>
          <w:sz w:val="36"/>
        </w:rPr>
      </w:pPr>
    </w:p>
    <w:p>
      <w:pPr>
        <w:jc w:val="center"/>
        <w:rPr>
          <w:rFonts w:hint="eastAsia"/>
          <w:sz w:val="36"/>
        </w:rPr>
      </w:pPr>
    </w:p>
    <w:p>
      <w:pPr>
        <w:jc w:val="center"/>
        <w:rPr>
          <w:rFonts w:hint="eastAsia"/>
          <w:sz w:val="36"/>
        </w:rPr>
      </w:pPr>
    </w:p>
    <w:p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目</w:t>
      </w:r>
      <w:r>
        <w:rPr>
          <w:b/>
          <w:sz w:val="28"/>
          <w:szCs w:val="28"/>
        </w:rPr>
        <w:t xml:space="preserve">     </w:t>
      </w:r>
      <w:r>
        <w:rPr>
          <w:rFonts w:hint="eastAsia"/>
          <w:b/>
          <w:sz w:val="28"/>
          <w:szCs w:val="28"/>
        </w:rPr>
        <w:t>次</w:t>
      </w: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numPr>
          <w:ilvl w:val="0"/>
          <w:numId w:val="1"/>
        </w:numPr>
        <w:spacing w:line="30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总则</w:t>
      </w:r>
    </w:p>
    <w:p>
      <w:pPr>
        <w:numPr>
          <w:ilvl w:val="0"/>
          <w:numId w:val="1"/>
        </w:numPr>
        <w:spacing w:line="300" w:lineRule="auto"/>
        <w:rPr>
          <w:sz w:val="28"/>
          <w:szCs w:val="28"/>
        </w:rPr>
      </w:pPr>
      <w:r>
        <w:rPr>
          <w:rFonts w:hint="eastAsia" w:ascii="黑体" w:hAnsi="Calibri" w:eastAsia="黑体"/>
          <w:sz w:val="28"/>
          <w:szCs w:val="28"/>
        </w:rPr>
        <w:t>主要技术说明</w:t>
      </w:r>
    </w:p>
    <w:p>
      <w:pPr>
        <w:numPr>
          <w:ilvl w:val="0"/>
          <w:numId w:val="1"/>
        </w:numPr>
        <w:spacing w:line="300" w:lineRule="auto"/>
        <w:rPr>
          <w:bCs/>
          <w:sz w:val="28"/>
          <w:szCs w:val="28"/>
        </w:rPr>
      </w:pPr>
      <w:r>
        <w:rPr>
          <w:rFonts w:hint="eastAsia" w:ascii="黑体" w:hAnsi="宋体" w:eastAsia="黑体"/>
          <w:bCs/>
          <w:sz w:val="28"/>
          <w:szCs w:val="28"/>
        </w:rPr>
        <w:t>技术服务和售后服务</w:t>
      </w:r>
    </w:p>
    <w:p>
      <w:pPr>
        <w:numPr>
          <w:ilvl w:val="0"/>
          <w:numId w:val="1"/>
        </w:numPr>
        <w:spacing w:line="300" w:lineRule="auto"/>
        <w:rPr>
          <w:sz w:val="28"/>
          <w:szCs w:val="28"/>
        </w:rPr>
      </w:pPr>
      <w:r>
        <w:rPr>
          <w:rFonts w:hint="eastAsia" w:ascii="黑体" w:hAnsi="宋体" w:eastAsia="黑体"/>
          <w:bCs/>
          <w:sz w:val="28"/>
          <w:szCs w:val="28"/>
        </w:rPr>
        <w:t>供货范围</w:t>
      </w:r>
      <w:r>
        <w:rPr>
          <w:sz w:val="28"/>
          <w:szCs w:val="28"/>
        </w:rPr>
        <w:t xml:space="preserve"> </w:t>
      </w:r>
    </w:p>
    <w:p>
      <w:pPr>
        <w:rPr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hint="eastAsia"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hint="eastAsia"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hint="eastAsia"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jc w:val="center"/>
        <w:rPr>
          <w:rFonts w:hint="eastAsia"/>
          <w:sz w:val="36"/>
          <w:lang w:eastAsia="zh-CN"/>
        </w:rPr>
      </w:pPr>
    </w:p>
    <w:p>
      <w:pPr>
        <w:jc w:val="center"/>
        <w:rPr>
          <w:sz w:val="36"/>
        </w:rPr>
      </w:pPr>
      <w:r>
        <w:rPr>
          <w:rFonts w:hint="eastAsia"/>
          <w:sz w:val="36"/>
          <w:lang w:eastAsia="zh-CN"/>
        </w:rPr>
        <w:t>大功率抽水泵</w:t>
      </w:r>
      <w:r>
        <w:rPr>
          <w:rFonts w:hint="eastAsia"/>
          <w:sz w:val="36"/>
        </w:rPr>
        <w:t>技术规范书</w:t>
      </w:r>
    </w:p>
    <w:p>
      <w:pPr>
        <w:rPr>
          <w:rFonts w:hint="eastAsia"/>
        </w:rPr>
      </w:pPr>
      <w:r>
        <w:rPr>
          <w:rFonts w:hint="eastAsia"/>
          <w:b/>
        </w:rPr>
        <w:t xml:space="preserve">1 </w:t>
      </w:r>
      <w:r>
        <w:rPr>
          <w:rFonts w:hint="eastAsia"/>
        </w:rPr>
        <w:t xml:space="preserve"> 总则</w:t>
      </w:r>
    </w:p>
    <w:p>
      <w:pPr>
        <w:rPr>
          <w:rFonts w:hint="eastAsia"/>
        </w:rPr>
      </w:pPr>
      <w:r>
        <w:rPr>
          <w:rFonts w:hint="eastAsia"/>
        </w:rPr>
        <w:t>1.1本规范书适用于</w:t>
      </w:r>
      <w:r>
        <w:rPr>
          <w:rFonts w:hint="eastAsia"/>
          <w:lang w:eastAsia="zh-CN"/>
        </w:rPr>
        <w:t>大功率抽水泵</w:t>
      </w:r>
      <w:r>
        <w:rPr>
          <w:rFonts w:hint="eastAsia"/>
        </w:rPr>
        <w:t>，它提出</w:t>
      </w:r>
      <w:r>
        <w:rPr>
          <w:rFonts w:hint="eastAsia"/>
          <w:lang w:eastAsia="zh-CN"/>
        </w:rPr>
        <w:t>大功率抽水泵</w:t>
      </w:r>
      <w:r>
        <w:rPr>
          <w:rFonts w:hint="eastAsia"/>
        </w:rPr>
        <w:t>的技术性能、要求、标志等。</w:t>
      </w:r>
    </w:p>
    <w:p>
      <w:pPr>
        <w:rPr>
          <w:rFonts w:hint="eastAsia"/>
        </w:rPr>
      </w:pPr>
      <w:r>
        <w:rPr>
          <w:rFonts w:hint="eastAsia"/>
        </w:rPr>
        <w:t>1.2本规范书中提出的是最低限度的技术要求，并未对一切技术细节作出规定，也未充分引述有关的技术标准和规范的条文，供方应提供符合本规范书和国家标准要求的高质量产品。</w:t>
      </w:r>
    </w:p>
    <w:p>
      <w:pPr>
        <w:rPr>
          <w:rFonts w:hint="eastAsia"/>
        </w:rPr>
      </w:pPr>
      <w:r>
        <w:rPr>
          <w:rFonts w:hint="eastAsia"/>
        </w:rPr>
        <w:t>1.3如果供方没有以书面形式对本规范书的条文提出异议，则意味着供方提供的设备完全符合本规范书的要求，如有异议，不管是多么微小，都有应在报价书中以“对规范书的意见和同规范书的差异”为标题的专门章节加以详细描述。</w:t>
      </w:r>
    </w:p>
    <w:p>
      <w:pPr>
        <w:rPr>
          <w:rFonts w:hint="eastAsia"/>
        </w:rPr>
      </w:pPr>
      <w:r>
        <w:rPr>
          <w:rFonts w:hint="eastAsia"/>
        </w:rPr>
        <w:t>1.4供方须执行现行国家标准和电力行业标准，本规范书所使用的标准如与供方所执行的标准不一致时，按要求较高的标准执行。</w:t>
      </w:r>
    </w:p>
    <w:p>
      <w:pPr>
        <w:rPr>
          <w:rFonts w:hint="eastAsia"/>
        </w:rPr>
      </w:pPr>
      <w:r>
        <w:rPr>
          <w:rFonts w:hint="eastAsia"/>
        </w:rPr>
        <w:t>1.5本规范书经供需双方确认后作为订货合同的技术附件，与合同正文具有同等法律效力。</w:t>
      </w:r>
    </w:p>
    <w:p>
      <w:pPr>
        <w:rPr>
          <w:rFonts w:hint="eastAsia"/>
        </w:rPr>
      </w:pPr>
      <w:r>
        <w:rPr>
          <w:rFonts w:hint="eastAsia"/>
        </w:rPr>
        <w:t>1.6 本规范书未尽事宜，由供需双方协商确定。</w:t>
      </w:r>
    </w:p>
    <w:p>
      <w:pPr>
        <w:rPr>
          <w:rFonts w:hint="eastAsia"/>
        </w:rPr>
      </w:pPr>
      <w:r>
        <w:rPr>
          <w:rFonts w:hint="eastAsia"/>
          <w:b/>
        </w:rPr>
        <w:t xml:space="preserve">2 </w:t>
      </w:r>
      <w:r>
        <w:rPr>
          <w:rFonts w:hint="eastAsia"/>
        </w:rPr>
        <w:t xml:space="preserve"> 技术要求</w:t>
      </w:r>
    </w:p>
    <w:p>
      <w:r>
        <w:rPr>
          <w:rFonts w:hint="eastAsia"/>
        </w:rPr>
        <w:t xml:space="preserve">2.1 </w:t>
      </w:r>
      <w:r>
        <w:t>技术性能要求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设备名称：大功率抽水泵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适用于：各类无电源场景抽水工作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技术要求：汽油驱动，含进出水管（直径15cm）*10m；送机养护油1瓶，</w:t>
      </w:r>
      <w:r>
        <w:rPr>
          <w:rFonts w:hint="eastAsia"/>
          <w:lang w:val="en-US" w:eastAsia="zh-CN"/>
        </w:rPr>
        <w:t>适应</w:t>
      </w:r>
      <w:r>
        <w:rPr>
          <w:rFonts w:hint="eastAsia"/>
          <w:lang w:eastAsia="zh-CN"/>
        </w:rPr>
        <w:t>各类场景抽水工作。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长：54.5CM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宽：39CM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高：44CM</w:t>
      </w:r>
    </w:p>
    <w:p>
      <w:r>
        <w:rPr>
          <w:rFonts w:hint="eastAsia" w:ascii="宋体" w:hAnsi="宋体"/>
          <w:szCs w:val="30"/>
          <w:lang w:val="en-US" w:eastAsia="zh-CN"/>
        </w:rPr>
        <w:t>参考图片：</w:t>
      </w:r>
      <w:bookmarkStart w:id="0" w:name="_GoBack"/>
      <w:bookmarkEnd w:id="0"/>
    </w:p>
    <w:p>
      <w:pPr>
        <w:jc w:val="center"/>
        <w:rPr>
          <w:rFonts w:hint="eastAsia"/>
          <w:lang w:val="en-US" w:eastAsia="zh-CN"/>
        </w:rPr>
      </w:pPr>
    </w:p>
    <w:p>
      <w:pPr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66690" cy="4833620"/>
            <wp:effectExtent l="0" t="0" r="10160" b="5080"/>
            <wp:docPr id="1" name="图片 1" descr="9152802947123463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915280294712346322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83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</w:p>
    <w:p>
      <w:pPr>
        <w:jc w:val="center"/>
        <w:rPr>
          <w:b/>
          <w:bCs/>
        </w:rPr>
      </w:pPr>
      <w:r>
        <w:rPr>
          <w:rFonts w:hint="eastAsia" w:eastAsia="宋体"/>
          <w:b/>
          <w:bCs/>
          <w:sz w:val="24"/>
          <w:szCs w:val="24"/>
          <w:lang w:eastAsia="zh-CN"/>
        </w:rPr>
        <w:t>所附图片仅供参考，不涉及品牌指定，投标人不能直接引用该图片应标</w:t>
      </w:r>
    </w:p>
    <w:p>
      <w:pPr>
        <w:rPr>
          <w:rFonts w:hint="eastAsia"/>
          <w:lang w:eastAsia="zh-CN"/>
        </w:rPr>
      </w:pPr>
    </w:p>
    <w:p>
      <w:pPr>
        <w:rPr>
          <w:rFonts w:hint="eastAsia" w:ascii="宋体" w:hAnsi="宋体"/>
          <w:szCs w:val="30"/>
        </w:rPr>
      </w:pPr>
      <w:r>
        <w:rPr>
          <w:rFonts w:hint="eastAsia" w:ascii="宋体" w:hAnsi="宋体"/>
          <w:b/>
          <w:szCs w:val="30"/>
        </w:rPr>
        <w:t>3</w:t>
      </w:r>
      <w:r>
        <w:rPr>
          <w:rFonts w:hint="eastAsia" w:ascii="宋体" w:hAnsi="宋体"/>
          <w:szCs w:val="30"/>
        </w:rPr>
        <w:t xml:space="preserve">  验收</w:t>
      </w:r>
    </w:p>
    <w:p>
      <w:pPr>
        <w:ind w:firstLine="600" w:firstLineChars="200"/>
        <w:rPr>
          <w:rFonts w:hint="eastAsia" w:ascii="宋体" w:hAnsi="宋体"/>
          <w:szCs w:val="30"/>
        </w:rPr>
      </w:pPr>
      <w:r>
        <w:rPr>
          <w:rFonts w:hint="eastAsia" w:ascii="宋体" w:hAnsi="宋体"/>
          <w:szCs w:val="30"/>
        </w:rPr>
        <w:t>物资到达需方指定的地点后，由需方按相关标准要求进行抽验，发现不合格的，供方必须将该产品整批运回厂家，重新供货。</w:t>
      </w:r>
    </w:p>
    <w:p>
      <w:pPr>
        <w:rPr>
          <w:rFonts w:hint="eastAsia" w:ascii="宋体" w:hAnsi="宋体"/>
          <w:szCs w:val="30"/>
        </w:rPr>
      </w:pPr>
    </w:p>
    <w:p>
      <w:pPr>
        <w:numPr>
          <w:ilvl w:val="0"/>
          <w:numId w:val="2"/>
        </w:numPr>
        <w:rPr>
          <w:rFonts w:hint="eastAsia" w:ascii="宋体" w:hAnsi="宋体"/>
          <w:szCs w:val="30"/>
        </w:rPr>
      </w:pPr>
      <w:r>
        <w:rPr>
          <w:rFonts w:hint="eastAsia" w:ascii="宋体" w:hAnsi="宋体"/>
          <w:szCs w:val="30"/>
        </w:rPr>
        <w:t xml:space="preserve"> 供货范围</w:t>
      </w:r>
    </w:p>
    <w:tbl>
      <w:tblPr>
        <w:tblStyle w:val="5"/>
        <w:tblW w:w="85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1"/>
        <w:gridCol w:w="2292"/>
        <w:gridCol w:w="1725"/>
        <w:gridCol w:w="1140"/>
        <w:gridCol w:w="1391"/>
        <w:gridCol w:w="1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971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序号</w:t>
            </w:r>
          </w:p>
        </w:tc>
        <w:tc>
          <w:tcPr>
            <w:tcW w:w="2292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物资名称</w:t>
            </w:r>
          </w:p>
        </w:tc>
        <w:tc>
          <w:tcPr>
            <w:tcW w:w="1725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规格</w:t>
            </w:r>
          </w:p>
        </w:tc>
        <w:tc>
          <w:tcPr>
            <w:tcW w:w="114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数量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计量单位</w:t>
            </w:r>
          </w:p>
        </w:tc>
        <w:tc>
          <w:tcPr>
            <w:tcW w:w="100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971" w:type="dxa"/>
            <w:noWrap w:val="0"/>
            <w:vAlign w:val="center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</w:t>
            </w:r>
          </w:p>
        </w:tc>
        <w:tc>
          <w:tcPr>
            <w:tcW w:w="2292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  <w:lang w:eastAsia="zh-CN"/>
              </w:rPr>
            </w:pPr>
            <w:r>
              <w:rPr>
                <w:rFonts w:hint="eastAsia"/>
                <w:lang w:eastAsia="zh-CN"/>
              </w:rPr>
              <w:t>大功率抽水泵</w:t>
            </w:r>
          </w:p>
        </w:tc>
        <w:tc>
          <w:tcPr>
            <w:tcW w:w="1725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6寸汽油机水泵</w:t>
            </w:r>
          </w:p>
        </w:tc>
        <w:tc>
          <w:tcPr>
            <w:tcW w:w="114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default" w:ascii="宋体" w:hAnsi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套</w:t>
            </w:r>
          </w:p>
        </w:tc>
        <w:tc>
          <w:tcPr>
            <w:tcW w:w="100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</w:tbl>
    <w:p/>
    <w:p/>
    <w:p/>
    <w:sectPr>
      <w:headerReference r:id="rId3" w:type="default"/>
      <w:footerReference r:id="rId4" w:type="default"/>
      <w:footerReference r:id="rId5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3</w:t>
    </w:r>
    <w:r>
      <w:fldChar w:fldCharType="end"/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0"/>
    <w:multiLevelType w:val="multilevel"/>
    <w:tmpl w:val="00000000"/>
    <w:lvl w:ilvl="0" w:tentative="0">
      <w:start w:val="1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decimal"/>
      <w:isLgl/>
      <w:lvlText w:val="%1.%2"/>
      <w:lvlJc w:val="left"/>
      <w:pPr>
        <w:tabs>
          <w:tab w:val="left" w:pos="480"/>
        </w:tabs>
        <w:ind w:left="480" w:hanging="480"/>
      </w:pPr>
      <w:rPr>
        <w:rFonts w:hint="default"/>
      </w:rPr>
    </w:lvl>
    <w:lvl w:ilvl="2" w:tentative="0">
      <w:start w:val="6"/>
      <w:numFmt w:val="decimal"/>
      <w:isLgl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1">
    <w:nsid w:val="14426496"/>
    <w:multiLevelType w:val="multilevel"/>
    <w:tmpl w:val="14426496"/>
    <w:lvl w:ilvl="0" w:tentative="0">
      <w:start w:val="4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EA60CD"/>
    <w:rsid w:val="00C738AF"/>
    <w:rsid w:val="02C81935"/>
    <w:rsid w:val="05B650FC"/>
    <w:rsid w:val="063340E2"/>
    <w:rsid w:val="08C40E3F"/>
    <w:rsid w:val="0C694F5D"/>
    <w:rsid w:val="0C8B42A4"/>
    <w:rsid w:val="10234DA8"/>
    <w:rsid w:val="11B277B6"/>
    <w:rsid w:val="13AF209A"/>
    <w:rsid w:val="15B176A5"/>
    <w:rsid w:val="179A244D"/>
    <w:rsid w:val="17F50191"/>
    <w:rsid w:val="1EEA60CD"/>
    <w:rsid w:val="1F5501F8"/>
    <w:rsid w:val="216B7134"/>
    <w:rsid w:val="275D5180"/>
    <w:rsid w:val="299F13AC"/>
    <w:rsid w:val="2EAC6BDD"/>
    <w:rsid w:val="3C24715E"/>
    <w:rsid w:val="43406755"/>
    <w:rsid w:val="4BF93B29"/>
    <w:rsid w:val="4E68495A"/>
    <w:rsid w:val="541D1427"/>
    <w:rsid w:val="57EF21B6"/>
    <w:rsid w:val="59811972"/>
    <w:rsid w:val="5BE1534B"/>
    <w:rsid w:val="5F3F44CE"/>
    <w:rsid w:val="5FF74BCC"/>
    <w:rsid w:val="668E2FF5"/>
    <w:rsid w:val="686F5111"/>
    <w:rsid w:val="6B3215CD"/>
    <w:rsid w:val="70F24A7D"/>
    <w:rsid w:val="7173161B"/>
    <w:rsid w:val="73D5595E"/>
    <w:rsid w:val="7AEB7D33"/>
    <w:rsid w:val="7BB73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30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qFormat/>
    <w:uiPriority w:val="0"/>
    <w:rPr>
      <w:rFonts w:ascii="宋体"/>
      <w:b/>
      <w:sz w:val="28"/>
      <w:szCs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2023-04-26T11:33:00Z</dcterms:created>
  <dc:creator>A05F857A0C074F59AFA37F459267A9B0</dc:creator>
  <cp:lastModifiedBy>SuperAdmin</cp:lastModifiedBy>
  <dcterms:modified xsi:type="dcterms:W3CDTF">2026-03-20T10:06:24Z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284860E5BFE241BE92DB0927CA112637</vt:lpwstr>
  </property>
</Properties>
</file>